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B1719" w14:textId="77777777" w:rsidR="00583F3E" w:rsidRPr="00583F3E" w:rsidRDefault="00583F3E" w:rsidP="00583F3E">
      <w:pPr>
        <w:widowControl/>
        <w:jc w:val="both"/>
        <w:rPr>
          <w:rFonts w:ascii="Times New Roman" w:hAnsi="Times New Roman" w:cs="Times New Roman"/>
          <w:noProof/>
          <w:position w:val="6"/>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0"/>
        <w:gridCol w:w="6548"/>
      </w:tblGrid>
      <w:tr w:rsidR="00583F3E" w:rsidRPr="00583F3E" w14:paraId="06C9D60F" w14:textId="77777777" w:rsidTr="00967587">
        <w:tc>
          <w:tcPr>
            <w:tcW w:w="2580" w:type="dxa"/>
          </w:tcPr>
          <w:p w14:paraId="31A1CE15" w14:textId="77777777" w:rsidR="00583F3E" w:rsidRPr="00583F3E" w:rsidRDefault="00583F3E" w:rsidP="00583F3E">
            <w:pPr>
              <w:widowControl/>
              <w:jc w:val="both"/>
              <w:rPr>
                <w:rFonts w:ascii="Times New Roman" w:hAnsi="Times New Roman" w:cs="Times New Roman"/>
                <w:noProof/>
                <w:position w:val="6"/>
                <w:sz w:val="24"/>
              </w:rPr>
            </w:pPr>
            <w:r>
              <w:rPr>
                <w:rFonts w:ascii="Times New Roman" w:hAnsi="Times New Roman"/>
                <w:noProof/>
                <w:sz w:val="24"/>
              </w:rPr>
              <w:drawing>
                <wp:inline distT="0" distB="0" distL="0" distR="0" wp14:anchorId="74813A35" wp14:editId="1CA2FEAA">
                  <wp:extent cx="1515110" cy="77089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5110" cy="770890"/>
                          </a:xfrm>
                          <a:prstGeom prst="rect">
                            <a:avLst/>
                          </a:prstGeom>
                          <a:noFill/>
                          <a:ln>
                            <a:noFill/>
                          </a:ln>
                        </pic:spPr>
                      </pic:pic>
                    </a:graphicData>
                  </a:graphic>
                </wp:inline>
              </w:drawing>
            </w:r>
          </w:p>
        </w:tc>
        <w:tc>
          <w:tcPr>
            <w:tcW w:w="6548" w:type="dxa"/>
          </w:tcPr>
          <w:p w14:paraId="276BD7B8" w14:textId="77777777" w:rsidR="00583F3E" w:rsidRPr="00583F3E" w:rsidRDefault="00583F3E" w:rsidP="00583F3E">
            <w:pPr>
              <w:widowControl/>
              <w:jc w:val="both"/>
              <w:rPr>
                <w:rFonts w:ascii="Times New Roman" w:hAnsi="Times New Roman" w:cs="Times New Roman"/>
                <w:noProof/>
                <w:position w:val="6"/>
                <w:sz w:val="24"/>
              </w:rPr>
            </w:pPr>
            <w:r>
              <w:rPr>
                <w:rFonts w:ascii="Times New Roman" w:hAnsi="Times New Roman"/>
                <w:sz w:val="24"/>
              </w:rPr>
              <w:t>EIROPAS KOMISIJA</w:t>
            </w:r>
          </w:p>
          <w:p w14:paraId="6F3F6A62" w14:textId="77777777" w:rsidR="00583F3E" w:rsidRPr="00967587" w:rsidRDefault="00583F3E" w:rsidP="00583F3E">
            <w:pPr>
              <w:widowControl/>
              <w:jc w:val="both"/>
              <w:rPr>
                <w:rFonts w:ascii="Times New Roman" w:hAnsi="Times New Roman" w:cs="Times New Roman"/>
                <w:noProof/>
                <w:position w:val="6"/>
                <w:sz w:val="20"/>
                <w:szCs w:val="20"/>
              </w:rPr>
            </w:pPr>
            <w:r>
              <w:rPr>
                <w:rFonts w:ascii="Times New Roman" w:hAnsi="Times New Roman"/>
                <w:sz w:val="20"/>
                <w:szCs w:val="20"/>
              </w:rPr>
              <w:t>ĢENERĀLDIREKTORĀTS</w:t>
            </w:r>
          </w:p>
          <w:p w14:paraId="6EE128CF" w14:textId="77777777" w:rsidR="00583F3E" w:rsidRPr="00967587" w:rsidRDefault="00583F3E" w:rsidP="00583F3E">
            <w:pPr>
              <w:widowControl/>
              <w:jc w:val="both"/>
              <w:rPr>
                <w:rFonts w:ascii="Times New Roman" w:hAnsi="Times New Roman" w:cs="Times New Roman"/>
                <w:noProof/>
                <w:position w:val="6"/>
                <w:sz w:val="20"/>
                <w:szCs w:val="20"/>
              </w:rPr>
            </w:pPr>
            <w:r>
              <w:rPr>
                <w:rFonts w:ascii="Times New Roman" w:hAnsi="Times New Roman"/>
                <w:sz w:val="20"/>
                <w:szCs w:val="20"/>
              </w:rPr>
              <w:t>RĪCĪBA KLIMATA POLITIKAS JOMĀ</w:t>
            </w:r>
          </w:p>
          <w:p w14:paraId="4EE78D1A" w14:textId="77777777" w:rsidR="00583F3E" w:rsidRPr="00967587" w:rsidRDefault="00583F3E" w:rsidP="00583F3E">
            <w:pPr>
              <w:widowControl/>
              <w:jc w:val="both"/>
              <w:rPr>
                <w:rFonts w:ascii="Times New Roman" w:eastAsia="Arial" w:hAnsi="Times New Roman" w:cs="Times New Roman"/>
                <w:noProof/>
                <w:position w:val="6"/>
                <w:sz w:val="20"/>
                <w:szCs w:val="20"/>
              </w:rPr>
            </w:pPr>
          </w:p>
          <w:p w14:paraId="241CFAAF" w14:textId="77777777" w:rsidR="00583F3E" w:rsidRPr="00583F3E" w:rsidRDefault="00583F3E" w:rsidP="00583F3E">
            <w:pPr>
              <w:widowControl/>
              <w:jc w:val="both"/>
              <w:rPr>
                <w:rFonts w:ascii="Times New Roman" w:hAnsi="Times New Roman" w:cs="Times New Roman"/>
                <w:noProof/>
                <w:position w:val="6"/>
                <w:sz w:val="24"/>
                <w:szCs w:val="18"/>
              </w:rPr>
            </w:pPr>
            <w:r>
              <w:rPr>
                <w:rFonts w:ascii="Times New Roman" w:hAnsi="Times New Roman"/>
                <w:sz w:val="20"/>
                <w:szCs w:val="20"/>
              </w:rPr>
              <w:t>B direkcija – Eiropas un starptautiskie oglekļa dioksīda emisiju tirgi</w:t>
            </w:r>
          </w:p>
        </w:tc>
      </w:tr>
    </w:tbl>
    <w:p w14:paraId="08259FB2" w14:textId="77777777" w:rsidR="00583F3E" w:rsidRPr="00583F3E" w:rsidRDefault="00583F3E" w:rsidP="00583F3E">
      <w:pPr>
        <w:widowControl/>
        <w:jc w:val="both"/>
        <w:rPr>
          <w:rFonts w:ascii="Times New Roman" w:eastAsia="Arial" w:hAnsi="Times New Roman" w:cs="Times New Roman"/>
          <w:noProof/>
          <w:position w:val="6"/>
          <w:sz w:val="24"/>
          <w:szCs w:val="20"/>
        </w:rPr>
      </w:pPr>
    </w:p>
    <w:p w14:paraId="266C2384" w14:textId="77777777" w:rsidR="00583F3E" w:rsidRDefault="00583F3E" w:rsidP="00583F3E">
      <w:pPr>
        <w:widowControl/>
        <w:jc w:val="both"/>
        <w:rPr>
          <w:rFonts w:ascii="Times New Roman" w:eastAsia="Arial" w:hAnsi="Times New Roman" w:cs="Times New Roman"/>
          <w:noProof/>
          <w:position w:val="6"/>
          <w:sz w:val="24"/>
          <w:szCs w:val="20"/>
        </w:rPr>
      </w:pPr>
    </w:p>
    <w:p w14:paraId="1D9B4D1B" w14:textId="77777777" w:rsidR="00967587" w:rsidRDefault="00967587" w:rsidP="00583F3E">
      <w:pPr>
        <w:widowControl/>
        <w:jc w:val="both"/>
        <w:rPr>
          <w:rFonts w:ascii="Times New Roman" w:eastAsia="Arial" w:hAnsi="Times New Roman" w:cs="Times New Roman"/>
          <w:noProof/>
          <w:position w:val="6"/>
          <w:sz w:val="24"/>
          <w:szCs w:val="20"/>
        </w:rPr>
      </w:pPr>
    </w:p>
    <w:p w14:paraId="69E9C997" w14:textId="77777777" w:rsidR="00967587" w:rsidRDefault="00967587" w:rsidP="00583F3E">
      <w:pPr>
        <w:widowControl/>
        <w:jc w:val="both"/>
        <w:rPr>
          <w:rFonts w:ascii="Times New Roman" w:eastAsia="Arial" w:hAnsi="Times New Roman" w:cs="Times New Roman"/>
          <w:noProof/>
          <w:position w:val="6"/>
          <w:sz w:val="24"/>
          <w:szCs w:val="20"/>
        </w:rPr>
      </w:pPr>
    </w:p>
    <w:p w14:paraId="48E79C51" w14:textId="77777777" w:rsidR="00967587" w:rsidRPr="00583F3E" w:rsidRDefault="00967587" w:rsidP="00583F3E">
      <w:pPr>
        <w:widowControl/>
        <w:jc w:val="both"/>
        <w:rPr>
          <w:rFonts w:ascii="Times New Roman" w:eastAsia="Arial" w:hAnsi="Times New Roman" w:cs="Times New Roman"/>
          <w:noProof/>
          <w:position w:val="6"/>
          <w:sz w:val="24"/>
          <w:szCs w:val="20"/>
        </w:rPr>
      </w:pPr>
    </w:p>
    <w:p w14:paraId="7864AFEE" w14:textId="77777777" w:rsidR="00583F3E" w:rsidRPr="00967587" w:rsidRDefault="00583F3E" w:rsidP="00583F3E">
      <w:pPr>
        <w:widowControl/>
        <w:jc w:val="both"/>
        <w:rPr>
          <w:rFonts w:ascii="Times New Roman" w:hAnsi="Times New Roman" w:cs="Times New Roman"/>
          <w:noProof/>
          <w:position w:val="6"/>
          <w:sz w:val="28"/>
          <w:szCs w:val="24"/>
        </w:rPr>
      </w:pPr>
      <w:r>
        <w:rPr>
          <w:rFonts w:ascii="Times New Roman" w:hAnsi="Times New Roman"/>
          <w:sz w:val="28"/>
          <w:szCs w:val="24"/>
        </w:rPr>
        <w:t>Norādījumu dokuments Nr. 2 par saskaņotās bezmaksas kvotu piešķiršanas metodoloģiju ES ETS pēc 2020. gada</w:t>
      </w:r>
    </w:p>
    <w:p w14:paraId="49BE3BDD" w14:textId="77777777" w:rsidR="00583F3E" w:rsidRPr="00583F3E" w:rsidRDefault="00583F3E" w:rsidP="00583F3E">
      <w:pPr>
        <w:widowControl/>
        <w:jc w:val="both"/>
        <w:rPr>
          <w:rFonts w:ascii="Times New Roman" w:eastAsia="Calibri" w:hAnsi="Times New Roman" w:cs="Times New Roman"/>
          <w:noProof/>
          <w:position w:val="6"/>
          <w:sz w:val="24"/>
          <w:szCs w:val="32"/>
        </w:rPr>
      </w:pPr>
    </w:p>
    <w:p w14:paraId="220B779C" w14:textId="77777777" w:rsidR="00583F3E" w:rsidRDefault="00583F3E" w:rsidP="00583F3E">
      <w:pPr>
        <w:widowControl/>
        <w:jc w:val="both"/>
        <w:rPr>
          <w:rFonts w:ascii="Times New Roman" w:eastAsia="Calibri" w:hAnsi="Times New Roman" w:cs="Times New Roman"/>
          <w:noProof/>
          <w:position w:val="6"/>
          <w:sz w:val="24"/>
          <w:szCs w:val="40"/>
        </w:rPr>
      </w:pPr>
    </w:p>
    <w:p w14:paraId="2CF86BD9" w14:textId="77777777" w:rsidR="00967587" w:rsidRDefault="00967587" w:rsidP="00583F3E">
      <w:pPr>
        <w:widowControl/>
        <w:jc w:val="both"/>
        <w:rPr>
          <w:rFonts w:ascii="Times New Roman" w:eastAsia="Calibri" w:hAnsi="Times New Roman" w:cs="Times New Roman"/>
          <w:noProof/>
          <w:position w:val="6"/>
          <w:sz w:val="24"/>
          <w:szCs w:val="40"/>
        </w:rPr>
      </w:pPr>
    </w:p>
    <w:p w14:paraId="514E24F2" w14:textId="77777777" w:rsidR="00583F3E" w:rsidRPr="00967587" w:rsidRDefault="00583F3E" w:rsidP="00583F3E">
      <w:pPr>
        <w:widowControl/>
        <w:jc w:val="both"/>
        <w:rPr>
          <w:rFonts w:ascii="Times New Roman" w:hAnsi="Times New Roman" w:cs="Times New Roman"/>
          <w:b/>
          <w:noProof/>
          <w:position w:val="6"/>
          <w:sz w:val="32"/>
          <w:szCs w:val="28"/>
        </w:rPr>
      </w:pPr>
      <w:r>
        <w:rPr>
          <w:rFonts w:ascii="Times New Roman" w:hAnsi="Times New Roman"/>
          <w:b/>
          <w:sz w:val="32"/>
          <w:szCs w:val="28"/>
        </w:rPr>
        <w:t>Norādījumi par piešķiramo emisijas kvotu noteikšanu iekārtas līmenī</w:t>
      </w:r>
    </w:p>
    <w:p w14:paraId="3DEC2BD6" w14:textId="77777777" w:rsidR="00583F3E" w:rsidRDefault="00583F3E" w:rsidP="00583F3E">
      <w:pPr>
        <w:widowControl/>
        <w:jc w:val="both"/>
        <w:rPr>
          <w:rFonts w:ascii="Times New Roman" w:eastAsia="Calibri" w:hAnsi="Times New Roman" w:cs="Times New Roman"/>
          <w:b/>
          <w:bCs/>
          <w:noProof/>
          <w:position w:val="6"/>
          <w:sz w:val="24"/>
          <w:szCs w:val="36"/>
        </w:rPr>
      </w:pPr>
    </w:p>
    <w:p w14:paraId="285A7501" w14:textId="77777777" w:rsidR="00967587" w:rsidRDefault="00967587" w:rsidP="00583F3E">
      <w:pPr>
        <w:widowControl/>
        <w:jc w:val="both"/>
        <w:rPr>
          <w:rFonts w:ascii="Times New Roman" w:eastAsia="Calibri" w:hAnsi="Times New Roman" w:cs="Times New Roman"/>
          <w:b/>
          <w:bCs/>
          <w:noProof/>
          <w:position w:val="6"/>
          <w:sz w:val="24"/>
          <w:szCs w:val="36"/>
        </w:rPr>
      </w:pPr>
    </w:p>
    <w:p w14:paraId="31476D0C" w14:textId="77777777" w:rsidR="00967587" w:rsidRPr="00583F3E" w:rsidRDefault="00967587" w:rsidP="00583F3E">
      <w:pPr>
        <w:widowControl/>
        <w:jc w:val="both"/>
        <w:rPr>
          <w:rFonts w:ascii="Times New Roman" w:eastAsia="Calibri" w:hAnsi="Times New Roman" w:cs="Times New Roman"/>
          <w:b/>
          <w:bCs/>
          <w:noProof/>
          <w:position w:val="6"/>
          <w:sz w:val="24"/>
          <w:szCs w:val="36"/>
        </w:rPr>
      </w:pPr>
    </w:p>
    <w:p w14:paraId="1C2F3C5B"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Galīgā versija, kas izdota 2019. gada 15. februārī</w:t>
      </w:r>
    </w:p>
    <w:p w14:paraId="5B2B1E1D" w14:textId="77777777" w:rsidR="00583F3E" w:rsidRPr="00583F3E" w:rsidRDefault="00583F3E" w:rsidP="00583F3E">
      <w:pPr>
        <w:widowControl/>
        <w:jc w:val="both"/>
        <w:rPr>
          <w:rFonts w:ascii="Times New Roman" w:eastAsia="Calibri" w:hAnsi="Times New Roman" w:cs="Times New Roman"/>
          <w:i/>
          <w:noProof/>
          <w:position w:val="6"/>
          <w:sz w:val="24"/>
          <w:szCs w:val="24"/>
        </w:rPr>
      </w:pPr>
    </w:p>
    <w:p w14:paraId="202F1B13" w14:textId="77777777" w:rsidR="00583F3E" w:rsidRDefault="00583F3E" w:rsidP="00583F3E">
      <w:pPr>
        <w:widowControl/>
        <w:jc w:val="both"/>
        <w:rPr>
          <w:rFonts w:ascii="Times New Roman" w:eastAsia="Calibri" w:hAnsi="Times New Roman" w:cs="Times New Roman"/>
          <w:i/>
          <w:noProof/>
          <w:position w:val="6"/>
          <w:sz w:val="24"/>
          <w:szCs w:val="32"/>
        </w:rPr>
      </w:pPr>
    </w:p>
    <w:p w14:paraId="4A2E67E4" w14:textId="77777777" w:rsidR="00967587" w:rsidRDefault="00967587" w:rsidP="00583F3E">
      <w:pPr>
        <w:widowControl/>
        <w:jc w:val="both"/>
        <w:rPr>
          <w:rFonts w:ascii="Times New Roman" w:eastAsia="Calibri" w:hAnsi="Times New Roman" w:cs="Times New Roman"/>
          <w:i/>
          <w:noProof/>
          <w:position w:val="6"/>
          <w:sz w:val="24"/>
          <w:szCs w:val="32"/>
        </w:rPr>
      </w:pPr>
    </w:p>
    <w:p w14:paraId="7154744F" w14:textId="77777777" w:rsidR="00967587" w:rsidRDefault="00967587" w:rsidP="00583F3E">
      <w:pPr>
        <w:widowControl/>
        <w:jc w:val="both"/>
        <w:rPr>
          <w:rFonts w:ascii="Times New Roman" w:eastAsia="Calibri" w:hAnsi="Times New Roman" w:cs="Times New Roman"/>
          <w:i/>
          <w:noProof/>
          <w:position w:val="6"/>
          <w:sz w:val="24"/>
          <w:szCs w:val="32"/>
        </w:rPr>
      </w:pPr>
    </w:p>
    <w:p w14:paraId="4FFEFCC6" w14:textId="77777777" w:rsidR="00967587" w:rsidRDefault="00967587" w:rsidP="00583F3E">
      <w:pPr>
        <w:widowControl/>
        <w:jc w:val="both"/>
        <w:rPr>
          <w:rFonts w:ascii="Times New Roman" w:eastAsia="Calibri" w:hAnsi="Times New Roman" w:cs="Times New Roman"/>
          <w:i/>
          <w:noProof/>
          <w:position w:val="6"/>
          <w:sz w:val="24"/>
          <w:szCs w:val="32"/>
        </w:rPr>
      </w:pPr>
    </w:p>
    <w:p w14:paraId="04341E5C" w14:textId="77777777" w:rsidR="00967587" w:rsidRDefault="00967587" w:rsidP="00583F3E">
      <w:pPr>
        <w:widowControl/>
        <w:jc w:val="both"/>
        <w:rPr>
          <w:rFonts w:ascii="Times New Roman" w:eastAsia="Calibri" w:hAnsi="Times New Roman" w:cs="Times New Roman"/>
          <w:i/>
          <w:noProof/>
          <w:position w:val="6"/>
          <w:sz w:val="24"/>
          <w:szCs w:val="32"/>
        </w:rPr>
      </w:pPr>
    </w:p>
    <w:p w14:paraId="5E7D6E83" w14:textId="77777777" w:rsidR="00967587" w:rsidRDefault="00967587" w:rsidP="00583F3E">
      <w:pPr>
        <w:widowControl/>
        <w:jc w:val="both"/>
        <w:rPr>
          <w:rFonts w:ascii="Times New Roman" w:eastAsia="Calibri" w:hAnsi="Times New Roman" w:cs="Times New Roman"/>
          <w:i/>
          <w:noProof/>
          <w:position w:val="6"/>
          <w:sz w:val="24"/>
          <w:szCs w:val="32"/>
        </w:rPr>
      </w:pPr>
    </w:p>
    <w:p w14:paraId="0D056F2F" w14:textId="77777777" w:rsidR="00967587" w:rsidRDefault="00967587" w:rsidP="00583F3E">
      <w:pPr>
        <w:widowControl/>
        <w:jc w:val="both"/>
        <w:rPr>
          <w:rFonts w:ascii="Times New Roman" w:eastAsia="Calibri" w:hAnsi="Times New Roman" w:cs="Times New Roman"/>
          <w:i/>
          <w:noProof/>
          <w:position w:val="6"/>
          <w:sz w:val="24"/>
          <w:szCs w:val="32"/>
        </w:rPr>
      </w:pPr>
    </w:p>
    <w:p w14:paraId="24871E84" w14:textId="77777777" w:rsidR="00967587" w:rsidRDefault="00967587" w:rsidP="00583F3E">
      <w:pPr>
        <w:widowControl/>
        <w:jc w:val="both"/>
        <w:rPr>
          <w:rFonts w:ascii="Times New Roman" w:eastAsia="Calibri" w:hAnsi="Times New Roman" w:cs="Times New Roman"/>
          <w:i/>
          <w:noProof/>
          <w:position w:val="6"/>
          <w:sz w:val="24"/>
          <w:szCs w:val="32"/>
        </w:rPr>
      </w:pPr>
    </w:p>
    <w:p w14:paraId="6EAA6985" w14:textId="77777777" w:rsidR="00967587" w:rsidRDefault="00967587" w:rsidP="00583F3E">
      <w:pPr>
        <w:widowControl/>
        <w:jc w:val="both"/>
        <w:rPr>
          <w:rFonts w:ascii="Times New Roman" w:eastAsia="Calibri" w:hAnsi="Times New Roman" w:cs="Times New Roman"/>
          <w:i/>
          <w:noProof/>
          <w:position w:val="6"/>
          <w:sz w:val="24"/>
          <w:szCs w:val="32"/>
        </w:rPr>
      </w:pPr>
    </w:p>
    <w:p w14:paraId="1A9EFCAB" w14:textId="77777777" w:rsidR="00967587" w:rsidRDefault="00967587" w:rsidP="00583F3E">
      <w:pPr>
        <w:widowControl/>
        <w:jc w:val="both"/>
        <w:rPr>
          <w:rFonts w:ascii="Times New Roman" w:eastAsia="Calibri" w:hAnsi="Times New Roman" w:cs="Times New Roman"/>
          <w:i/>
          <w:noProof/>
          <w:position w:val="6"/>
          <w:sz w:val="24"/>
          <w:szCs w:val="32"/>
        </w:rPr>
      </w:pPr>
    </w:p>
    <w:p w14:paraId="604FEE95" w14:textId="77777777" w:rsidR="00967587" w:rsidRDefault="00967587" w:rsidP="00583F3E">
      <w:pPr>
        <w:widowControl/>
        <w:jc w:val="both"/>
        <w:rPr>
          <w:rFonts w:ascii="Times New Roman" w:eastAsia="Calibri" w:hAnsi="Times New Roman" w:cs="Times New Roman"/>
          <w:i/>
          <w:noProof/>
          <w:position w:val="6"/>
          <w:sz w:val="24"/>
          <w:szCs w:val="32"/>
        </w:rPr>
      </w:pPr>
    </w:p>
    <w:p w14:paraId="7580A863" w14:textId="77777777" w:rsidR="00967587" w:rsidRDefault="00967587" w:rsidP="00583F3E">
      <w:pPr>
        <w:widowControl/>
        <w:jc w:val="both"/>
        <w:rPr>
          <w:rFonts w:ascii="Times New Roman" w:eastAsia="Calibri" w:hAnsi="Times New Roman" w:cs="Times New Roman"/>
          <w:i/>
          <w:noProof/>
          <w:position w:val="6"/>
          <w:sz w:val="24"/>
          <w:szCs w:val="32"/>
        </w:rPr>
      </w:pPr>
    </w:p>
    <w:p w14:paraId="63C8CB22" w14:textId="77777777" w:rsidR="00967587" w:rsidRDefault="00967587" w:rsidP="00583F3E">
      <w:pPr>
        <w:widowControl/>
        <w:jc w:val="both"/>
        <w:rPr>
          <w:rFonts w:ascii="Times New Roman" w:eastAsia="Calibri" w:hAnsi="Times New Roman" w:cs="Times New Roman"/>
          <w:i/>
          <w:noProof/>
          <w:position w:val="6"/>
          <w:sz w:val="24"/>
          <w:szCs w:val="32"/>
        </w:rPr>
      </w:pPr>
    </w:p>
    <w:p w14:paraId="2925CA38" w14:textId="77777777" w:rsidR="00967587" w:rsidRPr="00583F3E" w:rsidRDefault="00967587" w:rsidP="00583F3E">
      <w:pPr>
        <w:widowControl/>
        <w:jc w:val="both"/>
        <w:rPr>
          <w:rFonts w:ascii="Times New Roman" w:eastAsia="Calibri" w:hAnsi="Times New Roman" w:cs="Times New Roman"/>
          <w:i/>
          <w:noProof/>
          <w:position w:val="6"/>
          <w:sz w:val="24"/>
          <w:szCs w:val="32"/>
        </w:rPr>
      </w:pPr>
    </w:p>
    <w:p w14:paraId="29CB8B48"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Šie norādījumi neatspoguļo Komisijas oficiālo nostāju un nav juridiski saistoši. Taču šo norādījumu mērķis ir izskaidrot ES ETS direktīvā un </w:t>
      </w:r>
      <w:r>
        <w:rPr>
          <w:rFonts w:ascii="Times New Roman" w:hAnsi="Times New Roman"/>
          <w:i/>
        </w:rPr>
        <w:t>FAR</w:t>
      </w:r>
      <w:r>
        <w:rPr>
          <w:rFonts w:ascii="Times New Roman" w:hAnsi="Times New Roman"/>
        </w:rPr>
        <w:t xml:space="preserve"> noteiktās prasības, un tie ir nepieciešami, lai varētu izprast šos juridiski saistošos noteikumus.</w:t>
      </w:r>
    </w:p>
    <w:p w14:paraId="00AB00D5" w14:textId="77777777" w:rsidR="00583F3E" w:rsidRPr="00583F3E" w:rsidRDefault="00583F3E" w:rsidP="00583F3E">
      <w:pPr>
        <w:widowControl/>
        <w:jc w:val="both"/>
        <w:rPr>
          <w:rFonts w:ascii="Times New Roman" w:hAnsi="Times New Roman" w:cs="Times New Roman"/>
          <w:noProof/>
          <w:position w:val="6"/>
          <w:sz w:val="24"/>
        </w:rPr>
      </w:pPr>
      <w:r>
        <w:br w:type="page"/>
      </w:r>
    </w:p>
    <w:p w14:paraId="3B4B9D48" w14:textId="77777777" w:rsidR="00583F3E" w:rsidRPr="00583F3E" w:rsidRDefault="00583F3E" w:rsidP="00583F3E">
      <w:pPr>
        <w:widowControl/>
        <w:jc w:val="both"/>
        <w:rPr>
          <w:rFonts w:ascii="Times New Roman" w:hAnsi="Times New Roman" w:cs="Times New Roman"/>
          <w:noProof/>
          <w:position w:val="6"/>
          <w:sz w:val="24"/>
        </w:rPr>
      </w:pPr>
    </w:p>
    <w:p w14:paraId="5EDDABF2" w14:textId="77777777" w:rsidR="00583F3E" w:rsidRDefault="00583F3E" w:rsidP="00583F3E">
      <w:pPr>
        <w:pStyle w:val="Heading1"/>
        <w:widowControl/>
        <w:spacing w:before="0"/>
        <w:ind w:left="0" w:firstLine="0"/>
        <w:jc w:val="both"/>
        <w:rPr>
          <w:rFonts w:ascii="Times New Roman" w:hAnsi="Times New Roman" w:cs="Times New Roman"/>
          <w:noProof/>
          <w:position w:val="6"/>
          <w:szCs w:val="40"/>
        </w:rPr>
      </w:pPr>
      <w:bookmarkStart w:id="0" w:name="_Toc31207917"/>
      <w:r>
        <w:rPr>
          <w:rFonts w:ascii="Times New Roman" w:hAnsi="Times New Roman"/>
          <w:szCs w:val="40"/>
        </w:rPr>
        <w:t>Satura rādītājs</w:t>
      </w:r>
      <w:bookmarkEnd w:id="0"/>
    </w:p>
    <w:p w14:paraId="0014A5A4" w14:textId="332321F3" w:rsidR="00FA5AF6" w:rsidRPr="004E1727" w:rsidRDefault="00FA5AF6" w:rsidP="004E1727">
      <w:pPr>
        <w:pStyle w:val="Heading1"/>
        <w:spacing w:before="0"/>
        <w:ind w:left="0" w:firstLine="0"/>
        <w:jc w:val="both"/>
        <w:rPr>
          <w:rFonts w:ascii="Times New Roman" w:hAnsi="Times New Roman" w:cs="Times New Roman"/>
          <w:b w:val="0"/>
          <w:bCs w:val="0"/>
          <w:noProof/>
          <w:position w:val="6"/>
          <w:sz w:val="24"/>
          <w:szCs w:val="24"/>
        </w:rPr>
      </w:pPr>
    </w:p>
    <w:sdt>
      <w:sdtPr>
        <w:rPr>
          <w:rFonts w:ascii="Times New Roman" w:eastAsiaTheme="minorHAnsi" w:hAnsi="Times New Roman" w:cs="Times New Roman"/>
          <w:color w:val="auto"/>
          <w:sz w:val="24"/>
          <w:szCs w:val="24"/>
          <w:lang w:val="lv-LV"/>
        </w:rPr>
        <w:id w:val="582417533"/>
        <w:docPartObj>
          <w:docPartGallery w:val="Table of Contents"/>
          <w:docPartUnique/>
        </w:docPartObj>
      </w:sdtPr>
      <w:sdtEndPr>
        <w:rPr>
          <w:b/>
          <w:bCs/>
          <w:noProof/>
        </w:rPr>
      </w:sdtEndPr>
      <w:sdtContent>
        <w:p w14:paraId="039DCA50" w14:textId="18E528B8" w:rsidR="00FA5AF6" w:rsidRPr="004E1727" w:rsidRDefault="00FA5AF6" w:rsidP="004E1727">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lang w:eastAsia="lv-LV"/>
            </w:rPr>
          </w:pPr>
          <w:r w:rsidRPr="004E1727">
            <w:rPr>
              <w:rFonts w:ascii="Times New Roman" w:hAnsi="Times New Roman" w:cs="Times New Roman"/>
              <w:color w:val="auto"/>
              <w:sz w:val="24"/>
              <w:szCs w:val="24"/>
            </w:rPr>
            <w:fldChar w:fldCharType="begin"/>
          </w:r>
          <w:r w:rsidRPr="004E1727">
            <w:rPr>
              <w:rFonts w:ascii="Times New Roman" w:hAnsi="Times New Roman" w:cs="Times New Roman"/>
              <w:color w:val="auto"/>
              <w:sz w:val="24"/>
              <w:szCs w:val="24"/>
            </w:rPr>
            <w:instrText xml:space="preserve"> TOC \o "1-3" \h \z \u </w:instrText>
          </w:r>
          <w:r w:rsidRPr="004E1727">
            <w:rPr>
              <w:rFonts w:ascii="Times New Roman" w:hAnsi="Times New Roman" w:cs="Times New Roman"/>
              <w:color w:val="auto"/>
              <w:sz w:val="24"/>
              <w:szCs w:val="24"/>
            </w:rPr>
            <w:fldChar w:fldCharType="separate"/>
          </w:r>
        </w:p>
        <w:p w14:paraId="272B1639" w14:textId="2212E1F8" w:rsidR="00FA5AF6" w:rsidRPr="004E1727" w:rsidRDefault="009E734E" w:rsidP="004E1727">
          <w:pPr>
            <w:pStyle w:val="TOC1"/>
            <w:tabs>
              <w:tab w:val="right" w:leader="dot" w:pos="9062"/>
            </w:tabs>
            <w:ind w:left="0" w:firstLine="0"/>
            <w:jc w:val="both"/>
            <w:rPr>
              <w:rFonts w:ascii="Times New Roman" w:eastAsiaTheme="minorEastAsia" w:hAnsi="Times New Roman" w:cs="Times New Roman"/>
              <w:noProof/>
              <w:lang w:eastAsia="lv-LV"/>
            </w:rPr>
          </w:pPr>
          <w:hyperlink w:anchor="_Toc31207918" w:history="1">
            <w:r w:rsidR="00FA5AF6" w:rsidRPr="004E1727">
              <w:rPr>
                <w:rStyle w:val="Hyperlink"/>
                <w:rFonts w:ascii="Times New Roman" w:hAnsi="Times New Roman" w:cs="Times New Roman"/>
                <w:noProof/>
                <w:color w:val="auto"/>
              </w:rPr>
              <w:t>1. Šā norādījumu dokumenta darbības joma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_Toc31207918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w:t>
            </w:r>
            <w:r w:rsidR="00FA5AF6" w:rsidRPr="004E1727">
              <w:rPr>
                <w:rFonts w:ascii="Times New Roman" w:hAnsi="Times New Roman" w:cs="Times New Roman"/>
                <w:noProof/>
                <w:webHidden/>
              </w:rPr>
              <w:fldChar w:fldCharType="end"/>
            </w:r>
          </w:hyperlink>
        </w:p>
        <w:p w14:paraId="3B0047B9" w14:textId="6F1E6B3E" w:rsidR="00FA5AF6" w:rsidRPr="004E1727" w:rsidRDefault="009E734E" w:rsidP="004E1727">
          <w:pPr>
            <w:pStyle w:val="TOC1"/>
            <w:tabs>
              <w:tab w:val="right" w:leader="dot" w:pos="9062"/>
            </w:tabs>
            <w:ind w:left="0" w:firstLine="0"/>
            <w:jc w:val="both"/>
            <w:rPr>
              <w:rFonts w:ascii="Times New Roman" w:eastAsiaTheme="minorEastAsia" w:hAnsi="Times New Roman" w:cs="Times New Roman"/>
              <w:noProof/>
              <w:lang w:eastAsia="lv-LV"/>
            </w:rPr>
          </w:pPr>
          <w:hyperlink w:anchor="_Toc31207920" w:history="1">
            <w:r w:rsidR="00FA5AF6" w:rsidRPr="004E1727">
              <w:rPr>
                <w:rStyle w:val="Hyperlink"/>
                <w:rFonts w:ascii="Times New Roman" w:hAnsi="Times New Roman" w:cs="Times New Roman"/>
                <w:noProof/>
                <w:color w:val="auto"/>
              </w:rPr>
              <w:t>2. Emisijas kvotu piešķiršanas pieeju pārskats</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_Toc31207920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4</w:t>
            </w:r>
            <w:r w:rsidR="00FA5AF6" w:rsidRPr="004E1727">
              <w:rPr>
                <w:rFonts w:ascii="Times New Roman" w:hAnsi="Times New Roman" w:cs="Times New Roman"/>
                <w:noProof/>
                <w:webHidden/>
              </w:rPr>
              <w:fldChar w:fldCharType="end"/>
            </w:r>
          </w:hyperlink>
        </w:p>
        <w:p w14:paraId="14CC54D5" w14:textId="015B7D4A"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21" w:history="1">
            <w:r w:rsidR="00FA5AF6" w:rsidRPr="004E1727">
              <w:rPr>
                <w:rStyle w:val="Hyperlink"/>
                <w:rFonts w:ascii="Times New Roman" w:hAnsi="Times New Roman" w:cs="Times New Roman"/>
                <w:noProof/>
                <w:color w:val="auto"/>
              </w:rPr>
              <w:t>2.1. Kad izmantot katru no iekārtas līmeņa kvotu piešķiršanas pieejām?</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_Toc31207921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4</w:t>
            </w:r>
            <w:r w:rsidR="00FA5AF6" w:rsidRPr="004E1727">
              <w:rPr>
                <w:rFonts w:ascii="Times New Roman" w:hAnsi="Times New Roman" w:cs="Times New Roman"/>
                <w:noProof/>
                <w:webHidden/>
              </w:rPr>
              <w:fldChar w:fldCharType="end"/>
            </w:r>
          </w:hyperlink>
        </w:p>
        <w:p w14:paraId="7DDF33EF" w14:textId="64B4B396"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22" w:history="1">
            <w:r w:rsidR="00FA5AF6" w:rsidRPr="004E1727">
              <w:rPr>
                <w:rStyle w:val="Hyperlink"/>
                <w:rFonts w:ascii="Times New Roman" w:hAnsi="Times New Roman" w:cs="Times New Roman"/>
                <w:noProof/>
                <w:color w:val="auto"/>
              </w:rPr>
              <w:t>2.2. Oglekļa emisiju pārvirzes statusa ietekme uz kvotu piešķiršanu (apakš-)iekārtas līmenī</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_Toc31207922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8</w:t>
            </w:r>
            <w:r w:rsidR="00FA5AF6" w:rsidRPr="004E1727">
              <w:rPr>
                <w:rFonts w:ascii="Times New Roman" w:hAnsi="Times New Roman" w:cs="Times New Roman"/>
                <w:noProof/>
                <w:webHidden/>
              </w:rPr>
              <w:fldChar w:fldCharType="end"/>
            </w:r>
          </w:hyperlink>
        </w:p>
        <w:p w14:paraId="11BF81CB" w14:textId="64D96B29" w:rsidR="00FA5AF6" w:rsidRPr="004E1727" w:rsidRDefault="009E734E" w:rsidP="004E1727">
          <w:pPr>
            <w:pStyle w:val="TOC1"/>
            <w:tabs>
              <w:tab w:val="right" w:leader="dot" w:pos="9062"/>
            </w:tabs>
            <w:ind w:left="0" w:firstLine="0"/>
            <w:jc w:val="both"/>
            <w:rPr>
              <w:rFonts w:ascii="Times New Roman" w:eastAsiaTheme="minorEastAsia" w:hAnsi="Times New Roman" w:cs="Times New Roman"/>
              <w:noProof/>
              <w:lang w:eastAsia="lv-LV"/>
            </w:rPr>
          </w:pPr>
          <w:hyperlink w:anchor="_Toc31207928" w:history="1">
            <w:r w:rsidR="00FA5AF6" w:rsidRPr="004E1727">
              <w:rPr>
                <w:rStyle w:val="Hyperlink"/>
                <w:rFonts w:ascii="Times New Roman" w:hAnsi="Times New Roman" w:cs="Times New Roman"/>
                <w:noProof/>
                <w:color w:val="auto"/>
              </w:rPr>
              <w:t>3. Iekārtu sašķelšana apakšiekārtās</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_Toc31207928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15</w:t>
            </w:r>
            <w:r w:rsidR="00FA5AF6" w:rsidRPr="004E1727">
              <w:rPr>
                <w:rFonts w:ascii="Times New Roman" w:hAnsi="Times New Roman" w:cs="Times New Roman"/>
                <w:noProof/>
                <w:webHidden/>
              </w:rPr>
              <w:fldChar w:fldCharType="end"/>
            </w:r>
          </w:hyperlink>
        </w:p>
        <w:p w14:paraId="7AE2FE04" w14:textId="2B6C5A2D"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29" w:history="1">
            <w:r w:rsidR="00FA5AF6" w:rsidRPr="004E1727">
              <w:rPr>
                <w:rStyle w:val="Hyperlink"/>
                <w:rFonts w:ascii="Times New Roman" w:hAnsi="Times New Roman" w:cs="Times New Roman"/>
                <w:noProof/>
                <w:color w:val="auto"/>
              </w:rPr>
              <w:t>3.1. Produkta līmeņatzīmes apakšiekārtu noteikšana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_Toc31207929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15</w:t>
            </w:r>
            <w:r w:rsidR="00FA5AF6" w:rsidRPr="004E1727">
              <w:rPr>
                <w:rFonts w:ascii="Times New Roman" w:hAnsi="Times New Roman" w:cs="Times New Roman"/>
                <w:noProof/>
                <w:webHidden/>
              </w:rPr>
              <w:fldChar w:fldCharType="end"/>
            </w:r>
          </w:hyperlink>
        </w:p>
        <w:p w14:paraId="08639828" w14:textId="6FE3E307"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30" w:history="1">
            <w:r w:rsidR="00FA5AF6" w:rsidRPr="004E1727">
              <w:rPr>
                <w:rStyle w:val="Hyperlink"/>
                <w:rFonts w:ascii="Times New Roman" w:hAnsi="Times New Roman" w:cs="Times New Roman"/>
                <w:noProof/>
                <w:color w:val="auto"/>
              </w:rPr>
              <w:t>3.2. Siltuma līmeņatzīmes apakšiekārtu noteikšana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_Toc31207930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17</w:t>
            </w:r>
            <w:r w:rsidR="00FA5AF6" w:rsidRPr="004E1727">
              <w:rPr>
                <w:rFonts w:ascii="Times New Roman" w:hAnsi="Times New Roman" w:cs="Times New Roman"/>
                <w:noProof/>
                <w:webHidden/>
              </w:rPr>
              <w:fldChar w:fldCharType="end"/>
            </w:r>
          </w:hyperlink>
        </w:p>
        <w:p w14:paraId="6FD0F565" w14:textId="5418934C"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32" w:history="1">
            <w:r w:rsidR="00FA5AF6" w:rsidRPr="004E1727">
              <w:rPr>
                <w:rStyle w:val="Hyperlink"/>
                <w:rFonts w:ascii="Times New Roman" w:hAnsi="Times New Roman" w:cs="Times New Roman"/>
                <w:noProof/>
                <w:color w:val="auto"/>
              </w:rPr>
              <w:t>3.3. Centralizētās siltumapgādes apakšiekārtas noteikšana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_Toc31207932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19</w:t>
            </w:r>
            <w:r w:rsidR="00FA5AF6" w:rsidRPr="004E1727">
              <w:rPr>
                <w:rFonts w:ascii="Times New Roman" w:hAnsi="Times New Roman" w:cs="Times New Roman"/>
                <w:noProof/>
                <w:webHidden/>
              </w:rPr>
              <w:fldChar w:fldCharType="end"/>
            </w:r>
          </w:hyperlink>
        </w:p>
        <w:p w14:paraId="3E630CBE" w14:textId="26AACE9E"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33" w:history="1">
            <w:r w:rsidR="00FA5AF6" w:rsidRPr="004E1727">
              <w:rPr>
                <w:rStyle w:val="Hyperlink"/>
                <w:rFonts w:ascii="Times New Roman" w:hAnsi="Times New Roman" w:cs="Times New Roman"/>
                <w:noProof/>
                <w:color w:val="auto"/>
              </w:rPr>
              <w:t>3.4. Kurināmā līmeņatzīmes apakšiekārtu noteikšana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_Toc31207933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20</w:t>
            </w:r>
            <w:r w:rsidR="00FA5AF6" w:rsidRPr="004E1727">
              <w:rPr>
                <w:rFonts w:ascii="Times New Roman" w:hAnsi="Times New Roman" w:cs="Times New Roman"/>
                <w:noProof/>
                <w:webHidden/>
              </w:rPr>
              <w:fldChar w:fldCharType="end"/>
            </w:r>
          </w:hyperlink>
        </w:p>
        <w:p w14:paraId="78ECA1F9" w14:textId="089783E6"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34" w:history="1">
            <w:r w:rsidR="00FA5AF6" w:rsidRPr="004E1727">
              <w:rPr>
                <w:rStyle w:val="Hyperlink"/>
                <w:rFonts w:ascii="Times New Roman" w:hAnsi="Times New Roman" w:cs="Times New Roman"/>
                <w:noProof/>
                <w:color w:val="auto"/>
              </w:rPr>
              <w:t>3.5. Procesa emisiju apakšiekārtu noteikšana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_Toc31207934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21</w:t>
            </w:r>
            <w:r w:rsidR="00FA5AF6" w:rsidRPr="004E1727">
              <w:rPr>
                <w:rFonts w:ascii="Times New Roman" w:hAnsi="Times New Roman" w:cs="Times New Roman"/>
                <w:noProof/>
                <w:webHidden/>
              </w:rPr>
              <w:fldChar w:fldCharType="end"/>
            </w:r>
          </w:hyperlink>
        </w:p>
        <w:p w14:paraId="290EBC34" w14:textId="1A7F9D03" w:rsidR="00FA5AF6" w:rsidRPr="004E1727" w:rsidRDefault="009E734E" w:rsidP="004E1727">
          <w:pPr>
            <w:pStyle w:val="TOC1"/>
            <w:tabs>
              <w:tab w:val="right" w:leader="dot" w:pos="9062"/>
            </w:tabs>
            <w:ind w:left="0" w:firstLine="0"/>
            <w:jc w:val="both"/>
            <w:rPr>
              <w:rFonts w:ascii="Times New Roman" w:eastAsiaTheme="minorEastAsia" w:hAnsi="Times New Roman" w:cs="Times New Roman"/>
              <w:noProof/>
              <w:lang w:eastAsia="lv-LV"/>
            </w:rPr>
          </w:pPr>
          <w:hyperlink w:anchor="_Toc31207935" w:history="1">
            <w:r w:rsidR="00FA5AF6" w:rsidRPr="004E1727">
              <w:rPr>
                <w:rStyle w:val="Hyperlink"/>
                <w:rFonts w:ascii="Times New Roman" w:hAnsi="Times New Roman" w:cs="Times New Roman"/>
                <w:noProof/>
                <w:color w:val="auto"/>
              </w:rPr>
              <w:t>4. Piešķiramo emisijas kvotu noteikšana katrai apakšiekārtai</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_Toc31207935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23</w:t>
            </w:r>
            <w:r w:rsidR="00FA5AF6" w:rsidRPr="004E1727">
              <w:rPr>
                <w:rFonts w:ascii="Times New Roman" w:hAnsi="Times New Roman" w:cs="Times New Roman"/>
                <w:noProof/>
                <w:webHidden/>
              </w:rPr>
              <w:fldChar w:fldCharType="end"/>
            </w:r>
          </w:hyperlink>
        </w:p>
        <w:p w14:paraId="3556DC5A" w14:textId="54A2FADD"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36" w:history="1">
            <w:r w:rsidR="00FA5AF6" w:rsidRPr="004E1727">
              <w:rPr>
                <w:rStyle w:val="Hyperlink"/>
                <w:rFonts w:ascii="Times New Roman" w:hAnsi="Times New Roman" w:cs="Times New Roman"/>
                <w:noProof/>
                <w:color w:val="auto"/>
              </w:rPr>
              <w:t>4.1. Produkta līmeņatzīmes apakšiekārta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_Toc31207936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23</w:t>
            </w:r>
            <w:r w:rsidR="00FA5AF6" w:rsidRPr="004E1727">
              <w:rPr>
                <w:rFonts w:ascii="Times New Roman" w:hAnsi="Times New Roman" w:cs="Times New Roman"/>
                <w:noProof/>
                <w:webHidden/>
              </w:rPr>
              <w:fldChar w:fldCharType="end"/>
            </w:r>
          </w:hyperlink>
        </w:p>
        <w:p w14:paraId="60502AC8" w14:textId="3E39EBA7"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37" w:history="1">
            <w:r w:rsidR="00FA5AF6" w:rsidRPr="004E1727">
              <w:rPr>
                <w:rStyle w:val="Hyperlink"/>
                <w:rFonts w:ascii="Times New Roman" w:hAnsi="Times New Roman" w:cs="Times New Roman"/>
                <w:noProof/>
                <w:color w:val="auto"/>
              </w:rPr>
              <w:t>4.2. Siltuma līmeņatzīmes apakšiekārta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_Toc31207937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26</w:t>
            </w:r>
            <w:r w:rsidR="00FA5AF6" w:rsidRPr="004E1727">
              <w:rPr>
                <w:rFonts w:ascii="Times New Roman" w:hAnsi="Times New Roman" w:cs="Times New Roman"/>
                <w:noProof/>
                <w:webHidden/>
              </w:rPr>
              <w:fldChar w:fldCharType="end"/>
            </w:r>
          </w:hyperlink>
        </w:p>
        <w:p w14:paraId="7E861C6F" w14:textId="53F6492E"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38" w:history="1">
            <w:r w:rsidR="00FA5AF6" w:rsidRPr="004E1727">
              <w:rPr>
                <w:rStyle w:val="Hyperlink"/>
                <w:rFonts w:ascii="Times New Roman" w:hAnsi="Times New Roman" w:cs="Times New Roman"/>
                <w:noProof/>
                <w:color w:val="auto"/>
              </w:rPr>
              <w:t>4.3. Centralizētās siltumapgādes apakšiekārta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_Toc31207938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28</w:t>
            </w:r>
            <w:r w:rsidR="00FA5AF6" w:rsidRPr="004E1727">
              <w:rPr>
                <w:rFonts w:ascii="Times New Roman" w:hAnsi="Times New Roman" w:cs="Times New Roman"/>
                <w:noProof/>
                <w:webHidden/>
              </w:rPr>
              <w:fldChar w:fldCharType="end"/>
            </w:r>
          </w:hyperlink>
        </w:p>
        <w:p w14:paraId="79FDD019" w14:textId="1F0C0CB4"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39" w:history="1">
            <w:r w:rsidR="00FA5AF6" w:rsidRPr="004E1727">
              <w:rPr>
                <w:rStyle w:val="Hyperlink"/>
                <w:rFonts w:ascii="Times New Roman" w:hAnsi="Times New Roman" w:cs="Times New Roman"/>
                <w:noProof/>
                <w:color w:val="auto"/>
              </w:rPr>
              <w:t>4.4. Kurināmā līmeņatzīmes apakšiekārta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_Toc31207939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29</w:t>
            </w:r>
            <w:r w:rsidR="00FA5AF6" w:rsidRPr="004E1727">
              <w:rPr>
                <w:rFonts w:ascii="Times New Roman" w:hAnsi="Times New Roman" w:cs="Times New Roman"/>
                <w:noProof/>
                <w:webHidden/>
              </w:rPr>
              <w:fldChar w:fldCharType="end"/>
            </w:r>
          </w:hyperlink>
        </w:p>
        <w:p w14:paraId="19254000" w14:textId="0AD6ADC5"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40" w:history="1">
            <w:r w:rsidR="00FA5AF6" w:rsidRPr="004E1727">
              <w:rPr>
                <w:rStyle w:val="Hyperlink"/>
                <w:rFonts w:ascii="Times New Roman" w:hAnsi="Times New Roman" w:cs="Times New Roman"/>
                <w:noProof/>
                <w:color w:val="auto"/>
              </w:rPr>
              <w:t>4.5. Procesa emisiju apakšiekārta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_Toc31207940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30</w:t>
            </w:r>
            <w:r w:rsidR="00FA5AF6" w:rsidRPr="004E1727">
              <w:rPr>
                <w:rFonts w:ascii="Times New Roman" w:hAnsi="Times New Roman" w:cs="Times New Roman"/>
                <w:noProof/>
                <w:webHidden/>
              </w:rPr>
              <w:fldChar w:fldCharType="end"/>
            </w:r>
          </w:hyperlink>
        </w:p>
        <w:p w14:paraId="45150FA6" w14:textId="224F805D" w:rsidR="00FA5AF6" w:rsidRPr="004E1727" w:rsidRDefault="009E734E" w:rsidP="004E1727">
          <w:pPr>
            <w:pStyle w:val="TOC1"/>
            <w:tabs>
              <w:tab w:val="right" w:leader="dot" w:pos="9062"/>
            </w:tabs>
            <w:ind w:left="0" w:firstLine="0"/>
            <w:jc w:val="both"/>
            <w:rPr>
              <w:rFonts w:ascii="Times New Roman" w:eastAsiaTheme="minorEastAsia" w:hAnsi="Times New Roman" w:cs="Times New Roman"/>
              <w:noProof/>
              <w:lang w:eastAsia="lv-LV"/>
            </w:rPr>
          </w:pPr>
          <w:hyperlink w:anchor="_Toc31207941" w:history="1">
            <w:r w:rsidR="00FA5AF6" w:rsidRPr="004E1727">
              <w:rPr>
                <w:rStyle w:val="Hyperlink"/>
                <w:rFonts w:ascii="Times New Roman" w:hAnsi="Times New Roman" w:cs="Times New Roman"/>
                <w:noProof/>
                <w:color w:val="auto"/>
              </w:rPr>
              <w:t>5. Provizoriskais un galīgais piešķiramo emisijas kvotu apjoms vienai iekārtai</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_Toc31207941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32</w:t>
            </w:r>
            <w:r w:rsidR="00FA5AF6" w:rsidRPr="004E1727">
              <w:rPr>
                <w:rFonts w:ascii="Times New Roman" w:hAnsi="Times New Roman" w:cs="Times New Roman"/>
                <w:noProof/>
                <w:webHidden/>
              </w:rPr>
              <w:fldChar w:fldCharType="end"/>
            </w:r>
          </w:hyperlink>
        </w:p>
        <w:p w14:paraId="5406305D" w14:textId="64A71FA8"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42" w:history="1">
            <w:r w:rsidR="00FA5AF6" w:rsidRPr="004E1727">
              <w:rPr>
                <w:rStyle w:val="Hyperlink"/>
                <w:rFonts w:ascii="Times New Roman" w:hAnsi="Times New Roman" w:cs="Times New Roman"/>
                <w:noProof/>
                <w:color w:val="auto"/>
              </w:rPr>
              <w:t>5.1. Provizoriskais piešķiramo kvotu apjoms</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_Toc31207942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32</w:t>
            </w:r>
            <w:r w:rsidR="00FA5AF6" w:rsidRPr="004E1727">
              <w:rPr>
                <w:rFonts w:ascii="Times New Roman" w:hAnsi="Times New Roman" w:cs="Times New Roman"/>
                <w:noProof/>
                <w:webHidden/>
              </w:rPr>
              <w:fldChar w:fldCharType="end"/>
            </w:r>
          </w:hyperlink>
        </w:p>
        <w:p w14:paraId="0C7A508E" w14:textId="0A5467EF"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43" w:history="1">
            <w:r w:rsidR="00FA5AF6" w:rsidRPr="004E1727">
              <w:rPr>
                <w:rStyle w:val="Hyperlink"/>
                <w:rFonts w:ascii="Times New Roman" w:hAnsi="Times New Roman" w:cs="Times New Roman"/>
                <w:noProof/>
                <w:color w:val="auto"/>
              </w:rPr>
              <w:t>5.2. Galīgais piešķiramo kvotu apjoms</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_Toc31207943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32</w:t>
            </w:r>
            <w:r w:rsidR="00FA5AF6" w:rsidRPr="004E1727">
              <w:rPr>
                <w:rFonts w:ascii="Times New Roman" w:hAnsi="Times New Roman" w:cs="Times New Roman"/>
                <w:noProof/>
                <w:webHidden/>
              </w:rPr>
              <w:fldChar w:fldCharType="end"/>
            </w:r>
          </w:hyperlink>
        </w:p>
        <w:p w14:paraId="4B711939" w14:textId="51676B03" w:rsidR="00FA5AF6" w:rsidRPr="004E1727" w:rsidRDefault="009E734E" w:rsidP="004E1727">
          <w:pPr>
            <w:pStyle w:val="TOC1"/>
            <w:tabs>
              <w:tab w:val="right" w:leader="dot" w:pos="9062"/>
            </w:tabs>
            <w:ind w:left="0" w:firstLine="0"/>
            <w:jc w:val="both"/>
            <w:rPr>
              <w:rFonts w:ascii="Times New Roman" w:eastAsiaTheme="minorEastAsia" w:hAnsi="Times New Roman" w:cs="Times New Roman"/>
              <w:noProof/>
              <w:lang w:eastAsia="lv-LV"/>
            </w:rPr>
          </w:pPr>
          <w:hyperlink w:anchor="_Toc31207944" w:history="1">
            <w:r w:rsidR="00FA5AF6" w:rsidRPr="004E1727">
              <w:rPr>
                <w:rStyle w:val="Hyperlink"/>
                <w:rFonts w:ascii="Times New Roman" w:hAnsi="Times New Roman" w:cs="Times New Roman"/>
                <w:noProof/>
                <w:color w:val="auto"/>
              </w:rPr>
              <w:t>6. Vēsturiskā darbības līmeņa noteikšana</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_Toc31207944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34</w:t>
            </w:r>
            <w:r w:rsidR="00FA5AF6" w:rsidRPr="004E1727">
              <w:rPr>
                <w:rFonts w:ascii="Times New Roman" w:hAnsi="Times New Roman" w:cs="Times New Roman"/>
                <w:noProof/>
                <w:webHidden/>
              </w:rPr>
              <w:fldChar w:fldCharType="end"/>
            </w:r>
          </w:hyperlink>
        </w:p>
        <w:p w14:paraId="6D8E293C" w14:textId="7C28BC0E"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45" w:history="1">
            <w:r w:rsidR="00FA5AF6" w:rsidRPr="004E1727">
              <w:rPr>
                <w:rStyle w:val="Hyperlink"/>
                <w:rFonts w:ascii="Times New Roman" w:hAnsi="Times New Roman" w:cs="Times New Roman"/>
                <w:noProof/>
                <w:color w:val="auto"/>
              </w:rPr>
              <w:t>6.1. Noklusējuma pieeja vēsturiskā darbības līmeņa noteikšanai</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_Toc31207945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34</w:t>
            </w:r>
            <w:r w:rsidR="00FA5AF6" w:rsidRPr="004E1727">
              <w:rPr>
                <w:rFonts w:ascii="Times New Roman" w:hAnsi="Times New Roman" w:cs="Times New Roman"/>
                <w:noProof/>
                <w:webHidden/>
              </w:rPr>
              <w:fldChar w:fldCharType="end"/>
            </w:r>
          </w:hyperlink>
        </w:p>
        <w:p w14:paraId="01D0C782" w14:textId="47C411A8"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48" w:history="1">
            <w:r w:rsidR="00FA5AF6" w:rsidRPr="004E1727">
              <w:rPr>
                <w:rStyle w:val="Hyperlink"/>
                <w:rFonts w:ascii="Times New Roman" w:hAnsi="Times New Roman" w:cs="Times New Roman"/>
                <w:noProof/>
                <w:color w:val="auto"/>
              </w:rPr>
              <w:t>6.2. Vēsturiskā darbības līmeņa noteikšana, ja (apakš-)iekārta nav bijusi ekspluatācijā visu bāzlīnijas periodu</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_Toc31207948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35</w:t>
            </w:r>
            <w:r w:rsidR="00FA5AF6" w:rsidRPr="004E1727">
              <w:rPr>
                <w:rFonts w:ascii="Times New Roman" w:hAnsi="Times New Roman" w:cs="Times New Roman"/>
                <w:noProof/>
                <w:webHidden/>
              </w:rPr>
              <w:fldChar w:fldCharType="end"/>
            </w:r>
          </w:hyperlink>
        </w:p>
        <w:p w14:paraId="41826F36" w14:textId="1B3E4716" w:rsidR="00FA5AF6" w:rsidRPr="004E1727" w:rsidRDefault="009E734E" w:rsidP="004E1727">
          <w:pPr>
            <w:pStyle w:val="TOC1"/>
            <w:tabs>
              <w:tab w:val="right" w:leader="dot" w:pos="9062"/>
            </w:tabs>
            <w:ind w:left="0" w:firstLine="0"/>
            <w:jc w:val="both"/>
            <w:rPr>
              <w:rFonts w:ascii="Times New Roman" w:eastAsiaTheme="minorEastAsia" w:hAnsi="Times New Roman" w:cs="Times New Roman"/>
              <w:noProof/>
              <w:lang w:eastAsia="lv-LV"/>
            </w:rPr>
          </w:pPr>
          <w:hyperlink w:anchor="_Toc31207949" w:history="1">
            <w:r w:rsidR="00FA5AF6" w:rsidRPr="004E1727">
              <w:rPr>
                <w:rStyle w:val="Hyperlink"/>
                <w:rFonts w:ascii="Times New Roman" w:hAnsi="Times New Roman" w:cs="Times New Roman"/>
                <w:noProof/>
                <w:color w:val="auto"/>
              </w:rPr>
              <w:t>7. Papildu piemēri</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_Toc31207949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39</w:t>
            </w:r>
            <w:r w:rsidR="00FA5AF6" w:rsidRPr="004E1727">
              <w:rPr>
                <w:rFonts w:ascii="Times New Roman" w:hAnsi="Times New Roman" w:cs="Times New Roman"/>
                <w:noProof/>
                <w:webHidden/>
              </w:rPr>
              <w:fldChar w:fldCharType="end"/>
            </w:r>
          </w:hyperlink>
        </w:p>
        <w:p w14:paraId="43F1522C" w14:textId="6C3461AE"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50" w:history="1">
            <w:r w:rsidR="00FA5AF6" w:rsidRPr="004E1727">
              <w:rPr>
                <w:rStyle w:val="Hyperlink"/>
                <w:rFonts w:ascii="Times New Roman" w:hAnsi="Times New Roman" w:cs="Times New Roman"/>
                <w:noProof/>
                <w:color w:val="auto"/>
              </w:rPr>
              <w:t>7.1. 1. piemērs. Iekārta bez produkta līmeņatzīmēm un ar dažādiem oglekļa emisiju pārvirzes statusiem</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_Toc31207950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39</w:t>
            </w:r>
            <w:r w:rsidR="00FA5AF6" w:rsidRPr="004E1727">
              <w:rPr>
                <w:rFonts w:ascii="Times New Roman" w:hAnsi="Times New Roman" w:cs="Times New Roman"/>
                <w:noProof/>
                <w:webHidden/>
              </w:rPr>
              <w:fldChar w:fldCharType="end"/>
            </w:r>
          </w:hyperlink>
        </w:p>
        <w:p w14:paraId="1BEA2D84" w14:textId="7F93B3CC"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51" w:history="1">
            <w:r w:rsidR="00FA5AF6" w:rsidRPr="004E1727">
              <w:rPr>
                <w:rStyle w:val="Hyperlink"/>
                <w:rFonts w:ascii="Times New Roman" w:hAnsi="Times New Roman" w:cs="Times New Roman"/>
                <w:noProof/>
                <w:color w:val="auto"/>
              </w:rPr>
              <w:t>7.2. 2. piemērs. Koģenerācija (</w:t>
            </w:r>
            <w:r w:rsidR="00FA5AF6" w:rsidRPr="004E1727">
              <w:rPr>
                <w:rStyle w:val="Hyperlink"/>
                <w:rFonts w:ascii="Times New Roman" w:hAnsi="Times New Roman" w:cs="Times New Roman"/>
                <w:i/>
                <w:noProof/>
                <w:color w:val="auto"/>
              </w:rPr>
              <w:t>CHP</w:t>
            </w:r>
            <w:r w:rsidR="00FA5AF6" w:rsidRPr="004E1727">
              <w:rPr>
                <w:rStyle w:val="Hyperlink"/>
                <w:rFonts w:ascii="Times New Roman" w:hAnsi="Times New Roman" w:cs="Times New Roman"/>
                <w:noProof/>
                <w:color w:val="auto"/>
              </w:rPr>
              <w:t>)</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_Toc31207951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40</w:t>
            </w:r>
            <w:r w:rsidR="00FA5AF6" w:rsidRPr="004E1727">
              <w:rPr>
                <w:rFonts w:ascii="Times New Roman" w:hAnsi="Times New Roman" w:cs="Times New Roman"/>
                <w:noProof/>
                <w:webHidden/>
              </w:rPr>
              <w:fldChar w:fldCharType="end"/>
            </w:r>
          </w:hyperlink>
        </w:p>
        <w:p w14:paraId="01E0D808" w14:textId="003188C1" w:rsidR="00FA5AF6" w:rsidRPr="004E1727" w:rsidRDefault="009E734E" w:rsidP="004E1727">
          <w:pPr>
            <w:pStyle w:val="TOC2"/>
            <w:tabs>
              <w:tab w:val="right" w:leader="dot" w:pos="9062"/>
            </w:tabs>
            <w:ind w:left="284" w:firstLine="0"/>
            <w:jc w:val="both"/>
            <w:rPr>
              <w:rFonts w:ascii="Times New Roman" w:eastAsiaTheme="minorEastAsia" w:hAnsi="Times New Roman" w:cs="Times New Roman"/>
              <w:noProof/>
              <w:lang w:eastAsia="lv-LV"/>
            </w:rPr>
          </w:pPr>
          <w:hyperlink w:anchor="_Toc31207952" w:history="1">
            <w:r w:rsidR="00FA5AF6" w:rsidRPr="004E1727">
              <w:rPr>
                <w:rStyle w:val="Hyperlink"/>
                <w:rFonts w:ascii="Times New Roman" w:hAnsi="Times New Roman" w:cs="Times New Roman"/>
                <w:noProof/>
                <w:color w:val="auto"/>
              </w:rPr>
              <w:t>7.3. 3. piemērs. Kompleksais piemērs</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_Toc31207952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41</w:t>
            </w:r>
            <w:r w:rsidR="00FA5AF6" w:rsidRPr="004E1727">
              <w:rPr>
                <w:rFonts w:ascii="Times New Roman" w:hAnsi="Times New Roman" w:cs="Times New Roman"/>
                <w:noProof/>
                <w:webHidden/>
              </w:rPr>
              <w:fldChar w:fldCharType="end"/>
            </w:r>
          </w:hyperlink>
        </w:p>
        <w:p w14:paraId="29CC4B6D" w14:textId="4E26C3B5" w:rsidR="00FA5AF6" w:rsidRPr="004E1727" w:rsidRDefault="009E734E" w:rsidP="004E1727">
          <w:pPr>
            <w:pStyle w:val="TOC1"/>
            <w:tabs>
              <w:tab w:val="right" w:leader="dot" w:pos="9062"/>
            </w:tabs>
            <w:ind w:left="0" w:firstLine="0"/>
            <w:jc w:val="both"/>
            <w:rPr>
              <w:rFonts w:ascii="Times New Roman" w:eastAsiaTheme="minorEastAsia" w:hAnsi="Times New Roman" w:cs="Times New Roman"/>
              <w:noProof/>
              <w:lang w:eastAsia="lv-LV"/>
            </w:rPr>
          </w:pPr>
          <w:hyperlink w:anchor="_Toc31207953" w:history="1">
            <w:r w:rsidR="00FA5AF6" w:rsidRPr="004E1727">
              <w:rPr>
                <w:rStyle w:val="Hyperlink"/>
                <w:rFonts w:ascii="Times New Roman" w:hAnsi="Times New Roman" w:cs="Times New Roman"/>
                <w:noProof/>
                <w:color w:val="auto"/>
              </w:rPr>
              <w:t>A pielikums. Salīdzinājums ar 2011. gada Norādījumu dokumentu Nr. 2</w:t>
            </w:r>
            <w:r w:rsidR="00FA5AF6" w:rsidRPr="004E1727">
              <w:rPr>
                <w:rFonts w:ascii="Times New Roman" w:hAnsi="Times New Roman" w:cs="Times New Roman"/>
                <w:noProof/>
                <w:webHidden/>
              </w:rPr>
              <w:tab/>
            </w:r>
            <w:r w:rsidR="00FA5AF6" w:rsidRPr="004E1727">
              <w:rPr>
                <w:rFonts w:ascii="Times New Roman" w:hAnsi="Times New Roman" w:cs="Times New Roman"/>
                <w:noProof/>
                <w:webHidden/>
              </w:rPr>
              <w:fldChar w:fldCharType="begin"/>
            </w:r>
            <w:r w:rsidR="00FA5AF6" w:rsidRPr="004E1727">
              <w:rPr>
                <w:rFonts w:ascii="Times New Roman" w:hAnsi="Times New Roman" w:cs="Times New Roman"/>
                <w:noProof/>
                <w:webHidden/>
              </w:rPr>
              <w:instrText xml:space="preserve"> PAGEREF _Toc31207953 \h </w:instrText>
            </w:r>
            <w:r w:rsidR="00FA5AF6" w:rsidRPr="004E1727">
              <w:rPr>
                <w:rFonts w:ascii="Times New Roman" w:hAnsi="Times New Roman" w:cs="Times New Roman"/>
                <w:noProof/>
                <w:webHidden/>
              </w:rPr>
            </w:r>
            <w:r w:rsidR="00FA5AF6" w:rsidRPr="004E1727">
              <w:rPr>
                <w:rFonts w:ascii="Times New Roman" w:hAnsi="Times New Roman" w:cs="Times New Roman"/>
                <w:noProof/>
                <w:webHidden/>
              </w:rPr>
              <w:fldChar w:fldCharType="separate"/>
            </w:r>
            <w:r w:rsidR="003358A3">
              <w:rPr>
                <w:rFonts w:ascii="Times New Roman" w:hAnsi="Times New Roman" w:cs="Times New Roman"/>
                <w:noProof/>
                <w:webHidden/>
              </w:rPr>
              <w:t>48</w:t>
            </w:r>
            <w:r w:rsidR="00FA5AF6" w:rsidRPr="004E1727">
              <w:rPr>
                <w:rFonts w:ascii="Times New Roman" w:hAnsi="Times New Roman" w:cs="Times New Roman"/>
                <w:noProof/>
                <w:webHidden/>
              </w:rPr>
              <w:fldChar w:fldCharType="end"/>
            </w:r>
          </w:hyperlink>
        </w:p>
        <w:p w14:paraId="008C610E" w14:textId="1D7667FF" w:rsidR="00FA5AF6" w:rsidRPr="004E1727" w:rsidRDefault="00FA5AF6" w:rsidP="004E1727">
          <w:pPr>
            <w:jc w:val="both"/>
            <w:rPr>
              <w:rFonts w:ascii="Times New Roman" w:hAnsi="Times New Roman" w:cs="Times New Roman"/>
              <w:sz w:val="24"/>
              <w:szCs w:val="24"/>
            </w:rPr>
          </w:pPr>
          <w:r w:rsidRPr="004E1727">
            <w:rPr>
              <w:rFonts w:ascii="Times New Roman" w:hAnsi="Times New Roman" w:cs="Times New Roman"/>
              <w:b/>
              <w:bCs/>
              <w:noProof/>
              <w:sz w:val="24"/>
              <w:szCs w:val="24"/>
            </w:rPr>
            <w:fldChar w:fldCharType="end"/>
          </w:r>
        </w:p>
      </w:sdtContent>
    </w:sdt>
    <w:p w14:paraId="240F2479" w14:textId="77777777" w:rsidR="00FA5AF6" w:rsidRPr="00FA5AF6" w:rsidRDefault="00FA5AF6" w:rsidP="00583F3E">
      <w:pPr>
        <w:pStyle w:val="Heading1"/>
        <w:widowControl/>
        <w:spacing w:before="0"/>
        <w:ind w:left="0" w:firstLine="0"/>
        <w:jc w:val="both"/>
        <w:rPr>
          <w:rFonts w:ascii="Times New Roman" w:hAnsi="Times New Roman" w:cs="Times New Roman"/>
          <w:b w:val="0"/>
          <w:bCs w:val="0"/>
          <w:noProof/>
          <w:position w:val="6"/>
          <w:sz w:val="24"/>
          <w:szCs w:val="24"/>
        </w:rPr>
      </w:pPr>
    </w:p>
    <w:p w14:paraId="01B8A5D6" w14:textId="77777777" w:rsidR="00583F3E" w:rsidRPr="00583F3E" w:rsidRDefault="00583F3E" w:rsidP="00583F3E">
      <w:pPr>
        <w:widowControl/>
        <w:jc w:val="both"/>
        <w:rPr>
          <w:rFonts w:ascii="Times New Roman" w:hAnsi="Times New Roman" w:cs="Times New Roman"/>
          <w:noProof/>
          <w:position w:val="6"/>
          <w:sz w:val="24"/>
        </w:rPr>
      </w:pPr>
      <w:r>
        <w:br w:type="page"/>
      </w:r>
    </w:p>
    <w:p w14:paraId="23BEBB04" w14:textId="77777777" w:rsidR="00583F3E" w:rsidRPr="00583F3E" w:rsidRDefault="00583F3E" w:rsidP="00583F3E">
      <w:pPr>
        <w:widowControl/>
        <w:jc w:val="both"/>
        <w:rPr>
          <w:rFonts w:ascii="Times New Roman" w:hAnsi="Times New Roman" w:cs="Times New Roman"/>
          <w:noProof/>
          <w:position w:val="6"/>
          <w:sz w:val="24"/>
        </w:rPr>
      </w:pPr>
    </w:p>
    <w:p w14:paraId="67194BBD" w14:textId="77777777" w:rsidR="00583F3E" w:rsidRPr="00967587" w:rsidRDefault="00583F3E" w:rsidP="00583F3E">
      <w:pPr>
        <w:pStyle w:val="Heading1"/>
        <w:widowControl/>
        <w:tabs>
          <w:tab w:val="left" w:pos="553"/>
        </w:tabs>
        <w:spacing w:before="0"/>
        <w:ind w:left="0" w:firstLine="0"/>
        <w:jc w:val="both"/>
        <w:rPr>
          <w:rFonts w:ascii="Times New Roman" w:hAnsi="Times New Roman" w:cs="Times New Roman"/>
          <w:noProof/>
          <w:position w:val="6"/>
          <w:szCs w:val="40"/>
        </w:rPr>
      </w:pPr>
      <w:bookmarkStart w:id="1" w:name="_Toc31207918"/>
      <w:r>
        <w:rPr>
          <w:rFonts w:ascii="Times New Roman" w:hAnsi="Times New Roman"/>
          <w:szCs w:val="40"/>
        </w:rPr>
        <w:t>1. Šā norādījumu dokumenta darbības joma</w:t>
      </w:r>
      <w:bookmarkStart w:id="2" w:name="_bookmark0"/>
      <w:bookmarkEnd w:id="2"/>
      <w:bookmarkEnd w:id="1"/>
    </w:p>
    <w:p w14:paraId="507B86D9" w14:textId="77777777" w:rsidR="00583F3E" w:rsidRPr="00583F3E" w:rsidRDefault="00583F3E" w:rsidP="00583F3E">
      <w:pPr>
        <w:pStyle w:val="BodyText"/>
        <w:widowControl/>
        <w:ind w:left="0"/>
        <w:jc w:val="both"/>
        <w:rPr>
          <w:rFonts w:ascii="Times New Roman" w:hAnsi="Times New Roman" w:cs="Times New Roman"/>
          <w:noProof/>
          <w:position w:val="6"/>
        </w:rPr>
      </w:pPr>
    </w:p>
    <w:p w14:paraId="2DF10FF8" w14:textId="04104FE0"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Šis norādījumu dokuments ir daļa no to dokumentu grupas, kas paredzēti, lai sniegtu atbalstu dalībvalstīm un to kompetentajām iestādēm, lai visā Savienībā varētu saskaņoti ieviest kvotu piešķiršanas metodoloģiju ES ETS ceturtajam tirdzniecības periodam (pēc 2020. gada), kas noteikta Komisijas Deleģētajā regulā (ES) 2019/331 par “Savienības mēroga pārejas noteikumiem saskaņotai bezmaksas emisijas kvotu iedalei saskaņā ar ES ETS direktīvas 10.a pantu” (</w:t>
      </w:r>
      <w:r>
        <w:rPr>
          <w:rFonts w:ascii="Times New Roman" w:hAnsi="Times New Roman"/>
          <w:i/>
        </w:rPr>
        <w:t>FAR</w:t>
      </w:r>
      <w:r>
        <w:rPr>
          <w:rFonts w:ascii="Times New Roman" w:hAnsi="Times New Roman"/>
        </w:rPr>
        <w:t>). Norādījumu dokumentā Nr. 1 par kvotu piešķiršanas metodoloģiju sniegts vispārīgas informācijas par šīs norādījumu dokumentu grupas tiesību aktiem pārskats. Tajā izskaidrota arī dažādo norādījumu dokumentu savstarpējā saistība un ietverts šajos norādījumos izmantotās terminoloģijas glosārijs</w:t>
      </w:r>
      <w:r w:rsidRPr="00583F3E">
        <w:rPr>
          <w:rStyle w:val="FootnoteReference"/>
          <w:rFonts w:ascii="Times New Roman" w:hAnsi="Times New Roman" w:cs="Times New Roman"/>
          <w:noProof/>
          <w:position w:val="6"/>
        </w:rPr>
        <w:footnoteReference w:id="1"/>
      </w:r>
      <w:r>
        <w:rPr>
          <w:rFonts w:ascii="Times New Roman" w:hAnsi="Times New Roman"/>
        </w:rPr>
        <w:t>.</w:t>
      </w:r>
    </w:p>
    <w:p w14:paraId="13FE6E78"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22E0AF1D"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Šajā norādījumu dokumentā sīkāk apskatīta vispārīgā saskaņotās bezmaksas kvotu piešķiršanas metodoloģija saskaņā ar 10.a pantu, kas aprakstīta Norādījumu dokumentā Nr. 1, izskaidrojot to, kā kvotu piešķiršanas metodoloģija tiek piemērota </w:t>
      </w:r>
      <w:r>
        <w:rPr>
          <w:rFonts w:ascii="Times New Roman" w:hAnsi="Times New Roman"/>
          <w:i/>
        </w:rPr>
        <w:t>iekārtas līmenī</w:t>
      </w:r>
      <w:r>
        <w:rPr>
          <w:rFonts w:ascii="Times New Roman" w:hAnsi="Times New Roman"/>
        </w:rPr>
        <w:t>, tostarp izskaidrota to noteikumu ietekme, kas izstrādāti, lai risinātu jautājumus par ievērojamu oglekļa emisiju pārvirzes risku. Tajā aprakstītas dažādo veidu apakšiekārtas, kas šajā nolūkā tiek izšķirtas šajā metodoloģijā, kā arī pieeja piešķiramo emisijas kvotu apjomu noteikšanai katra veida apakšiekārtai.</w:t>
      </w:r>
    </w:p>
    <w:p w14:paraId="20AAA3E2" w14:textId="77777777" w:rsidR="00583F3E" w:rsidRPr="00583F3E" w:rsidRDefault="00583F3E" w:rsidP="00583F3E">
      <w:pPr>
        <w:widowControl/>
        <w:jc w:val="both"/>
        <w:rPr>
          <w:rFonts w:ascii="Times New Roman" w:hAnsi="Times New Roman" w:cs="Times New Roman"/>
          <w:noProof/>
          <w:position w:val="6"/>
          <w:sz w:val="24"/>
        </w:rPr>
      </w:pPr>
    </w:p>
    <w:p w14:paraId="4D5DDF5B"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2. iedaļā aprakstītas 4 pieejas, ko izmanto, lai noteiktu piešķiramo kvotu apjomu iekārtas līmenī un iekārtu oglekļa emisiju pārvirzes statusa ietekmi. Pēc tam 3. iedaļā ir izskaidrots, kā veikt iekārtu sašķelšanu apakšiekārtās, un tad 4.1. līdz 4.5. iedaļā sīki izklāstīta katra pieeja, izmantojot vienkāršus piemērus. Tad 5. iedaļā izskaidroti kvotu piešķiršanas pēdējie posmi. 6. iedaļā uzmanība pievērsta vēsturisko darbības līmeņu noteikšanai. Papildu piemēri tam, kā noteikt piešķiramo kvotu apjomu iekārtas līmenī, sniegti 7. iedaļā. A pielikumā ietverts pārskats par galvenajām izmaiņām šajā norādījumu dokumentā salīdzinājumā ar 2011. gada versiju, kas izstrādāta 3. periodam.</w:t>
      </w:r>
    </w:p>
    <w:p w14:paraId="254E8020"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4F960BD7"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Jāievēro, ka šajā norādījumu dokumentā nav sīki aprakstīti nozarei raksturīgie metodoloģijas elementi vai īpaši noteikumi, kas attiecas, piemēram, uz atlikumgāzēm vai starpsektoru siltuma plūsmām. Sīkāka informācija par šiem aspektiem skatāma norādījumu dokumentos, kas aprakstīti Norādījumu dokumenta Nr. 1 1.2. iedaļā.</w:t>
      </w:r>
    </w:p>
    <w:p w14:paraId="4A510422"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21185BB4"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Šajā dokumentā atsauces uz pantiem attiecas uz pārskatīto ES ETS direktīvu un </w:t>
      </w:r>
      <w:r>
        <w:rPr>
          <w:rFonts w:ascii="Times New Roman" w:hAnsi="Times New Roman"/>
          <w:i/>
        </w:rPr>
        <w:t>FAR</w:t>
      </w:r>
      <w:r>
        <w:rPr>
          <w:rFonts w:ascii="Times New Roman" w:hAnsi="Times New Roman"/>
        </w:rPr>
        <w:t>.</w:t>
      </w:r>
    </w:p>
    <w:p w14:paraId="3E82C994"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3A7C0DA8" w14:textId="77777777" w:rsidR="00583F3E" w:rsidRPr="00583F3E" w:rsidRDefault="00583F3E" w:rsidP="00583F3E">
      <w:pPr>
        <w:pStyle w:val="Heading3"/>
        <w:widowControl/>
        <w:ind w:left="0"/>
        <w:jc w:val="both"/>
        <w:rPr>
          <w:rFonts w:ascii="Times New Roman" w:hAnsi="Times New Roman" w:cs="Times New Roman"/>
          <w:noProof/>
          <w:position w:val="6"/>
        </w:rPr>
      </w:pPr>
      <w:bookmarkStart w:id="3" w:name="_Toc31207919"/>
      <w:r>
        <w:rPr>
          <w:rFonts w:ascii="Times New Roman" w:hAnsi="Times New Roman"/>
        </w:rPr>
        <w:t>Piezīme par neatrisinātiem jautājumiem šajā norādījumu dokumenta versijā</w:t>
      </w:r>
      <w:bookmarkEnd w:id="3"/>
    </w:p>
    <w:p w14:paraId="4424A62C" w14:textId="77777777" w:rsidR="00967587" w:rsidRDefault="00967587" w:rsidP="00583F3E">
      <w:pPr>
        <w:pStyle w:val="BodyText"/>
        <w:widowControl/>
        <w:ind w:left="0"/>
        <w:jc w:val="both"/>
        <w:rPr>
          <w:rFonts w:ascii="Times New Roman" w:hAnsi="Times New Roman" w:cs="Times New Roman"/>
          <w:noProof/>
          <w:position w:val="6"/>
        </w:rPr>
      </w:pPr>
    </w:p>
    <w:p w14:paraId="4D07AC0B"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Tā kā lēmumu pieņemšanas par kvotu piešķiršanas metodoloģiju process vēl nav pabeigts, daži šā norādījumu dokumenta elementi līdz šim nav definēti. Tie galvenokārt ir jautājumi, kas saistīti ar īstenošanas aktu, kas vēl ir jāpieņem, attiecībā uz detalizētiem noteikumiem par piešķiramo bezmaksas kvotu apjomu izmaiņām, līmeņatzīmju vērtību atjaunināšanu un jauno oglekļa emisiju pārvirzes sarakstu. Turklāt tas arī var attiekties uz atsaucēm uz vēl neieviestajiem tiesību aktiem vai pievienotajiem norādījumu dokumentiem, kas vēl ir jāsagatavo vai jāpabeidz izstrādāt.</w:t>
      </w:r>
    </w:p>
    <w:p w14:paraId="3A5FF578" w14:textId="77777777" w:rsidR="00583F3E" w:rsidRPr="00583F3E" w:rsidRDefault="00583F3E" w:rsidP="00583F3E">
      <w:pPr>
        <w:widowControl/>
        <w:jc w:val="both"/>
        <w:rPr>
          <w:rFonts w:ascii="Times New Roman" w:eastAsia="Calibri" w:hAnsi="Times New Roman" w:cs="Times New Roman"/>
          <w:noProof/>
          <w:position w:val="6"/>
          <w:sz w:val="24"/>
          <w:szCs w:val="20"/>
        </w:rPr>
      </w:pPr>
      <w:r>
        <w:br w:type="page"/>
      </w:r>
    </w:p>
    <w:p w14:paraId="0E58BD69"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7D671D30" w14:textId="77777777" w:rsidR="00583F3E" w:rsidRPr="00967587" w:rsidRDefault="00583F3E" w:rsidP="00583F3E">
      <w:pPr>
        <w:pStyle w:val="Heading1"/>
        <w:widowControl/>
        <w:tabs>
          <w:tab w:val="left" w:pos="533"/>
        </w:tabs>
        <w:spacing w:before="0"/>
        <w:ind w:left="0" w:firstLine="0"/>
        <w:jc w:val="both"/>
        <w:rPr>
          <w:rFonts w:ascii="Times New Roman" w:hAnsi="Times New Roman" w:cs="Times New Roman"/>
          <w:noProof/>
          <w:position w:val="6"/>
          <w:szCs w:val="40"/>
        </w:rPr>
      </w:pPr>
      <w:bookmarkStart w:id="4" w:name="_Toc31207920"/>
      <w:r>
        <w:rPr>
          <w:rFonts w:ascii="Times New Roman" w:hAnsi="Times New Roman"/>
          <w:szCs w:val="40"/>
        </w:rPr>
        <w:t>2. Emisijas kvotu piešķiršanas pieeju pārskats</w:t>
      </w:r>
      <w:bookmarkStart w:id="5" w:name="_bookmark1"/>
      <w:bookmarkEnd w:id="5"/>
      <w:bookmarkEnd w:id="4"/>
    </w:p>
    <w:p w14:paraId="77D7B58B" w14:textId="77777777" w:rsidR="00583F3E" w:rsidRPr="00583F3E" w:rsidRDefault="00583F3E" w:rsidP="00583F3E">
      <w:pPr>
        <w:widowControl/>
        <w:jc w:val="both"/>
        <w:rPr>
          <w:rFonts w:ascii="Times New Roman" w:eastAsia="Calibri" w:hAnsi="Times New Roman" w:cs="Times New Roman"/>
          <w:b/>
          <w:bCs/>
          <w:noProof/>
          <w:position w:val="6"/>
          <w:sz w:val="24"/>
          <w:szCs w:val="28"/>
        </w:rPr>
      </w:pPr>
    </w:p>
    <w:p w14:paraId="295C801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Šajā iedaļā izskaidrotas dažādās pieejas, ko izmanto, lai aprēķinātu piešķiramo kvotu apjomu apakšiekārtas līmenī dažādu veidu iekārtām, un nosacījumi, saskaņā ar kuriem ir jāizmanto katra no šīm pieejām (2.1. iedaļa). Pēc tam 2.2. iedaļā izskaidrots, kā iekārtas oglekļa emisiju pārvirzes statuss ietekmē tai piešķiramo kvotu apjomu.</w:t>
      </w:r>
    </w:p>
    <w:p w14:paraId="5CABEB05"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4A63FCC7" w14:textId="77777777" w:rsidR="00583F3E" w:rsidRPr="00967587" w:rsidRDefault="00583F3E" w:rsidP="00583F3E">
      <w:pPr>
        <w:pStyle w:val="Heading2"/>
        <w:widowControl/>
        <w:tabs>
          <w:tab w:val="left" w:pos="677"/>
        </w:tabs>
        <w:ind w:left="0" w:firstLine="0"/>
        <w:jc w:val="both"/>
        <w:rPr>
          <w:rFonts w:ascii="Times New Roman" w:hAnsi="Times New Roman" w:cs="Times New Roman"/>
          <w:noProof/>
          <w:position w:val="6"/>
          <w:szCs w:val="32"/>
        </w:rPr>
      </w:pPr>
      <w:bookmarkStart w:id="6" w:name="_Toc31207921"/>
      <w:r>
        <w:rPr>
          <w:rFonts w:ascii="Times New Roman" w:hAnsi="Times New Roman"/>
          <w:szCs w:val="32"/>
        </w:rPr>
        <w:t>2.1. Kad izmantot katru no iekārtas līmeņa kvotu piešķiršanas pieejām?</w:t>
      </w:r>
      <w:bookmarkStart w:id="7" w:name="_bookmark2"/>
      <w:bookmarkEnd w:id="7"/>
      <w:bookmarkEnd w:id="6"/>
    </w:p>
    <w:p w14:paraId="78E52F96" w14:textId="77777777" w:rsidR="00583F3E" w:rsidRPr="00583F3E" w:rsidRDefault="00583F3E" w:rsidP="00583F3E">
      <w:pPr>
        <w:pStyle w:val="BodyText"/>
        <w:widowControl/>
        <w:ind w:left="0"/>
        <w:jc w:val="both"/>
        <w:rPr>
          <w:rFonts w:ascii="Times New Roman" w:hAnsi="Times New Roman" w:cs="Times New Roman"/>
          <w:noProof/>
          <w:position w:val="6"/>
        </w:rPr>
      </w:pPr>
    </w:p>
    <w:p w14:paraId="0B5F90C5"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Kvotu bezmaksas piešķiršana, ciktāl iespējams, balstās uz Savienības mēroga produktu </w:t>
      </w:r>
      <w:r>
        <w:rPr>
          <w:rFonts w:ascii="Times New Roman" w:hAnsi="Times New Roman"/>
          <w:i/>
        </w:rPr>
        <w:t xml:space="preserve">ex ante </w:t>
      </w:r>
      <w:r>
        <w:rPr>
          <w:rFonts w:ascii="Times New Roman" w:hAnsi="Times New Roman"/>
        </w:rPr>
        <w:t>līmeņatzīmēm. Tomēr ne visos gadījumos var noteikt produktu līmeņatzīmes, piem., tādēļ, ka produkcijas sortiments ir pārāk dažāds un mainīgs. Šajos gadījumos tiek izmantotas tā sauktās “rezerves” pieejas, kurās izmanto siltuma līmeņatzīmes, kurināmā līmeņatzīmes vai procesa emisiju pieeju.</w:t>
      </w:r>
    </w:p>
    <w:p w14:paraId="6C419208"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2A8C2D27"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t xml:space="preserve">Kopumā atsevišķām iekārtām piešķiramās kvotas tiek noteiktas atbilstoši turpmāk norādītajiem soļiem, kas sīkāk izklāstīti </w:t>
      </w:r>
      <w:r>
        <w:rPr>
          <w:rFonts w:ascii="Times New Roman" w:hAnsi="Times New Roman"/>
          <w:i/>
          <w:sz w:val="24"/>
        </w:rPr>
        <w:t>Norādījumu dokumentā Nr. 1 par vispārīgo kvotu piešķiršanas metodoloģiju</w:t>
      </w:r>
      <w:r>
        <w:rPr>
          <w:rFonts w:ascii="Times New Roman" w:hAnsi="Times New Roman"/>
          <w:sz w:val="24"/>
        </w:rPr>
        <w:t>:</w:t>
      </w:r>
    </w:p>
    <w:p w14:paraId="5EACE88A" w14:textId="77777777" w:rsidR="00583F3E" w:rsidRPr="00583F3E" w:rsidRDefault="00967587" w:rsidP="00967587">
      <w:pPr>
        <w:pStyle w:val="BodyText"/>
        <w:widowControl/>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iekārta tiek sašķelta apakšiekārtās, uz kurām attiecas dažādo veidu līmeņatzīmes, un atkarībā no tā, vai to produkti tiek vai netiek uzskatīti par tādiem, kas ir pakļauti ievērojamam oglekļa emisiju pārvirzes riskam;</w:t>
      </w:r>
    </w:p>
    <w:p w14:paraId="2A61D8E4" w14:textId="77777777" w:rsidR="00583F3E" w:rsidRPr="00583F3E" w:rsidRDefault="00967587" w:rsidP="00967587">
      <w:pPr>
        <w:pStyle w:val="BodyText"/>
        <w:widowControl/>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piešķiramais kvotu apjoms apakšiekārtas līmenī tiek noteikts, apakšiekārtu vēsturisko darbības līmeni (</w:t>
      </w:r>
      <w:r>
        <w:rPr>
          <w:rFonts w:ascii="Times New Roman" w:hAnsi="Times New Roman"/>
          <w:i/>
        </w:rPr>
        <w:t>HAL</w:t>
      </w:r>
      <w:r>
        <w:rPr>
          <w:rFonts w:ascii="Times New Roman" w:hAnsi="Times New Roman"/>
        </w:rPr>
        <w:t>) reizinot ar piemērojamo līmeņatzīmes vērtību un attiecīgajiem korekcijas koeficientiem, tostarp oglekļa emisiju pārvirzes riska koeficientu (</w:t>
      </w:r>
      <w:r>
        <w:rPr>
          <w:rFonts w:ascii="Times New Roman" w:hAnsi="Times New Roman"/>
          <w:i/>
        </w:rPr>
        <w:t>CLEF</w:t>
      </w:r>
      <w:r>
        <w:rPr>
          <w:rFonts w:ascii="Times New Roman" w:hAnsi="Times New Roman"/>
        </w:rPr>
        <w:t>);</w:t>
      </w:r>
    </w:p>
    <w:p w14:paraId="06CA65BE" w14:textId="103BB13B" w:rsidR="00583F3E" w:rsidRPr="00583F3E" w:rsidRDefault="00967587" w:rsidP="00967587">
      <w:pPr>
        <w:pStyle w:val="BodyText"/>
        <w:widowControl/>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attiecīgos apakšiekārtām piešķiramo kvotu apjomus summē, iegūstot apjomu iekārtas līmenī. Šo apjomu sauc par “provizorisko bez maksas piešķiramo emisijas kvotu apjomu”. Lai iegūtu piešķiramo kvotu galīgo apjomu, var piemērot starpsektoru korekcijas koeficientu (</w:t>
      </w:r>
      <w:r w:rsidR="00063A9A">
        <w:rPr>
          <w:rFonts w:ascii="Times New Roman" w:hAnsi="Times New Roman"/>
          <w:i/>
          <w:iCs/>
        </w:rPr>
        <w:t>CSCF</w:t>
      </w:r>
      <w:r>
        <w:rPr>
          <w:rFonts w:ascii="Times New Roman" w:hAnsi="Times New Roman"/>
        </w:rPr>
        <w:t>) gadījumā, ja provizorisko bez maksas piešķiramo kvotu apjomu summa pārsniedz pieejamo bezmaksas kvotu apjomu. Elektroenerģijas ražošanas iekārtām, kas var pretendēt uz kvotu bezmaksas piešķiršanu, piemēram, augstas efektivitātes koģenerācijas (</w:t>
      </w:r>
      <w:r>
        <w:rPr>
          <w:rFonts w:ascii="Times New Roman" w:hAnsi="Times New Roman"/>
          <w:i/>
        </w:rPr>
        <w:t>CHP</w:t>
      </w:r>
      <w:r>
        <w:rPr>
          <w:rFonts w:ascii="Times New Roman" w:hAnsi="Times New Roman"/>
        </w:rPr>
        <w:t xml:space="preserve">) un centralizētās siltumapgādes iekārtām gados, kad nepiemēro </w:t>
      </w:r>
      <w:r w:rsidR="00063A9A">
        <w:rPr>
          <w:rFonts w:ascii="Times New Roman" w:hAnsi="Times New Roman"/>
          <w:i/>
          <w:iCs/>
        </w:rPr>
        <w:t>CSCF</w:t>
      </w:r>
      <w:r>
        <w:rPr>
          <w:rFonts w:ascii="Times New Roman" w:hAnsi="Times New Roman"/>
        </w:rPr>
        <w:t>, tiek piemērots lineārais samazinājuma koeficients.</w:t>
      </w:r>
    </w:p>
    <w:p w14:paraId="1DADE55E"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33451B98"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Lai aprēķinātu dažādajām apakšiekārtām piešķiramo bezmaksas kvotu apjomu, tiek izmantotas četras pieejas. Šīm pieejām ir šāda stingra piemērojamības secība, kas noteikta </w:t>
      </w:r>
      <w:r>
        <w:rPr>
          <w:rFonts w:ascii="Times New Roman" w:hAnsi="Times New Roman"/>
          <w:i/>
        </w:rPr>
        <w:t>FAR</w:t>
      </w:r>
      <w:r>
        <w:rPr>
          <w:rFonts w:ascii="Times New Roman" w:hAnsi="Times New Roman"/>
        </w:rPr>
        <w:t xml:space="preserve"> 10. panta 2. punktā:</w:t>
      </w:r>
    </w:p>
    <w:p w14:paraId="7D4064E4" w14:textId="77777777" w:rsidR="00583F3E" w:rsidRPr="00583F3E" w:rsidRDefault="00967587" w:rsidP="00967587">
      <w:pPr>
        <w:pStyle w:val="BodyText"/>
        <w:widowControl/>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produktu līmeņatzīmju pieeja;</w:t>
      </w:r>
    </w:p>
    <w:p w14:paraId="2A6B7464" w14:textId="77777777" w:rsidR="00583F3E" w:rsidRPr="00583F3E" w:rsidRDefault="00967587" w:rsidP="00967587">
      <w:pPr>
        <w:pStyle w:val="BodyText"/>
        <w:widowControl/>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siltuma līmeņatzīmes pieeja;</w:t>
      </w:r>
    </w:p>
    <w:p w14:paraId="775CFA04" w14:textId="77777777" w:rsidR="00583F3E" w:rsidRPr="00583F3E" w:rsidRDefault="00967587" w:rsidP="00967587">
      <w:pPr>
        <w:pStyle w:val="BodyText"/>
        <w:widowControl/>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kurināmā līmeņatzīmes pieeja;</w:t>
      </w:r>
    </w:p>
    <w:p w14:paraId="44F0558D" w14:textId="77777777" w:rsidR="00583F3E" w:rsidRPr="00583F3E" w:rsidRDefault="00967587" w:rsidP="00967587">
      <w:pPr>
        <w:pStyle w:val="BodyText"/>
        <w:widowControl/>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procesa emisiju pieeja.</w:t>
      </w:r>
    </w:p>
    <w:p w14:paraId="530EE3DA"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7D481608"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1. tabulā sniegts pārskats par nosacījumiem, kas attiecas uz katru pieeju.</w:t>
      </w:r>
    </w:p>
    <w:p w14:paraId="51822A11" w14:textId="77777777" w:rsidR="00583F3E" w:rsidRPr="00583F3E" w:rsidRDefault="00583F3E" w:rsidP="00583F3E">
      <w:pPr>
        <w:widowControl/>
        <w:jc w:val="both"/>
        <w:rPr>
          <w:rFonts w:ascii="Times New Roman" w:hAnsi="Times New Roman" w:cs="Times New Roman"/>
          <w:noProof/>
          <w:position w:val="6"/>
          <w:sz w:val="24"/>
        </w:rPr>
      </w:pPr>
    </w:p>
    <w:p w14:paraId="09949D14"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Lūdzu, ņemiet vērā, ka iepriekš minētā siltuma līmeņatzīmes pieeja tiek izmantota 2 dažādu veidu apakšiekārtām, siltuma līmeņatzīmes apakšiekārtai un nesen iekļautajai (4. periodā) centralizētās siltumapgādes apakšiekārtai. Jēdzienu un definīciju, kas saistītas ar centralizēto siltumapgādi, skaidrojumu 4. periodam, lūdzu, sk. teksta lodziņā, kā arī atsevišķajās 3. un 4. iedaļas sadaļās turpmāk.</w:t>
      </w:r>
    </w:p>
    <w:p w14:paraId="255AC602" w14:textId="77777777" w:rsidR="00583F3E" w:rsidRPr="00583F3E" w:rsidRDefault="00583F3E" w:rsidP="00583F3E">
      <w:pPr>
        <w:widowControl/>
        <w:jc w:val="both"/>
        <w:rPr>
          <w:rFonts w:ascii="Times New Roman" w:eastAsia="Calibri" w:hAnsi="Times New Roman" w:cs="Times New Roman"/>
          <w:noProof/>
          <w:position w:val="6"/>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583F3E" w:rsidRPr="00583F3E" w14:paraId="07FCE7AE" w14:textId="77777777" w:rsidTr="00FA5AF6">
        <w:tc>
          <w:tcPr>
            <w:tcW w:w="5000" w:type="pct"/>
          </w:tcPr>
          <w:p w14:paraId="266B07FB" w14:textId="77777777" w:rsidR="00583F3E" w:rsidRPr="00583F3E" w:rsidRDefault="00583F3E" w:rsidP="00583F3E">
            <w:pPr>
              <w:widowControl/>
              <w:jc w:val="both"/>
              <w:rPr>
                <w:rFonts w:ascii="Times New Roman" w:hAnsi="Times New Roman" w:cs="Times New Roman"/>
                <w:b/>
                <w:noProof/>
                <w:position w:val="6"/>
                <w:sz w:val="24"/>
                <w:szCs w:val="24"/>
              </w:rPr>
            </w:pPr>
            <w:r>
              <w:rPr>
                <w:rFonts w:ascii="Times New Roman" w:hAnsi="Times New Roman"/>
                <w:b/>
                <w:sz w:val="24"/>
                <w:szCs w:val="24"/>
              </w:rPr>
              <w:t>Centralizētas siltumapgādes jēdzieni 4. periodā</w:t>
            </w:r>
          </w:p>
          <w:p w14:paraId="731DE612"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5D104217" w14:textId="77777777" w:rsidR="00583F3E" w:rsidRPr="00583F3E" w:rsidRDefault="00583F3E" w:rsidP="00583F3E">
            <w:pPr>
              <w:widowControl/>
              <w:jc w:val="both"/>
              <w:rPr>
                <w:rFonts w:ascii="Times New Roman" w:hAnsi="Times New Roman" w:cs="Times New Roman"/>
                <w:noProof/>
                <w:position w:val="6"/>
                <w:sz w:val="24"/>
                <w:szCs w:val="24"/>
              </w:rPr>
            </w:pPr>
            <w:r>
              <w:rPr>
                <w:rFonts w:ascii="Times New Roman" w:hAnsi="Times New Roman"/>
                <w:sz w:val="24"/>
                <w:szCs w:val="24"/>
              </w:rPr>
              <w:t>Centralizēta siltumapgāde saistībā ar ES ETS un tās bezmaksas kvotu piešķiršanas noteikumiem 4. periodā ir minēta dažādās nozīmēs. Var izšķirt:</w:t>
            </w:r>
          </w:p>
          <w:p w14:paraId="53C44871" w14:textId="77777777" w:rsidR="00583F3E" w:rsidRPr="00583F3E" w:rsidRDefault="00967587" w:rsidP="00967587">
            <w:pPr>
              <w:widowControl/>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rPr>
              <w:t xml:space="preserve"> centralizētu siltumapgādi kā</w:t>
            </w:r>
            <w:r>
              <w:rPr>
                <w:rFonts w:ascii="Times New Roman" w:hAnsi="Times New Roman"/>
                <w:sz w:val="24"/>
                <w:szCs w:val="24"/>
              </w:rPr>
              <w:t xml:space="preserve"> </w:t>
            </w:r>
            <w:r>
              <w:rPr>
                <w:rFonts w:ascii="Times New Roman" w:hAnsi="Times New Roman"/>
                <w:b/>
                <w:sz w:val="24"/>
                <w:szCs w:val="24"/>
              </w:rPr>
              <w:t>darbību</w:t>
            </w:r>
            <w:r>
              <w:rPr>
                <w:rFonts w:ascii="Times New Roman" w:hAnsi="Times New Roman"/>
                <w:sz w:val="24"/>
                <w:szCs w:val="24"/>
              </w:rPr>
              <w:t xml:space="preserve">, kas </w:t>
            </w:r>
            <w:r>
              <w:rPr>
                <w:rFonts w:ascii="Times New Roman" w:hAnsi="Times New Roman"/>
                <w:i/>
                <w:sz w:val="24"/>
                <w:szCs w:val="24"/>
              </w:rPr>
              <w:t>FAR</w:t>
            </w:r>
            <w:r>
              <w:rPr>
                <w:rFonts w:ascii="Times New Roman" w:hAnsi="Times New Roman"/>
                <w:sz w:val="24"/>
                <w:szCs w:val="24"/>
              </w:rPr>
              <w:t xml:space="preserve"> 2. panta 4. punktā definēta kā:</w:t>
            </w:r>
          </w:p>
          <w:p w14:paraId="2C1BF9F5" w14:textId="77777777" w:rsidR="00583F3E" w:rsidRPr="00583F3E" w:rsidRDefault="00583F3E" w:rsidP="00583F3E">
            <w:pPr>
              <w:widowControl/>
              <w:jc w:val="both"/>
              <w:rPr>
                <w:rFonts w:ascii="Times New Roman" w:eastAsia="Calibri" w:hAnsi="Times New Roman" w:cs="Times New Roman"/>
                <w:i/>
                <w:noProof/>
                <w:position w:val="6"/>
                <w:sz w:val="24"/>
                <w:szCs w:val="24"/>
              </w:rPr>
            </w:pPr>
            <w:r>
              <w:rPr>
                <w:rFonts w:ascii="Times New Roman" w:hAnsi="Times New Roman"/>
                <w:i/>
                <w:sz w:val="24"/>
                <w:szCs w:val="24"/>
              </w:rPr>
              <w:t>“telpas siltumapgādei vai aukstumapgādei vai mājsaimniecībām domāta karstā ūdens ražošanai paredzēta izmērāma siltuma sadale tīklā ēkām vai objektiem, ko neaptver ES ETS, izņemot izmērāmo siltumu, ko izmanto produktu ražošanai un saistītām darbībām vai elektroenerģijas ražošanai”;</w:t>
            </w:r>
          </w:p>
          <w:p w14:paraId="4850FCDA" w14:textId="77777777" w:rsidR="00583F3E" w:rsidRPr="00583F3E" w:rsidRDefault="00967587" w:rsidP="00967587">
            <w:pPr>
              <w:widowControl/>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sz w:val="24"/>
                <w:szCs w:val="24"/>
              </w:rPr>
              <w:t xml:space="preserve"> centralizētās siltumapgādes </w:t>
            </w:r>
            <w:r>
              <w:rPr>
                <w:rFonts w:ascii="Times New Roman" w:hAnsi="Times New Roman"/>
                <w:b/>
                <w:sz w:val="24"/>
                <w:szCs w:val="24"/>
              </w:rPr>
              <w:t>iekārtu</w:t>
            </w:r>
            <w:r>
              <w:rPr>
                <w:rFonts w:ascii="Times New Roman" w:hAnsi="Times New Roman"/>
                <w:sz w:val="24"/>
                <w:szCs w:val="24"/>
              </w:rPr>
              <w:t xml:space="preserve"> – tādu iekārtu, kas ražo siltumu centralizētās siltumapgādes vajadzībām un kura var būt ETS ietverta vai tās neaptverta iekārta atkarībā no tā, kāds ir izmantotās iekārtas veids un jauda;</w:t>
            </w:r>
          </w:p>
          <w:p w14:paraId="660110A8" w14:textId="77777777" w:rsidR="00583F3E" w:rsidRPr="00583F3E" w:rsidRDefault="00967587" w:rsidP="00967587">
            <w:pPr>
              <w:widowControl/>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sz w:val="24"/>
                <w:szCs w:val="24"/>
              </w:rPr>
              <w:t xml:space="preserve"> centralizētās siltumapgādes </w:t>
            </w:r>
            <w:r>
              <w:rPr>
                <w:rFonts w:ascii="Times New Roman" w:hAnsi="Times New Roman"/>
                <w:b/>
                <w:sz w:val="24"/>
                <w:szCs w:val="24"/>
              </w:rPr>
              <w:t>sadales uzņēmumu</w:t>
            </w:r>
            <w:r>
              <w:rPr>
                <w:rFonts w:ascii="Times New Roman" w:hAnsi="Times New Roman"/>
                <w:sz w:val="24"/>
                <w:szCs w:val="24"/>
              </w:rPr>
              <w:t>, kas centralizētās siltumapgādes tīklā sadala siltumenerģiju, ko var ražot pats sadales uzņēmums vai iegādāties no trešām pusēm;</w:t>
            </w:r>
          </w:p>
          <w:p w14:paraId="51E8F896" w14:textId="77777777" w:rsidR="00583F3E" w:rsidRPr="00583F3E" w:rsidRDefault="00967587" w:rsidP="00967587">
            <w:pPr>
              <w:widowControl/>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sz w:val="24"/>
                <w:szCs w:val="24"/>
              </w:rPr>
              <w:t xml:space="preserve"> centralizētās siltumapgādes </w:t>
            </w:r>
            <w:r>
              <w:rPr>
                <w:rFonts w:ascii="Times New Roman" w:hAnsi="Times New Roman"/>
                <w:b/>
                <w:sz w:val="24"/>
                <w:szCs w:val="24"/>
              </w:rPr>
              <w:t xml:space="preserve">tīklu </w:t>
            </w:r>
            <w:r>
              <w:rPr>
                <w:rFonts w:ascii="Times New Roman" w:hAnsi="Times New Roman"/>
                <w:sz w:val="24"/>
                <w:szCs w:val="24"/>
              </w:rPr>
              <w:t>– cauruļvadu tīklu un aprīkojumu, ko izmanto siltuma sadalei centralizētās siltumapgādes vajadzībām;</w:t>
            </w:r>
          </w:p>
          <w:p w14:paraId="7195807C" w14:textId="77777777" w:rsidR="00583F3E" w:rsidRPr="00583F3E" w:rsidRDefault="00967587" w:rsidP="00967587">
            <w:pPr>
              <w:widowControl/>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sz w:val="24"/>
                <w:szCs w:val="24"/>
              </w:rPr>
              <w:t xml:space="preserve"> centralizētās siltumapgādes </w:t>
            </w:r>
            <w:r>
              <w:rPr>
                <w:rFonts w:ascii="Times New Roman" w:hAnsi="Times New Roman"/>
                <w:b/>
                <w:sz w:val="24"/>
                <w:szCs w:val="24"/>
              </w:rPr>
              <w:t>apakšiekārtu</w:t>
            </w:r>
            <w:r>
              <w:rPr>
                <w:rFonts w:ascii="Times New Roman" w:hAnsi="Times New Roman"/>
                <w:sz w:val="24"/>
                <w:szCs w:val="24"/>
              </w:rPr>
              <w:t xml:space="preserve"> – apakšiekārtu, kas noteikta ETS iekārtā, lai varētu noteikt iekārtai piešķiramo kvotu apjomu saistībā ar izmērāmo siltumu, kas tiek eksportēts centralizētās siltumapgādes vajadzībām, kā noteikts </w:t>
            </w:r>
            <w:r>
              <w:rPr>
                <w:rFonts w:ascii="Times New Roman" w:hAnsi="Times New Roman"/>
                <w:i/>
                <w:sz w:val="24"/>
                <w:szCs w:val="24"/>
              </w:rPr>
              <w:t>FAR</w:t>
            </w:r>
            <w:r>
              <w:rPr>
                <w:rFonts w:ascii="Times New Roman" w:hAnsi="Times New Roman"/>
                <w:sz w:val="24"/>
                <w:szCs w:val="24"/>
              </w:rPr>
              <w:t xml:space="preserve"> 3. panta d) punktā;</w:t>
            </w:r>
          </w:p>
          <w:p w14:paraId="0F6F07C4" w14:textId="77777777" w:rsidR="00583F3E" w:rsidRDefault="00967587" w:rsidP="00967587">
            <w:pPr>
              <w:widowControl/>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sz w:val="24"/>
                <w:szCs w:val="24"/>
              </w:rPr>
              <w:t xml:space="preserve"> centralizētās siltumapgādes </w:t>
            </w:r>
            <w:r>
              <w:rPr>
                <w:rFonts w:ascii="Times New Roman" w:hAnsi="Times New Roman"/>
                <w:b/>
                <w:bCs/>
                <w:sz w:val="24"/>
                <w:szCs w:val="24"/>
              </w:rPr>
              <w:t>mērķi</w:t>
            </w:r>
            <w:r>
              <w:rPr>
                <w:rFonts w:ascii="Times New Roman" w:hAnsi="Times New Roman"/>
                <w:sz w:val="24"/>
                <w:szCs w:val="24"/>
              </w:rPr>
              <w:t>, lai eksportēto siltumu, par ko var pretendēt uz kvotu bezmaksas piešķiršanu (“izmērāmu siltumu, kas tiek eksportēts centralizētās siltumapgādes vajadzībām”), nošķirtu no eksportētā siltuma, par ko nevar pretendēt uz bezmaksas kvotu piešķiršanu (siltuma, kas paredzēts citām vajadzībām, piemēram, elektroenerģijas ražošanai).</w:t>
            </w:r>
          </w:p>
          <w:p w14:paraId="3189A147" w14:textId="77777777" w:rsidR="00967587" w:rsidRPr="00583F3E" w:rsidRDefault="00967587" w:rsidP="00967587">
            <w:pPr>
              <w:widowControl/>
              <w:jc w:val="both"/>
              <w:rPr>
                <w:rFonts w:ascii="Times New Roman" w:eastAsia="Calibri" w:hAnsi="Times New Roman" w:cs="Times New Roman"/>
                <w:noProof/>
                <w:position w:val="6"/>
                <w:sz w:val="24"/>
                <w:szCs w:val="24"/>
              </w:rPr>
            </w:pPr>
          </w:p>
        </w:tc>
      </w:tr>
    </w:tbl>
    <w:p w14:paraId="0C50AB3F"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0DC649BC" w14:textId="77777777" w:rsidR="00967587" w:rsidRDefault="00967587">
      <w:pPr>
        <w:rPr>
          <w:rFonts w:ascii="Times New Roman" w:eastAsia="Calibri" w:hAnsi="Times New Roman" w:cs="Times New Roman"/>
          <w:noProof/>
          <w:position w:val="6"/>
          <w:sz w:val="24"/>
          <w:szCs w:val="20"/>
        </w:rPr>
      </w:pPr>
      <w:r>
        <w:br w:type="page"/>
      </w:r>
    </w:p>
    <w:p w14:paraId="0B076D78"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36FF429A" w14:textId="77777777" w:rsidR="00583F3E" w:rsidRPr="00583F3E" w:rsidRDefault="00583F3E" w:rsidP="00583F3E">
      <w:pPr>
        <w:widowControl/>
        <w:jc w:val="both"/>
        <w:rPr>
          <w:rFonts w:ascii="Times New Roman" w:hAnsi="Times New Roman" w:cs="Times New Roman"/>
          <w:b/>
          <w:noProof/>
          <w:position w:val="6"/>
          <w:sz w:val="24"/>
        </w:rPr>
      </w:pPr>
      <w:r>
        <w:rPr>
          <w:rFonts w:ascii="Times New Roman" w:hAnsi="Times New Roman"/>
          <w:b/>
          <w:sz w:val="24"/>
        </w:rPr>
        <w:t>1. tabula. Nosacījumi, saskaņā ar kuriem izmantojama katra no četrām pieejām</w:t>
      </w:r>
      <w:bookmarkStart w:id="8" w:name="_bookmark3"/>
      <w:bookmarkEnd w:id="8"/>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26"/>
        <w:gridCol w:w="1456"/>
        <w:gridCol w:w="6246"/>
      </w:tblGrid>
      <w:tr w:rsidR="00583F3E" w:rsidRPr="00583F3E" w14:paraId="141FF976" w14:textId="77777777" w:rsidTr="00967587">
        <w:tc>
          <w:tcPr>
            <w:tcW w:w="792" w:type="pct"/>
            <w:shd w:val="clear" w:color="auto" w:fill="800080"/>
          </w:tcPr>
          <w:p w14:paraId="79AAD5A6" w14:textId="77777777" w:rsidR="00583F3E" w:rsidRPr="00583F3E" w:rsidRDefault="00583F3E" w:rsidP="00967587">
            <w:pPr>
              <w:pStyle w:val="TableParagraph"/>
              <w:widowControl/>
              <w:jc w:val="center"/>
              <w:rPr>
                <w:rFonts w:ascii="Times New Roman" w:hAnsi="Times New Roman" w:cs="Times New Roman"/>
                <w:b/>
                <w:noProof/>
                <w:position w:val="6"/>
                <w:sz w:val="24"/>
                <w:szCs w:val="20"/>
              </w:rPr>
            </w:pPr>
            <w:r>
              <w:rPr>
                <w:rFonts w:ascii="Times New Roman" w:hAnsi="Times New Roman"/>
                <w:b/>
                <w:sz w:val="24"/>
                <w:szCs w:val="20"/>
              </w:rPr>
              <w:t>Pieeja</w:t>
            </w:r>
          </w:p>
        </w:tc>
        <w:tc>
          <w:tcPr>
            <w:tcW w:w="776" w:type="pct"/>
            <w:shd w:val="clear" w:color="auto" w:fill="800080"/>
          </w:tcPr>
          <w:p w14:paraId="29D33AFD" w14:textId="77777777" w:rsidR="00583F3E" w:rsidRPr="00583F3E" w:rsidRDefault="00583F3E" w:rsidP="00967587">
            <w:pPr>
              <w:pStyle w:val="TableParagraph"/>
              <w:widowControl/>
              <w:jc w:val="center"/>
              <w:rPr>
                <w:rFonts w:ascii="Times New Roman" w:hAnsi="Times New Roman" w:cs="Times New Roman"/>
                <w:b/>
                <w:noProof/>
                <w:position w:val="6"/>
                <w:sz w:val="24"/>
                <w:szCs w:val="20"/>
              </w:rPr>
            </w:pPr>
            <w:r>
              <w:rPr>
                <w:rFonts w:ascii="Times New Roman" w:hAnsi="Times New Roman"/>
                <w:b/>
                <w:sz w:val="24"/>
                <w:szCs w:val="20"/>
              </w:rPr>
              <w:t>Vērtība</w:t>
            </w:r>
          </w:p>
        </w:tc>
        <w:tc>
          <w:tcPr>
            <w:tcW w:w="3432" w:type="pct"/>
            <w:shd w:val="clear" w:color="auto" w:fill="800080"/>
          </w:tcPr>
          <w:p w14:paraId="278AD527" w14:textId="77777777" w:rsidR="00583F3E" w:rsidRPr="00583F3E" w:rsidRDefault="00583F3E" w:rsidP="00967587">
            <w:pPr>
              <w:pStyle w:val="TableParagraph"/>
              <w:widowControl/>
              <w:jc w:val="center"/>
              <w:rPr>
                <w:rFonts w:ascii="Times New Roman" w:hAnsi="Times New Roman" w:cs="Times New Roman"/>
                <w:b/>
                <w:noProof/>
                <w:position w:val="6"/>
                <w:sz w:val="24"/>
                <w:szCs w:val="20"/>
              </w:rPr>
            </w:pPr>
            <w:r>
              <w:rPr>
                <w:rFonts w:ascii="Times New Roman" w:hAnsi="Times New Roman"/>
                <w:b/>
                <w:sz w:val="24"/>
                <w:szCs w:val="20"/>
              </w:rPr>
              <w:t>Nosacījumi</w:t>
            </w:r>
          </w:p>
        </w:tc>
      </w:tr>
      <w:tr w:rsidR="00583F3E" w:rsidRPr="00583F3E" w14:paraId="0A27E6C3" w14:textId="77777777" w:rsidTr="00967587">
        <w:tc>
          <w:tcPr>
            <w:tcW w:w="792" w:type="pct"/>
          </w:tcPr>
          <w:p w14:paraId="29B1D180" w14:textId="77777777" w:rsidR="00583F3E" w:rsidRPr="00583F3E" w:rsidRDefault="00583F3E" w:rsidP="00967587">
            <w:pPr>
              <w:pStyle w:val="TableParagraph"/>
              <w:widowControl/>
              <w:jc w:val="center"/>
              <w:rPr>
                <w:rFonts w:ascii="Times New Roman" w:hAnsi="Times New Roman" w:cs="Times New Roman"/>
                <w:noProof/>
                <w:position w:val="6"/>
                <w:sz w:val="24"/>
                <w:szCs w:val="20"/>
              </w:rPr>
            </w:pPr>
            <w:r>
              <w:rPr>
                <w:rFonts w:ascii="Times New Roman" w:hAnsi="Times New Roman"/>
                <w:sz w:val="24"/>
                <w:szCs w:val="20"/>
              </w:rPr>
              <w:t>Produkta līmeņatzīme</w:t>
            </w:r>
          </w:p>
        </w:tc>
        <w:tc>
          <w:tcPr>
            <w:tcW w:w="776" w:type="pct"/>
          </w:tcPr>
          <w:p w14:paraId="25BEE6BB" w14:textId="77777777" w:rsidR="00583F3E" w:rsidRPr="00583F3E" w:rsidRDefault="00583F3E" w:rsidP="00967587">
            <w:pPr>
              <w:pStyle w:val="TableParagraph"/>
              <w:widowControl/>
              <w:jc w:val="center"/>
              <w:rPr>
                <w:rFonts w:ascii="Times New Roman" w:hAnsi="Times New Roman" w:cs="Times New Roman"/>
                <w:noProof/>
                <w:position w:val="6"/>
                <w:sz w:val="24"/>
                <w:szCs w:val="20"/>
                <w:u w:val="single" w:color="000000"/>
              </w:rPr>
            </w:pPr>
            <w:r>
              <w:rPr>
                <w:rFonts w:ascii="Times New Roman" w:hAnsi="Times New Roman"/>
                <w:sz w:val="24"/>
                <w:szCs w:val="20"/>
              </w:rPr>
              <w:t>Galīgās vērtības sk. sarakstā, kas ietverts Līmeņatzīmju atjaunināšanas īstenošanas aktā (</w:t>
            </w:r>
            <w:r>
              <w:rPr>
                <w:rFonts w:ascii="Times New Roman" w:hAnsi="Times New Roman"/>
                <w:i/>
                <w:sz w:val="24"/>
                <w:szCs w:val="20"/>
              </w:rPr>
              <w:t>BMU</w:t>
            </w:r>
            <w:r w:rsidRPr="00583F3E">
              <w:rPr>
                <w:rFonts w:ascii="Times New Roman" w:hAnsi="Times New Roman" w:cs="Times New Roman"/>
                <w:noProof/>
                <w:position w:val="6"/>
                <w:sz w:val="24"/>
                <w:szCs w:val="20"/>
                <w:vertAlign w:val="superscript"/>
              </w:rPr>
              <w:footnoteReference w:id="2"/>
            </w:r>
            <w:r>
              <w:rPr>
                <w:rFonts w:ascii="Times New Roman" w:hAnsi="Times New Roman"/>
                <w:sz w:val="24"/>
                <w:szCs w:val="20"/>
              </w:rPr>
              <w:t>)</w:t>
            </w:r>
          </w:p>
        </w:tc>
        <w:tc>
          <w:tcPr>
            <w:tcW w:w="3432" w:type="pct"/>
          </w:tcPr>
          <w:p w14:paraId="27A6557F" w14:textId="77777777" w:rsidR="00583F3E" w:rsidRPr="00583F3E" w:rsidRDefault="00583F3E" w:rsidP="00967587">
            <w:pPr>
              <w:pStyle w:val="TableParagraph"/>
              <w:widowControl/>
              <w:jc w:val="both"/>
              <w:rPr>
                <w:rFonts w:ascii="Times New Roman" w:hAnsi="Times New Roman" w:cs="Times New Roman"/>
                <w:noProof/>
                <w:position w:val="6"/>
                <w:sz w:val="24"/>
                <w:szCs w:val="20"/>
              </w:rPr>
            </w:pPr>
            <w:r>
              <w:rPr>
                <w:rFonts w:ascii="Times New Roman" w:hAnsi="Times New Roman"/>
                <w:sz w:val="24"/>
                <w:szCs w:val="20"/>
              </w:rPr>
              <w:t xml:space="preserve">Produkta līmeņatzīme ir pieejama </w:t>
            </w:r>
            <w:r>
              <w:rPr>
                <w:rFonts w:ascii="Times New Roman" w:hAnsi="Times New Roman"/>
                <w:i/>
                <w:sz w:val="24"/>
                <w:szCs w:val="20"/>
              </w:rPr>
              <w:t>FAR</w:t>
            </w:r>
            <w:r>
              <w:rPr>
                <w:rFonts w:ascii="Times New Roman" w:hAnsi="Times New Roman"/>
                <w:sz w:val="24"/>
                <w:szCs w:val="20"/>
              </w:rPr>
              <w:t xml:space="preserve"> I pielikumā.</w:t>
            </w:r>
          </w:p>
          <w:p w14:paraId="332AC081" w14:textId="77777777" w:rsidR="00583F3E" w:rsidRPr="00583F3E" w:rsidRDefault="00583F3E" w:rsidP="00967587">
            <w:pPr>
              <w:pStyle w:val="TableParagraph"/>
              <w:widowControl/>
              <w:tabs>
                <w:tab w:val="left" w:pos="6413"/>
              </w:tabs>
              <w:jc w:val="both"/>
              <w:rPr>
                <w:rFonts w:ascii="Times New Roman" w:hAnsi="Times New Roman" w:cs="Times New Roman"/>
                <w:noProof/>
                <w:position w:val="6"/>
                <w:sz w:val="24"/>
                <w:szCs w:val="20"/>
              </w:rPr>
            </w:pPr>
            <w:r>
              <w:rPr>
                <w:rFonts w:ascii="Times New Roman" w:hAnsi="Times New Roman"/>
                <w:sz w:val="24"/>
                <w:szCs w:val="20"/>
              </w:rPr>
              <w:t xml:space="preserve">Produkti atbilst sīki izstrādātajiem kritērijiem, kas norādīti </w:t>
            </w:r>
            <w:r>
              <w:rPr>
                <w:rFonts w:ascii="Times New Roman" w:hAnsi="Times New Roman"/>
                <w:i/>
                <w:sz w:val="24"/>
                <w:szCs w:val="20"/>
              </w:rPr>
              <w:t>FAR</w:t>
            </w:r>
            <w:r>
              <w:rPr>
                <w:rFonts w:ascii="Times New Roman" w:hAnsi="Times New Roman"/>
                <w:sz w:val="24"/>
                <w:szCs w:val="20"/>
              </w:rPr>
              <w:t xml:space="preserve"> I pielikumā, kā tas sīkāk izskaidrots Norādījumu dokumentā Nr. 9.</w:t>
            </w:r>
          </w:p>
        </w:tc>
      </w:tr>
      <w:tr w:rsidR="00583F3E" w:rsidRPr="00583F3E" w14:paraId="041D0438" w14:textId="77777777" w:rsidTr="00967587">
        <w:tc>
          <w:tcPr>
            <w:tcW w:w="792" w:type="pct"/>
            <w:vAlign w:val="center"/>
          </w:tcPr>
          <w:p w14:paraId="37CC8EC6" w14:textId="77777777" w:rsidR="00583F3E" w:rsidRPr="00583F3E" w:rsidRDefault="00583F3E" w:rsidP="00967587">
            <w:pPr>
              <w:pStyle w:val="TableParagraph"/>
              <w:widowControl/>
              <w:jc w:val="center"/>
              <w:rPr>
                <w:rFonts w:ascii="Times New Roman" w:eastAsia="Calibri" w:hAnsi="Times New Roman" w:cs="Times New Roman"/>
                <w:noProof/>
                <w:position w:val="6"/>
                <w:sz w:val="24"/>
                <w:szCs w:val="20"/>
              </w:rPr>
            </w:pPr>
            <w:r>
              <w:rPr>
                <w:rFonts w:ascii="Times New Roman" w:hAnsi="Times New Roman"/>
                <w:sz w:val="24"/>
                <w:szCs w:val="20"/>
              </w:rPr>
              <w:t>Siltuma līmeņatzīme</w:t>
            </w:r>
            <w:r w:rsidRPr="00583F3E">
              <w:rPr>
                <w:rFonts w:ascii="Times New Roman" w:hAnsi="Times New Roman" w:cs="Times New Roman"/>
                <w:noProof/>
                <w:position w:val="6"/>
                <w:sz w:val="24"/>
                <w:szCs w:val="20"/>
                <w:vertAlign w:val="superscript"/>
              </w:rPr>
              <w:footnoteReference w:id="3"/>
            </w:r>
          </w:p>
        </w:tc>
        <w:tc>
          <w:tcPr>
            <w:tcW w:w="776" w:type="pct"/>
            <w:vAlign w:val="center"/>
          </w:tcPr>
          <w:p w14:paraId="3D8E03CB" w14:textId="77777777" w:rsidR="00583F3E" w:rsidRPr="00583F3E" w:rsidRDefault="00583F3E" w:rsidP="00967587">
            <w:pPr>
              <w:pStyle w:val="TableParagraph"/>
              <w:widowControl/>
              <w:jc w:val="center"/>
              <w:rPr>
                <w:rFonts w:ascii="Times New Roman" w:hAnsi="Times New Roman" w:cs="Times New Roman"/>
                <w:noProof/>
                <w:position w:val="6"/>
                <w:sz w:val="24"/>
                <w:szCs w:val="20"/>
              </w:rPr>
            </w:pPr>
            <w:r>
              <w:rPr>
                <w:rFonts w:ascii="Times New Roman" w:hAnsi="Times New Roman"/>
                <w:sz w:val="24"/>
                <w:szCs w:val="20"/>
                <w:highlight w:val="yellow"/>
              </w:rPr>
              <w:t>XX</w:t>
            </w:r>
          </w:p>
          <w:p w14:paraId="0C344FA0" w14:textId="6635973C" w:rsidR="00583F3E" w:rsidRPr="00583F3E" w:rsidRDefault="0036402B" w:rsidP="00967587">
            <w:pPr>
              <w:pStyle w:val="TableParagraph"/>
              <w:widowControl/>
              <w:jc w:val="center"/>
              <w:rPr>
                <w:rFonts w:ascii="Times New Roman" w:hAnsi="Times New Roman" w:cs="Times New Roman"/>
                <w:noProof/>
                <w:position w:val="6"/>
                <w:sz w:val="24"/>
                <w:szCs w:val="20"/>
              </w:rPr>
            </w:pPr>
            <w:r>
              <w:rPr>
                <w:rFonts w:ascii="Times New Roman" w:hAnsi="Times New Roman"/>
                <w:sz w:val="24"/>
                <w:szCs w:val="20"/>
              </w:rPr>
              <w:t>Emisijas k</w:t>
            </w:r>
            <w:r w:rsidR="00583F3E">
              <w:rPr>
                <w:rFonts w:ascii="Times New Roman" w:hAnsi="Times New Roman"/>
                <w:sz w:val="24"/>
                <w:szCs w:val="20"/>
              </w:rPr>
              <w:t xml:space="preserve">votas / neto izmērāmā siltuma </w:t>
            </w:r>
            <w:r w:rsidR="00583F3E">
              <w:rPr>
                <w:rFonts w:ascii="Times New Roman" w:hAnsi="Times New Roman"/>
                <w:i/>
                <w:iCs/>
                <w:sz w:val="24"/>
                <w:szCs w:val="20"/>
              </w:rPr>
              <w:t>TJ</w:t>
            </w:r>
          </w:p>
        </w:tc>
        <w:tc>
          <w:tcPr>
            <w:tcW w:w="3432" w:type="pct"/>
          </w:tcPr>
          <w:p w14:paraId="4DDF6E89" w14:textId="77777777" w:rsidR="00583F3E" w:rsidRPr="00583F3E" w:rsidRDefault="00583F3E" w:rsidP="00583F3E">
            <w:pPr>
              <w:pStyle w:val="TableParagraph"/>
              <w:widowControl/>
              <w:jc w:val="both"/>
              <w:rPr>
                <w:rFonts w:ascii="Times New Roman" w:hAnsi="Times New Roman" w:cs="Times New Roman"/>
                <w:b/>
                <w:noProof/>
                <w:position w:val="6"/>
                <w:sz w:val="24"/>
                <w:szCs w:val="20"/>
              </w:rPr>
            </w:pPr>
            <w:r>
              <w:rPr>
                <w:rFonts w:ascii="Times New Roman" w:hAnsi="Times New Roman"/>
                <w:b/>
                <w:sz w:val="24"/>
                <w:szCs w:val="20"/>
              </w:rPr>
              <w:t>Siltuma līmeņatzīmes apakšiekārtām</w:t>
            </w:r>
          </w:p>
          <w:p w14:paraId="0FA06D91" w14:textId="77777777" w:rsidR="00583F3E" w:rsidRPr="00583F3E" w:rsidRDefault="00583F3E" w:rsidP="00583F3E">
            <w:pPr>
              <w:pStyle w:val="TableParagraph"/>
              <w:widowControl/>
              <w:jc w:val="both"/>
              <w:rPr>
                <w:rFonts w:ascii="Times New Roman" w:hAnsi="Times New Roman" w:cs="Times New Roman"/>
                <w:noProof/>
                <w:position w:val="6"/>
                <w:sz w:val="24"/>
                <w:szCs w:val="20"/>
              </w:rPr>
            </w:pPr>
            <w:r>
              <w:rPr>
                <w:rFonts w:ascii="Times New Roman" w:hAnsi="Times New Roman"/>
                <w:sz w:val="24"/>
                <w:szCs w:val="20"/>
              </w:rPr>
              <w:t>Lai siltums būtu attiecināms uz siltuma līmeņatzīmes apakšiekārtu, tam ir jāatbilst visiem sešiem turpmāk norādītajiem nosacījumiem (2. panta 3. punkts).</w:t>
            </w:r>
          </w:p>
          <w:p w14:paraId="18980774" w14:textId="77777777" w:rsidR="00583F3E" w:rsidRPr="00583F3E" w:rsidRDefault="00583F3E" w:rsidP="00583F3E">
            <w:pPr>
              <w:pStyle w:val="ListParagraph"/>
              <w:widowControl/>
              <w:tabs>
                <w:tab w:val="left" w:pos="420"/>
              </w:tabs>
              <w:jc w:val="both"/>
              <w:rPr>
                <w:rFonts w:ascii="Times New Roman" w:eastAsia="Calibri" w:hAnsi="Times New Roman" w:cs="Times New Roman"/>
                <w:noProof/>
                <w:position w:val="6"/>
                <w:sz w:val="24"/>
                <w:szCs w:val="20"/>
              </w:rPr>
            </w:pPr>
            <w:r>
              <w:rPr>
                <w:rFonts w:ascii="Times New Roman" w:hAnsi="Times New Roman"/>
                <w:sz w:val="24"/>
                <w:szCs w:val="20"/>
              </w:rPr>
              <w:t>1. Siltums ir izmērāms (transportējot to pa identificējamiem cauruļvadiem vai kanāliem ar siltumnesēju, ir uzstādīts siltuma skaitītājs</w:t>
            </w:r>
            <w:r w:rsidRPr="00583F3E">
              <w:rPr>
                <w:rFonts w:ascii="Times New Roman" w:hAnsi="Times New Roman" w:cs="Times New Roman"/>
                <w:noProof/>
                <w:position w:val="6"/>
                <w:sz w:val="24"/>
                <w:szCs w:val="20"/>
                <w:vertAlign w:val="superscript"/>
              </w:rPr>
              <w:footnoteReference w:id="4"/>
            </w:r>
            <w:r>
              <w:rPr>
                <w:rFonts w:ascii="Times New Roman" w:hAnsi="Times New Roman"/>
                <w:sz w:val="24"/>
                <w:szCs w:val="20"/>
              </w:rPr>
              <w:t xml:space="preserve"> vai tādu būtu iespējams uzstādīt) (2. panta 7.–8. punkts).</w:t>
            </w:r>
          </w:p>
          <w:p w14:paraId="1B62B453" w14:textId="77777777" w:rsidR="00583F3E" w:rsidRPr="00583F3E" w:rsidRDefault="00583F3E" w:rsidP="00583F3E">
            <w:pPr>
              <w:pStyle w:val="ListParagraph"/>
              <w:widowControl/>
              <w:tabs>
                <w:tab w:val="left" w:pos="420"/>
              </w:tabs>
              <w:jc w:val="both"/>
              <w:rPr>
                <w:rFonts w:ascii="Times New Roman" w:hAnsi="Times New Roman" w:cs="Times New Roman"/>
                <w:noProof/>
                <w:position w:val="6"/>
                <w:sz w:val="24"/>
                <w:szCs w:val="20"/>
              </w:rPr>
            </w:pPr>
            <w:r>
              <w:rPr>
                <w:rFonts w:ascii="Times New Roman" w:hAnsi="Times New Roman"/>
                <w:sz w:val="24"/>
                <w:szCs w:val="20"/>
              </w:rPr>
              <w:t>2. Siltums tiek izmantots noteiktam mērķim (produktu ražošanai, mehāniskās enerģijas ražošanai, siltumapgādei, aukstumapgādei).</w:t>
            </w:r>
          </w:p>
          <w:p w14:paraId="34AC9D0F" w14:textId="77777777" w:rsidR="00583F3E" w:rsidRPr="00583F3E" w:rsidRDefault="00583F3E" w:rsidP="00583F3E">
            <w:pPr>
              <w:pStyle w:val="ListParagraph"/>
              <w:widowControl/>
              <w:tabs>
                <w:tab w:val="left" w:pos="420"/>
              </w:tabs>
              <w:jc w:val="both"/>
              <w:rPr>
                <w:rFonts w:ascii="Times New Roman" w:hAnsi="Times New Roman" w:cs="Times New Roman"/>
                <w:noProof/>
                <w:position w:val="6"/>
                <w:sz w:val="24"/>
                <w:szCs w:val="20"/>
              </w:rPr>
            </w:pPr>
            <w:r>
              <w:rPr>
                <w:rFonts w:ascii="Times New Roman" w:hAnsi="Times New Roman"/>
                <w:sz w:val="24"/>
                <w:szCs w:val="20"/>
              </w:rPr>
              <w:t>3. Siltums netiek izmantots elektroenerģijas ražošanai.</w:t>
            </w:r>
          </w:p>
          <w:p w14:paraId="5D12182C" w14:textId="77777777" w:rsidR="00583F3E" w:rsidRPr="00583F3E" w:rsidRDefault="00583F3E" w:rsidP="00583F3E">
            <w:pPr>
              <w:pStyle w:val="ListParagraph"/>
              <w:widowControl/>
              <w:tabs>
                <w:tab w:val="left" w:pos="420"/>
              </w:tabs>
              <w:jc w:val="both"/>
              <w:rPr>
                <w:rFonts w:ascii="Times New Roman" w:hAnsi="Times New Roman" w:cs="Times New Roman"/>
                <w:noProof/>
                <w:position w:val="6"/>
                <w:sz w:val="24"/>
                <w:szCs w:val="20"/>
              </w:rPr>
            </w:pPr>
            <w:r>
              <w:rPr>
                <w:rFonts w:ascii="Times New Roman" w:hAnsi="Times New Roman"/>
                <w:sz w:val="24"/>
                <w:szCs w:val="20"/>
              </w:rPr>
              <w:t>4. Siltums netiek saražots slāpekļskābes produkta līmeņatzīmes robežās (16. panta 5. punkts).</w:t>
            </w:r>
          </w:p>
          <w:p w14:paraId="1A363404" w14:textId="77777777" w:rsidR="00583F3E" w:rsidRPr="00583F3E" w:rsidRDefault="00583F3E" w:rsidP="00583F3E">
            <w:pPr>
              <w:pStyle w:val="ListParagraph"/>
              <w:widowControl/>
              <w:tabs>
                <w:tab w:val="left" w:pos="420"/>
              </w:tabs>
              <w:jc w:val="both"/>
              <w:rPr>
                <w:rFonts w:ascii="Times New Roman" w:hAnsi="Times New Roman" w:cs="Times New Roman"/>
                <w:noProof/>
                <w:position w:val="6"/>
                <w:sz w:val="24"/>
                <w:szCs w:val="20"/>
              </w:rPr>
            </w:pPr>
            <w:r>
              <w:rPr>
                <w:rFonts w:ascii="Times New Roman" w:hAnsi="Times New Roman"/>
                <w:sz w:val="24"/>
                <w:szCs w:val="20"/>
              </w:rPr>
              <w:t>5. Siltums netiek patērēts produkta līmeņatzīmes sistēmas robežās.</w:t>
            </w:r>
          </w:p>
          <w:p w14:paraId="2C7643BD" w14:textId="77777777" w:rsidR="00583F3E" w:rsidRPr="00583F3E" w:rsidRDefault="00583F3E" w:rsidP="00583F3E">
            <w:pPr>
              <w:pStyle w:val="ListParagraph"/>
              <w:widowControl/>
              <w:tabs>
                <w:tab w:val="left" w:pos="420"/>
              </w:tabs>
              <w:jc w:val="both"/>
              <w:rPr>
                <w:rFonts w:ascii="Times New Roman" w:hAnsi="Times New Roman" w:cs="Times New Roman"/>
                <w:noProof/>
                <w:position w:val="6"/>
                <w:sz w:val="24"/>
                <w:szCs w:val="20"/>
              </w:rPr>
            </w:pPr>
            <w:r>
              <w:rPr>
                <w:rFonts w:ascii="Times New Roman" w:hAnsi="Times New Roman"/>
                <w:sz w:val="24"/>
                <w:szCs w:val="20"/>
              </w:rPr>
              <w:t>6. Siltums tiek:</w:t>
            </w:r>
          </w:p>
          <w:p w14:paraId="50116BAC" w14:textId="77777777" w:rsidR="00583F3E" w:rsidRPr="00583F3E" w:rsidRDefault="00967587" w:rsidP="00FA5AF6">
            <w:pPr>
              <w:pStyle w:val="ListParagraph"/>
              <w:widowControl/>
              <w:ind w:left="240"/>
              <w:jc w:val="both"/>
              <w:rPr>
                <w:rFonts w:ascii="Times New Roman" w:eastAsia="Calibri" w:hAnsi="Times New Roman" w:cs="Times New Roman"/>
                <w:noProof/>
                <w:position w:val="6"/>
                <w:sz w:val="24"/>
                <w:szCs w:val="20"/>
              </w:rPr>
            </w:pPr>
            <w:r>
              <w:rPr>
                <w:rFonts w:ascii="Times New Roman" w:hAnsi="Times New Roman"/>
                <w:sz w:val="24"/>
                <w:szCs w:val="20"/>
              </w:rPr>
              <w:t>▪ patērēts ETS iekārtas robežās, un to ražo ETS iekārta;</w:t>
            </w:r>
          </w:p>
          <w:p w14:paraId="475C804C" w14:textId="77777777" w:rsidR="00583F3E" w:rsidRPr="00583F3E" w:rsidRDefault="00583F3E" w:rsidP="00FA5AF6">
            <w:pPr>
              <w:pStyle w:val="TableParagraph"/>
              <w:widowControl/>
              <w:ind w:left="240"/>
              <w:jc w:val="both"/>
              <w:rPr>
                <w:rFonts w:ascii="Times New Roman" w:hAnsi="Times New Roman" w:cs="Times New Roman"/>
                <w:noProof/>
                <w:position w:val="6"/>
                <w:sz w:val="24"/>
                <w:szCs w:val="20"/>
              </w:rPr>
            </w:pPr>
            <w:r>
              <w:rPr>
                <w:rFonts w:ascii="Times New Roman" w:hAnsi="Times New Roman"/>
                <w:sz w:val="24"/>
                <w:szCs w:val="20"/>
              </w:rPr>
              <w:t>VAI</w:t>
            </w:r>
          </w:p>
          <w:p w14:paraId="42B2C325" w14:textId="77777777" w:rsidR="00583F3E" w:rsidRPr="00583F3E" w:rsidRDefault="007D7BDD" w:rsidP="00FA5AF6">
            <w:pPr>
              <w:pStyle w:val="ListParagraph"/>
              <w:widowControl/>
              <w:ind w:left="240"/>
              <w:jc w:val="both"/>
              <w:rPr>
                <w:rFonts w:ascii="Times New Roman" w:eastAsia="Calibri" w:hAnsi="Times New Roman" w:cs="Times New Roman"/>
                <w:noProof/>
                <w:position w:val="6"/>
                <w:sz w:val="24"/>
                <w:szCs w:val="20"/>
              </w:rPr>
            </w:pPr>
            <w:r>
              <w:rPr>
                <w:rFonts w:ascii="Times New Roman" w:hAnsi="Times New Roman"/>
                <w:sz w:val="24"/>
                <w:szCs w:val="20"/>
              </w:rPr>
              <w:t>▪ saražots ETS iekārtas robežās, un to patērē ETS neaptverta iekārta vai cita vienība ar mērķi, kas nav:</w:t>
            </w:r>
          </w:p>
          <w:p w14:paraId="5EF52C9E" w14:textId="77777777" w:rsidR="00583F3E" w:rsidRPr="00583F3E" w:rsidRDefault="007D7BDD" w:rsidP="00FA5AF6">
            <w:pPr>
              <w:pStyle w:val="ListParagraph"/>
              <w:widowControl/>
              <w:tabs>
                <w:tab w:val="left" w:pos="607"/>
              </w:tabs>
              <w:ind w:left="382"/>
              <w:jc w:val="both"/>
              <w:rPr>
                <w:rFonts w:ascii="Times New Roman" w:hAnsi="Times New Roman" w:cs="Times New Roman"/>
                <w:noProof/>
                <w:position w:val="6"/>
                <w:sz w:val="24"/>
                <w:szCs w:val="20"/>
              </w:rPr>
            </w:pPr>
            <w:r>
              <w:rPr>
                <w:rFonts w:ascii="Times New Roman" w:hAnsi="Times New Roman"/>
                <w:sz w:val="24"/>
                <w:szCs w:val="20"/>
              </w:rPr>
              <w:t>○ elektroenerģijas ražošana;</w:t>
            </w:r>
          </w:p>
          <w:p w14:paraId="7EBDA2DB" w14:textId="77777777" w:rsidR="00583F3E" w:rsidRPr="00583F3E" w:rsidRDefault="007D7BDD" w:rsidP="00FA5AF6">
            <w:pPr>
              <w:pStyle w:val="ListParagraph"/>
              <w:widowControl/>
              <w:tabs>
                <w:tab w:val="left" w:pos="607"/>
              </w:tabs>
              <w:ind w:left="382"/>
              <w:jc w:val="both"/>
              <w:rPr>
                <w:rFonts w:ascii="Times New Roman" w:hAnsi="Times New Roman" w:cs="Times New Roman"/>
                <w:noProof/>
                <w:position w:val="6"/>
                <w:sz w:val="24"/>
                <w:szCs w:val="20"/>
              </w:rPr>
            </w:pPr>
            <w:r>
              <w:rPr>
                <w:rFonts w:ascii="Times New Roman" w:hAnsi="Times New Roman"/>
                <w:sz w:val="24"/>
                <w:szCs w:val="20"/>
              </w:rPr>
              <w:t>○ centralizēta siltumapgāde.</w:t>
            </w:r>
          </w:p>
          <w:p w14:paraId="4C1D9642" w14:textId="77777777" w:rsidR="00583F3E" w:rsidRPr="00583F3E" w:rsidRDefault="00583F3E" w:rsidP="00583F3E">
            <w:pPr>
              <w:pStyle w:val="TableParagraph"/>
              <w:widowControl/>
              <w:jc w:val="both"/>
              <w:rPr>
                <w:rFonts w:ascii="Times New Roman" w:hAnsi="Times New Roman" w:cs="Times New Roman"/>
                <w:b/>
                <w:noProof/>
                <w:position w:val="6"/>
                <w:sz w:val="24"/>
                <w:szCs w:val="20"/>
              </w:rPr>
            </w:pPr>
            <w:r>
              <w:rPr>
                <w:rFonts w:ascii="Times New Roman" w:hAnsi="Times New Roman"/>
                <w:b/>
                <w:sz w:val="24"/>
                <w:szCs w:val="20"/>
              </w:rPr>
              <w:t>Centralizētās siltumapgādes apakšiekārtām</w:t>
            </w:r>
          </w:p>
          <w:p w14:paraId="261A2EA1" w14:textId="77777777" w:rsidR="00583F3E" w:rsidRPr="00583F3E" w:rsidRDefault="00583F3E" w:rsidP="00583F3E">
            <w:pPr>
              <w:pStyle w:val="TableParagraph"/>
              <w:widowControl/>
              <w:jc w:val="both"/>
              <w:rPr>
                <w:rFonts w:ascii="Times New Roman" w:hAnsi="Times New Roman" w:cs="Times New Roman"/>
                <w:i/>
                <w:noProof/>
                <w:position w:val="6"/>
                <w:sz w:val="24"/>
                <w:szCs w:val="20"/>
              </w:rPr>
            </w:pPr>
            <w:r>
              <w:rPr>
                <w:rFonts w:ascii="Times New Roman" w:hAnsi="Times New Roman"/>
                <w:sz w:val="24"/>
                <w:szCs w:val="20"/>
              </w:rPr>
              <w:t xml:space="preserve">Siltumam ir jāatbilst iepriekš minētajam 1.–4. kritērijam, tam ir jābūt ETS iekārtas ražotam UN jābūt eksportētam centralizētās siltumapgādes vajadzībām (2. panta 5. punkts). </w:t>
            </w:r>
            <w:r>
              <w:rPr>
                <w:rFonts w:ascii="Times New Roman" w:hAnsi="Times New Roman"/>
                <w:i/>
                <w:sz w:val="24"/>
                <w:szCs w:val="20"/>
              </w:rPr>
              <w:t>Par siltumu, kas saražots ārpus ES ETS, nevar pretendēt uz kvotu bezmaksas piešķiršanu.</w:t>
            </w:r>
          </w:p>
          <w:p w14:paraId="557BA95C" w14:textId="77777777" w:rsidR="00583F3E" w:rsidRPr="00583F3E" w:rsidRDefault="00583F3E" w:rsidP="00583F3E">
            <w:pPr>
              <w:pStyle w:val="TableParagraph"/>
              <w:widowControl/>
              <w:jc w:val="both"/>
              <w:rPr>
                <w:rFonts w:ascii="Times New Roman" w:hAnsi="Times New Roman" w:cs="Times New Roman"/>
                <w:i/>
                <w:noProof/>
                <w:position w:val="6"/>
                <w:sz w:val="24"/>
                <w:szCs w:val="20"/>
              </w:rPr>
            </w:pPr>
            <w:r>
              <w:rPr>
                <w:rFonts w:ascii="Times New Roman" w:hAnsi="Times New Roman"/>
                <w:i/>
                <w:sz w:val="24"/>
                <w:szCs w:val="20"/>
              </w:rPr>
              <w:t>Papildu informācija par siltuma plūsmu pāri iekārtu robežām sniegta Norādījumu dokumentā Nr. 6.</w:t>
            </w:r>
          </w:p>
        </w:tc>
      </w:tr>
      <w:tr w:rsidR="00583F3E" w:rsidRPr="00583F3E" w14:paraId="0FB2F04A" w14:textId="77777777" w:rsidTr="007D7BDD">
        <w:tc>
          <w:tcPr>
            <w:tcW w:w="792" w:type="pct"/>
            <w:vAlign w:val="center"/>
          </w:tcPr>
          <w:p w14:paraId="68378AFE" w14:textId="77777777" w:rsidR="00583F3E" w:rsidRPr="00583F3E" w:rsidRDefault="00583F3E" w:rsidP="007D7BDD">
            <w:pPr>
              <w:pStyle w:val="TableParagraph"/>
              <w:widowControl/>
              <w:jc w:val="center"/>
              <w:rPr>
                <w:rFonts w:ascii="Times New Roman" w:hAnsi="Times New Roman" w:cs="Times New Roman"/>
                <w:noProof/>
                <w:position w:val="6"/>
                <w:sz w:val="24"/>
                <w:szCs w:val="20"/>
              </w:rPr>
            </w:pPr>
            <w:r>
              <w:rPr>
                <w:rFonts w:ascii="Times New Roman" w:hAnsi="Times New Roman"/>
                <w:sz w:val="24"/>
                <w:szCs w:val="20"/>
              </w:rPr>
              <w:t>Kurināmā līmeņatzīme</w:t>
            </w:r>
          </w:p>
        </w:tc>
        <w:tc>
          <w:tcPr>
            <w:tcW w:w="776" w:type="pct"/>
            <w:vAlign w:val="center"/>
          </w:tcPr>
          <w:p w14:paraId="35DC2A62" w14:textId="77777777" w:rsidR="00583F3E" w:rsidRPr="00583F3E" w:rsidRDefault="00583F3E" w:rsidP="007D7BDD">
            <w:pPr>
              <w:pStyle w:val="TableParagraph"/>
              <w:widowControl/>
              <w:jc w:val="center"/>
              <w:rPr>
                <w:rFonts w:ascii="Times New Roman" w:hAnsi="Times New Roman" w:cs="Times New Roman"/>
                <w:noProof/>
                <w:position w:val="6"/>
                <w:sz w:val="24"/>
                <w:szCs w:val="20"/>
              </w:rPr>
            </w:pPr>
            <w:r>
              <w:rPr>
                <w:rFonts w:ascii="Times New Roman" w:hAnsi="Times New Roman"/>
                <w:sz w:val="24"/>
                <w:szCs w:val="20"/>
                <w:highlight w:val="yellow"/>
              </w:rPr>
              <w:t>XX</w:t>
            </w:r>
          </w:p>
          <w:p w14:paraId="5A52D1F5" w14:textId="210EEA89" w:rsidR="00583F3E" w:rsidRPr="00583F3E" w:rsidRDefault="0036402B" w:rsidP="007D7BDD">
            <w:pPr>
              <w:pStyle w:val="TableParagraph"/>
              <w:widowControl/>
              <w:jc w:val="center"/>
              <w:rPr>
                <w:rFonts w:ascii="Times New Roman" w:hAnsi="Times New Roman" w:cs="Times New Roman"/>
                <w:noProof/>
                <w:position w:val="6"/>
                <w:sz w:val="24"/>
                <w:szCs w:val="20"/>
              </w:rPr>
            </w:pPr>
            <w:r>
              <w:rPr>
                <w:rFonts w:ascii="Times New Roman" w:hAnsi="Times New Roman"/>
                <w:sz w:val="24"/>
                <w:szCs w:val="20"/>
              </w:rPr>
              <w:t>Emisijas k</w:t>
            </w:r>
            <w:r w:rsidR="00583F3E">
              <w:rPr>
                <w:rFonts w:ascii="Times New Roman" w:hAnsi="Times New Roman"/>
                <w:sz w:val="24"/>
                <w:szCs w:val="20"/>
              </w:rPr>
              <w:t xml:space="preserve">votas / </w:t>
            </w:r>
            <w:r w:rsidR="00583F3E">
              <w:rPr>
                <w:rFonts w:ascii="Times New Roman" w:hAnsi="Times New Roman"/>
                <w:sz w:val="24"/>
                <w:szCs w:val="20"/>
              </w:rPr>
              <w:lastRenderedPageBreak/>
              <w:t xml:space="preserve">izmantotā kurināmā </w:t>
            </w:r>
            <w:r w:rsidR="00583F3E">
              <w:rPr>
                <w:rFonts w:ascii="Times New Roman" w:hAnsi="Times New Roman"/>
                <w:i/>
                <w:iCs/>
                <w:sz w:val="24"/>
                <w:szCs w:val="20"/>
              </w:rPr>
              <w:t>TJ</w:t>
            </w:r>
          </w:p>
        </w:tc>
        <w:tc>
          <w:tcPr>
            <w:tcW w:w="3432" w:type="pct"/>
          </w:tcPr>
          <w:p w14:paraId="364D9479" w14:textId="77777777" w:rsidR="00583F3E" w:rsidRPr="00583F3E" w:rsidRDefault="00583F3E" w:rsidP="00583F3E">
            <w:pPr>
              <w:pStyle w:val="TableParagraph"/>
              <w:widowControl/>
              <w:jc w:val="both"/>
              <w:rPr>
                <w:rFonts w:ascii="Times New Roman" w:eastAsia="Calibri" w:hAnsi="Times New Roman" w:cs="Times New Roman"/>
                <w:noProof/>
                <w:position w:val="6"/>
                <w:sz w:val="24"/>
                <w:szCs w:val="20"/>
              </w:rPr>
            </w:pPr>
            <w:r>
              <w:rPr>
                <w:rFonts w:ascii="Times New Roman" w:hAnsi="Times New Roman"/>
                <w:sz w:val="24"/>
                <w:szCs w:val="20"/>
              </w:rPr>
              <w:lastRenderedPageBreak/>
              <w:t>Lai kurināmā ielaide</w:t>
            </w:r>
            <w:r w:rsidRPr="00583F3E">
              <w:rPr>
                <w:rFonts w:ascii="Times New Roman" w:hAnsi="Times New Roman" w:cs="Times New Roman"/>
                <w:noProof/>
                <w:position w:val="6"/>
                <w:sz w:val="24"/>
                <w:szCs w:val="20"/>
                <w:vertAlign w:val="superscript"/>
              </w:rPr>
              <w:footnoteReference w:id="5"/>
            </w:r>
            <w:r>
              <w:rPr>
                <w:rFonts w:ascii="Times New Roman" w:hAnsi="Times New Roman"/>
                <w:sz w:val="24"/>
                <w:szCs w:val="20"/>
              </w:rPr>
              <w:t xml:space="preserve"> būtu attiecināma uz kurināmā līmeņatzīmes apakšiekārtu, tai ir jāatbilst visiem četriem turpmāk norādītajiem nosacījumiem (2. panta 6. punkts):</w:t>
            </w:r>
          </w:p>
          <w:p w14:paraId="5945B215" w14:textId="26974E81" w:rsidR="00583F3E" w:rsidRPr="00583F3E" w:rsidRDefault="007D7BDD" w:rsidP="00FA5AF6">
            <w:pPr>
              <w:pStyle w:val="ListParagraph"/>
              <w:widowControl/>
              <w:tabs>
                <w:tab w:val="left" w:pos="360"/>
              </w:tabs>
              <w:ind w:left="240"/>
              <w:jc w:val="both"/>
              <w:rPr>
                <w:rFonts w:ascii="Times New Roman" w:hAnsi="Times New Roman" w:cs="Times New Roman"/>
                <w:noProof/>
                <w:position w:val="6"/>
                <w:sz w:val="24"/>
                <w:szCs w:val="20"/>
              </w:rPr>
            </w:pPr>
            <w:r>
              <w:rPr>
                <w:rFonts w:ascii="Times New Roman" w:hAnsi="Times New Roman"/>
                <w:sz w:val="24"/>
                <w:szCs w:val="20"/>
              </w:rPr>
              <w:lastRenderedPageBreak/>
              <w:t xml:space="preserve">- kurināmais netiek patērēts produkta vai </w:t>
            </w:r>
            <w:r w:rsidR="0036402B">
              <w:rPr>
                <w:rFonts w:ascii="Times New Roman" w:hAnsi="Times New Roman"/>
                <w:sz w:val="24"/>
                <w:szCs w:val="20"/>
              </w:rPr>
              <w:t>siltuma</w:t>
            </w:r>
            <w:r>
              <w:rPr>
                <w:rFonts w:ascii="Times New Roman" w:hAnsi="Times New Roman"/>
                <w:sz w:val="24"/>
                <w:szCs w:val="20"/>
              </w:rPr>
              <w:t xml:space="preserve"> līmeņatzīmes apakšiekārtas robežās;</w:t>
            </w:r>
          </w:p>
          <w:p w14:paraId="61CDBE72" w14:textId="77777777" w:rsidR="00583F3E" w:rsidRPr="00583F3E" w:rsidRDefault="007D7BDD" w:rsidP="00FA5AF6">
            <w:pPr>
              <w:pStyle w:val="ListParagraph"/>
              <w:widowControl/>
              <w:tabs>
                <w:tab w:val="left" w:pos="360"/>
              </w:tabs>
              <w:ind w:left="240"/>
              <w:jc w:val="both"/>
              <w:rPr>
                <w:rFonts w:ascii="Times New Roman" w:hAnsi="Times New Roman" w:cs="Times New Roman"/>
                <w:noProof/>
                <w:position w:val="6"/>
                <w:sz w:val="24"/>
                <w:szCs w:val="20"/>
              </w:rPr>
            </w:pPr>
            <w:r>
              <w:rPr>
                <w:rFonts w:ascii="Times New Roman" w:hAnsi="Times New Roman"/>
                <w:sz w:val="24"/>
                <w:szCs w:val="20"/>
              </w:rPr>
              <w:t>- siltums netiek patērēts elektroenerģijas ražošanai;</w:t>
            </w:r>
          </w:p>
          <w:p w14:paraId="2D100E0E" w14:textId="77777777" w:rsidR="00583F3E" w:rsidRPr="00583F3E" w:rsidRDefault="007D7BDD" w:rsidP="00FA5AF6">
            <w:pPr>
              <w:pStyle w:val="ListParagraph"/>
              <w:widowControl/>
              <w:tabs>
                <w:tab w:val="left" w:pos="360"/>
              </w:tabs>
              <w:ind w:left="240"/>
              <w:jc w:val="both"/>
              <w:rPr>
                <w:rFonts w:ascii="Times New Roman" w:hAnsi="Times New Roman" w:cs="Times New Roman"/>
                <w:noProof/>
                <w:position w:val="6"/>
                <w:sz w:val="24"/>
                <w:szCs w:val="20"/>
              </w:rPr>
            </w:pPr>
            <w:r>
              <w:rPr>
                <w:rFonts w:ascii="Times New Roman" w:hAnsi="Times New Roman"/>
                <w:sz w:val="24"/>
                <w:szCs w:val="20"/>
              </w:rPr>
              <w:t>- kurināmais netiek sadedzināts lāpā, izņemot gadījumus, kad tas tiek sadedzināts lāpā drošības apsvērumu dēļ;</w:t>
            </w:r>
          </w:p>
          <w:p w14:paraId="5BF8057A" w14:textId="77777777" w:rsidR="00583F3E" w:rsidRPr="00583F3E" w:rsidRDefault="007D7BDD" w:rsidP="00FA5AF6">
            <w:pPr>
              <w:pStyle w:val="ListParagraph"/>
              <w:widowControl/>
              <w:tabs>
                <w:tab w:val="left" w:pos="360"/>
              </w:tabs>
              <w:ind w:left="240"/>
              <w:jc w:val="both"/>
              <w:rPr>
                <w:rFonts w:ascii="Times New Roman" w:hAnsi="Times New Roman" w:cs="Times New Roman"/>
                <w:noProof/>
                <w:position w:val="6"/>
                <w:sz w:val="24"/>
                <w:szCs w:val="20"/>
              </w:rPr>
            </w:pPr>
            <w:r>
              <w:rPr>
                <w:rFonts w:ascii="Times New Roman" w:hAnsi="Times New Roman"/>
                <w:sz w:val="24"/>
                <w:szCs w:val="20"/>
              </w:rPr>
              <w:t>- kurināmais tiek sadedzināts, lai:</w:t>
            </w:r>
          </w:p>
          <w:p w14:paraId="54F703B8" w14:textId="77777777" w:rsidR="00583F3E" w:rsidRPr="00583F3E" w:rsidRDefault="007D7BDD" w:rsidP="00FA5AF6">
            <w:pPr>
              <w:pStyle w:val="ListParagraph"/>
              <w:widowControl/>
              <w:ind w:left="382"/>
              <w:jc w:val="both"/>
              <w:rPr>
                <w:rFonts w:ascii="Times New Roman" w:hAnsi="Times New Roman" w:cs="Times New Roman"/>
                <w:noProof/>
                <w:position w:val="6"/>
                <w:sz w:val="24"/>
                <w:szCs w:val="20"/>
              </w:rPr>
            </w:pPr>
            <w:r>
              <w:rPr>
                <w:rFonts w:ascii="Times New Roman" w:hAnsi="Times New Roman"/>
                <w:sz w:val="24"/>
                <w:szCs w:val="20"/>
              </w:rPr>
              <w:t>▪ veiktu tiešo apsildi vai dzesēšanu bez siltumnesēja (siltumu nevar izmērīt)</w:t>
            </w:r>
          </w:p>
          <w:p w14:paraId="235680FD" w14:textId="77777777" w:rsidR="00583F3E" w:rsidRPr="00583F3E" w:rsidRDefault="00583F3E" w:rsidP="00FA5AF6">
            <w:pPr>
              <w:pStyle w:val="TableParagraph"/>
              <w:widowControl/>
              <w:ind w:left="382"/>
              <w:jc w:val="both"/>
              <w:rPr>
                <w:rFonts w:ascii="Times New Roman" w:hAnsi="Times New Roman" w:cs="Times New Roman"/>
                <w:noProof/>
                <w:position w:val="6"/>
                <w:sz w:val="24"/>
                <w:szCs w:val="20"/>
              </w:rPr>
            </w:pPr>
            <w:r>
              <w:rPr>
                <w:rFonts w:ascii="Times New Roman" w:hAnsi="Times New Roman"/>
                <w:sz w:val="24"/>
                <w:szCs w:val="20"/>
              </w:rPr>
              <w:t>VAI</w:t>
            </w:r>
          </w:p>
          <w:p w14:paraId="489F26E7" w14:textId="77777777" w:rsidR="00583F3E" w:rsidRPr="00583F3E" w:rsidRDefault="007D7BDD" w:rsidP="00FA5AF6">
            <w:pPr>
              <w:pStyle w:val="ListParagraph"/>
              <w:widowControl/>
              <w:tabs>
                <w:tab w:val="left" w:pos="766"/>
              </w:tabs>
              <w:ind w:left="382"/>
              <w:jc w:val="both"/>
              <w:rPr>
                <w:rFonts w:ascii="Times New Roman" w:hAnsi="Times New Roman" w:cs="Times New Roman"/>
                <w:noProof/>
                <w:position w:val="6"/>
                <w:sz w:val="24"/>
                <w:szCs w:val="20"/>
              </w:rPr>
            </w:pPr>
            <w:r>
              <w:rPr>
                <w:rFonts w:ascii="Times New Roman" w:hAnsi="Times New Roman"/>
                <w:sz w:val="24"/>
                <w:szCs w:val="20"/>
              </w:rPr>
              <w:t>▪ ražotu mehānisko enerģiju, kas netiek izmantota elektroenerģijas ražošanai,</w:t>
            </w:r>
          </w:p>
          <w:p w14:paraId="1CA44037" w14:textId="77777777" w:rsidR="00583F3E" w:rsidRPr="00583F3E" w:rsidRDefault="00583F3E" w:rsidP="00FA5AF6">
            <w:pPr>
              <w:pStyle w:val="TableParagraph"/>
              <w:widowControl/>
              <w:tabs>
                <w:tab w:val="left" w:pos="539"/>
                <w:tab w:val="left" w:pos="6413"/>
              </w:tabs>
              <w:ind w:left="382"/>
              <w:jc w:val="both"/>
              <w:rPr>
                <w:rFonts w:ascii="Times New Roman" w:hAnsi="Times New Roman" w:cs="Times New Roman"/>
                <w:noProof/>
                <w:position w:val="6"/>
                <w:sz w:val="24"/>
                <w:szCs w:val="20"/>
              </w:rPr>
            </w:pPr>
            <w:r>
              <w:rPr>
                <w:rFonts w:ascii="Times New Roman" w:hAnsi="Times New Roman"/>
                <w:sz w:val="24"/>
                <w:szCs w:val="20"/>
              </w:rPr>
              <w:t>VAI</w:t>
            </w:r>
          </w:p>
          <w:p w14:paraId="64403EB7" w14:textId="77777777" w:rsidR="00583F3E" w:rsidRPr="00583F3E" w:rsidRDefault="007D7BDD" w:rsidP="00FA5AF6">
            <w:pPr>
              <w:pStyle w:val="ListParagraph"/>
              <w:widowControl/>
              <w:tabs>
                <w:tab w:val="left" w:pos="766"/>
              </w:tabs>
              <w:ind w:left="382"/>
              <w:jc w:val="both"/>
              <w:rPr>
                <w:rFonts w:ascii="Times New Roman" w:hAnsi="Times New Roman" w:cs="Times New Roman"/>
                <w:noProof/>
                <w:position w:val="6"/>
                <w:sz w:val="24"/>
                <w:szCs w:val="20"/>
              </w:rPr>
            </w:pPr>
            <w:r>
              <w:rPr>
                <w:rFonts w:ascii="Times New Roman" w:hAnsi="Times New Roman"/>
                <w:sz w:val="24"/>
                <w:szCs w:val="20"/>
              </w:rPr>
              <w:t>▪ ražotu produktus.</w:t>
            </w:r>
          </w:p>
        </w:tc>
      </w:tr>
      <w:tr w:rsidR="00583F3E" w:rsidRPr="00583F3E" w14:paraId="3A8C50B8" w14:textId="77777777" w:rsidTr="007D7BDD">
        <w:tc>
          <w:tcPr>
            <w:tcW w:w="792" w:type="pct"/>
            <w:vAlign w:val="center"/>
          </w:tcPr>
          <w:p w14:paraId="5EB8F962" w14:textId="77777777" w:rsidR="00583F3E" w:rsidRPr="00583F3E" w:rsidRDefault="00583F3E" w:rsidP="007D7BDD">
            <w:pPr>
              <w:pStyle w:val="TableParagraph"/>
              <w:widowControl/>
              <w:jc w:val="center"/>
              <w:rPr>
                <w:rFonts w:ascii="Times New Roman" w:hAnsi="Times New Roman" w:cs="Times New Roman"/>
                <w:noProof/>
                <w:position w:val="6"/>
                <w:sz w:val="24"/>
                <w:szCs w:val="20"/>
              </w:rPr>
            </w:pPr>
            <w:r>
              <w:rPr>
                <w:rFonts w:ascii="Times New Roman" w:hAnsi="Times New Roman"/>
                <w:sz w:val="24"/>
                <w:szCs w:val="20"/>
              </w:rPr>
              <w:lastRenderedPageBreak/>
              <w:t>Procesa emisiju pieeja</w:t>
            </w:r>
          </w:p>
        </w:tc>
        <w:tc>
          <w:tcPr>
            <w:tcW w:w="776" w:type="pct"/>
            <w:vAlign w:val="center"/>
          </w:tcPr>
          <w:p w14:paraId="79440EC6" w14:textId="77777777" w:rsidR="00583F3E" w:rsidRPr="00583F3E" w:rsidRDefault="00583F3E" w:rsidP="007D7BDD">
            <w:pPr>
              <w:pStyle w:val="TableParagraph"/>
              <w:widowControl/>
              <w:jc w:val="center"/>
              <w:rPr>
                <w:rFonts w:ascii="Times New Roman" w:hAnsi="Times New Roman" w:cs="Times New Roman"/>
                <w:noProof/>
                <w:position w:val="6"/>
                <w:sz w:val="24"/>
                <w:szCs w:val="20"/>
              </w:rPr>
            </w:pPr>
            <w:r>
              <w:rPr>
                <w:rFonts w:ascii="Times New Roman" w:hAnsi="Times New Roman"/>
                <w:sz w:val="24"/>
                <w:szCs w:val="20"/>
              </w:rPr>
              <w:t>0,97</w:t>
            </w:r>
          </w:p>
          <w:p w14:paraId="42F7AA88" w14:textId="0A58C2B6" w:rsidR="00583F3E" w:rsidRPr="00583F3E" w:rsidRDefault="0036402B" w:rsidP="007D7BDD">
            <w:pPr>
              <w:pStyle w:val="TableParagraph"/>
              <w:widowControl/>
              <w:jc w:val="center"/>
              <w:rPr>
                <w:rFonts w:ascii="Times New Roman" w:hAnsi="Times New Roman" w:cs="Times New Roman"/>
                <w:noProof/>
                <w:position w:val="6"/>
                <w:sz w:val="24"/>
                <w:szCs w:val="20"/>
              </w:rPr>
            </w:pPr>
            <w:r>
              <w:rPr>
                <w:rFonts w:ascii="Times New Roman" w:hAnsi="Times New Roman"/>
                <w:sz w:val="24"/>
                <w:szCs w:val="20"/>
              </w:rPr>
              <w:t>Emisijas k</w:t>
            </w:r>
            <w:r w:rsidR="00583F3E">
              <w:rPr>
                <w:rFonts w:ascii="Times New Roman" w:hAnsi="Times New Roman"/>
                <w:sz w:val="24"/>
                <w:szCs w:val="20"/>
              </w:rPr>
              <w:t xml:space="preserve">votas / procesa emisiju </w:t>
            </w:r>
            <w:r w:rsidR="00583F3E">
              <w:rPr>
                <w:rFonts w:ascii="Times New Roman" w:hAnsi="Times New Roman"/>
                <w:i/>
                <w:iCs/>
                <w:sz w:val="24"/>
                <w:szCs w:val="20"/>
              </w:rPr>
              <w:t>t</w:t>
            </w:r>
          </w:p>
        </w:tc>
        <w:tc>
          <w:tcPr>
            <w:tcW w:w="3432" w:type="pct"/>
          </w:tcPr>
          <w:p w14:paraId="3255ECC3" w14:textId="77777777" w:rsidR="00583F3E" w:rsidRPr="00583F3E" w:rsidRDefault="00583F3E" w:rsidP="00583F3E">
            <w:pPr>
              <w:pStyle w:val="TableParagraph"/>
              <w:widowControl/>
              <w:jc w:val="both"/>
              <w:rPr>
                <w:rFonts w:ascii="Times New Roman" w:hAnsi="Times New Roman" w:cs="Times New Roman"/>
                <w:noProof/>
                <w:position w:val="6"/>
                <w:sz w:val="24"/>
                <w:szCs w:val="20"/>
              </w:rPr>
            </w:pPr>
            <w:r>
              <w:rPr>
                <w:rFonts w:ascii="Times New Roman" w:hAnsi="Times New Roman"/>
                <w:sz w:val="24"/>
                <w:szCs w:val="20"/>
              </w:rPr>
              <w:t>Lai procesa emisijas būtu attiecināmas uz procesa emisiju līmeņatzīmes apakšiekārtu, tām ir jāatbilst abiem turpmāk norādītajiem nosacījumiem (2. panta 10. punkts):</w:t>
            </w:r>
          </w:p>
          <w:p w14:paraId="2568C803" w14:textId="77777777" w:rsidR="00583F3E" w:rsidRPr="00583F3E" w:rsidRDefault="007D7BDD" w:rsidP="00923C79">
            <w:pPr>
              <w:pStyle w:val="ListParagraph"/>
              <w:widowControl/>
              <w:tabs>
                <w:tab w:val="left" w:pos="482"/>
              </w:tabs>
              <w:ind w:left="240"/>
              <w:jc w:val="both"/>
              <w:rPr>
                <w:rFonts w:ascii="Times New Roman" w:hAnsi="Times New Roman" w:cs="Times New Roman"/>
                <w:noProof/>
                <w:position w:val="6"/>
                <w:sz w:val="24"/>
                <w:szCs w:val="20"/>
              </w:rPr>
            </w:pPr>
            <w:r>
              <w:rPr>
                <w:rFonts w:ascii="Times New Roman" w:hAnsi="Times New Roman"/>
                <w:sz w:val="24"/>
                <w:szCs w:val="20"/>
              </w:rPr>
              <w:t>- uz emisijām neattiecas produkta līmeņatzīme vai neviena no pārējām rezerves pieejām;</w:t>
            </w:r>
          </w:p>
          <w:p w14:paraId="3FCDE665" w14:textId="77777777" w:rsidR="00583F3E" w:rsidRPr="00583F3E" w:rsidRDefault="007D7BDD" w:rsidP="00923C79">
            <w:pPr>
              <w:pStyle w:val="ListParagraph"/>
              <w:widowControl/>
              <w:tabs>
                <w:tab w:val="left" w:pos="482"/>
              </w:tabs>
              <w:ind w:left="240"/>
              <w:jc w:val="both"/>
              <w:rPr>
                <w:rFonts w:ascii="Times New Roman" w:eastAsia="Calibri" w:hAnsi="Times New Roman" w:cs="Times New Roman"/>
                <w:noProof/>
                <w:position w:val="6"/>
                <w:sz w:val="24"/>
                <w:szCs w:val="20"/>
              </w:rPr>
            </w:pPr>
            <w:r>
              <w:rPr>
                <w:rFonts w:ascii="Times New Roman" w:hAnsi="Times New Roman"/>
                <w:sz w:val="24"/>
                <w:szCs w:val="20"/>
              </w:rPr>
              <w:t>- emisijas, kas tiek uzskatītas par “procesa emisijām”, ir vienas no šādām emisijām:</w:t>
            </w:r>
          </w:p>
          <w:p w14:paraId="590C7939" w14:textId="77777777" w:rsidR="00583F3E" w:rsidRPr="00583F3E" w:rsidRDefault="007D7BDD" w:rsidP="00923C79">
            <w:pPr>
              <w:pStyle w:val="ListParagraph"/>
              <w:widowControl/>
              <w:tabs>
                <w:tab w:val="left" w:pos="662"/>
              </w:tabs>
              <w:ind w:left="382"/>
              <w:jc w:val="both"/>
              <w:rPr>
                <w:rFonts w:ascii="Times New Roman" w:eastAsia="Calibri" w:hAnsi="Times New Roman" w:cs="Times New Roman"/>
                <w:noProof/>
                <w:position w:val="6"/>
                <w:sz w:val="24"/>
                <w:szCs w:val="20"/>
              </w:rPr>
            </w:pPr>
            <w:r>
              <w:rPr>
                <w:rFonts w:ascii="Times New Roman" w:hAnsi="Times New Roman"/>
                <w:sz w:val="24"/>
                <w:szCs w:val="20"/>
              </w:rPr>
              <w:t>▪ Direktīvas 2003/87/EK I pielikumā uzskaitītās to siltumnīcefekta gāzu emisijas, kas nav CO</w:t>
            </w:r>
            <w:r>
              <w:rPr>
                <w:rFonts w:ascii="Times New Roman" w:hAnsi="Times New Roman"/>
                <w:sz w:val="24"/>
                <w:szCs w:val="20"/>
                <w:vertAlign w:val="subscript"/>
              </w:rPr>
              <w:t>2</w:t>
            </w:r>
            <w:r>
              <w:rPr>
                <w:rFonts w:ascii="Times New Roman" w:hAnsi="Times New Roman"/>
                <w:sz w:val="24"/>
                <w:szCs w:val="20"/>
              </w:rPr>
              <w:t xml:space="preserve"> un kuras rodas ārpus </w:t>
            </w:r>
            <w:r>
              <w:rPr>
                <w:rFonts w:ascii="Times New Roman" w:hAnsi="Times New Roman"/>
                <w:i/>
                <w:sz w:val="24"/>
                <w:szCs w:val="20"/>
              </w:rPr>
              <w:t>FAR</w:t>
            </w:r>
            <w:r>
              <w:rPr>
                <w:rFonts w:ascii="Times New Roman" w:hAnsi="Times New Roman"/>
                <w:sz w:val="24"/>
                <w:szCs w:val="20"/>
              </w:rPr>
              <w:t xml:space="preserve"> I pielikumā iekļauto produktu līmeņatzīmju sistēmas robežām;</w:t>
            </w:r>
          </w:p>
          <w:p w14:paraId="4E9352F4" w14:textId="77777777" w:rsidR="00583F3E" w:rsidRPr="00583F3E" w:rsidRDefault="007D7BDD" w:rsidP="00923C79">
            <w:pPr>
              <w:pStyle w:val="ListParagraph"/>
              <w:widowControl/>
              <w:tabs>
                <w:tab w:val="left" w:pos="662"/>
              </w:tabs>
              <w:ind w:left="382"/>
              <w:jc w:val="both"/>
              <w:rPr>
                <w:rFonts w:ascii="Times New Roman" w:eastAsia="Calibri" w:hAnsi="Times New Roman" w:cs="Times New Roman"/>
                <w:noProof/>
                <w:position w:val="6"/>
                <w:sz w:val="24"/>
                <w:szCs w:val="20"/>
              </w:rPr>
            </w:pPr>
            <w:r>
              <w:rPr>
                <w:rFonts w:ascii="Times New Roman" w:hAnsi="Times New Roman"/>
                <w:sz w:val="24"/>
                <w:szCs w:val="20"/>
              </w:rPr>
              <w:t>▪ CO</w:t>
            </w:r>
            <w:r>
              <w:rPr>
                <w:rFonts w:ascii="Times New Roman" w:hAnsi="Times New Roman"/>
                <w:sz w:val="24"/>
                <w:szCs w:val="20"/>
                <w:vertAlign w:val="subscript"/>
              </w:rPr>
              <w:t>2</w:t>
            </w:r>
            <w:r>
              <w:rPr>
                <w:rFonts w:ascii="Times New Roman" w:hAnsi="Times New Roman"/>
                <w:sz w:val="24"/>
                <w:szCs w:val="20"/>
              </w:rPr>
              <w:t xml:space="preserve"> emisijas, kas rodas jebkura no turpmāk uzskaitītajiem procesiem rezultātā; var aplūkot tikai tādas CO</w:t>
            </w:r>
            <w:r>
              <w:rPr>
                <w:rFonts w:ascii="Times New Roman" w:hAnsi="Times New Roman"/>
                <w:sz w:val="24"/>
                <w:szCs w:val="20"/>
                <w:vertAlign w:val="subscript"/>
              </w:rPr>
              <w:t>2</w:t>
            </w:r>
            <w:r>
              <w:rPr>
                <w:rFonts w:ascii="Times New Roman" w:hAnsi="Times New Roman"/>
                <w:sz w:val="24"/>
                <w:szCs w:val="20"/>
              </w:rPr>
              <w:t xml:space="preserve"> emisijas, kas ir tiešs un tūlītējs ražošanas procesa vai ķīmiskās reakcijas rezultāts. CO</w:t>
            </w:r>
            <w:r>
              <w:rPr>
                <w:rFonts w:ascii="Times New Roman" w:hAnsi="Times New Roman"/>
                <w:sz w:val="24"/>
                <w:szCs w:val="20"/>
                <w:vertAlign w:val="subscript"/>
              </w:rPr>
              <w:t>2</w:t>
            </w:r>
            <w:r>
              <w:rPr>
                <w:rFonts w:ascii="Times New Roman" w:hAnsi="Times New Roman"/>
                <w:sz w:val="24"/>
                <w:szCs w:val="20"/>
              </w:rPr>
              <w:t xml:space="preserve"> emisijas, kas radušās CO vai cita nepilnīgi oksidētā oglekļa oksidācijas rezultātā, netiek ietvertas neatkarīgi no tā, vai oksidācija notiek tai pašā vai atsevišķā tehniskajā vienībā. Piemērs: CO</w:t>
            </w:r>
            <w:r>
              <w:rPr>
                <w:rFonts w:ascii="Times New Roman" w:hAnsi="Times New Roman"/>
                <w:sz w:val="24"/>
                <w:szCs w:val="20"/>
                <w:vertAlign w:val="subscript"/>
              </w:rPr>
              <w:t>2</w:t>
            </w:r>
            <w:r>
              <w:rPr>
                <w:rFonts w:ascii="Times New Roman" w:hAnsi="Times New Roman"/>
                <w:sz w:val="24"/>
                <w:szCs w:val="20"/>
              </w:rPr>
              <w:t xml:space="preserve"> emisiju, kas radusies CO oksidācijas rezultātā atklātā krāsnī, nevar uzskatīt par procesa emisiju, kas atbilst šai kategorijai (bet tā var ietilpt trešajā kategorijā, ja tiek izpildīti kritēriji;</w:t>
            </w:r>
            <w:r>
              <w:rPr>
                <w:rFonts w:ascii="Times New Roman" w:hAnsi="Times New Roman"/>
                <w:i/>
                <w:sz w:val="24"/>
                <w:szCs w:val="20"/>
              </w:rPr>
              <w:t xml:space="preserve"> papildu norādījumus par atlikumgāzu sadedzināšanu atklātā krāsnī sk. Norādījumu dokumentā Nr. 8 par atlikumgāzēm un procesa emisiju apakšiekārtu</w:t>
            </w:r>
            <w:r>
              <w:rPr>
                <w:rFonts w:ascii="Times New Roman" w:hAnsi="Times New Roman"/>
                <w:sz w:val="24"/>
                <w:szCs w:val="20"/>
              </w:rPr>
              <w:t>);</w:t>
            </w:r>
          </w:p>
          <w:p w14:paraId="04E22CEA" w14:textId="77777777" w:rsidR="00583F3E" w:rsidRPr="00583F3E" w:rsidRDefault="007D7BDD" w:rsidP="00923C79">
            <w:pPr>
              <w:pStyle w:val="ListParagraph"/>
              <w:widowControl/>
              <w:tabs>
                <w:tab w:val="left" w:pos="662"/>
              </w:tabs>
              <w:ind w:left="382"/>
              <w:jc w:val="both"/>
              <w:rPr>
                <w:rFonts w:ascii="Times New Roman" w:eastAsia="Calibri" w:hAnsi="Times New Roman" w:cs="Times New Roman"/>
                <w:noProof/>
                <w:position w:val="6"/>
                <w:sz w:val="24"/>
                <w:szCs w:val="20"/>
              </w:rPr>
            </w:pPr>
            <w:r>
              <w:rPr>
                <w:rFonts w:ascii="Times New Roman" w:hAnsi="Times New Roman"/>
                <w:sz w:val="24"/>
                <w:szCs w:val="20"/>
              </w:rPr>
              <w:t>▪ emisijas, kas rodas, sadedzinot atlikumgāzes, lai ražotu izmērāmu siltumu, neizmērāmu siltumu vai elektroenerģiju, MĪNUS līdzvērtīgās emisijas, kas rodas, sadedzinot tādu daudzumu dabasgāzes, kuras enerģētiskais saturs ir vienāds ar šo gāzu enerģētisko saturu, ņemot vērā enerģijas pārveidošanas lietderības koeficientu atšķirības (</w:t>
            </w:r>
            <w:r>
              <w:rPr>
                <w:rFonts w:ascii="Times New Roman" w:hAnsi="Times New Roman"/>
                <w:i/>
                <w:sz w:val="24"/>
                <w:szCs w:val="20"/>
              </w:rPr>
              <w:t>papildu informāciju par atlikumgāzu definīciju un atbilstošo piešķiramo kvotu apjomu noteikšanu sk. Norādījumu dokumentā Nr. 8 par atlikumgāzēm un procesa emisiju apakšiekārtu</w:t>
            </w:r>
            <w:r>
              <w:rPr>
                <w:rFonts w:ascii="Times New Roman" w:hAnsi="Times New Roman"/>
                <w:sz w:val="24"/>
                <w:szCs w:val="20"/>
              </w:rPr>
              <w:t>).</w:t>
            </w:r>
          </w:p>
          <w:p w14:paraId="73E1D16A" w14:textId="77777777" w:rsidR="00583F3E" w:rsidRPr="00583F3E" w:rsidRDefault="00583F3E" w:rsidP="00583F3E">
            <w:pPr>
              <w:pStyle w:val="TableParagraph"/>
              <w:widowControl/>
              <w:jc w:val="both"/>
              <w:rPr>
                <w:rFonts w:ascii="Times New Roman" w:eastAsia="Calibri" w:hAnsi="Times New Roman" w:cs="Times New Roman"/>
                <w:noProof/>
                <w:position w:val="6"/>
                <w:sz w:val="24"/>
                <w:szCs w:val="20"/>
              </w:rPr>
            </w:pPr>
          </w:p>
          <w:p w14:paraId="392BC97E" w14:textId="77777777" w:rsidR="00583F3E" w:rsidRPr="00583F3E" w:rsidRDefault="00583F3E" w:rsidP="00583F3E">
            <w:pPr>
              <w:pStyle w:val="TableParagraph"/>
              <w:widowControl/>
              <w:jc w:val="both"/>
              <w:rPr>
                <w:rFonts w:ascii="Times New Roman" w:hAnsi="Times New Roman" w:cs="Times New Roman"/>
                <w:noProof/>
                <w:position w:val="6"/>
                <w:sz w:val="24"/>
                <w:szCs w:val="20"/>
              </w:rPr>
            </w:pPr>
            <w:r>
              <w:rPr>
                <w:rFonts w:ascii="Times New Roman" w:hAnsi="Times New Roman"/>
                <w:sz w:val="24"/>
                <w:szCs w:val="20"/>
              </w:rPr>
              <w:t>Attiecīgie procesi (ar nosacījumu, ka to pamatmērķis nav siltuma ražošana):</w:t>
            </w:r>
          </w:p>
          <w:p w14:paraId="5FDDB585" w14:textId="77777777" w:rsidR="00583F3E" w:rsidRPr="00583F3E" w:rsidRDefault="007D7BDD" w:rsidP="00923C79">
            <w:pPr>
              <w:pStyle w:val="ListParagraph"/>
              <w:widowControl/>
              <w:tabs>
                <w:tab w:val="left" w:pos="302"/>
              </w:tabs>
              <w:ind w:left="240"/>
              <w:jc w:val="both"/>
              <w:rPr>
                <w:rFonts w:ascii="Times New Roman" w:hAnsi="Times New Roman" w:cs="Times New Roman"/>
                <w:noProof/>
                <w:position w:val="6"/>
                <w:sz w:val="24"/>
                <w:szCs w:val="20"/>
              </w:rPr>
            </w:pPr>
            <w:r>
              <w:rPr>
                <w:rFonts w:ascii="Times New Roman" w:hAnsi="Times New Roman"/>
                <w:sz w:val="24"/>
                <w:szCs w:val="20"/>
              </w:rPr>
              <w:t>○ metāla savienojumu ķīmiskā vai elektrolītiskā reducēšana rūdās, koncentrātos un sekundārajos materiālos;</w:t>
            </w:r>
          </w:p>
          <w:p w14:paraId="5789ABD9" w14:textId="77777777" w:rsidR="00583F3E" w:rsidRPr="00583F3E" w:rsidRDefault="007D7BDD" w:rsidP="00923C79">
            <w:pPr>
              <w:pStyle w:val="ListParagraph"/>
              <w:widowControl/>
              <w:tabs>
                <w:tab w:val="left" w:pos="302"/>
              </w:tabs>
              <w:ind w:left="240"/>
              <w:jc w:val="both"/>
              <w:rPr>
                <w:rFonts w:ascii="Times New Roman" w:hAnsi="Times New Roman" w:cs="Times New Roman"/>
                <w:noProof/>
                <w:position w:val="6"/>
                <w:sz w:val="24"/>
                <w:szCs w:val="20"/>
              </w:rPr>
            </w:pPr>
            <w:r>
              <w:rPr>
                <w:rFonts w:ascii="Times New Roman" w:hAnsi="Times New Roman"/>
                <w:sz w:val="24"/>
                <w:szCs w:val="20"/>
              </w:rPr>
              <w:t>○ piemaisījumu atdalīšana no metāliem un metālu savienojumiem;</w:t>
            </w:r>
          </w:p>
          <w:p w14:paraId="57927953" w14:textId="77777777" w:rsidR="00583F3E" w:rsidRPr="00583F3E" w:rsidRDefault="007D7BDD" w:rsidP="00923C79">
            <w:pPr>
              <w:pStyle w:val="ListParagraph"/>
              <w:widowControl/>
              <w:tabs>
                <w:tab w:val="left" w:pos="302"/>
              </w:tabs>
              <w:ind w:left="240"/>
              <w:jc w:val="both"/>
              <w:rPr>
                <w:rFonts w:ascii="Times New Roman" w:hAnsi="Times New Roman" w:cs="Times New Roman"/>
                <w:noProof/>
                <w:position w:val="6"/>
                <w:sz w:val="24"/>
                <w:szCs w:val="20"/>
              </w:rPr>
            </w:pPr>
            <w:r>
              <w:rPr>
                <w:rFonts w:ascii="Times New Roman" w:hAnsi="Times New Roman"/>
                <w:sz w:val="24"/>
                <w:szCs w:val="20"/>
              </w:rPr>
              <w:t>○ karbonātu termiska sadalīšana, izņemot karbonātus dūmgāzu attīrīšanai skruberī;</w:t>
            </w:r>
          </w:p>
          <w:p w14:paraId="294548A9" w14:textId="77777777" w:rsidR="00583F3E" w:rsidRPr="00583F3E" w:rsidRDefault="007D7BDD" w:rsidP="00923C79">
            <w:pPr>
              <w:pStyle w:val="ListParagraph"/>
              <w:widowControl/>
              <w:tabs>
                <w:tab w:val="left" w:pos="302"/>
              </w:tabs>
              <w:ind w:left="240"/>
              <w:jc w:val="both"/>
              <w:rPr>
                <w:rFonts w:ascii="Times New Roman" w:hAnsi="Times New Roman" w:cs="Times New Roman"/>
                <w:noProof/>
                <w:position w:val="6"/>
                <w:sz w:val="24"/>
                <w:szCs w:val="20"/>
              </w:rPr>
            </w:pPr>
            <w:r>
              <w:rPr>
                <w:rFonts w:ascii="Times New Roman" w:hAnsi="Times New Roman"/>
                <w:sz w:val="24"/>
                <w:szCs w:val="20"/>
              </w:rPr>
              <w:t>○ ķīmiskā sintēze, kuras ietvaros reakcijā piedalās oglekli saturošs materiāls;</w:t>
            </w:r>
          </w:p>
          <w:p w14:paraId="62013743" w14:textId="77777777" w:rsidR="00583F3E" w:rsidRPr="00583F3E" w:rsidRDefault="007D7BDD" w:rsidP="00923C79">
            <w:pPr>
              <w:pStyle w:val="ListParagraph"/>
              <w:widowControl/>
              <w:tabs>
                <w:tab w:val="left" w:pos="302"/>
              </w:tabs>
              <w:ind w:left="240"/>
              <w:jc w:val="both"/>
              <w:rPr>
                <w:rFonts w:ascii="Times New Roman" w:hAnsi="Times New Roman" w:cs="Times New Roman"/>
                <w:noProof/>
                <w:position w:val="6"/>
                <w:sz w:val="24"/>
                <w:szCs w:val="20"/>
              </w:rPr>
            </w:pPr>
            <w:r>
              <w:rPr>
                <w:rFonts w:ascii="Times New Roman" w:hAnsi="Times New Roman"/>
                <w:sz w:val="24"/>
                <w:szCs w:val="20"/>
              </w:rPr>
              <w:t>○ oglekli saturošu piedevu vai izejmateriālu izmantošana;</w:t>
            </w:r>
          </w:p>
          <w:p w14:paraId="63B1E432" w14:textId="77777777" w:rsidR="00583F3E" w:rsidRPr="00583F3E" w:rsidRDefault="007D7BDD" w:rsidP="00923C79">
            <w:pPr>
              <w:pStyle w:val="ListParagraph"/>
              <w:widowControl/>
              <w:tabs>
                <w:tab w:val="left" w:pos="302"/>
              </w:tabs>
              <w:ind w:left="240"/>
              <w:jc w:val="both"/>
              <w:rPr>
                <w:rFonts w:ascii="Times New Roman" w:hAnsi="Times New Roman" w:cs="Times New Roman"/>
                <w:noProof/>
                <w:position w:val="6"/>
                <w:sz w:val="24"/>
                <w:szCs w:val="20"/>
              </w:rPr>
            </w:pPr>
            <w:r>
              <w:rPr>
                <w:rFonts w:ascii="Times New Roman" w:hAnsi="Times New Roman"/>
                <w:sz w:val="24"/>
                <w:szCs w:val="20"/>
              </w:rPr>
              <w:t>○ pusmetālu oksīdu vai nemetālu oksīdu, piemēram, silīcija oksīdu un fosfātu, ķīmiskā vai elektrolītiskā reducēšana.</w:t>
            </w:r>
          </w:p>
        </w:tc>
      </w:tr>
    </w:tbl>
    <w:p w14:paraId="340174AB"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36E58516"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Jāievēro, ka jautājums par to, kā rīkoties attiecībā uz siltuma atgūšanu no dažādu veidu apakšiekārtām, aplūkots 3.4. iedaļā.</w:t>
      </w:r>
      <w:bookmarkStart w:id="9" w:name="_bookmark4"/>
      <w:bookmarkEnd w:id="9"/>
    </w:p>
    <w:p w14:paraId="1E2F62FA" w14:textId="77777777" w:rsidR="00583F3E" w:rsidRPr="00583F3E" w:rsidRDefault="00583F3E" w:rsidP="00583F3E">
      <w:pPr>
        <w:widowControl/>
        <w:jc w:val="both"/>
        <w:rPr>
          <w:rFonts w:ascii="Times New Roman" w:hAnsi="Times New Roman" w:cs="Times New Roman"/>
          <w:noProof/>
          <w:position w:val="6"/>
          <w:sz w:val="24"/>
        </w:rPr>
      </w:pPr>
    </w:p>
    <w:p w14:paraId="1AF4DD53" w14:textId="77777777" w:rsidR="007D7BDD" w:rsidRPr="00FA5AF6" w:rsidRDefault="007D7BDD" w:rsidP="00FA5AF6">
      <w:pPr>
        <w:pStyle w:val="Heading2"/>
        <w:ind w:left="0" w:firstLine="0"/>
        <w:jc w:val="both"/>
        <w:rPr>
          <w:rFonts w:ascii="Times New Roman" w:hAnsi="Times New Roman" w:cs="Times New Roman"/>
          <w:noProof/>
          <w:position w:val="6"/>
        </w:rPr>
      </w:pPr>
      <w:bookmarkStart w:id="10" w:name="_Toc31207922"/>
      <w:r w:rsidRPr="00FA5AF6">
        <w:rPr>
          <w:rFonts w:ascii="Times New Roman" w:hAnsi="Times New Roman" w:cs="Times New Roman"/>
        </w:rPr>
        <w:t>2.2. Oglekļa emisiju pārvirzes statusa ietekme uz kvotu piešķiršanu (apakš-)iekārtas līmenī</w:t>
      </w:r>
      <w:bookmarkEnd w:id="10"/>
    </w:p>
    <w:p w14:paraId="3EDB7E16" w14:textId="77777777" w:rsidR="007D7BDD" w:rsidRDefault="007D7BDD" w:rsidP="007D7BDD">
      <w:pPr>
        <w:widowControl/>
        <w:tabs>
          <w:tab w:val="left" w:pos="797"/>
        </w:tabs>
        <w:jc w:val="both"/>
        <w:rPr>
          <w:rFonts w:ascii="Times New Roman" w:hAnsi="Times New Roman" w:cs="Times New Roman"/>
          <w:b/>
          <w:noProof/>
          <w:position w:val="6"/>
          <w:sz w:val="24"/>
        </w:rPr>
      </w:pPr>
    </w:p>
    <w:p w14:paraId="127C21FE" w14:textId="58B551C3" w:rsidR="00583F3E" w:rsidRDefault="00583F3E" w:rsidP="00992B49">
      <w:pPr>
        <w:widowControl/>
        <w:tabs>
          <w:tab w:val="left" w:pos="797"/>
        </w:tabs>
        <w:jc w:val="both"/>
        <w:rPr>
          <w:rFonts w:ascii="Times New Roman" w:hAnsi="Times New Roman" w:cs="Times New Roman"/>
          <w:noProof/>
          <w:position w:val="6"/>
        </w:rPr>
      </w:pPr>
      <w:r>
        <w:rPr>
          <w:rFonts w:ascii="Times New Roman" w:hAnsi="Times New Roman"/>
          <w:sz w:val="24"/>
        </w:rPr>
        <w:t>Nozares vai apakšnozares, kas uzskatāmas par pakļautām ievērojamam oglekļa emisiju pārvirzes riskam, ir tās, kas var nonākt būtiski neizdevīgākos konkurences apstākļos nekā konkurenti, kas atrodas tajās zonās ārpus</w:t>
      </w:r>
      <w:bookmarkStart w:id="11" w:name="_bookmark5"/>
      <w:bookmarkEnd w:id="11"/>
      <w:r w:rsidR="00992B49">
        <w:rPr>
          <w:rFonts w:ascii="Times New Roman" w:hAnsi="Times New Roman"/>
          <w:sz w:val="24"/>
        </w:rPr>
        <w:t xml:space="preserve"> </w:t>
      </w:r>
      <w:r>
        <w:rPr>
          <w:rFonts w:ascii="Times New Roman" w:hAnsi="Times New Roman"/>
        </w:rPr>
        <w:t>ES, kurās nav līdzīgu emisijas ierobežojumu. Komisijas deleģētais akts,</w:t>
      </w:r>
      <w:r w:rsidR="00992B49">
        <w:rPr>
          <w:rFonts w:ascii="Times New Roman" w:hAnsi="Times New Roman"/>
        </w:rPr>
        <w:t xml:space="preserve"> </w:t>
      </w:r>
      <w:r>
        <w:rPr>
          <w:rFonts w:ascii="Times New Roman" w:hAnsi="Times New Roman"/>
        </w:rPr>
        <w:t>kurā noteikts to nozaru un apakšnozaru saraksts, kas uzskatāmas par pakļautām ievērojamam oglekļa emisiju pārvirzes riskam, tika pieņemts 2019. gada 15. februārī, pamatojoties uz kritērijiem, kas izklāstīti ES ETS direktīvas 10.b pantā</w:t>
      </w:r>
      <w:r w:rsidR="00806B85">
        <w:rPr>
          <w:rStyle w:val="FootnoteReference"/>
          <w:rFonts w:ascii="Times New Roman" w:hAnsi="Times New Roman" w:cs="Times New Roman"/>
          <w:noProof/>
          <w:position w:val="6"/>
        </w:rPr>
        <w:footnoteReference w:id="6"/>
      </w:r>
      <w:r>
        <w:rPr>
          <w:rFonts w:ascii="Times New Roman" w:hAnsi="Times New Roman"/>
        </w:rPr>
        <w:t xml:space="preserve">. Tajā identificētas 63 (apakš-)nozares, kas uzskatāmas par pakļautām ievērojamam oglekļa emisiju pārvirzes riskam. Saskaņotais saraksts būs spēkā 10 gadus, t. i., tas netiks atjaunināts ES ETS ceturtajā periodā, un šajā dokumentā tas tiks saukts par “oglekļa emisiju pārvirzes sarakstu” (jeb </w:t>
      </w:r>
      <w:r>
        <w:rPr>
          <w:rFonts w:ascii="Times New Roman" w:hAnsi="Times New Roman"/>
          <w:i/>
        </w:rPr>
        <w:t>CLL</w:t>
      </w:r>
      <w:r>
        <w:rPr>
          <w:rFonts w:ascii="Times New Roman" w:hAnsi="Times New Roman"/>
        </w:rPr>
        <w:t xml:space="preserve">). Šajā sarakstā ietvertās nozares un apakšnozares tiek sauktas arī par “oglekļa emisiju pārvirzes” (jeb </w:t>
      </w:r>
      <w:r>
        <w:rPr>
          <w:rFonts w:ascii="Times New Roman" w:hAnsi="Times New Roman"/>
          <w:i/>
        </w:rPr>
        <w:t>CL</w:t>
      </w:r>
      <w:r>
        <w:rPr>
          <w:rFonts w:ascii="Times New Roman" w:hAnsi="Times New Roman"/>
        </w:rPr>
        <w:t xml:space="preserve">) (apakš-)nozarēm, turpretim (apakš-)nozares, kas nav ietvertas šajā sarakstā, tiek sauktas par (apakš-)nozarēm “bez oglekļa emisiju pārvirzes” (jeb bez </w:t>
      </w:r>
      <w:r>
        <w:rPr>
          <w:rFonts w:ascii="Times New Roman" w:hAnsi="Times New Roman"/>
          <w:i/>
        </w:rPr>
        <w:t>CL</w:t>
      </w:r>
      <w:r>
        <w:rPr>
          <w:rFonts w:ascii="Times New Roman" w:hAnsi="Times New Roman"/>
        </w:rPr>
        <w:t>).</w:t>
      </w:r>
    </w:p>
    <w:p w14:paraId="3F30CA1E" w14:textId="77777777" w:rsidR="007D7BDD" w:rsidRDefault="007D7BDD" w:rsidP="00583F3E">
      <w:pPr>
        <w:pStyle w:val="BodyText"/>
        <w:widowControl/>
        <w:ind w:left="0"/>
        <w:jc w:val="both"/>
        <w:rPr>
          <w:rFonts w:ascii="Times New Roman" w:hAnsi="Times New Roman" w:cs="Times New Roman"/>
          <w:noProof/>
          <w:position w:val="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7D7BDD" w:rsidRPr="007D7BDD" w14:paraId="09381493" w14:textId="77777777" w:rsidTr="00923C79">
        <w:tc>
          <w:tcPr>
            <w:tcW w:w="5000" w:type="pct"/>
          </w:tcPr>
          <w:p w14:paraId="4DC6A741" w14:textId="77777777" w:rsidR="007D7BDD" w:rsidRPr="007D7BDD" w:rsidRDefault="007D7BDD" w:rsidP="007D7BDD">
            <w:pPr>
              <w:jc w:val="both"/>
              <w:rPr>
                <w:rFonts w:ascii="Times New Roman" w:hAnsi="Times New Roman" w:cs="Times New Roman"/>
                <w:b/>
                <w:noProof/>
                <w:sz w:val="24"/>
                <w:szCs w:val="24"/>
              </w:rPr>
            </w:pPr>
            <w:r>
              <w:rPr>
                <w:rFonts w:ascii="Times New Roman" w:hAnsi="Times New Roman"/>
                <w:b/>
                <w:i/>
                <w:sz w:val="24"/>
                <w:szCs w:val="24"/>
              </w:rPr>
              <w:t>NACE</w:t>
            </w:r>
            <w:r>
              <w:rPr>
                <w:rFonts w:ascii="Times New Roman" w:hAnsi="Times New Roman"/>
                <w:b/>
                <w:sz w:val="24"/>
                <w:szCs w:val="24"/>
              </w:rPr>
              <w:t xml:space="preserve"> un </w:t>
            </w:r>
            <w:r>
              <w:rPr>
                <w:rFonts w:ascii="Times New Roman" w:hAnsi="Times New Roman"/>
                <w:b/>
                <w:i/>
                <w:sz w:val="24"/>
                <w:szCs w:val="24"/>
              </w:rPr>
              <w:t>PRODCOM</w:t>
            </w:r>
            <w:r>
              <w:rPr>
                <w:rFonts w:ascii="Times New Roman" w:hAnsi="Times New Roman"/>
                <w:b/>
                <w:sz w:val="24"/>
                <w:szCs w:val="24"/>
              </w:rPr>
              <w:t xml:space="preserve"> kodi</w:t>
            </w:r>
          </w:p>
          <w:p w14:paraId="590B57F5" w14:textId="77777777" w:rsidR="007D7BDD" w:rsidRPr="007D7BDD" w:rsidRDefault="007D7BDD" w:rsidP="007D7BDD">
            <w:pPr>
              <w:jc w:val="both"/>
              <w:rPr>
                <w:rFonts w:ascii="Times New Roman" w:hAnsi="Times New Roman" w:cs="Times New Roman"/>
                <w:noProof/>
                <w:sz w:val="24"/>
                <w:szCs w:val="24"/>
              </w:rPr>
            </w:pPr>
            <w:r>
              <w:rPr>
                <w:rFonts w:ascii="Times New Roman" w:hAnsi="Times New Roman"/>
                <w:sz w:val="24"/>
                <w:szCs w:val="24"/>
              </w:rPr>
              <w:t xml:space="preserve">Principā atbilstības novērtējums (apakš-)nozaru iekļaušanai šajā sarakstā balstās uz to </w:t>
            </w:r>
            <w:r>
              <w:rPr>
                <w:rFonts w:ascii="Times New Roman" w:hAnsi="Times New Roman"/>
                <w:i/>
                <w:sz w:val="24"/>
                <w:szCs w:val="24"/>
              </w:rPr>
              <w:t xml:space="preserve">NACE </w:t>
            </w:r>
            <w:r>
              <w:rPr>
                <w:rFonts w:ascii="Times New Roman" w:hAnsi="Times New Roman"/>
                <w:sz w:val="24"/>
                <w:szCs w:val="24"/>
              </w:rPr>
              <w:t xml:space="preserve">klasifikācijas kodiem, lai gan vairākām apakšnozarēm tas balstās uz sīkāk iedalītiem </w:t>
            </w:r>
            <w:r>
              <w:rPr>
                <w:rFonts w:ascii="Times New Roman" w:hAnsi="Times New Roman"/>
                <w:i/>
                <w:sz w:val="24"/>
                <w:szCs w:val="24"/>
              </w:rPr>
              <w:t>PRODCOM</w:t>
            </w:r>
            <w:r>
              <w:rPr>
                <w:rFonts w:ascii="Times New Roman" w:hAnsi="Times New Roman"/>
                <w:sz w:val="24"/>
                <w:szCs w:val="24"/>
              </w:rPr>
              <w:t xml:space="preserve"> klasifikācijas kodiem.</w:t>
            </w:r>
          </w:p>
          <w:p w14:paraId="233A28B3" w14:textId="77777777" w:rsidR="007D7BDD" w:rsidRPr="007D7BDD" w:rsidRDefault="007D7BDD" w:rsidP="007D7BDD">
            <w:pPr>
              <w:pStyle w:val="BodyText"/>
              <w:widowControl/>
              <w:ind w:left="0"/>
              <w:jc w:val="both"/>
              <w:rPr>
                <w:rFonts w:ascii="Times New Roman" w:hAnsi="Times New Roman" w:cs="Times New Roman"/>
                <w:noProof/>
                <w:position w:val="6"/>
              </w:rPr>
            </w:pPr>
            <w:r>
              <w:rPr>
                <w:rFonts w:ascii="Times New Roman" w:hAnsi="Times New Roman"/>
                <w:i/>
              </w:rPr>
              <w:t xml:space="preserve">NACE </w:t>
            </w:r>
            <w:r>
              <w:rPr>
                <w:rFonts w:ascii="Times New Roman" w:hAnsi="Times New Roman"/>
              </w:rPr>
              <w:t xml:space="preserve">kodi ir četrciparu kodi, kurus izmanto, lai, pamatojoties uz iekārtas veicamajām darbībām, noteiktu tās piederību konkrētai nozarei. Šie kodi ir ņemti no Saimniecisko darbību statistiskās klasifikācijas Eiropas Kopienā. </w:t>
            </w:r>
            <w:r>
              <w:rPr>
                <w:rFonts w:ascii="Times New Roman" w:hAnsi="Times New Roman"/>
                <w:i/>
              </w:rPr>
              <w:t xml:space="preserve">PRODCOM </w:t>
            </w:r>
            <w:r>
              <w:rPr>
                <w:rFonts w:ascii="Times New Roman" w:hAnsi="Times New Roman"/>
              </w:rPr>
              <w:t xml:space="preserve">kods ir 8 ciparu kods, un ar to apzīmē produktus Eiropas kopienas pētījumā. Tas ir saražoto produktu apsekojums, ko reglamentē ES regula (Nr. 3924/91). Produktu definīcijas ir standartizētas visā ES, lai nodrošinātu dalībvalstu datu un iegūto Eiropas kopējo rādītāju salīdzināmību produkta līmenī. Pastāv tieša saistība starp </w:t>
            </w:r>
            <w:r>
              <w:rPr>
                <w:rFonts w:ascii="Times New Roman" w:hAnsi="Times New Roman"/>
                <w:i/>
              </w:rPr>
              <w:t>NACE</w:t>
            </w:r>
            <w:r>
              <w:rPr>
                <w:rFonts w:ascii="Times New Roman" w:hAnsi="Times New Roman"/>
              </w:rPr>
              <w:t xml:space="preserve"> un </w:t>
            </w:r>
            <w:r>
              <w:rPr>
                <w:rFonts w:ascii="Times New Roman" w:hAnsi="Times New Roman"/>
                <w:i/>
              </w:rPr>
              <w:t>PRODCOM</w:t>
            </w:r>
            <w:r>
              <w:rPr>
                <w:rFonts w:ascii="Times New Roman" w:hAnsi="Times New Roman"/>
              </w:rPr>
              <w:t xml:space="preserve"> kodiem, un pirmie 4 </w:t>
            </w:r>
            <w:r>
              <w:rPr>
                <w:rFonts w:ascii="Times New Roman" w:hAnsi="Times New Roman"/>
                <w:i/>
              </w:rPr>
              <w:t>PRODCOM</w:t>
            </w:r>
            <w:r>
              <w:rPr>
                <w:rFonts w:ascii="Times New Roman" w:hAnsi="Times New Roman"/>
              </w:rPr>
              <w:t xml:space="preserve"> koda cipari sakrīt ar 4 </w:t>
            </w:r>
            <w:r>
              <w:rPr>
                <w:rFonts w:ascii="Times New Roman" w:hAnsi="Times New Roman"/>
                <w:i/>
              </w:rPr>
              <w:t>NACE</w:t>
            </w:r>
            <w:r>
              <w:rPr>
                <w:rFonts w:ascii="Times New Roman" w:hAnsi="Times New Roman"/>
              </w:rPr>
              <w:t xml:space="preserve"> cipariem.</w:t>
            </w:r>
          </w:p>
        </w:tc>
      </w:tr>
    </w:tbl>
    <w:p w14:paraId="477A120F" w14:textId="77777777" w:rsidR="007D7BDD" w:rsidRDefault="007D7BDD" w:rsidP="00583F3E">
      <w:pPr>
        <w:pStyle w:val="BodyText"/>
        <w:widowControl/>
        <w:ind w:left="0"/>
        <w:jc w:val="both"/>
        <w:rPr>
          <w:rFonts w:ascii="Times New Roman" w:hAnsi="Times New Roman" w:cs="Times New Roman"/>
          <w:noProof/>
          <w:position w:val="6"/>
        </w:rPr>
      </w:pPr>
    </w:p>
    <w:p w14:paraId="3113AE4E"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i/>
        </w:rPr>
        <w:lastRenderedPageBreak/>
        <w:t>CLL</w:t>
      </w:r>
      <w:r>
        <w:rPr>
          <w:rFonts w:ascii="Times New Roman" w:hAnsi="Times New Roman"/>
        </w:rPr>
        <w:t xml:space="preserve"> ietverto (apakš-)nozaru iekārtas bez maksas saņem līdz 100 % kvotu atbilstoši līmeņatzīmes līmenim. Savukārt sarakstā neietverto nozaru iekārtas bez maksas saņems tikai 30 % kvotu atbilstoši līmeņatzīmes līmenim, šai daļai pēc 2026. gada samazinoties līdz 0 % 2030. gadā. Izņēmums tiek noteikts centralizētās siltumapgādes apakšiekārtām, kurām bez maksas saņemamo kvotu daļa saglabājas 30 % apmērā arī pēc 2026. gada. Šīs proporcijas ir atspoguļotas oglekļa emisiju pārvirzes riska koeficientā (</w:t>
      </w:r>
      <w:r>
        <w:rPr>
          <w:rFonts w:ascii="Times New Roman" w:hAnsi="Times New Roman"/>
          <w:i/>
        </w:rPr>
        <w:t>CLEF</w:t>
      </w:r>
      <w:r>
        <w:rPr>
          <w:rFonts w:ascii="Times New Roman" w:hAnsi="Times New Roman"/>
        </w:rPr>
        <w:t xml:space="preserve">), kuram noteiktā vērtība ir 1 “oglekļa emisiju pārvirzes” nozarēs un 0,300 – nozarēs “bez oglekļa emisiju pārvirzes” 4. perioda sākumā. 2. tabulā parādītas šo </w:t>
      </w:r>
      <w:r>
        <w:rPr>
          <w:rFonts w:ascii="Times New Roman" w:hAnsi="Times New Roman"/>
          <w:i/>
        </w:rPr>
        <w:t>CLEF</w:t>
      </w:r>
      <w:r>
        <w:rPr>
          <w:rFonts w:ascii="Times New Roman" w:hAnsi="Times New Roman"/>
        </w:rPr>
        <w:t xml:space="preserve"> izmaiņas laika gaitā dažādajām izdalītajām kategorijām.</w:t>
      </w:r>
    </w:p>
    <w:p w14:paraId="5B12AC8B" w14:textId="77777777" w:rsidR="00583F3E" w:rsidRDefault="00583F3E" w:rsidP="00583F3E">
      <w:pPr>
        <w:widowControl/>
        <w:jc w:val="both"/>
        <w:rPr>
          <w:rFonts w:ascii="Times New Roman" w:eastAsia="Calibri" w:hAnsi="Times New Roman" w:cs="Times New Roman"/>
          <w:noProof/>
          <w:position w:val="6"/>
          <w:sz w:val="24"/>
          <w:szCs w:val="20"/>
        </w:rPr>
      </w:pPr>
    </w:p>
    <w:p w14:paraId="767231E6"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15F149DB" w14:textId="77777777" w:rsidR="00583F3E" w:rsidRPr="00583F3E" w:rsidRDefault="00583F3E" w:rsidP="00583F3E">
      <w:pPr>
        <w:widowControl/>
        <w:jc w:val="both"/>
        <w:rPr>
          <w:rFonts w:ascii="Times New Roman" w:hAnsi="Times New Roman" w:cs="Times New Roman"/>
          <w:b/>
          <w:noProof/>
          <w:position w:val="6"/>
          <w:sz w:val="24"/>
        </w:rPr>
      </w:pPr>
      <w:r>
        <w:rPr>
          <w:rFonts w:ascii="Times New Roman" w:hAnsi="Times New Roman"/>
          <w:b/>
          <w:sz w:val="24"/>
        </w:rPr>
        <w:t>2. tabula. Oglekļa emisiju pārvirzes riska koeficientu (</w:t>
      </w:r>
      <w:r>
        <w:rPr>
          <w:rFonts w:ascii="Times New Roman" w:hAnsi="Times New Roman"/>
          <w:b/>
          <w:i/>
          <w:sz w:val="24"/>
        </w:rPr>
        <w:t>CLEF</w:t>
      </w:r>
      <w:r>
        <w:rPr>
          <w:rFonts w:ascii="Times New Roman" w:hAnsi="Times New Roman"/>
          <w:b/>
          <w:sz w:val="24"/>
        </w:rPr>
        <w:t>) pārskats “oglekļa emisiju pārvirzes” (</w:t>
      </w:r>
      <w:r>
        <w:rPr>
          <w:rFonts w:ascii="Times New Roman" w:hAnsi="Times New Roman"/>
          <w:b/>
          <w:i/>
          <w:sz w:val="24"/>
        </w:rPr>
        <w:t>CL</w:t>
      </w:r>
      <w:r>
        <w:rPr>
          <w:rFonts w:ascii="Times New Roman" w:hAnsi="Times New Roman"/>
          <w:b/>
          <w:sz w:val="24"/>
        </w:rPr>
        <w:t xml:space="preserve">) (apakš-)nozarēm, (apakš-)nozarēm “bez oglekļa emisiju pārvirzes” (bez </w:t>
      </w:r>
      <w:r>
        <w:rPr>
          <w:rFonts w:ascii="Times New Roman" w:hAnsi="Times New Roman"/>
          <w:b/>
          <w:i/>
          <w:sz w:val="24"/>
        </w:rPr>
        <w:t>CL</w:t>
      </w:r>
      <w:r>
        <w:rPr>
          <w:rFonts w:ascii="Times New Roman" w:hAnsi="Times New Roman"/>
          <w:b/>
          <w:sz w:val="24"/>
        </w:rPr>
        <w:t>) un centralizētās siltumapgādes apakšiekārtām</w:t>
      </w:r>
      <w:bookmarkStart w:id="12" w:name="_bookmark6"/>
      <w:bookmarkEnd w:id="12"/>
      <w:r w:rsidR="00806B85">
        <w:rPr>
          <w:rStyle w:val="FootnoteReference"/>
          <w:rFonts w:ascii="Times New Roman" w:hAnsi="Times New Roman" w:cs="Times New Roman"/>
          <w:b/>
          <w:noProof/>
          <w:position w:val="6"/>
          <w:sz w:val="24"/>
        </w:rPr>
        <w:footnoteReference w:id="7"/>
      </w: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971"/>
        <w:gridCol w:w="710"/>
        <w:gridCol w:w="716"/>
        <w:gridCol w:w="716"/>
        <w:gridCol w:w="717"/>
        <w:gridCol w:w="716"/>
        <w:gridCol w:w="716"/>
        <w:gridCol w:w="717"/>
        <w:gridCol w:w="716"/>
        <w:gridCol w:w="716"/>
        <w:gridCol w:w="717"/>
      </w:tblGrid>
      <w:tr w:rsidR="00583F3E" w:rsidRPr="00923C79" w14:paraId="2A2D8A55" w14:textId="77777777" w:rsidTr="00923C79">
        <w:tc>
          <w:tcPr>
            <w:tcW w:w="1080" w:type="pct"/>
            <w:tcBorders>
              <w:top w:val="single" w:sz="12" w:space="0" w:color="000000"/>
              <w:left w:val="nil"/>
              <w:bottom w:val="single" w:sz="12" w:space="0" w:color="000000"/>
              <w:right w:val="nil"/>
            </w:tcBorders>
          </w:tcPr>
          <w:p w14:paraId="64AB0F6D" w14:textId="77777777" w:rsidR="00583F3E" w:rsidRPr="00923C79" w:rsidRDefault="00583F3E" w:rsidP="00583F3E">
            <w:pPr>
              <w:pStyle w:val="TableParagraph"/>
              <w:widowControl/>
              <w:jc w:val="both"/>
              <w:rPr>
                <w:rFonts w:ascii="Times New Roman" w:hAnsi="Times New Roman" w:cs="Times New Roman"/>
                <w:b/>
                <w:noProof/>
                <w:position w:val="6"/>
              </w:rPr>
            </w:pPr>
            <w:r w:rsidRPr="00923C79">
              <w:rPr>
                <w:rFonts w:ascii="Times New Roman" w:hAnsi="Times New Roman"/>
                <w:b/>
              </w:rPr>
              <w:t>Gads</w:t>
            </w:r>
          </w:p>
        </w:tc>
        <w:tc>
          <w:tcPr>
            <w:tcW w:w="389" w:type="pct"/>
            <w:tcBorders>
              <w:top w:val="single" w:sz="12" w:space="0" w:color="000000"/>
              <w:left w:val="nil"/>
              <w:bottom w:val="single" w:sz="12" w:space="0" w:color="000000"/>
              <w:right w:val="nil"/>
            </w:tcBorders>
          </w:tcPr>
          <w:p w14:paraId="117BC3A2"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2021</w:t>
            </w:r>
          </w:p>
        </w:tc>
        <w:tc>
          <w:tcPr>
            <w:tcW w:w="392" w:type="pct"/>
            <w:tcBorders>
              <w:top w:val="single" w:sz="12" w:space="0" w:color="000000"/>
              <w:left w:val="nil"/>
              <w:bottom w:val="single" w:sz="12" w:space="0" w:color="000000"/>
              <w:right w:val="nil"/>
            </w:tcBorders>
          </w:tcPr>
          <w:p w14:paraId="540CDB11"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2022</w:t>
            </w:r>
          </w:p>
        </w:tc>
        <w:tc>
          <w:tcPr>
            <w:tcW w:w="392" w:type="pct"/>
            <w:tcBorders>
              <w:top w:val="single" w:sz="12" w:space="0" w:color="000000"/>
              <w:left w:val="nil"/>
              <w:bottom w:val="single" w:sz="12" w:space="0" w:color="000000"/>
              <w:right w:val="nil"/>
            </w:tcBorders>
          </w:tcPr>
          <w:p w14:paraId="0C3D0461"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2023</w:t>
            </w:r>
          </w:p>
        </w:tc>
        <w:tc>
          <w:tcPr>
            <w:tcW w:w="393" w:type="pct"/>
            <w:tcBorders>
              <w:top w:val="single" w:sz="12" w:space="0" w:color="000000"/>
              <w:left w:val="nil"/>
              <w:bottom w:val="single" w:sz="12" w:space="0" w:color="000000"/>
              <w:right w:val="nil"/>
            </w:tcBorders>
          </w:tcPr>
          <w:p w14:paraId="1BDDB19E"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2024</w:t>
            </w:r>
          </w:p>
        </w:tc>
        <w:tc>
          <w:tcPr>
            <w:tcW w:w="392" w:type="pct"/>
            <w:tcBorders>
              <w:top w:val="single" w:sz="12" w:space="0" w:color="000000"/>
              <w:left w:val="nil"/>
              <w:bottom w:val="single" w:sz="12" w:space="0" w:color="000000"/>
              <w:right w:val="nil"/>
            </w:tcBorders>
          </w:tcPr>
          <w:p w14:paraId="22F3AC9A"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2025</w:t>
            </w:r>
          </w:p>
        </w:tc>
        <w:tc>
          <w:tcPr>
            <w:tcW w:w="392" w:type="pct"/>
            <w:tcBorders>
              <w:top w:val="single" w:sz="12" w:space="0" w:color="000000"/>
              <w:left w:val="nil"/>
              <w:bottom w:val="single" w:sz="12" w:space="0" w:color="000000"/>
              <w:right w:val="nil"/>
            </w:tcBorders>
          </w:tcPr>
          <w:p w14:paraId="79315E3E"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2026</w:t>
            </w:r>
          </w:p>
        </w:tc>
        <w:tc>
          <w:tcPr>
            <w:tcW w:w="393" w:type="pct"/>
            <w:tcBorders>
              <w:top w:val="single" w:sz="12" w:space="0" w:color="000000"/>
              <w:left w:val="nil"/>
              <w:bottom w:val="single" w:sz="12" w:space="0" w:color="000000"/>
              <w:right w:val="nil"/>
            </w:tcBorders>
          </w:tcPr>
          <w:p w14:paraId="75F9699B"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2027</w:t>
            </w:r>
          </w:p>
        </w:tc>
        <w:tc>
          <w:tcPr>
            <w:tcW w:w="392" w:type="pct"/>
            <w:tcBorders>
              <w:top w:val="single" w:sz="12" w:space="0" w:color="000000"/>
              <w:left w:val="nil"/>
              <w:bottom w:val="single" w:sz="12" w:space="0" w:color="000000"/>
              <w:right w:val="nil"/>
            </w:tcBorders>
          </w:tcPr>
          <w:p w14:paraId="7C554D86"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2028</w:t>
            </w:r>
          </w:p>
        </w:tc>
        <w:tc>
          <w:tcPr>
            <w:tcW w:w="392" w:type="pct"/>
            <w:tcBorders>
              <w:top w:val="single" w:sz="12" w:space="0" w:color="000000"/>
              <w:left w:val="nil"/>
              <w:bottom w:val="single" w:sz="12" w:space="0" w:color="000000"/>
              <w:right w:val="nil"/>
            </w:tcBorders>
          </w:tcPr>
          <w:p w14:paraId="6F8C155F"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2029</w:t>
            </w:r>
          </w:p>
        </w:tc>
        <w:tc>
          <w:tcPr>
            <w:tcW w:w="394" w:type="pct"/>
            <w:tcBorders>
              <w:top w:val="single" w:sz="12" w:space="0" w:color="000000"/>
              <w:left w:val="nil"/>
              <w:bottom w:val="single" w:sz="12" w:space="0" w:color="000000"/>
              <w:right w:val="nil"/>
            </w:tcBorders>
          </w:tcPr>
          <w:p w14:paraId="6C1CDBEA" w14:textId="77777777" w:rsidR="00583F3E" w:rsidRPr="00923C79" w:rsidRDefault="00583F3E" w:rsidP="00806B85">
            <w:pPr>
              <w:pStyle w:val="TableParagraph"/>
              <w:widowControl/>
              <w:jc w:val="center"/>
              <w:rPr>
                <w:rFonts w:ascii="Times New Roman" w:hAnsi="Times New Roman" w:cs="Times New Roman"/>
                <w:b/>
                <w:noProof/>
                <w:position w:val="6"/>
              </w:rPr>
            </w:pPr>
            <w:r w:rsidRPr="00923C79">
              <w:rPr>
                <w:rFonts w:ascii="Times New Roman" w:hAnsi="Times New Roman"/>
                <w:b/>
              </w:rPr>
              <w:t>2030</w:t>
            </w:r>
          </w:p>
        </w:tc>
      </w:tr>
      <w:tr w:rsidR="00583F3E" w:rsidRPr="00923C79" w14:paraId="0EEB0569" w14:textId="77777777" w:rsidTr="00923C79">
        <w:tc>
          <w:tcPr>
            <w:tcW w:w="1080" w:type="pct"/>
            <w:tcBorders>
              <w:top w:val="single" w:sz="12" w:space="0" w:color="000000"/>
              <w:left w:val="nil"/>
              <w:bottom w:val="single" w:sz="5" w:space="0" w:color="000000"/>
              <w:right w:val="nil"/>
            </w:tcBorders>
          </w:tcPr>
          <w:p w14:paraId="3020AF21" w14:textId="77777777" w:rsidR="00583F3E" w:rsidRPr="00923C79" w:rsidRDefault="00583F3E" w:rsidP="00806B85">
            <w:pPr>
              <w:pStyle w:val="TableParagraph"/>
              <w:widowControl/>
              <w:rPr>
                <w:rFonts w:ascii="Times New Roman" w:hAnsi="Times New Roman" w:cs="Times New Roman"/>
                <w:noProof/>
                <w:position w:val="6"/>
              </w:rPr>
            </w:pPr>
            <w:r w:rsidRPr="00923C79">
              <w:rPr>
                <w:rFonts w:ascii="Times New Roman" w:hAnsi="Times New Roman"/>
                <w:i/>
              </w:rPr>
              <w:t>CLEF</w:t>
            </w:r>
            <w:r w:rsidRPr="00923C79">
              <w:rPr>
                <w:rFonts w:ascii="Times New Roman" w:hAnsi="Times New Roman"/>
              </w:rPr>
              <w:t xml:space="preserve"> </w:t>
            </w:r>
            <w:r w:rsidRPr="00923C79">
              <w:rPr>
                <w:rFonts w:ascii="Times New Roman" w:hAnsi="Times New Roman"/>
                <w:i/>
              </w:rPr>
              <w:t>CL</w:t>
            </w:r>
            <w:r w:rsidRPr="00923C79">
              <w:rPr>
                <w:rFonts w:ascii="Times New Roman" w:hAnsi="Times New Roman"/>
              </w:rPr>
              <w:t xml:space="preserve"> (apakš-)nozarēm</w:t>
            </w:r>
          </w:p>
        </w:tc>
        <w:tc>
          <w:tcPr>
            <w:tcW w:w="389" w:type="pct"/>
            <w:tcBorders>
              <w:top w:val="single" w:sz="12" w:space="0" w:color="000000"/>
              <w:left w:val="nil"/>
              <w:bottom w:val="single" w:sz="5" w:space="0" w:color="000000"/>
              <w:right w:val="nil"/>
            </w:tcBorders>
          </w:tcPr>
          <w:p w14:paraId="70EB4D11"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c>
          <w:tcPr>
            <w:tcW w:w="392" w:type="pct"/>
            <w:tcBorders>
              <w:top w:val="single" w:sz="12" w:space="0" w:color="000000"/>
              <w:left w:val="nil"/>
              <w:bottom w:val="single" w:sz="5" w:space="0" w:color="000000"/>
              <w:right w:val="nil"/>
            </w:tcBorders>
          </w:tcPr>
          <w:p w14:paraId="0DF87B57"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c>
          <w:tcPr>
            <w:tcW w:w="392" w:type="pct"/>
            <w:tcBorders>
              <w:top w:val="single" w:sz="12" w:space="0" w:color="000000"/>
              <w:left w:val="nil"/>
              <w:bottom w:val="single" w:sz="5" w:space="0" w:color="000000"/>
              <w:right w:val="nil"/>
            </w:tcBorders>
          </w:tcPr>
          <w:p w14:paraId="10A07D51"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c>
          <w:tcPr>
            <w:tcW w:w="393" w:type="pct"/>
            <w:tcBorders>
              <w:top w:val="single" w:sz="12" w:space="0" w:color="000000"/>
              <w:left w:val="nil"/>
              <w:bottom w:val="single" w:sz="5" w:space="0" w:color="000000"/>
              <w:right w:val="nil"/>
            </w:tcBorders>
          </w:tcPr>
          <w:p w14:paraId="77F4558D"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c>
          <w:tcPr>
            <w:tcW w:w="392" w:type="pct"/>
            <w:tcBorders>
              <w:top w:val="single" w:sz="12" w:space="0" w:color="000000"/>
              <w:left w:val="nil"/>
              <w:bottom w:val="single" w:sz="5" w:space="0" w:color="000000"/>
              <w:right w:val="nil"/>
            </w:tcBorders>
          </w:tcPr>
          <w:p w14:paraId="73830D36"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c>
          <w:tcPr>
            <w:tcW w:w="392" w:type="pct"/>
            <w:tcBorders>
              <w:top w:val="single" w:sz="12" w:space="0" w:color="000000"/>
              <w:left w:val="nil"/>
              <w:bottom w:val="single" w:sz="5" w:space="0" w:color="000000"/>
              <w:right w:val="nil"/>
            </w:tcBorders>
          </w:tcPr>
          <w:p w14:paraId="059ECEBA"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c>
          <w:tcPr>
            <w:tcW w:w="393" w:type="pct"/>
            <w:tcBorders>
              <w:top w:val="single" w:sz="12" w:space="0" w:color="000000"/>
              <w:left w:val="nil"/>
              <w:bottom w:val="single" w:sz="5" w:space="0" w:color="000000"/>
              <w:right w:val="nil"/>
            </w:tcBorders>
          </w:tcPr>
          <w:p w14:paraId="386D5DA8"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c>
          <w:tcPr>
            <w:tcW w:w="392" w:type="pct"/>
            <w:tcBorders>
              <w:top w:val="single" w:sz="12" w:space="0" w:color="000000"/>
              <w:left w:val="nil"/>
              <w:bottom w:val="single" w:sz="5" w:space="0" w:color="000000"/>
              <w:right w:val="nil"/>
            </w:tcBorders>
          </w:tcPr>
          <w:p w14:paraId="56AED6B0"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c>
          <w:tcPr>
            <w:tcW w:w="392" w:type="pct"/>
            <w:tcBorders>
              <w:top w:val="single" w:sz="12" w:space="0" w:color="000000"/>
              <w:left w:val="nil"/>
              <w:bottom w:val="single" w:sz="5" w:space="0" w:color="000000"/>
              <w:right w:val="nil"/>
            </w:tcBorders>
          </w:tcPr>
          <w:p w14:paraId="0C6F03EB"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c>
          <w:tcPr>
            <w:tcW w:w="394" w:type="pct"/>
            <w:tcBorders>
              <w:top w:val="single" w:sz="12" w:space="0" w:color="000000"/>
              <w:left w:val="nil"/>
              <w:bottom w:val="single" w:sz="5" w:space="0" w:color="000000"/>
              <w:right w:val="nil"/>
            </w:tcBorders>
          </w:tcPr>
          <w:p w14:paraId="19F60A04"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1</w:t>
            </w:r>
          </w:p>
        </w:tc>
      </w:tr>
      <w:tr w:rsidR="00583F3E" w:rsidRPr="00923C79" w14:paraId="6BAEE76D" w14:textId="77777777" w:rsidTr="00923C79">
        <w:tc>
          <w:tcPr>
            <w:tcW w:w="1080" w:type="pct"/>
            <w:tcBorders>
              <w:top w:val="single" w:sz="5" w:space="0" w:color="000000"/>
              <w:left w:val="nil"/>
              <w:bottom w:val="single" w:sz="5" w:space="0" w:color="000000"/>
              <w:right w:val="nil"/>
            </w:tcBorders>
          </w:tcPr>
          <w:p w14:paraId="693B4B55" w14:textId="77777777" w:rsidR="00583F3E" w:rsidRPr="00923C79" w:rsidRDefault="00583F3E" w:rsidP="00806B85">
            <w:pPr>
              <w:pStyle w:val="TableParagraph"/>
              <w:widowControl/>
              <w:rPr>
                <w:rFonts w:ascii="Times New Roman" w:hAnsi="Times New Roman" w:cs="Times New Roman"/>
                <w:noProof/>
                <w:position w:val="6"/>
              </w:rPr>
            </w:pPr>
            <w:r w:rsidRPr="00923C79">
              <w:rPr>
                <w:rFonts w:ascii="Times New Roman" w:hAnsi="Times New Roman"/>
                <w:i/>
              </w:rPr>
              <w:t>CLEF</w:t>
            </w:r>
            <w:r w:rsidRPr="00923C79">
              <w:rPr>
                <w:rFonts w:ascii="Times New Roman" w:hAnsi="Times New Roman"/>
              </w:rPr>
              <w:t xml:space="preserve"> (apakš-)nozarēm bez </w:t>
            </w:r>
            <w:r w:rsidRPr="00923C79">
              <w:rPr>
                <w:rFonts w:ascii="Times New Roman" w:hAnsi="Times New Roman"/>
                <w:i/>
              </w:rPr>
              <w:t>CL</w:t>
            </w:r>
          </w:p>
        </w:tc>
        <w:tc>
          <w:tcPr>
            <w:tcW w:w="389" w:type="pct"/>
            <w:tcBorders>
              <w:top w:val="single" w:sz="5" w:space="0" w:color="000000"/>
              <w:left w:val="nil"/>
              <w:bottom w:val="single" w:sz="5" w:space="0" w:color="000000"/>
              <w:right w:val="nil"/>
            </w:tcBorders>
          </w:tcPr>
          <w:p w14:paraId="22C5F2F1"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5" w:space="0" w:color="000000"/>
              <w:right w:val="nil"/>
            </w:tcBorders>
          </w:tcPr>
          <w:p w14:paraId="1F05D315"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5" w:space="0" w:color="000000"/>
              <w:right w:val="nil"/>
            </w:tcBorders>
          </w:tcPr>
          <w:p w14:paraId="3D7F83B4"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3" w:type="pct"/>
            <w:tcBorders>
              <w:top w:val="single" w:sz="5" w:space="0" w:color="000000"/>
              <w:left w:val="nil"/>
              <w:bottom w:val="single" w:sz="5" w:space="0" w:color="000000"/>
              <w:right w:val="nil"/>
            </w:tcBorders>
          </w:tcPr>
          <w:p w14:paraId="5FEC5745"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5" w:space="0" w:color="000000"/>
              <w:right w:val="nil"/>
            </w:tcBorders>
          </w:tcPr>
          <w:p w14:paraId="08DCEBD4"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5" w:space="0" w:color="000000"/>
              <w:right w:val="nil"/>
            </w:tcBorders>
          </w:tcPr>
          <w:p w14:paraId="1E4FDDDD"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3" w:type="pct"/>
            <w:tcBorders>
              <w:top w:val="single" w:sz="5" w:space="0" w:color="000000"/>
              <w:left w:val="nil"/>
              <w:bottom w:val="single" w:sz="5" w:space="0" w:color="000000"/>
              <w:right w:val="nil"/>
            </w:tcBorders>
          </w:tcPr>
          <w:p w14:paraId="78FF2373"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0,225</w:t>
            </w:r>
          </w:p>
        </w:tc>
        <w:tc>
          <w:tcPr>
            <w:tcW w:w="392" w:type="pct"/>
            <w:tcBorders>
              <w:top w:val="single" w:sz="5" w:space="0" w:color="000000"/>
              <w:left w:val="nil"/>
              <w:bottom w:val="single" w:sz="5" w:space="0" w:color="000000"/>
              <w:right w:val="nil"/>
            </w:tcBorders>
          </w:tcPr>
          <w:p w14:paraId="6EFFED82"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0,150</w:t>
            </w:r>
          </w:p>
        </w:tc>
        <w:tc>
          <w:tcPr>
            <w:tcW w:w="392" w:type="pct"/>
            <w:tcBorders>
              <w:top w:val="single" w:sz="5" w:space="0" w:color="000000"/>
              <w:left w:val="nil"/>
              <w:bottom w:val="single" w:sz="5" w:space="0" w:color="000000"/>
              <w:right w:val="nil"/>
            </w:tcBorders>
          </w:tcPr>
          <w:p w14:paraId="6B478272"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0,075</w:t>
            </w:r>
          </w:p>
        </w:tc>
        <w:tc>
          <w:tcPr>
            <w:tcW w:w="394" w:type="pct"/>
            <w:tcBorders>
              <w:top w:val="single" w:sz="5" w:space="0" w:color="000000"/>
              <w:left w:val="nil"/>
              <w:bottom w:val="single" w:sz="5" w:space="0" w:color="000000"/>
              <w:right w:val="nil"/>
            </w:tcBorders>
          </w:tcPr>
          <w:p w14:paraId="316430BF"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w:t>
            </w:r>
          </w:p>
        </w:tc>
      </w:tr>
      <w:tr w:rsidR="00583F3E" w:rsidRPr="00923C79" w14:paraId="4ADB3AF0" w14:textId="77777777" w:rsidTr="00923C79">
        <w:tc>
          <w:tcPr>
            <w:tcW w:w="1080" w:type="pct"/>
            <w:tcBorders>
              <w:top w:val="single" w:sz="5" w:space="0" w:color="000000"/>
              <w:left w:val="nil"/>
              <w:bottom w:val="single" w:sz="12" w:space="0" w:color="000000"/>
              <w:right w:val="nil"/>
            </w:tcBorders>
          </w:tcPr>
          <w:p w14:paraId="2FF12AD9" w14:textId="77777777" w:rsidR="00583F3E" w:rsidRPr="00923C79" w:rsidRDefault="00583F3E" w:rsidP="00806B85">
            <w:pPr>
              <w:pStyle w:val="TableParagraph"/>
              <w:widowControl/>
              <w:rPr>
                <w:rFonts w:ascii="Times New Roman" w:hAnsi="Times New Roman" w:cs="Times New Roman"/>
                <w:noProof/>
                <w:position w:val="6"/>
              </w:rPr>
            </w:pPr>
            <w:r w:rsidRPr="00923C79">
              <w:rPr>
                <w:rFonts w:ascii="Times New Roman" w:hAnsi="Times New Roman"/>
                <w:i/>
              </w:rPr>
              <w:t>CLEF</w:t>
            </w:r>
            <w:r w:rsidRPr="00923C79">
              <w:rPr>
                <w:rFonts w:ascii="Times New Roman" w:hAnsi="Times New Roman"/>
              </w:rPr>
              <w:t xml:space="preserve"> centralizētās siltumapgādes apakšiekārtām</w:t>
            </w:r>
          </w:p>
        </w:tc>
        <w:tc>
          <w:tcPr>
            <w:tcW w:w="389" w:type="pct"/>
            <w:tcBorders>
              <w:top w:val="single" w:sz="5" w:space="0" w:color="000000"/>
              <w:left w:val="nil"/>
              <w:bottom w:val="single" w:sz="12" w:space="0" w:color="000000"/>
              <w:right w:val="nil"/>
            </w:tcBorders>
          </w:tcPr>
          <w:p w14:paraId="52059030"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12" w:space="0" w:color="000000"/>
              <w:right w:val="nil"/>
            </w:tcBorders>
          </w:tcPr>
          <w:p w14:paraId="3A79549C"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12" w:space="0" w:color="000000"/>
              <w:right w:val="nil"/>
            </w:tcBorders>
          </w:tcPr>
          <w:p w14:paraId="5BAFAFF9"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3" w:type="pct"/>
            <w:tcBorders>
              <w:top w:val="single" w:sz="5" w:space="0" w:color="000000"/>
              <w:left w:val="nil"/>
              <w:bottom w:val="single" w:sz="12" w:space="0" w:color="000000"/>
              <w:right w:val="nil"/>
            </w:tcBorders>
          </w:tcPr>
          <w:p w14:paraId="7DFED259"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12" w:space="0" w:color="000000"/>
              <w:right w:val="nil"/>
            </w:tcBorders>
          </w:tcPr>
          <w:p w14:paraId="33D899F1"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12" w:space="0" w:color="000000"/>
              <w:right w:val="nil"/>
            </w:tcBorders>
          </w:tcPr>
          <w:p w14:paraId="179684E6"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3" w:type="pct"/>
            <w:tcBorders>
              <w:top w:val="single" w:sz="5" w:space="0" w:color="000000"/>
              <w:left w:val="nil"/>
              <w:bottom w:val="single" w:sz="12" w:space="0" w:color="000000"/>
              <w:right w:val="nil"/>
            </w:tcBorders>
          </w:tcPr>
          <w:p w14:paraId="047536F0"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12" w:space="0" w:color="000000"/>
              <w:right w:val="nil"/>
            </w:tcBorders>
          </w:tcPr>
          <w:p w14:paraId="1FC93E53"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2" w:type="pct"/>
            <w:tcBorders>
              <w:top w:val="single" w:sz="5" w:space="0" w:color="000000"/>
              <w:left w:val="nil"/>
              <w:bottom w:val="single" w:sz="12" w:space="0" w:color="000000"/>
              <w:right w:val="nil"/>
            </w:tcBorders>
          </w:tcPr>
          <w:p w14:paraId="0668C548"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c>
          <w:tcPr>
            <w:tcW w:w="394" w:type="pct"/>
            <w:tcBorders>
              <w:top w:val="single" w:sz="5" w:space="0" w:color="000000"/>
              <w:left w:val="nil"/>
              <w:bottom w:val="single" w:sz="12" w:space="0" w:color="000000"/>
              <w:right w:val="nil"/>
            </w:tcBorders>
          </w:tcPr>
          <w:p w14:paraId="7C65076F" w14:textId="77777777" w:rsidR="00583F3E" w:rsidRPr="00923C79" w:rsidRDefault="00583F3E" w:rsidP="00806B85">
            <w:pPr>
              <w:pStyle w:val="TableParagraph"/>
              <w:widowControl/>
              <w:jc w:val="center"/>
              <w:rPr>
                <w:rFonts w:ascii="Times New Roman" w:hAnsi="Times New Roman" w:cs="Times New Roman"/>
                <w:noProof/>
                <w:position w:val="6"/>
              </w:rPr>
            </w:pPr>
            <w:r w:rsidRPr="00923C79">
              <w:rPr>
                <w:rFonts w:ascii="Times New Roman" w:hAnsi="Times New Roman"/>
              </w:rPr>
              <w:t>0,300</w:t>
            </w:r>
          </w:p>
        </w:tc>
      </w:tr>
    </w:tbl>
    <w:p w14:paraId="5770EEB7" w14:textId="77777777" w:rsidR="00583F3E" w:rsidRPr="00583F3E" w:rsidRDefault="00583F3E" w:rsidP="00583F3E">
      <w:pPr>
        <w:widowControl/>
        <w:jc w:val="both"/>
        <w:rPr>
          <w:rFonts w:ascii="Times New Roman" w:eastAsia="Calibri" w:hAnsi="Times New Roman" w:cs="Times New Roman"/>
          <w:b/>
          <w:bCs/>
          <w:noProof/>
          <w:position w:val="6"/>
          <w:sz w:val="24"/>
          <w:szCs w:val="20"/>
        </w:rPr>
      </w:pPr>
    </w:p>
    <w:p w14:paraId="2282C10B" w14:textId="77777777" w:rsidR="00583F3E" w:rsidRPr="00583F3E" w:rsidRDefault="00583F3E" w:rsidP="00583F3E">
      <w:pPr>
        <w:widowControl/>
        <w:jc w:val="both"/>
        <w:rPr>
          <w:rFonts w:ascii="Times New Roman" w:eastAsia="Calibri" w:hAnsi="Times New Roman" w:cs="Times New Roman"/>
          <w:b/>
          <w:bCs/>
          <w:noProof/>
          <w:position w:val="6"/>
          <w:sz w:val="24"/>
          <w:szCs w:val="23"/>
        </w:rPr>
      </w:pPr>
    </w:p>
    <w:p w14:paraId="0D347F51" w14:textId="4DC82F7C"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Provizorisko bez maksas piešķiramo emisijas kvotu apjomu nosaka, līmeņatzīmes vērtību reizinot ar vēsturisko darbības līmeni un attiecīgo </w:t>
      </w:r>
      <w:r>
        <w:rPr>
          <w:rFonts w:ascii="Times New Roman" w:hAnsi="Times New Roman"/>
          <w:i/>
        </w:rPr>
        <w:t>CLEF</w:t>
      </w:r>
      <w:r>
        <w:rPr>
          <w:rFonts w:ascii="Times New Roman" w:hAnsi="Times New Roman"/>
        </w:rPr>
        <w:t xml:space="preserve">. Tā kā līmeņatzīmes ir piemērojamas apakšiekārtām, arī </w:t>
      </w:r>
      <w:r>
        <w:rPr>
          <w:rFonts w:ascii="Times New Roman" w:hAnsi="Times New Roman"/>
          <w:i/>
        </w:rPr>
        <w:t>CLEF</w:t>
      </w:r>
      <w:r>
        <w:rPr>
          <w:rFonts w:ascii="Times New Roman" w:hAnsi="Times New Roman"/>
        </w:rPr>
        <w:t xml:space="preserve"> tiek piemērots apakšiekārtas līmenī. Vispārīgie vienādojumi tā provizoriskā apjoma aprēķināšanai, kas nepieciešams, lai aprēķinātu </w:t>
      </w:r>
      <w:r w:rsidR="00063A9A">
        <w:rPr>
          <w:rFonts w:ascii="Times New Roman" w:hAnsi="Times New Roman"/>
          <w:i/>
          <w:iCs/>
        </w:rPr>
        <w:t>CSCF</w:t>
      </w:r>
      <w:r>
        <w:rPr>
          <w:rFonts w:ascii="Times New Roman" w:hAnsi="Times New Roman"/>
        </w:rPr>
        <w:t>, ir šādi:</w:t>
      </w:r>
    </w:p>
    <w:p w14:paraId="3205025F" w14:textId="77777777" w:rsidR="00BD6FBF" w:rsidRDefault="00BD6FBF" w:rsidP="00583F3E">
      <w:pPr>
        <w:pStyle w:val="BodyText"/>
        <w:widowControl/>
        <w:ind w:left="0"/>
        <w:jc w:val="both"/>
        <w:rPr>
          <w:rFonts w:ascii="Times New Roman" w:hAnsi="Times New Roman" w:cs="Times New Roman"/>
          <w:noProof/>
          <w:position w:val="6"/>
        </w:rPr>
      </w:pPr>
    </w:p>
    <w:p w14:paraId="0538B5FB" w14:textId="77777777" w:rsidR="00BD6FBF" w:rsidRPr="00071ACB" w:rsidRDefault="00071ACB" w:rsidP="00071ACB">
      <w:pPr>
        <w:pStyle w:val="BodyText"/>
        <w:widowControl/>
        <w:ind w:left="0"/>
        <w:jc w:val="center"/>
        <w:rPr>
          <w:rFonts w:ascii="Times New Roman" w:hAnsi="Times New Roman" w:cs="Times New Roman"/>
          <w:i/>
          <w:iCs/>
          <w:noProof/>
          <w:position w:val="6"/>
        </w:rPr>
      </w:pPr>
      <w:r>
        <w:rPr>
          <w:rFonts w:ascii="Times New Roman" w:hAnsi="Times New Roman"/>
          <w:i/>
          <w:iCs/>
        </w:rPr>
        <w:t>F</w:t>
      </w:r>
      <w:r>
        <w:rPr>
          <w:rFonts w:ascii="Times New Roman" w:hAnsi="Times New Roman"/>
          <w:i/>
          <w:iCs/>
          <w:vertAlign w:val="subscript"/>
        </w:rPr>
        <w:t>i,k</w:t>
      </w:r>
      <w:r>
        <w:rPr>
          <w:rFonts w:ascii="Times New Roman" w:hAnsi="Times New Roman"/>
          <w:i/>
          <w:iCs/>
        </w:rPr>
        <w:t xml:space="preserve"> </w:t>
      </w:r>
      <w:r>
        <w:rPr>
          <w:rFonts w:ascii="Times New Roman" w:hAnsi="Times New Roman"/>
        </w:rPr>
        <w:t>=</w:t>
      </w:r>
      <w:r>
        <w:rPr>
          <w:rFonts w:ascii="Times New Roman" w:hAnsi="Times New Roman"/>
          <w:i/>
          <w:iCs/>
        </w:rPr>
        <w:t xml:space="preserve"> BM</w:t>
      </w:r>
      <w:r>
        <w:rPr>
          <w:rFonts w:ascii="Times New Roman" w:hAnsi="Times New Roman"/>
          <w:i/>
          <w:iCs/>
          <w:vertAlign w:val="subscript"/>
        </w:rPr>
        <w:t>i</w:t>
      </w:r>
      <w:r>
        <w:rPr>
          <w:rFonts w:ascii="Times New Roman" w:hAnsi="Times New Roman"/>
          <w:i/>
          <w:iCs/>
        </w:rPr>
        <w:t xml:space="preserve"> </w:t>
      </w:r>
      <w:r>
        <w:rPr>
          <w:rFonts w:ascii="Times New Roman" w:hAnsi="Times New Roman"/>
        </w:rPr>
        <w:t>×</w:t>
      </w:r>
      <w:r>
        <w:rPr>
          <w:rFonts w:ascii="Times New Roman" w:hAnsi="Times New Roman"/>
          <w:i/>
          <w:iCs/>
        </w:rPr>
        <w:t xml:space="preserve"> HAL</w:t>
      </w:r>
      <w:r>
        <w:rPr>
          <w:rFonts w:ascii="Times New Roman" w:hAnsi="Times New Roman"/>
          <w:i/>
          <w:iCs/>
          <w:vertAlign w:val="subscript"/>
        </w:rPr>
        <w:t>i</w:t>
      </w:r>
      <w:r>
        <w:rPr>
          <w:rFonts w:ascii="Times New Roman" w:hAnsi="Times New Roman"/>
          <w:i/>
          <w:iCs/>
        </w:rPr>
        <w:t xml:space="preserve"> </w:t>
      </w:r>
      <w:r>
        <w:rPr>
          <w:rFonts w:ascii="Times New Roman" w:hAnsi="Times New Roman"/>
        </w:rPr>
        <w:t>×</w:t>
      </w:r>
      <w:r>
        <w:rPr>
          <w:rFonts w:ascii="Times New Roman" w:hAnsi="Times New Roman"/>
          <w:i/>
          <w:iCs/>
        </w:rPr>
        <w:t xml:space="preserve"> CLEF</w:t>
      </w:r>
      <w:r>
        <w:rPr>
          <w:rFonts w:ascii="Times New Roman" w:hAnsi="Times New Roman"/>
          <w:i/>
          <w:iCs/>
          <w:vertAlign w:val="subscript"/>
        </w:rPr>
        <w:t>i,k</w:t>
      </w:r>
      <w:r>
        <w:rPr>
          <w:rFonts w:ascii="Times New Roman" w:hAnsi="Times New Roman"/>
        </w:rPr>
        <w:t>,</w:t>
      </w:r>
    </w:p>
    <w:p w14:paraId="6BAA0BE3" w14:textId="77777777" w:rsidR="00BD6FBF" w:rsidRDefault="00BD6FBF" w:rsidP="00583F3E">
      <w:pPr>
        <w:pStyle w:val="BodyText"/>
        <w:widowControl/>
        <w:ind w:left="0"/>
        <w:jc w:val="both"/>
        <w:rPr>
          <w:rFonts w:ascii="Times New Roman" w:hAnsi="Times New Roman" w:cs="Times New Roman"/>
          <w:noProof/>
          <w:position w:val="6"/>
        </w:rPr>
      </w:pPr>
    </w:p>
    <w:p w14:paraId="7596FC06"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w:t>
      </w:r>
    </w:p>
    <w:p w14:paraId="3C4F560F" w14:textId="77777777" w:rsidR="00071ACB" w:rsidRDefault="00071ACB" w:rsidP="00583F3E">
      <w:pPr>
        <w:pStyle w:val="BodyText"/>
        <w:widowControl/>
        <w:ind w:left="0"/>
        <w:jc w:val="both"/>
        <w:rPr>
          <w:rFonts w:ascii="Times New Roman" w:hAnsi="Times New Roman" w:cs="Times New Roman"/>
          <w:noProof/>
          <w:position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04"/>
      </w:tblGrid>
      <w:tr w:rsidR="00071ACB" w14:paraId="037504C3" w14:textId="77777777" w:rsidTr="00071ACB">
        <w:tc>
          <w:tcPr>
            <w:tcW w:w="1384" w:type="dxa"/>
          </w:tcPr>
          <w:p w14:paraId="4AA55C3C" w14:textId="77777777" w:rsidR="00071ACB" w:rsidRDefault="00071ACB" w:rsidP="00583F3E">
            <w:pPr>
              <w:pStyle w:val="BodyText"/>
              <w:widowControl/>
              <w:ind w:left="0"/>
              <w:jc w:val="both"/>
              <w:rPr>
                <w:rFonts w:ascii="Times New Roman" w:hAnsi="Times New Roman" w:cs="Times New Roman"/>
                <w:noProof/>
                <w:position w:val="6"/>
              </w:rPr>
            </w:pPr>
            <w:r>
              <w:rPr>
                <w:rFonts w:ascii="Times New Roman" w:hAnsi="Times New Roman"/>
                <w:i/>
                <w:iCs/>
              </w:rPr>
              <w:t>F</w:t>
            </w:r>
            <w:r>
              <w:rPr>
                <w:rFonts w:ascii="Times New Roman" w:hAnsi="Times New Roman"/>
                <w:i/>
                <w:iCs/>
                <w:vertAlign w:val="subscript"/>
              </w:rPr>
              <w:t>i,k</w:t>
            </w:r>
          </w:p>
        </w:tc>
        <w:tc>
          <w:tcPr>
            <w:tcW w:w="7904" w:type="dxa"/>
          </w:tcPr>
          <w:p w14:paraId="44D03B05" w14:textId="77777777" w:rsidR="00071ACB" w:rsidRDefault="00071ACB" w:rsidP="00071ACB">
            <w:pPr>
              <w:pStyle w:val="BodyText"/>
              <w:widowControl/>
              <w:tabs>
                <w:tab w:val="left" w:pos="1560"/>
              </w:tabs>
              <w:ind w:left="0"/>
              <w:jc w:val="both"/>
              <w:rPr>
                <w:rFonts w:ascii="Times New Roman" w:hAnsi="Times New Roman" w:cs="Times New Roman"/>
                <w:noProof/>
                <w:position w:val="6"/>
              </w:rPr>
            </w:pPr>
            <w:r>
              <w:rPr>
                <w:rFonts w:ascii="Times New Roman" w:hAnsi="Times New Roman"/>
              </w:rPr>
              <w:t>ir ikgadējais provizoriskais piešķiramo kvotu apjoms apakšiekārtai </w:t>
            </w:r>
            <w:r>
              <w:rPr>
                <w:rFonts w:ascii="Times New Roman" w:hAnsi="Times New Roman"/>
                <w:i/>
                <w:iCs/>
              </w:rPr>
              <w:t>i</w:t>
            </w:r>
            <w:r>
              <w:rPr>
                <w:rFonts w:ascii="Times New Roman" w:hAnsi="Times New Roman"/>
              </w:rPr>
              <w:t xml:space="preserve"> gadā </w:t>
            </w:r>
            <w:r>
              <w:rPr>
                <w:rFonts w:ascii="Times New Roman" w:hAnsi="Times New Roman"/>
                <w:i/>
                <w:iCs/>
              </w:rPr>
              <w:t>k</w:t>
            </w:r>
            <w:r>
              <w:rPr>
                <w:rFonts w:ascii="Times New Roman" w:hAnsi="Times New Roman"/>
              </w:rPr>
              <w:t xml:space="preserve"> (kvotu skaits gadā);</w:t>
            </w:r>
          </w:p>
        </w:tc>
      </w:tr>
      <w:tr w:rsidR="00071ACB" w14:paraId="2D315C57" w14:textId="77777777" w:rsidTr="00071ACB">
        <w:tc>
          <w:tcPr>
            <w:tcW w:w="1384" w:type="dxa"/>
          </w:tcPr>
          <w:p w14:paraId="3B446D6E" w14:textId="77777777" w:rsidR="00071ACB" w:rsidRDefault="00071ACB" w:rsidP="00583F3E">
            <w:pPr>
              <w:pStyle w:val="BodyText"/>
              <w:widowControl/>
              <w:ind w:left="0"/>
              <w:jc w:val="both"/>
              <w:rPr>
                <w:rFonts w:ascii="Times New Roman" w:hAnsi="Times New Roman" w:cs="Times New Roman"/>
                <w:noProof/>
                <w:position w:val="6"/>
              </w:rPr>
            </w:pPr>
            <w:r>
              <w:rPr>
                <w:rFonts w:ascii="Times New Roman" w:hAnsi="Times New Roman"/>
                <w:i/>
                <w:iCs/>
              </w:rPr>
              <w:t>BM</w:t>
            </w:r>
            <w:r>
              <w:rPr>
                <w:rFonts w:ascii="Times New Roman" w:hAnsi="Times New Roman"/>
                <w:i/>
                <w:iCs/>
                <w:vertAlign w:val="subscript"/>
              </w:rPr>
              <w:t>i</w:t>
            </w:r>
          </w:p>
        </w:tc>
        <w:tc>
          <w:tcPr>
            <w:tcW w:w="7904" w:type="dxa"/>
          </w:tcPr>
          <w:p w14:paraId="4B26DE77" w14:textId="77777777" w:rsidR="00071ACB" w:rsidRDefault="00071ACB" w:rsidP="00071ACB">
            <w:pPr>
              <w:pStyle w:val="BodyText"/>
              <w:widowControl/>
              <w:tabs>
                <w:tab w:val="left" w:pos="1560"/>
              </w:tabs>
              <w:ind w:left="0"/>
              <w:jc w:val="both"/>
              <w:rPr>
                <w:rFonts w:ascii="Times New Roman" w:hAnsi="Times New Roman" w:cs="Times New Roman"/>
                <w:noProof/>
                <w:position w:val="6"/>
              </w:rPr>
            </w:pPr>
            <w:r>
              <w:rPr>
                <w:rFonts w:ascii="Times New Roman" w:hAnsi="Times New Roman"/>
              </w:rPr>
              <w:t>ir piemērojamā līmeņatzīmes vērtība (kvotu skaits uz darbības mērvienību</w:t>
            </w:r>
            <w:r>
              <w:rPr>
                <w:rStyle w:val="FootnoteReference"/>
                <w:rFonts w:ascii="Times New Roman" w:hAnsi="Times New Roman" w:cs="Times New Roman"/>
                <w:noProof/>
                <w:position w:val="6"/>
              </w:rPr>
              <w:footnoteReference w:id="8"/>
            </w:r>
            <w:r>
              <w:rPr>
                <w:rFonts w:ascii="Times New Roman" w:hAnsi="Times New Roman"/>
              </w:rPr>
              <w:t>);</w:t>
            </w:r>
          </w:p>
        </w:tc>
      </w:tr>
      <w:tr w:rsidR="00071ACB" w14:paraId="785A589E" w14:textId="77777777" w:rsidTr="00071ACB">
        <w:tc>
          <w:tcPr>
            <w:tcW w:w="1384" w:type="dxa"/>
          </w:tcPr>
          <w:p w14:paraId="59B038AA" w14:textId="77777777" w:rsidR="00071ACB" w:rsidRDefault="00071ACB" w:rsidP="00583F3E">
            <w:pPr>
              <w:pStyle w:val="BodyText"/>
              <w:widowControl/>
              <w:ind w:left="0"/>
              <w:jc w:val="both"/>
              <w:rPr>
                <w:rFonts w:ascii="Times New Roman" w:hAnsi="Times New Roman" w:cs="Times New Roman"/>
                <w:noProof/>
                <w:position w:val="6"/>
              </w:rPr>
            </w:pPr>
            <w:r>
              <w:rPr>
                <w:rFonts w:ascii="Times New Roman" w:hAnsi="Times New Roman"/>
                <w:i/>
                <w:iCs/>
              </w:rPr>
              <w:t>HAL</w:t>
            </w:r>
            <w:r>
              <w:rPr>
                <w:rFonts w:ascii="Times New Roman" w:hAnsi="Times New Roman"/>
                <w:i/>
                <w:iCs/>
                <w:vertAlign w:val="subscript"/>
              </w:rPr>
              <w:t>i</w:t>
            </w:r>
          </w:p>
        </w:tc>
        <w:tc>
          <w:tcPr>
            <w:tcW w:w="7904" w:type="dxa"/>
          </w:tcPr>
          <w:p w14:paraId="587AC166" w14:textId="77777777" w:rsidR="00071ACB" w:rsidRDefault="00071ACB" w:rsidP="00071ACB">
            <w:pPr>
              <w:pStyle w:val="BodyText"/>
              <w:widowControl/>
              <w:tabs>
                <w:tab w:val="left" w:pos="1560"/>
              </w:tabs>
              <w:ind w:left="0"/>
              <w:jc w:val="both"/>
              <w:rPr>
                <w:rFonts w:ascii="Times New Roman" w:hAnsi="Times New Roman" w:cs="Times New Roman"/>
                <w:noProof/>
                <w:position w:val="6"/>
              </w:rPr>
            </w:pPr>
            <w:r>
              <w:rPr>
                <w:rFonts w:ascii="Times New Roman" w:hAnsi="Times New Roman"/>
              </w:rPr>
              <w:t>ir apakšiekārtas vēsturiskais darbības līmenis (darbības mērvienības gadā);</w:t>
            </w:r>
          </w:p>
        </w:tc>
      </w:tr>
      <w:tr w:rsidR="00071ACB" w14:paraId="57F9C5FC" w14:textId="77777777" w:rsidTr="00071ACB">
        <w:tc>
          <w:tcPr>
            <w:tcW w:w="1384" w:type="dxa"/>
          </w:tcPr>
          <w:p w14:paraId="3D069B30" w14:textId="77777777" w:rsidR="00071ACB" w:rsidRDefault="00071ACB" w:rsidP="00583F3E">
            <w:pPr>
              <w:pStyle w:val="BodyText"/>
              <w:widowControl/>
              <w:ind w:left="0"/>
              <w:jc w:val="both"/>
              <w:rPr>
                <w:rFonts w:ascii="Times New Roman" w:hAnsi="Times New Roman" w:cs="Times New Roman"/>
                <w:noProof/>
                <w:position w:val="6"/>
              </w:rPr>
            </w:pPr>
            <w:r>
              <w:rPr>
                <w:rFonts w:ascii="Times New Roman" w:hAnsi="Times New Roman"/>
                <w:i/>
                <w:iCs/>
              </w:rPr>
              <w:t>CLEF</w:t>
            </w:r>
            <w:r>
              <w:rPr>
                <w:rFonts w:ascii="Times New Roman" w:hAnsi="Times New Roman"/>
                <w:i/>
                <w:iCs/>
                <w:vertAlign w:val="subscript"/>
              </w:rPr>
              <w:t>i,k</w:t>
            </w:r>
          </w:p>
        </w:tc>
        <w:tc>
          <w:tcPr>
            <w:tcW w:w="7904" w:type="dxa"/>
          </w:tcPr>
          <w:p w14:paraId="417C4898" w14:textId="77777777" w:rsidR="00071ACB" w:rsidRDefault="00071ACB" w:rsidP="00071ACB">
            <w:pPr>
              <w:pStyle w:val="BodyText"/>
              <w:widowControl/>
              <w:tabs>
                <w:tab w:val="left" w:pos="1560"/>
              </w:tabs>
              <w:ind w:left="0"/>
              <w:jc w:val="both"/>
              <w:rPr>
                <w:rFonts w:ascii="Times New Roman" w:hAnsi="Times New Roman" w:cs="Times New Roman"/>
                <w:noProof/>
                <w:position w:val="6"/>
              </w:rPr>
            </w:pPr>
            <w:r>
              <w:rPr>
                <w:rFonts w:ascii="Times New Roman" w:hAnsi="Times New Roman"/>
              </w:rPr>
              <w:t>ir piemērojamais oglekļa emisiju pārvirzes riska koeficients (bez mērvienībām).</w:t>
            </w:r>
          </w:p>
        </w:tc>
      </w:tr>
    </w:tbl>
    <w:p w14:paraId="242D3B6D" w14:textId="77777777" w:rsidR="00071ACB" w:rsidRDefault="00071ACB" w:rsidP="00583F3E">
      <w:pPr>
        <w:pStyle w:val="BodyText"/>
        <w:widowControl/>
        <w:ind w:left="0"/>
        <w:jc w:val="both"/>
        <w:rPr>
          <w:rFonts w:ascii="Times New Roman" w:hAnsi="Times New Roman" w:cs="Times New Roman"/>
          <w:noProof/>
          <w:position w:val="6"/>
        </w:rPr>
      </w:pPr>
    </w:p>
    <w:p w14:paraId="17460895" w14:textId="1F9C228E"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Galīgo bez maksas piešķiramo kvotu apjomu nosaka pēc tam, kad attiecīgos gadījumos ir aprēķināts </w:t>
      </w:r>
      <w:r w:rsidR="00063A9A">
        <w:rPr>
          <w:rFonts w:ascii="Times New Roman" w:hAnsi="Times New Roman"/>
          <w:i/>
          <w:iCs/>
        </w:rPr>
        <w:t>CSCF</w:t>
      </w:r>
      <w:r w:rsidR="00992B49">
        <w:rPr>
          <w:rFonts w:ascii="Times New Roman" w:hAnsi="Times New Roman"/>
        </w:rPr>
        <w:t xml:space="preserve"> </w:t>
      </w:r>
      <w:r>
        <w:rPr>
          <w:rFonts w:ascii="Times New Roman" w:hAnsi="Times New Roman"/>
        </w:rPr>
        <w:t>iekārtas līmenī, kā aprakstīts 5.1. iedaļā.</w:t>
      </w:r>
    </w:p>
    <w:p w14:paraId="74C3FEE3" w14:textId="4705D89A" w:rsidR="00992B49" w:rsidRDefault="00992B49">
      <w:pPr>
        <w:rPr>
          <w:rFonts w:ascii="Times New Roman" w:eastAsia="Calibri" w:hAnsi="Times New Roman" w:cs="Times New Roman"/>
          <w:noProof/>
          <w:position w:val="6"/>
          <w:sz w:val="24"/>
          <w:szCs w:val="23"/>
        </w:rPr>
      </w:pPr>
      <w:r>
        <w:rPr>
          <w:rFonts w:ascii="Times New Roman" w:eastAsia="Calibri" w:hAnsi="Times New Roman" w:cs="Times New Roman"/>
          <w:noProof/>
          <w:position w:val="6"/>
          <w:sz w:val="24"/>
          <w:szCs w:val="23"/>
        </w:rPr>
        <w:br w:type="page"/>
      </w:r>
    </w:p>
    <w:p w14:paraId="465359CC"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1E16449A" w14:textId="77777777" w:rsidR="00583F3E" w:rsidRPr="00583F3E" w:rsidRDefault="00583F3E" w:rsidP="00583F3E">
      <w:pPr>
        <w:pStyle w:val="Heading3"/>
        <w:widowControl/>
        <w:ind w:left="0"/>
        <w:jc w:val="both"/>
        <w:rPr>
          <w:rFonts w:ascii="Times New Roman" w:hAnsi="Times New Roman" w:cs="Times New Roman"/>
          <w:noProof/>
          <w:position w:val="6"/>
        </w:rPr>
      </w:pPr>
      <w:bookmarkStart w:id="13" w:name="_Toc31207923"/>
      <w:r>
        <w:rPr>
          <w:rFonts w:ascii="Times New Roman" w:hAnsi="Times New Roman"/>
        </w:rPr>
        <w:t>Produkta līmeņatzīmes apakšiekārtām</w:t>
      </w:r>
      <w:bookmarkEnd w:id="13"/>
    </w:p>
    <w:p w14:paraId="57527E6B"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Aprēķinot kvotu apjomu līmeņatzīmes produktiem, piemērojamā </w:t>
      </w:r>
      <w:r>
        <w:rPr>
          <w:rFonts w:ascii="Times New Roman" w:hAnsi="Times New Roman"/>
          <w:i/>
        </w:rPr>
        <w:t>CLEF</w:t>
      </w:r>
      <w:r>
        <w:rPr>
          <w:rFonts w:ascii="Times New Roman" w:hAnsi="Times New Roman"/>
        </w:rPr>
        <w:t xml:space="preserve"> aprēķināšanai izmanto oglekļa emisiju pārvirzes sarakstu. Gadījumā, ja līmeņatzīmes (</w:t>
      </w:r>
      <w:r>
        <w:rPr>
          <w:rFonts w:ascii="Times New Roman" w:hAnsi="Times New Roman"/>
          <w:i/>
        </w:rPr>
        <w:t>BM</w:t>
      </w:r>
      <w:r>
        <w:rPr>
          <w:rFonts w:ascii="Times New Roman" w:hAnsi="Times New Roman"/>
        </w:rPr>
        <w:t xml:space="preserve">) apakšiekārtas ražotais produkts ir ietverts sarakstā (t. i., tā </w:t>
      </w:r>
      <w:r>
        <w:rPr>
          <w:rFonts w:ascii="Times New Roman" w:hAnsi="Times New Roman"/>
          <w:i/>
        </w:rPr>
        <w:t>NACE</w:t>
      </w:r>
      <w:r>
        <w:rPr>
          <w:rFonts w:ascii="Times New Roman" w:hAnsi="Times New Roman"/>
        </w:rPr>
        <w:t xml:space="preserve"> kods vai </w:t>
      </w:r>
      <w:r>
        <w:rPr>
          <w:rFonts w:ascii="Times New Roman" w:hAnsi="Times New Roman"/>
          <w:i/>
        </w:rPr>
        <w:t>PRODCOM</w:t>
      </w:r>
      <w:r>
        <w:rPr>
          <w:rFonts w:ascii="Times New Roman" w:hAnsi="Times New Roman"/>
        </w:rPr>
        <w:t xml:space="preserve"> kods ir sarakstā), izmantotais </w:t>
      </w:r>
      <w:r>
        <w:rPr>
          <w:rFonts w:ascii="Times New Roman" w:hAnsi="Times New Roman"/>
          <w:i/>
        </w:rPr>
        <w:t>CLEF</w:t>
      </w:r>
      <w:r>
        <w:rPr>
          <w:rFonts w:ascii="Times New Roman" w:hAnsi="Times New Roman"/>
        </w:rPr>
        <w:t xml:space="preserve"> ir 1. Ja tas nav tajā ietverts, tiek izmantots sarūkošais koeficients, kas norādīts 2. tabulā (</w:t>
      </w:r>
      <w:r>
        <w:rPr>
          <w:rFonts w:ascii="Times New Roman" w:hAnsi="Times New Roman"/>
          <w:i/>
        </w:rPr>
        <w:t>CLEF</w:t>
      </w:r>
      <w:r>
        <w:rPr>
          <w:rFonts w:ascii="Times New Roman" w:hAnsi="Times New Roman"/>
        </w:rPr>
        <w:t xml:space="preserve"> (apakš-)nozarēm bez </w:t>
      </w:r>
      <w:r>
        <w:rPr>
          <w:rFonts w:ascii="Times New Roman" w:hAnsi="Times New Roman"/>
          <w:i/>
        </w:rPr>
        <w:t>CL</w:t>
      </w:r>
      <w:r>
        <w:rPr>
          <w:rFonts w:ascii="Times New Roman" w:hAnsi="Times New Roman"/>
        </w:rPr>
        <w:t xml:space="preserve">). </w:t>
      </w:r>
      <w:r>
        <w:rPr>
          <w:rFonts w:ascii="Times New Roman" w:hAnsi="Times New Roman"/>
          <w:i/>
        </w:rPr>
        <w:t>CLL</w:t>
      </w:r>
      <w:r>
        <w:rPr>
          <w:rFonts w:ascii="Times New Roman" w:hAnsi="Times New Roman"/>
        </w:rPr>
        <w:t xml:space="preserve"> balstās uz </w:t>
      </w:r>
      <w:r>
        <w:rPr>
          <w:rFonts w:ascii="Times New Roman" w:hAnsi="Times New Roman"/>
          <w:i/>
        </w:rPr>
        <w:t>NACE</w:t>
      </w:r>
      <w:r>
        <w:rPr>
          <w:rFonts w:ascii="Times New Roman" w:hAnsi="Times New Roman"/>
        </w:rPr>
        <w:t xml:space="preserve"> 2. redakciju, kā arī atbilstošo 2010. gada </w:t>
      </w:r>
      <w:r>
        <w:rPr>
          <w:rFonts w:ascii="Times New Roman" w:hAnsi="Times New Roman"/>
          <w:i/>
        </w:rPr>
        <w:t>PRODCOM</w:t>
      </w:r>
      <w:r>
        <w:rPr>
          <w:rFonts w:ascii="Times New Roman" w:hAnsi="Times New Roman"/>
        </w:rPr>
        <w:t>. Sīkāku informāciju sk. 4.1. iedaļā.</w:t>
      </w:r>
    </w:p>
    <w:p w14:paraId="12C8AABC"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374ABC4C" w14:textId="21BFC357" w:rsidR="00583F3E" w:rsidRPr="00583F3E" w:rsidRDefault="00583F3E" w:rsidP="00583F3E">
      <w:pPr>
        <w:pStyle w:val="Heading3"/>
        <w:widowControl/>
        <w:ind w:left="0"/>
        <w:jc w:val="both"/>
        <w:rPr>
          <w:rFonts w:ascii="Times New Roman" w:hAnsi="Times New Roman" w:cs="Times New Roman"/>
          <w:noProof/>
          <w:position w:val="6"/>
        </w:rPr>
      </w:pPr>
      <w:bookmarkStart w:id="14" w:name="_Toc31207924"/>
      <w:r>
        <w:rPr>
          <w:rFonts w:ascii="Times New Roman" w:hAnsi="Times New Roman"/>
        </w:rPr>
        <w:t>Rezerves</w:t>
      </w:r>
      <w:r w:rsidR="0036402B">
        <w:rPr>
          <w:rFonts w:ascii="Times New Roman" w:hAnsi="Times New Roman"/>
        </w:rPr>
        <w:t xml:space="preserve"> pieejas</w:t>
      </w:r>
      <w:r>
        <w:rPr>
          <w:rFonts w:ascii="Times New Roman" w:hAnsi="Times New Roman"/>
        </w:rPr>
        <w:t xml:space="preserve"> apakšiekārtām</w:t>
      </w:r>
      <w:bookmarkEnd w:id="14"/>
    </w:p>
    <w:p w14:paraId="49268CD2"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Ja tiek ietvertas siltuma un kurināmā līmeņatzīmes un/vai procesa emisiju pieeja, izmantotais</w:t>
      </w:r>
      <w:r>
        <w:rPr>
          <w:rFonts w:ascii="Times New Roman" w:hAnsi="Times New Roman"/>
          <w:i/>
        </w:rPr>
        <w:t xml:space="preserve"> CLEF</w:t>
      </w:r>
      <w:r>
        <w:rPr>
          <w:rFonts w:ascii="Times New Roman" w:hAnsi="Times New Roman"/>
        </w:rPr>
        <w:t xml:space="preserve"> ir atkarīgs no tā, vai siltums, kurināmais vai procesa emisijas ir saistītas ar procesu, kurā tiek ražots produkts, kas ir ietverts oglekļa emisiju pārvirzes sarakstā. Ja ražotais produkts ir ietverts </w:t>
      </w:r>
      <w:r>
        <w:rPr>
          <w:rFonts w:ascii="Times New Roman" w:hAnsi="Times New Roman"/>
          <w:i/>
        </w:rPr>
        <w:t>CLL</w:t>
      </w:r>
      <w:r>
        <w:rPr>
          <w:rFonts w:ascii="Times New Roman" w:hAnsi="Times New Roman"/>
        </w:rPr>
        <w:t xml:space="preserve">, izmantotais </w:t>
      </w:r>
      <w:r>
        <w:rPr>
          <w:rFonts w:ascii="Times New Roman" w:hAnsi="Times New Roman"/>
          <w:i/>
        </w:rPr>
        <w:t>CLEF</w:t>
      </w:r>
      <w:r>
        <w:rPr>
          <w:rFonts w:ascii="Times New Roman" w:hAnsi="Times New Roman"/>
        </w:rPr>
        <w:t xml:space="preserve"> ir 1 visos gados; pretējā gadījumā tiek izmantots sarūkošais</w:t>
      </w:r>
      <w:r>
        <w:rPr>
          <w:rFonts w:ascii="Times New Roman" w:hAnsi="Times New Roman"/>
          <w:i/>
        </w:rPr>
        <w:t xml:space="preserve"> CLEF</w:t>
      </w:r>
      <w:r>
        <w:rPr>
          <w:rFonts w:ascii="Times New Roman" w:hAnsi="Times New Roman"/>
        </w:rPr>
        <w:t>.</w:t>
      </w:r>
    </w:p>
    <w:p w14:paraId="66F52CA1"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66BDFC3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Lielāka vērība jāveltī gadījumos, kad iekārta eksportē siltumu uz citu iekārtu. Gadījumā, ja apakšiekārta eksportē siltumu uz ETS staciju, piemēro tās apakšiekārtas oglekļa emisiju pārvirzes statusu, kurā tiek izmantots importētais siltums. Tas ir tādēļ, ka saskaņā ar </w:t>
      </w:r>
      <w:r>
        <w:rPr>
          <w:rFonts w:ascii="Times New Roman" w:hAnsi="Times New Roman"/>
          <w:i/>
        </w:rPr>
        <w:t>FAR</w:t>
      </w:r>
      <w:r>
        <w:rPr>
          <w:rFonts w:ascii="Times New Roman" w:hAnsi="Times New Roman"/>
        </w:rPr>
        <w:t xml:space="preserve"> kvotas tiek piešķirtas siltuma patērētājiem, ja vien iekārta, kas importē siltumu, nav ES ETS. Pēdējā no minētajiem gadījumiem kvotas tiek piešķirtas siltuma ražotājam. Papildu informāciju par kvotu piešķiršanas procedūru gadījumā, kad ir siltuma plūsmas pāri iekārtu robežām, lūdzu, </w:t>
      </w:r>
      <w:r>
        <w:rPr>
          <w:rFonts w:ascii="Times New Roman" w:hAnsi="Times New Roman"/>
          <w:i/>
        </w:rPr>
        <w:t>sk. Norādījumu dokumentā Nr. 6</w:t>
      </w:r>
      <w:r>
        <w:rPr>
          <w:rFonts w:ascii="Times New Roman" w:hAnsi="Times New Roman"/>
        </w:rPr>
        <w:t>.</w:t>
      </w:r>
    </w:p>
    <w:p w14:paraId="2182DBF9" w14:textId="77777777" w:rsidR="00583F3E" w:rsidRPr="00583F3E" w:rsidRDefault="00583F3E" w:rsidP="00583F3E">
      <w:pPr>
        <w:widowControl/>
        <w:jc w:val="both"/>
        <w:rPr>
          <w:rFonts w:ascii="Times New Roman" w:eastAsia="Calibri" w:hAnsi="Times New Roman" w:cs="Times New Roman"/>
          <w:i/>
          <w:noProof/>
          <w:position w:val="6"/>
          <w:sz w:val="24"/>
          <w:szCs w:val="23"/>
        </w:rPr>
      </w:pPr>
    </w:p>
    <w:p w14:paraId="343DA631"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Siltuma importētāja oglekļa emisiju pārvirzes statusu var iegūt no </w:t>
      </w:r>
      <w:r>
        <w:rPr>
          <w:rFonts w:ascii="Times New Roman" w:hAnsi="Times New Roman"/>
          <w:i/>
        </w:rPr>
        <w:t>CLL</w:t>
      </w:r>
      <w:r>
        <w:rPr>
          <w:rFonts w:ascii="Times New Roman" w:hAnsi="Times New Roman"/>
        </w:rPr>
        <w:t xml:space="preserve">, ņemot vērā to, kādu(-us) produktu(-us) siltumu importējošā stacija ražo, kā tas aprakstīts iepriekš. Ja iekārta eksportē siltumu uz ETS neaptvertu staciju, pēc noklusējuma pieņem, ka importējošās iekārtas oglekļa emisiju pārvirzes statuss ir </w:t>
      </w:r>
      <w:r>
        <w:rPr>
          <w:rFonts w:ascii="Times New Roman" w:hAnsi="Times New Roman"/>
          <w:u w:val="single" w:color="000000"/>
        </w:rPr>
        <w:t>“bez riska”</w:t>
      </w:r>
      <w:r>
        <w:rPr>
          <w:rFonts w:ascii="Times New Roman" w:hAnsi="Times New Roman"/>
        </w:rPr>
        <w:t xml:space="preserve">, ja vien nevar pierādīt, ka produktiem, kuriem tiek izmantots eksportētais siltums, pastāv “riska” statuss. Attiecīgā dokumentācija, kas to apliecina, ir jāietver datu vākšanas ziņojumā. Kompetentajām iestādēm šie dokumenti ir jāpārskata un jāpieņem, pirms var tikt izmainīts </w:t>
      </w:r>
      <w:r>
        <w:rPr>
          <w:rFonts w:ascii="Times New Roman" w:hAnsi="Times New Roman"/>
          <w:i/>
        </w:rPr>
        <w:t>CL</w:t>
      </w:r>
      <w:r>
        <w:rPr>
          <w:rFonts w:ascii="Times New Roman" w:hAnsi="Times New Roman"/>
        </w:rPr>
        <w:t xml:space="preserve"> statuss. Gadījumā, ja iekārta eksportē siltumu centralizētās siltumapgādes vajadzībām, eksportējošā apakšiekārta vienmēr tiks uzskatīta par tādu, kurai nav </w:t>
      </w:r>
      <w:r>
        <w:rPr>
          <w:rFonts w:ascii="Times New Roman" w:hAnsi="Times New Roman"/>
          <w:i/>
        </w:rPr>
        <w:t>CL</w:t>
      </w:r>
      <w:r>
        <w:rPr>
          <w:rFonts w:ascii="Times New Roman" w:hAnsi="Times New Roman"/>
        </w:rPr>
        <w:t>.</w:t>
      </w:r>
    </w:p>
    <w:p w14:paraId="3C1D6B43" w14:textId="77777777" w:rsidR="00583F3E" w:rsidRPr="00583F3E" w:rsidRDefault="00583F3E" w:rsidP="00583F3E">
      <w:pPr>
        <w:widowControl/>
        <w:jc w:val="both"/>
        <w:rPr>
          <w:rFonts w:ascii="Times New Roman" w:hAnsi="Times New Roman" w:cs="Times New Roman"/>
          <w:noProof/>
          <w:position w:val="6"/>
          <w:sz w:val="24"/>
        </w:rPr>
      </w:pPr>
    </w:p>
    <w:p w14:paraId="4FA8AB6D" w14:textId="77777777" w:rsidR="00583F3E" w:rsidRPr="00583F3E" w:rsidRDefault="00583F3E" w:rsidP="00583F3E">
      <w:pPr>
        <w:pStyle w:val="Heading3"/>
        <w:widowControl/>
        <w:ind w:left="0"/>
        <w:jc w:val="both"/>
        <w:rPr>
          <w:rFonts w:ascii="Times New Roman" w:hAnsi="Times New Roman" w:cs="Times New Roman"/>
          <w:noProof/>
          <w:position w:val="6"/>
        </w:rPr>
      </w:pPr>
      <w:bookmarkStart w:id="15" w:name="_Toc31207925"/>
      <w:r>
        <w:rPr>
          <w:rFonts w:ascii="Times New Roman" w:hAnsi="Times New Roman"/>
        </w:rPr>
        <w:t>“</w:t>
      </w:r>
      <w:r>
        <w:rPr>
          <w:rFonts w:ascii="Times New Roman" w:hAnsi="Times New Roman"/>
          <w:i/>
        </w:rPr>
        <w:t>De minimis</w:t>
      </w:r>
      <w:r>
        <w:rPr>
          <w:rFonts w:ascii="Times New Roman" w:hAnsi="Times New Roman"/>
        </w:rPr>
        <w:t xml:space="preserve"> noteikums”</w:t>
      </w:r>
      <w:bookmarkEnd w:id="15"/>
    </w:p>
    <w:p w14:paraId="14C55662" w14:textId="7751AE23" w:rsidR="00583F3E" w:rsidRPr="00583F3E" w:rsidRDefault="00583F3E" w:rsidP="00583F3E">
      <w:pPr>
        <w:pStyle w:val="BodyText"/>
        <w:widowControl/>
        <w:ind w:left="0"/>
        <w:jc w:val="both"/>
        <w:rPr>
          <w:rFonts w:ascii="Times New Roman" w:hAnsi="Times New Roman" w:cs="Times New Roman"/>
          <w:i/>
          <w:noProof/>
          <w:position w:val="6"/>
        </w:rPr>
      </w:pPr>
      <w:r>
        <w:rPr>
          <w:rFonts w:ascii="Times New Roman" w:hAnsi="Times New Roman"/>
        </w:rPr>
        <w:t>Gadījumā, ja vienā iekārtā katram rezerves</w:t>
      </w:r>
      <w:r w:rsidR="0036402B">
        <w:rPr>
          <w:rFonts w:ascii="Times New Roman" w:hAnsi="Times New Roman"/>
        </w:rPr>
        <w:t xml:space="preserve"> pieejas</w:t>
      </w:r>
      <w:r>
        <w:rPr>
          <w:rFonts w:ascii="Times New Roman" w:hAnsi="Times New Roman"/>
        </w:rPr>
        <w:t xml:space="preserve"> apakšiekārtas veidam ir vairāk nekā viens oglekļa emisiju pārvirzes statuss, </w:t>
      </w:r>
      <w:r>
        <w:rPr>
          <w:rFonts w:ascii="Times New Roman" w:hAnsi="Times New Roman"/>
          <w:i/>
        </w:rPr>
        <w:t>FAR</w:t>
      </w:r>
      <w:r>
        <w:rPr>
          <w:rFonts w:ascii="Times New Roman" w:hAnsi="Times New Roman"/>
        </w:rPr>
        <w:t xml:space="preserve"> ir paredzēta iespējamā metode datu vākšanas vienkāršošanai gadījumos, ja viens darbības līmenis var tikt uzskatīts par “dominējošu”</w:t>
      </w:r>
      <w:r w:rsidR="00071ACB">
        <w:rPr>
          <w:rStyle w:val="FootnoteReference"/>
          <w:rFonts w:ascii="Times New Roman" w:hAnsi="Times New Roman" w:cs="Times New Roman"/>
          <w:noProof/>
          <w:position w:val="6"/>
        </w:rPr>
        <w:footnoteReference w:id="9"/>
      </w:r>
      <w:r>
        <w:rPr>
          <w:rFonts w:ascii="Times New Roman" w:hAnsi="Times New Roman"/>
        </w:rPr>
        <w:t xml:space="preserve">. Runājot konkrētāk, gadījumos, kad vismaz 95 % no siltuma līmeņatzīmes apakšiekārtas (un attiecīgi – kurināmā līmeņatzīmes apakšiekārtas vai procesa emisiju apakšiekārtas) vēsturiskā darbības līmeņa tiek izmantoti nozarēs vai apakšnozarēs, kas uzskatāmas par pakļautām ievērojamam oglekļa emisiju pārvirzes riskam, to var uzskatīt tikai par vienu siltuma līmeņatzīmes apakšiekārtu (un attiecīgi – kurināmā līmeņatzīmes apakšiekārtu vai procesa emisiju apakšiekārtu), kas kā viens veselums ir uzskatāma par pakļautu ievērojamam oglekļa emisiju pārvirzes riskam. Pareizs ir arī pretējs apgalvojums, un visa apakšiekārta ir uzskatāma par tādu, kas nav pakļauta ievērojamam oglekļa emisiju pārvirzes riskam, ja vismaz 95 % no vēsturiskā darbības līmeņa nav pakļauti šim riskam. Abos gadījumos nav nepieciešams atsevišķi noteikt piešķiramās kvotas atlikušajiem 5 % emisiju. </w:t>
      </w:r>
      <w:r>
        <w:rPr>
          <w:rFonts w:ascii="Times New Roman" w:hAnsi="Times New Roman"/>
          <w:i/>
        </w:rPr>
        <w:t>De minimis</w:t>
      </w:r>
      <w:r>
        <w:rPr>
          <w:rFonts w:ascii="Times New Roman" w:hAnsi="Times New Roman"/>
        </w:rPr>
        <w:t xml:space="preserve"> noteikuma </w:t>
      </w:r>
      <w:r>
        <w:rPr>
          <w:rFonts w:ascii="Times New Roman" w:hAnsi="Times New Roman"/>
        </w:rPr>
        <w:lastRenderedPageBreak/>
        <w:t>piemērošana šajā gadījumā neietekmē pienākumus veikt monitoringu.</w:t>
      </w:r>
      <w:r>
        <w:rPr>
          <w:rFonts w:ascii="Times New Roman" w:hAnsi="Times New Roman"/>
          <w:i/>
        </w:rPr>
        <w:t xml:space="preserve"> Sīkāku informāciju sk. Norādījumu dokumentā Nr. 5 par monitoringu un ziņošanu.</w:t>
      </w:r>
    </w:p>
    <w:p w14:paraId="718FA2A6" w14:textId="77777777" w:rsidR="00583F3E" w:rsidRPr="00583F3E" w:rsidRDefault="00583F3E" w:rsidP="00583F3E">
      <w:pPr>
        <w:widowControl/>
        <w:jc w:val="both"/>
        <w:rPr>
          <w:rFonts w:ascii="Times New Roman" w:hAnsi="Times New Roman" w:cs="Times New Roman"/>
          <w:i/>
          <w:noProof/>
          <w:position w:val="6"/>
          <w:sz w:val="24"/>
        </w:rPr>
      </w:pPr>
    </w:p>
    <w:p w14:paraId="2E5FAB39"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Šis noteikums attiecas arī uz centralizētās siltumapgādes apakšiekārtu apvienojumā ar siltuma līmeņatzīmes apakšiekārtu: ja vismaz 95 % no vēsturiskā darbības līmeņa ir attiecināmi uz jebkuru no trijām siltuma līmeņatzīmes apakšiekārtām (t. i., siltuma līmeņatzīmes apakšiekārtu ar </w:t>
      </w:r>
      <w:r>
        <w:rPr>
          <w:rFonts w:ascii="Times New Roman" w:hAnsi="Times New Roman"/>
          <w:i/>
        </w:rPr>
        <w:t>CL</w:t>
      </w:r>
      <w:r>
        <w:rPr>
          <w:rFonts w:ascii="Times New Roman" w:hAnsi="Times New Roman"/>
        </w:rPr>
        <w:t xml:space="preserve">, siltuma līmeņatzīmes apakšiekārtu bez </w:t>
      </w:r>
      <w:r>
        <w:rPr>
          <w:rFonts w:ascii="Times New Roman" w:hAnsi="Times New Roman"/>
          <w:i/>
        </w:rPr>
        <w:t>CL</w:t>
      </w:r>
      <w:r>
        <w:rPr>
          <w:rFonts w:ascii="Times New Roman" w:hAnsi="Times New Roman"/>
        </w:rPr>
        <w:t xml:space="preserve"> un centralizētās siltumapgādes apakšiekārtu), operators var izlemt attiecināt atlikušos 5 % uz šo pašu apakšiekārtu.</w:t>
      </w:r>
    </w:p>
    <w:p w14:paraId="2738795C"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3C94751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Tā kā vēsturiskais darbības līmenis ir noteikts, pamatojoties uz vidējo aritmētisko vērtību bāzlīnijas periodā, šis noteikums attieksies uz šo vidējo aritmētisko vērtību neatkarīgi no tā, vai šis noteikums par 95 % attiecas uz katru bāzlīnijas perioda gadu.</w:t>
      </w:r>
    </w:p>
    <w:p w14:paraId="265DF0AB"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7CE691C1" w14:textId="77777777" w:rsidR="00583F3E" w:rsidRPr="00583F3E" w:rsidRDefault="00583F3E" w:rsidP="00583F3E">
      <w:pPr>
        <w:pStyle w:val="Heading3"/>
        <w:widowControl/>
        <w:ind w:left="0"/>
        <w:jc w:val="both"/>
        <w:rPr>
          <w:rFonts w:ascii="Times New Roman" w:hAnsi="Times New Roman" w:cs="Times New Roman"/>
          <w:noProof/>
          <w:position w:val="6"/>
        </w:rPr>
      </w:pPr>
      <w:bookmarkStart w:id="16" w:name="_Toc31207926"/>
      <w:r>
        <w:rPr>
          <w:rFonts w:ascii="Times New Roman" w:hAnsi="Times New Roman"/>
        </w:rPr>
        <w:t>Iekārtas līmenī</w:t>
      </w:r>
      <w:bookmarkEnd w:id="16"/>
    </w:p>
    <w:p w14:paraId="34729DD0"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Provizoriskais piešķiramo kvotu apjoms iekārtas līmenī tiek noteikts, summējot apakšiekārtām piešķiramo kvotu apjomus tās sistēmas robežās. Nākamajā iedaļā sīkāk izskaidrots tas, kā jāveic iekārtas sašķelšana atsevišķās apakšiekārtās, lai varētu noteikt piešķiramās kvotas.</w:t>
      </w:r>
    </w:p>
    <w:p w14:paraId="2C1D026A"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6FF26BC8"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421DB83D" w14:textId="77777777" w:rsidR="00583F3E" w:rsidRPr="00583F3E" w:rsidRDefault="00583F3E" w:rsidP="00583F3E">
      <w:pPr>
        <w:pStyle w:val="Heading3"/>
        <w:widowControl/>
        <w:ind w:left="0"/>
        <w:jc w:val="both"/>
        <w:rPr>
          <w:rFonts w:ascii="Times New Roman" w:hAnsi="Times New Roman" w:cs="Times New Roman"/>
          <w:noProof/>
          <w:position w:val="6"/>
        </w:rPr>
      </w:pPr>
      <w:bookmarkStart w:id="17" w:name="_Toc31207927"/>
      <w:r>
        <w:rPr>
          <w:rFonts w:ascii="Times New Roman" w:hAnsi="Times New Roman"/>
        </w:rPr>
        <w:t>Piemērs. Iekārta bez produktu līmeņatzīmēm un dažādi oglekļa emisiju pārvirzes statusi</w:t>
      </w:r>
      <w:bookmarkEnd w:id="17"/>
    </w:p>
    <w:p w14:paraId="0931DB3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Šeit aplūkotajā piemērā iekārta ražo trīs produktus: A, B un C. </w:t>
      </w:r>
      <w:r>
        <w:rPr>
          <w:rFonts w:ascii="Times New Roman" w:hAnsi="Times New Roman"/>
          <w:i/>
        </w:rPr>
        <w:t>NACE</w:t>
      </w:r>
      <w:r>
        <w:rPr>
          <w:rFonts w:ascii="Times New Roman" w:hAnsi="Times New Roman"/>
        </w:rPr>
        <w:t xml:space="preserve"> kods vai </w:t>
      </w:r>
      <w:r>
        <w:rPr>
          <w:rFonts w:ascii="Times New Roman" w:hAnsi="Times New Roman"/>
          <w:i/>
        </w:rPr>
        <w:t>PRODCOM</w:t>
      </w:r>
      <w:r>
        <w:rPr>
          <w:rFonts w:ascii="Times New Roman" w:hAnsi="Times New Roman"/>
        </w:rPr>
        <w:t xml:space="preserve"> kods (salīdzinājumā ar </w:t>
      </w:r>
      <w:r>
        <w:rPr>
          <w:rFonts w:ascii="Times New Roman" w:hAnsi="Times New Roman"/>
          <w:i/>
        </w:rPr>
        <w:t>NACE</w:t>
      </w:r>
      <w:r>
        <w:rPr>
          <w:rFonts w:ascii="Times New Roman" w:hAnsi="Times New Roman"/>
        </w:rPr>
        <w:t xml:space="preserve"> kodiem tie ir sīkāk iedalīti) tad tiek pārbaudīts attiecībā uz atbilstību to produktu sarakstam, kas tiek uzskatīti par pakļautiem oglekļa emisiju pārvirzes riskam.</w:t>
      </w:r>
    </w:p>
    <w:p w14:paraId="58B4C69E"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2A348739" w14:textId="362FE845"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Aplūkojot to praktiskā piemērā, tiek pieņemts, ka iekārta ražo neapstrādātu sojas eļļu (produkts A, </w:t>
      </w:r>
      <w:r>
        <w:rPr>
          <w:rFonts w:ascii="Times New Roman" w:hAnsi="Times New Roman"/>
          <w:i/>
        </w:rPr>
        <w:t>PRODCOM</w:t>
      </w:r>
      <w:r>
        <w:rPr>
          <w:rFonts w:ascii="Times New Roman" w:hAnsi="Times New Roman"/>
        </w:rPr>
        <w:t> 15411210), neapstrādātu r</w:t>
      </w:r>
      <w:r w:rsidR="00063A9A">
        <w:rPr>
          <w:rFonts w:ascii="Times New Roman" w:hAnsi="Times New Roman"/>
        </w:rPr>
        <w:t>a</w:t>
      </w:r>
      <w:r>
        <w:rPr>
          <w:rFonts w:ascii="Times New Roman" w:hAnsi="Times New Roman"/>
        </w:rPr>
        <w:t xml:space="preserve">pšu eļļu (produkts B, </w:t>
      </w:r>
      <w:r>
        <w:rPr>
          <w:rFonts w:ascii="Times New Roman" w:hAnsi="Times New Roman"/>
          <w:i/>
        </w:rPr>
        <w:t>PRODCOM</w:t>
      </w:r>
      <w:r>
        <w:rPr>
          <w:rFonts w:ascii="Times New Roman" w:hAnsi="Times New Roman"/>
        </w:rPr>
        <w:t xml:space="preserve"> kods 15411260) un rafinētu sojas eļļu (produkts C, </w:t>
      </w:r>
      <w:r>
        <w:rPr>
          <w:rFonts w:ascii="Times New Roman" w:hAnsi="Times New Roman"/>
          <w:i/>
        </w:rPr>
        <w:t>PRODCOM</w:t>
      </w:r>
      <w:r>
        <w:rPr>
          <w:rFonts w:ascii="Times New Roman" w:hAnsi="Times New Roman"/>
        </w:rPr>
        <w:t xml:space="preserve"> kods 15421110). Kodu pirmie četri cipari ir 1541 neapstrādātām eļļām un 1542 – rafinētai eļļai. Pārbaudot šos ciparus atbilstoši oglekļa emisiju pārvirzes sarakstam, var noskaidrot, ka </w:t>
      </w:r>
      <w:r>
        <w:rPr>
          <w:rFonts w:ascii="Times New Roman" w:hAnsi="Times New Roman"/>
          <w:i/>
        </w:rPr>
        <w:t>NACE</w:t>
      </w:r>
      <w:r>
        <w:rPr>
          <w:rFonts w:ascii="Times New Roman" w:hAnsi="Times New Roman"/>
        </w:rPr>
        <w:t xml:space="preserve"> kods 1541 sarakstā ir, turpretim koda 1542 tajā nav. Turklāt </w:t>
      </w:r>
      <w:r>
        <w:rPr>
          <w:rFonts w:ascii="Times New Roman" w:hAnsi="Times New Roman"/>
          <w:i/>
        </w:rPr>
        <w:t>PRODCOM</w:t>
      </w:r>
      <w:r>
        <w:rPr>
          <w:rFonts w:ascii="Times New Roman" w:hAnsi="Times New Roman"/>
        </w:rPr>
        <w:t xml:space="preserve"> kodi, kuros ir cipari 1542, nav ietverti sarakstā “1.4. NACE-4 NEIETVERTAIS LĪMENIS, KAS BALSTĀS UZ KVANTITATĪVAJIEM KRITĒRIJIEM, KAS IZKLĀSTĪTI DIREKTĪVAS 2003/87/EK 10.a PANTA 15. UN 16. PUNKTĀ”. Tas nozīmē, ka produkti, kuru kods ir 1541, ir uzskatāmi par pakļautiem ievērojamam oglekļa emisiju pārvirzes riskam (tie ir neapstrādāta sojas eļļa un neapstrādāta r</w:t>
      </w:r>
      <w:r w:rsidR="00063A9A">
        <w:rPr>
          <w:rFonts w:ascii="Times New Roman" w:hAnsi="Times New Roman"/>
        </w:rPr>
        <w:t>a</w:t>
      </w:r>
      <w:r>
        <w:rPr>
          <w:rFonts w:ascii="Times New Roman" w:hAnsi="Times New Roman"/>
        </w:rPr>
        <w:t>pšu eļļa), bet par tādu nav uzskatāms produkts ar kodu 1542 (rafinēta sojas eļļa).</w:t>
      </w:r>
    </w:p>
    <w:p w14:paraId="3C3457CB"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3F18E887"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Iepriekš minētais ir apkopots turpmākajā attēlā, kur produkti A un B ir uzskatāmi par pakļautiem ievērojamam oglekļa emisiju pārvirzes riskam, un produkts C nav par tādu uzskatāms.</w:t>
      </w:r>
    </w:p>
    <w:p w14:paraId="399D5E75" w14:textId="77777777" w:rsidR="00583F3E" w:rsidRDefault="00583F3E" w:rsidP="00583F3E">
      <w:pPr>
        <w:widowControl/>
        <w:jc w:val="both"/>
        <w:rPr>
          <w:rFonts w:ascii="Times New Roman" w:hAnsi="Times New Roman" w:cs="Times New Roman"/>
          <w:noProof/>
          <w:position w:val="6"/>
          <w:sz w:val="24"/>
        </w:rPr>
      </w:pPr>
    </w:p>
    <w:p w14:paraId="653D790E" w14:textId="77777777" w:rsidR="00071ACB" w:rsidRDefault="00071ACB" w:rsidP="00583F3E">
      <w:pPr>
        <w:widowControl/>
        <w:jc w:val="both"/>
        <w:rPr>
          <w:rFonts w:ascii="Times New Roman" w:hAnsi="Times New Roman" w:cs="Times New Roman"/>
          <w:noProof/>
          <w:position w:val="6"/>
          <w:sz w:val="24"/>
        </w:rPr>
      </w:pPr>
    </w:p>
    <w:p w14:paraId="025A0407" w14:textId="5C0FBCDC" w:rsidR="00071ACB" w:rsidRPr="00583F3E" w:rsidRDefault="00923C79" w:rsidP="00071ACB">
      <w:pPr>
        <w:widowControl/>
        <w:jc w:val="center"/>
        <w:rPr>
          <w:rFonts w:ascii="Times New Roman" w:hAnsi="Times New Roman" w:cs="Times New Roman"/>
          <w:noProof/>
          <w:position w:val="6"/>
          <w:sz w:val="24"/>
        </w:rPr>
      </w:pPr>
      <w:r w:rsidRPr="00923C79">
        <w:rPr>
          <w:rFonts w:ascii="Times New Roman" w:hAnsi="Times New Roman" w:cs="Times New Roman"/>
          <w:noProof/>
          <w:position w:val="6"/>
          <w:sz w:val="24"/>
        </w:rPr>
        <w:lastRenderedPageBreak/>
        <w:drawing>
          <wp:inline distT="0" distB="0" distL="0" distR="0" wp14:anchorId="71C066F3" wp14:editId="60CD53F5">
            <wp:extent cx="5760720" cy="19094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909445"/>
                    </a:xfrm>
                    <a:prstGeom prst="rect">
                      <a:avLst/>
                    </a:prstGeom>
                    <a:noFill/>
                    <a:ln>
                      <a:noFill/>
                    </a:ln>
                  </pic:spPr>
                </pic:pic>
              </a:graphicData>
            </a:graphic>
          </wp:inline>
        </w:drawing>
      </w:r>
    </w:p>
    <w:p w14:paraId="52593046" w14:textId="77777777" w:rsidR="00583F3E" w:rsidRDefault="00583F3E" w:rsidP="00583F3E">
      <w:pPr>
        <w:widowControl/>
        <w:jc w:val="both"/>
        <w:rPr>
          <w:rFonts w:ascii="Times New Roman" w:eastAsia="Calibri" w:hAnsi="Times New Roman" w:cs="Times New Roman"/>
          <w:noProof/>
          <w:position w:val="6"/>
          <w:sz w:val="24"/>
          <w:szCs w:val="7"/>
        </w:rPr>
      </w:pPr>
    </w:p>
    <w:p w14:paraId="3E7F979A" w14:textId="77777777" w:rsidR="00071ACB" w:rsidRPr="00EA2CE8" w:rsidRDefault="00071ACB" w:rsidP="00583F3E">
      <w:pPr>
        <w:widowControl/>
        <w:jc w:val="both"/>
        <w:rPr>
          <w:rFonts w:ascii="Times New Roman" w:eastAsia="Calibri" w:hAnsi="Times New Roman" w:cs="Times New Roman"/>
          <w:b/>
          <w:noProof/>
          <w:position w:val="6"/>
          <w:sz w:val="24"/>
          <w:szCs w:val="7"/>
        </w:rPr>
      </w:pPr>
      <w:r>
        <w:rPr>
          <w:rFonts w:ascii="Times New Roman" w:hAnsi="Times New Roman"/>
          <w:b/>
          <w:sz w:val="24"/>
        </w:rPr>
        <w:t>1. attēls. Iekārta, kas ražo gan produktus, kas ir uzskatāmi par pakļautiem oglekļa emisiju pārvirzes riskam, gan produktus, kas nav pakļauti oglekļa emisiju pārvirzes riskam</w:t>
      </w:r>
    </w:p>
    <w:p w14:paraId="3FE7D5F9" w14:textId="77777777" w:rsidR="00071ACB" w:rsidRDefault="00071ACB" w:rsidP="00583F3E">
      <w:pPr>
        <w:widowControl/>
        <w:jc w:val="both"/>
        <w:rPr>
          <w:rFonts w:ascii="Times New Roman" w:eastAsia="Calibri" w:hAnsi="Times New Roman" w:cs="Times New Roman"/>
          <w:noProof/>
          <w:position w:val="6"/>
          <w:sz w:val="24"/>
          <w:szCs w:val="7"/>
        </w:rPr>
      </w:pPr>
    </w:p>
    <w:p w14:paraId="3C0881EE"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Tā kā produktiem A, B un C nav piemērojama produkta līmeņatzīme, ir jāizmanto rezerves pieejas. Tā kā notiek procesa emisijas, būtiskas ir tikai siltuma un kurināmā līmeņatzīmes. Tā kā oglekļa emisiju pārvirzes statuss visiem produktiem nav vienāds, kopumā būs četras turpmāk norādītās apakšiekārtas:</w:t>
      </w:r>
    </w:p>
    <w:p w14:paraId="2D6D6473" w14:textId="77777777" w:rsidR="00583F3E" w:rsidRPr="00583F3E" w:rsidRDefault="00EA2CE8" w:rsidP="00EA2CE8">
      <w:pPr>
        <w:pStyle w:val="BodyText"/>
        <w:widowControl/>
        <w:tabs>
          <w:tab w:val="left" w:pos="58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apakšiekārta Nr. 1: siltuma līmeņatzīme produktiem, kas uzskatāmi par pakļautiem ievērojamam oglekļa emisiju pārvirzes riskam (produkti A un B);</w:t>
      </w:r>
    </w:p>
    <w:p w14:paraId="58B35336" w14:textId="77777777" w:rsidR="00583F3E" w:rsidRPr="00583F3E" w:rsidRDefault="00EA2CE8" w:rsidP="00EA2CE8">
      <w:pPr>
        <w:pStyle w:val="BodyText"/>
        <w:widowControl/>
        <w:tabs>
          <w:tab w:val="left" w:pos="58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apakšiekārta Nr. 2: siltuma līmeņatzīme produktiem, kas nav uzskatāmi par pakļautiem ievērojamam oglekļa emisiju pārvirzes riskam (produkts C);</w:t>
      </w:r>
    </w:p>
    <w:p w14:paraId="728C2ABC" w14:textId="77777777" w:rsidR="00583F3E" w:rsidRPr="00583F3E" w:rsidRDefault="00EA2CE8" w:rsidP="00EA2CE8">
      <w:pPr>
        <w:pStyle w:val="BodyText"/>
        <w:widowControl/>
        <w:tabs>
          <w:tab w:val="left" w:pos="58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apakšiekārta Nr. 3: kurināmā līmeņatzīme produktiem, kas uzskatāmi par pakļautiem ievērojamam oglekļa emisiju pārvirzes riskam (produkti A un B);</w:t>
      </w:r>
    </w:p>
    <w:p w14:paraId="065072A0" w14:textId="77777777" w:rsidR="00583F3E" w:rsidRPr="00583F3E" w:rsidRDefault="00EA2CE8" w:rsidP="00EA2CE8">
      <w:pPr>
        <w:pStyle w:val="BodyText"/>
        <w:widowControl/>
        <w:tabs>
          <w:tab w:val="left" w:pos="58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apakšiekārta Nr. 4: kurināmā līmeņatzīme produktiem, kas nav uzskatāmi par pakļautiem ievērojamam oglekļa emisiju pārvirzes riskam (produkts C).</w:t>
      </w:r>
    </w:p>
    <w:p w14:paraId="574A0F35"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4F364F1A"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Apakšiekārtās Nr. 3 un 4 tiks ietverts vienīgi kurināmais, kas netiek izmantots izmērāma siltuma ražošanai.</w:t>
      </w:r>
    </w:p>
    <w:p w14:paraId="71857308" w14:textId="77777777" w:rsidR="00583F3E" w:rsidRPr="00583F3E" w:rsidRDefault="00583F3E" w:rsidP="00583F3E">
      <w:pPr>
        <w:widowControl/>
        <w:jc w:val="both"/>
        <w:rPr>
          <w:rFonts w:ascii="Times New Roman" w:eastAsia="Calibri" w:hAnsi="Times New Roman" w:cs="Times New Roman"/>
          <w:i/>
          <w:noProof/>
          <w:position w:val="6"/>
          <w:sz w:val="24"/>
          <w:szCs w:val="23"/>
        </w:rPr>
      </w:pPr>
    </w:p>
    <w:p w14:paraId="279AEAE6"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Lai noteiktu, vai visas četras apakšiekārtas ir patiešām nepieciešamas, izmanto noteikumu par 95 %. Siltuma līmeņatzīmes apakšiekārtu un kurināmā līmeņatzīmes apakšiekārtu vēsturiskos darbības līmeņus aprēķina un salīdzina ar kopējo rādītāju.</w:t>
      </w:r>
    </w:p>
    <w:p w14:paraId="7D325018" w14:textId="77777777" w:rsidR="00583F3E" w:rsidRDefault="00583F3E" w:rsidP="00583F3E">
      <w:pPr>
        <w:widowControl/>
        <w:jc w:val="both"/>
        <w:rPr>
          <w:rFonts w:ascii="Times New Roman" w:eastAsia="Calibri" w:hAnsi="Times New Roman" w:cs="Times New Roman"/>
          <w:noProof/>
          <w:position w:val="6"/>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EA2CE8" w:rsidRPr="00EA2CE8" w14:paraId="65FFD6B3" w14:textId="77777777" w:rsidTr="00923C79">
        <w:tc>
          <w:tcPr>
            <w:tcW w:w="5000" w:type="pct"/>
          </w:tcPr>
          <w:p w14:paraId="0E37A10F" w14:textId="77777777" w:rsidR="00EA2CE8" w:rsidRPr="00EA2CE8" w:rsidRDefault="00EA2CE8" w:rsidP="00EA2CE8">
            <w:pPr>
              <w:jc w:val="both"/>
              <w:rPr>
                <w:rFonts w:ascii="Times New Roman" w:hAnsi="Times New Roman" w:cs="Times New Roman"/>
                <w:b/>
                <w:noProof/>
                <w:sz w:val="24"/>
                <w:szCs w:val="24"/>
              </w:rPr>
            </w:pPr>
            <w:r>
              <w:rPr>
                <w:rFonts w:ascii="Times New Roman" w:hAnsi="Times New Roman"/>
                <w:b/>
                <w:sz w:val="24"/>
                <w:szCs w:val="24"/>
              </w:rPr>
              <w:t>Paskaidrojumu lodziņš</w:t>
            </w:r>
          </w:p>
          <w:p w14:paraId="072A6524" w14:textId="77777777" w:rsidR="00EA2CE8" w:rsidRPr="00EA2CE8" w:rsidRDefault="00EA2CE8" w:rsidP="00EA2CE8">
            <w:pPr>
              <w:jc w:val="both"/>
              <w:rPr>
                <w:rFonts w:ascii="Times New Roman" w:hAnsi="Times New Roman" w:cs="Times New Roman"/>
                <w:noProof/>
                <w:sz w:val="24"/>
                <w:szCs w:val="24"/>
              </w:rPr>
            </w:pPr>
            <w:r>
              <w:rPr>
                <w:rFonts w:ascii="Times New Roman" w:hAnsi="Times New Roman"/>
                <w:sz w:val="24"/>
                <w:szCs w:val="24"/>
              </w:rPr>
              <w:t>Ja nav pieejami dati, kas nepieciešami, lai noteiktu, kāda izmērāmā siltuma, kurināmā vai emisiju daļa ir attiecināma uz produktiem, kas ir uzskatāmi par pakļautiem ievērojamam oglekļa emisiju pārvirzes riskam, un produktiem, kas nav uzskatāmi par pakļautiem šim riskam, izlaide, ielaide un emisijas tiks attiecinātas uz atbilstošo produktu proporcionāli saražotā produkta daudzumam. Gadījumā, ja trūkst datu, var tikt izmantoti aizstājdati un aplēses (piem., % vērtības, ko atļauts izmantot saskaņā ar datu vākšanas veidni), kas vienmēr ir pamatotas ar operatora sniegtajiem pierādījumiem.</w:t>
            </w:r>
          </w:p>
          <w:p w14:paraId="0076BB66" w14:textId="77777777" w:rsidR="00EA2CE8" w:rsidRPr="00EA2CE8" w:rsidRDefault="00EA2CE8" w:rsidP="00EA2CE8">
            <w:pPr>
              <w:widowControl/>
              <w:jc w:val="both"/>
              <w:rPr>
                <w:rFonts w:ascii="Times New Roman" w:eastAsia="Calibri" w:hAnsi="Times New Roman" w:cs="Times New Roman"/>
                <w:noProof/>
                <w:position w:val="6"/>
                <w:sz w:val="24"/>
                <w:szCs w:val="24"/>
              </w:rPr>
            </w:pPr>
            <w:r>
              <w:rPr>
                <w:rFonts w:ascii="Times New Roman" w:hAnsi="Times New Roman"/>
                <w:sz w:val="24"/>
                <w:szCs w:val="24"/>
              </w:rPr>
              <w:t>Tas nozīmē, ka gadījumā, ja produkts ir uzskatāms par pakļautu ievērojamam oglekļa emisiju pārvirzes riskam (piem., kazeīns), bet produkta ražošanas procesā ir ietverta tādu starpproduktu ražošana, kas nav uzskatāmi par pakļautiem ievērojamam oglekļa emisiju pārvirzes riskam (piemēram, svaigs vājpiens), vai tādu blakusproduktu ražošana, kas nav uzskatāmi par pakļautiem ievērojamam oglekļa emisiju pārvirzes riskam, attiecīgos datus sadala, lai attiecīgajam procesam varētu piešķirt pareizo oglekļa emisiju pārvirzes statusu.</w:t>
            </w:r>
          </w:p>
        </w:tc>
      </w:tr>
    </w:tbl>
    <w:p w14:paraId="22DC7609" w14:textId="77777777" w:rsidR="00EA2CE8" w:rsidRDefault="00EA2CE8" w:rsidP="00583F3E">
      <w:pPr>
        <w:widowControl/>
        <w:jc w:val="both"/>
        <w:rPr>
          <w:rFonts w:ascii="Times New Roman" w:eastAsia="Calibri" w:hAnsi="Times New Roman" w:cs="Times New Roman"/>
          <w:noProof/>
          <w:position w:val="6"/>
          <w:sz w:val="24"/>
          <w:szCs w:val="24"/>
        </w:rPr>
      </w:pPr>
    </w:p>
    <w:p w14:paraId="7EA8F083"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Ja produktu A un B ražošanai patērētā siltuma aritmētiskais vidējais ir vismaz 95 % no kopējā siltuma, kas tiek patērēts iekārtā, būs tikai viena siltuma apakšiekārta, kas ietver kopējo patērēto siltumu un kura būs uzskatāma par pakļautu ievērojamam oglekļa emisiju pārvirzes riskam. Ja tas ir mazāks par 5 %, arī tad būs tikai viena siltuma apakšiekārta, kas ietver kopējo iekārtā patērēto siltumu, bet kura būs uzskatāma par tādu, kas nav pakļauta oglekļa emisiju pārvirzes riskam. Līdzīgā kārtā, ja produktu A un B ražošanai sadedzinātā kurināmā aritmētiskais vidējais ir lielāks par 95 % salīdzinājumā ar kurināmo, kas tiek sadedzināts visā iekārtā, tad būs tikai viena kurināmā apakšiekārta, kas ietver kopējo iekārtā sadedzinātā kurināmā daudzumu un kura būs uzskatāma par pakļautu oglekļa emisiju pārvirzes riskam. Pretējā gadījumā – ja tas ir mazāks par 5 %, būs tikai viena kurināmā apakšiekārta, kas ietver kopējo iekārtā sadedzinātā kurināmā daudzumu un kura būs uzskatāma par tādu, kas nav pakļauta oglekļa emisiju pārvirzes riskam.</w:t>
      </w:r>
    </w:p>
    <w:p w14:paraId="321FC91A"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0872B980"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Lai izpildītu šo uzdevumu, tiek pieņemts, ka abās apakšiekārtās vēsturiskie darbības līmeņi ir zem 95 %, un tādēļ ir izmantojamas visas četras norādītās apakšiekārtas.</w:t>
      </w:r>
    </w:p>
    <w:p w14:paraId="344308D1"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0AB5FEF0"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Aprēķinot kvotas, formulas, kas jāizmanto katrai no apakšiekārtām, būtu šādas:</w:t>
      </w:r>
    </w:p>
    <w:p w14:paraId="0301FBD5" w14:textId="77777777" w:rsidR="00583F3E" w:rsidRPr="00583F3E" w:rsidRDefault="00EA2CE8" w:rsidP="00EA2CE8">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apakšiekārtai Nr. 1: provizoriskais piešķiramo kvotu apjoms = </w:t>
      </w:r>
      <w:r>
        <w:rPr>
          <w:rFonts w:ascii="Times New Roman" w:hAnsi="Times New Roman"/>
          <w:i/>
        </w:rPr>
        <w:t>BM</w:t>
      </w:r>
      <w:r>
        <w:rPr>
          <w:rFonts w:ascii="Times New Roman" w:hAnsi="Times New Roman"/>
          <w:i/>
          <w:iCs/>
          <w:vertAlign w:val="subscript"/>
        </w:rPr>
        <w:t>h</w:t>
      </w:r>
      <w:r>
        <w:rPr>
          <w:rFonts w:ascii="Times New Roman" w:hAnsi="Times New Roman"/>
        </w:rPr>
        <w:t xml:space="preserve"> × </w:t>
      </w:r>
      <w:r>
        <w:rPr>
          <w:rFonts w:ascii="Times New Roman" w:hAnsi="Times New Roman"/>
          <w:i/>
        </w:rPr>
        <w:t>HAL</w:t>
      </w:r>
      <w:r>
        <w:rPr>
          <w:rFonts w:ascii="Times New Roman" w:hAnsi="Times New Roman"/>
          <w:i/>
          <w:iCs/>
          <w:vertAlign w:val="subscript"/>
        </w:rPr>
        <w:t>h</w:t>
      </w:r>
      <w:r>
        <w:rPr>
          <w:rFonts w:ascii="Times New Roman" w:hAnsi="Times New Roman"/>
        </w:rPr>
        <w:t xml:space="preserve">(A+B) × </w:t>
      </w:r>
      <w:r>
        <w:rPr>
          <w:rFonts w:ascii="Times New Roman" w:hAnsi="Times New Roman"/>
          <w:i/>
        </w:rPr>
        <w:t>CLEF</w:t>
      </w:r>
      <w:r>
        <w:rPr>
          <w:rFonts w:ascii="Times New Roman" w:hAnsi="Times New Roman"/>
          <w:i/>
          <w:iCs/>
          <w:vertAlign w:val="subscript"/>
        </w:rPr>
        <w:t>CL</w:t>
      </w:r>
      <w:r>
        <w:rPr>
          <w:rFonts w:ascii="Times New Roman" w:hAnsi="Times New Roman"/>
        </w:rPr>
        <w:t>;</w:t>
      </w:r>
    </w:p>
    <w:p w14:paraId="7E26C828" w14:textId="77777777" w:rsidR="00583F3E" w:rsidRPr="00583F3E" w:rsidRDefault="00EA2CE8" w:rsidP="00EA2CE8">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apakšiekārtai Nr. 2: provizoriskais piešķiramo kvotu apjoms = </w:t>
      </w:r>
      <w:r>
        <w:rPr>
          <w:rFonts w:ascii="Times New Roman" w:hAnsi="Times New Roman"/>
          <w:i/>
        </w:rPr>
        <w:t>BM</w:t>
      </w:r>
      <w:r>
        <w:rPr>
          <w:rFonts w:ascii="Times New Roman" w:hAnsi="Times New Roman"/>
          <w:i/>
          <w:iCs/>
          <w:vertAlign w:val="subscript"/>
        </w:rPr>
        <w:t>h</w:t>
      </w:r>
      <w:r>
        <w:rPr>
          <w:rFonts w:ascii="Times New Roman" w:hAnsi="Times New Roman"/>
        </w:rPr>
        <w:t xml:space="preserve"> × </w:t>
      </w:r>
      <w:r>
        <w:rPr>
          <w:rFonts w:ascii="Times New Roman" w:hAnsi="Times New Roman"/>
          <w:i/>
        </w:rPr>
        <w:t>HAL</w:t>
      </w:r>
      <w:r>
        <w:rPr>
          <w:rFonts w:ascii="Times New Roman" w:hAnsi="Times New Roman"/>
          <w:i/>
          <w:iCs/>
          <w:vertAlign w:val="subscript"/>
        </w:rPr>
        <w:t>h</w:t>
      </w:r>
      <w:r>
        <w:rPr>
          <w:rFonts w:ascii="Times New Roman" w:hAnsi="Times New Roman"/>
        </w:rPr>
        <w:t xml:space="preserve">(C) × </w:t>
      </w:r>
      <w:r>
        <w:rPr>
          <w:rFonts w:ascii="Times New Roman" w:hAnsi="Times New Roman"/>
          <w:i/>
        </w:rPr>
        <w:t>CLEF</w:t>
      </w:r>
      <w:r>
        <w:rPr>
          <w:rFonts w:ascii="Times New Roman" w:hAnsi="Times New Roman"/>
          <w:vertAlign w:val="subscript"/>
        </w:rPr>
        <w:t xml:space="preserve">nav </w:t>
      </w:r>
      <w:r>
        <w:rPr>
          <w:rFonts w:ascii="Times New Roman" w:hAnsi="Times New Roman"/>
          <w:i/>
          <w:iCs/>
          <w:vertAlign w:val="subscript"/>
        </w:rPr>
        <w:t>CL</w:t>
      </w:r>
      <w:r>
        <w:rPr>
          <w:rFonts w:ascii="Times New Roman" w:hAnsi="Times New Roman"/>
          <w:vertAlign w:val="subscript"/>
        </w:rPr>
        <w:t>,</w:t>
      </w:r>
      <w:r>
        <w:rPr>
          <w:rFonts w:ascii="Times New Roman" w:hAnsi="Times New Roman"/>
          <w:i/>
          <w:iCs/>
          <w:vertAlign w:val="subscript"/>
        </w:rPr>
        <w:t>k</w:t>
      </w:r>
      <w:r>
        <w:rPr>
          <w:rFonts w:ascii="Times New Roman" w:hAnsi="Times New Roman"/>
        </w:rPr>
        <w:t>;</w:t>
      </w:r>
    </w:p>
    <w:p w14:paraId="30D9A610" w14:textId="77777777" w:rsidR="00583F3E" w:rsidRPr="00583F3E" w:rsidRDefault="00EA2CE8" w:rsidP="00EA2CE8">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apakšiekārtai Nr. 3: provizoriskais piešķiramo kvotu apjoms = </w:t>
      </w:r>
      <w:r>
        <w:rPr>
          <w:rFonts w:ascii="Times New Roman" w:hAnsi="Times New Roman"/>
          <w:i/>
        </w:rPr>
        <w:t>BM</w:t>
      </w:r>
      <w:r>
        <w:rPr>
          <w:rFonts w:ascii="Times New Roman" w:hAnsi="Times New Roman"/>
          <w:i/>
          <w:iCs/>
          <w:vertAlign w:val="subscript"/>
        </w:rPr>
        <w:t>f</w:t>
      </w:r>
      <w:r>
        <w:rPr>
          <w:rFonts w:ascii="Times New Roman" w:hAnsi="Times New Roman"/>
        </w:rPr>
        <w:t xml:space="preserve"> × </w:t>
      </w:r>
      <w:r>
        <w:rPr>
          <w:rFonts w:ascii="Times New Roman" w:hAnsi="Times New Roman"/>
          <w:i/>
        </w:rPr>
        <w:t>HAL</w:t>
      </w:r>
      <w:r>
        <w:rPr>
          <w:rFonts w:ascii="Times New Roman" w:hAnsi="Times New Roman"/>
          <w:i/>
          <w:iCs/>
          <w:vertAlign w:val="subscript"/>
        </w:rPr>
        <w:t>f</w:t>
      </w:r>
      <w:r>
        <w:rPr>
          <w:rFonts w:ascii="Times New Roman" w:hAnsi="Times New Roman"/>
        </w:rPr>
        <w:t xml:space="preserve">(A+B) × </w:t>
      </w:r>
      <w:r>
        <w:rPr>
          <w:rFonts w:ascii="Times New Roman" w:hAnsi="Times New Roman"/>
          <w:i/>
        </w:rPr>
        <w:t>CLEF</w:t>
      </w:r>
      <w:r>
        <w:rPr>
          <w:rFonts w:ascii="Times New Roman" w:hAnsi="Times New Roman"/>
          <w:i/>
          <w:iCs/>
          <w:vertAlign w:val="subscript"/>
        </w:rPr>
        <w:t>CL</w:t>
      </w:r>
      <w:r>
        <w:rPr>
          <w:rFonts w:ascii="Times New Roman" w:hAnsi="Times New Roman"/>
        </w:rPr>
        <w:t>;</w:t>
      </w:r>
    </w:p>
    <w:p w14:paraId="28C48436" w14:textId="77777777" w:rsidR="00583F3E" w:rsidRPr="00583F3E" w:rsidRDefault="00EA2CE8" w:rsidP="00EA2CE8">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apakšiekārtai Nr. 4: provizoriskais piešķiramo kvotu apjoms = </w:t>
      </w:r>
      <w:r>
        <w:rPr>
          <w:rFonts w:ascii="Times New Roman" w:hAnsi="Times New Roman"/>
          <w:i/>
        </w:rPr>
        <w:t>BM</w:t>
      </w:r>
      <w:r>
        <w:rPr>
          <w:rFonts w:ascii="Times New Roman" w:hAnsi="Times New Roman"/>
          <w:i/>
          <w:iCs/>
          <w:vertAlign w:val="subscript"/>
        </w:rPr>
        <w:t>f</w:t>
      </w:r>
      <w:r>
        <w:rPr>
          <w:rFonts w:ascii="Times New Roman" w:hAnsi="Times New Roman"/>
        </w:rPr>
        <w:t xml:space="preserve"> × </w:t>
      </w:r>
      <w:r>
        <w:rPr>
          <w:rFonts w:ascii="Times New Roman" w:hAnsi="Times New Roman"/>
          <w:i/>
        </w:rPr>
        <w:t>HAL</w:t>
      </w:r>
      <w:r>
        <w:rPr>
          <w:rFonts w:ascii="Times New Roman" w:hAnsi="Times New Roman"/>
          <w:i/>
          <w:iCs/>
          <w:vertAlign w:val="subscript"/>
        </w:rPr>
        <w:t>f</w:t>
      </w:r>
      <w:r>
        <w:rPr>
          <w:rFonts w:ascii="Times New Roman" w:hAnsi="Times New Roman"/>
        </w:rPr>
        <w:t xml:space="preserve">(C) × </w:t>
      </w:r>
      <w:r>
        <w:rPr>
          <w:rFonts w:ascii="Times New Roman" w:hAnsi="Times New Roman"/>
          <w:i/>
        </w:rPr>
        <w:t>CLEF</w:t>
      </w:r>
      <w:r>
        <w:rPr>
          <w:rFonts w:ascii="Times New Roman" w:hAnsi="Times New Roman"/>
          <w:vertAlign w:val="subscript"/>
        </w:rPr>
        <w:t xml:space="preserve">nav </w:t>
      </w:r>
      <w:r>
        <w:rPr>
          <w:rFonts w:ascii="Times New Roman" w:hAnsi="Times New Roman"/>
          <w:i/>
          <w:iCs/>
          <w:vertAlign w:val="subscript"/>
        </w:rPr>
        <w:t>CL</w:t>
      </w:r>
      <w:r>
        <w:rPr>
          <w:rFonts w:ascii="Times New Roman" w:hAnsi="Times New Roman"/>
          <w:vertAlign w:val="subscript"/>
        </w:rPr>
        <w:t>,</w:t>
      </w:r>
      <w:r>
        <w:rPr>
          <w:rFonts w:ascii="Times New Roman" w:hAnsi="Times New Roman"/>
          <w:i/>
          <w:iCs/>
          <w:vertAlign w:val="subscript"/>
        </w:rPr>
        <w:t>k</w:t>
      </w:r>
      <w:r>
        <w:rPr>
          <w:rFonts w:ascii="Times New Roman" w:hAnsi="Times New Roman"/>
        </w:rPr>
        <w:t>.,</w:t>
      </w:r>
    </w:p>
    <w:p w14:paraId="1610E1A3"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20ACF1C6"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62"/>
      </w:tblGrid>
      <w:tr w:rsidR="00EA2CE8" w14:paraId="7F86CE65" w14:textId="77777777" w:rsidTr="00EA2CE8">
        <w:tc>
          <w:tcPr>
            <w:tcW w:w="1526" w:type="dxa"/>
          </w:tcPr>
          <w:p w14:paraId="25C3FE51" w14:textId="77777777" w:rsidR="00EA2CE8" w:rsidRDefault="00EA2CE8" w:rsidP="00583F3E">
            <w:pPr>
              <w:pStyle w:val="BodyText"/>
              <w:widowControl/>
              <w:ind w:left="0"/>
              <w:jc w:val="both"/>
              <w:rPr>
                <w:rFonts w:ascii="Times New Roman" w:hAnsi="Times New Roman" w:cs="Times New Roman"/>
                <w:noProof/>
                <w:position w:val="6"/>
              </w:rPr>
            </w:pPr>
            <w:r>
              <w:rPr>
                <w:rFonts w:ascii="Times New Roman" w:hAnsi="Times New Roman"/>
                <w:i/>
                <w:iCs/>
              </w:rPr>
              <w:t>BM</w:t>
            </w:r>
            <w:r>
              <w:rPr>
                <w:rFonts w:ascii="Times New Roman" w:hAnsi="Times New Roman"/>
                <w:i/>
                <w:iCs/>
                <w:vertAlign w:val="subscript"/>
              </w:rPr>
              <w:t>h</w:t>
            </w:r>
          </w:p>
        </w:tc>
        <w:tc>
          <w:tcPr>
            <w:tcW w:w="7762" w:type="dxa"/>
          </w:tcPr>
          <w:p w14:paraId="6B00248B" w14:textId="2C6082EA" w:rsidR="00EA2CE8" w:rsidRDefault="00EA2CE8" w:rsidP="00EA2CE8">
            <w:pPr>
              <w:pStyle w:val="BodyText"/>
              <w:widowControl/>
              <w:tabs>
                <w:tab w:val="left" w:pos="1233"/>
              </w:tabs>
              <w:ind w:left="0"/>
              <w:jc w:val="both"/>
              <w:rPr>
                <w:rFonts w:ascii="Times New Roman" w:hAnsi="Times New Roman" w:cs="Times New Roman"/>
                <w:noProof/>
                <w:position w:val="6"/>
              </w:rPr>
            </w:pPr>
            <w:r>
              <w:rPr>
                <w:rFonts w:ascii="Times New Roman" w:hAnsi="Times New Roman"/>
              </w:rPr>
              <w:t>= līmeņatzīmes vērtība siltumam (</w:t>
            </w:r>
            <w:r w:rsidRPr="0036402B">
              <w:rPr>
                <w:rFonts w:ascii="Times New Roman" w:hAnsi="Times New Roman"/>
                <w:i/>
                <w:iCs/>
              </w:rPr>
              <w:t>E</w:t>
            </w:r>
            <w:r w:rsidR="0036402B" w:rsidRPr="0036402B">
              <w:rPr>
                <w:rFonts w:ascii="Times New Roman" w:hAnsi="Times New Roman"/>
                <w:i/>
                <w:iCs/>
              </w:rPr>
              <w:t>UA</w:t>
            </w:r>
            <w:r>
              <w:rPr>
                <w:rFonts w:ascii="Times New Roman" w:hAnsi="Times New Roman"/>
              </w:rPr>
              <w:t>/</w:t>
            </w:r>
            <w:r>
              <w:rPr>
                <w:rFonts w:ascii="Times New Roman" w:hAnsi="Times New Roman"/>
                <w:i/>
                <w:iCs/>
              </w:rPr>
              <w:t>TJ</w:t>
            </w:r>
            <w:r>
              <w:rPr>
                <w:rFonts w:ascii="Times New Roman" w:hAnsi="Times New Roman"/>
              </w:rPr>
              <w:t>);</w:t>
            </w:r>
          </w:p>
        </w:tc>
      </w:tr>
      <w:tr w:rsidR="00EA2CE8" w14:paraId="638587DE" w14:textId="77777777" w:rsidTr="00EA2CE8">
        <w:tc>
          <w:tcPr>
            <w:tcW w:w="1526" w:type="dxa"/>
          </w:tcPr>
          <w:p w14:paraId="71A8FA17" w14:textId="77777777" w:rsidR="00EA2CE8" w:rsidRDefault="00EA2CE8" w:rsidP="00583F3E">
            <w:pPr>
              <w:pStyle w:val="BodyText"/>
              <w:widowControl/>
              <w:ind w:left="0"/>
              <w:jc w:val="both"/>
              <w:rPr>
                <w:rFonts w:ascii="Times New Roman" w:hAnsi="Times New Roman" w:cs="Times New Roman"/>
                <w:noProof/>
                <w:position w:val="6"/>
              </w:rPr>
            </w:pPr>
            <w:r>
              <w:rPr>
                <w:rFonts w:ascii="Times New Roman" w:hAnsi="Times New Roman"/>
                <w:i/>
              </w:rPr>
              <w:t>HAL</w:t>
            </w:r>
            <w:r>
              <w:rPr>
                <w:rFonts w:ascii="Times New Roman" w:hAnsi="Times New Roman"/>
                <w:i/>
                <w:iCs/>
                <w:vertAlign w:val="subscript"/>
              </w:rPr>
              <w:t>h</w:t>
            </w:r>
            <w:r>
              <w:rPr>
                <w:rFonts w:ascii="Times New Roman" w:hAnsi="Times New Roman"/>
              </w:rPr>
              <w:t>(A+B)</w:t>
            </w:r>
          </w:p>
        </w:tc>
        <w:tc>
          <w:tcPr>
            <w:tcW w:w="7762" w:type="dxa"/>
          </w:tcPr>
          <w:p w14:paraId="7A8F38DE" w14:textId="77777777" w:rsidR="00EA2CE8" w:rsidRDefault="00EA2CE8" w:rsidP="00EA2CE8">
            <w:pPr>
              <w:pStyle w:val="BodyText"/>
              <w:widowControl/>
              <w:tabs>
                <w:tab w:val="left" w:pos="1233"/>
              </w:tabs>
              <w:ind w:left="0"/>
              <w:jc w:val="both"/>
              <w:rPr>
                <w:rFonts w:ascii="Times New Roman" w:hAnsi="Times New Roman" w:cs="Times New Roman"/>
                <w:noProof/>
                <w:position w:val="6"/>
              </w:rPr>
            </w:pPr>
            <w:r>
              <w:rPr>
                <w:rFonts w:ascii="Times New Roman" w:hAnsi="Times New Roman"/>
              </w:rPr>
              <w:t>= vēsturiskais izmērāmā neto siltuma patēriņš A un B ražošanai (</w:t>
            </w:r>
            <w:r>
              <w:rPr>
                <w:rFonts w:ascii="Times New Roman" w:hAnsi="Times New Roman"/>
                <w:i/>
                <w:iCs/>
              </w:rPr>
              <w:t>TJ</w:t>
            </w:r>
            <w:r>
              <w:rPr>
                <w:rFonts w:ascii="Times New Roman" w:hAnsi="Times New Roman"/>
              </w:rPr>
              <w:t>/gadā);</w:t>
            </w:r>
          </w:p>
        </w:tc>
      </w:tr>
      <w:tr w:rsidR="00EA2CE8" w14:paraId="7CD04CF8" w14:textId="77777777" w:rsidTr="00EA2CE8">
        <w:tc>
          <w:tcPr>
            <w:tcW w:w="1526" w:type="dxa"/>
          </w:tcPr>
          <w:p w14:paraId="14BA4D28" w14:textId="77777777" w:rsidR="00EA2CE8" w:rsidRDefault="00EA2CE8" w:rsidP="00583F3E">
            <w:pPr>
              <w:pStyle w:val="BodyText"/>
              <w:widowControl/>
              <w:ind w:left="0"/>
              <w:jc w:val="both"/>
              <w:rPr>
                <w:rFonts w:ascii="Times New Roman" w:hAnsi="Times New Roman" w:cs="Times New Roman"/>
                <w:noProof/>
                <w:position w:val="6"/>
              </w:rPr>
            </w:pPr>
            <w:r>
              <w:rPr>
                <w:rFonts w:ascii="Times New Roman" w:hAnsi="Times New Roman"/>
                <w:i/>
              </w:rPr>
              <w:t>HAL</w:t>
            </w:r>
            <w:r>
              <w:rPr>
                <w:rFonts w:ascii="Times New Roman" w:hAnsi="Times New Roman"/>
                <w:i/>
                <w:iCs/>
                <w:vertAlign w:val="subscript"/>
              </w:rPr>
              <w:t>h</w:t>
            </w:r>
            <w:r>
              <w:rPr>
                <w:rFonts w:ascii="Times New Roman" w:hAnsi="Times New Roman"/>
              </w:rPr>
              <w:t>(C)</w:t>
            </w:r>
          </w:p>
        </w:tc>
        <w:tc>
          <w:tcPr>
            <w:tcW w:w="7762" w:type="dxa"/>
          </w:tcPr>
          <w:p w14:paraId="4A2EB486" w14:textId="77777777" w:rsidR="00EA2CE8" w:rsidRDefault="00EA2CE8" w:rsidP="00583F3E">
            <w:pPr>
              <w:pStyle w:val="BodyText"/>
              <w:widowControl/>
              <w:ind w:left="0"/>
              <w:jc w:val="both"/>
              <w:rPr>
                <w:rFonts w:ascii="Times New Roman" w:hAnsi="Times New Roman" w:cs="Times New Roman"/>
                <w:noProof/>
                <w:position w:val="6"/>
              </w:rPr>
            </w:pPr>
            <w:r>
              <w:rPr>
                <w:rFonts w:ascii="Times New Roman" w:hAnsi="Times New Roman"/>
              </w:rPr>
              <w:t>= vēsturiskais izmērāmā neto siltuma patēriņš C ražošanai (</w:t>
            </w:r>
            <w:r>
              <w:rPr>
                <w:rFonts w:ascii="Times New Roman" w:hAnsi="Times New Roman"/>
                <w:i/>
                <w:iCs/>
              </w:rPr>
              <w:t>TJ</w:t>
            </w:r>
            <w:r>
              <w:rPr>
                <w:rFonts w:ascii="Times New Roman" w:hAnsi="Times New Roman"/>
              </w:rPr>
              <w:t>/gadā);</w:t>
            </w:r>
          </w:p>
        </w:tc>
      </w:tr>
      <w:tr w:rsidR="00EA2CE8" w14:paraId="52469131" w14:textId="77777777" w:rsidTr="00EA2CE8">
        <w:tc>
          <w:tcPr>
            <w:tcW w:w="1526" w:type="dxa"/>
          </w:tcPr>
          <w:p w14:paraId="5E25D38F" w14:textId="77777777" w:rsidR="00EA2CE8" w:rsidRDefault="00EA2CE8" w:rsidP="00583F3E">
            <w:pPr>
              <w:pStyle w:val="BodyText"/>
              <w:widowControl/>
              <w:ind w:left="0"/>
              <w:jc w:val="both"/>
              <w:rPr>
                <w:rFonts w:ascii="Times New Roman" w:hAnsi="Times New Roman" w:cs="Times New Roman"/>
                <w:noProof/>
                <w:position w:val="6"/>
              </w:rPr>
            </w:pPr>
            <w:r>
              <w:rPr>
                <w:rFonts w:ascii="Times New Roman" w:hAnsi="Times New Roman"/>
                <w:i/>
                <w:iCs/>
              </w:rPr>
              <w:t>BM</w:t>
            </w:r>
            <w:r>
              <w:rPr>
                <w:rFonts w:ascii="Times New Roman" w:hAnsi="Times New Roman"/>
                <w:i/>
                <w:iCs/>
                <w:vertAlign w:val="subscript"/>
              </w:rPr>
              <w:t>f</w:t>
            </w:r>
          </w:p>
        </w:tc>
        <w:tc>
          <w:tcPr>
            <w:tcW w:w="7762" w:type="dxa"/>
          </w:tcPr>
          <w:p w14:paraId="6C31EC63" w14:textId="6F8A761A" w:rsidR="00EA2CE8" w:rsidRDefault="00EA2CE8" w:rsidP="00EA2CE8">
            <w:pPr>
              <w:pStyle w:val="BodyText"/>
              <w:widowControl/>
              <w:tabs>
                <w:tab w:val="left" w:pos="1233"/>
              </w:tabs>
              <w:ind w:left="0"/>
              <w:jc w:val="both"/>
              <w:rPr>
                <w:rFonts w:ascii="Times New Roman" w:hAnsi="Times New Roman" w:cs="Times New Roman"/>
                <w:noProof/>
                <w:position w:val="6"/>
              </w:rPr>
            </w:pPr>
            <w:r>
              <w:rPr>
                <w:rFonts w:ascii="Times New Roman" w:hAnsi="Times New Roman"/>
              </w:rPr>
              <w:t>= kurināmā līmeņatzīmes vērtība (</w:t>
            </w:r>
            <w:r w:rsidRPr="0036402B">
              <w:rPr>
                <w:rFonts w:ascii="Times New Roman" w:hAnsi="Times New Roman"/>
                <w:i/>
                <w:iCs/>
              </w:rPr>
              <w:t>E</w:t>
            </w:r>
            <w:r w:rsidR="0036402B" w:rsidRPr="0036402B">
              <w:rPr>
                <w:rFonts w:ascii="Times New Roman" w:hAnsi="Times New Roman"/>
                <w:i/>
                <w:iCs/>
              </w:rPr>
              <w:t>UA</w:t>
            </w:r>
            <w:r>
              <w:rPr>
                <w:rFonts w:ascii="Times New Roman" w:hAnsi="Times New Roman"/>
              </w:rPr>
              <w:t>/</w:t>
            </w:r>
            <w:r>
              <w:rPr>
                <w:rFonts w:ascii="Times New Roman" w:hAnsi="Times New Roman"/>
                <w:i/>
                <w:iCs/>
              </w:rPr>
              <w:t>TJ</w:t>
            </w:r>
            <w:r>
              <w:rPr>
                <w:rFonts w:ascii="Times New Roman" w:hAnsi="Times New Roman"/>
              </w:rPr>
              <w:t>);</w:t>
            </w:r>
          </w:p>
        </w:tc>
      </w:tr>
      <w:tr w:rsidR="00EA2CE8" w14:paraId="42DD6FBC" w14:textId="77777777" w:rsidTr="00EA2CE8">
        <w:tc>
          <w:tcPr>
            <w:tcW w:w="1526" w:type="dxa"/>
          </w:tcPr>
          <w:p w14:paraId="783CEF1F" w14:textId="77777777" w:rsidR="00EA2CE8" w:rsidRDefault="00EA2CE8" w:rsidP="00583F3E">
            <w:pPr>
              <w:pStyle w:val="BodyText"/>
              <w:widowControl/>
              <w:ind w:left="0"/>
              <w:jc w:val="both"/>
              <w:rPr>
                <w:rFonts w:ascii="Times New Roman" w:hAnsi="Times New Roman" w:cs="Times New Roman"/>
                <w:noProof/>
                <w:position w:val="6"/>
              </w:rPr>
            </w:pPr>
            <w:r>
              <w:rPr>
                <w:rFonts w:ascii="Times New Roman" w:hAnsi="Times New Roman"/>
                <w:i/>
              </w:rPr>
              <w:t>HAL</w:t>
            </w:r>
            <w:r>
              <w:rPr>
                <w:rFonts w:ascii="Times New Roman" w:hAnsi="Times New Roman"/>
                <w:i/>
                <w:iCs/>
                <w:vertAlign w:val="subscript"/>
              </w:rPr>
              <w:t>f</w:t>
            </w:r>
            <w:r>
              <w:rPr>
                <w:rFonts w:ascii="Times New Roman" w:hAnsi="Times New Roman"/>
              </w:rPr>
              <w:t>(A+B)</w:t>
            </w:r>
          </w:p>
        </w:tc>
        <w:tc>
          <w:tcPr>
            <w:tcW w:w="7762" w:type="dxa"/>
          </w:tcPr>
          <w:p w14:paraId="54AE6ECC" w14:textId="77777777" w:rsidR="00EA2CE8" w:rsidRDefault="00EA2CE8" w:rsidP="00EA2CE8">
            <w:pPr>
              <w:pStyle w:val="BodyText"/>
              <w:widowControl/>
              <w:tabs>
                <w:tab w:val="left" w:pos="1233"/>
              </w:tabs>
              <w:ind w:left="0"/>
              <w:jc w:val="both"/>
              <w:rPr>
                <w:rFonts w:ascii="Times New Roman" w:hAnsi="Times New Roman" w:cs="Times New Roman"/>
                <w:noProof/>
                <w:position w:val="6"/>
              </w:rPr>
            </w:pPr>
            <w:r>
              <w:rPr>
                <w:rFonts w:ascii="Times New Roman" w:hAnsi="Times New Roman"/>
              </w:rPr>
              <w:t>= vēsturiskais kurināmā patēriņš A un B ražošanai (</w:t>
            </w:r>
            <w:r>
              <w:rPr>
                <w:rFonts w:ascii="Times New Roman" w:hAnsi="Times New Roman"/>
                <w:i/>
                <w:iCs/>
              </w:rPr>
              <w:t>TJ</w:t>
            </w:r>
            <w:r>
              <w:rPr>
                <w:rFonts w:ascii="Times New Roman" w:hAnsi="Times New Roman"/>
              </w:rPr>
              <w:t>/gadā);</w:t>
            </w:r>
          </w:p>
        </w:tc>
      </w:tr>
      <w:tr w:rsidR="00EA2CE8" w14:paraId="1728A2A8" w14:textId="77777777" w:rsidTr="00EA2CE8">
        <w:tc>
          <w:tcPr>
            <w:tcW w:w="1526" w:type="dxa"/>
          </w:tcPr>
          <w:p w14:paraId="44146127" w14:textId="77777777" w:rsidR="00EA2CE8" w:rsidRDefault="00EA2CE8" w:rsidP="00583F3E">
            <w:pPr>
              <w:pStyle w:val="BodyText"/>
              <w:widowControl/>
              <w:ind w:left="0"/>
              <w:jc w:val="both"/>
              <w:rPr>
                <w:rFonts w:ascii="Times New Roman" w:hAnsi="Times New Roman" w:cs="Times New Roman"/>
                <w:noProof/>
                <w:position w:val="6"/>
              </w:rPr>
            </w:pPr>
            <w:r>
              <w:rPr>
                <w:rFonts w:ascii="Times New Roman" w:hAnsi="Times New Roman"/>
                <w:i/>
              </w:rPr>
              <w:t>HAL</w:t>
            </w:r>
            <w:r>
              <w:rPr>
                <w:rFonts w:ascii="Times New Roman" w:hAnsi="Times New Roman"/>
                <w:i/>
                <w:iCs/>
                <w:vertAlign w:val="subscript"/>
              </w:rPr>
              <w:t>f</w:t>
            </w:r>
            <w:r>
              <w:rPr>
                <w:rFonts w:ascii="Times New Roman" w:hAnsi="Times New Roman"/>
              </w:rPr>
              <w:t>(C)</w:t>
            </w:r>
          </w:p>
        </w:tc>
        <w:tc>
          <w:tcPr>
            <w:tcW w:w="7762" w:type="dxa"/>
          </w:tcPr>
          <w:p w14:paraId="5CDFF78C" w14:textId="77777777" w:rsidR="00EA2CE8" w:rsidRDefault="00EA2CE8" w:rsidP="00EA2CE8">
            <w:pPr>
              <w:pStyle w:val="BodyText"/>
              <w:widowControl/>
              <w:tabs>
                <w:tab w:val="left" w:pos="1233"/>
              </w:tabs>
              <w:ind w:left="0"/>
              <w:jc w:val="both"/>
              <w:rPr>
                <w:rFonts w:ascii="Times New Roman" w:hAnsi="Times New Roman" w:cs="Times New Roman"/>
                <w:noProof/>
                <w:position w:val="6"/>
              </w:rPr>
            </w:pPr>
            <w:r>
              <w:rPr>
                <w:rFonts w:ascii="Times New Roman" w:hAnsi="Times New Roman"/>
              </w:rPr>
              <w:t>= vēsturiskais kurināmā patēriņš C ražošanai (</w:t>
            </w:r>
            <w:r>
              <w:rPr>
                <w:rFonts w:ascii="Times New Roman" w:hAnsi="Times New Roman"/>
                <w:i/>
                <w:iCs/>
              </w:rPr>
              <w:t>TJ</w:t>
            </w:r>
            <w:r>
              <w:rPr>
                <w:rFonts w:ascii="Times New Roman" w:hAnsi="Times New Roman"/>
              </w:rPr>
              <w:t>/gadā);</w:t>
            </w:r>
          </w:p>
        </w:tc>
      </w:tr>
      <w:tr w:rsidR="00EA2CE8" w14:paraId="11302566" w14:textId="77777777" w:rsidTr="00EA2CE8">
        <w:tc>
          <w:tcPr>
            <w:tcW w:w="1526" w:type="dxa"/>
          </w:tcPr>
          <w:p w14:paraId="0CF4D6FC" w14:textId="77777777" w:rsidR="00EA2CE8" w:rsidRDefault="00EA2CE8" w:rsidP="00583F3E">
            <w:pPr>
              <w:pStyle w:val="BodyText"/>
              <w:widowControl/>
              <w:ind w:left="0"/>
              <w:jc w:val="both"/>
              <w:rPr>
                <w:rFonts w:ascii="Times New Roman" w:hAnsi="Times New Roman" w:cs="Times New Roman"/>
                <w:noProof/>
                <w:position w:val="6"/>
              </w:rPr>
            </w:pPr>
            <w:r>
              <w:rPr>
                <w:rFonts w:ascii="Times New Roman" w:hAnsi="Times New Roman"/>
                <w:i/>
              </w:rPr>
              <w:t>CLEF</w:t>
            </w:r>
          </w:p>
        </w:tc>
        <w:tc>
          <w:tcPr>
            <w:tcW w:w="7762" w:type="dxa"/>
          </w:tcPr>
          <w:p w14:paraId="27E82DC2" w14:textId="77777777" w:rsidR="00EA2CE8" w:rsidRDefault="00EA2CE8" w:rsidP="00EA2CE8">
            <w:pPr>
              <w:pStyle w:val="BodyText"/>
              <w:widowControl/>
              <w:tabs>
                <w:tab w:val="left" w:pos="1233"/>
              </w:tabs>
              <w:ind w:left="0"/>
              <w:jc w:val="both"/>
              <w:rPr>
                <w:rFonts w:ascii="Times New Roman" w:hAnsi="Times New Roman" w:cs="Times New Roman"/>
                <w:noProof/>
                <w:position w:val="6"/>
              </w:rPr>
            </w:pPr>
            <w:r>
              <w:rPr>
                <w:rFonts w:ascii="Times New Roman" w:hAnsi="Times New Roman"/>
              </w:rPr>
              <w:t xml:space="preserve">= oglekļa emisiju pārvirzes riska koeficients (bez mērvienībām; </w:t>
            </w:r>
            <w:r>
              <w:rPr>
                <w:rFonts w:ascii="Times New Roman" w:hAnsi="Times New Roman"/>
                <w:i/>
              </w:rPr>
              <w:t>CLEF</w:t>
            </w:r>
            <w:r>
              <w:rPr>
                <w:rFonts w:ascii="Times New Roman" w:hAnsi="Times New Roman"/>
              </w:rPr>
              <w:t xml:space="preserve">, ja ir </w:t>
            </w:r>
            <w:r>
              <w:rPr>
                <w:rFonts w:ascii="Times New Roman" w:hAnsi="Times New Roman"/>
                <w:i/>
              </w:rPr>
              <w:t>CL</w:t>
            </w:r>
            <w:r>
              <w:rPr>
                <w:rFonts w:ascii="Times New Roman" w:hAnsi="Times New Roman"/>
              </w:rPr>
              <w:t xml:space="preserve"> / nav </w:t>
            </w:r>
            <w:r>
              <w:rPr>
                <w:rFonts w:ascii="Times New Roman" w:hAnsi="Times New Roman"/>
                <w:i/>
              </w:rPr>
              <w:t>CL</w:t>
            </w:r>
            <w:r>
              <w:rPr>
                <w:rFonts w:ascii="Times New Roman" w:hAnsi="Times New Roman"/>
              </w:rPr>
              <w:t xml:space="preserve">, atsevišķiem gadiem </w:t>
            </w:r>
            <w:r>
              <w:rPr>
                <w:rFonts w:ascii="Times New Roman" w:hAnsi="Times New Roman"/>
                <w:i/>
                <w:iCs/>
              </w:rPr>
              <w:t>k</w:t>
            </w:r>
            <w:r>
              <w:rPr>
                <w:rFonts w:ascii="Times New Roman" w:hAnsi="Times New Roman"/>
              </w:rPr>
              <w:t xml:space="preserve"> sk. 2. tabulā).</w:t>
            </w:r>
          </w:p>
        </w:tc>
      </w:tr>
    </w:tbl>
    <w:p w14:paraId="7F177D30" w14:textId="77777777" w:rsidR="00EA2CE8" w:rsidRDefault="00EA2CE8" w:rsidP="00583F3E">
      <w:pPr>
        <w:pStyle w:val="BodyText"/>
        <w:widowControl/>
        <w:ind w:left="0"/>
        <w:jc w:val="both"/>
        <w:rPr>
          <w:rFonts w:ascii="Times New Roman" w:hAnsi="Times New Roman" w:cs="Times New Roman"/>
          <w:noProof/>
          <w:position w:val="6"/>
        </w:rPr>
      </w:pPr>
    </w:p>
    <w:p w14:paraId="432A910D"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Tādēļ provizoriskais piešķiramo kvotu apjoms apakšiekārtai Nr. 1 un Nr. 3 visos gados būs:</w:t>
      </w:r>
    </w:p>
    <w:p w14:paraId="530B67E1" w14:textId="77777777" w:rsidR="00583F3E" w:rsidRPr="00583F3E" w:rsidRDefault="004753AC" w:rsidP="004753AC">
      <w:pPr>
        <w:pStyle w:val="BodyText"/>
        <w:widowControl/>
        <w:tabs>
          <w:tab w:val="left" w:pos="821"/>
        </w:tabs>
        <w:ind w:left="0"/>
        <w:jc w:val="both"/>
        <w:rPr>
          <w:rFonts w:ascii="Times New Roman" w:hAnsi="Times New Roman" w:cs="Times New Roman"/>
          <w:noProof/>
          <w:position w:val="6"/>
        </w:rPr>
      </w:pPr>
      <w:r>
        <w:rPr>
          <w:rFonts w:ascii="Times New Roman" w:hAnsi="Times New Roman"/>
        </w:rPr>
        <w:t xml:space="preserve">▪ apakšiekārtai Nr. 1: provizoriskais piešķiramo kvotu apjoms = </w:t>
      </w:r>
      <w:r>
        <w:rPr>
          <w:rFonts w:ascii="Times New Roman" w:hAnsi="Times New Roman"/>
          <w:i/>
        </w:rPr>
        <w:t>BM</w:t>
      </w:r>
      <w:r>
        <w:rPr>
          <w:rFonts w:ascii="Times New Roman" w:hAnsi="Times New Roman"/>
          <w:i/>
          <w:iCs/>
          <w:vertAlign w:val="subscript"/>
        </w:rPr>
        <w:t>h</w:t>
      </w:r>
      <w:r>
        <w:rPr>
          <w:rFonts w:ascii="Times New Roman" w:hAnsi="Times New Roman"/>
        </w:rPr>
        <w:t xml:space="preserve"> × </w:t>
      </w:r>
      <w:r>
        <w:rPr>
          <w:rFonts w:ascii="Times New Roman" w:hAnsi="Times New Roman"/>
          <w:i/>
        </w:rPr>
        <w:t>HAL</w:t>
      </w:r>
      <w:r>
        <w:rPr>
          <w:rFonts w:ascii="Times New Roman" w:hAnsi="Times New Roman"/>
          <w:i/>
          <w:iCs/>
          <w:vertAlign w:val="subscript"/>
        </w:rPr>
        <w:t>h</w:t>
      </w:r>
      <w:r>
        <w:rPr>
          <w:rFonts w:ascii="Times New Roman" w:hAnsi="Times New Roman"/>
        </w:rPr>
        <w:t>(A+B) × 1;</w:t>
      </w:r>
    </w:p>
    <w:p w14:paraId="779CF981" w14:textId="77777777" w:rsidR="00583F3E" w:rsidRPr="00583F3E" w:rsidRDefault="004753AC" w:rsidP="004753AC">
      <w:pPr>
        <w:pStyle w:val="BodyText"/>
        <w:widowControl/>
        <w:tabs>
          <w:tab w:val="left" w:pos="821"/>
        </w:tabs>
        <w:ind w:left="0"/>
        <w:jc w:val="both"/>
        <w:rPr>
          <w:rFonts w:ascii="Times New Roman" w:hAnsi="Times New Roman" w:cs="Times New Roman"/>
          <w:noProof/>
          <w:position w:val="6"/>
        </w:rPr>
      </w:pPr>
      <w:r>
        <w:rPr>
          <w:rFonts w:ascii="Times New Roman" w:hAnsi="Times New Roman"/>
        </w:rPr>
        <w:t xml:space="preserve">▪ apakšiekārtai Nr. 3: provizoriskais piešķiramo kvotu apjoms = </w:t>
      </w:r>
      <w:r>
        <w:rPr>
          <w:rFonts w:ascii="Times New Roman" w:hAnsi="Times New Roman"/>
          <w:i/>
        </w:rPr>
        <w:t>BM</w:t>
      </w:r>
      <w:r>
        <w:rPr>
          <w:rFonts w:ascii="Times New Roman" w:hAnsi="Times New Roman"/>
          <w:i/>
          <w:iCs/>
          <w:vertAlign w:val="subscript"/>
        </w:rPr>
        <w:t>f</w:t>
      </w:r>
      <w:r>
        <w:rPr>
          <w:rFonts w:ascii="Times New Roman" w:hAnsi="Times New Roman"/>
        </w:rPr>
        <w:t xml:space="preserve"> × </w:t>
      </w:r>
      <w:r>
        <w:rPr>
          <w:rFonts w:ascii="Times New Roman" w:hAnsi="Times New Roman"/>
          <w:i/>
        </w:rPr>
        <w:t>HAL</w:t>
      </w:r>
      <w:r>
        <w:rPr>
          <w:rFonts w:ascii="Times New Roman" w:hAnsi="Times New Roman"/>
          <w:i/>
          <w:iCs/>
          <w:vertAlign w:val="subscript"/>
        </w:rPr>
        <w:t>f</w:t>
      </w:r>
      <w:r>
        <w:rPr>
          <w:rFonts w:ascii="Times New Roman" w:hAnsi="Times New Roman"/>
        </w:rPr>
        <w:t>(A+B) × 1.</w:t>
      </w:r>
    </w:p>
    <w:p w14:paraId="5C1CB0BD"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53B52BA2"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Un provizoriskais piešķiramo kvotu apjoms apakšiekārtai Nr. 2 un Nr. 4 būs: 2021.–2026. gadā:</w:t>
      </w:r>
    </w:p>
    <w:p w14:paraId="6857D20C" w14:textId="77777777" w:rsidR="00583F3E" w:rsidRPr="00583F3E" w:rsidRDefault="0027691D" w:rsidP="0027691D">
      <w:pPr>
        <w:pStyle w:val="BodyText"/>
        <w:widowControl/>
        <w:tabs>
          <w:tab w:val="left" w:pos="821"/>
        </w:tabs>
        <w:ind w:left="0"/>
        <w:jc w:val="both"/>
        <w:rPr>
          <w:rFonts w:ascii="Times New Roman" w:hAnsi="Times New Roman" w:cs="Times New Roman"/>
          <w:noProof/>
          <w:position w:val="6"/>
        </w:rPr>
      </w:pPr>
      <w:r>
        <w:rPr>
          <w:rFonts w:ascii="Times New Roman" w:hAnsi="Times New Roman"/>
        </w:rPr>
        <w:t xml:space="preserve">▪ apakšiekārtai Nr. 2: provizoriskais piešķiramo kvotu apjoms = </w:t>
      </w:r>
      <w:r>
        <w:rPr>
          <w:rFonts w:ascii="Times New Roman" w:hAnsi="Times New Roman"/>
          <w:i/>
        </w:rPr>
        <w:t>BM</w:t>
      </w:r>
      <w:r>
        <w:rPr>
          <w:rFonts w:ascii="Times New Roman" w:hAnsi="Times New Roman"/>
          <w:i/>
          <w:iCs/>
          <w:vertAlign w:val="subscript"/>
        </w:rPr>
        <w:t>h</w:t>
      </w:r>
      <w:r>
        <w:rPr>
          <w:rFonts w:ascii="Times New Roman" w:hAnsi="Times New Roman"/>
        </w:rPr>
        <w:t xml:space="preserve"> × </w:t>
      </w:r>
      <w:r>
        <w:rPr>
          <w:rFonts w:ascii="Times New Roman" w:hAnsi="Times New Roman"/>
          <w:i/>
        </w:rPr>
        <w:t>HAL</w:t>
      </w:r>
      <w:r>
        <w:rPr>
          <w:rFonts w:ascii="Times New Roman" w:hAnsi="Times New Roman"/>
          <w:i/>
          <w:iCs/>
          <w:vertAlign w:val="subscript"/>
        </w:rPr>
        <w:t>h</w:t>
      </w:r>
      <w:r>
        <w:rPr>
          <w:rFonts w:ascii="Times New Roman" w:hAnsi="Times New Roman"/>
        </w:rPr>
        <w:t>(C) × 0,300;</w:t>
      </w:r>
    </w:p>
    <w:p w14:paraId="0C21FB4B" w14:textId="77777777" w:rsidR="00583F3E" w:rsidRPr="00583F3E" w:rsidRDefault="0027691D" w:rsidP="0027691D">
      <w:pPr>
        <w:pStyle w:val="BodyText"/>
        <w:widowControl/>
        <w:tabs>
          <w:tab w:val="left" w:pos="821"/>
        </w:tabs>
        <w:ind w:left="0"/>
        <w:jc w:val="both"/>
        <w:rPr>
          <w:rFonts w:ascii="Times New Roman" w:hAnsi="Times New Roman" w:cs="Times New Roman"/>
          <w:noProof/>
          <w:position w:val="6"/>
        </w:rPr>
      </w:pPr>
      <w:r>
        <w:rPr>
          <w:rFonts w:ascii="Times New Roman" w:hAnsi="Times New Roman"/>
        </w:rPr>
        <w:t xml:space="preserve">▪ apakšiekārtai Nr. 4: provizoriskais piešķiramo kvotu apjoms = </w:t>
      </w:r>
      <w:r>
        <w:rPr>
          <w:rFonts w:ascii="Times New Roman" w:hAnsi="Times New Roman"/>
          <w:i/>
        </w:rPr>
        <w:t>BM</w:t>
      </w:r>
      <w:r>
        <w:rPr>
          <w:rFonts w:ascii="Times New Roman" w:hAnsi="Times New Roman"/>
          <w:i/>
          <w:iCs/>
          <w:vertAlign w:val="subscript"/>
        </w:rPr>
        <w:t>f</w:t>
      </w:r>
      <w:r>
        <w:rPr>
          <w:rFonts w:ascii="Times New Roman" w:hAnsi="Times New Roman"/>
        </w:rPr>
        <w:t xml:space="preserve"> x </w:t>
      </w:r>
      <w:r>
        <w:rPr>
          <w:rFonts w:ascii="Times New Roman" w:hAnsi="Times New Roman"/>
          <w:i/>
        </w:rPr>
        <w:t>HAL</w:t>
      </w:r>
      <w:r>
        <w:rPr>
          <w:rFonts w:ascii="Times New Roman" w:hAnsi="Times New Roman"/>
          <w:i/>
          <w:iCs/>
          <w:vertAlign w:val="subscript"/>
        </w:rPr>
        <w:t>f</w:t>
      </w:r>
      <w:r>
        <w:rPr>
          <w:rFonts w:ascii="Times New Roman" w:hAnsi="Times New Roman"/>
        </w:rPr>
        <w:t>(C) × 0,300;</w:t>
      </w:r>
    </w:p>
    <w:p w14:paraId="0EB21310"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609203BC"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2027. gadā:</w:t>
      </w:r>
    </w:p>
    <w:p w14:paraId="5CA6229B" w14:textId="77777777" w:rsidR="00583F3E" w:rsidRPr="00583F3E" w:rsidRDefault="0027691D" w:rsidP="0027691D">
      <w:pPr>
        <w:pStyle w:val="BodyText"/>
        <w:widowControl/>
        <w:tabs>
          <w:tab w:val="left" w:pos="821"/>
        </w:tabs>
        <w:ind w:left="0"/>
        <w:jc w:val="both"/>
        <w:rPr>
          <w:rFonts w:ascii="Times New Roman" w:hAnsi="Times New Roman" w:cs="Times New Roman"/>
          <w:noProof/>
          <w:position w:val="6"/>
        </w:rPr>
      </w:pPr>
      <w:r>
        <w:rPr>
          <w:rFonts w:ascii="Times New Roman" w:hAnsi="Times New Roman"/>
        </w:rPr>
        <w:t>▪ apakšiekārtai Nr. 2: provizoriskais piešķiramo kvotu apjoms = BM</w:t>
      </w:r>
      <w:r>
        <w:rPr>
          <w:rFonts w:ascii="Times New Roman" w:hAnsi="Times New Roman"/>
          <w:i/>
          <w:iCs/>
          <w:vertAlign w:val="subscript"/>
        </w:rPr>
        <w:t>h</w:t>
      </w:r>
      <w:r>
        <w:rPr>
          <w:rFonts w:ascii="Times New Roman" w:hAnsi="Times New Roman"/>
        </w:rPr>
        <w:t xml:space="preserve"> × HAL</w:t>
      </w:r>
      <w:r>
        <w:rPr>
          <w:rFonts w:ascii="Times New Roman" w:hAnsi="Times New Roman"/>
          <w:i/>
          <w:iCs/>
          <w:vertAlign w:val="subscript"/>
        </w:rPr>
        <w:t>h</w:t>
      </w:r>
      <w:r>
        <w:rPr>
          <w:rFonts w:ascii="Times New Roman" w:hAnsi="Times New Roman"/>
        </w:rPr>
        <w:t>(C) × 0,225;</w:t>
      </w:r>
    </w:p>
    <w:p w14:paraId="6C8A6FF2" w14:textId="77777777" w:rsidR="00583F3E" w:rsidRPr="00583F3E" w:rsidRDefault="0027691D" w:rsidP="0027691D">
      <w:pPr>
        <w:pStyle w:val="BodyText"/>
        <w:widowControl/>
        <w:tabs>
          <w:tab w:val="left" w:pos="821"/>
        </w:tabs>
        <w:ind w:left="0"/>
        <w:jc w:val="both"/>
        <w:rPr>
          <w:rFonts w:ascii="Times New Roman" w:hAnsi="Times New Roman" w:cs="Times New Roman"/>
          <w:noProof/>
          <w:position w:val="6"/>
        </w:rPr>
      </w:pPr>
      <w:r>
        <w:rPr>
          <w:rFonts w:ascii="Times New Roman" w:hAnsi="Times New Roman"/>
        </w:rPr>
        <w:t xml:space="preserve">▪ apakšiekārtai Nr. 4: provizoriskais piešķiramo kvotu apjoms = </w:t>
      </w:r>
      <w:r>
        <w:rPr>
          <w:rFonts w:ascii="Times New Roman" w:hAnsi="Times New Roman"/>
          <w:i/>
        </w:rPr>
        <w:t>BM</w:t>
      </w:r>
      <w:r>
        <w:rPr>
          <w:rFonts w:ascii="Times New Roman" w:hAnsi="Times New Roman"/>
          <w:i/>
          <w:iCs/>
          <w:vertAlign w:val="subscript"/>
        </w:rPr>
        <w:t>f</w:t>
      </w:r>
      <w:r>
        <w:rPr>
          <w:rFonts w:ascii="Times New Roman" w:hAnsi="Times New Roman"/>
        </w:rPr>
        <w:t xml:space="preserve"> × </w:t>
      </w:r>
      <w:r>
        <w:rPr>
          <w:rFonts w:ascii="Times New Roman" w:hAnsi="Times New Roman"/>
          <w:i/>
        </w:rPr>
        <w:t>HAL</w:t>
      </w:r>
      <w:r>
        <w:rPr>
          <w:rFonts w:ascii="Times New Roman" w:hAnsi="Times New Roman"/>
          <w:i/>
          <w:iCs/>
          <w:vertAlign w:val="subscript"/>
        </w:rPr>
        <w:t>f</w:t>
      </w:r>
      <w:r>
        <w:rPr>
          <w:rFonts w:ascii="Times New Roman" w:hAnsi="Times New Roman"/>
        </w:rPr>
        <w:t>(C) × 0,225.</w:t>
      </w:r>
    </w:p>
    <w:p w14:paraId="15F57660" w14:textId="77777777" w:rsidR="00583F3E" w:rsidRPr="00583F3E" w:rsidRDefault="00583F3E" w:rsidP="00583F3E">
      <w:pPr>
        <w:widowControl/>
        <w:jc w:val="both"/>
        <w:rPr>
          <w:rFonts w:ascii="Times New Roman" w:hAnsi="Times New Roman" w:cs="Times New Roman"/>
          <w:noProof/>
          <w:position w:val="6"/>
          <w:sz w:val="24"/>
        </w:rPr>
      </w:pPr>
    </w:p>
    <w:p w14:paraId="04CB043D"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i/>
        </w:rPr>
        <w:lastRenderedPageBreak/>
        <w:t>CLEF</w:t>
      </w:r>
      <w:r>
        <w:rPr>
          <w:rFonts w:ascii="Times New Roman" w:hAnsi="Times New Roman"/>
        </w:rPr>
        <w:t xml:space="preserve">, ja nav </w:t>
      </w:r>
      <w:r>
        <w:rPr>
          <w:rFonts w:ascii="Times New Roman" w:hAnsi="Times New Roman"/>
          <w:i/>
        </w:rPr>
        <w:t>CL</w:t>
      </w:r>
      <w:r>
        <w:rPr>
          <w:rFonts w:ascii="Times New Roman" w:hAnsi="Times New Roman"/>
        </w:rPr>
        <w:t>, turpinot samazināties līdz 2030. gadam, kad provizoriskais piešķiramo kvotu apjoms apakšiekārtai Nr. 2 un Nr. 4 būs:</w:t>
      </w:r>
    </w:p>
    <w:p w14:paraId="7B6E56F2" w14:textId="77777777" w:rsidR="00583F3E" w:rsidRPr="00583F3E" w:rsidRDefault="0027691D" w:rsidP="0027691D">
      <w:pPr>
        <w:pStyle w:val="BodyText"/>
        <w:widowControl/>
        <w:tabs>
          <w:tab w:val="left" w:pos="821"/>
        </w:tabs>
        <w:ind w:left="0"/>
        <w:jc w:val="both"/>
        <w:rPr>
          <w:rFonts w:ascii="Times New Roman" w:hAnsi="Times New Roman" w:cs="Times New Roman"/>
          <w:noProof/>
          <w:position w:val="6"/>
        </w:rPr>
      </w:pPr>
      <w:r>
        <w:rPr>
          <w:rFonts w:ascii="Times New Roman" w:hAnsi="Times New Roman"/>
        </w:rPr>
        <w:t xml:space="preserve">▪ apakšiekārtai Nr. 2: provizoriskais piešķiramo kvotu apjoms = </w:t>
      </w:r>
      <w:r>
        <w:rPr>
          <w:rFonts w:ascii="Times New Roman" w:hAnsi="Times New Roman"/>
          <w:i/>
        </w:rPr>
        <w:t>BM</w:t>
      </w:r>
      <w:r>
        <w:rPr>
          <w:rFonts w:ascii="Times New Roman" w:hAnsi="Times New Roman"/>
          <w:i/>
          <w:iCs/>
          <w:vertAlign w:val="subscript"/>
        </w:rPr>
        <w:t>h</w:t>
      </w:r>
      <w:r>
        <w:rPr>
          <w:rFonts w:ascii="Times New Roman" w:hAnsi="Times New Roman"/>
        </w:rPr>
        <w:t xml:space="preserve"> × </w:t>
      </w:r>
      <w:r>
        <w:rPr>
          <w:rFonts w:ascii="Times New Roman" w:hAnsi="Times New Roman"/>
          <w:i/>
        </w:rPr>
        <w:t>HAL</w:t>
      </w:r>
      <w:r>
        <w:rPr>
          <w:rFonts w:ascii="Times New Roman" w:hAnsi="Times New Roman"/>
          <w:i/>
          <w:iCs/>
          <w:vertAlign w:val="subscript"/>
        </w:rPr>
        <w:t>h</w:t>
      </w:r>
      <w:r>
        <w:rPr>
          <w:rFonts w:ascii="Times New Roman" w:hAnsi="Times New Roman"/>
        </w:rPr>
        <w:t>(C) × 0 = 0;</w:t>
      </w:r>
    </w:p>
    <w:p w14:paraId="530A8A5C" w14:textId="77777777" w:rsidR="00583F3E" w:rsidRPr="00583F3E" w:rsidRDefault="0027691D" w:rsidP="0027691D">
      <w:pPr>
        <w:pStyle w:val="BodyText"/>
        <w:widowControl/>
        <w:tabs>
          <w:tab w:val="left" w:pos="821"/>
        </w:tabs>
        <w:ind w:left="0"/>
        <w:jc w:val="both"/>
        <w:rPr>
          <w:rFonts w:ascii="Times New Roman" w:hAnsi="Times New Roman" w:cs="Times New Roman"/>
          <w:noProof/>
          <w:position w:val="6"/>
        </w:rPr>
      </w:pPr>
      <w:r>
        <w:rPr>
          <w:rFonts w:ascii="Times New Roman" w:hAnsi="Times New Roman"/>
        </w:rPr>
        <w:t xml:space="preserve">▪ apakšiekārtai Nr. 4: provizoriskais piešķiramo kvotu apjoms = </w:t>
      </w:r>
      <w:r>
        <w:rPr>
          <w:rFonts w:ascii="Times New Roman" w:hAnsi="Times New Roman"/>
          <w:i/>
        </w:rPr>
        <w:t>BM</w:t>
      </w:r>
      <w:r>
        <w:rPr>
          <w:rFonts w:ascii="Times New Roman" w:hAnsi="Times New Roman"/>
          <w:i/>
          <w:iCs/>
          <w:vertAlign w:val="subscript"/>
        </w:rPr>
        <w:t>f</w:t>
      </w:r>
      <w:r>
        <w:rPr>
          <w:rFonts w:ascii="Times New Roman" w:hAnsi="Times New Roman"/>
        </w:rPr>
        <w:t xml:space="preserve"> × </w:t>
      </w:r>
      <w:r>
        <w:rPr>
          <w:rFonts w:ascii="Times New Roman" w:hAnsi="Times New Roman"/>
          <w:i/>
        </w:rPr>
        <w:t>HAL</w:t>
      </w:r>
      <w:r>
        <w:rPr>
          <w:rFonts w:ascii="Times New Roman" w:hAnsi="Times New Roman"/>
          <w:i/>
          <w:iCs/>
          <w:vertAlign w:val="subscript"/>
        </w:rPr>
        <w:t>f</w:t>
      </w:r>
      <w:r>
        <w:rPr>
          <w:rFonts w:ascii="Times New Roman" w:hAnsi="Times New Roman"/>
        </w:rPr>
        <w:t>(C) × 0 = 0.</w:t>
      </w:r>
    </w:p>
    <w:p w14:paraId="566ABC6B" w14:textId="77777777" w:rsidR="00583F3E" w:rsidRDefault="00583F3E" w:rsidP="00583F3E">
      <w:pPr>
        <w:widowControl/>
        <w:jc w:val="both"/>
        <w:rPr>
          <w:rFonts w:ascii="Times New Roman" w:hAnsi="Times New Roman" w:cs="Times New Roman"/>
          <w:noProof/>
          <w:position w:val="6"/>
          <w:sz w:val="24"/>
        </w:rPr>
      </w:pPr>
    </w:p>
    <w:p w14:paraId="57CB3C45" w14:textId="77777777" w:rsidR="0027691D" w:rsidRDefault="0027691D">
      <w:pPr>
        <w:rPr>
          <w:rFonts w:ascii="Times New Roman" w:hAnsi="Times New Roman" w:cs="Times New Roman"/>
          <w:noProof/>
          <w:position w:val="6"/>
          <w:sz w:val="24"/>
        </w:rPr>
      </w:pPr>
      <w:r>
        <w:br w:type="page"/>
      </w:r>
    </w:p>
    <w:p w14:paraId="2AD41662" w14:textId="77777777" w:rsidR="0027691D" w:rsidRPr="00583F3E" w:rsidRDefault="0027691D" w:rsidP="00583F3E">
      <w:pPr>
        <w:widowControl/>
        <w:jc w:val="both"/>
        <w:rPr>
          <w:rFonts w:ascii="Times New Roman" w:hAnsi="Times New Roman" w:cs="Times New Roman"/>
          <w:noProof/>
          <w:position w:val="6"/>
          <w:sz w:val="24"/>
        </w:rPr>
      </w:pPr>
    </w:p>
    <w:p w14:paraId="256B75FC" w14:textId="77777777" w:rsidR="00583F3E" w:rsidRPr="0027691D" w:rsidRDefault="0027691D" w:rsidP="0027691D">
      <w:pPr>
        <w:pStyle w:val="Heading1"/>
        <w:widowControl/>
        <w:tabs>
          <w:tab w:val="left" w:pos="553"/>
        </w:tabs>
        <w:spacing w:before="0"/>
        <w:ind w:left="0" w:firstLine="0"/>
        <w:jc w:val="both"/>
        <w:rPr>
          <w:rFonts w:ascii="Times New Roman" w:hAnsi="Times New Roman" w:cs="Times New Roman"/>
          <w:noProof/>
          <w:position w:val="6"/>
          <w:szCs w:val="40"/>
        </w:rPr>
      </w:pPr>
      <w:bookmarkStart w:id="18" w:name="_Toc31207928"/>
      <w:r>
        <w:rPr>
          <w:rFonts w:ascii="Times New Roman" w:hAnsi="Times New Roman"/>
          <w:szCs w:val="40"/>
        </w:rPr>
        <w:t>3. Iekārtu sašķelšana apakšiekārtās</w:t>
      </w:r>
      <w:bookmarkStart w:id="19" w:name="_bookmark7"/>
      <w:bookmarkEnd w:id="19"/>
      <w:bookmarkEnd w:id="18"/>
    </w:p>
    <w:p w14:paraId="269A09DC" w14:textId="77777777" w:rsidR="00583F3E" w:rsidRPr="00583F3E" w:rsidRDefault="00583F3E" w:rsidP="00583F3E">
      <w:pPr>
        <w:widowControl/>
        <w:jc w:val="both"/>
        <w:rPr>
          <w:rFonts w:ascii="Times New Roman" w:eastAsia="Calibri" w:hAnsi="Times New Roman" w:cs="Times New Roman"/>
          <w:b/>
          <w:bCs/>
          <w:noProof/>
          <w:position w:val="6"/>
          <w:sz w:val="24"/>
          <w:szCs w:val="28"/>
        </w:rPr>
      </w:pPr>
    </w:p>
    <w:p w14:paraId="7E78F112"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Pirmais solis iekārtai piešķiramo kvotu aprēķināšanā ir tā saucamo apakšiekārtu noteikšana. Apakšiekārta ir visa ielaide, izlaide un attiecīgās emisijas, kas saistītas ar konkrēto pieeju kvotu piešķiršanai. Jāievēro, ka fizikālo procesu bloku robežas ne vienmēr nosaka to, kādas būs apakšiekārtas robežas. Tās ir jāsaprot kā masas un enerģijas bilances sistēmas robežas, kas paredzētas konkrētajam </w:t>
      </w:r>
      <w:r>
        <w:rPr>
          <w:rFonts w:ascii="Times New Roman" w:hAnsi="Times New Roman"/>
          <w:i/>
        </w:rPr>
        <w:t>FAR</w:t>
      </w:r>
      <w:r>
        <w:rPr>
          <w:rFonts w:ascii="Times New Roman" w:hAnsi="Times New Roman"/>
        </w:rPr>
        <w:t xml:space="preserve"> mērķim.</w:t>
      </w:r>
    </w:p>
    <w:p w14:paraId="00C52991"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26D8540D"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t xml:space="preserve">Kā aprakstīts Norādījumu dokumentā Nr. 1 par vispārīgo kvotu piešķiršanas metodoloģiju, iekārtu var sašķelt līdz </w:t>
      </w:r>
      <w:r>
        <w:rPr>
          <w:rFonts w:ascii="Times New Roman" w:hAnsi="Times New Roman"/>
          <w:i/>
          <w:iCs/>
          <w:sz w:val="24"/>
        </w:rPr>
        <w:t>n</w:t>
      </w:r>
      <w:r>
        <w:rPr>
          <w:rFonts w:ascii="Times New Roman" w:hAnsi="Times New Roman"/>
          <w:sz w:val="24"/>
        </w:rPr>
        <w:t xml:space="preserve">+7 apakšiekārtās, ja </w:t>
      </w:r>
      <w:r>
        <w:rPr>
          <w:rFonts w:ascii="Times New Roman" w:hAnsi="Times New Roman"/>
          <w:i/>
          <w:iCs/>
          <w:sz w:val="24"/>
        </w:rPr>
        <w:t>n</w:t>
      </w:r>
      <w:r>
        <w:rPr>
          <w:rFonts w:ascii="Times New Roman" w:hAnsi="Times New Roman"/>
          <w:sz w:val="24"/>
        </w:rPr>
        <w:t xml:space="preserve"> ir iekārtā izmantojamo produkta līmeņatzīmju skaits, ko papildina ar 2 siltuma līmeņatzīmes apakšiekārtām (apakšiekārtu ar </w:t>
      </w:r>
      <w:r>
        <w:rPr>
          <w:rFonts w:ascii="Times New Roman" w:hAnsi="Times New Roman"/>
          <w:i/>
          <w:sz w:val="24"/>
        </w:rPr>
        <w:t>CL</w:t>
      </w:r>
      <w:r>
        <w:rPr>
          <w:rFonts w:ascii="Times New Roman" w:hAnsi="Times New Roman"/>
          <w:sz w:val="24"/>
        </w:rPr>
        <w:t xml:space="preserve"> un apakšiekārtu bez </w:t>
      </w:r>
      <w:r>
        <w:rPr>
          <w:rFonts w:ascii="Times New Roman" w:hAnsi="Times New Roman"/>
          <w:i/>
          <w:sz w:val="24"/>
        </w:rPr>
        <w:t>CL</w:t>
      </w:r>
      <w:r>
        <w:rPr>
          <w:rFonts w:ascii="Times New Roman" w:hAnsi="Times New Roman"/>
          <w:sz w:val="24"/>
        </w:rPr>
        <w:t xml:space="preserve">), 2 kurināmā līmeņatzīmes apakšiekārtām (apakšiekārtu ar </w:t>
      </w:r>
      <w:r>
        <w:rPr>
          <w:rFonts w:ascii="Times New Roman" w:hAnsi="Times New Roman"/>
          <w:i/>
          <w:sz w:val="24"/>
        </w:rPr>
        <w:t>CL</w:t>
      </w:r>
      <w:r>
        <w:rPr>
          <w:rFonts w:ascii="Times New Roman" w:hAnsi="Times New Roman"/>
          <w:sz w:val="24"/>
        </w:rPr>
        <w:t xml:space="preserve"> un apakšiekārtu bez </w:t>
      </w:r>
      <w:r>
        <w:rPr>
          <w:rFonts w:ascii="Times New Roman" w:hAnsi="Times New Roman"/>
          <w:i/>
          <w:sz w:val="24"/>
        </w:rPr>
        <w:t>CL</w:t>
      </w:r>
      <w:r>
        <w:rPr>
          <w:rFonts w:ascii="Times New Roman" w:hAnsi="Times New Roman"/>
          <w:sz w:val="24"/>
        </w:rPr>
        <w:t xml:space="preserve">), 2 procesa emisiju apakšiekārtām (apakšiekārtu ar </w:t>
      </w:r>
      <w:r>
        <w:rPr>
          <w:rFonts w:ascii="Times New Roman" w:hAnsi="Times New Roman"/>
          <w:i/>
          <w:sz w:val="24"/>
        </w:rPr>
        <w:t>CL</w:t>
      </w:r>
      <w:r>
        <w:rPr>
          <w:rFonts w:ascii="Times New Roman" w:hAnsi="Times New Roman"/>
          <w:sz w:val="24"/>
        </w:rPr>
        <w:t xml:space="preserve"> un apakšiekārtu bez </w:t>
      </w:r>
      <w:r>
        <w:rPr>
          <w:rFonts w:ascii="Times New Roman" w:hAnsi="Times New Roman"/>
          <w:i/>
          <w:sz w:val="24"/>
        </w:rPr>
        <w:t>CL</w:t>
      </w:r>
      <w:r>
        <w:rPr>
          <w:rFonts w:ascii="Times New Roman" w:hAnsi="Times New Roman"/>
          <w:sz w:val="24"/>
        </w:rPr>
        <w:t>) un centralizētās siltumapgādes apakšiekārtu</w:t>
      </w:r>
      <w:r w:rsidR="0027691D">
        <w:rPr>
          <w:rStyle w:val="FootnoteReference"/>
          <w:rFonts w:ascii="Times New Roman" w:hAnsi="Times New Roman" w:cs="Times New Roman"/>
          <w:noProof/>
          <w:position w:val="6"/>
          <w:sz w:val="24"/>
        </w:rPr>
        <w:footnoteReference w:id="10"/>
      </w:r>
      <w:r>
        <w:rPr>
          <w:rFonts w:ascii="Times New Roman" w:hAnsi="Times New Roman"/>
          <w:sz w:val="24"/>
        </w:rPr>
        <w:t xml:space="preserve">. </w:t>
      </w:r>
      <w:r>
        <w:rPr>
          <w:rFonts w:ascii="Times New Roman" w:hAnsi="Times New Roman"/>
          <w:i/>
          <w:sz w:val="24"/>
        </w:rPr>
        <w:t>Papildu norādījumus par izdalītajiem apakšiekārtu veidiem sk. Norādījumu dokumentā Nr. 1, un Norādījumu dokumenta Nr. 1 B pielikumā sk. attiecīgās dažādo veidu apakšiekārtu definīcijas.</w:t>
      </w:r>
    </w:p>
    <w:p w14:paraId="541D4F4A" w14:textId="77777777" w:rsidR="00583F3E" w:rsidRPr="00583F3E" w:rsidRDefault="00583F3E" w:rsidP="00583F3E">
      <w:pPr>
        <w:widowControl/>
        <w:jc w:val="both"/>
        <w:rPr>
          <w:rFonts w:ascii="Times New Roman" w:eastAsia="Calibri" w:hAnsi="Times New Roman" w:cs="Times New Roman"/>
          <w:i/>
          <w:noProof/>
          <w:position w:val="6"/>
          <w:sz w:val="24"/>
          <w:szCs w:val="23"/>
        </w:rPr>
      </w:pPr>
    </w:p>
    <w:p w14:paraId="0377A3B0"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Visa iekārtas ielaide, izlaide un attiecīgās emisijas ir jāattiecina uz apakšiekārtu, ja vien tās nav saistītas ar tādu procesu, par kuru nevar pretendēt uz bezmaksas kvotu piešķiršanu. Šāda procesa piemēri ir elektroenerģijas ražošana iekārtā, sadedzināšana lāpā, izņemot sadedzināšanu lāpā drošības apsvērumu dēļ, ko neaptver produkta līmeņatzīmes apakšiekārta, vai tāda izmērāma siltuma ražošana, ko eksportē uz citām ES ETS iekārtām</w:t>
      </w:r>
      <w:r w:rsidR="0027691D">
        <w:rPr>
          <w:rStyle w:val="FootnoteReference"/>
          <w:rFonts w:ascii="Times New Roman" w:hAnsi="Times New Roman" w:cs="Times New Roman"/>
          <w:noProof/>
          <w:position w:val="6"/>
        </w:rPr>
        <w:footnoteReference w:id="11"/>
      </w:r>
      <w:r>
        <w:rPr>
          <w:rFonts w:ascii="Times New Roman" w:hAnsi="Times New Roman"/>
        </w:rPr>
        <w:t>.</w:t>
      </w:r>
    </w:p>
    <w:p w14:paraId="1FCF51FC"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6F88E91D"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t xml:space="preserve">Jāraugās, lai apakšiekārtas savstarpēji nepārklātos. Ielaidei, izlaidei un attiecīgajām emisijām nav jābūt attiecināmām uz vairāk par vienu apakšiekārtu, un katra apakšiekārta saņems piešķiramās kvotas saskaņā ar vienu un tikai vienu kvotu piešķiršanas pieeju. </w:t>
      </w:r>
      <w:r>
        <w:rPr>
          <w:rFonts w:ascii="Times New Roman" w:hAnsi="Times New Roman"/>
          <w:i/>
          <w:sz w:val="24"/>
        </w:rPr>
        <w:t>(Papildu norādījumus par ielaides un izlaides, tostarp emisiju, attiecināšanu sk. Norādījumu dokumentā Nr. 3 par datu vākšanu.)</w:t>
      </w:r>
    </w:p>
    <w:p w14:paraId="7264030E" w14:textId="77777777" w:rsidR="00583F3E" w:rsidRPr="00583F3E" w:rsidRDefault="00583F3E" w:rsidP="00583F3E">
      <w:pPr>
        <w:widowControl/>
        <w:jc w:val="both"/>
        <w:rPr>
          <w:rFonts w:ascii="Times New Roman" w:eastAsia="Calibri" w:hAnsi="Times New Roman" w:cs="Times New Roman"/>
          <w:i/>
          <w:noProof/>
          <w:position w:val="6"/>
          <w:sz w:val="24"/>
          <w:szCs w:val="23"/>
        </w:rPr>
      </w:pPr>
    </w:p>
    <w:p w14:paraId="01D6244E"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Iekārtas tiek sašķeltas apakšiekārtās, veicot soļus, kas aprakstīti 3.1. līdz 3.5. iedaļā.</w:t>
      </w:r>
    </w:p>
    <w:p w14:paraId="0F3B6D53"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75DDCA57"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58A85D7F" w14:textId="77777777" w:rsidR="00583F3E" w:rsidRPr="0027691D" w:rsidRDefault="0027691D" w:rsidP="0027691D">
      <w:pPr>
        <w:pStyle w:val="Heading2"/>
        <w:widowControl/>
        <w:tabs>
          <w:tab w:val="left" w:pos="697"/>
        </w:tabs>
        <w:ind w:left="0" w:firstLine="0"/>
        <w:jc w:val="both"/>
        <w:rPr>
          <w:rFonts w:ascii="Times New Roman" w:hAnsi="Times New Roman" w:cs="Times New Roman"/>
          <w:noProof/>
          <w:position w:val="6"/>
          <w:szCs w:val="32"/>
        </w:rPr>
      </w:pPr>
      <w:bookmarkStart w:id="20" w:name="_Toc31207929"/>
      <w:r>
        <w:rPr>
          <w:rFonts w:ascii="Times New Roman" w:hAnsi="Times New Roman"/>
          <w:szCs w:val="32"/>
        </w:rPr>
        <w:t>3.1. Produkta līmeņatzīmes apakšiekārtu noteikšana</w:t>
      </w:r>
      <w:bookmarkStart w:id="21" w:name="_bookmark8"/>
      <w:bookmarkEnd w:id="21"/>
      <w:bookmarkEnd w:id="20"/>
    </w:p>
    <w:p w14:paraId="4E17AE92" w14:textId="77777777" w:rsidR="00583F3E" w:rsidRPr="00583F3E" w:rsidRDefault="00583F3E" w:rsidP="00583F3E">
      <w:pPr>
        <w:widowControl/>
        <w:jc w:val="both"/>
        <w:rPr>
          <w:rFonts w:ascii="Times New Roman" w:eastAsia="Calibri" w:hAnsi="Times New Roman" w:cs="Times New Roman"/>
          <w:b/>
          <w:bCs/>
          <w:noProof/>
          <w:position w:val="6"/>
          <w:sz w:val="24"/>
          <w:szCs w:val="28"/>
        </w:rPr>
      </w:pPr>
    </w:p>
    <w:p w14:paraId="7D910448"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i/>
          <w:sz w:val="24"/>
          <w:u w:val="single" w:color="000000"/>
        </w:rPr>
        <w:t>1.a solis. Nosaka vienu vai vairākas produkta līmeņatzīmju apakšiekārtas</w:t>
      </w:r>
      <w:r>
        <w:rPr>
          <w:rFonts w:ascii="Times New Roman" w:hAnsi="Times New Roman"/>
          <w:i/>
          <w:sz w:val="24"/>
        </w:rPr>
        <w:t xml:space="preserve"> (attiecīgos gadījumos)</w:t>
      </w:r>
    </w:p>
    <w:p w14:paraId="3F5E37EA" w14:textId="77777777" w:rsidR="00583F3E" w:rsidRPr="00583F3E" w:rsidRDefault="00583F3E" w:rsidP="00583F3E">
      <w:pPr>
        <w:widowControl/>
        <w:jc w:val="both"/>
        <w:rPr>
          <w:rFonts w:ascii="Times New Roman" w:eastAsia="Calibri" w:hAnsi="Times New Roman" w:cs="Times New Roman"/>
          <w:i/>
          <w:noProof/>
          <w:position w:val="6"/>
          <w:sz w:val="24"/>
          <w:szCs w:val="19"/>
        </w:rPr>
      </w:pPr>
    </w:p>
    <w:p w14:paraId="1C93EC4B"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Vispirms ir jānosaka, vai uz iekārtu attiecas viena vai vairākas produkta līmeņatzīmes, kas noteiktas </w:t>
      </w:r>
      <w:r>
        <w:rPr>
          <w:rFonts w:ascii="Times New Roman" w:hAnsi="Times New Roman"/>
          <w:i/>
        </w:rPr>
        <w:t>FAR</w:t>
      </w:r>
      <w:r>
        <w:rPr>
          <w:rFonts w:ascii="Times New Roman" w:hAnsi="Times New Roman"/>
        </w:rPr>
        <w:t xml:space="preserve"> I pielikumā Attiecībā uz katru piemērojamo produkta līmeņatzīmi ir jānosaka produkta līmeņatzīmes apakšiekārta.</w:t>
      </w:r>
    </w:p>
    <w:p w14:paraId="71DCBC61" w14:textId="77777777" w:rsidR="0027691D" w:rsidRDefault="0027691D" w:rsidP="00583F3E">
      <w:pPr>
        <w:pStyle w:val="BodyText"/>
        <w:widowControl/>
        <w:ind w:left="0"/>
        <w:jc w:val="both"/>
        <w:rPr>
          <w:rFonts w:ascii="Times New Roman" w:hAnsi="Times New Roman" w:cs="Times New Roman"/>
          <w:noProof/>
          <w:position w:val="6"/>
        </w:rPr>
      </w:pPr>
    </w:p>
    <w:p w14:paraId="3C33CBDA"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Katrai produkta līmeņatzīmes apakšiekārtai:</w:t>
      </w:r>
    </w:p>
    <w:p w14:paraId="2A20325A" w14:textId="77777777" w:rsidR="00583F3E" w:rsidRPr="00583F3E" w:rsidRDefault="0027691D" w:rsidP="0027691D">
      <w:pPr>
        <w:widowControl/>
        <w:tabs>
          <w:tab w:val="left" w:pos="548"/>
        </w:tabs>
        <w:jc w:val="both"/>
        <w:rPr>
          <w:rFonts w:ascii="Times New Roman" w:eastAsia="Calibri" w:hAnsi="Times New Roman" w:cs="Times New Roman"/>
          <w:noProof/>
          <w:position w:val="6"/>
          <w:sz w:val="24"/>
          <w:szCs w:val="24"/>
        </w:rPr>
      </w:pPr>
      <w:r>
        <w:rPr>
          <w:rFonts w:ascii="Times New Roman" w:hAnsi="Times New Roman"/>
          <w:sz w:val="24"/>
        </w:rPr>
        <w:sym w:font="Symbol" w:char="F0B7"/>
      </w:r>
      <w:r>
        <w:rPr>
          <w:rFonts w:ascii="Times New Roman" w:hAnsi="Times New Roman"/>
          <w:sz w:val="24"/>
        </w:rPr>
        <w:t xml:space="preserve"> nosaka sistēmas robežas (</w:t>
      </w:r>
      <w:r>
        <w:rPr>
          <w:rFonts w:ascii="Times New Roman" w:hAnsi="Times New Roman"/>
          <w:i/>
          <w:sz w:val="24"/>
        </w:rPr>
        <w:t>sk. Norādījumu dokumentu Nr. 9 par nozares specifiskajiem norādījumiem par robežām</w:t>
      </w:r>
      <w:r>
        <w:rPr>
          <w:rFonts w:ascii="Times New Roman" w:hAnsi="Times New Roman"/>
          <w:sz w:val="24"/>
        </w:rPr>
        <w:t>);</w:t>
      </w:r>
    </w:p>
    <w:p w14:paraId="30387D77" w14:textId="77777777" w:rsidR="00583F3E" w:rsidRPr="00583F3E" w:rsidRDefault="0027691D" w:rsidP="0027691D">
      <w:pPr>
        <w:pStyle w:val="BodyText"/>
        <w:widowControl/>
        <w:tabs>
          <w:tab w:val="left" w:pos="548"/>
        </w:tabs>
        <w:ind w:left="0"/>
        <w:jc w:val="both"/>
        <w:rPr>
          <w:rFonts w:ascii="Times New Roman" w:hAnsi="Times New Roman" w:cs="Times New Roman"/>
          <w:noProof/>
          <w:position w:val="6"/>
        </w:rPr>
      </w:pPr>
      <w:r>
        <w:rPr>
          <w:rFonts w:ascii="Times New Roman" w:hAnsi="Times New Roman"/>
        </w:rPr>
        <w:lastRenderedPageBreak/>
        <w:sym w:font="Symbol" w:char="F0B7"/>
      </w:r>
      <w:r>
        <w:rPr>
          <w:rFonts w:ascii="Times New Roman" w:hAnsi="Times New Roman"/>
        </w:rPr>
        <w:t xml:space="preserve"> noskaidro attiecīgās produkta līmeņatzīmju vērtības;</w:t>
      </w:r>
    </w:p>
    <w:p w14:paraId="0231FEBF" w14:textId="77777777" w:rsidR="00583F3E" w:rsidRPr="00583F3E" w:rsidRDefault="0027691D" w:rsidP="0027691D">
      <w:pPr>
        <w:pStyle w:val="BodyText"/>
        <w:widowControl/>
        <w:tabs>
          <w:tab w:val="left" w:pos="54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oglekļa emisiju pārvirzes sarakstā noskaidro oglekļa emisiju pārvirzes statusu</w:t>
      </w:r>
      <w:r>
        <w:rPr>
          <w:rStyle w:val="FootnoteReference"/>
          <w:rFonts w:ascii="Times New Roman" w:hAnsi="Times New Roman" w:cs="Times New Roman"/>
          <w:noProof/>
          <w:position w:val="6"/>
        </w:rPr>
        <w:footnoteReference w:id="12"/>
      </w:r>
      <w:r>
        <w:rPr>
          <w:rFonts w:ascii="Times New Roman" w:hAnsi="Times New Roman"/>
        </w:rPr>
        <w:t>.</w:t>
      </w:r>
    </w:p>
    <w:p w14:paraId="5306A7EC"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4164EDF7" w14:textId="276F9B81"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Jāievēro, ka produkta līmeņatzīmju vērtības </w:t>
      </w:r>
      <w:r>
        <w:rPr>
          <w:rFonts w:ascii="Times New Roman" w:hAnsi="Times New Roman"/>
          <w:i/>
        </w:rPr>
        <w:t>BMp</w:t>
      </w:r>
      <w:r>
        <w:rPr>
          <w:rFonts w:ascii="Times New Roman" w:hAnsi="Times New Roman"/>
        </w:rPr>
        <w:t xml:space="preserve"> ir konstantas visos viena piešķiršanas perioda gados (attiecīgi 2021.–2025. gadā un 2026.–2030. gadā), turpretim oglekļa emisiju pārvirzes riska koeficients </w:t>
      </w:r>
      <w:r>
        <w:rPr>
          <w:rFonts w:ascii="Times New Roman" w:hAnsi="Times New Roman"/>
          <w:i/>
        </w:rPr>
        <w:t>CLEF</w:t>
      </w:r>
      <w:r>
        <w:rPr>
          <w:rFonts w:ascii="Times New Roman" w:hAnsi="Times New Roman"/>
        </w:rPr>
        <w:t xml:space="preserve"> gadu gaitā var mainīties (otrajā piešķiršanas periodā) atkarībā no oglekļa emisiju pārvirzes statusa (ja produkts ir uzskatāms par pakļautu ievērojamam oglekļa emisiju pārvirzes riskam, tas būtībā saglabājas nemainīgs; ja tas nav uzskatāms par pakļautu šādam riskam, tas gadu gaitā samazināsies, kā aprakstīts 2.2. iedaļā).</w:t>
      </w:r>
    </w:p>
    <w:p w14:paraId="5809F66B"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113F50F9"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1.b solis. Attiecina attiecīgo ielaidi un izlaidi</w:t>
      </w:r>
    </w:p>
    <w:p w14:paraId="45121BBA" w14:textId="77777777" w:rsidR="00583F3E" w:rsidRPr="00583F3E" w:rsidRDefault="00583F3E" w:rsidP="00583F3E">
      <w:pPr>
        <w:widowControl/>
        <w:jc w:val="both"/>
        <w:rPr>
          <w:rFonts w:ascii="Times New Roman" w:eastAsia="Calibri" w:hAnsi="Times New Roman" w:cs="Times New Roman"/>
          <w:i/>
          <w:noProof/>
          <w:position w:val="6"/>
          <w:sz w:val="24"/>
          <w:szCs w:val="19"/>
        </w:rPr>
      </w:pPr>
    </w:p>
    <w:p w14:paraId="62BE7C0B" w14:textId="4FAC035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t>Attiecina visu attiecīgo ielaidi (</w:t>
      </w:r>
      <w:r>
        <w:rPr>
          <w:rFonts w:ascii="Times New Roman" w:hAnsi="Times New Roman"/>
          <w:i/>
          <w:sz w:val="24"/>
        </w:rPr>
        <w:t>piem., izejmateriālus, kurināmo, siltumu un elektroenerģijas ielaidi, kas nepieciešama produkta izgatavošanai</w:t>
      </w:r>
      <w:r>
        <w:rPr>
          <w:rFonts w:ascii="Times New Roman" w:hAnsi="Times New Roman"/>
          <w:sz w:val="24"/>
        </w:rPr>
        <w:t>) un izlaidi (</w:t>
      </w:r>
      <w:r>
        <w:rPr>
          <w:rFonts w:ascii="Times New Roman" w:hAnsi="Times New Roman"/>
          <w:i/>
          <w:sz w:val="24"/>
        </w:rPr>
        <w:t>piem., ražotājdarbību, siltumu, procesa emisijas, atlikumgāzes</w:t>
      </w:r>
      <w:r>
        <w:rPr>
          <w:rFonts w:ascii="Times New Roman" w:hAnsi="Times New Roman"/>
          <w:sz w:val="24"/>
        </w:rPr>
        <w:t>) uz apakšiekārtu katram gadam periodā no 2014. līdz 2018. gadam vai periodā no 2019. līdz 2023. gadam (atkarībā no piešķiršanas perioda), kad iekārta ir bijusi ekspluatācijā.</w:t>
      </w:r>
    </w:p>
    <w:p w14:paraId="40A9AB28"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4817EC5B"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Ja vienā iekārtā ir piemērojama vairāk nekā viena produktu līmeņatzīme, ir jāpārliecinās, ka katras apakšiekārtas ielaide un izlaide netiek attiecināta divreiz (un ka neviena no tām neiztrūkst). Ja iekārtā ir tikai produkta līmeņatzīmes apakšiekārtas, jāaprēķina arī kurināmā un siltuma daudzums, kas ir attiecināts uz katru apakšiekārtu, ar mērķi atjaunināt līmeņatzīmju vērtības (datu vākšana, lai atjauninātu līmeņatzīmju vērtības; un tā tiek apvienota ar datu vākšanu, ko veic, lai nodrošinātu pamatu kvotu aprēķināšanai).</w:t>
      </w:r>
    </w:p>
    <w:p w14:paraId="58D33C31" w14:textId="77777777" w:rsidR="00583F3E" w:rsidRDefault="00583F3E" w:rsidP="00583F3E">
      <w:pPr>
        <w:widowControl/>
        <w:jc w:val="both"/>
        <w:rPr>
          <w:rFonts w:ascii="Times New Roman" w:eastAsia="Calibri" w:hAnsi="Times New Roman" w:cs="Times New Roman"/>
          <w:noProof/>
          <w:position w:val="6"/>
          <w:sz w:val="24"/>
          <w:szCs w:val="20"/>
        </w:rPr>
      </w:pPr>
    </w:p>
    <w:tbl>
      <w:tblPr>
        <w:tblStyle w:val="TableGrid"/>
        <w:tblW w:w="0" w:type="auto"/>
        <w:tblLook w:val="04A0" w:firstRow="1" w:lastRow="0" w:firstColumn="1" w:lastColumn="0" w:noHBand="0" w:noVBand="1"/>
      </w:tblPr>
      <w:tblGrid>
        <w:gridCol w:w="9288"/>
      </w:tblGrid>
      <w:tr w:rsidR="0027691D" w14:paraId="3A9809D2" w14:textId="77777777" w:rsidTr="0027691D">
        <w:tc>
          <w:tcPr>
            <w:tcW w:w="9288" w:type="dxa"/>
          </w:tcPr>
          <w:p w14:paraId="3AB91B89" w14:textId="77777777" w:rsidR="0027691D" w:rsidRDefault="0027691D" w:rsidP="00583F3E">
            <w:pPr>
              <w:widowControl/>
              <w:jc w:val="both"/>
              <w:rPr>
                <w:rFonts w:ascii="Times New Roman" w:eastAsia="Calibri" w:hAnsi="Times New Roman" w:cs="Times New Roman"/>
                <w:b/>
                <w:bCs/>
                <w:noProof/>
                <w:position w:val="6"/>
                <w:sz w:val="24"/>
                <w:szCs w:val="20"/>
              </w:rPr>
            </w:pPr>
            <w:r>
              <w:rPr>
                <w:rFonts w:ascii="Times New Roman" w:hAnsi="Times New Roman"/>
                <w:b/>
                <w:bCs/>
                <w:sz w:val="24"/>
                <w:szCs w:val="20"/>
              </w:rPr>
              <w:t>Piemērs. Iekārta ar divām produktu līmeņatzīmēm</w:t>
            </w:r>
          </w:p>
          <w:p w14:paraId="6A623AA6" w14:textId="77777777" w:rsidR="0027691D" w:rsidRDefault="008B78E7"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Turpmākajā piemērā ienākošās plūsmas principā ir sadalītas starp divām apakšiekārtām; enerģētiskā satura summai, kas attiecināta uz katru apakšiekārtu, nav jāpārsniedz kopējais tā siltuma un kurināmā enerģētiskais saturs, kas tiek patērēts iekārtā, ņemot vērā zudumus.</w:t>
            </w:r>
          </w:p>
          <w:p w14:paraId="5570D103" w14:textId="77777777" w:rsidR="008B78E7" w:rsidRDefault="008B78E7" w:rsidP="00583F3E">
            <w:pPr>
              <w:widowControl/>
              <w:jc w:val="both"/>
              <w:rPr>
                <w:rFonts w:ascii="Times New Roman" w:eastAsia="Calibri" w:hAnsi="Times New Roman" w:cs="Times New Roman"/>
                <w:noProof/>
                <w:position w:val="6"/>
                <w:sz w:val="24"/>
                <w:szCs w:val="20"/>
              </w:rPr>
            </w:pPr>
          </w:p>
          <w:p w14:paraId="640F50B5" w14:textId="1390DBE6" w:rsidR="0027691D" w:rsidRDefault="0060488D" w:rsidP="0027691D">
            <w:pPr>
              <w:widowControl/>
              <w:jc w:val="center"/>
              <w:rPr>
                <w:rFonts w:ascii="Times New Roman" w:eastAsia="Calibri" w:hAnsi="Times New Roman" w:cs="Times New Roman"/>
                <w:noProof/>
                <w:position w:val="6"/>
                <w:sz w:val="24"/>
                <w:szCs w:val="20"/>
              </w:rPr>
            </w:pPr>
            <w:r w:rsidRPr="0060488D">
              <w:rPr>
                <w:rFonts w:ascii="Times New Roman" w:eastAsia="Calibri" w:hAnsi="Times New Roman" w:cs="Times New Roman"/>
                <w:noProof/>
                <w:position w:val="6"/>
                <w:sz w:val="24"/>
                <w:szCs w:val="20"/>
              </w:rPr>
              <w:drawing>
                <wp:inline distT="0" distB="0" distL="0" distR="0" wp14:anchorId="7B46E2A5" wp14:editId="14C5BA82">
                  <wp:extent cx="3724275" cy="25958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1503" cy="2600932"/>
                          </a:xfrm>
                          <a:prstGeom prst="rect">
                            <a:avLst/>
                          </a:prstGeom>
                          <a:noFill/>
                          <a:ln>
                            <a:noFill/>
                          </a:ln>
                        </pic:spPr>
                      </pic:pic>
                    </a:graphicData>
                  </a:graphic>
                </wp:inline>
              </w:drawing>
            </w:r>
          </w:p>
        </w:tc>
      </w:tr>
    </w:tbl>
    <w:p w14:paraId="75BD7D80" w14:textId="7B9533B1" w:rsidR="0060488D" w:rsidRDefault="0060488D" w:rsidP="00583F3E">
      <w:pPr>
        <w:widowControl/>
        <w:jc w:val="both"/>
        <w:rPr>
          <w:rFonts w:ascii="Times New Roman" w:eastAsia="Calibri" w:hAnsi="Times New Roman" w:cs="Times New Roman"/>
          <w:noProof/>
          <w:position w:val="6"/>
          <w:sz w:val="24"/>
          <w:szCs w:val="20"/>
        </w:rPr>
      </w:pPr>
    </w:p>
    <w:p w14:paraId="25ECF933" w14:textId="77777777" w:rsidR="0060488D" w:rsidRDefault="0060488D">
      <w:pPr>
        <w:rPr>
          <w:rFonts w:ascii="Times New Roman" w:eastAsia="Calibri" w:hAnsi="Times New Roman" w:cs="Times New Roman"/>
          <w:noProof/>
          <w:position w:val="6"/>
          <w:sz w:val="24"/>
          <w:szCs w:val="20"/>
        </w:rPr>
      </w:pPr>
      <w:r>
        <w:rPr>
          <w:rFonts w:ascii="Times New Roman" w:eastAsia="Calibri" w:hAnsi="Times New Roman" w:cs="Times New Roman"/>
          <w:noProof/>
          <w:position w:val="6"/>
          <w:sz w:val="24"/>
          <w:szCs w:val="20"/>
        </w:rPr>
        <w:br w:type="page"/>
      </w:r>
    </w:p>
    <w:p w14:paraId="4DEF9789" w14:textId="77777777" w:rsidR="0027691D" w:rsidRDefault="0027691D" w:rsidP="00583F3E">
      <w:pPr>
        <w:widowControl/>
        <w:jc w:val="both"/>
        <w:rPr>
          <w:rFonts w:ascii="Times New Roman" w:eastAsia="Calibri" w:hAnsi="Times New Roman" w:cs="Times New Roman"/>
          <w:noProof/>
          <w:position w:val="6"/>
          <w:sz w:val="24"/>
          <w:szCs w:val="20"/>
        </w:rPr>
      </w:pPr>
    </w:p>
    <w:p w14:paraId="01848AE5" w14:textId="7BA14BC9" w:rsidR="00583F3E" w:rsidRPr="008B78E7" w:rsidRDefault="009E734E" w:rsidP="008B78E7">
      <w:pPr>
        <w:pStyle w:val="Heading2"/>
        <w:widowControl/>
        <w:tabs>
          <w:tab w:val="left" w:pos="677"/>
        </w:tabs>
        <w:ind w:left="0" w:firstLine="0"/>
        <w:jc w:val="both"/>
        <w:rPr>
          <w:rFonts w:ascii="Times New Roman" w:hAnsi="Times New Roman" w:cs="Times New Roman"/>
          <w:noProof/>
          <w:position w:val="6"/>
          <w:szCs w:val="32"/>
        </w:rPr>
      </w:pPr>
      <w:bookmarkStart w:id="22" w:name="_Toc31207930"/>
      <w:r>
        <w:rPr>
          <w:rFonts w:ascii="Times New Roman" w:hAnsi="Times New Roman"/>
          <w:szCs w:val="32"/>
        </w:rPr>
        <w:pict w14:anchorId="1404ACE2">
          <v:shapetype id="_x0000_t202" coordsize="21600,21600" o:spt="202" path="m,l,21600r21600,l21600,xe">
            <v:stroke joinstyle="miter"/>
            <v:path gradientshapeok="t" o:connecttype="rect"/>
          </v:shapetype>
          <v:shape id="_x0000_s21082" type="#_x0000_t202" style="position:absolute;left:0;text-align:left;margin-left:223.85pt;margin-top:-117.6pt;width:51.55pt;height:25.25pt;z-index:-251667456;mso-position-horizontal-relative:page" filled="f" stroked="f">
            <v:textbox style="mso-next-textbox:#_x0000_s21082" inset="0,0,0,0">
              <w:txbxContent>
                <w:p w14:paraId="3AD887B1" w14:textId="77777777" w:rsidR="009E734E" w:rsidRPr="00583F3E" w:rsidRDefault="009E734E" w:rsidP="00583F3E">
                  <w:pPr>
                    <w:spacing w:before="4"/>
                    <w:rPr>
                      <w:rFonts w:ascii="Calibri" w:eastAsia="Calibri" w:hAnsi="Calibri" w:cs="Calibri"/>
                      <w:noProof/>
                      <w:sz w:val="10"/>
                      <w:szCs w:val="10"/>
                    </w:rPr>
                  </w:pPr>
                </w:p>
                <w:p w14:paraId="1FDA5ACF" w14:textId="77777777" w:rsidR="009E734E" w:rsidRPr="00583F3E" w:rsidRDefault="009E734E" w:rsidP="00583F3E">
                  <w:pPr>
                    <w:ind w:left="272" w:right="167" w:hanging="97"/>
                    <w:rPr>
                      <w:rFonts w:ascii="Verdana"/>
                      <w:b/>
                      <w:noProof/>
                      <w:color w:val="FFCC00"/>
                      <w:sz w:val="11"/>
                    </w:rPr>
                  </w:pPr>
                  <w:r>
                    <w:rPr>
                      <w:rFonts w:ascii="Verdana"/>
                      <w:b/>
                      <w:color w:val="FFCC00"/>
                      <w:sz w:val="11"/>
                    </w:rPr>
                    <w:t>Ra</w:t>
                  </w:r>
                  <w:r>
                    <w:rPr>
                      <w:rFonts w:ascii="Verdana"/>
                      <w:b/>
                      <w:color w:val="FFCC00"/>
                      <w:sz w:val="11"/>
                    </w:rPr>
                    <w:t>ž</w:t>
                  </w:r>
                  <w:r>
                    <w:rPr>
                      <w:rFonts w:ascii="Verdana"/>
                      <w:b/>
                      <w:color w:val="FFCC00"/>
                      <w:sz w:val="11"/>
                    </w:rPr>
                    <w:t>o</w:t>
                  </w:r>
                  <w:r>
                    <w:rPr>
                      <w:rFonts w:ascii="Verdana"/>
                      <w:b/>
                      <w:color w:val="FFCC00"/>
                      <w:sz w:val="11"/>
                    </w:rPr>
                    <w:t>š</w:t>
                  </w:r>
                  <w:r>
                    <w:rPr>
                      <w:rFonts w:ascii="Verdana"/>
                      <w:b/>
                      <w:color w:val="FFCC00"/>
                      <w:sz w:val="11"/>
                    </w:rPr>
                    <w:t>anas process</w:t>
                  </w:r>
                </w:p>
              </w:txbxContent>
            </v:textbox>
            <w10:wrap anchorx="page"/>
          </v:shape>
        </w:pict>
      </w:r>
      <w:r w:rsidR="00A373AC">
        <w:rPr>
          <w:rFonts w:ascii="Times New Roman" w:hAnsi="Times New Roman"/>
          <w:szCs w:val="32"/>
        </w:rPr>
        <w:t>3.2. Siltuma līmeņatzīmes apakšiekārtu noteikšana</w:t>
      </w:r>
      <w:bookmarkStart w:id="23" w:name="_bookmark9"/>
      <w:bookmarkEnd w:id="23"/>
      <w:bookmarkEnd w:id="22"/>
    </w:p>
    <w:p w14:paraId="54D11C2D" w14:textId="77777777" w:rsidR="00583F3E" w:rsidRPr="00583F3E" w:rsidRDefault="00583F3E" w:rsidP="00583F3E">
      <w:pPr>
        <w:widowControl/>
        <w:jc w:val="both"/>
        <w:rPr>
          <w:rFonts w:ascii="Times New Roman" w:eastAsia="Calibri" w:hAnsi="Times New Roman" w:cs="Times New Roman"/>
          <w:b/>
          <w:bCs/>
          <w:noProof/>
          <w:position w:val="6"/>
          <w:sz w:val="24"/>
          <w:szCs w:val="28"/>
        </w:rPr>
      </w:pPr>
    </w:p>
    <w:p w14:paraId="7532D1E6" w14:textId="77777777" w:rsidR="00583F3E" w:rsidRPr="00583F3E" w:rsidRDefault="00583F3E" w:rsidP="00583F3E">
      <w:pPr>
        <w:pStyle w:val="Heading3"/>
        <w:widowControl/>
        <w:ind w:left="0"/>
        <w:jc w:val="both"/>
        <w:rPr>
          <w:rFonts w:ascii="Times New Roman" w:hAnsi="Times New Roman" w:cs="Times New Roman"/>
          <w:noProof/>
          <w:position w:val="6"/>
        </w:rPr>
      </w:pPr>
      <w:bookmarkStart w:id="24" w:name="_Toc31207931"/>
      <w:r>
        <w:rPr>
          <w:rFonts w:ascii="Times New Roman" w:hAnsi="Times New Roman"/>
        </w:rPr>
        <w:t>Neizšķir dažādus siltuma rašanās veidus</w:t>
      </w:r>
      <w:bookmarkEnd w:id="24"/>
    </w:p>
    <w:p w14:paraId="39AB4AE8"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Netiek izšķirts siltums, kas iegūts no atšķirīgiem avotiem (piem., tas, kas ražots no dažāda kurināmā, tas, ko ražo katli vai </w:t>
      </w:r>
      <w:r>
        <w:rPr>
          <w:rFonts w:ascii="Times New Roman" w:hAnsi="Times New Roman"/>
          <w:i/>
        </w:rPr>
        <w:t>CHP</w:t>
      </w:r>
      <w:r>
        <w:rPr>
          <w:rFonts w:ascii="Times New Roman" w:hAnsi="Times New Roman"/>
        </w:rPr>
        <w:t xml:space="preserve"> procesā, siltums, kas iegūts kā līmeņatzīmes ražošanas procesa blakusprodukts u. tml.), ja vien par to var pretendēt uz kvotu bezmaksas piešķiršanu.</w:t>
      </w:r>
    </w:p>
    <w:p w14:paraId="7B6584EA"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00A8EEA9"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Principā par siltumu var pretendēt uz kvotu bezmaksas piešķiršanu, ja tas var tikt uzskatīts par tādu, ko aptver ES ETS, ar nosacījumu, ka tas netiek ražots no elektroenerģijas. Tas jo īpaši varētu attiekties uz gadījumu, kad izmērāmais siltums (degšanas procesā vai eksotermiskas ražošanas procesā) ir tieši saistīts ar avota plūsmām, kas ir ietvertas iekārtas, ko aptver ES ETS, monitoringa plānā (MP).</w:t>
      </w:r>
    </w:p>
    <w:p w14:paraId="6BD8815D"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6BE7C0EC"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Par saražoto siltumu nevar pretendēt uz kvotām turpmāk norādītajos gadījumos:</w:t>
      </w:r>
    </w:p>
    <w:p w14:paraId="34E117F2" w14:textId="77777777" w:rsidR="00583F3E" w:rsidRPr="00583F3E" w:rsidRDefault="008B78E7" w:rsidP="008B78E7">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par slāpekļskābes ražošanas procesā saražotā siltuma eksportu vai patēriņu nevar pretendēt uz kvotu bezmaksas piešķiršanu, jo šis siltums jau ir ņemts vērā slāpekļskābes līmeņatzīmē;</w:t>
      </w:r>
    </w:p>
    <w:p w14:paraId="3A605C48" w14:textId="77777777" w:rsidR="00583F3E" w:rsidRPr="00583F3E" w:rsidRDefault="008B78E7" w:rsidP="008B78E7">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par tāda siltuma patēriņu, ko saražojusi iekārta (uz ko neattiecas SEG emisijas atļauja), ko neaptver ETS, nevar pretendēt uz kvotu bezmaksas piešķiršanu;</w:t>
      </w:r>
    </w:p>
    <w:p w14:paraId="1DC106EE" w14:textId="77777777" w:rsidR="00583F3E" w:rsidRPr="00583F3E" w:rsidRDefault="008B78E7" w:rsidP="008B78E7">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par elektroenerģijas ražošanai izmantotā siltuma patēriņu nevar pretendēt uz kvotu bezmaksas piešķiršanu.</w:t>
      </w:r>
    </w:p>
    <w:p w14:paraId="1133AAF6"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06325253"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Jāievēro, ka siltums, kas tiek eksportēts centralizētās siltumapgādes vajadzībām, netiek uzskatīts par siltuma līmeņatzīmes daļu; šīm vajadzībām ir noteikta atsevišķa centralizētās siltumapgādes apakšiekārta; sk. 3.3. iedaļu.</w:t>
      </w:r>
    </w:p>
    <w:p w14:paraId="538CDB0C"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16D36867" w14:textId="06A8B663"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Tas, vai ir jānosaka viena vai divas siltuma līmeņatzīmes apakšiekārtas, ir atkarīgs no to produktu oglekļa emisiju pārvirzes statusa, kuriem šis siltums tiek patērēts: siltums, kas tiek patērēts tāda produkta ražošanas procesā, kas uzskatāms par pakļautu oglekļa emisiju pārvirzes riskam, ir jāietver citā apakšiekārtā nekā tas siltums, kas tiek patērēts tāda produkta ražošanas procesā, kas nav uzskatāms par pakļautu oglekļa emisiju pārvirzes riskam (sīkāku informāciju par šo tēmu sk. 2.2. iedaļā).</w:t>
      </w:r>
    </w:p>
    <w:p w14:paraId="4758F575"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3ACD72A1"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i/>
          <w:sz w:val="24"/>
          <w:u w:val="single" w:color="000000"/>
        </w:rPr>
        <w:t>2.a solis. Nosaka vienu vai divas siltuma līmeņatzīmes apakšiekārtas</w:t>
      </w:r>
      <w:r>
        <w:rPr>
          <w:rFonts w:ascii="Times New Roman" w:hAnsi="Times New Roman"/>
          <w:i/>
          <w:sz w:val="24"/>
        </w:rPr>
        <w:t xml:space="preserve"> (attiecīgos gadījumos)</w:t>
      </w:r>
    </w:p>
    <w:p w14:paraId="76B35E41" w14:textId="77777777" w:rsidR="00583F3E" w:rsidRPr="00583F3E" w:rsidRDefault="00583F3E" w:rsidP="00583F3E">
      <w:pPr>
        <w:widowControl/>
        <w:jc w:val="both"/>
        <w:rPr>
          <w:rFonts w:ascii="Times New Roman" w:eastAsia="Calibri" w:hAnsi="Times New Roman" w:cs="Times New Roman"/>
          <w:i/>
          <w:noProof/>
          <w:position w:val="6"/>
          <w:sz w:val="24"/>
          <w:szCs w:val="19"/>
        </w:rPr>
      </w:pPr>
    </w:p>
    <w:p w14:paraId="5A33E6A9"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Siltuma līmeņatzīmes apakšiekārtas ir jānosaka, ja ir viens no turpmāk minētajiem nosacījumiem vai abi šie nosacījumi:</w:t>
      </w:r>
    </w:p>
    <w:p w14:paraId="1424D5C3" w14:textId="77777777" w:rsidR="00583F3E" w:rsidRPr="00583F3E" w:rsidRDefault="008B78E7" w:rsidP="008B78E7">
      <w:pPr>
        <w:pStyle w:val="BodyText"/>
        <w:widowControl/>
        <w:tabs>
          <w:tab w:val="left" w:pos="48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iekārta patērē izmērāmu siltumu ārpus produkta līmeņatzīmes apakšiekārtas robežām, ja:</w:t>
      </w:r>
    </w:p>
    <w:p w14:paraId="642950AF" w14:textId="77777777" w:rsidR="00583F3E" w:rsidRPr="00583F3E" w:rsidRDefault="008B78E7" w:rsidP="008B78E7">
      <w:pPr>
        <w:pStyle w:val="BodyText"/>
        <w:widowControl/>
        <w:tabs>
          <w:tab w:val="left" w:pos="829"/>
        </w:tabs>
        <w:ind w:left="0"/>
        <w:jc w:val="both"/>
        <w:rPr>
          <w:rFonts w:ascii="Times New Roman" w:hAnsi="Times New Roman" w:cs="Times New Roman"/>
          <w:noProof/>
          <w:position w:val="6"/>
        </w:rPr>
      </w:pPr>
      <w:r>
        <w:rPr>
          <w:rFonts w:ascii="Times New Roman" w:hAnsi="Times New Roman"/>
        </w:rPr>
        <w:t>○ siltumu neražo ETS neaptverta iekārta;</w:t>
      </w:r>
    </w:p>
    <w:p w14:paraId="20094848" w14:textId="77777777" w:rsidR="00583F3E" w:rsidRPr="00583F3E" w:rsidRDefault="00C94674" w:rsidP="00C94674">
      <w:pPr>
        <w:pStyle w:val="BodyText"/>
        <w:widowControl/>
        <w:tabs>
          <w:tab w:val="left" w:pos="829"/>
        </w:tabs>
        <w:ind w:left="0"/>
        <w:jc w:val="both"/>
        <w:rPr>
          <w:rFonts w:ascii="Times New Roman" w:hAnsi="Times New Roman" w:cs="Times New Roman"/>
          <w:noProof/>
          <w:position w:val="6"/>
        </w:rPr>
      </w:pPr>
      <w:r>
        <w:rPr>
          <w:rFonts w:ascii="Times New Roman" w:hAnsi="Times New Roman"/>
        </w:rPr>
        <w:t>○ siltums netiek saražots slāpekļskābes produkta līmeņatzīmes robežās;</w:t>
      </w:r>
    </w:p>
    <w:p w14:paraId="1F26AB8E" w14:textId="77777777" w:rsidR="00C94674" w:rsidRDefault="00C94674" w:rsidP="00C94674">
      <w:pPr>
        <w:pStyle w:val="BodyText"/>
        <w:widowControl/>
        <w:tabs>
          <w:tab w:val="left" w:pos="829"/>
        </w:tabs>
        <w:ind w:left="0"/>
        <w:jc w:val="both"/>
        <w:rPr>
          <w:rFonts w:ascii="Times New Roman" w:hAnsi="Times New Roman" w:cs="Times New Roman"/>
          <w:noProof/>
          <w:position w:val="6"/>
        </w:rPr>
      </w:pPr>
      <w:r>
        <w:rPr>
          <w:rFonts w:ascii="Times New Roman" w:hAnsi="Times New Roman"/>
        </w:rPr>
        <w:t>○ siltums netiek izmantots elektroenerģijas ražošanai;</w:t>
      </w:r>
    </w:p>
    <w:p w14:paraId="29901F4F" w14:textId="77777777" w:rsidR="00583F3E" w:rsidRPr="00583F3E" w:rsidRDefault="00583F3E" w:rsidP="00C94674">
      <w:pPr>
        <w:pStyle w:val="BodyText"/>
        <w:widowControl/>
        <w:tabs>
          <w:tab w:val="left" w:pos="829"/>
        </w:tabs>
        <w:ind w:left="0"/>
        <w:jc w:val="both"/>
        <w:rPr>
          <w:rFonts w:ascii="Times New Roman" w:hAnsi="Times New Roman" w:cs="Times New Roman"/>
          <w:noProof/>
          <w:position w:val="6"/>
        </w:rPr>
      </w:pPr>
      <w:r>
        <w:rPr>
          <w:rFonts w:ascii="Times New Roman" w:hAnsi="Times New Roman"/>
        </w:rPr>
        <w:t>UN/VAI</w:t>
      </w:r>
    </w:p>
    <w:p w14:paraId="190DE06F" w14:textId="77777777" w:rsidR="00583F3E" w:rsidRPr="00583F3E" w:rsidRDefault="008B78E7" w:rsidP="008B78E7">
      <w:pPr>
        <w:pStyle w:val="BodyText"/>
        <w:widowControl/>
        <w:tabs>
          <w:tab w:val="left" w:pos="48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iekārta eksportē izmērāmu siltumu uz ETS neaptvertu iekārtu vai vienību ar mērķi, kas nav centralizētā siltumapgāde</w:t>
      </w:r>
      <w:r w:rsidR="00C94674">
        <w:rPr>
          <w:rStyle w:val="FootnoteReference"/>
          <w:rFonts w:ascii="Times New Roman" w:hAnsi="Times New Roman" w:cs="Times New Roman"/>
          <w:noProof/>
          <w:position w:val="6"/>
        </w:rPr>
        <w:footnoteReference w:id="13"/>
      </w:r>
      <w:r>
        <w:rPr>
          <w:rFonts w:ascii="Times New Roman" w:hAnsi="Times New Roman"/>
        </w:rPr>
        <w:t>, ar nosacījumu, ka:</w:t>
      </w:r>
    </w:p>
    <w:p w14:paraId="4467C7C8" w14:textId="77777777" w:rsidR="00583F3E" w:rsidRPr="00583F3E" w:rsidRDefault="00C94674" w:rsidP="00C94674">
      <w:pPr>
        <w:pStyle w:val="BodyText"/>
        <w:widowControl/>
        <w:tabs>
          <w:tab w:val="left" w:pos="829"/>
        </w:tabs>
        <w:ind w:left="0"/>
        <w:jc w:val="both"/>
        <w:rPr>
          <w:rFonts w:ascii="Times New Roman" w:hAnsi="Times New Roman" w:cs="Times New Roman"/>
          <w:noProof/>
          <w:position w:val="6"/>
        </w:rPr>
      </w:pPr>
      <w:r>
        <w:rPr>
          <w:rFonts w:ascii="Times New Roman" w:hAnsi="Times New Roman"/>
        </w:rPr>
        <w:t>○ siltums netiek saražots slāpekļskābes produkta līmeņatzīmes robežās;</w:t>
      </w:r>
    </w:p>
    <w:p w14:paraId="5C682C1B" w14:textId="77777777" w:rsidR="00583F3E" w:rsidRPr="00583F3E" w:rsidRDefault="00C94674" w:rsidP="00C94674">
      <w:pPr>
        <w:pStyle w:val="BodyText"/>
        <w:widowControl/>
        <w:tabs>
          <w:tab w:val="left" w:pos="829"/>
        </w:tabs>
        <w:ind w:left="0"/>
        <w:jc w:val="both"/>
        <w:rPr>
          <w:rFonts w:ascii="Times New Roman" w:hAnsi="Times New Roman" w:cs="Times New Roman"/>
          <w:noProof/>
          <w:position w:val="6"/>
        </w:rPr>
      </w:pPr>
      <w:r>
        <w:rPr>
          <w:rFonts w:ascii="Times New Roman" w:hAnsi="Times New Roman"/>
        </w:rPr>
        <w:t>○ siltums netiek izmantots elektroenerģijas ražošanai.</w:t>
      </w:r>
    </w:p>
    <w:p w14:paraId="2370E998"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3DBE2145" w14:textId="77777777" w:rsidR="00583F3E" w:rsidRPr="00583F3E" w:rsidRDefault="00583F3E" w:rsidP="00AE641A">
      <w:pPr>
        <w:keepNext/>
        <w:widowControl/>
        <w:jc w:val="both"/>
        <w:rPr>
          <w:rFonts w:ascii="Times New Roman" w:eastAsia="Calibri" w:hAnsi="Times New Roman" w:cs="Times New Roman"/>
          <w:noProof/>
          <w:position w:val="6"/>
          <w:sz w:val="24"/>
          <w:szCs w:val="24"/>
        </w:rPr>
      </w:pPr>
      <w:r>
        <w:rPr>
          <w:rFonts w:ascii="Times New Roman" w:hAnsi="Times New Roman"/>
          <w:b/>
          <w:i/>
          <w:sz w:val="24"/>
        </w:rPr>
        <w:lastRenderedPageBreak/>
        <w:t>Izmērāma siltuma plūsmām</w:t>
      </w:r>
      <w:r>
        <w:rPr>
          <w:rFonts w:ascii="Times New Roman" w:hAnsi="Times New Roman"/>
          <w:i/>
          <w:sz w:val="24"/>
        </w:rPr>
        <w:t xml:space="preserve"> ir visas turpmāk minētās īpašības:</w:t>
      </w:r>
    </w:p>
    <w:p w14:paraId="420F1E9F" w14:textId="77777777" w:rsidR="00583F3E" w:rsidRPr="00583F3E" w:rsidRDefault="008B78E7" w:rsidP="00AE641A">
      <w:pPr>
        <w:keepNext/>
        <w:widowControl/>
        <w:tabs>
          <w:tab w:val="left" w:pos="481"/>
        </w:tabs>
        <w:jc w:val="both"/>
        <w:rPr>
          <w:rFonts w:ascii="Times New Roman" w:hAnsi="Times New Roman" w:cs="Times New Roman"/>
          <w:i/>
          <w:noProof/>
          <w:position w:val="6"/>
          <w:sz w:val="24"/>
        </w:rPr>
      </w:pPr>
      <w:r>
        <w:rPr>
          <w:rFonts w:ascii="Times New Roman" w:hAnsi="Times New Roman"/>
        </w:rPr>
        <w:sym w:font="Symbol" w:char="F0B7"/>
      </w:r>
      <w:r>
        <w:rPr>
          <w:rFonts w:ascii="Times New Roman" w:hAnsi="Times New Roman"/>
        </w:rPr>
        <w:t xml:space="preserve"> </w:t>
      </w:r>
      <w:r>
        <w:rPr>
          <w:rFonts w:ascii="Times New Roman" w:hAnsi="Times New Roman"/>
          <w:i/>
          <w:sz w:val="24"/>
        </w:rPr>
        <w:t xml:space="preserve">tās ir </w:t>
      </w:r>
      <w:r>
        <w:rPr>
          <w:rFonts w:ascii="Times New Roman" w:hAnsi="Times New Roman"/>
          <w:b/>
          <w:i/>
          <w:sz w:val="24"/>
        </w:rPr>
        <w:t>neto</w:t>
      </w:r>
      <w:r>
        <w:rPr>
          <w:rFonts w:ascii="Times New Roman" w:hAnsi="Times New Roman"/>
          <w:i/>
          <w:sz w:val="24"/>
        </w:rPr>
        <w:t xml:space="preserve"> plūsmas, kas nozīmē, ka siltumsaturs kondensātā vai siltumnesējā, kas atgriežas siltuma piegādātājam, tiek atskaitīts</w:t>
      </w:r>
      <w:r w:rsidR="00C94674">
        <w:rPr>
          <w:rStyle w:val="FootnoteReference"/>
          <w:rFonts w:ascii="Times New Roman" w:hAnsi="Times New Roman" w:cs="Times New Roman"/>
          <w:i/>
          <w:noProof/>
          <w:position w:val="6"/>
          <w:sz w:val="24"/>
        </w:rPr>
        <w:footnoteReference w:id="14"/>
      </w:r>
      <w:r>
        <w:rPr>
          <w:rFonts w:ascii="Times New Roman" w:hAnsi="Times New Roman"/>
          <w:i/>
          <w:sz w:val="24"/>
        </w:rPr>
        <w:t>. To, kā noteikt datus par izmērāmo siltumu, sk. Norādījumu dokumentā Nr. 3 par datu vākšanu:</w:t>
      </w:r>
    </w:p>
    <w:p w14:paraId="59168956" w14:textId="77777777" w:rsidR="00583F3E" w:rsidRPr="00583F3E" w:rsidRDefault="00C94674" w:rsidP="00C94674">
      <w:pPr>
        <w:widowControl/>
        <w:tabs>
          <w:tab w:val="left" w:pos="841"/>
        </w:tabs>
        <w:jc w:val="both"/>
        <w:rPr>
          <w:rFonts w:ascii="Times New Roman" w:eastAsia="Calibri" w:hAnsi="Times New Roman" w:cs="Times New Roman"/>
          <w:noProof/>
          <w:position w:val="6"/>
          <w:sz w:val="24"/>
          <w:szCs w:val="24"/>
        </w:rPr>
      </w:pPr>
      <w:r>
        <w:rPr>
          <w:rFonts w:ascii="Times New Roman" w:hAnsi="Times New Roman"/>
          <w:iCs/>
          <w:sz w:val="24"/>
        </w:rPr>
        <w:t xml:space="preserve">▪ </w:t>
      </w:r>
      <w:r>
        <w:rPr>
          <w:rFonts w:ascii="Times New Roman" w:hAnsi="Times New Roman"/>
          <w:i/>
          <w:sz w:val="24"/>
        </w:rPr>
        <w:t xml:space="preserve">siltuma plūsmas </w:t>
      </w:r>
      <w:r>
        <w:rPr>
          <w:rFonts w:ascii="Times New Roman" w:hAnsi="Times New Roman"/>
          <w:b/>
          <w:i/>
          <w:sz w:val="24"/>
        </w:rPr>
        <w:t>tiek transportētas pa identificējamiem cauruļvadiem vai kanāliem</w:t>
      </w:r>
    </w:p>
    <w:p w14:paraId="509F7E56"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UN</w:t>
      </w:r>
    </w:p>
    <w:p w14:paraId="11BE77C5" w14:textId="77777777" w:rsidR="00583F3E" w:rsidRPr="00583F3E" w:rsidRDefault="00C94674" w:rsidP="00C94674">
      <w:pPr>
        <w:widowControl/>
        <w:tabs>
          <w:tab w:val="left" w:pos="841"/>
        </w:tabs>
        <w:jc w:val="both"/>
        <w:rPr>
          <w:rFonts w:ascii="Times New Roman" w:hAnsi="Times New Roman" w:cs="Times New Roman"/>
          <w:i/>
          <w:noProof/>
          <w:position w:val="6"/>
          <w:sz w:val="24"/>
        </w:rPr>
      </w:pPr>
      <w:r>
        <w:rPr>
          <w:rFonts w:ascii="Times New Roman" w:hAnsi="Times New Roman"/>
          <w:iCs/>
          <w:sz w:val="24"/>
        </w:rPr>
        <w:t xml:space="preserve">▪ </w:t>
      </w:r>
      <w:r>
        <w:rPr>
          <w:rFonts w:ascii="Times New Roman" w:hAnsi="Times New Roman"/>
          <w:sz w:val="24"/>
        </w:rPr>
        <w:t xml:space="preserve">siltuma </w:t>
      </w:r>
      <w:r>
        <w:rPr>
          <w:rFonts w:ascii="Times New Roman" w:hAnsi="Times New Roman"/>
          <w:i/>
          <w:sz w:val="24"/>
        </w:rPr>
        <w:t xml:space="preserve">plūsmas </w:t>
      </w:r>
      <w:r>
        <w:rPr>
          <w:rFonts w:ascii="Times New Roman" w:hAnsi="Times New Roman"/>
          <w:b/>
          <w:i/>
          <w:sz w:val="24"/>
        </w:rPr>
        <w:t>tiek transportētas ar siltumnesēju</w:t>
      </w:r>
      <w:r>
        <w:rPr>
          <w:rFonts w:ascii="Times New Roman" w:hAnsi="Times New Roman"/>
          <w:i/>
          <w:sz w:val="24"/>
        </w:rPr>
        <w:t>, piem., tvaiku, karstu gaisu, ūdeni, eļļu, šķidriem metāliem vai sāļiem,</w:t>
      </w:r>
    </w:p>
    <w:p w14:paraId="530581D4"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UN</w:t>
      </w:r>
    </w:p>
    <w:p w14:paraId="155283E0" w14:textId="77777777" w:rsidR="00583F3E" w:rsidRPr="00583F3E" w:rsidRDefault="00C94674" w:rsidP="00C94674">
      <w:pPr>
        <w:widowControl/>
        <w:tabs>
          <w:tab w:val="left" w:pos="841"/>
        </w:tabs>
        <w:jc w:val="both"/>
        <w:rPr>
          <w:rFonts w:ascii="Times New Roman" w:eastAsia="Calibri" w:hAnsi="Times New Roman" w:cs="Times New Roman"/>
          <w:noProof/>
          <w:position w:val="6"/>
          <w:sz w:val="24"/>
          <w:szCs w:val="24"/>
        </w:rPr>
      </w:pPr>
      <w:r>
        <w:rPr>
          <w:rFonts w:ascii="Times New Roman" w:hAnsi="Times New Roman"/>
          <w:iCs/>
          <w:sz w:val="24"/>
        </w:rPr>
        <w:t xml:space="preserve">▪ </w:t>
      </w:r>
      <w:r>
        <w:rPr>
          <w:rFonts w:ascii="Times New Roman" w:hAnsi="Times New Roman"/>
          <w:i/>
          <w:sz w:val="24"/>
        </w:rPr>
        <w:t xml:space="preserve">siltuma plūsmas </w:t>
      </w:r>
      <w:r>
        <w:rPr>
          <w:rFonts w:ascii="Times New Roman" w:hAnsi="Times New Roman"/>
          <w:b/>
          <w:i/>
          <w:sz w:val="24"/>
        </w:rPr>
        <w:t>tiek mērītas vai var izmērīt ar siltuma skaitītāju</w:t>
      </w:r>
      <w:r>
        <w:rPr>
          <w:rStyle w:val="FootnoteReference"/>
          <w:rFonts w:ascii="Times New Roman" w:hAnsi="Times New Roman" w:cs="Times New Roman"/>
          <w:b/>
          <w:i/>
          <w:noProof/>
          <w:position w:val="6"/>
          <w:sz w:val="24"/>
        </w:rPr>
        <w:footnoteReference w:id="15"/>
      </w:r>
      <w:r>
        <w:rPr>
          <w:rFonts w:ascii="Times New Roman" w:hAnsi="Times New Roman"/>
          <w:i/>
          <w:sz w:val="24"/>
        </w:rPr>
        <w:t xml:space="preserve"> (proti, siltuma skaitītājs ir jebkura ierīce, kas var izmērīt saražotās enerģijas daudzumu, balstoties uz plūsmas apjomiem un temperatūrām).</w:t>
      </w:r>
    </w:p>
    <w:p w14:paraId="1999E465" w14:textId="77777777" w:rsidR="00583F3E" w:rsidRPr="00583F3E" w:rsidRDefault="00583F3E" w:rsidP="00583F3E">
      <w:pPr>
        <w:widowControl/>
        <w:jc w:val="both"/>
        <w:rPr>
          <w:rFonts w:ascii="Times New Roman" w:eastAsia="Calibri" w:hAnsi="Times New Roman" w:cs="Times New Roman"/>
          <w:i/>
          <w:noProof/>
          <w:position w:val="6"/>
          <w:sz w:val="24"/>
          <w:szCs w:val="23"/>
        </w:rPr>
      </w:pPr>
    </w:p>
    <w:p w14:paraId="3FDBBD20"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Tas, vai ir jānosaka viena vai divas siltuma līmeņatzīmes apakšiekārtas, ir atkarīgs no to produktu oglekļa emisiju pārvirzes statusa, kuriem šis siltums tiek patērēts: siltums, kas tiek patērēts tāda produkta ražošanas procesā, kas uzskatāms par pakļautu ievērojamam oglekļa emisiju pārvirzes riskam, ir jāietver citā apakšiekārtā nekā tas siltums, kas tiek patērēts tāda produkta ražošanas procesā, kas nav uzskatāms par pakļautu ievērojamam oglekļa emisiju pārvirzes riskam. </w:t>
      </w:r>
      <w:r>
        <w:rPr>
          <w:rFonts w:ascii="Times New Roman" w:hAnsi="Times New Roman"/>
          <w:i/>
        </w:rPr>
        <w:t>Sīkāku informāciju par šo tēmu sk. 2.2. iedaļā par oglekļa emisiju pārvirzi.</w:t>
      </w:r>
    </w:p>
    <w:p w14:paraId="6BF34492"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6E9A8DF9"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i/>
          <w:sz w:val="24"/>
          <w:u w:val="single" w:color="000000"/>
        </w:rPr>
        <w:t>2.b solis. Attiecina attiecīgo ielaidi un izlaidi</w:t>
      </w:r>
      <w:r>
        <w:rPr>
          <w:rFonts w:ascii="Times New Roman" w:hAnsi="Times New Roman"/>
          <w:i/>
          <w:sz w:val="24"/>
        </w:rPr>
        <w:t xml:space="preserve"> (attiecīgos gadījumos)</w:t>
      </w:r>
    </w:p>
    <w:p w14:paraId="3A4569E4" w14:textId="6BB21FE9"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t>Attiecina visu attiecīgo ielaidi (</w:t>
      </w:r>
      <w:r>
        <w:rPr>
          <w:rFonts w:ascii="Times New Roman" w:hAnsi="Times New Roman"/>
          <w:i/>
          <w:sz w:val="24"/>
        </w:rPr>
        <w:t>piem, siltumu</w:t>
      </w:r>
      <w:r>
        <w:rPr>
          <w:rFonts w:ascii="Times New Roman" w:hAnsi="Times New Roman"/>
          <w:sz w:val="24"/>
        </w:rPr>
        <w:t>) un izlaidi (</w:t>
      </w:r>
      <w:r>
        <w:rPr>
          <w:rFonts w:ascii="Times New Roman" w:hAnsi="Times New Roman"/>
          <w:i/>
          <w:sz w:val="24"/>
        </w:rPr>
        <w:t>piem., emisijas, kas saistītas ar siltuma ražošanu</w:t>
      </w:r>
      <w:r>
        <w:rPr>
          <w:rFonts w:ascii="Times New Roman" w:hAnsi="Times New Roman"/>
          <w:sz w:val="24"/>
        </w:rPr>
        <w:t>) uz katru apakšiekārtu katram gadam periodā no 2014. līdz 2018. gadam vai periodā no 2019. līdz 2023. gadam (atkarībā no piešķiršanas perioda), kad iekārta ir bijusi ekspluatācijā.</w:t>
      </w:r>
    </w:p>
    <w:p w14:paraId="13FC20FA"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4A89E5CB"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Gadījumā, ja izmērāms siltums tiek izmantots biroju un ēdnīcu siltumapgādei, šis siltums tiek ietverts produkta līmeņatzīmes sistēmas robežās. Gadījumā, ja iekārtā nevar veikt nevienas produkta līmeņatzīmes apakšiekārtas uzskaiti, tad ielaidi, izlaidi un emisijas, kas saistītas ar šīm vajadzībām, uzskaita siltuma līmeņatzīmes apakšiekārtas ietvaros. Oglekļa emisiju pārvirzes ietekmes statuss šim siltumam tiek noteikts, pamatojoties uz visbūtiskāko ražošanas procesu iekārtā. Jāievēro, ka attiecībā uz rūpniecisko objektu birojiem un ēdnīcām to nevar uzskatīt par centralizētās siltumapgādes veidu. Siltumapgāde ir jāaplūko saskaņā ar iekārtas atļauju. Centralizētās siltumapgādes definīciju sk. 3.3. iedaļā.</w:t>
      </w:r>
    </w:p>
    <w:p w14:paraId="274187D2"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18044C6C"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Siltums, ko patērē siltuma līmeņatzīmes apakšiekārta, tiek mērīts ražošanas līnijās, kas patērē siltumu, bet ne iekārtās, kas ražo siltumu. Tomēr siltumam, kas tiek eksportēts no siltuma līmeņatzīmes apakšiekārtas uz ETS neaptvertu vienību, mērījumu veikšanas punkts ir iekārtu, kas ražo siltumu, izvades vietā.</w:t>
      </w:r>
    </w:p>
    <w:p w14:paraId="77F4897F"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7B4BCB2A" w14:textId="75E5602B" w:rsidR="0060488D" w:rsidRDefault="0060488D">
      <w:pPr>
        <w:rPr>
          <w:rFonts w:ascii="Times New Roman" w:eastAsia="Calibri" w:hAnsi="Times New Roman" w:cs="Times New Roman"/>
          <w:noProof/>
          <w:position w:val="6"/>
          <w:sz w:val="24"/>
          <w:szCs w:val="19"/>
        </w:rPr>
      </w:pPr>
      <w:r>
        <w:rPr>
          <w:rFonts w:ascii="Times New Roman" w:eastAsia="Calibri" w:hAnsi="Times New Roman" w:cs="Times New Roman"/>
          <w:noProof/>
          <w:position w:val="6"/>
          <w:sz w:val="24"/>
          <w:szCs w:val="19"/>
        </w:rPr>
        <w:br w:type="page"/>
      </w:r>
    </w:p>
    <w:p w14:paraId="7BA73F17"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25BDF82E" w14:textId="77777777" w:rsidR="00583F3E" w:rsidRPr="00C94674" w:rsidRDefault="00C94674" w:rsidP="00C94674">
      <w:pPr>
        <w:pStyle w:val="Heading2"/>
        <w:widowControl/>
        <w:tabs>
          <w:tab w:val="left" w:pos="677"/>
        </w:tabs>
        <w:ind w:left="0" w:firstLine="0"/>
        <w:jc w:val="both"/>
        <w:rPr>
          <w:rFonts w:ascii="Times New Roman" w:hAnsi="Times New Roman" w:cs="Times New Roman"/>
          <w:noProof/>
          <w:position w:val="6"/>
          <w:szCs w:val="32"/>
        </w:rPr>
      </w:pPr>
      <w:bookmarkStart w:id="25" w:name="_Toc31207932"/>
      <w:r>
        <w:rPr>
          <w:rFonts w:ascii="Times New Roman" w:hAnsi="Times New Roman"/>
          <w:szCs w:val="32"/>
        </w:rPr>
        <w:t>3.3. Centralizētās siltumapgādes apakšiekārtas noteikšana</w:t>
      </w:r>
      <w:bookmarkStart w:id="26" w:name="_bookmark10"/>
      <w:bookmarkEnd w:id="26"/>
      <w:bookmarkEnd w:id="25"/>
    </w:p>
    <w:p w14:paraId="03E6C22C" w14:textId="77777777" w:rsidR="00C94674" w:rsidRPr="00C94674" w:rsidRDefault="00C94674" w:rsidP="00583F3E">
      <w:pPr>
        <w:widowControl/>
        <w:jc w:val="both"/>
        <w:rPr>
          <w:rFonts w:ascii="Times New Roman" w:hAnsi="Times New Roman" w:cs="Times New Roman"/>
          <w:iCs/>
          <w:noProof/>
          <w:position w:val="6"/>
          <w:sz w:val="24"/>
          <w:u w:color="000000"/>
        </w:rPr>
      </w:pPr>
    </w:p>
    <w:p w14:paraId="46B3D412"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i/>
          <w:sz w:val="24"/>
          <w:u w:val="single" w:color="000000"/>
        </w:rPr>
        <w:t>3.a solis. Nosaka vienu centralizētās siltumapgādes apakšiekārtu</w:t>
      </w:r>
      <w:r>
        <w:rPr>
          <w:rFonts w:ascii="Times New Roman" w:hAnsi="Times New Roman"/>
          <w:i/>
          <w:sz w:val="24"/>
        </w:rPr>
        <w:t xml:space="preserve"> (attiecīgos gadījumos)</w:t>
      </w:r>
    </w:p>
    <w:p w14:paraId="7BDB9851"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Vienu centralizētās siltumapgādes apakšiekārtu nosaka, ja ir piemērojami abi turpmāk minētie nosacījumi:</w:t>
      </w:r>
    </w:p>
    <w:p w14:paraId="326F5D34" w14:textId="77777777" w:rsidR="00583F3E" w:rsidRPr="00583F3E" w:rsidRDefault="00FF2BA0" w:rsidP="00FF2BA0">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iekārta ražo izmērāmu siltumu ārpus slāpekļskābes produkta līmeņatzīmes apakšiekārtas robežām;</w:t>
      </w:r>
    </w:p>
    <w:p w14:paraId="75575E71"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VAI</w:t>
      </w:r>
    </w:p>
    <w:p w14:paraId="33CF0AFD" w14:textId="77777777" w:rsidR="00583F3E" w:rsidRPr="00583F3E" w:rsidRDefault="00FF2BA0" w:rsidP="00FF2BA0">
      <w:pPr>
        <w:pStyle w:val="BodyText"/>
        <w:widowControl/>
        <w:tabs>
          <w:tab w:val="left" w:pos="52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importē izmērāmu siltumu no ES ETS iekārtas, ar nosacījumu, ka siltums netiek ražots slāpekļskābes produkta līmeņatzīmes robežās;</w:t>
      </w:r>
    </w:p>
    <w:p w14:paraId="28E56228"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UN</w:t>
      </w:r>
    </w:p>
    <w:p w14:paraId="02F34EA2" w14:textId="77777777" w:rsidR="00583F3E" w:rsidRPr="00583F3E" w:rsidRDefault="00FF2BA0" w:rsidP="00FF2BA0">
      <w:pPr>
        <w:pStyle w:val="BodyText"/>
        <w:widowControl/>
        <w:tabs>
          <w:tab w:val="left" w:pos="516"/>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siltums tiek eksportēts centralizētās siltumapgādes vajadzībām.</w:t>
      </w:r>
    </w:p>
    <w:p w14:paraId="4B1C55DF"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19172E9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Centralizētās siltumapgādes raksturojums ir šāds:</w:t>
      </w:r>
    </w:p>
    <w:p w14:paraId="296455BE" w14:textId="77777777" w:rsidR="00583F3E" w:rsidRPr="00583F3E" w:rsidRDefault="00FF2BA0" w:rsidP="00FF2BA0">
      <w:pPr>
        <w:widowControl/>
        <w:tabs>
          <w:tab w:val="left" w:pos="461"/>
        </w:tabs>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rPr>
        <w:t xml:space="preserve"> </w:t>
      </w:r>
      <w:r>
        <w:rPr>
          <w:rFonts w:ascii="Times New Roman" w:hAnsi="Times New Roman"/>
          <w:sz w:val="24"/>
        </w:rPr>
        <w:t xml:space="preserve">tā ir </w:t>
      </w:r>
      <w:r>
        <w:rPr>
          <w:rFonts w:ascii="Times New Roman" w:hAnsi="Times New Roman"/>
          <w:b/>
          <w:sz w:val="24"/>
        </w:rPr>
        <w:t xml:space="preserve">izmērāma siltuma </w:t>
      </w:r>
      <w:r>
        <w:rPr>
          <w:rFonts w:ascii="Times New Roman" w:hAnsi="Times New Roman"/>
          <w:sz w:val="24"/>
        </w:rPr>
        <w:t>sadale tīklā;</w:t>
      </w:r>
    </w:p>
    <w:p w14:paraId="093A148C" w14:textId="77777777" w:rsidR="00583F3E" w:rsidRPr="00583F3E" w:rsidRDefault="00FF2BA0" w:rsidP="00FF2BA0">
      <w:pPr>
        <w:widowControl/>
        <w:tabs>
          <w:tab w:val="left" w:pos="461"/>
        </w:tabs>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rPr>
        <w:t xml:space="preserve"> </w:t>
      </w:r>
      <w:r>
        <w:rPr>
          <w:rFonts w:ascii="Times New Roman" w:hAnsi="Times New Roman"/>
          <w:b/>
          <w:sz w:val="24"/>
        </w:rPr>
        <w:t xml:space="preserve">telpas siltumapgādei vai aukstumapgādei </w:t>
      </w:r>
      <w:r>
        <w:rPr>
          <w:rFonts w:ascii="Times New Roman" w:hAnsi="Times New Roman"/>
          <w:sz w:val="24"/>
        </w:rPr>
        <w:t xml:space="preserve">vai </w:t>
      </w:r>
      <w:r>
        <w:rPr>
          <w:rFonts w:ascii="Times New Roman" w:hAnsi="Times New Roman"/>
          <w:b/>
          <w:sz w:val="24"/>
        </w:rPr>
        <w:t>mājsaimniecībām paredzēta karstā ūdens</w:t>
      </w:r>
      <w:r>
        <w:rPr>
          <w:rFonts w:ascii="Times New Roman" w:hAnsi="Times New Roman"/>
          <w:sz w:val="24"/>
        </w:rPr>
        <w:t xml:space="preserve"> ražošanai;</w:t>
      </w:r>
    </w:p>
    <w:p w14:paraId="1432ED05" w14:textId="77777777" w:rsidR="00583F3E" w:rsidRPr="00583F3E" w:rsidRDefault="00FF2BA0" w:rsidP="00FF2BA0">
      <w:pPr>
        <w:widowControl/>
        <w:tabs>
          <w:tab w:val="left" w:pos="461"/>
        </w:tabs>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sz w:val="24"/>
        </w:rPr>
        <w:t xml:space="preserve"> ēkām vai objektiem, </w:t>
      </w:r>
      <w:r>
        <w:rPr>
          <w:rFonts w:ascii="Times New Roman" w:hAnsi="Times New Roman"/>
          <w:b/>
          <w:sz w:val="24"/>
        </w:rPr>
        <w:t>ko neaptver ES ETS</w:t>
      </w:r>
      <w:r>
        <w:rPr>
          <w:rFonts w:ascii="Times New Roman" w:hAnsi="Times New Roman"/>
          <w:sz w:val="24"/>
        </w:rPr>
        <w:t>;</w:t>
      </w:r>
    </w:p>
    <w:p w14:paraId="00BB881A" w14:textId="77777777" w:rsidR="00583F3E" w:rsidRPr="00583F3E" w:rsidRDefault="00FF2BA0" w:rsidP="00FF2BA0">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izņemot izmērāmo siltumu, ko izmanto produktu ražošanai un saistītām darbībām vai elektroenerģijas ražošanai.</w:t>
      </w:r>
    </w:p>
    <w:p w14:paraId="3560F229"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6336E8E2"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Piezīme. Attiecībā uz centralizētās siltumapgādes apakšiekārtu netiek noteiktas atšķirības, pamatojoties uz oglekļa emisiju pārvirzes statusu, jo viss siltums saskaņā ar definīciju tiek izmantots centralizētajai siltumapgādei, kas nav pakļauta oglekļa emisiju pārvirzes riskam. Tādēļ var noteikt ne vairāk kā vienu centralizētās siltumapgādes (</w:t>
      </w:r>
      <w:r>
        <w:rPr>
          <w:rFonts w:ascii="Times New Roman" w:hAnsi="Times New Roman"/>
          <w:i/>
        </w:rPr>
        <w:t>DH</w:t>
      </w:r>
      <w:r>
        <w:rPr>
          <w:rFonts w:ascii="Times New Roman" w:hAnsi="Times New Roman"/>
        </w:rPr>
        <w:t>) apakšiekārtu. Lai stimulētu papildu siltuma efektīvu izmantošanu centralizētās siltumapgādes vajadzībām, centralizētās siltumapgādes apakšiekārtām, aprēķinot bezmaksas kvotu apjomu, netiek piemērots oglekļa emisiju pārvirzes riska koeficienta (</w:t>
      </w:r>
      <w:r>
        <w:rPr>
          <w:rFonts w:ascii="Times New Roman" w:hAnsi="Times New Roman"/>
          <w:i/>
        </w:rPr>
        <w:t>CLEF</w:t>
      </w:r>
      <w:r>
        <w:rPr>
          <w:rFonts w:ascii="Times New Roman" w:hAnsi="Times New Roman"/>
        </w:rPr>
        <w:t>) samazinājums, kas tiek piemērots citām apakšiekārtām, kurām nav oglekļa emisiju pārvirzes</w:t>
      </w:r>
      <w:r w:rsidR="00FF2BA0">
        <w:rPr>
          <w:rStyle w:val="FootnoteReference"/>
          <w:rFonts w:ascii="Times New Roman" w:hAnsi="Times New Roman" w:cs="Times New Roman"/>
          <w:noProof/>
          <w:position w:val="6"/>
        </w:rPr>
        <w:footnoteReference w:id="16"/>
      </w:r>
      <w:r>
        <w:rPr>
          <w:rFonts w:ascii="Times New Roman" w:hAnsi="Times New Roman"/>
        </w:rPr>
        <w:t xml:space="preserve">. Toties tiek turpināta </w:t>
      </w:r>
      <w:r>
        <w:rPr>
          <w:rFonts w:ascii="Times New Roman" w:hAnsi="Times New Roman"/>
          <w:i/>
        </w:rPr>
        <w:t>CLEF</w:t>
      </w:r>
      <w:r>
        <w:rPr>
          <w:rFonts w:ascii="Times New Roman" w:hAnsi="Times New Roman"/>
        </w:rPr>
        <w:t>, kura vērtība ir 0,3, piemērošana centralizētās siltumapgādes apakšiekārtām arī pēc 2025. gada. Sīkāku informāciju sk. 2.2. iedaļā par oglekļa emisiju pārvirzi.</w:t>
      </w:r>
    </w:p>
    <w:p w14:paraId="4C911136"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744E245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Jāsniedz pierādījumi par to, ka siltums, kas tiek uzskatīts par piegādātu centralizētās siltumapgādes vajadzībām, tiek izmantots telpas siltumapgādei vai aukstumapgādei vai mājsaimniecībām paredzēta karstā ūdens ražošanai.</w:t>
      </w:r>
    </w:p>
    <w:p w14:paraId="74D655F5" w14:textId="77777777" w:rsidR="00583F3E" w:rsidRPr="00583F3E" w:rsidRDefault="00FF2BA0" w:rsidP="00FF2BA0">
      <w:pPr>
        <w:pStyle w:val="BodyText"/>
        <w:widowControl/>
        <w:tabs>
          <w:tab w:val="left" w:pos="54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Gadījumos, kad zemas temperatūras siltums</w:t>
      </w:r>
      <w:r>
        <w:rPr>
          <w:rStyle w:val="FootnoteReference"/>
          <w:rFonts w:ascii="Times New Roman" w:hAnsi="Times New Roman" w:cs="Times New Roman"/>
          <w:noProof/>
          <w:position w:val="6"/>
        </w:rPr>
        <w:footnoteReference w:id="17"/>
      </w:r>
      <w:r>
        <w:rPr>
          <w:rFonts w:ascii="Times New Roman" w:hAnsi="Times New Roman"/>
        </w:rPr>
        <w:t xml:space="preserve"> tiek piegādāts centralizētās siltumapgādes tīklam, var pieņemt, ka ir izpildīti centralizētās siltumapgādes definīcijā noteiktie nosacījumi.</w:t>
      </w:r>
    </w:p>
    <w:p w14:paraId="5DAC852C" w14:textId="77777777" w:rsidR="00583F3E" w:rsidRPr="00583F3E" w:rsidRDefault="00FF2BA0" w:rsidP="00FF2BA0">
      <w:pPr>
        <w:pStyle w:val="BodyText"/>
        <w:widowControl/>
        <w:tabs>
          <w:tab w:val="left" w:pos="54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Gadījumā, ja projektētā temperatūra ir 130 °C un augstāka, siltums tiks uzskatīts par piegādātu centralizētajai siltumapgādei tikai tādā gadījumā, ja siltuma ražotājs sniegs atbilstošus pierādījumus, piem., iesniedzot ikgadējos pārdošanas datus (visam bāzlīnijas periodam), precīzi norādot pārdotā siltuma daudzumu telpas siltumapgādes vai aukstumapgādes vajadzībām vai mājsaimniecībām paredzēta karstā ūdens ražošanai.</w:t>
      </w:r>
    </w:p>
    <w:p w14:paraId="3E7DDBDA"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7D67FF20"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lastRenderedPageBreak/>
        <w:t>Abos gadījumos siltuma ražotājam ir jāapliecina, ka uz siltumu, kas norādīts kā centralizētajai siltumapgādei piegādāts siltums, nav attiecināmas citām ETS iekārtām bez maksas piešķiramās kvotas.</w:t>
      </w:r>
    </w:p>
    <w:p w14:paraId="19B37307"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14508586"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i/>
          <w:sz w:val="24"/>
          <w:u w:val="single" w:color="000000"/>
        </w:rPr>
        <w:t>3.b solis. Attiecina attiecīgo ielaidi un izlaidi</w:t>
      </w:r>
      <w:r>
        <w:rPr>
          <w:rFonts w:ascii="Times New Roman" w:hAnsi="Times New Roman"/>
          <w:i/>
          <w:sz w:val="24"/>
        </w:rPr>
        <w:t xml:space="preserve"> (attiecīgos gadījumos)</w:t>
      </w:r>
    </w:p>
    <w:p w14:paraId="701F1F12" w14:textId="2B72C3C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t>Attiecina visu attiecīgo ielaidi (</w:t>
      </w:r>
      <w:r>
        <w:rPr>
          <w:rFonts w:ascii="Times New Roman" w:hAnsi="Times New Roman"/>
          <w:i/>
          <w:sz w:val="24"/>
        </w:rPr>
        <w:t>piem., kurināmo un/vai siltumu</w:t>
      </w:r>
      <w:r>
        <w:rPr>
          <w:rFonts w:ascii="Times New Roman" w:hAnsi="Times New Roman"/>
          <w:sz w:val="24"/>
        </w:rPr>
        <w:t>) un izlaidi (</w:t>
      </w:r>
      <w:r>
        <w:rPr>
          <w:rFonts w:ascii="Times New Roman" w:hAnsi="Times New Roman"/>
          <w:i/>
          <w:sz w:val="24"/>
        </w:rPr>
        <w:t>piem., eksportēto siltumu un emisijas, kas saistītas ar siltuma ražošanu</w:t>
      </w:r>
      <w:r>
        <w:rPr>
          <w:rFonts w:ascii="Times New Roman" w:hAnsi="Times New Roman"/>
          <w:sz w:val="24"/>
        </w:rPr>
        <w:t>) uz katru apakšiekārtu katram gadam periodā no 2014. līdz 2018. gadam vai periodā no 2019. līdz 2023. gadam (atkarībā no piešķiršanas perioda), kad iekārta ir bijusi ekspluatācijā.</w:t>
      </w:r>
    </w:p>
    <w:p w14:paraId="74F7FAFC"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Siltums, ko eksportē centralizētās siltumapgādes vajadzībām, tiek mērīts iekārtu, kas eksportē siltumu, izvades vietā vai iekārtu, kas importē siltumu, ievades vietā. Gadījumā, ja siltumu eksportē centralizētās siltumapgādes vajadzībām, kā arī citām vajadzībām, centralizētajai siltumapgādei paredzēto siltumu var būt jāmēra iekārtas, kas importē siltumu, ievades vietā atkarībā no tā, kāds ir siltuma sadales sistēmas izvietojums.</w:t>
      </w:r>
    </w:p>
    <w:p w14:paraId="686482B7" w14:textId="77777777" w:rsidR="00583F3E" w:rsidRDefault="00583F3E" w:rsidP="00583F3E">
      <w:pPr>
        <w:widowControl/>
        <w:jc w:val="both"/>
        <w:rPr>
          <w:rFonts w:ascii="Times New Roman" w:eastAsia="Calibri" w:hAnsi="Times New Roman" w:cs="Times New Roman"/>
          <w:noProof/>
          <w:position w:val="6"/>
          <w:sz w:val="24"/>
          <w:szCs w:val="24"/>
        </w:rPr>
      </w:pPr>
    </w:p>
    <w:p w14:paraId="72F79958" w14:textId="77777777" w:rsidR="00FF2BA0" w:rsidRPr="00583F3E" w:rsidRDefault="00FF2BA0" w:rsidP="00FF2BA0">
      <w:pPr>
        <w:widowControl/>
        <w:jc w:val="both"/>
        <w:rPr>
          <w:rFonts w:ascii="Times New Roman" w:eastAsia="Calibri" w:hAnsi="Times New Roman" w:cs="Times New Roman"/>
          <w:noProof/>
          <w:position w:val="6"/>
          <w:sz w:val="24"/>
          <w:szCs w:val="19"/>
        </w:rPr>
      </w:pPr>
    </w:p>
    <w:p w14:paraId="1FC2B045" w14:textId="77777777" w:rsidR="00FF2BA0" w:rsidRPr="00FF2BA0" w:rsidRDefault="00FF2BA0" w:rsidP="00FF2BA0">
      <w:pPr>
        <w:pStyle w:val="Heading2"/>
        <w:widowControl/>
        <w:tabs>
          <w:tab w:val="left" w:pos="697"/>
        </w:tabs>
        <w:ind w:left="0" w:firstLine="0"/>
        <w:jc w:val="both"/>
        <w:rPr>
          <w:rFonts w:ascii="Times New Roman" w:hAnsi="Times New Roman" w:cs="Times New Roman"/>
          <w:noProof/>
          <w:position w:val="6"/>
          <w:szCs w:val="32"/>
        </w:rPr>
      </w:pPr>
      <w:bookmarkStart w:id="27" w:name="_Toc31207933"/>
      <w:r>
        <w:rPr>
          <w:rFonts w:ascii="Times New Roman" w:hAnsi="Times New Roman"/>
          <w:szCs w:val="32"/>
        </w:rPr>
        <w:t>3.4. Kurināmā līmeņatzīmes apakšiekārtu noteikšana</w:t>
      </w:r>
      <w:bookmarkStart w:id="28" w:name="_bookmark11"/>
      <w:bookmarkEnd w:id="28"/>
      <w:bookmarkEnd w:id="27"/>
    </w:p>
    <w:p w14:paraId="0AF0FEBE" w14:textId="77777777" w:rsidR="00FF2BA0" w:rsidRPr="00FF2BA0" w:rsidRDefault="00FF2BA0" w:rsidP="00FF2BA0">
      <w:pPr>
        <w:widowControl/>
        <w:jc w:val="both"/>
        <w:rPr>
          <w:rFonts w:ascii="Times New Roman" w:hAnsi="Times New Roman" w:cs="Times New Roman"/>
          <w:iCs/>
          <w:noProof/>
          <w:position w:val="6"/>
          <w:sz w:val="24"/>
        </w:rPr>
      </w:pPr>
    </w:p>
    <w:p w14:paraId="5A6970ED" w14:textId="77777777" w:rsidR="00FF2BA0" w:rsidRDefault="00FF2BA0" w:rsidP="00583F3E">
      <w:pPr>
        <w:widowControl/>
        <w:jc w:val="both"/>
        <w:rPr>
          <w:rFonts w:ascii="Times New Roman" w:eastAsia="Calibri" w:hAnsi="Times New Roman" w:cs="Times New Roman"/>
          <w:noProof/>
          <w:position w:val="6"/>
          <w:sz w:val="24"/>
          <w:szCs w:val="24"/>
        </w:rPr>
      </w:pPr>
      <w:r>
        <w:rPr>
          <w:rFonts w:ascii="Times New Roman" w:hAnsi="Times New Roman"/>
          <w:i/>
          <w:sz w:val="24"/>
          <w:u w:val="single"/>
        </w:rPr>
        <w:t>4.a solis. Nosaka vienu vai divas kurināmā līmeņatzīmes apakšiekārtas</w:t>
      </w:r>
      <w:r>
        <w:rPr>
          <w:rStyle w:val="FootnoteReference"/>
          <w:rFonts w:ascii="Times New Roman" w:hAnsi="Times New Roman" w:cs="Times New Roman"/>
          <w:i/>
          <w:noProof/>
          <w:position w:val="6"/>
          <w:sz w:val="24"/>
          <w:u w:val="single"/>
        </w:rPr>
        <w:footnoteReference w:id="18"/>
      </w:r>
      <w:r>
        <w:rPr>
          <w:rFonts w:ascii="Times New Roman" w:hAnsi="Times New Roman"/>
          <w:i/>
          <w:sz w:val="24"/>
        </w:rPr>
        <w:t xml:space="preserve"> (attiecīgos gadījumos)</w:t>
      </w:r>
    </w:p>
    <w:p w14:paraId="1A1E0CE4" w14:textId="77777777" w:rsidR="00FF2BA0" w:rsidRDefault="00FF2BA0" w:rsidP="00583F3E">
      <w:pPr>
        <w:widowControl/>
        <w:jc w:val="both"/>
        <w:rPr>
          <w:rFonts w:ascii="Times New Roman" w:eastAsia="Calibri" w:hAnsi="Times New Roman" w:cs="Times New Roman"/>
          <w:noProof/>
          <w:position w:val="6"/>
          <w:sz w:val="24"/>
          <w:szCs w:val="24"/>
        </w:rPr>
      </w:pPr>
    </w:p>
    <w:p w14:paraId="0DE143AC"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Kurināmā līmeņatzīmes apakšiekārtas ir jānosaka, ja, kā norādīts 1. tabulā, ir jāizmanto kurināmā līmeņatzīmes pieeja, t. i., gadījumā, ja iekārta sadedzina kurināmo ārpus produkta līmeņatzīmes robežām, lai:</w:t>
      </w:r>
    </w:p>
    <w:p w14:paraId="15EDE3D8" w14:textId="77777777" w:rsidR="00583F3E" w:rsidRPr="00583F3E" w:rsidRDefault="00FF2BA0" w:rsidP="00FF2BA0">
      <w:pPr>
        <w:pStyle w:val="BodyText"/>
        <w:widowControl/>
        <w:tabs>
          <w:tab w:val="left" w:pos="54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veiktu tiešo apsildi vai dzesēšanu bez siltumnesēja (t. i., tad, kad siltumu nevar izmērīt); vai</w:t>
      </w:r>
    </w:p>
    <w:p w14:paraId="624A9E72" w14:textId="77777777" w:rsidR="00583F3E" w:rsidRPr="00583F3E" w:rsidRDefault="00FF2BA0" w:rsidP="00FF2BA0">
      <w:pPr>
        <w:pStyle w:val="BodyText"/>
        <w:widowControl/>
        <w:tabs>
          <w:tab w:val="left" w:pos="54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ražotu produktus; vai</w:t>
      </w:r>
    </w:p>
    <w:p w14:paraId="63AD7878" w14:textId="77777777" w:rsidR="00583F3E" w:rsidRPr="00583F3E" w:rsidRDefault="00FF2BA0" w:rsidP="00FF2BA0">
      <w:pPr>
        <w:pStyle w:val="BodyText"/>
        <w:widowControl/>
        <w:tabs>
          <w:tab w:val="left" w:pos="54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ražotu mehānisko enerģiju, kas netiek izmantota elektroenerģijas ražošanai,</w:t>
      </w:r>
    </w:p>
    <w:p w14:paraId="10F37381"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66A2E285"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ar nosacījumu, ka:</w:t>
      </w:r>
    </w:p>
    <w:p w14:paraId="11D8ED2C" w14:textId="77777777" w:rsidR="00583F3E" w:rsidRPr="00583F3E" w:rsidRDefault="00FF2BA0" w:rsidP="00FF2BA0">
      <w:pPr>
        <w:pStyle w:val="BodyText"/>
        <w:widowControl/>
        <w:tabs>
          <w:tab w:val="left" w:pos="54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kurināmais netiek patērēts elektroenerģijas ražošanai, un</w:t>
      </w:r>
    </w:p>
    <w:p w14:paraId="4A0F7731" w14:textId="77777777" w:rsidR="00583F3E" w:rsidRPr="00583F3E" w:rsidRDefault="00FF2BA0" w:rsidP="00FF2BA0">
      <w:pPr>
        <w:pStyle w:val="BodyText"/>
        <w:widowControl/>
        <w:tabs>
          <w:tab w:val="left" w:pos="54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kurināmais netiek sadedzināts lāpā, ja vien to nav paredzēts sadedzināt lāpā drošības apsvērumu dēļ.</w:t>
      </w:r>
    </w:p>
    <w:p w14:paraId="4E5C7435"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t xml:space="preserve">Sadedzināšana lāpā drošības apsvērumu dēļ ir tāda dežūrliesmas uzturēšanai nepieciešamā kurināmā un ļoti mainīga procesa gāzu vai atlikušo gāzu daudzuma sadedzināšana atmosfēriskiem traucējumiem pakļautā blokā, kas drošības apsvērumu dēļ nepārprotami prasīta attiecīgajās iekārtas atļaujās. </w:t>
      </w:r>
      <w:r>
        <w:rPr>
          <w:rFonts w:ascii="Times New Roman" w:hAnsi="Times New Roman"/>
          <w:i/>
          <w:sz w:val="24"/>
        </w:rPr>
        <w:t>Papildu paskaidrojumus par šo definīciju, lūdzu, skatīt norādījumu dokumentā Nr. 8 par atlikumgāzēm</w:t>
      </w:r>
      <w:r>
        <w:rPr>
          <w:rFonts w:ascii="Times New Roman" w:hAnsi="Times New Roman"/>
          <w:sz w:val="24"/>
        </w:rPr>
        <w:t>, un</w:t>
      </w:r>
    </w:p>
    <w:p w14:paraId="4BE2F430" w14:textId="77777777" w:rsidR="00583F3E" w:rsidRPr="00583F3E" w:rsidRDefault="00FF2BA0" w:rsidP="00FF2BA0">
      <w:pPr>
        <w:pStyle w:val="BodyText"/>
        <w:widowControl/>
        <w:tabs>
          <w:tab w:val="left" w:pos="48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siltums no procesa netiek atgūts (par ko saskaņā ar citu kvotu piešķiršanas metodoloģiju tiktu saņemtas kvotas, ja vien tas netiek izmantots elektroenerģijas ražošanai).</w:t>
      </w:r>
    </w:p>
    <w:p w14:paraId="5CBEB498"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Lai šajā situācijā izvairītos no divkāršas uzskaites, kurināmā līmeņatzīmes apakšiekārtas darbības līmenis ir jākoriģē, atskaitot izmērāma atgūtā siltuma daudzumu, uz ko attiecas produkta līmeņatzīme vai siltuma līmeņatzīmes apakšiekārta vai kas tiek izmantots elektroenerģijas ražošanai un kas ir dalīts ar 90 % virtuālās ražošanas lietderības</w:t>
      </w:r>
      <w:r w:rsidR="002C00CD">
        <w:rPr>
          <w:rStyle w:val="FootnoteReference"/>
          <w:rFonts w:ascii="Times New Roman" w:hAnsi="Times New Roman" w:cs="Times New Roman"/>
          <w:noProof/>
          <w:position w:val="6"/>
        </w:rPr>
        <w:footnoteReference w:id="19"/>
      </w:r>
      <w:r>
        <w:rPr>
          <w:rFonts w:ascii="Times New Roman" w:hAnsi="Times New Roman"/>
        </w:rPr>
        <w:t>.</w:t>
      </w:r>
    </w:p>
    <w:p w14:paraId="1B231F49"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2D73F4DC"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 xml:space="preserve">Piezīme. Kurināmo, kas tieši sadedzināts atkritumu apstrādes vajadzībām (bez izmērāma siltuma atgūšanas), nevar uzskatīt par tādu, par ko var pretendēt uz kvotām kā kurināmā līmeņatzīmes apakšiekārta, jo tas nav saistīts ar nevienu no trim iepriekš uzskaitītajām </w:t>
      </w:r>
      <w:r>
        <w:rPr>
          <w:rFonts w:ascii="Times New Roman" w:hAnsi="Times New Roman"/>
          <w:i/>
          <w:sz w:val="24"/>
        </w:rPr>
        <w:lastRenderedPageBreak/>
        <w:t>ražošanas darbībām (tiešo apsildi/dzesēšanu, produktu ražošanu, mehāniskās enerģijas ražošanu).</w:t>
      </w:r>
    </w:p>
    <w:p w14:paraId="54855E62" w14:textId="77777777" w:rsidR="00583F3E" w:rsidRPr="00583F3E" w:rsidRDefault="00583F3E" w:rsidP="00583F3E">
      <w:pPr>
        <w:widowControl/>
        <w:jc w:val="both"/>
        <w:rPr>
          <w:rFonts w:ascii="Times New Roman" w:eastAsia="Calibri" w:hAnsi="Times New Roman" w:cs="Times New Roman"/>
          <w:i/>
          <w:noProof/>
          <w:position w:val="6"/>
          <w:sz w:val="24"/>
          <w:szCs w:val="23"/>
        </w:rPr>
      </w:pPr>
    </w:p>
    <w:p w14:paraId="1B82B3DD"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Tas, vai ir jānosaka viena vai divas kurināmā līmeņatzīmes apakšiekārtas, ir atkarīgs no to produktu oglekļa emisiju pārvirzes statusa, kuriem šis kurināmais tiek sadedzināts: kurināmais, kas tiek sadedzināts tāda produkta ražošanas procesā, kas uzskatāms par pakļautu ievērojamam oglekļa emisiju pārvirzes riskam, ir jāietver citā apakšiekārtā nekā tas kurināmais, kas tiek sadedzināts tāda produkta ražošanas procesā, kas nav uzskatāms par pakļautu ievērojamam oglekļa emisiju pārvirzes riskam. </w:t>
      </w:r>
      <w:r>
        <w:rPr>
          <w:rFonts w:ascii="Times New Roman" w:hAnsi="Times New Roman"/>
          <w:i/>
        </w:rPr>
        <w:t>Sīkāku informāciju par šo tēmu sk. 2.2. iedaļā par oglekļa emisiju pārvirzi.</w:t>
      </w:r>
    </w:p>
    <w:p w14:paraId="003AEC19"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6F802125"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i/>
          <w:sz w:val="24"/>
          <w:u w:val="single" w:color="000000"/>
        </w:rPr>
        <w:t>4.b solis. Attiecina attiecīgo ielaidi un izlaidi</w:t>
      </w:r>
      <w:r>
        <w:rPr>
          <w:rFonts w:ascii="Times New Roman" w:hAnsi="Times New Roman"/>
          <w:i/>
          <w:sz w:val="24"/>
        </w:rPr>
        <w:t xml:space="preserve"> (attiecīgos gadījumos)</w:t>
      </w:r>
    </w:p>
    <w:p w14:paraId="21846CC6" w14:textId="2152C4A6"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t>Attiecina visu attiecīgo ielaidi (</w:t>
      </w:r>
      <w:r>
        <w:rPr>
          <w:rFonts w:ascii="Times New Roman" w:hAnsi="Times New Roman"/>
          <w:i/>
          <w:sz w:val="24"/>
        </w:rPr>
        <w:t>sadedzināto kurināmo</w:t>
      </w:r>
      <w:r>
        <w:rPr>
          <w:rFonts w:ascii="Times New Roman" w:hAnsi="Times New Roman"/>
          <w:sz w:val="24"/>
        </w:rPr>
        <w:t>) un izlaidi (</w:t>
      </w:r>
      <w:r>
        <w:rPr>
          <w:rFonts w:ascii="Times New Roman" w:hAnsi="Times New Roman"/>
          <w:i/>
          <w:sz w:val="24"/>
        </w:rPr>
        <w:t>emisijas, kas saistītas ar sadedzināto kurināmo</w:t>
      </w:r>
      <w:r>
        <w:rPr>
          <w:rFonts w:ascii="Times New Roman" w:hAnsi="Times New Roman"/>
          <w:sz w:val="24"/>
        </w:rPr>
        <w:t>) uz katru apakšiekārtu katram gadam periodā no 2014. līdz 2018. gadam vai periodā no 2019. līdz 2023. gadam (atkarībā no piešķiršanas perioda), kad iekārta ir bijusi ekspluatācijā.</w:t>
      </w:r>
    </w:p>
    <w:p w14:paraId="704DB22E" w14:textId="77777777" w:rsidR="00583F3E" w:rsidRDefault="00583F3E" w:rsidP="00583F3E">
      <w:pPr>
        <w:widowControl/>
        <w:jc w:val="both"/>
        <w:rPr>
          <w:rFonts w:ascii="Times New Roman" w:eastAsia="Calibri" w:hAnsi="Times New Roman" w:cs="Times New Roman"/>
          <w:noProof/>
          <w:position w:val="6"/>
          <w:sz w:val="24"/>
          <w:szCs w:val="24"/>
        </w:rPr>
      </w:pPr>
    </w:p>
    <w:p w14:paraId="6FB98F23"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3CB51871" w14:textId="77777777" w:rsidR="00583F3E" w:rsidRPr="00FF2BA0" w:rsidRDefault="00FF2BA0" w:rsidP="00FF2BA0">
      <w:pPr>
        <w:pStyle w:val="Heading2"/>
        <w:widowControl/>
        <w:tabs>
          <w:tab w:val="left" w:pos="697"/>
        </w:tabs>
        <w:ind w:left="0" w:firstLine="0"/>
        <w:jc w:val="both"/>
        <w:rPr>
          <w:rFonts w:ascii="Times New Roman" w:hAnsi="Times New Roman" w:cs="Times New Roman"/>
          <w:noProof/>
          <w:position w:val="6"/>
          <w:szCs w:val="32"/>
        </w:rPr>
      </w:pPr>
      <w:bookmarkStart w:id="29" w:name="_Toc31207934"/>
      <w:r>
        <w:rPr>
          <w:rFonts w:ascii="Times New Roman" w:hAnsi="Times New Roman"/>
          <w:szCs w:val="32"/>
        </w:rPr>
        <w:t>3.5. Procesa emisiju apakšiekārtu noteikšana</w:t>
      </w:r>
      <w:bookmarkStart w:id="30" w:name="_bookmark12"/>
      <w:bookmarkEnd w:id="30"/>
      <w:bookmarkEnd w:id="29"/>
    </w:p>
    <w:p w14:paraId="0A778218" w14:textId="77777777" w:rsidR="00FF2BA0" w:rsidRPr="002C00CD" w:rsidRDefault="00FF2BA0" w:rsidP="00583F3E">
      <w:pPr>
        <w:widowControl/>
        <w:jc w:val="both"/>
        <w:rPr>
          <w:rFonts w:ascii="Times New Roman" w:hAnsi="Times New Roman" w:cs="Times New Roman"/>
          <w:iCs/>
          <w:noProof/>
          <w:position w:val="6"/>
          <w:sz w:val="24"/>
        </w:rPr>
      </w:pPr>
    </w:p>
    <w:p w14:paraId="25C67A6F" w14:textId="77777777" w:rsidR="002C00CD" w:rsidRPr="002C00CD" w:rsidRDefault="002C00CD" w:rsidP="00583F3E">
      <w:pPr>
        <w:widowControl/>
        <w:jc w:val="both"/>
        <w:rPr>
          <w:rFonts w:ascii="Times New Roman" w:hAnsi="Times New Roman" w:cs="Times New Roman"/>
          <w:iCs/>
          <w:noProof/>
          <w:position w:val="6"/>
          <w:sz w:val="24"/>
        </w:rPr>
      </w:pPr>
      <w:r>
        <w:rPr>
          <w:rFonts w:ascii="Times New Roman" w:hAnsi="Times New Roman"/>
          <w:i/>
          <w:sz w:val="24"/>
          <w:u w:val="single"/>
        </w:rPr>
        <w:t>5.a solis. Nosaka vienu vai divas procesa emisiju apakšiekārtas</w:t>
      </w:r>
      <w:r>
        <w:rPr>
          <w:rStyle w:val="FootnoteReference"/>
          <w:rFonts w:ascii="Times New Roman" w:hAnsi="Times New Roman" w:cs="Times New Roman"/>
          <w:i/>
          <w:noProof/>
          <w:position w:val="6"/>
          <w:sz w:val="24"/>
          <w:u w:val="single"/>
        </w:rPr>
        <w:footnoteReference w:id="20"/>
      </w:r>
      <w:r>
        <w:rPr>
          <w:rFonts w:ascii="Times New Roman" w:hAnsi="Times New Roman"/>
          <w:i/>
          <w:sz w:val="24"/>
        </w:rPr>
        <w:t xml:space="preserve"> (attiecīgos gadījumos)</w:t>
      </w:r>
    </w:p>
    <w:p w14:paraId="4A53B224"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Viena vai divas procesa emisiju apakšiekārtas ir jānosaka, ja iekārtai ir procesa emisijas ārpus produkta līmeņatzīmes robežām; šo procesa emisiju definīcijas ir šādas:</w:t>
      </w:r>
    </w:p>
    <w:p w14:paraId="07E5E34D" w14:textId="77777777" w:rsidR="00583F3E" w:rsidRPr="00583F3E" w:rsidRDefault="009E2912" w:rsidP="009E2912">
      <w:pPr>
        <w:pStyle w:val="BodyText"/>
        <w:widowControl/>
        <w:tabs>
          <w:tab w:val="left" w:pos="48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 veids: Direktīvas 2003/87/EK I pielikumā uzskaitītās to siltumnīcefekta gāzu emisijas, kas nav CO</w:t>
      </w:r>
      <w:r>
        <w:rPr>
          <w:rFonts w:ascii="Times New Roman" w:hAnsi="Times New Roman"/>
          <w:vertAlign w:val="subscript"/>
        </w:rPr>
        <w:t>2</w:t>
      </w:r>
      <w:r>
        <w:rPr>
          <w:rFonts w:ascii="Times New Roman" w:hAnsi="Times New Roman"/>
        </w:rPr>
        <w:t>; pašreiz N</w:t>
      </w:r>
      <w:r>
        <w:rPr>
          <w:rFonts w:ascii="Times New Roman" w:hAnsi="Times New Roman"/>
          <w:vertAlign w:val="subscript"/>
        </w:rPr>
        <w:t>2</w:t>
      </w:r>
      <w:r>
        <w:rPr>
          <w:rFonts w:ascii="Times New Roman" w:hAnsi="Times New Roman"/>
        </w:rPr>
        <w:t>O ir vienīgā siltumnīcefekta gāze, kas nav CO</w:t>
      </w:r>
      <w:r>
        <w:rPr>
          <w:rFonts w:ascii="Times New Roman" w:hAnsi="Times New Roman"/>
          <w:vertAlign w:val="subscript"/>
        </w:rPr>
        <w:t>2</w:t>
      </w:r>
      <w:r>
        <w:rPr>
          <w:rFonts w:ascii="Times New Roman" w:hAnsi="Times New Roman"/>
        </w:rPr>
        <w:t xml:space="preserve"> un kas ietverta ES ETS produktiem, kuriem nav līmeņatzīmju (tikai emisijām, kas rodas, ražojot glioksālu un glioksālskābi, un turpmākām darbībām, kas potenciāli tiek iekļautas saskaņā ar šīs direktīvas 24. pantu, piemēram, kaprolaktāma ražošanai). N</w:t>
      </w:r>
      <w:r>
        <w:rPr>
          <w:rFonts w:ascii="Times New Roman" w:hAnsi="Times New Roman"/>
          <w:vertAlign w:val="subscript"/>
        </w:rPr>
        <w:t>2</w:t>
      </w:r>
      <w:r>
        <w:rPr>
          <w:rFonts w:ascii="Times New Roman" w:hAnsi="Times New Roman"/>
        </w:rPr>
        <w:t>O globālās sasilšanas potenciāls ir 298 </w:t>
      </w:r>
      <w:r>
        <w:rPr>
          <w:rFonts w:ascii="Times New Roman" w:hAnsi="Times New Roman"/>
          <w:i/>
          <w:iCs/>
        </w:rPr>
        <w:t>t</w:t>
      </w:r>
      <w:r>
        <w:rPr>
          <w:rFonts w:ascii="Times New Roman" w:hAnsi="Times New Roman"/>
        </w:rPr>
        <w:t> CO</w:t>
      </w:r>
      <w:r>
        <w:rPr>
          <w:rFonts w:ascii="Times New Roman" w:hAnsi="Times New Roman"/>
          <w:vertAlign w:val="subscript"/>
        </w:rPr>
        <w:t>2</w:t>
      </w:r>
      <w:r>
        <w:rPr>
          <w:rFonts w:ascii="Times New Roman" w:hAnsi="Times New Roman"/>
        </w:rPr>
        <w:t xml:space="preserve"> ekv./</w:t>
      </w:r>
      <w:r>
        <w:rPr>
          <w:rFonts w:ascii="Times New Roman" w:hAnsi="Times New Roman"/>
          <w:i/>
          <w:iCs/>
        </w:rPr>
        <w:t>t</w:t>
      </w:r>
      <w:r>
        <w:rPr>
          <w:rFonts w:ascii="Times New Roman" w:hAnsi="Times New Roman"/>
        </w:rPr>
        <w:t> N</w:t>
      </w:r>
      <w:r>
        <w:rPr>
          <w:rFonts w:ascii="Times New Roman" w:hAnsi="Times New Roman"/>
          <w:vertAlign w:val="subscript"/>
        </w:rPr>
        <w:t>2</w:t>
      </w:r>
      <w:r>
        <w:rPr>
          <w:rFonts w:ascii="Times New Roman" w:hAnsi="Times New Roman"/>
        </w:rPr>
        <w:t>O</w:t>
      </w:r>
      <w:r>
        <w:rPr>
          <w:rStyle w:val="FootnoteReference"/>
          <w:rFonts w:ascii="Times New Roman" w:hAnsi="Times New Roman" w:cs="Times New Roman"/>
          <w:noProof/>
          <w:position w:val="6"/>
        </w:rPr>
        <w:footnoteReference w:id="21"/>
      </w:r>
      <w:r>
        <w:rPr>
          <w:rFonts w:ascii="Times New Roman" w:hAnsi="Times New Roman"/>
        </w:rPr>
        <w:t>.</w:t>
      </w:r>
    </w:p>
    <w:p w14:paraId="5601E696" w14:textId="1E4C2016" w:rsidR="00583F3E" w:rsidRPr="00583F3E" w:rsidRDefault="009E2912" w:rsidP="00992B49">
      <w:pPr>
        <w:pStyle w:val="BodyText"/>
        <w:widowControl/>
        <w:tabs>
          <w:tab w:val="left" w:pos="48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b veids: CO</w:t>
      </w:r>
      <w:r>
        <w:rPr>
          <w:rFonts w:ascii="Times New Roman" w:hAnsi="Times New Roman"/>
          <w:vertAlign w:val="subscript"/>
        </w:rPr>
        <w:t>2</w:t>
      </w:r>
      <w:r>
        <w:rPr>
          <w:rFonts w:ascii="Times New Roman" w:hAnsi="Times New Roman"/>
        </w:rPr>
        <w:t xml:space="preserve"> emisijas</w:t>
      </w:r>
      <w:r>
        <w:rPr>
          <w:rStyle w:val="FootnoteReference"/>
          <w:rFonts w:ascii="Times New Roman" w:hAnsi="Times New Roman" w:cs="Times New Roman"/>
          <w:noProof/>
          <w:position w:val="6"/>
        </w:rPr>
        <w:footnoteReference w:id="22"/>
      </w:r>
      <w:r>
        <w:rPr>
          <w:rFonts w:ascii="Times New Roman" w:hAnsi="Times New Roman"/>
        </w:rPr>
        <w:t xml:space="preserve">, kas rodas jebkuras no 3. tabulā uzskaitītajām darbībām tiešā rezultātā (un </w:t>
      </w:r>
      <w:r>
        <w:rPr>
          <w:rFonts w:ascii="Times New Roman" w:hAnsi="Times New Roman"/>
          <w:i/>
        </w:rPr>
        <w:t>nav</w:t>
      </w:r>
      <w:r w:rsidR="00992B49">
        <w:rPr>
          <w:rFonts w:ascii="Times New Roman" w:hAnsi="Times New Roman"/>
          <w:i/>
        </w:rPr>
        <w:t xml:space="preserve"> </w:t>
      </w:r>
      <w:r w:rsidR="00583F3E">
        <w:rPr>
          <w:rFonts w:ascii="Times New Roman" w:hAnsi="Times New Roman"/>
        </w:rPr>
        <w:t>radušās nepilnīgi oksidētā oglekļa, kas ražots, veicot šīs darbības, sadedzināšanas rezultātā; tādā veidā “netiešās CO</w:t>
      </w:r>
      <w:r w:rsidR="00583F3E">
        <w:rPr>
          <w:rFonts w:ascii="Times New Roman" w:hAnsi="Times New Roman"/>
          <w:vertAlign w:val="subscript"/>
        </w:rPr>
        <w:t>2</w:t>
      </w:r>
      <w:r w:rsidR="00583F3E">
        <w:rPr>
          <w:rFonts w:ascii="Times New Roman" w:hAnsi="Times New Roman"/>
        </w:rPr>
        <w:t xml:space="preserve"> emisijas” principā atbilst c) veidam);</w:t>
      </w:r>
    </w:p>
    <w:p w14:paraId="21F7E0FC" w14:textId="77777777" w:rsidR="00583F3E" w:rsidRPr="00583F3E" w:rsidRDefault="009E2912" w:rsidP="009E2912">
      <w:pPr>
        <w:widowControl/>
        <w:tabs>
          <w:tab w:val="left" w:pos="481"/>
        </w:tabs>
        <w:jc w:val="both"/>
        <w:rPr>
          <w:rFonts w:ascii="Times New Roman" w:eastAsia="Calibri" w:hAnsi="Times New Roman" w:cs="Times New Roman"/>
          <w:noProof/>
          <w:position w:val="6"/>
          <w:sz w:val="24"/>
          <w:szCs w:val="24"/>
        </w:rPr>
      </w:pPr>
      <w:r>
        <w:rPr>
          <w:rFonts w:ascii="Times New Roman" w:hAnsi="Times New Roman"/>
        </w:rPr>
        <w:sym w:font="Symbol" w:char="F0B7"/>
      </w:r>
      <w:r>
        <w:rPr>
          <w:rFonts w:ascii="Times New Roman" w:hAnsi="Times New Roman"/>
        </w:rPr>
        <w:t xml:space="preserve"> </w:t>
      </w:r>
      <w:r>
        <w:rPr>
          <w:rFonts w:ascii="Times New Roman" w:hAnsi="Times New Roman"/>
          <w:sz w:val="24"/>
        </w:rPr>
        <w:t>c veids: emisijas, kas rodas, sadedzinot atlikumgāzes, lai ražotu izmērāmu siltumu, neizmērāmu siltumu vai elektroenerģiju, MĪNUS līdzvērtīgās emisijas, kas rodas, sadedzinot tādu daudzumu dabasgāzes, kuras enerģētiskais saturs ir vienāds ar šo gāzu enerģētisko saturu</w:t>
      </w:r>
      <w:r>
        <w:rPr>
          <w:rStyle w:val="FootnoteReference"/>
          <w:rFonts w:ascii="Times New Roman" w:hAnsi="Times New Roman" w:cs="Times New Roman"/>
          <w:noProof/>
          <w:position w:val="6"/>
          <w:sz w:val="24"/>
        </w:rPr>
        <w:footnoteReference w:id="23"/>
      </w:r>
      <w:r>
        <w:rPr>
          <w:rFonts w:ascii="Times New Roman" w:hAnsi="Times New Roman"/>
          <w:sz w:val="24"/>
        </w:rPr>
        <w:t xml:space="preserve">; </w:t>
      </w:r>
      <w:r>
        <w:rPr>
          <w:rFonts w:ascii="Times New Roman" w:hAnsi="Times New Roman"/>
          <w:i/>
          <w:sz w:val="24"/>
        </w:rPr>
        <w:t>papildu informāciju par atlikumgāzu definīciju, b un c veida emisiju atšķirībām un atbilstošo piešķiramo kvotu apjomu sk. Norādījumu dokumentā Nr. 8 par atlikumgāzēm un procesa emisiju apakšiekārtu</w:t>
      </w:r>
      <w:r>
        <w:rPr>
          <w:rFonts w:ascii="Times New Roman" w:hAnsi="Times New Roman"/>
          <w:sz w:val="24"/>
        </w:rPr>
        <w:t>.</w:t>
      </w:r>
    </w:p>
    <w:p w14:paraId="3D7EEAE1" w14:textId="77777777" w:rsidR="00583F3E" w:rsidRPr="00583F3E" w:rsidRDefault="00583F3E" w:rsidP="00583F3E">
      <w:pPr>
        <w:widowControl/>
        <w:jc w:val="both"/>
        <w:rPr>
          <w:rFonts w:ascii="Times New Roman" w:eastAsia="Calibri" w:hAnsi="Times New Roman" w:cs="Times New Roman"/>
          <w:i/>
          <w:noProof/>
          <w:position w:val="6"/>
          <w:sz w:val="24"/>
          <w:szCs w:val="24"/>
        </w:rPr>
      </w:pPr>
    </w:p>
    <w:p w14:paraId="49059094"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lastRenderedPageBreak/>
        <w:t xml:space="preserve">Saskaņā ar </w:t>
      </w:r>
      <w:r>
        <w:rPr>
          <w:rFonts w:ascii="Times New Roman" w:hAnsi="Times New Roman"/>
          <w:i/>
        </w:rPr>
        <w:t>FAR</w:t>
      </w:r>
      <w:r>
        <w:rPr>
          <w:rFonts w:ascii="Times New Roman" w:hAnsi="Times New Roman"/>
        </w:rPr>
        <w:t xml:space="preserve"> 10. panta k) apakšpunktu gadījumā, ja siltums tiek atgūts no procesiem, ko aptver procesa emisiju apakšiekārta, lai izvairītos no divkāršas uzskaites, procesa emisiju apakšiekārtas darbības līmenis ir jākoriģē, atskaitot izmērāma atgūtā siltuma daudzumu, uz ko attiecas produkta līmeņatzīme vai siltuma līmeņatzīmes apakšiekārta vai kas tiek izmantots elektroenerģijas ražošanai un kas ir dalīts ar 90 % virtuālās ražošanas lietderības.</w:t>
      </w:r>
    </w:p>
    <w:p w14:paraId="75886B9C"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0D952474"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Tas, vai ir jānosaka viena vai divas apakšiekārtas, pamatojoties uz procesa emisiju pieeju, ir atkarīgs no to produktu oglekļa emisiju pārvirzes statusa, kuru ražošanas procesā tiek emitētas procesa emisijas: emisijas, kas rodas tāda produkta ražošanas procesā, kas uzskatāms par pakļautu ievērojamam oglekļa emisiju pārvirzes riskam, ir jāietver citā apakšiekārtā nekā emisijas, kas rodas tāda produkta ražošanas procesā, kas nav uzskatāms par pakļautu ievērojamam oglekļa emisiju pārvirzes riskam (sīkāku informāciju par šo tēmu sk. 2.2. iedaļā par oglekļa emisiju pārvirzi).</w:t>
      </w:r>
    </w:p>
    <w:p w14:paraId="2DA43575"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0FA38FA4"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Attiecībā uz turpmākajā tabulā norādītajiem procesiem, ja vien tie nav daļa no produkta līmeņatzīmes apakšiekārtas, ir jāizvērtē, vai oglekli saturošu materiālu izmantošanas mērķis nav siltuma ražošana, un, ja šis mērķis nav siltuma ražošana, jānosaka, kurš mērķis ir jāuzskata par pamatmērķi. Vienīgi tādā gadījumā, ja siltuma ražošana nav uzskatāma par procesa pamatmērķi, tas ietver procesa emisiju apakšiekārtu.</w:t>
      </w:r>
    </w:p>
    <w:p w14:paraId="5A1DC6FD"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4367CF7F" w14:textId="77777777" w:rsidR="00583F3E" w:rsidRPr="00583F3E" w:rsidRDefault="00583F3E" w:rsidP="00583F3E">
      <w:pPr>
        <w:widowControl/>
        <w:jc w:val="both"/>
        <w:rPr>
          <w:rFonts w:ascii="Times New Roman" w:hAnsi="Times New Roman" w:cs="Times New Roman"/>
          <w:b/>
          <w:noProof/>
          <w:position w:val="6"/>
          <w:sz w:val="24"/>
        </w:rPr>
      </w:pPr>
      <w:r>
        <w:rPr>
          <w:rFonts w:ascii="Times New Roman" w:hAnsi="Times New Roman"/>
          <w:b/>
          <w:sz w:val="24"/>
        </w:rPr>
        <w:t>3. tabula. To darbību definīcijas un piemēri, uz kurām attiecas procesa emisiju apakšiekārtu definīcija (</w:t>
      </w:r>
      <w:r>
        <w:rPr>
          <w:rFonts w:ascii="Times New Roman" w:hAnsi="Times New Roman"/>
          <w:b/>
          <w:i/>
          <w:sz w:val="24"/>
        </w:rPr>
        <w:t>FAR</w:t>
      </w:r>
      <w:r>
        <w:rPr>
          <w:rFonts w:ascii="Times New Roman" w:hAnsi="Times New Roman"/>
          <w:b/>
          <w:sz w:val="24"/>
        </w:rPr>
        <w:t xml:space="preserve"> 2. panta 10. punkts)</w:t>
      </w:r>
      <w:bookmarkStart w:id="31" w:name="_bookmark13"/>
      <w:bookmarkEnd w:id="31"/>
    </w:p>
    <w:tbl>
      <w:tblPr>
        <w:tblStyle w:val="TableNormal1"/>
        <w:tblW w:w="5000" w:type="pct"/>
        <w:tblLook w:val="01E0" w:firstRow="1" w:lastRow="1" w:firstColumn="1" w:lastColumn="1" w:noHBand="0" w:noVBand="0"/>
      </w:tblPr>
      <w:tblGrid>
        <w:gridCol w:w="4417"/>
        <w:gridCol w:w="4667"/>
      </w:tblGrid>
      <w:tr w:rsidR="00583F3E" w:rsidRPr="00583F3E" w14:paraId="48AA14D9" w14:textId="77777777" w:rsidTr="009E2912">
        <w:tc>
          <w:tcPr>
            <w:tcW w:w="2431" w:type="pct"/>
            <w:tcBorders>
              <w:top w:val="single" w:sz="5" w:space="0" w:color="000000"/>
              <w:left w:val="single" w:sz="5" w:space="0" w:color="000000"/>
              <w:bottom w:val="single" w:sz="5" w:space="0" w:color="000000"/>
              <w:right w:val="single" w:sz="5" w:space="0" w:color="000000"/>
            </w:tcBorders>
            <w:vAlign w:val="center"/>
          </w:tcPr>
          <w:p w14:paraId="00901115" w14:textId="77777777" w:rsidR="00583F3E" w:rsidRPr="00583F3E" w:rsidRDefault="00583F3E" w:rsidP="009E2912">
            <w:pPr>
              <w:pStyle w:val="TableParagraph"/>
              <w:widowControl/>
              <w:rPr>
                <w:rFonts w:ascii="Times New Roman" w:eastAsia="Calibri" w:hAnsi="Times New Roman" w:cs="Times New Roman"/>
                <w:noProof/>
                <w:position w:val="6"/>
                <w:sz w:val="24"/>
                <w:szCs w:val="16"/>
              </w:rPr>
            </w:pPr>
            <w:r>
              <w:rPr>
                <w:rFonts w:ascii="Times New Roman" w:hAnsi="Times New Roman"/>
                <w:b/>
                <w:sz w:val="24"/>
              </w:rPr>
              <w:t>Darbības definīcija</w:t>
            </w:r>
            <w:r w:rsidR="009E2912">
              <w:rPr>
                <w:rStyle w:val="FootnoteReference"/>
                <w:rFonts w:ascii="Times New Roman" w:hAnsi="Times New Roman" w:cs="Times New Roman"/>
                <w:b/>
                <w:noProof/>
                <w:position w:val="6"/>
                <w:sz w:val="24"/>
              </w:rPr>
              <w:footnoteReference w:id="24"/>
            </w:r>
          </w:p>
        </w:tc>
        <w:tc>
          <w:tcPr>
            <w:tcW w:w="2569" w:type="pct"/>
            <w:tcBorders>
              <w:top w:val="single" w:sz="5" w:space="0" w:color="000000"/>
              <w:left w:val="single" w:sz="5" w:space="0" w:color="000000"/>
              <w:bottom w:val="single" w:sz="5" w:space="0" w:color="000000"/>
              <w:right w:val="single" w:sz="5" w:space="0" w:color="000000"/>
            </w:tcBorders>
            <w:vAlign w:val="center"/>
          </w:tcPr>
          <w:p w14:paraId="31EC1338" w14:textId="77777777" w:rsidR="00583F3E" w:rsidRPr="00583F3E" w:rsidRDefault="00583F3E" w:rsidP="009E2912">
            <w:pPr>
              <w:pStyle w:val="TableParagraph"/>
              <w:widowControl/>
              <w:rPr>
                <w:rFonts w:ascii="Times New Roman" w:hAnsi="Times New Roman" w:cs="Times New Roman"/>
                <w:b/>
                <w:noProof/>
                <w:position w:val="6"/>
                <w:sz w:val="24"/>
              </w:rPr>
            </w:pPr>
            <w:r>
              <w:rPr>
                <w:rFonts w:ascii="Times New Roman" w:hAnsi="Times New Roman"/>
                <w:b/>
                <w:sz w:val="24"/>
              </w:rPr>
              <w:t>Piemērs</w:t>
            </w:r>
          </w:p>
        </w:tc>
      </w:tr>
      <w:tr w:rsidR="00583F3E" w:rsidRPr="00583F3E" w14:paraId="58846F98" w14:textId="77777777" w:rsidTr="009E2912">
        <w:tc>
          <w:tcPr>
            <w:tcW w:w="2431" w:type="pct"/>
            <w:tcBorders>
              <w:top w:val="single" w:sz="5" w:space="0" w:color="000000"/>
              <w:left w:val="single" w:sz="5" w:space="0" w:color="000000"/>
              <w:bottom w:val="single" w:sz="5" w:space="0" w:color="000000"/>
              <w:right w:val="single" w:sz="5" w:space="0" w:color="000000"/>
            </w:tcBorders>
            <w:vAlign w:val="center"/>
          </w:tcPr>
          <w:p w14:paraId="3FEEB571"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Metāla savienojumu ķīmiskā, elektrolītiskā vai pirometalurģiskā reducēšana rūdās, koncentrātos un sekundārajos materiālos</w:t>
            </w:r>
          </w:p>
        </w:tc>
        <w:tc>
          <w:tcPr>
            <w:tcW w:w="2569" w:type="pct"/>
            <w:tcBorders>
              <w:top w:val="single" w:sz="5" w:space="0" w:color="000000"/>
              <w:left w:val="single" w:sz="5" w:space="0" w:color="000000"/>
              <w:bottom w:val="single" w:sz="5" w:space="0" w:color="000000"/>
              <w:right w:val="single" w:sz="5" w:space="0" w:color="000000"/>
            </w:tcBorders>
            <w:vAlign w:val="center"/>
          </w:tcPr>
          <w:p w14:paraId="43B381B9"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Vara ražošana no vara karbonātu minerāliem</w:t>
            </w:r>
          </w:p>
        </w:tc>
      </w:tr>
      <w:tr w:rsidR="00583F3E" w:rsidRPr="00583F3E" w14:paraId="5E66EAB1" w14:textId="77777777" w:rsidTr="009E2912">
        <w:tc>
          <w:tcPr>
            <w:tcW w:w="2431" w:type="pct"/>
            <w:tcBorders>
              <w:top w:val="single" w:sz="5" w:space="0" w:color="000000"/>
              <w:left w:val="single" w:sz="5" w:space="0" w:color="000000"/>
              <w:bottom w:val="single" w:sz="5" w:space="0" w:color="000000"/>
              <w:right w:val="single" w:sz="5" w:space="0" w:color="000000"/>
            </w:tcBorders>
            <w:vAlign w:val="center"/>
          </w:tcPr>
          <w:p w14:paraId="6BBA0ECE"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Piemaisījumu atdalīšana no metāliem un metālu savienojumiem</w:t>
            </w:r>
          </w:p>
        </w:tc>
        <w:tc>
          <w:tcPr>
            <w:tcW w:w="2569" w:type="pct"/>
            <w:tcBorders>
              <w:top w:val="single" w:sz="5" w:space="0" w:color="000000"/>
              <w:left w:val="single" w:sz="5" w:space="0" w:color="000000"/>
              <w:bottom w:val="single" w:sz="5" w:space="0" w:color="000000"/>
              <w:right w:val="single" w:sz="5" w:space="0" w:color="000000"/>
            </w:tcBorders>
            <w:vAlign w:val="center"/>
          </w:tcPr>
          <w:p w14:paraId="5BD6E6F3"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Emisijas metāllūžņu piemaisījumu oksidācijas rezultātā, kas izdalās otrreizējās pārstrādes procesā</w:t>
            </w:r>
          </w:p>
        </w:tc>
      </w:tr>
      <w:tr w:rsidR="00583F3E" w:rsidRPr="00583F3E" w14:paraId="52D788B1" w14:textId="77777777" w:rsidTr="009E2912">
        <w:tc>
          <w:tcPr>
            <w:tcW w:w="2431" w:type="pct"/>
            <w:tcBorders>
              <w:top w:val="single" w:sz="5" w:space="0" w:color="000000"/>
              <w:left w:val="single" w:sz="5" w:space="0" w:color="000000"/>
              <w:bottom w:val="single" w:sz="5" w:space="0" w:color="000000"/>
              <w:right w:val="single" w:sz="5" w:space="0" w:color="000000"/>
            </w:tcBorders>
            <w:vAlign w:val="center"/>
          </w:tcPr>
          <w:p w14:paraId="2D467027"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Karbonātu sadalīšana, izņemot karbonātus dūmgāzu attīrīšanai skruberī</w:t>
            </w:r>
          </w:p>
        </w:tc>
        <w:tc>
          <w:tcPr>
            <w:tcW w:w="2569" w:type="pct"/>
            <w:tcBorders>
              <w:top w:val="single" w:sz="5" w:space="0" w:color="000000"/>
              <w:left w:val="single" w:sz="5" w:space="0" w:color="000000"/>
              <w:bottom w:val="single" w:sz="5" w:space="0" w:color="000000"/>
              <w:right w:val="single" w:sz="5" w:space="0" w:color="000000"/>
            </w:tcBorders>
            <w:vAlign w:val="center"/>
          </w:tcPr>
          <w:p w14:paraId="02495892"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Magnēzija ražošana</w:t>
            </w:r>
          </w:p>
        </w:tc>
      </w:tr>
      <w:tr w:rsidR="00583F3E" w:rsidRPr="00583F3E" w14:paraId="36349823" w14:textId="77777777" w:rsidTr="009E2912">
        <w:tc>
          <w:tcPr>
            <w:tcW w:w="2431" w:type="pct"/>
            <w:tcBorders>
              <w:top w:val="single" w:sz="5" w:space="0" w:color="000000"/>
              <w:left w:val="single" w:sz="5" w:space="0" w:color="000000"/>
              <w:bottom w:val="single" w:sz="5" w:space="0" w:color="000000"/>
              <w:right w:val="single" w:sz="5" w:space="0" w:color="000000"/>
            </w:tcBorders>
            <w:vAlign w:val="center"/>
          </w:tcPr>
          <w:p w14:paraId="31A3DC39"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Ķīmiskā sintēze, kuras ietvaros reakcijā piedalās oglekli saturošs materiāls</w:t>
            </w:r>
          </w:p>
        </w:tc>
        <w:tc>
          <w:tcPr>
            <w:tcW w:w="2569" w:type="pct"/>
            <w:tcBorders>
              <w:top w:val="single" w:sz="5" w:space="0" w:color="000000"/>
              <w:left w:val="single" w:sz="5" w:space="0" w:color="000000"/>
              <w:bottom w:val="single" w:sz="5" w:space="0" w:color="000000"/>
              <w:right w:val="single" w:sz="5" w:space="0" w:color="000000"/>
            </w:tcBorders>
            <w:vAlign w:val="center"/>
          </w:tcPr>
          <w:p w14:paraId="76445317"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Akrilskābes ražošana, acetilēna ražošana (daļēja oksidācija), akrilnitrila ražošana (amonjaka oksidācija), formaldehīda ražošana (daļēja oksidācija/dehidrogenēšana)</w:t>
            </w:r>
          </w:p>
        </w:tc>
      </w:tr>
      <w:tr w:rsidR="00583F3E" w:rsidRPr="00583F3E" w14:paraId="035EFF8B" w14:textId="77777777" w:rsidTr="009E2912">
        <w:tc>
          <w:tcPr>
            <w:tcW w:w="2431" w:type="pct"/>
            <w:tcBorders>
              <w:top w:val="single" w:sz="5" w:space="0" w:color="000000"/>
              <w:left w:val="single" w:sz="5" w:space="0" w:color="000000"/>
              <w:bottom w:val="single" w:sz="5" w:space="0" w:color="000000"/>
              <w:right w:val="single" w:sz="5" w:space="0" w:color="000000"/>
            </w:tcBorders>
            <w:vAlign w:val="center"/>
          </w:tcPr>
          <w:p w14:paraId="1ABD3715"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Oglekli saturošu piedevu vai izejmateriālu izmantošana</w:t>
            </w:r>
          </w:p>
        </w:tc>
        <w:tc>
          <w:tcPr>
            <w:tcW w:w="2569" w:type="pct"/>
            <w:tcBorders>
              <w:top w:val="single" w:sz="5" w:space="0" w:color="000000"/>
              <w:left w:val="single" w:sz="5" w:space="0" w:color="000000"/>
              <w:bottom w:val="single" w:sz="5" w:space="0" w:color="000000"/>
              <w:right w:val="single" w:sz="5" w:space="0" w:color="000000"/>
            </w:tcBorders>
            <w:vAlign w:val="center"/>
          </w:tcPr>
          <w:p w14:paraId="67F6D53A"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Emisijas organisko piedevu oksidācijas rezultātā, lai palielinātu keramikas produktu porainību</w:t>
            </w:r>
          </w:p>
        </w:tc>
      </w:tr>
      <w:tr w:rsidR="00583F3E" w:rsidRPr="00583F3E" w14:paraId="4C7AF45A" w14:textId="77777777" w:rsidTr="009E2912">
        <w:tc>
          <w:tcPr>
            <w:tcW w:w="2431" w:type="pct"/>
            <w:tcBorders>
              <w:top w:val="single" w:sz="5" w:space="0" w:color="000000"/>
              <w:left w:val="single" w:sz="5" w:space="0" w:color="000000"/>
              <w:bottom w:val="single" w:sz="5" w:space="0" w:color="000000"/>
              <w:right w:val="single" w:sz="5" w:space="0" w:color="000000"/>
            </w:tcBorders>
            <w:vAlign w:val="center"/>
          </w:tcPr>
          <w:p w14:paraId="6E7E396E"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Pusmetālu oksīdu vai nemetālu oksīdu, piemēram, silīcija oksīdu un fosfātu, ķīmiskā vai elektrolītiskā reducēšana</w:t>
            </w:r>
          </w:p>
        </w:tc>
        <w:tc>
          <w:tcPr>
            <w:tcW w:w="2569" w:type="pct"/>
            <w:tcBorders>
              <w:top w:val="single" w:sz="5" w:space="0" w:color="000000"/>
              <w:left w:val="single" w:sz="5" w:space="0" w:color="000000"/>
              <w:bottom w:val="single" w:sz="5" w:space="0" w:color="000000"/>
              <w:right w:val="single" w:sz="5" w:space="0" w:color="000000"/>
            </w:tcBorders>
            <w:vAlign w:val="center"/>
          </w:tcPr>
          <w:p w14:paraId="7B6E2B2A" w14:textId="77777777" w:rsidR="00583F3E" w:rsidRPr="00583F3E" w:rsidRDefault="00583F3E" w:rsidP="009E2912">
            <w:pPr>
              <w:pStyle w:val="TableParagraph"/>
              <w:widowControl/>
              <w:rPr>
                <w:rFonts w:ascii="Times New Roman" w:hAnsi="Times New Roman" w:cs="Times New Roman"/>
                <w:noProof/>
                <w:position w:val="6"/>
                <w:sz w:val="24"/>
              </w:rPr>
            </w:pPr>
            <w:r>
              <w:rPr>
                <w:rFonts w:ascii="Times New Roman" w:hAnsi="Times New Roman"/>
                <w:sz w:val="24"/>
              </w:rPr>
              <w:t>Silīcija ražošana, fosfāta rūdas reducēšana</w:t>
            </w:r>
          </w:p>
        </w:tc>
      </w:tr>
    </w:tbl>
    <w:p w14:paraId="39CB3AF6" w14:textId="77777777" w:rsidR="00583F3E" w:rsidRPr="00583F3E" w:rsidRDefault="00583F3E" w:rsidP="00583F3E">
      <w:pPr>
        <w:widowControl/>
        <w:jc w:val="both"/>
        <w:rPr>
          <w:rFonts w:ascii="Times New Roman" w:eastAsia="Calibri" w:hAnsi="Times New Roman" w:cs="Times New Roman"/>
          <w:b/>
          <w:bCs/>
          <w:noProof/>
          <w:position w:val="6"/>
          <w:sz w:val="24"/>
          <w:szCs w:val="23"/>
        </w:rPr>
      </w:pPr>
    </w:p>
    <w:p w14:paraId="44A1C490"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5.b solis. Attiecina attiecīgo ielaidi un izlaidi</w:t>
      </w:r>
    </w:p>
    <w:p w14:paraId="18BB2511" w14:textId="4C7422A8" w:rsidR="009E2912" w:rsidRDefault="00583F3E" w:rsidP="00AE641A">
      <w:pPr>
        <w:widowControl/>
        <w:jc w:val="both"/>
        <w:rPr>
          <w:rFonts w:ascii="Times New Roman" w:eastAsia="Calibri" w:hAnsi="Times New Roman" w:cs="Times New Roman"/>
          <w:noProof/>
          <w:position w:val="6"/>
          <w:sz w:val="24"/>
          <w:szCs w:val="20"/>
        </w:rPr>
      </w:pPr>
      <w:r>
        <w:rPr>
          <w:rFonts w:ascii="Times New Roman" w:hAnsi="Times New Roman"/>
          <w:sz w:val="24"/>
        </w:rPr>
        <w:t>Attiecina visu attiecīgo ielaidi (</w:t>
      </w:r>
      <w:r>
        <w:rPr>
          <w:rFonts w:ascii="Times New Roman" w:hAnsi="Times New Roman"/>
          <w:i/>
          <w:sz w:val="24"/>
        </w:rPr>
        <w:t>visus materiālus, no kuriem rodas procesa emisijas, attiecīgos gadījumos</w:t>
      </w:r>
      <w:r>
        <w:rPr>
          <w:rFonts w:ascii="Times New Roman" w:hAnsi="Times New Roman"/>
          <w:sz w:val="24"/>
        </w:rPr>
        <w:t>) un izlaidi (</w:t>
      </w:r>
      <w:r>
        <w:rPr>
          <w:rFonts w:ascii="Times New Roman" w:hAnsi="Times New Roman"/>
          <w:i/>
          <w:sz w:val="24"/>
        </w:rPr>
        <w:t>piem., procesa emisijas, datus, kas attiecas uz atlikumgāzu izmantošanu, tostarp emisijām to sadedzināšanas rezultātā</w:t>
      </w:r>
      <w:r>
        <w:rPr>
          <w:rFonts w:ascii="Times New Roman" w:hAnsi="Times New Roman"/>
          <w:sz w:val="24"/>
        </w:rPr>
        <w:t>) uz katru apakšiekārtu katram gadam periodā no 2014. līdz 2018. gadam vai periodā no 2019. līdz 2023. gadam (atkarībā no piešķiršanas perioda), kad iekārta ir bijusi ekspluatācijā.</w:t>
      </w:r>
      <w:r w:rsidR="009E2912">
        <w:br w:type="page"/>
      </w:r>
    </w:p>
    <w:p w14:paraId="5E89BD17"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6527F2DF" w14:textId="77777777" w:rsidR="00583F3E" w:rsidRPr="009E2912" w:rsidRDefault="009E2912" w:rsidP="009E2912">
      <w:pPr>
        <w:pStyle w:val="Heading1"/>
        <w:widowControl/>
        <w:tabs>
          <w:tab w:val="left" w:pos="533"/>
        </w:tabs>
        <w:spacing w:before="0"/>
        <w:ind w:left="0" w:firstLine="0"/>
        <w:jc w:val="both"/>
        <w:rPr>
          <w:rFonts w:ascii="Times New Roman" w:hAnsi="Times New Roman" w:cs="Times New Roman"/>
          <w:noProof/>
          <w:position w:val="6"/>
          <w:szCs w:val="40"/>
        </w:rPr>
      </w:pPr>
      <w:bookmarkStart w:id="32" w:name="_Toc31207935"/>
      <w:r>
        <w:rPr>
          <w:rFonts w:ascii="Times New Roman" w:hAnsi="Times New Roman"/>
          <w:szCs w:val="40"/>
        </w:rPr>
        <w:t>4. Piešķiramo emisijas kvotu noteikšana katrai apakšiekārtai</w:t>
      </w:r>
      <w:bookmarkStart w:id="33" w:name="_bookmark14"/>
      <w:bookmarkEnd w:id="33"/>
      <w:bookmarkEnd w:id="32"/>
    </w:p>
    <w:p w14:paraId="489D34D8" w14:textId="77777777" w:rsidR="00583F3E" w:rsidRPr="00583F3E" w:rsidRDefault="00583F3E" w:rsidP="00583F3E">
      <w:pPr>
        <w:widowControl/>
        <w:jc w:val="both"/>
        <w:rPr>
          <w:rFonts w:ascii="Times New Roman" w:eastAsia="Calibri" w:hAnsi="Times New Roman" w:cs="Times New Roman"/>
          <w:b/>
          <w:bCs/>
          <w:noProof/>
          <w:position w:val="6"/>
          <w:sz w:val="24"/>
          <w:szCs w:val="28"/>
        </w:rPr>
      </w:pPr>
    </w:p>
    <w:p w14:paraId="52012885"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Pēc tam, kad ir noteiktas attiecīgās apakšiekārtas, var aprēķināt apakšiekārtām piešķiramo kvotu apjomu, pamatojoties uz vēsturiskajiem darbības līmeņiem (</w:t>
      </w:r>
      <w:r>
        <w:rPr>
          <w:rFonts w:ascii="Times New Roman" w:hAnsi="Times New Roman"/>
          <w:i/>
        </w:rPr>
        <w:t>HAL</w:t>
      </w:r>
      <w:r>
        <w:rPr>
          <w:rFonts w:ascii="Times New Roman" w:hAnsi="Times New Roman"/>
        </w:rPr>
        <w:t>) un (atjauninātajām) līmeņatzīmju vērtībām. Attiecībā uz katru apakšiekārtu tiks izmantota viena un tikai viena pieeja. Šajā iedaļā aprakstīta dažādo kvotu piešķiršanas pieeju izmantošana katrai no apakšiekārtām.</w:t>
      </w:r>
    </w:p>
    <w:p w14:paraId="117C5F4B"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6B608614"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71049231" w14:textId="77777777" w:rsidR="00583F3E" w:rsidRPr="00152215" w:rsidRDefault="00152215" w:rsidP="00152215">
      <w:pPr>
        <w:pStyle w:val="Heading2"/>
        <w:widowControl/>
        <w:tabs>
          <w:tab w:val="left" w:pos="677"/>
        </w:tabs>
        <w:ind w:left="0" w:firstLine="0"/>
        <w:jc w:val="both"/>
        <w:rPr>
          <w:rFonts w:ascii="Times New Roman" w:hAnsi="Times New Roman" w:cs="Times New Roman"/>
          <w:noProof/>
          <w:position w:val="6"/>
          <w:szCs w:val="32"/>
        </w:rPr>
      </w:pPr>
      <w:bookmarkStart w:id="34" w:name="_Toc31207936"/>
      <w:r>
        <w:rPr>
          <w:rFonts w:ascii="Times New Roman" w:hAnsi="Times New Roman"/>
          <w:szCs w:val="32"/>
        </w:rPr>
        <w:t>4.1. Produkta līmeņatzīmes apakšiekārta</w:t>
      </w:r>
      <w:bookmarkStart w:id="35" w:name="_bookmark15"/>
      <w:bookmarkEnd w:id="35"/>
      <w:bookmarkEnd w:id="34"/>
    </w:p>
    <w:p w14:paraId="5769556A" w14:textId="77777777" w:rsidR="00152215" w:rsidRDefault="00152215" w:rsidP="00583F3E">
      <w:pPr>
        <w:pStyle w:val="BodyText"/>
        <w:widowControl/>
        <w:ind w:left="0"/>
        <w:jc w:val="both"/>
        <w:rPr>
          <w:rFonts w:ascii="Times New Roman" w:hAnsi="Times New Roman" w:cs="Times New Roman"/>
          <w:noProof/>
          <w:position w:val="6"/>
        </w:rPr>
      </w:pPr>
    </w:p>
    <w:p w14:paraId="7EFEA7D5" w14:textId="77777777" w:rsidR="00583F3E" w:rsidRPr="00583F3E" w:rsidRDefault="009E734E" w:rsidP="00583F3E">
      <w:pPr>
        <w:pStyle w:val="BodyText"/>
        <w:widowControl/>
        <w:ind w:left="0"/>
        <w:jc w:val="both"/>
        <w:rPr>
          <w:rFonts w:ascii="Times New Roman" w:hAnsi="Times New Roman" w:cs="Times New Roman"/>
          <w:noProof/>
          <w:position w:val="6"/>
        </w:rPr>
      </w:pPr>
      <w:r>
        <w:rPr>
          <w:rFonts w:ascii="Times New Roman" w:hAnsi="Times New Roman"/>
        </w:rPr>
        <w:pict w14:anchorId="63D31195">
          <v:shape id="_x0000_s21088" type="#_x0000_t202" style="position:absolute;left:0;text-align:left;margin-left:258.2pt;margin-top:106.7pt;width:79.6pt;height:51.15pt;z-index:-251665408;mso-position-horizontal-relative:page" filled="f" stroked="f">
            <v:textbox inset="0,0,0,0">
              <w:txbxContent>
                <w:p w14:paraId="10A29BBB" w14:textId="77777777" w:rsidR="009E734E" w:rsidRPr="00583F3E" w:rsidRDefault="009E734E" w:rsidP="00583F3E">
                  <w:pPr>
                    <w:spacing w:before="1"/>
                    <w:rPr>
                      <w:rFonts w:ascii="Calibri" w:eastAsia="Calibri" w:hAnsi="Calibri" w:cs="Calibri"/>
                      <w:i/>
                      <w:noProof/>
                      <w:sz w:val="23"/>
                      <w:szCs w:val="23"/>
                    </w:rPr>
                  </w:pPr>
                </w:p>
                <w:p w14:paraId="493D1D17" w14:textId="77777777" w:rsidR="009E734E" w:rsidRPr="00583F3E" w:rsidRDefault="009E734E" w:rsidP="00583F3E">
                  <w:pPr>
                    <w:spacing w:line="242" w:lineRule="auto"/>
                    <w:ind w:left="379" w:right="200" w:hanging="168"/>
                    <w:rPr>
                      <w:rFonts w:ascii="Verdana"/>
                      <w:b/>
                      <w:noProof/>
                      <w:color w:val="FFCC00"/>
                      <w:sz w:val="18"/>
                    </w:rPr>
                  </w:pPr>
                  <w:r>
                    <w:rPr>
                      <w:rFonts w:ascii="Verdana"/>
                      <w:b/>
                      <w:color w:val="FFCC00"/>
                      <w:sz w:val="18"/>
                    </w:rPr>
                    <w:t>Ra</w:t>
                  </w:r>
                  <w:r>
                    <w:rPr>
                      <w:rFonts w:ascii="Verdana"/>
                      <w:b/>
                      <w:color w:val="FFCC00"/>
                      <w:sz w:val="18"/>
                    </w:rPr>
                    <w:t>ž</w:t>
                  </w:r>
                  <w:r>
                    <w:rPr>
                      <w:rFonts w:ascii="Verdana"/>
                      <w:b/>
                      <w:color w:val="FFCC00"/>
                      <w:sz w:val="18"/>
                    </w:rPr>
                    <w:t>o</w:t>
                  </w:r>
                  <w:r>
                    <w:rPr>
                      <w:rFonts w:ascii="Verdana"/>
                      <w:b/>
                      <w:color w:val="FFCC00"/>
                      <w:sz w:val="18"/>
                    </w:rPr>
                    <w:t>š</w:t>
                  </w:r>
                  <w:r>
                    <w:rPr>
                      <w:rFonts w:ascii="Verdana"/>
                      <w:b/>
                      <w:color w:val="FFCC00"/>
                      <w:sz w:val="18"/>
                    </w:rPr>
                    <w:t>anas process</w:t>
                  </w:r>
                </w:p>
              </w:txbxContent>
            </v:textbox>
            <w10:wrap anchorx="page"/>
          </v:shape>
        </w:pict>
      </w:r>
      <w:r w:rsidR="00A373AC">
        <w:rPr>
          <w:rFonts w:ascii="Times New Roman" w:hAnsi="Times New Roman"/>
        </w:rPr>
        <w:t>2. attēlā parādīta produkta līmeņatzīmes apakšiekārta. Punktētā līnija parāda apakšiekārtas sistēmas robežas. Piešķiramo kvotu apjomu nosaka, ņemot vērā līmeņatzīmes produkta ražošanas apjomu.</w:t>
      </w:r>
    </w:p>
    <w:p w14:paraId="0A799EE7" w14:textId="77777777" w:rsidR="00583F3E" w:rsidRDefault="00583F3E" w:rsidP="00583F3E">
      <w:pPr>
        <w:widowControl/>
        <w:jc w:val="both"/>
        <w:rPr>
          <w:rFonts w:ascii="Times New Roman" w:eastAsia="Calibri" w:hAnsi="Times New Roman" w:cs="Times New Roman"/>
          <w:noProof/>
          <w:position w:val="6"/>
          <w:sz w:val="24"/>
          <w:szCs w:val="24"/>
        </w:rPr>
      </w:pPr>
    </w:p>
    <w:p w14:paraId="76D1B598" w14:textId="3BF2E87E" w:rsidR="00F87517" w:rsidRDefault="0060488D" w:rsidP="00F87517">
      <w:pPr>
        <w:widowControl/>
        <w:jc w:val="center"/>
        <w:rPr>
          <w:rFonts w:ascii="Times New Roman" w:eastAsia="Calibri" w:hAnsi="Times New Roman" w:cs="Times New Roman"/>
          <w:noProof/>
          <w:position w:val="6"/>
          <w:sz w:val="24"/>
          <w:szCs w:val="24"/>
        </w:rPr>
      </w:pPr>
      <w:r w:rsidRPr="0060488D">
        <w:rPr>
          <w:rFonts w:ascii="Times New Roman" w:eastAsia="Calibri" w:hAnsi="Times New Roman" w:cs="Times New Roman"/>
          <w:noProof/>
          <w:position w:val="6"/>
          <w:sz w:val="24"/>
          <w:szCs w:val="24"/>
        </w:rPr>
        <w:drawing>
          <wp:inline distT="0" distB="0" distL="0" distR="0" wp14:anchorId="3DD37A4F" wp14:editId="4B7B50FA">
            <wp:extent cx="5760720" cy="20656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065655"/>
                    </a:xfrm>
                    <a:prstGeom prst="rect">
                      <a:avLst/>
                    </a:prstGeom>
                    <a:noFill/>
                    <a:ln>
                      <a:noFill/>
                    </a:ln>
                  </pic:spPr>
                </pic:pic>
              </a:graphicData>
            </a:graphic>
          </wp:inline>
        </w:drawing>
      </w:r>
    </w:p>
    <w:p w14:paraId="66307277" w14:textId="77777777" w:rsidR="00F87517" w:rsidRDefault="00F87517" w:rsidP="00583F3E">
      <w:pPr>
        <w:widowControl/>
        <w:jc w:val="both"/>
        <w:rPr>
          <w:rFonts w:ascii="Times New Roman" w:eastAsia="Calibri" w:hAnsi="Times New Roman" w:cs="Times New Roman"/>
          <w:noProof/>
          <w:position w:val="6"/>
          <w:sz w:val="24"/>
          <w:szCs w:val="24"/>
        </w:rPr>
      </w:pPr>
    </w:p>
    <w:p w14:paraId="327ECDA1" w14:textId="77777777" w:rsidR="00583F3E" w:rsidRPr="00583F3E" w:rsidRDefault="00583F3E" w:rsidP="00F87517">
      <w:pPr>
        <w:widowControl/>
        <w:jc w:val="center"/>
        <w:rPr>
          <w:rFonts w:ascii="Times New Roman" w:hAnsi="Times New Roman" w:cs="Times New Roman"/>
          <w:b/>
          <w:noProof/>
          <w:position w:val="6"/>
          <w:sz w:val="24"/>
        </w:rPr>
      </w:pPr>
      <w:r>
        <w:rPr>
          <w:rFonts w:ascii="Times New Roman" w:hAnsi="Times New Roman"/>
          <w:b/>
          <w:sz w:val="24"/>
        </w:rPr>
        <w:t>2. attēls. Produkta līmeņatzīmes apakšiekārtas piemērs</w:t>
      </w:r>
      <w:bookmarkStart w:id="36" w:name="_bookmark16"/>
      <w:bookmarkEnd w:id="36"/>
    </w:p>
    <w:p w14:paraId="45A37487" w14:textId="77777777" w:rsidR="00583F3E" w:rsidRPr="00583F3E" w:rsidRDefault="00583F3E" w:rsidP="00583F3E">
      <w:pPr>
        <w:widowControl/>
        <w:jc w:val="both"/>
        <w:rPr>
          <w:rFonts w:ascii="Times New Roman" w:eastAsia="Calibri" w:hAnsi="Times New Roman" w:cs="Times New Roman"/>
          <w:b/>
          <w:bCs/>
          <w:noProof/>
          <w:position w:val="6"/>
          <w:sz w:val="24"/>
          <w:szCs w:val="23"/>
        </w:rPr>
      </w:pPr>
    </w:p>
    <w:p w14:paraId="2ABA2D1F" w14:textId="77777777" w:rsidR="00583F3E" w:rsidRPr="00583F3E" w:rsidRDefault="00583F3E" w:rsidP="00583F3E">
      <w:pPr>
        <w:pStyle w:val="BodyText"/>
        <w:widowControl/>
        <w:ind w:left="0"/>
        <w:jc w:val="both"/>
        <w:rPr>
          <w:rFonts w:ascii="Times New Roman" w:hAnsi="Times New Roman" w:cs="Times New Roman"/>
          <w:noProof/>
          <w:position w:val="6"/>
          <w:u w:val="single" w:color="000000"/>
        </w:rPr>
      </w:pPr>
      <w:r>
        <w:rPr>
          <w:rFonts w:ascii="Times New Roman" w:hAnsi="Times New Roman"/>
          <w:u w:val="single" w:color="000000"/>
        </w:rPr>
        <w:t>Pēc 1.a un 1.b soļa attiecībā uz produkta līmeņatzīmes apakšiekārtām, kas aprakstītas 2.1. iedaļā, ir jāveic nākamie turpmāk norādītie soļi.</w:t>
      </w:r>
    </w:p>
    <w:p w14:paraId="4361BC14"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17791F7D"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1.c solis. Nosaka vēsturisko darbības līmeni</w:t>
      </w:r>
    </w:p>
    <w:p w14:paraId="1CB9B82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Katras produkta līmeņatzīmes apakšiekārtas </w:t>
      </w:r>
      <w:r>
        <w:rPr>
          <w:rFonts w:ascii="Times New Roman" w:hAnsi="Times New Roman"/>
          <w:i/>
          <w:iCs/>
        </w:rPr>
        <w:t>p</w:t>
      </w:r>
      <w:r>
        <w:rPr>
          <w:rFonts w:ascii="Times New Roman" w:hAnsi="Times New Roman"/>
        </w:rPr>
        <w:t xml:space="preserve"> vēsturiskos darbības līmeņus (</w:t>
      </w:r>
      <w:r>
        <w:rPr>
          <w:rFonts w:ascii="Times New Roman" w:hAnsi="Times New Roman"/>
          <w:i/>
        </w:rPr>
        <w:t>HAL</w:t>
      </w:r>
      <w:r>
        <w:rPr>
          <w:rFonts w:ascii="Times New Roman" w:hAnsi="Times New Roman"/>
          <w:i/>
          <w:vertAlign w:val="subscript"/>
        </w:rPr>
        <w:t>p</w:t>
      </w:r>
      <w:r>
        <w:rPr>
          <w:rFonts w:ascii="Times New Roman" w:hAnsi="Times New Roman"/>
        </w:rPr>
        <w:t xml:space="preserve">) izsaka kā līmeņatzīmes produkta vidējos ikgadējos ražošanas apjomus. Produktu definīcijas un produkcijas mērvienības ir noteiktas </w:t>
      </w:r>
      <w:r>
        <w:rPr>
          <w:rFonts w:ascii="Times New Roman" w:hAnsi="Times New Roman"/>
          <w:i/>
        </w:rPr>
        <w:t>FAR</w:t>
      </w:r>
      <w:r>
        <w:rPr>
          <w:rFonts w:ascii="Times New Roman" w:hAnsi="Times New Roman"/>
        </w:rPr>
        <w:t xml:space="preserve"> un izskaidrotas </w:t>
      </w:r>
      <w:r>
        <w:rPr>
          <w:rFonts w:ascii="Times New Roman" w:hAnsi="Times New Roman"/>
          <w:i/>
        </w:rPr>
        <w:t>Norādījumu dokumentā Nr. 9 par specifiskiem norādījumiem nozarei</w:t>
      </w:r>
      <w:r>
        <w:rPr>
          <w:rFonts w:ascii="Times New Roman" w:hAnsi="Times New Roman"/>
        </w:rPr>
        <w:t>.</w:t>
      </w:r>
    </w:p>
    <w:p w14:paraId="1BDB9847"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526D8DEB"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1.d solis. Aprēķina provizorisko bez maksas piešķiramo emisijas kvotu apjomu</w:t>
      </w:r>
    </w:p>
    <w:p w14:paraId="4FEA5E11" w14:textId="77777777" w:rsidR="00F87517"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Provizoriskais ikgadējais piešķiramo kvotu apjoms katrai produkta līmeņatzīmes apakšiekārtai ir:</w:t>
      </w:r>
    </w:p>
    <w:p w14:paraId="6D278904" w14:textId="77777777" w:rsidR="00F87517" w:rsidRDefault="00F87517" w:rsidP="00583F3E">
      <w:pPr>
        <w:pStyle w:val="BodyText"/>
        <w:widowControl/>
        <w:ind w:left="0"/>
        <w:jc w:val="both"/>
        <w:rPr>
          <w:rFonts w:ascii="Times New Roman" w:hAnsi="Times New Roman" w:cs="Times New Roman"/>
          <w:noProof/>
          <w:position w:val="6"/>
        </w:rPr>
      </w:pPr>
    </w:p>
    <w:p w14:paraId="20C04C4D" w14:textId="77777777" w:rsidR="00583F3E" w:rsidRPr="00583F3E" w:rsidRDefault="00583F3E" w:rsidP="00F87517">
      <w:pPr>
        <w:pStyle w:val="BodyText"/>
        <w:widowControl/>
        <w:ind w:left="0"/>
        <w:jc w:val="center"/>
        <w:rPr>
          <w:rFonts w:ascii="Times New Roman" w:hAnsi="Times New Roman" w:cs="Times New Roman"/>
          <w:noProof/>
          <w:position w:val="6"/>
        </w:rPr>
      </w:pPr>
      <w:r>
        <w:rPr>
          <w:rFonts w:ascii="Times New Roman" w:hAnsi="Times New Roman"/>
        </w:rPr>
        <w:t>F</w:t>
      </w:r>
      <w:r>
        <w:rPr>
          <w:rFonts w:ascii="Times New Roman" w:hAnsi="Times New Roman"/>
          <w:i/>
          <w:iCs/>
          <w:vertAlign w:val="subscript"/>
        </w:rPr>
        <w:t>p,k</w:t>
      </w:r>
      <w:r>
        <w:rPr>
          <w:rFonts w:ascii="Times New Roman" w:hAnsi="Times New Roman"/>
        </w:rPr>
        <w:t xml:space="preserve"> = </w:t>
      </w:r>
      <w:r>
        <w:rPr>
          <w:rFonts w:ascii="Times New Roman" w:hAnsi="Times New Roman"/>
          <w:i/>
        </w:rPr>
        <w:t>BM</w:t>
      </w:r>
      <w:r>
        <w:rPr>
          <w:rFonts w:ascii="Times New Roman" w:hAnsi="Times New Roman"/>
          <w:i/>
          <w:iCs/>
          <w:vertAlign w:val="subscript"/>
        </w:rPr>
        <w:t>p</w:t>
      </w:r>
      <w:r>
        <w:rPr>
          <w:rFonts w:ascii="Times New Roman" w:hAnsi="Times New Roman"/>
        </w:rPr>
        <w:t xml:space="preserve"> X </w:t>
      </w:r>
      <w:r>
        <w:rPr>
          <w:rFonts w:ascii="Times New Roman" w:hAnsi="Times New Roman"/>
          <w:i/>
        </w:rPr>
        <w:t>HAL</w:t>
      </w:r>
      <w:r>
        <w:rPr>
          <w:rFonts w:ascii="Times New Roman" w:hAnsi="Times New Roman"/>
          <w:i/>
          <w:iCs/>
          <w:vertAlign w:val="subscript"/>
        </w:rPr>
        <w:t>p</w:t>
      </w:r>
      <w:r>
        <w:rPr>
          <w:rFonts w:ascii="Times New Roman" w:hAnsi="Times New Roman"/>
        </w:rPr>
        <w:t xml:space="preserve"> X </w:t>
      </w:r>
      <w:r>
        <w:rPr>
          <w:rFonts w:ascii="Times New Roman" w:hAnsi="Times New Roman"/>
          <w:i/>
        </w:rPr>
        <w:t>CLEF</w:t>
      </w:r>
      <w:r>
        <w:rPr>
          <w:rFonts w:ascii="Times New Roman" w:hAnsi="Times New Roman"/>
          <w:i/>
          <w:iCs/>
          <w:vertAlign w:val="subscript"/>
        </w:rPr>
        <w:t>p,k</w:t>
      </w:r>
      <w:r>
        <w:rPr>
          <w:rFonts w:ascii="Times New Roman" w:hAnsi="Times New Roman"/>
        </w:rPr>
        <w:t>,</w:t>
      </w:r>
    </w:p>
    <w:p w14:paraId="0C3BE48B" w14:textId="77777777" w:rsidR="00F87517" w:rsidRDefault="00F87517" w:rsidP="00583F3E">
      <w:pPr>
        <w:pStyle w:val="BodyText"/>
        <w:widowControl/>
        <w:ind w:left="0"/>
        <w:jc w:val="both"/>
        <w:rPr>
          <w:rFonts w:ascii="Times New Roman" w:hAnsi="Times New Roman" w:cs="Times New Roman"/>
          <w:noProof/>
          <w:position w:val="6"/>
        </w:rPr>
      </w:pPr>
    </w:p>
    <w:p w14:paraId="70BB4F4E"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04"/>
      </w:tblGrid>
      <w:tr w:rsidR="00F87517" w14:paraId="368D7D11" w14:textId="77777777" w:rsidTr="00CE6C64">
        <w:tc>
          <w:tcPr>
            <w:tcW w:w="1384" w:type="dxa"/>
          </w:tcPr>
          <w:p w14:paraId="5CDE66FC" w14:textId="77777777" w:rsidR="00F87517" w:rsidRDefault="00F87517" w:rsidP="00583F3E">
            <w:pPr>
              <w:pStyle w:val="BodyText"/>
              <w:widowControl/>
              <w:ind w:left="0"/>
              <w:jc w:val="both"/>
              <w:rPr>
                <w:rFonts w:ascii="Times New Roman" w:hAnsi="Times New Roman" w:cs="Times New Roman"/>
                <w:noProof/>
                <w:position w:val="6"/>
              </w:rPr>
            </w:pPr>
            <w:r>
              <w:rPr>
                <w:rFonts w:ascii="Times New Roman" w:hAnsi="Times New Roman"/>
              </w:rPr>
              <w:t>F</w:t>
            </w:r>
            <w:r>
              <w:rPr>
                <w:rFonts w:ascii="Times New Roman" w:hAnsi="Times New Roman"/>
                <w:vertAlign w:val="subscript"/>
              </w:rPr>
              <w:t>p,k</w:t>
            </w:r>
          </w:p>
        </w:tc>
        <w:tc>
          <w:tcPr>
            <w:tcW w:w="7904" w:type="dxa"/>
          </w:tcPr>
          <w:p w14:paraId="5B21B0EE" w14:textId="3D8BFD5E" w:rsidR="00F87517" w:rsidRDefault="00CE6C64" w:rsidP="00CE6C64">
            <w:pPr>
              <w:pStyle w:val="BodyText"/>
              <w:widowControl/>
              <w:tabs>
                <w:tab w:val="left" w:pos="1540"/>
              </w:tabs>
              <w:ind w:left="0"/>
              <w:jc w:val="both"/>
              <w:rPr>
                <w:rFonts w:ascii="Times New Roman" w:hAnsi="Times New Roman" w:cs="Times New Roman"/>
                <w:noProof/>
                <w:position w:val="6"/>
              </w:rPr>
            </w:pPr>
            <w:r>
              <w:rPr>
                <w:rFonts w:ascii="Times New Roman" w:hAnsi="Times New Roman"/>
              </w:rPr>
              <w:t>ir ikgadējais provizoriskais piešķiramo kvotu apjoms produktam </w:t>
            </w:r>
            <w:r>
              <w:rPr>
                <w:rFonts w:ascii="Times New Roman" w:hAnsi="Times New Roman"/>
                <w:i/>
                <w:iCs/>
              </w:rPr>
              <w:t>p</w:t>
            </w:r>
            <w:r>
              <w:rPr>
                <w:rFonts w:ascii="Times New Roman" w:hAnsi="Times New Roman"/>
              </w:rPr>
              <w:t xml:space="preserve"> gadā </w:t>
            </w:r>
            <w:r>
              <w:rPr>
                <w:rFonts w:ascii="Times New Roman" w:hAnsi="Times New Roman"/>
                <w:i/>
                <w:iCs/>
              </w:rPr>
              <w:t>k</w:t>
            </w:r>
            <w:r>
              <w:rPr>
                <w:rFonts w:ascii="Times New Roman" w:hAnsi="Times New Roman"/>
              </w:rPr>
              <w:t xml:space="preserve"> (izteikts </w:t>
            </w:r>
            <w:r w:rsidRPr="0036402B">
              <w:rPr>
                <w:rFonts w:ascii="Times New Roman" w:hAnsi="Times New Roman"/>
                <w:i/>
                <w:iCs/>
              </w:rPr>
              <w:t>E</w:t>
            </w:r>
            <w:r w:rsidR="0036402B" w:rsidRPr="0036402B">
              <w:rPr>
                <w:rFonts w:ascii="Times New Roman" w:hAnsi="Times New Roman"/>
                <w:i/>
                <w:iCs/>
              </w:rPr>
              <w:t>UA</w:t>
            </w:r>
            <w:r>
              <w:rPr>
                <w:rFonts w:ascii="Times New Roman" w:hAnsi="Times New Roman"/>
              </w:rPr>
              <w:t>/gadā);</w:t>
            </w:r>
          </w:p>
        </w:tc>
      </w:tr>
      <w:tr w:rsidR="00F87517" w:rsidRPr="00F87517" w14:paraId="632450FA" w14:textId="77777777" w:rsidTr="00CE6C64">
        <w:tc>
          <w:tcPr>
            <w:tcW w:w="1384" w:type="dxa"/>
          </w:tcPr>
          <w:p w14:paraId="6D03D083" w14:textId="77777777" w:rsidR="00F87517" w:rsidRPr="00F87517" w:rsidRDefault="00F87517" w:rsidP="00583F3E">
            <w:pPr>
              <w:pStyle w:val="BodyText"/>
              <w:widowControl/>
              <w:ind w:left="0"/>
              <w:jc w:val="both"/>
              <w:rPr>
                <w:rFonts w:ascii="Times New Roman" w:hAnsi="Times New Roman" w:cs="Times New Roman"/>
                <w:i/>
                <w:iCs/>
                <w:noProof/>
                <w:position w:val="6"/>
              </w:rPr>
            </w:pPr>
            <w:r>
              <w:rPr>
                <w:rFonts w:ascii="Times New Roman" w:hAnsi="Times New Roman"/>
                <w:i/>
                <w:iCs/>
              </w:rPr>
              <w:t>BM</w:t>
            </w:r>
            <w:r>
              <w:rPr>
                <w:rFonts w:ascii="Times New Roman" w:hAnsi="Times New Roman"/>
                <w:i/>
                <w:iCs/>
                <w:vertAlign w:val="subscript"/>
              </w:rPr>
              <w:t>p</w:t>
            </w:r>
          </w:p>
        </w:tc>
        <w:tc>
          <w:tcPr>
            <w:tcW w:w="7904" w:type="dxa"/>
          </w:tcPr>
          <w:p w14:paraId="46631B8A" w14:textId="7FB5C4F1" w:rsidR="00F87517" w:rsidRPr="00F87517" w:rsidRDefault="00CE6C64" w:rsidP="00583F3E">
            <w:pPr>
              <w:pStyle w:val="BodyText"/>
              <w:widowControl/>
              <w:ind w:left="0"/>
              <w:jc w:val="both"/>
              <w:rPr>
                <w:rFonts w:ascii="Times New Roman" w:hAnsi="Times New Roman" w:cs="Times New Roman"/>
                <w:i/>
                <w:iCs/>
                <w:noProof/>
                <w:position w:val="6"/>
              </w:rPr>
            </w:pPr>
            <w:r>
              <w:rPr>
                <w:rFonts w:ascii="Times New Roman" w:hAnsi="Times New Roman"/>
              </w:rPr>
              <w:t>ir produkta līmeņatzīmes vērtība produktam </w:t>
            </w:r>
            <w:r>
              <w:rPr>
                <w:rFonts w:ascii="Times New Roman" w:hAnsi="Times New Roman"/>
                <w:i/>
                <w:iCs/>
              </w:rPr>
              <w:t>p</w:t>
            </w:r>
            <w:r>
              <w:rPr>
                <w:rFonts w:ascii="Times New Roman" w:hAnsi="Times New Roman"/>
              </w:rPr>
              <w:t xml:space="preserve"> (kas izteikta </w:t>
            </w:r>
            <w:r w:rsidRPr="0036402B">
              <w:rPr>
                <w:rFonts w:ascii="Times New Roman" w:hAnsi="Times New Roman"/>
                <w:i/>
                <w:iCs/>
              </w:rPr>
              <w:t>E</w:t>
            </w:r>
            <w:r w:rsidR="0036402B" w:rsidRPr="0036402B">
              <w:rPr>
                <w:rFonts w:ascii="Times New Roman" w:hAnsi="Times New Roman"/>
                <w:i/>
                <w:iCs/>
              </w:rPr>
              <w:t>UA</w:t>
            </w:r>
            <w:r>
              <w:rPr>
                <w:rFonts w:ascii="Times New Roman" w:hAnsi="Times New Roman"/>
              </w:rPr>
              <w:t xml:space="preserve">/produkta </w:t>
            </w:r>
            <w:r>
              <w:rPr>
                <w:rFonts w:ascii="Times New Roman" w:hAnsi="Times New Roman"/>
              </w:rPr>
              <w:lastRenderedPageBreak/>
              <w:t>vienību);</w:t>
            </w:r>
          </w:p>
        </w:tc>
      </w:tr>
      <w:tr w:rsidR="00F87517" w:rsidRPr="00F87517" w14:paraId="7D37663E" w14:textId="77777777" w:rsidTr="00CE6C64">
        <w:tc>
          <w:tcPr>
            <w:tcW w:w="1384" w:type="dxa"/>
          </w:tcPr>
          <w:p w14:paraId="03436A7B" w14:textId="77777777" w:rsidR="00F87517" w:rsidRPr="00F87517" w:rsidRDefault="00F87517" w:rsidP="00583F3E">
            <w:pPr>
              <w:pStyle w:val="BodyText"/>
              <w:widowControl/>
              <w:ind w:left="0"/>
              <w:jc w:val="both"/>
              <w:rPr>
                <w:rFonts w:ascii="Times New Roman" w:hAnsi="Times New Roman" w:cs="Times New Roman"/>
                <w:i/>
                <w:iCs/>
                <w:noProof/>
                <w:position w:val="6"/>
              </w:rPr>
            </w:pPr>
            <w:r>
              <w:rPr>
                <w:rFonts w:ascii="Times New Roman" w:hAnsi="Times New Roman"/>
                <w:i/>
                <w:iCs/>
              </w:rPr>
              <w:lastRenderedPageBreak/>
              <w:t>HAL</w:t>
            </w:r>
            <w:r>
              <w:rPr>
                <w:rFonts w:ascii="Times New Roman" w:hAnsi="Times New Roman"/>
                <w:i/>
                <w:iCs/>
                <w:vertAlign w:val="subscript"/>
              </w:rPr>
              <w:t>p</w:t>
            </w:r>
          </w:p>
        </w:tc>
        <w:tc>
          <w:tcPr>
            <w:tcW w:w="7904" w:type="dxa"/>
          </w:tcPr>
          <w:p w14:paraId="4C589420" w14:textId="1AEDF8FF" w:rsidR="00F87517" w:rsidRPr="00F87517" w:rsidRDefault="00CE6C64" w:rsidP="00CE6C64">
            <w:pPr>
              <w:pStyle w:val="BodyText"/>
              <w:widowControl/>
              <w:ind w:left="0"/>
              <w:jc w:val="both"/>
              <w:rPr>
                <w:rFonts w:ascii="Times New Roman" w:hAnsi="Times New Roman" w:cs="Times New Roman"/>
                <w:i/>
                <w:iCs/>
                <w:noProof/>
                <w:position w:val="6"/>
              </w:rPr>
            </w:pPr>
            <w:r>
              <w:rPr>
                <w:rFonts w:ascii="Times New Roman" w:hAnsi="Times New Roman"/>
              </w:rPr>
              <w:t>ir vēsturiskais darbības līmenis produktam </w:t>
            </w:r>
            <w:r>
              <w:rPr>
                <w:rFonts w:ascii="Times New Roman" w:hAnsi="Times New Roman"/>
                <w:i/>
                <w:iCs/>
              </w:rPr>
              <w:t>p</w:t>
            </w:r>
            <w:r>
              <w:rPr>
                <w:rFonts w:ascii="Times New Roman" w:hAnsi="Times New Roman"/>
              </w:rPr>
              <w:t xml:space="preserve">, t. i., tas ikgadējā ražošanas apjoma aritmētiskais vidējais bāzlīnijas periodā, kas noteikts un verificēts bāzlīnijas datu </w:t>
            </w:r>
            <w:r w:rsidR="00063A9A">
              <w:rPr>
                <w:rFonts w:ascii="Times New Roman" w:hAnsi="Times New Roman"/>
              </w:rPr>
              <w:t>vākšanā</w:t>
            </w:r>
            <w:r>
              <w:rPr>
                <w:rFonts w:ascii="Times New Roman" w:hAnsi="Times New Roman"/>
              </w:rPr>
              <w:t xml:space="preserve"> (izteikts produkta vienībās). </w:t>
            </w:r>
            <w:r>
              <w:rPr>
                <w:rFonts w:ascii="Times New Roman" w:hAnsi="Times New Roman"/>
                <w:i/>
              </w:rPr>
              <w:t>Dažādiem produktiem izmantojamās produkcijas mērvienības sk. Norādījumu dokumentā Nr. 9 par specifiskiem norādījumiem nozarei;</w:t>
            </w:r>
          </w:p>
        </w:tc>
      </w:tr>
      <w:tr w:rsidR="00F87517" w14:paraId="44618661" w14:textId="77777777" w:rsidTr="00CE6C64">
        <w:tc>
          <w:tcPr>
            <w:tcW w:w="1384" w:type="dxa"/>
          </w:tcPr>
          <w:p w14:paraId="515A4877" w14:textId="77777777" w:rsidR="00F87517" w:rsidRDefault="00F87517" w:rsidP="00583F3E">
            <w:pPr>
              <w:pStyle w:val="BodyText"/>
              <w:widowControl/>
              <w:ind w:left="0"/>
              <w:jc w:val="both"/>
              <w:rPr>
                <w:rFonts w:ascii="Times New Roman" w:hAnsi="Times New Roman" w:cs="Times New Roman"/>
                <w:noProof/>
                <w:position w:val="6"/>
              </w:rPr>
            </w:pPr>
            <w:r>
              <w:rPr>
                <w:rFonts w:ascii="Times New Roman" w:hAnsi="Times New Roman"/>
                <w:i/>
              </w:rPr>
              <w:t>CLEF</w:t>
            </w:r>
            <w:r>
              <w:rPr>
                <w:rFonts w:ascii="Times New Roman" w:hAnsi="Times New Roman"/>
                <w:i/>
                <w:iCs/>
                <w:vertAlign w:val="subscript"/>
              </w:rPr>
              <w:t>p,k</w:t>
            </w:r>
          </w:p>
        </w:tc>
        <w:tc>
          <w:tcPr>
            <w:tcW w:w="7904" w:type="dxa"/>
          </w:tcPr>
          <w:p w14:paraId="0F9AE576" w14:textId="77777777" w:rsidR="00F87517" w:rsidRDefault="00CE6C64" w:rsidP="00CE6C64">
            <w:pPr>
              <w:pStyle w:val="BodyText"/>
              <w:widowControl/>
              <w:tabs>
                <w:tab w:val="left" w:pos="1540"/>
              </w:tabs>
              <w:ind w:left="0"/>
              <w:jc w:val="both"/>
              <w:rPr>
                <w:rFonts w:ascii="Times New Roman" w:hAnsi="Times New Roman" w:cs="Times New Roman"/>
                <w:noProof/>
                <w:position w:val="6"/>
              </w:rPr>
            </w:pPr>
            <w:r>
              <w:rPr>
                <w:rFonts w:ascii="Times New Roman" w:hAnsi="Times New Roman"/>
              </w:rPr>
              <w:t>ir oglekļa emisiju pārvirzes riska koeficients produktam </w:t>
            </w:r>
            <w:r>
              <w:rPr>
                <w:rFonts w:ascii="Times New Roman" w:hAnsi="Times New Roman"/>
                <w:i/>
                <w:iCs/>
              </w:rPr>
              <w:t>p</w:t>
            </w:r>
            <w:r>
              <w:rPr>
                <w:rFonts w:ascii="Times New Roman" w:hAnsi="Times New Roman"/>
              </w:rPr>
              <w:t xml:space="preserve"> gadā </w:t>
            </w:r>
            <w:r>
              <w:rPr>
                <w:rFonts w:ascii="Times New Roman" w:hAnsi="Times New Roman"/>
                <w:i/>
                <w:iCs/>
              </w:rPr>
              <w:t>k</w:t>
            </w:r>
            <w:r>
              <w:rPr>
                <w:rFonts w:ascii="Times New Roman" w:hAnsi="Times New Roman"/>
              </w:rPr>
              <w:t>.</w:t>
            </w:r>
          </w:p>
        </w:tc>
      </w:tr>
    </w:tbl>
    <w:p w14:paraId="6C6D1F03" w14:textId="77777777" w:rsidR="00F87517" w:rsidRDefault="00F87517" w:rsidP="00583F3E">
      <w:pPr>
        <w:pStyle w:val="BodyText"/>
        <w:widowControl/>
        <w:ind w:left="0"/>
        <w:jc w:val="both"/>
        <w:rPr>
          <w:rFonts w:ascii="Times New Roman" w:hAnsi="Times New Roman" w:cs="Times New Roman"/>
          <w:noProof/>
          <w:position w:val="6"/>
        </w:rPr>
      </w:pPr>
    </w:p>
    <w:p w14:paraId="314BA5E2" w14:textId="77777777" w:rsidR="00CE6C64" w:rsidRDefault="00CE6C64" w:rsidP="00583F3E">
      <w:pPr>
        <w:pStyle w:val="BodyText"/>
        <w:widowControl/>
        <w:ind w:left="0"/>
        <w:jc w:val="both"/>
        <w:rPr>
          <w:rFonts w:ascii="Times New Roman" w:hAnsi="Times New Roman" w:cs="Times New Roman"/>
          <w:noProof/>
          <w:position w:val="6"/>
        </w:rPr>
      </w:pPr>
    </w:p>
    <w:p w14:paraId="3E27A93E"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Kurināmā un elektroenerģijas apmaināmība</w:t>
      </w:r>
    </w:p>
    <w:p w14:paraId="129476B5"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Procesos, kuros siltuma vai mehāniskās enerģijas ražošanai, lai ražotu līdzvērtīgu produktu (piem., minerālvati), var izmantot vai nu kurināmo, vai elektroenerģiju; tam, kurš enerģijas nesējs ir ticis izvēlēts, nav jāietekmē līmeņatzīmes vērtības noteikšana. Šajos gadījumos, nosakot līmeņatzīmes vērtību, ir ņemtas vērā netiešās emisijas. 3. attēlā parādīts, kā līmeņatzīmes līknē (dzeltenajā līknē), lai noteiktu līmeņatzīmes vērtību (zaļā krāsā), tiek ņemtas vērā gan tiešās (zilais stabiņš), gan netiešās (oranžais stabiņš) emisijas (</w:t>
      </w:r>
      <w:r>
        <w:rPr>
          <w:rFonts w:ascii="Times New Roman" w:hAnsi="Times New Roman"/>
          <w:i/>
        </w:rPr>
        <w:t>sīkāku informāciju par to, kā šī līkne tiek veidota, sk. Norādījumu dokumentā Nr. 1</w:t>
      </w:r>
      <w:r>
        <w:rPr>
          <w:rFonts w:ascii="Times New Roman" w:hAnsi="Times New Roman"/>
        </w:rPr>
        <w:t>).</w:t>
      </w:r>
    </w:p>
    <w:p w14:paraId="649AC6A8"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20C4111F" w14:textId="77777777" w:rsidR="00583F3E" w:rsidRPr="00583F3E" w:rsidRDefault="00583F3E" w:rsidP="00583F3E">
      <w:pPr>
        <w:widowControl/>
        <w:jc w:val="both"/>
        <w:rPr>
          <w:rFonts w:ascii="Times New Roman" w:eastAsia="Calibri" w:hAnsi="Times New Roman" w:cs="Times New Roman"/>
          <w:noProof/>
          <w:position w:val="6"/>
          <w:sz w:val="24"/>
          <w:szCs w:val="27"/>
        </w:rPr>
      </w:pPr>
    </w:p>
    <w:p w14:paraId="1CD18FEE" w14:textId="5630FC30" w:rsidR="00583F3E" w:rsidRPr="00583F3E" w:rsidRDefault="004B2F25" w:rsidP="00E87CFB">
      <w:pPr>
        <w:widowControl/>
        <w:jc w:val="center"/>
        <w:rPr>
          <w:rFonts w:ascii="Times New Roman" w:eastAsia="Calibri" w:hAnsi="Times New Roman" w:cs="Times New Roman"/>
          <w:noProof/>
          <w:position w:val="6"/>
          <w:sz w:val="24"/>
          <w:szCs w:val="20"/>
        </w:rPr>
      </w:pPr>
      <w:r>
        <w:rPr>
          <w:rFonts w:ascii="Times New Roman" w:eastAsia="Calibri" w:hAnsi="Times New Roman" w:cs="Times New Roman"/>
          <w:noProof/>
          <w:position w:val="6"/>
          <w:sz w:val="24"/>
          <w:szCs w:val="20"/>
        </w:rPr>
        <w:drawing>
          <wp:inline distT="0" distB="0" distL="0" distR="0" wp14:anchorId="280EBAAF" wp14:editId="6CC82B46">
            <wp:extent cx="5753100" cy="29432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943225"/>
                    </a:xfrm>
                    <a:prstGeom prst="rect">
                      <a:avLst/>
                    </a:prstGeom>
                    <a:noFill/>
                    <a:ln>
                      <a:noFill/>
                    </a:ln>
                  </pic:spPr>
                </pic:pic>
              </a:graphicData>
            </a:graphic>
          </wp:inline>
        </w:drawing>
      </w:r>
    </w:p>
    <w:p w14:paraId="2E8B63BF" w14:textId="77777777" w:rsidR="00E87CFB" w:rsidRPr="00E87CFB" w:rsidRDefault="00E87CFB" w:rsidP="00583F3E">
      <w:pPr>
        <w:widowControl/>
        <w:jc w:val="both"/>
        <w:rPr>
          <w:rFonts w:ascii="Times New Roman" w:hAnsi="Times New Roman" w:cs="Times New Roman"/>
          <w:bCs/>
          <w:noProof/>
          <w:position w:val="6"/>
          <w:sz w:val="24"/>
        </w:rPr>
      </w:pPr>
    </w:p>
    <w:p w14:paraId="4A533E0B" w14:textId="77777777" w:rsidR="00583F3E" w:rsidRPr="00583F3E" w:rsidRDefault="00583F3E" w:rsidP="00E87CFB">
      <w:pPr>
        <w:widowControl/>
        <w:jc w:val="center"/>
        <w:rPr>
          <w:rFonts w:ascii="Times New Roman" w:hAnsi="Times New Roman" w:cs="Times New Roman"/>
          <w:b/>
          <w:noProof/>
          <w:position w:val="6"/>
          <w:sz w:val="24"/>
        </w:rPr>
      </w:pPr>
      <w:r>
        <w:rPr>
          <w:rFonts w:ascii="Times New Roman" w:hAnsi="Times New Roman"/>
          <w:b/>
          <w:sz w:val="24"/>
        </w:rPr>
        <w:t>3. attēls. Līmeņatzīmju noteikšana kurināmā un elektroenerģijas apmaināmības gadījumā</w:t>
      </w:r>
      <w:bookmarkStart w:id="37" w:name="_bookmark17"/>
      <w:bookmarkEnd w:id="37"/>
    </w:p>
    <w:p w14:paraId="7680030F" w14:textId="77777777" w:rsidR="00583F3E" w:rsidRPr="00583F3E" w:rsidRDefault="00583F3E" w:rsidP="00583F3E">
      <w:pPr>
        <w:widowControl/>
        <w:jc w:val="both"/>
        <w:rPr>
          <w:rFonts w:ascii="Times New Roman" w:eastAsia="Calibri" w:hAnsi="Times New Roman" w:cs="Times New Roman"/>
          <w:b/>
          <w:bCs/>
          <w:noProof/>
          <w:position w:val="6"/>
          <w:sz w:val="24"/>
          <w:szCs w:val="23"/>
        </w:rPr>
      </w:pPr>
    </w:p>
    <w:p w14:paraId="28025933"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sz w:val="24"/>
        </w:rPr>
        <w:t xml:space="preserve">Tomēr kvotu piešķiršana jāveic, pamatojoties vienīgi uz tiešajām emisijām. Lai panāktu līmeņatzīmju un piešķiramo kvotu apjoma atbilstību attiecīgajām produkta līmeņatzīmēm (kas noteiktas </w:t>
      </w:r>
      <w:r>
        <w:rPr>
          <w:rFonts w:ascii="Times New Roman" w:hAnsi="Times New Roman"/>
          <w:i/>
          <w:sz w:val="24"/>
        </w:rPr>
        <w:t>FAR</w:t>
      </w:r>
      <w:r>
        <w:rPr>
          <w:rFonts w:ascii="Times New Roman" w:hAnsi="Times New Roman"/>
          <w:sz w:val="24"/>
        </w:rPr>
        <w:t xml:space="preserve"> I pielikuma 2. punktā), provizorisko piešķiramo kvotu apjomu aprēķina, izmantojot tiešo un kopējo emisiju attiecību (sk. turpmāko vienādojumu). </w:t>
      </w:r>
      <w:r>
        <w:rPr>
          <w:rFonts w:ascii="Times New Roman" w:hAnsi="Times New Roman"/>
          <w:i/>
          <w:sz w:val="24"/>
        </w:rPr>
        <w:t>Norādījumu dokumentā Nr. 9 par specifiskiem norādījumiem nozarei sniegti papildu norādījumi par nozarēm, uz kurām tas attiecas.</w:t>
      </w:r>
    </w:p>
    <w:p w14:paraId="7D24D204" w14:textId="77777777" w:rsidR="00583F3E" w:rsidRPr="00583F3E" w:rsidRDefault="00583F3E" w:rsidP="00583F3E">
      <w:pPr>
        <w:widowControl/>
        <w:jc w:val="both"/>
        <w:rPr>
          <w:rFonts w:ascii="Times New Roman" w:hAnsi="Times New Roman" w:cs="Times New Roman"/>
          <w:i/>
          <w:noProof/>
          <w:position w:val="6"/>
          <w:sz w:val="24"/>
        </w:rPr>
      </w:pPr>
    </w:p>
    <w:p w14:paraId="0899D127"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Ja līmeņatzīme ir noteikta, pamatojoties uz tiešajām un netiešajām emisijām, provizorisko ikgadējo piešķiramo kvotu apjomu nosaka šādi:</w:t>
      </w:r>
    </w:p>
    <w:p w14:paraId="0FF975A6" w14:textId="77777777" w:rsidR="00E87CFB" w:rsidRDefault="00E87CFB" w:rsidP="00583F3E">
      <w:pPr>
        <w:pStyle w:val="BodyText"/>
        <w:widowControl/>
        <w:ind w:left="0"/>
        <w:jc w:val="both"/>
        <w:rPr>
          <w:rFonts w:ascii="Times New Roman" w:hAnsi="Times New Roman" w:cs="Times New Roman"/>
          <w:noProof/>
          <w:position w:val="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3969"/>
        <w:gridCol w:w="3118"/>
      </w:tblGrid>
      <w:tr w:rsidR="00E87CFB" w14:paraId="608B6984" w14:textId="77777777" w:rsidTr="00C24C0B">
        <w:trPr>
          <w:jc w:val="center"/>
        </w:trPr>
        <w:tc>
          <w:tcPr>
            <w:tcW w:w="851" w:type="dxa"/>
            <w:vMerge w:val="restart"/>
            <w:vAlign w:val="center"/>
          </w:tcPr>
          <w:p w14:paraId="702328C9" w14:textId="77777777" w:rsidR="00E87CFB" w:rsidRPr="00E87CFB" w:rsidRDefault="00E87CFB" w:rsidP="00E87CFB">
            <w:pPr>
              <w:pStyle w:val="BodyText"/>
              <w:widowControl/>
              <w:ind w:left="0"/>
              <w:jc w:val="right"/>
              <w:rPr>
                <w:rFonts w:ascii="Times New Roman" w:hAnsi="Times New Roman" w:cs="Times New Roman"/>
                <w:noProof/>
                <w:position w:val="6"/>
              </w:rPr>
            </w:pPr>
            <w:r>
              <w:rPr>
                <w:rFonts w:ascii="Times New Roman" w:hAnsi="Times New Roman"/>
                <w:i/>
                <w:iCs/>
              </w:rPr>
              <w:lastRenderedPageBreak/>
              <w:t>F</w:t>
            </w:r>
            <w:r>
              <w:rPr>
                <w:rFonts w:ascii="Times New Roman" w:hAnsi="Times New Roman"/>
                <w:i/>
                <w:iCs/>
                <w:vertAlign w:val="subscript"/>
              </w:rPr>
              <w:t>p,k</w:t>
            </w:r>
            <w:r>
              <w:rPr>
                <w:rFonts w:ascii="Times New Roman" w:hAnsi="Times New Roman"/>
                <w:vertAlign w:val="subscript"/>
              </w:rPr>
              <w:t xml:space="preserve"> =</w:t>
            </w:r>
          </w:p>
        </w:tc>
        <w:tc>
          <w:tcPr>
            <w:tcW w:w="3969" w:type="dxa"/>
            <w:tcBorders>
              <w:bottom w:val="single" w:sz="4" w:space="0" w:color="auto"/>
            </w:tcBorders>
            <w:vAlign w:val="center"/>
          </w:tcPr>
          <w:p w14:paraId="0FE08BCD" w14:textId="77777777" w:rsidR="00E87CFB" w:rsidRPr="00E87CFB" w:rsidRDefault="00E87CFB" w:rsidP="00E87CFB">
            <w:pPr>
              <w:pStyle w:val="BodyText"/>
              <w:widowControl/>
              <w:ind w:left="0"/>
              <w:jc w:val="center"/>
              <w:rPr>
                <w:rFonts w:ascii="Times New Roman" w:hAnsi="Times New Roman" w:cs="Times New Roman"/>
                <w:i/>
                <w:iCs/>
                <w:noProof/>
                <w:position w:val="6"/>
              </w:rPr>
            </w:pPr>
            <w:r>
              <w:rPr>
                <w:rFonts w:ascii="Times New Roman" w:hAnsi="Times New Roman"/>
                <w:i/>
                <w:iCs/>
              </w:rPr>
              <w:t>Em</w:t>
            </w:r>
            <w:r>
              <w:rPr>
                <w:rFonts w:ascii="Times New Roman" w:hAnsi="Times New Roman"/>
                <w:i/>
                <w:iCs/>
                <w:vertAlign w:val="subscript"/>
              </w:rPr>
              <w:t>direct</w:t>
            </w:r>
            <w:r>
              <w:rPr>
                <w:rFonts w:ascii="Times New Roman" w:hAnsi="Times New Roman"/>
              </w:rPr>
              <w:t xml:space="preserve"> + </w:t>
            </w:r>
            <w:r>
              <w:rPr>
                <w:rFonts w:ascii="Times New Roman" w:hAnsi="Times New Roman"/>
                <w:i/>
                <w:iCs/>
              </w:rPr>
              <w:t>Em</w:t>
            </w:r>
            <w:r>
              <w:rPr>
                <w:rFonts w:ascii="Times New Roman" w:hAnsi="Times New Roman"/>
                <w:i/>
                <w:iCs/>
                <w:vertAlign w:val="subscript"/>
              </w:rPr>
              <w:t>NetHeatImport</w:t>
            </w:r>
          </w:p>
        </w:tc>
        <w:tc>
          <w:tcPr>
            <w:tcW w:w="3118" w:type="dxa"/>
            <w:vMerge w:val="restart"/>
            <w:vAlign w:val="center"/>
          </w:tcPr>
          <w:p w14:paraId="345FF6CA" w14:textId="77777777" w:rsidR="00E87CFB" w:rsidRDefault="00C24C0B" w:rsidP="00E87CFB">
            <w:pPr>
              <w:pStyle w:val="BodyText"/>
              <w:widowControl/>
              <w:ind w:left="0"/>
              <w:rPr>
                <w:rFonts w:ascii="Times New Roman" w:hAnsi="Times New Roman" w:cs="Times New Roman"/>
                <w:noProof/>
                <w:position w:val="6"/>
              </w:rPr>
            </w:pPr>
            <w:r>
              <w:rPr>
                <w:rFonts w:ascii="Times New Roman" w:hAnsi="Times New Roman"/>
              </w:rPr>
              <w:t xml:space="preserve">× </w:t>
            </w:r>
            <w:r>
              <w:rPr>
                <w:rFonts w:ascii="Times New Roman" w:hAnsi="Times New Roman"/>
                <w:i/>
                <w:iCs/>
              </w:rPr>
              <w:t>BM</w:t>
            </w:r>
            <w:r>
              <w:rPr>
                <w:rFonts w:ascii="Times New Roman" w:hAnsi="Times New Roman"/>
                <w:i/>
                <w:iCs/>
                <w:vertAlign w:val="subscript"/>
              </w:rPr>
              <w:t>p</w:t>
            </w:r>
            <w:r>
              <w:rPr>
                <w:rFonts w:ascii="Times New Roman" w:hAnsi="Times New Roman"/>
                <w:vertAlign w:val="subscript"/>
              </w:rPr>
              <w:t xml:space="preserve"> </w:t>
            </w:r>
            <w:r>
              <w:rPr>
                <w:rFonts w:ascii="Times New Roman" w:hAnsi="Times New Roman"/>
              </w:rPr>
              <w:t xml:space="preserve">× </w:t>
            </w:r>
            <w:r>
              <w:rPr>
                <w:rFonts w:ascii="Times New Roman" w:hAnsi="Times New Roman"/>
                <w:i/>
                <w:iCs/>
              </w:rPr>
              <w:t>HAL</w:t>
            </w:r>
            <w:r>
              <w:rPr>
                <w:rFonts w:ascii="Times New Roman" w:hAnsi="Times New Roman"/>
                <w:i/>
                <w:iCs/>
                <w:vertAlign w:val="subscript"/>
              </w:rPr>
              <w:t>p</w:t>
            </w:r>
            <w:r>
              <w:rPr>
                <w:rFonts w:ascii="Times New Roman" w:hAnsi="Times New Roman"/>
              </w:rPr>
              <w:t xml:space="preserve"> × </w:t>
            </w:r>
            <w:r>
              <w:rPr>
                <w:rFonts w:ascii="Times New Roman" w:hAnsi="Times New Roman"/>
                <w:i/>
                <w:iCs/>
              </w:rPr>
              <w:t>CLEF</w:t>
            </w:r>
            <w:r>
              <w:rPr>
                <w:rFonts w:ascii="Times New Roman" w:hAnsi="Times New Roman"/>
                <w:i/>
                <w:iCs/>
                <w:vertAlign w:val="subscript"/>
              </w:rPr>
              <w:t>p,k</w:t>
            </w:r>
          </w:p>
        </w:tc>
      </w:tr>
      <w:tr w:rsidR="00E87CFB" w14:paraId="5DFA3730" w14:textId="77777777" w:rsidTr="00C24C0B">
        <w:trPr>
          <w:jc w:val="center"/>
        </w:trPr>
        <w:tc>
          <w:tcPr>
            <w:tcW w:w="851" w:type="dxa"/>
            <w:vMerge/>
          </w:tcPr>
          <w:p w14:paraId="5F5BC764" w14:textId="77777777" w:rsidR="00E87CFB" w:rsidRDefault="00E87CFB" w:rsidP="00583F3E">
            <w:pPr>
              <w:pStyle w:val="BodyText"/>
              <w:widowControl/>
              <w:ind w:left="0"/>
              <w:jc w:val="both"/>
              <w:rPr>
                <w:rFonts w:ascii="Times New Roman" w:hAnsi="Times New Roman" w:cs="Times New Roman"/>
                <w:noProof/>
                <w:position w:val="6"/>
              </w:rPr>
            </w:pPr>
          </w:p>
        </w:tc>
        <w:tc>
          <w:tcPr>
            <w:tcW w:w="3969" w:type="dxa"/>
            <w:tcBorders>
              <w:top w:val="single" w:sz="4" w:space="0" w:color="auto"/>
            </w:tcBorders>
            <w:vAlign w:val="center"/>
          </w:tcPr>
          <w:p w14:paraId="5EFD2A62" w14:textId="77777777" w:rsidR="00E87CFB" w:rsidRPr="00C24C0B" w:rsidRDefault="00C24C0B" w:rsidP="00C24C0B">
            <w:pPr>
              <w:pStyle w:val="BodyText"/>
              <w:widowControl/>
              <w:ind w:left="0"/>
              <w:jc w:val="center"/>
              <w:rPr>
                <w:rFonts w:ascii="Times New Roman" w:hAnsi="Times New Roman" w:cs="Times New Roman"/>
                <w:noProof/>
                <w:position w:val="6"/>
              </w:rPr>
            </w:pPr>
            <w:r>
              <w:rPr>
                <w:rFonts w:ascii="Times New Roman" w:hAnsi="Times New Roman"/>
                <w:i/>
                <w:iCs/>
              </w:rPr>
              <w:t>Em</w:t>
            </w:r>
            <w:r>
              <w:rPr>
                <w:rFonts w:ascii="Times New Roman" w:hAnsi="Times New Roman"/>
                <w:i/>
                <w:iCs/>
                <w:vertAlign w:val="subscript"/>
              </w:rPr>
              <w:t>direct</w:t>
            </w:r>
            <w:r>
              <w:rPr>
                <w:rFonts w:ascii="Times New Roman" w:hAnsi="Times New Roman"/>
              </w:rPr>
              <w:t xml:space="preserve"> + </w:t>
            </w:r>
            <w:r>
              <w:rPr>
                <w:rFonts w:ascii="Times New Roman" w:hAnsi="Times New Roman"/>
                <w:i/>
                <w:iCs/>
              </w:rPr>
              <w:t>Em</w:t>
            </w:r>
            <w:r>
              <w:rPr>
                <w:rFonts w:ascii="Times New Roman" w:hAnsi="Times New Roman"/>
                <w:i/>
                <w:iCs/>
                <w:vertAlign w:val="subscript"/>
              </w:rPr>
              <w:t>NetHeatImport</w:t>
            </w:r>
            <w:r>
              <w:rPr>
                <w:rFonts w:ascii="Times New Roman" w:hAnsi="Times New Roman"/>
              </w:rPr>
              <w:t xml:space="preserve"> + </w:t>
            </w:r>
            <w:r>
              <w:rPr>
                <w:rFonts w:ascii="Times New Roman" w:hAnsi="Times New Roman"/>
                <w:i/>
                <w:iCs/>
              </w:rPr>
              <w:t>Em</w:t>
            </w:r>
            <w:r>
              <w:rPr>
                <w:rFonts w:ascii="Times New Roman" w:hAnsi="Times New Roman"/>
                <w:i/>
                <w:iCs/>
                <w:vertAlign w:val="subscript"/>
              </w:rPr>
              <w:t>Elec</w:t>
            </w:r>
            <w:r>
              <w:rPr>
                <w:rFonts w:ascii="Times New Roman" w:hAnsi="Times New Roman"/>
              </w:rPr>
              <w:t>,</w:t>
            </w:r>
          </w:p>
        </w:tc>
        <w:tc>
          <w:tcPr>
            <w:tcW w:w="3118" w:type="dxa"/>
            <w:vMerge/>
          </w:tcPr>
          <w:p w14:paraId="314FD063" w14:textId="77777777" w:rsidR="00E87CFB" w:rsidRDefault="00E87CFB" w:rsidP="00583F3E">
            <w:pPr>
              <w:pStyle w:val="BodyText"/>
              <w:widowControl/>
              <w:ind w:left="0"/>
              <w:jc w:val="both"/>
              <w:rPr>
                <w:rFonts w:ascii="Times New Roman" w:hAnsi="Times New Roman" w:cs="Times New Roman"/>
                <w:noProof/>
                <w:position w:val="6"/>
              </w:rPr>
            </w:pPr>
          </w:p>
        </w:tc>
      </w:tr>
    </w:tbl>
    <w:p w14:paraId="63240261" w14:textId="77777777" w:rsidR="00E87CFB" w:rsidRDefault="00E87CFB" w:rsidP="00583F3E">
      <w:pPr>
        <w:pStyle w:val="BodyText"/>
        <w:widowControl/>
        <w:ind w:left="0"/>
        <w:jc w:val="both"/>
        <w:rPr>
          <w:rFonts w:ascii="Times New Roman" w:hAnsi="Times New Roman" w:cs="Times New Roman"/>
          <w:noProof/>
          <w:position w:val="6"/>
        </w:rPr>
      </w:pPr>
    </w:p>
    <w:p w14:paraId="777C2A30"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7"/>
      </w:tblGrid>
      <w:tr w:rsidR="00C24C0B" w:rsidRPr="00C24C0B" w14:paraId="4AFB206C" w14:textId="77777777" w:rsidTr="00B512E0">
        <w:tc>
          <w:tcPr>
            <w:tcW w:w="1951" w:type="dxa"/>
          </w:tcPr>
          <w:p w14:paraId="716B634E" w14:textId="77777777" w:rsidR="00C24C0B" w:rsidRPr="00C24C0B" w:rsidRDefault="00C24C0B" w:rsidP="00583F3E">
            <w:pPr>
              <w:pStyle w:val="BodyText"/>
              <w:widowControl/>
              <w:ind w:left="0"/>
              <w:jc w:val="both"/>
              <w:rPr>
                <w:rFonts w:ascii="Times New Roman" w:hAnsi="Times New Roman" w:cs="Times New Roman"/>
                <w:noProof/>
                <w:position w:val="6"/>
              </w:rPr>
            </w:pPr>
            <w:r>
              <w:rPr>
                <w:rFonts w:ascii="Times New Roman" w:hAnsi="Times New Roman"/>
                <w:i/>
                <w:iCs/>
              </w:rPr>
              <w:t>F</w:t>
            </w:r>
            <w:r>
              <w:rPr>
                <w:rFonts w:ascii="Times New Roman" w:hAnsi="Times New Roman"/>
                <w:i/>
                <w:iCs/>
                <w:vertAlign w:val="subscript"/>
              </w:rPr>
              <w:t>p,k</w:t>
            </w:r>
          </w:p>
        </w:tc>
        <w:tc>
          <w:tcPr>
            <w:tcW w:w="7337" w:type="dxa"/>
          </w:tcPr>
          <w:p w14:paraId="3FCD8885" w14:textId="15A26CBC" w:rsidR="00C24C0B" w:rsidRPr="00C24C0B" w:rsidRDefault="00C24C0B" w:rsidP="00583F3E">
            <w:pPr>
              <w:pStyle w:val="BodyText"/>
              <w:widowControl/>
              <w:ind w:left="0"/>
              <w:jc w:val="both"/>
              <w:rPr>
                <w:rFonts w:ascii="Times New Roman" w:hAnsi="Times New Roman" w:cs="Times New Roman"/>
                <w:noProof/>
                <w:position w:val="6"/>
              </w:rPr>
            </w:pPr>
            <w:r>
              <w:rPr>
                <w:rFonts w:ascii="Times New Roman" w:hAnsi="Times New Roman"/>
              </w:rPr>
              <w:t xml:space="preserve">ir ikgadējais provizoriskais piešķiramo kvotu apjoms produkta līmeņatzīmes apakšiekārtai gadā </w:t>
            </w:r>
            <w:r>
              <w:rPr>
                <w:rFonts w:ascii="Times New Roman" w:hAnsi="Times New Roman"/>
                <w:i/>
                <w:iCs/>
              </w:rPr>
              <w:t>k</w:t>
            </w:r>
            <w:r>
              <w:rPr>
                <w:rFonts w:ascii="Times New Roman" w:hAnsi="Times New Roman"/>
              </w:rPr>
              <w:t xml:space="preserve"> (izteikts </w:t>
            </w:r>
            <w:r>
              <w:rPr>
                <w:rFonts w:ascii="Times New Roman" w:hAnsi="Times New Roman"/>
                <w:i/>
                <w:iCs/>
              </w:rPr>
              <w:t>E</w:t>
            </w:r>
            <w:r w:rsidR="0036402B">
              <w:rPr>
                <w:rFonts w:ascii="Times New Roman" w:hAnsi="Times New Roman"/>
                <w:i/>
                <w:iCs/>
              </w:rPr>
              <w:t>UA</w:t>
            </w:r>
            <w:r>
              <w:rPr>
                <w:rFonts w:ascii="Times New Roman" w:hAnsi="Times New Roman"/>
              </w:rPr>
              <w:t>/gadā);</w:t>
            </w:r>
          </w:p>
        </w:tc>
      </w:tr>
      <w:tr w:rsidR="00C24C0B" w14:paraId="6712A1CC" w14:textId="77777777" w:rsidTr="00B512E0">
        <w:tc>
          <w:tcPr>
            <w:tcW w:w="1951" w:type="dxa"/>
          </w:tcPr>
          <w:p w14:paraId="1F179B5D" w14:textId="77777777" w:rsidR="00C24C0B" w:rsidRDefault="00C24C0B" w:rsidP="00583F3E">
            <w:pPr>
              <w:pStyle w:val="BodyText"/>
              <w:widowControl/>
              <w:ind w:left="0"/>
              <w:jc w:val="both"/>
              <w:rPr>
                <w:rFonts w:ascii="Times New Roman" w:hAnsi="Times New Roman" w:cs="Times New Roman"/>
                <w:noProof/>
                <w:position w:val="6"/>
              </w:rPr>
            </w:pPr>
            <w:r>
              <w:rPr>
                <w:rFonts w:ascii="Times New Roman" w:hAnsi="Times New Roman"/>
                <w:i/>
                <w:iCs/>
              </w:rPr>
              <w:t>BM</w:t>
            </w:r>
            <w:r>
              <w:rPr>
                <w:rFonts w:ascii="Times New Roman" w:hAnsi="Times New Roman"/>
                <w:i/>
                <w:iCs/>
                <w:vertAlign w:val="subscript"/>
              </w:rPr>
              <w:t>p</w:t>
            </w:r>
          </w:p>
        </w:tc>
        <w:tc>
          <w:tcPr>
            <w:tcW w:w="7337" w:type="dxa"/>
          </w:tcPr>
          <w:p w14:paraId="67B0073D" w14:textId="7093C60F" w:rsidR="00C24C0B" w:rsidRDefault="00C24C0B" w:rsidP="00583F3E">
            <w:pPr>
              <w:pStyle w:val="BodyText"/>
              <w:widowControl/>
              <w:ind w:left="0"/>
              <w:jc w:val="both"/>
              <w:rPr>
                <w:rFonts w:ascii="Times New Roman" w:hAnsi="Times New Roman" w:cs="Times New Roman"/>
                <w:noProof/>
                <w:position w:val="6"/>
              </w:rPr>
            </w:pPr>
            <w:r>
              <w:rPr>
                <w:rFonts w:ascii="Times New Roman" w:hAnsi="Times New Roman"/>
              </w:rPr>
              <w:t xml:space="preserve">ir produkta līmeņatzīme (kas izteikta </w:t>
            </w:r>
            <w:r>
              <w:rPr>
                <w:rFonts w:ascii="Times New Roman" w:hAnsi="Times New Roman"/>
                <w:i/>
                <w:iCs/>
              </w:rPr>
              <w:t>E</w:t>
            </w:r>
            <w:r w:rsidR="00136114">
              <w:rPr>
                <w:rFonts w:ascii="Times New Roman" w:hAnsi="Times New Roman"/>
                <w:i/>
                <w:iCs/>
              </w:rPr>
              <w:t>UA</w:t>
            </w:r>
            <w:r>
              <w:rPr>
                <w:rFonts w:ascii="Times New Roman" w:hAnsi="Times New Roman"/>
              </w:rPr>
              <w:t>/produkta vienībās);</w:t>
            </w:r>
          </w:p>
        </w:tc>
      </w:tr>
      <w:tr w:rsidR="00C24C0B" w14:paraId="033D9BB8" w14:textId="77777777" w:rsidTr="00B512E0">
        <w:tc>
          <w:tcPr>
            <w:tcW w:w="1951" w:type="dxa"/>
          </w:tcPr>
          <w:p w14:paraId="50D60BDD" w14:textId="77777777" w:rsidR="00C24C0B" w:rsidRDefault="00C24C0B" w:rsidP="00583F3E">
            <w:pPr>
              <w:pStyle w:val="BodyText"/>
              <w:widowControl/>
              <w:ind w:left="0"/>
              <w:jc w:val="both"/>
              <w:rPr>
                <w:rFonts w:ascii="Times New Roman" w:hAnsi="Times New Roman" w:cs="Times New Roman"/>
                <w:noProof/>
                <w:position w:val="6"/>
              </w:rPr>
            </w:pPr>
            <w:r>
              <w:rPr>
                <w:rFonts w:ascii="Times New Roman" w:hAnsi="Times New Roman"/>
                <w:i/>
                <w:iCs/>
              </w:rPr>
              <w:t>HAL</w:t>
            </w:r>
            <w:r>
              <w:rPr>
                <w:rFonts w:ascii="Times New Roman" w:hAnsi="Times New Roman"/>
                <w:i/>
                <w:iCs/>
                <w:vertAlign w:val="subscript"/>
              </w:rPr>
              <w:t>p</w:t>
            </w:r>
          </w:p>
        </w:tc>
        <w:tc>
          <w:tcPr>
            <w:tcW w:w="7337" w:type="dxa"/>
          </w:tcPr>
          <w:p w14:paraId="3E9207AF" w14:textId="77777777" w:rsidR="00C24C0B" w:rsidRDefault="00B512E0" w:rsidP="00583F3E">
            <w:pPr>
              <w:pStyle w:val="BodyText"/>
              <w:widowControl/>
              <w:ind w:left="0"/>
              <w:jc w:val="both"/>
              <w:rPr>
                <w:rFonts w:ascii="Times New Roman" w:hAnsi="Times New Roman" w:cs="Times New Roman"/>
                <w:noProof/>
                <w:position w:val="6"/>
              </w:rPr>
            </w:pPr>
            <w:r>
              <w:rPr>
                <w:rFonts w:ascii="Times New Roman" w:hAnsi="Times New Roman"/>
              </w:rPr>
              <w:t>ir vēsturiskais darbības līmenis, t. i., tas ikgadējā ražošanas apjoma aritmētiskais vidējais bāzlīnijas periodā, kas noteikts un verificēts bāzlīnijas datu vākšanā (izteikts produkta vienībās gadā) attiecībā uz produktu </w:t>
            </w:r>
            <w:r>
              <w:rPr>
                <w:rFonts w:ascii="Times New Roman" w:hAnsi="Times New Roman"/>
                <w:i/>
                <w:iCs/>
              </w:rPr>
              <w:t>p</w:t>
            </w:r>
            <w:r>
              <w:rPr>
                <w:rFonts w:ascii="Times New Roman" w:hAnsi="Times New Roman"/>
              </w:rPr>
              <w:t>;</w:t>
            </w:r>
          </w:p>
        </w:tc>
      </w:tr>
      <w:tr w:rsidR="00C24C0B" w14:paraId="1CC6F360" w14:textId="77777777" w:rsidTr="00B512E0">
        <w:tc>
          <w:tcPr>
            <w:tcW w:w="1951" w:type="dxa"/>
          </w:tcPr>
          <w:p w14:paraId="6D8B9ED5" w14:textId="77777777" w:rsidR="00C24C0B" w:rsidRDefault="00C24C0B" w:rsidP="00583F3E">
            <w:pPr>
              <w:pStyle w:val="BodyText"/>
              <w:widowControl/>
              <w:ind w:left="0"/>
              <w:jc w:val="both"/>
              <w:rPr>
                <w:rFonts w:ascii="Times New Roman" w:hAnsi="Times New Roman" w:cs="Times New Roman"/>
                <w:noProof/>
                <w:position w:val="6"/>
              </w:rPr>
            </w:pPr>
            <w:r>
              <w:rPr>
                <w:rFonts w:ascii="Times New Roman" w:hAnsi="Times New Roman"/>
                <w:i/>
                <w:iCs/>
              </w:rPr>
              <w:t>Em</w:t>
            </w:r>
            <w:r>
              <w:rPr>
                <w:rFonts w:ascii="Times New Roman" w:hAnsi="Times New Roman"/>
                <w:i/>
                <w:iCs/>
                <w:vertAlign w:val="subscript"/>
              </w:rPr>
              <w:t>direct</w:t>
            </w:r>
          </w:p>
        </w:tc>
        <w:tc>
          <w:tcPr>
            <w:tcW w:w="7337" w:type="dxa"/>
          </w:tcPr>
          <w:p w14:paraId="20594C0B" w14:textId="77777777" w:rsidR="00C24C0B" w:rsidRDefault="00B512E0" w:rsidP="00583F3E">
            <w:pPr>
              <w:pStyle w:val="BodyText"/>
              <w:widowControl/>
              <w:ind w:left="0"/>
              <w:jc w:val="both"/>
              <w:rPr>
                <w:rFonts w:ascii="Times New Roman" w:hAnsi="Times New Roman" w:cs="Times New Roman"/>
                <w:noProof/>
                <w:position w:val="6"/>
              </w:rPr>
            </w:pPr>
            <w:r>
              <w:rPr>
                <w:rFonts w:ascii="Times New Roman" w:hAnsi="Times New Roman"/>
              </w:rPr>
              <w:t>ir tiešās emisijas produkta līmeņatzīmes apakšiekārtas sistēmas robežās bāzlīnijas periodā. Tās ir kopējās summārās emisijas visā bāzlīnijas periodā (2014.–2018. gadā vai 2019.–2023. gadā) neatkarīgi no potenciāli notikušajām jaudas, darbības vai ekspluatācijas izmaiņām. Tiešās emisijas ietver tās emisijas, kas radušās tā siltuma ražošanas rezultātā tajā pašā ETS iekārtā, kas tiek patērēts ražošanas līmeņatzīmes procesa sistēmas robežās. Tiešajām emisijām nav jāietver jebkādas emisijas, kas rodas elektroenerģijas ražošanas rezultātā vai neto siltuma eksporta/importa no citām ETS iekārtām vai ETS neaptvertām vienībām dēļ.</w:t>
            </w:r>
          </w:p>
        </w:tc>
      </w:tr>
      <w:tr w:rsidR="00C24C0B" w14:paraId="7838C948" w14:textId="77777777" w:rsidTr="00B512E0">
        <w:tc>
          <w:tcPr>
            <w:tcW w:w="1951" w:type="dxa"/>
          </w:tcPr>
          <w:p w14:paraId="17737841" w14:textId="77777777" w:rsidR="00C24C0B" w:rsidRDefault="00C24C0B" w:rsidP="00583F3E">
            <w:pPr>
              <w:pStyle w:val="BodyText"/>
              <w:widowControl/>
              <w:ind w:left="0"/>
              <w:jc w:val="both"/>
              <w:rPr>
                <w:rFonts w:ascii="Times New Roman" w:hAnsi="Times New Roman" w:cs="Times New Roman"/>
                <w:noProof/>
                <w:position w:val="6"/>
              </w:rPr>
            </w:pPr>
            <w:r>
              <w:rPr>
                <w:rFonts w:ascii="Times New Roman" w:hAnsi="Times New Roman"/>
                <w:i/>
                <w:iCs/>
              </w:rPr>
              <w:t>Em</w:t>
            </w:r>
            <w:r>
              <w:rPr>
                <w:rFonts w:ascii="Times New Roman" w:hAnsi="Times New Roman"/>
                <w:i/>
                <w:iCs/>
                <w:vertAlign w:val="subscript"/>
              </w:rPr>
              <w:t>NetHeatImport</w:t>
            </w:r>
            <w:r>
              <w:rPr>
                <w:rFonts w:ascii="Times New Roman" w:hAnsi="Times New Roman"/>
              </w:rPr>
              <w:t>:</w:t>
            </w:r>
          </w:p>
        </w:tc>
        <w:tc>
          <w:tcPr>
            <w:tcW w:w="7337" w:type="dxa"/>
          </w:tcPr>
          <w:p w14:paraId="43D908F0" w14:textId="77777777" w:rsidR="00C24C0B" w:rsidRDefault="00B512E0" w:rsidP="00583F3E">
            <w:pPr>
              <w:pStyle w:val="BodyText"/>
              <w:widowControl/>
              <w:ind w:left="0"/>
              <w:jc w:val="both"/>
              <w:rPr>
                <w:rFonts w:ascii="Times New Roman" w:hAnsi="Times New Roman" w:cs="Times New Roman"/>
                <w:noProof/>
                <w:position w:val="6"/>
              </w:rPr>
            </w:pPr>
            <w:r>
              <w:rPr>
                <w:rFonts w:ascii="Times New Roman" w:hAnsi="Times New Roman"/>
              </w:rPr>
              <w:t>emisijas, kas rodas sakarā ar jebkādu izmērāma neto siltuma importu no citām ETS iekārtām un ETS neaptvertām vienībām bāzlīnijas periodā, ko veic produkta līmeņatzīmes apakšiekārta. Neatkarīgi no tā, kur un kā šis siltums tiek ražots, šīs emisijas, kas izteiktas tonnās CO</w:t>
            </w:r>
            <w:r>
              <w:rPr>
                <w:rFonts w:ascii="Times New Roman" w:hAnsi="Times New Roman"/>
                <w:vertAlign w:val="subscript"/>
              </w:rPr>
              <w:t>2</w:t>
            </w:r>
            <w:r>
              <w:rPr>
                <w:rFonts w:ascii="Times New Roman" w:hAnsi="Times New Roman"/>
              </w:rPr>
              <w:t>/gadā, tiek aprēķinātas šādi:</w:t>
            </w:r>
          </w:p>
        </w:tc>
      </w:tr>
    </w:tbl>
    <w:p w14:paraId="358ED727" w14:textId="77777777" w:rsidR="00C24C0B" w:rsidRDefault="00C24C0B" w:rsidP="00583F3E">
      <w:pPr>
        <w:pStyle w:val="BodyText"/>
        <w:widowControl/>
        <w:ind w:left="0"/>
        <w:jc w:val="both"/>
        <w:rPr>
          <w:rFonts w:ascii="Times New Roman" w:hAnsi="Times New Roman" w:cs="Times New Roman"/>
          <w:noProof/>
          <w:position w:val="6"/>
        </w:rPr>
      </w:pPr>
    </w:p>
    <w:p w14:paraId="43E0C0B8" w14:textId="77777777" w:rsidR="00B512E0" w:rsidRPr="00B512E0" w:rsidRDefault="00B512E0" w:rsidP="00B512E0">
      <w:pPr>
        <w:pStyle w:val="BodyText"/>
        <w:widowControl/>
        <w:ind w:left="0"/>
        <w:jc w:val="center"/>
        <w:rPr>
          <w:rFonts w:ascii="Times New Roman" w:hAnsi="Times New Roman" w:cs="Times New Roman"/>
          <w:i/>
          <w:iCs/>
          <w:noProof/>
          <w:position w:val="6"/>
        </w:rPr>
      </w:pPr>
      <w:r>
        <w:rPr>
          <w:rFonts w:ascii="Times New Roman" w:hAnsi="Times New Roman"/>
          <w:i/>
          <w:iCs/>
        </w:rPr>
        <w:t>Em</w:t>
      </w:r>
      <w:r>
        <w:rPr>
          <w:rFonts w:ascii="Times New Roman" w:hAnsi="Times New Roman"/>
          <w:i/>
          <w:iCs/>
          <w:vertAlign w:val="subscript"/>
        </w:rPr>
        <w:t>NetHeatImport</w:t>
      </w:r>
      <w:r>
        <w:rPr>
          <w:rFonts w:ascii="Times New Roman" w:hAnsi="Times New Roman"/>
        </w:rPr>
        <w:t xml:space="preserve"> = </w:t>
      </w:r>
      <w:r>
        <w:rPr>
          <w:rFonts w:ascii="Times New Roman" w:hAnsi="Times New Roman"/>
          <w:i/>
          <w:iCs/>
        </w:rPr>
        <w:t>NetHeatImport</w:t>
      </w:r>
      <w:r>
        <w:rPr>
          <w:rFonts w:ascii="Times New Roman" w:hAnsi="Times New Roman"/>
        </w:rPr>
        <w:t xml:space="preserve"> × </w:t>
      </w:r>
      <w:r>
        <w:rPr>
          <w:rFonts w:ascii="Times New Roman" w:hAnsi="Times New Roman"/>
          <w:i/>
          <w:iCs/>
        </w:rPr>
        <w:t>BM</w:t>
      </w:r>
      <w:r>
        <w:rPr>
          <w:rFonts w:ascii="Times New Roman" w:hAnsi="Times New Roman"/>
          <w:i/>
          <w:iCs/>
          <w:vertAlign w:val="subscript"/>
        </w:rPr>
        <w:t>heat</w:t>
      </w:r>
      <w:r>
        <w:rPr>
          <w:rFonts w:ascii="Times New Roman" w:hAnsi="Times New Roman"/>
        </w:rPr>
        <w:t>,</w:t>
      </w:r>
    </w:p>
    <w:p w14:paraId="204E2C9C" w14:textId="77777777" w:rsidR="00B512E0" w:rsidRDefault="00B512E0" w:rsidP="00583F3E">
      <w:pPr>
        <w:widowControl/>
        <w:jc w:val="both"/>
        <w:rPr>
          <w:rFonts w:ascii="Times New Roman" w:hAnsi="Times New Roman" w:cs="Times New Roman"/>
          <w:noProof/>
          <w:position w:val="6"/>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7"/>
      </w:tblGrid>
      <w:tr w:rsidR="00B512E0" w14:paraId="0F8D82D2" w14:textId="77777777" w:rsidTr="00B512E0">
        <w:tc>
          <w:tcPr>
            <w:tcW w:w="1951" w:type="dxa"/>
          </w:tcPr>
          <w:p w14:paraId="7212275F" w14:textId="77777777" w:rsidR="00B512E0" w:rsidRDefault="00B512E0" w:rsidP="00583F3E">
            <w:pPr>
              <w:widowControl/>
              <w:jc w:val="both"/>
              <w:rPr>
                <w:rFonts w:ascii="Times New Roman" w:hAnsi="Times New Roman" w:cs="Times New Roman"/>
                <w:noProof/>
                <w:position w:val="6"/>
                <w:sz w:val="24"/>
                <w:szCs w:val="24"/>
              </w:rPr>
            </w:pPr>
          </w:p>
        </w:tc>
        <w:tc>
          <w:tcPr>
            <w:tcW w:w="7337" w:type="dxa"/>
          </w:tcPr>
          <w:p w14:paraId="3D7D6B63" w14:textId="77777777" w:rsidR="00B512E0" w:rsidRDefault="00B512E0" w:rsidP="00B512E0">
            <w:pPr>
              <w:widowControl/>
              <w:jc w:val="both"/>
              <w:rPr>
                <w:rFonts w:ascii="Times New Roman" w:hAnsi="Times New Roman" w:cs="Times New Roman"/>
                <w:noProof/>
                <w:position w:val="6"/>
                <w:sz w:val="24"/>
                <w:szCs w:val="24"/>
              </w:rPr>
            </w:pPr>
            <w:r>
              <w:rPr>
                <w:rFonts w:ascii="Times New Roman" w:hAnsi="Times New Roman"/>
                <w:sz w:val="24"/>
                <w:szCs w:val="24"/>
              </w:rPr>
              <w:t xml:space="preserve">kur </w:t>
            </w:r>
            <w:r>
              <w:rPr>
                <w:rFonts w:ascii="Times New Roman" w:hAnsi="Times New Roman"/>
                <w:i/>
                <w:iCs/>
                <w:sz w:val="24"/>
                <w:szCs w:val="24"/>
              </w:rPr>
              <w:t xml:space="preserve">Net Heat Import </w:t>
            </w:r>
            <w:r>
              <w:rPr>
                <w:rFonts w:ascii="Times New Roman" w:hAnsi="Times New Roman"/>
                <w:sz w:val="24"/>
                <w:szCs w:val="24"/>
              </w:rPr>
              <w:t xml:space="preserve">ir kopējais izmērāma neto siltuma imports no citām ETS iekārtām un ETS neaptvertām vienībām bāzlīnijas periodā, ko veic produkta līmeņatzīmes apakšiekārta, izteikts </w:t>
            </w:r>
            <w:r>
              <w:rPr>
                <w:rFonts w:ascii="Times New Roman" w:hAnsi="Times New Roman"/>
                <w:i/>
                <w:iCs/>
                <w:sz w:val="24"/>
                <w:szCs w:val="24"/>
              </w:rPr>
              <w:t>TJ</w:t>
            </w:r>
            <w:r>
              <w:rPr>
                <w:rFonts w:ascii="Times New Roman" w:hAnsi="Times New Roman"/>
                <w:sz w:val="24"/>
                <w:szCs w:val="24"/>
              </w:rPr>
              <w:t>. Tas ir summārais neto siltuma imports visā bāzlīnijas periodā (2014.–2018. gadā vai 2019.–2023. gadā) neatkarīgi no potenciāli notikušajām jaudas, darbības vai ekspluatācijas izmaiņām</w:t>
            </w:r>
            <w:r>
              <w:rPr>
                <w:rStyle w:val="FootnoteReference"/>
                <w:rFonts w:ascii="Times New Roman" w:hAnsi="Times New Roman" w:cs="Times New Roman"/>
                <w:noProof/>
                <w:position w:val="6"/>
                <w:sz w:val="24"/>
                <w:szCs w:val="24"/>
              </w:rPr>
              <w:footnoteReference w:id="25"/>
            </w:r>
            <w:r>
              <w:rPr>
                <w:rFonts w:ascii="Times New Roman" w:hAnsi="Times New Roman"/>
                <w:sz w:val="24"/>
                <w:szCs w:val="24"/>
              </w:rPr>
              <w:t>.</w:t>
            </w:r>
          </w:p>
        </w:tc>
      </w:tr>
      <w:tr w:rsidR="00B512E0" w14:paraId="0799D52F" w14:textId="77777777" w:rsidTr="00B512E0">
        <w:tc>
          <w:tcPr>
            <w:tcW w:w="1951" w:type="dxa"/>
          </w:tcPr>
          <w:p w14:paraId="42E05B33" w14:textId="77777777" w:rsidR="00B512E0" w:rsidRPr="00B512E0" w:rsidRDefault="00B512E0" w:rsidP="00583F3E">
            <w:pPr>
              <w:widowControl/>
              <w:jc w:val="both"/>
              <w:rPr>
                <w:rFonts w:ascii="Times New Roman" w:hAnsi="Times New Roman" w:cs="Times New Roman"/>
                <w:noProof/>
                <w:position w:val="6"/>
                <w:sz w:val="24"/>
                <w:szCs w:val="24"/>
              </w:rPr>
            </w:pPr>
            <w:r>
              <w:rPr>
                <w:rFonts w:ascii="Times New Roman" w:hAnsi="Times New Roman"/>
                <w:i/>
                <w:iCs/>
              </w:rPr>
              <w:t>Em</w:t>
            </w:r>
            <w:r>
              <w:rPr>
                <w:rFonts w:ascii="Times New Roman" w:hAnsi="Times New Roman"/>
                <w:i/>
                <w:iCs/>
                <w:vertAlign w:val="subscript"/>
              </w:rPr>
              <w:t>Elec</w:t>
            </w:r>
            <w:r>
              <w:rPr>
                <w:rFonts w:ascii="Times New Roman" w:hAnsi="Times New Roman"/>
              </w:rPr>
              <w:t>:</w:t>
            </w:r>
          </w:p>
        </w:tc>
        <w:tc>
          <w:tcPr>
            <w:tcW w:w="7337" w:type="dxa"/>
          </w:tcPr>
          <w:p w14:paraId="3417941C" w14:textId="77777777" w:rsidR="00B512E0" w:rsidRDefault="00B512E0" w:rsidP="00B512E0">
            <w:pPr>
              <w:pStyle w:val="BodyText"/>
              <w:widowControl/>
              <w:tabs>
                <w:tab w:val="left" w:pos="1560"/>
              </w:tabs>
              <w:ind w:left="0"/>
              <w:jc w:val="both"/>
              <w:rPr>
                <w:rFonts w:ascii="Times New Roman" w:hAnsi="Times New Roman" w:cs="Times New Roman"/>
                <w:noProof/>
                <w:position w:val="6"/>
              </w:rPr>
            </w:pPr>
            <w:r>
              <w:rPr>
                <w:rFonts w:ascii="Times New Roman" w:hAnsi="Times New Roman"/>
              </w:rPr>
              <w:t>netiešās emisijas elektroenerģijas patēriņa dēļ produkta līmeņatzīmes apakšiekārtas sistēmas robežās bāzlīnijas periodā. Neatkarīgi no tā, kur un kā šī elektroenerģija tiek ražota, šīs emisijas, kas izteiktas tonnās CO</w:t>
            </w:r>
            <w:r>
              <w:rPr>
                <w:rFonts w:ascii="Times New Roman" w:hAnsi="Times New Roman"/>
                <w:vertAlign w:val="subscript"/>
              </w:rPr>
              <w:t>2</w:t>
            </w:r>
            <w:r>
              <w:rPr>
                <w:rFonts w:ascii="Times New Roman" w:hAnsi="Times New Roman"/>
              </w:rPr>
              <w:t>/gadā, tiek aprēķinātas šādi:</w:t>
            </w:r>
          </w:p>
        </w:tc>
      </w:tr>
    </w:tbl>
    <w:p w14:paraId="33942BD7" w14:textId="77777777" w:rsidR="00B512E0" w:rsidRDefault="00B512E0" w:rsidP="00583F3E">
      <w:pPr>
        <w:widowControl/>
        <w:jc w:val="both"/>
        <w:rPr>
          <w:rFonts w:ascii="Times New Roman" w:hAnsi="Times New Roman" w:cs="Times New Roman"/>
          <w:noProof/>
          <w:position w:val="6"/>
          <w:sz w:val="24"/>
          <w:szCs w:val="24"/>
        </w:rPr>
      </w:pPr>
    </w:p>
    <w:p w14:paraId="5662A0AF" w14:textId="77777777" w:rsidR="00B512E0" w:rsidRPr="00B512E0" w:rsidRDefault="00B512E0" w:rsidP="00B512E0">
      <w:pPr>
        <w:widowControl/>
        <w:jc w:val="center"/>
        <w:rPr>
          <w:rFonts w:ascii="Times New Roman" w:hAnsi="Times New Roman" w:cs="Times New Roman"/>
          <w:noProof/>
          <w:position w:val="6"/>
          <w:sz w:val="24"/>
          <w:szCs w:val="24"/>
        </w:rPr>
      </w:pPr>
      <w:r>
        <w:rPr>
          <w:rFonts w:ascii="Times New Roman" w:hAnsi="Times New Roman"/>
          <w:i/>
          <w:iCs/>
        </w:rPr>
        <w:t>Em</w:t>
      </w:r>
      <w:r>
        <w:rPr>
          <w:rFonts w:ascii="Times New Roman" w:hAnsi="Times New Roman"/>
          <w:i/>
          <w:iCs/>
          <w:vertAlign w:val="subscript"/>
        </w:rPr>
        <w:t>Elec</w:t>
      </w:r>
      <w:r>
        <w:rPr>
          <w:rFonts w:ascii="Times New Roman" w:hAnsi="Times New Roman"/>
        </w:rPr>
        <w:t xml:space="preserve"> = </w:t>
      </w:r>
      <w:r>
        <w:rPr>
          <w:rFonts w:ascii="Times New Roman" w:hAnsi="Times New Roman"/>
          <w:i/>
          <w:iCs/>
        </w:rPr>
        <w:t>Elec use</w:t>
      </w:r>
      <w:r>
        <w:rPr>
          <w:rFonts w:ascii="Times New Roman" w:hAnsi="Times New Roman"/>
        </w:rPr>
        <w:t xml:space="preserve"> × 0.376,</w:t>
      </w:r>
    </w:p>
    <w:p w14:paraId="20BB41A7" w14:textId="77777777" w:rsidR="00B512E0" w:rsidRDefault="00B512E0" w:rsidP="00583F3E">
      <w:pPr>
        <w:widowControl/>
        <w:jc w:val="both"/>
        <w:rPr>
          <w:rFonts w:ascii="Times New Roman" w:hAnsi="Times New Roman" w:cs="Times New Roman"/>
          <w:noProof/>
          <w:position w:val="6"/>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7"/>
      </w:tblGrid>
      <w:tr w:rsidR="00B512E0" w14:paraId="05019333" w14:textId="77777777" w:rsidTr="00B512E0">
        <w:tc>
          <w:tcPr>
            <w:tcW w:w="1951" w:type="dxa"/>
          </w:tcPr>
          <w:p w14:paraId="4AD2629B" w14:textId="77777777" w:rsidR="00B512E0" w:rsidRDefault="00B512E0" w:rsidP="00583F3E">
            <w:pPr>
              <w:widowControl/>
              <w:jc w:val="both"/>
              <w:rPr>
                <w:rFonts w:ascii="Times New Roman" w:hAnsi="Times New Roman" w:cs="Times New Roman"/>
                <w:noProof/>
                <w:position w:val="6"/>
                <w:sz w:val="24"/>
                <w:szCs w:val="24"/>
              </w:rPr>
            </w:pPr>
          </w:p>
        </w:tc>
        <w:tc>
          <w:tcPr>
            <w:tcW w:w="7337" w:type="dxa"/>
          </w:tcPr>
          <w:p w14:paraId="041DC455" w14:textId="77777777" w:rsidR="00B512E0" w:rsidRDefault="00B512E0" w:rsidP="00B512E0">
            <w:pPr>
              <w:pStyle w:val="BodyText"/>
              <w:widowControl/>
              <w:ind w:left="0"/>
              <w:jc w:val="both"/>
              <w:rPr>
                <w:rFonts w:ascii="Times New Roman" w:hAnsi="Times New Roman" w:cs="Times New Roman"/>
                <w:noProof/>
                <w:position w:val="6"/>
              </w:rPr>
            </w:pPr>
            <w:r>
              <w:rPr>
                <w:rFonts w:ascii="Times New Roman" w:hAnsi="Times New Roman"/>
              </w:rPr>
              <w:t xml:space="preserve">kur </w:t>
            </w:r>
            <w:r>
              <w:rPr>
                <w:rFonts w:ascii="Times New Roman" w:hAnsi="Times New Roman"/>
                <w:i/>
              </w:rPr>
              <w:t>Elec use</w:t>
            </w:r>
            <w:r>
              <w:rPr>
                <w:rFonts w:ascii="Times New Roman" w:hAnsi="Times New Roman"/>
              </w:rPr>
              <w:t xml:space="preserve"> ir elektroenerģijas patēriņš līmeņatzīmes produkta ražošanas sistēmas robežās bāzlīnijas periodā, izteikts MWh. Tas ir kopējais elektroenerģijas patēriņš visā bāzlīnijas periodā (2014.–2018. gadā vai 2019.–2023. gadā) neatkarīgi no potenciāli notikušajām jaudas, darbības vai ekspluatācijas izmaiņām.</w:t>
            </w:r>
          </w:p>
        </w:tc>
      </w:tr>
      <w:tr w:rsidR="00B512E0" w14:paraId="7F59CAF1" w14:textId="77777777" w:rsidTr="00B512E0">
        <w:tc>
          <w:tcPr>
            <w:tcW w:w="1951" w:type="dxa"/>
          </w:tcPr>
          <w:p w14:paraId="2878C659" w14:textId="77777777" w:rsidR="00B512E0" w:rsidRDefault="00B512E0" w:rsidP="00583F3E">
            <w:pPr>
              <w:widowControl/>
              <w:jc w:val="both"/>
              <w:rPr>
                <w:rFonts w:ascii="Times New Roman" w:hAnsi="Times New Roman" w:cs="Times New Roman"/>
                <w:noProof/>
                <w:position w:val="6"/>
                <w:sz w:val="24"/>
                <w:szCs w:val="24"/>
              </w:rPr>
            </w:pPr>
            <w:r>
              <w:rPr>
                <w:rFonts w:ascii="Times New Roman" w:hAnsi="Times New Roman"/>
                <w:i/>
                <w:iCs/>
              </w:rPr>
              <w:t>CLEF</w:t>
            </w:r>
            <w:r>
              <w:rPr>
                <w:rFonts w:ascii="Times New Roman" w:hAnsi="Times New Roman"/>
                <w:i/>
                <w:iCs/>
                <w:vertAlign w:val="subscript"/>
              </w:rPr>
              <w:t>p,k</w:t>
            </w:r>
          </w:p>
        </w:tc>
        <w:tc>
          <w:tcPr>
            <w:tcW w:w="7337" w:type="dxa"/>
          </w:tcPr>
          <w:p w14:paraId="3C5E0E5D" w14:textId="77777777" w:rsidR="00B512E0" w:rsidRDefault="00B512E0" w:rsidP="00583F3E">
            <w:pPr>
              <w:widowControl/>
              <w:jc w:val="both"/>
              <w:rPr>
                <w:rFonts w:ascii="Times New Roman" w:hAnsi="Times New Roman" w:cs="Times New Roman"/>
                <w:noProof/>
                <w:position w:val="6"/>
                <w:sz w:val="24"/>
                <w:szCs w:val="24"/>
              </w:rPr>
            </w:pPr>
            <w:r>
              <w:rPr>
                <w:rFonts w:ascii="Times New Roman" w:hAnsi="Times New Roman"/>
              </w:rPr>
              <w:t>ir oglekļa emisiju pārvirzes riska koeficients produktam </w:t>
            </w:r>
            <w:r>
              <w:rPr>
                <w:rFonts w:ascii="Times New Roman" w:hAnsi="Times New Roman"/>
                <w:i/>
                <w:iCs/>
              </w:rPr>
              <w:t>p</w:t>
            </w:r>
            <w:r>
              <w:rPr>
                <w:rFonts w:ascii="Times New Roman" w:hAnsi="Times New Roman"/>
              </w:rPr>
              <w:t xml:space="preserve"> gadā </w:t>
            </w:r>
            <w:r>
              <w:rPr>
                <w:rFonts w:ascii="Times New Roman" w:hAnsi="Times New Roman"/>
                <w:i/>
                <w:iCs/>
              </w:rPr>
              <w:t>k</w:t>
            </w:r>
            <w:r>
              <w:rPr>
                <w:rFonts w:ascii="Times New Roman" w:hAnsi="Times New Roman"/>
              </w:rPr>
              <w:t>.</w:t>
            </w:r>
          </w:p>
        </w:tc>
      </w:tr>
    </w:tbl>
    <w:p w14:paraId="32CB727E" w14:textId="77777777" w:rsidR="00B512E0" w:rsidRDefault="00B512E0" w:rsidP="00583F3E">
      <w:pPr>
        <w:widowControl/>
        <w:jc w:val="both"/>
        <w:rPr>
          <w:rFonts w:ascii="Times New Roman" w:hAnsi="Times New Roman" w:cs="Times New Roman"/>
          <w:noProof/>
          <w:position w:val="6"/>
          <w:sz w:val="24"/>
          <w:szCs w:val="24"/>
        </w:rPr>
      </w:pPr>
    </w:p>
    <w:p w14:paraId="41F417D3"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Siltuma imports no ETS neaptvertām iekārtām</w:t>
      </w:r>
    </w:p>
    <w:p w14:paraId="4C42E181"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Par tāda siltuma patēriņu, ko saražojusi vai nu ETS neaptverta iekārta, vai apakšiekārta, kas ražo produktus, uz kuriem attiecas slāpekļskābes līmeņatzīme, nevar pretendēt uz kvotu bezmaksas piešķiršanu.</w:t>
      </w:r>
    </w:p>
    <w:p w14:paraId="3CD1E243" w14:textId="77777777" w:rsidR="00B512E0" w:rsidRDefault="00B512E0" w:rsidP="00583F3E">
      <w:pPr>
        <w:pStyle w:val="BodyText"/>
        <w:widowControl/>
        <w:ind w:left="0"/>
        <w:jc w:val="both"/>
        <w:rPr>
          <w:rFonts w:ascii="Times New Roman" w:hAnsi="Times New Roman" w:cs="Times New Roman"/>
          <w:noProof/>
          <w:position w:val="6"/>
        </w:rPr>
      </w:pPr>
    </w:p>
    <w:p w14:paraId="5AE1FA5B"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sz w:val="24"/>
        </w:rPr>
        <w:t xml:space="preserve">Tādēļ tad, ja produkta līmeņatzīmes apakšiekārta importē šādu siltumu, piešķiramo kvotu apjoms, kas saistīts ar šo siltuma daudzumu, ir jāatskaita no kopējā piešķiramo kvotu apjoma. </w:t>
      </w:r>
      <w:r>
        <w:rPr>
          <w:rFonts w:ascii="Times New Roman" w:hAnsi="Times New Roman"/>
          <w:i/>
          <w:sz w:val="24"/>
        </w:rPr>
        <w:t>Papildu norādījumus par šo tēmu sk. Norādījumu dokumentā Nr. 6 par siltuma plūsmām pāri iekārtu robežām.</w:t>
      </w:r>
    </w:p>
    <w:p w14:paraId="2A4E62FB" w14:textId="77777777" w:rsidR="00583F3E" w:rsidRPr="00583F3E" w:rsidRDefault="00583F3E" w:rsidP="00583F3E">
      <w:pPr>
        <w:widowControl/>
        <w:jc w:val="both"/>
        <w:rPr>
          <w:rFonts w:ascii="Times New Roman" w:hAnsi="Times New Roman" w:cs="Times New Roman"/>
          <w:i/>
          <w:noProof/>
          <w:position w:val="6"/>
          <w:sz w:val="24"/>
        </w:rPr>
      </w:pPr>
    </w:p>
    <w:p w14:paraId="1C37FC92" w14:textId="77777777" w:rsidR="00583F3E" w:rsidRPr="00B512E0" w:rsidRDefault="00B512E0" w:rsidP="00B512E0">
      <w:pPr>
        <w:pStyle w:val="Heading2"/>
        <w:widowControl/>
        <w:tabs>
          <w:tab w:val="left" w:pos="677"/>
        </w:tabs>
        <w:ind w:left="0" w:firstLine="0"/>
        <w:jc w:val="both"/>
        <w:rPr>
          <w:rFonts w:ascii="Times New Roman" w:hAnsi="Times New Roman" w:cs="Times New Roman"/>
          <w:noProof/>
          <w:position w:val="6"/>
          <w:szCs w:val="32"/>
        </w:rPr>
      </w:pPr>
      <w:bookmarkStart w:id="38" w:name="_Toc31207937"/>
      <w:r>
        <w:rPr>
          <w:rFonts w:ascii="Times New Roman" w:hAnsi="Times New Roman"/>
          <w:szCs w:val="32"/>
        </w:rPr>
        <w:t>4.2. Siltuma līmeņatzīmes apakšiekārta</w:t>
      </w:r>
      <w:bookmarkStart w:id="39" w:name="_bookmark18"/>
      <w:bookmarkEnd w:id="39"/>
      <w:bookmarkEnd w:id="38"/>
    </w:p>
    <w:p w14:paraId="2AE12829" w14:textId="77777777" w:rsidR="00B512E0" w:rsidRDefault="00B512E0" w:rsidP="00583F3E">
      <w:pPr>
        <w:pStyle w:val="BodyText"/>
        <w:widowControl/>
        <w:ind w:left="0"/>
        <w:jc w:val="both"/>
        <w:rPr>
          <w:rFonts w:ascii="Times New Roman" w:hAnsi="Times New Roman" w:cs="Times New Roman"/>
          <w:noProof/>
          <w:position w:val="6"/>
        </w:rPr>
      </w:pPr>
    </w:p>
    <w:p w14:paraId="1ACE6C70"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4. attēlā parādīta siltuma līmeņatzīmes apakšiekārta. Punktētā līnija parāda apakšiekārtas sistēmas robežas. Piešķiramo kvotu apjomu nosaka, pamatojoties uz izmērāma neto siltuma patēriņu.</w:t>
      </w:r>
    </w:p>
    <w:p w14:paraId="7C22B95C" w14:textId="77777777" w:rsidR="00B512E0" w:rsidRDefault="00B512E0" w:rsidP="00583F3E">
      <w:pPr>
        <w:pStyle w:val="BodyText"/>
        <w:widowControl/>
        <w:ind w:left="0"/>
        <w:jc w:val="both"/>
        <w:rPr>
          <w:rFonts w:ascii="Times New Roman" w:hAnsi="Times New Roman" w:cs="Times New Roman"/>
          <w:noProof/>
          <w:position w:val="6"/>
        </w:rPr>
      </w:pPr>
    </w:p>
    <w:p w14:paraId="5B2DF2DC" w14:textId="3831C467" w:rsidR="00B512E0" w:rsidRDefault="004B2F25" w:rsidP="00EC6D02">
      <w:pPr>
        <w:pStyle w:val="BodyText"/>
        <w:widowControl/>
        <w:ind w:left="0"/>
        <w:jc w:val="center"/>
        <w:rPr>
          <w:rFonts w:ascii="Times New Roman" w:hAnsi="Times New Roman" w:cs="Times New Roman"/>
          <w:noProof/>
          <w:position w:val="6"/>
        </w:rPr>
      </w:pPr>
      <w:r w:rsidRPr="004B2F25">
        <w:rPr>
          <w:rFonts w:ascii="Times New Roman" w:hAnsi="Times New Roman" w:cs="Times New Roman"/>
          <w:noProof/>
          <w:position w:val="6"/>
        </w:rPr>
        <w:drawing>
          <wp:inline distT="0" distB="0" distL="0" distR="0" wp14:anchorId="6A40F33A" wp14:editId="646BB5E2">
            <wp:extent cx="5760720" cy="23939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393950"/>
                    </a:xfrm>
                    <a:prstGeom prst="rect">
                      <a:avLst/>
                    </a:prstGeom>
                    <a:noFill/>
                    <a:ln>
                      <a:noFill/>
                    </a:ln>
                  </pic:spPr>
                </pic:pic>
              </a:graphicData>
            </a:graphic>
          </wp:inline>
        </w:drawing>
      </w:r>
    </w:p>
    <w:p w14:paraId="0CCAC641" w14:textId="77777777" w:rsidR="00B512E0" w:rsidRDefault="00B512E0" w:rsidP="00583F3E">
      <w:pPr>
        <w:pStyle w:val="BodyText"/>
        <w:widowControl/>
        <w:ind w:left="0"/>
        <w:jc w:val="both"/>
        <w:rPr>
          <w:rFonts w:ascii="Times New Roman" w:hAnsi="Times New Roman" w:cs="Times New Roman"/>
          <w:noProof/>
          <w:position w:val="6"/>
        </w:rPr>
      </w:pPr>
    </w:p>
    <w:p w14:paraId="6CFE93B6" w14:textId="77777777" w:rsidR="00583F3E" w:rsidRPr="00583F3E" w:rsidRDefault="00583F3E" w:rsidP="00D04054">
      <w:pPr>
        <w:widowControl/>
        <w:jc w:val="center"/>
        <w:rPr>
          <w:rFonts w:ascii="Times New Roman" w:hAnsi="Times New Roman" w:cs="Times New Roman"/>
          <w:b/>
          <w:noProof/>
          <w:position w:val="6"/>
          <w:sz w:val="24"/>
        </w:rPr>
      </w:pPr>
      <w:r>
        <w:rPr>
          <w:rFonts w:ascii="Times New Roman" w:hAnsi="Times New Roman"/>
          <w:b/>
          <w:sz w:val="24"/>
        </w:rPr>
        <w:t>4. attēls. Siltuma līmeņatzīmes apakšiekārtas piemērs</w:t>
      </w:r>
      <w:bookmarkStart w:id="40" w:name="_bookmark19"/>
      <w:bookmarkEnd w:id="40"/>
    </w:p>
    <w:p w14:paraId="7D758DD9" w14:textId="77777777" w:rsidR="00583F3E" w:rsidRPr="00583F3E" w:rsidRDefault="00583F3E" w:rsidP="00583F3E">
      <w:pPr>
        <w:widowControl/>
        <w:jc w:val="both"/>
        <w:rPr>
          <w:rFonts w:ascii="Times New Roman" w:eastAsia="Calibri" w:hAnsi="Times New Roman" w:cs="Times New Roman"/>
          <w:b/>
          <w:bCs/>
          <w:noProof/>
          <w:position w:val="6"/>
          <w:sz w:val="24"/>
          <w:szCs w:val="23"/>
        </w:rPr>
      </w:pPr>
    </w:p>
    <w:p w14:paraId="21CFAADB" w14:textId="77777777" w:rsidR="00583F3E" w:rsidRPr="00583F3E" w:rsidRDefault="00583F3E" w:rsidP="00583F3E">
      <w:pPr>
        <w:pStyle w:val="BodyText"/>
        <w:widowControl/>
        <w:ind w:left="0"/>
        <w:jc w:val="both"/>
        <w:rPr>
          <w:rFonts w:ascii="Times New Roman" w:hAnsi="Times New Roman" w:cs="Times New Roman"/>
          <w:noProof/>
          <w:position w:val="6"/>
          <w:u w:val="single" w:color="000000"/>
        </w:rPr>
      </w:pPr>
      <w:r>
        <w:rPr>
          <w:rFonts w:ascii="Times New Roman" w:hAnsi="Times New Roman"/>
          <w:u w:val="single" w:color="000000"/>
        </w:rPr>
        <w:t>Pēc 2.a un 2.b soļa attiecībā uz siltuma līmeņatzīmes apakšiekārtām, kas aprakstītas 2.2. iedaļā, ir jāveic nākamie turpmāk norādītie soļi.</w:t>
      </w:r>
    </w:p>
    <w:p w14:paraId="36DA5220"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708D62CC"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2.c solis. Nosaka vēsturisko darbības līmeni</w:t>
      </w:r>
    </w:p>
    <w:p w14:paraId="7B142FC1" w14:textId="77777777" w:rsidR="00583F3E" w:rsidRPr="00583F3E" w:rsidRDefault="00583F3E" w:rsidP="00583F3E">
      <w:pPr>
        <w:widowControl/>
        <w:jc w:val="both"/>
        <w:rPr>
          <w:rFonts w:ascii="Times New Roman" w:eastAsia="Calibri" w:hAnsi="Times New Roman" w:cs="Times New Roman"/>
          <w:i/>
          <w:noProof/>
          <w:position w:val="6"/>
          <w:sz w:val="24"/>
          <w:szCs w:val="15"/>
        </w:rPr>
      </w:pPr>
    </w:p>
    <w:p w14:paraId="507904DC"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Siltuma līmeņatzīmes apakšiekārtas ikgadējais vēsturiskais darbības līmenis (</w:t>
      </w:r>
      <w:r>
        <w:rPr>
          <w:rFonts w:ascii="Times New Roman" w:hAnsi="Times New Roman"/>
          <w:i/>
        </w:rPr>
        <w:t>HAL</w:t>
      </w:r>
      <w:r>
        <w:rPr>
          <w:rFonts w:ascii="Times New Roman" w:hAnsi="Times New Roman"/>
          <w:i/>
          <w:vertAlign w:val="subscript"/>
        </w:rPr>
        <w:t>h</w:t>
      </w:r>
      <w:r>
        <w:rPr>
          <w:rFonts w:ascii="Times New Roman" w:hAnsi="Times New Roman"/>
        </w:rPr>
        <w:t xml:space="preserve">) tiek izteikts </w:t>
      </w:r>
      <w:r>
        <w:rPr>
          <w:rFonts w:ascii="Times New Roman" w:hAnsi="Times New Roman"/>
          <w:i/>
          <w:iCs/>
        </w:rPr>
        <w:t>TJ</w:t>
      </w:r>
      <w:r>
        <w:rPr>
          <w:rFonts w:ascii="Times New Roman" w:hAnsi="Times New Roman"/>
        </w:rPr>
        <w:t>/gadā, un tas ir turpmāk norādīto rādītāju summa.</w:t>
      </w:r>
    </w:p>
    <w:p w14:paraId="4DBC4E9A" w14:textId="77777777" w:rsidR="00583F3E" w:rsidRPr="00583F3E" w:rsidRDefault="005B38C1" w:rsidP="005B38C1">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Tāda izmērāma neto siltuma patēriņš ārpus produkta līmeņatzīmes, ko ražo pati iekārta vai cita ETS iekārta, ar nosacījumu, ka siltums netiek ražots slāpekļskābes produkta līmeņatzīmes robežās vai izmantots elektroenerģijas ražošanai.</w:t>
      </w:r>
    </w:p>
    <w:p w14:paraId="4C204C40" w14:textId="77777777" w:rsidR="00583F3E" w:rsidRPr="00583F3E" w:rsidRDefault="005B38C1" w:rsidP="005B38C1">
      <w:pPr>
        <w:widowControl/>
        <w:tabs>
          <w:tab w:val="left" w:pos="461"/>
        </w:tabs>
        <w:jc w:val="both"/>
        <w:rPr>
          <w:rFonts w:ascii="Times New Roman" w:hAnsi="Times New Roman" w:cs="Times New Roman"/>
          <w:i/>
          <w:noProof/>
          <w:position w:val="6"/>
          <w:sz w:val="24"/>
        </w:rPr>
      </w:pPr>
      <w:r>
        <w:rPr>
          <w:rFonts w:ascii="Times New Roman" w:hAnsi="Times New Roman"/>
        </w:rPr>
        <w:sym w:font="Symbol" w:char="F0B7"/>
      </w:r>
      <w:r>
        <w:rPr>
          <w:rFonts w:ascii="Times New Roman" w:hAnsi="Times New Roman"/>
        </w:rPr>
        <w:t xml:space="preserve"> </w:t>
      </w:r>
      <w:r>
        <w:rPr>
          <w:rFonts w:ascii="Times New Roman" w:hAnsi="Times New Roman"/>
          <w:sz w:val="24"/>
        </w:rPr>
        <w:t xml:space="preserve">Izmērāms saražotais neto siltums, kas tiek eksportēts ETS neaptvertiem patērētājiem (bet netiek eksportēts centralizētās siltumapgādes vajadzībām), ar nosacījumu, ka siltums netiek ražots slāpekļskābes produkta līmeņatzīmes robežās vai izmantots elektroenerģijas ražošanai. </w:t>
      </w:r>
      <w:r>
        <w:rPr>
          <w:rFonts w:ascii="Times New Roman" w:hAnsi="Times New Roman"/>
          <w:i/>
          <w:sz w:val="24"/>
        </w:rPr>
        <w:t>Sīkāku informāciju par šo tēmu sk. Norādījumu dokumentā Nr. 6 par siltuma plūsmām pāri iekārtu robežām.</w:t>
      </w:r>
    </w:p>
    <w:p w14:paraId="0E1A1915" w14:textId="77777777" w:rsidR="00583F3E" w:rsidRPr="00583F3E" w:rsidRDefault="00583F3E" w:rsidP="00583F3E">
      <w:pPr>
        <w:widowControl/>
        <w:jc w:val="both"/>
        <w:rPr>
          <w:rFonts w:ascii="Times New Roman" w:hAnsi="Times New Roman" w:cs="Times New Roman"/>
          <w:i/>
          <w:noProof/>
          <w:position w:val="6"/>
          <w:sz w:val="24"/>
        </w:rPr>
      </w:pPr>
    </w:p>
    <w:p w14:paraId="1A40E856"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lastRenderedPageBreak/>
        <w:t>Principā nav noteiktas atšķirības attiecībā uz siltumu no atšķirīgiem avotiem (lai gūtu sīkāku skaidrojumu, sk. 3. iedaļas 2.a soli).</w:t>
      </w:r>
    </w:p>
    <w:p w14:paraId="471DFD70"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6490957D"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t xml:space="preserve">Piemērojamās metodoloģijas attiecībā uz to, kura tipa dati ir jāizmanto vēsturiskā darbības līmeņa aprēķināšanai, ir aprakstītas </w:t>
      </w:r>
      <w:r>
        <w:rPr>
          <w:rFonts w:ascii="Times New Roman" w:hAnsi="Times New Roman"/>
          <w:i/>
          <w:sz w:val="24"/>
        </w:rPr>
        <w:t>Norādījumu dokumenta Nr. 3 par datu vākšanu B pielikumā.</w:t>
      </w:r>
    </w:p>
    <w:p w14:paraId="19C3DA84"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09A2C855"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2.d solis. Aprēķina provizorisko bez maksas piešķiramo emisijas kvotu apjomu</w:t>
      </w:r>
    </w:p>
    <w:p w14:paraId="44EC1834"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Aprēķina provizorisko ikgadējo piešķiramo kvotu apjomu katrai siltuma līmeņatzīmes apakšiekārtai, izmantojot šādu vienādojumu:</w:t>
      </w:r>
    </w:p>
    <w:p w14:paraId="30696CFE" w14:textId="77777777" w:rsidR="005B38C1" w:rsidRDefault="005B38C1" w:rsidP="00583F3E">
      <w:pPr>
        <w:pStyle w:val="BodyText"/>
        <w:widowControl/>
        <w:ind w:left="0"/>
        <w:jc w:val="both"/>
        <w:rPr>
          <w:rFonts w:ascii="Times New Roman" w:hAnsi="Times New Roman" w:cs="Times New Roman"/>
          <w:noProof/>
          <w:position w:val="6"/>
        </w:rPr>
      </w:pPr>
    </w:p>
    <w:p w14:paraId="5787078A" w14:textId="77777777" w:rsidR="00583F3E" w:rsidRPr="00583F3E" w:rsidRDefault="00583F3E" w:rsidP="005B38C1">
      <w:pPr>
        <w:widowControl/>
        <w:jc w:val="center"/>
        <w:rPr>
          <w:rFonts w:ascii="Times New Roman" w:hAnsi="Times New Roman" w:cs="Times New Roman"/>
          <w:noProof/>
          <w:position w:val="6"/>
          <w:sz w:val="24"/>
        </w:rPr>
      </w:pPr>
      <w:r>
        <w:rPr>
          <w:rFonts w:ascii="Times New Roman" w:hAnsi="Times New Roman"/>
          <w:i/>
          <w:iCs/>
          <w:sz w:val="24"/>
        </w:rPr>
        <w:t>F</w:t>
      </w:r>
      <w:r>
        <w:rPr>
          <w:rFonts w:ascii="Times New Roman" w:hAnsi="Times New Roman"/>
          <w:i/>
          <w:iCs/>
          <w:sz w:val="24"/>
          <w:vertAlign w:val="subscript"/>
        </w:rPr>
        <w:t>h,k</w:t>
      </w:r>
      <w:r>
        <w:rPr>
          <w:rFonts w:ascii="Times New Roman" w:hAnsi="Times New Roman"/>
          <w:sz w:val="24"/>
        </w:rPr>
        <w:t xml:space="preserve"> = </w:t>
      </w:r>
      <w:r>
        <w:rPr>
          <w:rFonts w:ascii="Times New Roman" w:hAnsi="Times New Roman"/>
          <w:i/>
          <w:iCs/>
          <w:sz w:val="24"/>
        </w:rPr>
        <w:t>BM</w:t>
      </w:r>
      <w:r>
        <w:rPr>
          <w:rFonts w:ascii="Times New Roman" w:hAnsi="Times New Roman"/>
          <w:i/>
          <w:iCs/>
          <w:sz w:val="24"/>
          <w:vertAlign w:val="subscript"/>
        </w:rPr>
        <w:t>h</w:t>
      </w:r>
      <w:r>
        <w:rPr>
          <w:rFonts w:ascii="Times New Roman" w:hAnsi="Times New Roman"/>
          <w:sz w:val="24"/>
        </w:rPr>
        <w:t xml:space="preserve"> </w:t>
      </w:r>
      <w:r>
        <w:rPr>
          <w:rFonts w:ascii="Times New Roman" w:hAnsi="Times New Roman"/>
          <w:i/>
          <w:iCs/>
          <w:sz w:val="24"/>
        </w:rPr>
        <w:t>X</w:t>
      </w:r>
      <w:r>
        <w:rPr>
          <w:rFonts w:ascii="Times New Roman" w:hAnsi="Times New Roman"/>
          <w:sz w:val="24"/>
        </w:rPr>
        <w:t xml:space="preserve"> </w:t>
      </w:r>
      <w:r>
        <w:rPr>
          <w:rFonts w:ascii="Times New Roman" w:hAnsi="Times New Roman"/>
          <w:i/>
          <w:iCs/>
          <w:sz w:val="24"/>
        </w:rPr>
        <w:t>HAL</w:t>
      </w:r>
      <w:r>
        <w:rPr>
          <w:rFonts w:ascii="Times New Roman" w:hAnsi="Times New Roman"/>
          <w:i/>
          <w:iCs/>
          <w:sz w:val="24"/>
          <w:vertAlign w:val="subscript"/>
        </w:rPr>
        <w:t>h</w:t>
      </w:r>
      <w:r>
        <w:rPr>
          <w:rFonts w:ascii="Times New Roman" w:hAnsi="Times New Roman"/>
          <w:sz w:val="24"/>
        </w:rPr>
        <w:t xml:space="preserve"> </w:t>
      </w:r>
      <w:r>
        <w:rPr>
          <w:rFonts w:ascii="Times New Roman" w:hAnsi="Times New Roman"/>
          <w:i/>
          <w:iCs/>
          <w:sz w:val="24"/>
        </w:rPr>
        <w:t>X</w:t>
      </w:r>
      <w:r>
        <w:rPr>
          <w:rFonts w:ascii="Times New Roman" w:hAnsi="Times New Roman"/>
          <w:sz w:val="24"/>
        </w:rPr>
        <w:t xml:space="preserve"> </w:t>
      </w:r>
      <w:r>
        <w:rPr>
          <w:rFonts w:ascii="Times New Roman" w:hAnsi="Times New Roman"/>
          <w:i/>
          <w:iCs/>
          <w:sz w:val="24"/>
        </w:rPr>
        <w:t>CLEF</w:t>
      </w:r>
      <w:r>
        <w:rPr>
          <w:rFonts w:ascii="Times New Roman" w:hAnsi="Times New Roman"/>
          <w:i/>
          <w:iCs/>
          <w:sz w:val="24"/>
          <w:vertAlign w:val="subscript"/>
        </w:rPr>
        <w:t>h,k</w:t>
      </w:r>
      <w:r>
        <w:rPr>
          <w:rFonts w:ascii="Times New Roman" w:hAnsi="Times New Roman"/>
          <w:sz w:val="24"/>
        </w:rPr>
        <w:t>,</w:t>
      </w:r>
    </w:p>
    <w:p w14:paraId="72392CF8"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167F1F41"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04"/>
      </w:tblGrid>
      <w:tr w:rsidR="005B38C1" w14:paraId="757951EA" w14:textId="77777777" w:rsidTr="005B38C1">
        <w:tc>
          <w:tcPr>
            <w:tcW w:w="1384" w:type="dxa"/>
          </w:tcPr>
          <w:p w14:paraId="25DECF84" w14:textId="77777777" w:rsidR="005B38C1" w:rsidRDefault="005B38C1" w:rsidP="00583F3E">
            <w:pPr>
              <w:pStyle w:val="BodyText"/>
              <w:widowControl/>
              <w:ind w:left="0"/>
              <w:jc w:val="both"/>
              <w:rPr>
                <w:rFonts w:ascii="Times New Roman" w:hAnsi="Times New Roman" w:cs="Times New Roman"/>
                <w:noProof/>
                <w:position w:val="6"/>
              </w:rPr>
            </w:pPr>
            <w:r>
              <w:rPr>
                <w:rFonts w:ascii="Times New Roman" w:hAnsi="Times New Roman"/>
                <w:i/>
                <w:iCs/>
              </w:rPr>
              <w:t>F</w:t>
            </w:r>
            <w:r>
              <w:rPr>
                <w:rFonts w:ascii="Times New Roman" w:hAnsi="Times New Roman"/>
                <w:i/>
                <w:iCs/>
                <w:vertAlign w:val="subscript"/>
              </w:rPr>
              <w:t>h,k</w:t>
            </w:r>
          </w:p>
        </w:tc>
        <w:tc>
          <w:tcPr>
            <w:tcW w:w="7904" w:type="dxa"/>
          </w:tcPr>
          <w:p w14:paraId="6FCBB8B1" w14:textId="09A70069" w:rsidR="005B38C1" w:rsidRDefault="005B38C1" w:rsidP="00583F3E">
            <w:pPr>
              <w:pStyle w:val="BodyText"/>
              <w:widowControl/>
              <w:ind w:left="0"/>
              <w:jc w:val="both"/>
              <w:rPr>
                <w:rFonts w:ascii="Times New Roman" w:hAnsi="Times New Roman" w:cs="Times New Roman"/>
                <w:noProof/>
                <w:position w:val="6"/>
              </w:rPr>
            </w:pPr>
            <w:r>
              <w:rPr>
                <w:rFonts w:ascii="Times New Roman" w:hAnsi="Times New Roman"/>
              </w:rPr>
              <w:t xml:space="preserve">ir provizoriskais ikgadējais apakšiekārtai piešķiramo kvotu apjoms, kas noteikts, pamatojoties uz siltuma līmeņatzīmi gadā </w:t>
            </w:r>
            <w:r>
              <w:rPr>
                <w:rFonts w:ascii="Times New Roman" w:hAnsi="Times New Roman"/>
                <w:i/>
                <w:iCs/>
              </w:rPr>
              <w:t>k</w:t>
            </w:r>
            <w:r>
              <w:rPr>
                <w:rFonts w:ascii="Times New Roman" w:hAnsi="Times New Roman"/>
              </w:rPr>
              <w:t xml:space="preserve"> (izteikts </w:t>
            </w:r>
            <w:r w:rsidRPr="00136114">
              <w:rPr>
                <w:rFonts w:ascii="Times New Roman" w:hAnsi="Times New Roman"/>
                <w:i/>
                <w:iCs/>
              </w:rPr>
              <w:t>E</w:t>
            </w:r>
            <w:r w:rsidR="00136114" w:rsidRPr="00136114">
              <w:rPr>
                <w:rFonts w:ascii="Times New Roman" w:hAnsi="Times New Roman"/>
                <w:i/>
                <w:iCs/>
              </w:rPr>
              <w:t>UA</w:t>
            </w:r>
            <w:r>
              <w:rPr>
                <w:rFonts w:ascii="Times New Roman" w:hAnsi="Times New Roman"/>
              </w:rPr>
              <w:t>/gadā);</w:t>
            </w:r>
          </w:p>
        </w:tc>
      </w:tr>
      <w:tr w:rsidR="005B38C1" w:rsidRPr="005B38C1" w14:paraId="27E883D1" w14:textId="77777777" w:rsidTr="005B38C1">
        <w:tc>
          <w:tcPr>
            <w:tcW w:w="1384" w:type="dxa"/>
          </w:tcPr>
          <w:p w14:paraId="4A486256" w14:textId="77777777" w:rsidR="005B38C1" w:rsidRPr="005B38C1" w:rsidRDefault="005B38C1" w:rsidP="00583F3E">
            <w:pPr>
              <w:pStyle w:val="BodyText"/>
              <w:widowControl/>
              <w:ind w:left="0"/>
              <w:jc w:val="both"/>
              <w:rPr>
                <w:rFonts w:ascii="Times New Roman" w:hAnsi="Times New Roman" w:cs="Times New Roman"/>
                <w:i/>
                <w:iCs/>
                <w:noProof/>
                <w:position w:val="6"/>
              </w:rPr>
            </w:pPr>
            <w:r>
              <w:rPr>
                <w:rFonts w:ascii="Times New Roman" w:hAnsi="Times New Roman"/>
                <w:i/>
                <w:iCs/>
              </w:rPr>
              <w:t>BM</w:t>
            </w:r>
            <w:r>
              <w:rPr>
                <w:rFonts w:ascii="Times New Roman" w:hAnsi="Times New Roman"/>
                <w:i/>
                <w:iCs/>
                <w:vertAlign w:val="subscript"/>
              </w:rPr>
              <w:t>h</w:t>
            </w:r>
          </w:p>
        </w:tc>
        <w:tc>
          <w:tcPr>
            <w:tcW w:w="7904" w:type="dxa"/>
          </w:tcPr>
          <w:p w14:paraId="55F15F79" w14:textId="2C716AA1" w:rsidR="005B38C1" w:rsidRPr="005B38C1" w:rsidRDefault="005B38C1" w:rsidP="005B38C1">
            <w:pPr>
              <w:pStyle w:val="BodyText"/>
              <w:widowControl/>
              <w:ind w:left="0"/>
              <w:jc w:val="both"/>
              <w:rPr>
                <w:rFonts w:ascii="Times New Roman" w:hAnsi="Times New Roman" w:cs="Times New Roman"/>
                <w:i/>
                <w:iCs/>
                <w:noProof/>
                <w:position w:val="6"/>
              </w:rPr>
            </w:pPr>
            <w:r>
              <w:rPr>
                <w:rFonts w:ascii="Times New Roman" w:hAnsi="Times New Roman"/>
              </w:rPr>
              <w:t xml:space="preserve">ir siltuma līmeņatzīme; noteikts, ka tā ir XX </w:t>
            </w:r>
            <w:r w:rsidRPr="00136114">
              <w:rPr>
                <w:rFonts w:ascii="Times New Roman" w:hAnsi="Times New Roman"/>
                <w:i/>
                <w:iCs/>
              </w:rPr>
              <w:t>E</w:t>
            </w:r>
            <w:r w:rsidR="00136114" w:rsidRPr="00136114">
              <w:rPr>
                <w:rFonts w:ascii="Times New Roman" w:hAnsi="Times New Roman"/>
                <w:i/>
                <w:iCs/>
              </w:rPr>
              <w:t>UA</w:t>
            </w:r>
            <w:r>
              <w:rPr>
                <w:rFonts w:ascii="Times New Roman" w:hAnsi="Times New Roman"/>
              </w:rPr>
              <w:t>/</w:t>
            </w:r>
            <w:r>
              <w:rPr>
                <w:rFonts w:ascii="Times New Roman" w:hAnsi="Times New Roman"/>
                <w:i/>
                <w:iCs/>
              </w:rPr>
              <w:t>TJ</w:t>
            </w:r>
            <w:r>
              <w:rPr>
                <w:rFonts w:ascii="Times New Roman" w:hAnsi="Times New Roman"/>
              </w:rPr>
              <w:t>;</w:t>
            </w:r>
          </w:p>
        </w:tc>
      </w:tr>
      <w:tr w:rsidR="005B38C1" w14:paraId="2FE4132C" w14:textId="77777777" w:rsidTr="005B38C1">
        <w:tc>
          <w:tcPr>
            <w:tcW w:w="1384" w:type="dxa"/>
          </w:tcPr>
          <w:p w14:paraId="1E15C11E" w14:textId="77777777" w:rsidR="005B38C1" w:rsidRDefault="005B38C1" w:rsidP="00583F3E">
            <w:pPr>
              <w:pStyle w:val="BodyText"/>
              <w:widowControl/>
              <w:ind w:left="0"/>
              <w:jc w:val="both"/>
              <w:rPr>
                <w:rFonts w:ascii="Times New Roman" w:hAnsi="Times New Roman" w:cs="Times New Roman"/>
                <w:noProof/>
                <w:position w:val="6"/>
              </w:rPr>
            </w:pPr>
            <w:r>
              <w:rPr>
                <w:rFonts w:ascii="Times New Roman" w:hAnsi="Times New Roman"/>
                <w:i/>
                <w:iCs/>
              </w:rPr>
              <w:t>HAL</w:t>
            </w:r>
            <w:r>
              <w:rPr>
                <w:rFonts w:ascii="Times New Roman" w:hAnsi="Times New Roman"/>
                <w:i/>
                <w:iCs/>
                <w:vertAlign w:val="subscript"/>
              </w:rPr>
              <w:t>h</w:t>
            </w:r>
          </w:p>
        </w:tc>
        <w:tc>
          <w:tcPr>
            <w:tcW w:w="7904" w:type="dxa"/>
          </w:tcPr>
          <w:p w14:paraId="439E6DB8" w14:textId="77777777" w:rsidR="005B38C1" w:rsidRDefault="005B38C1" w:rsidP="00583F3E">
            <w:pPr>
              <w:pStyle w:val="BodyText"/>
              <w:widowControl/>
              <w:ind w:left="0"/>
              <w:jc w:val="both"/>
              <w:rPr>
                <w:rFonts w:ascii="Times New Roman" w:hAnsi="Times New Roman" w:cs="Times New Roman"/>
                <w:noProof/>
                <w:position w:val="6"/>
              </w:rPr>
            </w:pPr>
            <w:r>
              <w:rPr>
                <w:rFonts w:ascii="Times New Roman" w:hAnsi="Times New Roman"/>
              </w:rPr>
              <w:t xml:space="preserve">ir vēsturiskais darbības līmenis, t. i., tas neto siltuma, par kuru var pretendēt uz kvotu piešķiršanu, ikgadējā patēriņa aritmētiskais vidējais (kas tiek mērīts kā ražošanas apjoms + imports no ETS iekārtām – eksports uz ETS neaptvertām vienībām centralizētās siltumapgādes vajadzībām) bāzlīnijas periodā, kas noteikts un verificēts bāzlīnijas datu vākšanā (izteikts </w:t>
            </w:r>
            <w:r>
              <w:rPr>
                <w:rFonts w:ascii="Times New Roman" w:hAnsi="Times New Roman"/>
                <w:i/>
                <w:iCs/>
              </w:rPr>
              <w:t>TJ</w:t>
            </w:r>
            <w:r>
              <w:rPr>
                <w:rFonts w:ascii="Times New Roman" w:hAnsi="Times New Roman"/>
              </w:rPr>
              <w:t xml:space="preserve">/gadā) attiecībā uz siltuma </w:t>
            </w:r>
            <w:r>
              <w:rPr>
                <w:rFonts w:ascii="Times New Roman" w:hAnsi="Times New Roman"/>
                <w:i/>
                <w:iCs/>
              </w:rPr>
              <w:t>BM</w:t>
            </w:r>
            <w:r>
              <w:rPr>
                <w:rFonts w:ascii="Times New Roman" w:hAnsi="Times New Roman"/>
              </w:rPr>
              <w:t xml:space="preserve"> apakšiekārtu;</w:t>
            </w:r>
          </w:p>
        </w:tc>
      </w:tr>
      <w:tr w:rsidR="005B38C1" w14:paraId="1EF77485" w14:textId="77777777" w:rsidTr="005B38C1">
        <w:tc>
          <w:tcPr>
            <w:tcW w:w="1384" w:type="dxa"/>
          </w:tcPr>
          <w:p w14:paraId="5BC044F7" w14:textId="77777777" w:rsidR="005B38C1" w:rsidRDefault="005B38C1" w:rsidP="00583F3E">
            <w:pPr>
              <w:pStyle w:val="BodyText"/>
              <w:widowControl/>
              <w:ind w:left="0"/>
              <w:jc w:val="both"/>
              <w:rPr>
                <w:rFonts w:ascii="Times New Roman" w:hAnsi="Times New Roman" w:cs="Times New Roman"/>
                <w:noProof/>
                <w:position w:val="6"/>
              </w:rPr>
            </w:pPr>
            <w:r>
              <w:rPr>
                <w:rFonts w:ascii="Times New Roman" w:hAnsi="Times New Roman"/>
                <w:i/>
                <w:iCs/>
              </w:rPr>
              <w:t>CLEF</w:t>
            </w:r>
            <w:r>
              <w:rPr>
                <w:rFonts w:ascii="Times New Roman" w:hAnsi="Times New Roman"/>
                <w:i/>
                <w:iCs/>
                <w:vertAlign w:val="subscript"/>
              </w:rPr>
              <w:t>h,k</w:t>
            </w:r>
          </w:p>
        </w:tc>
        <w:tc>
          <w:tcPr>
            <w:tcW w:w="7904" w:type="dxa"/>
          </w:tcPr>
          <w:p w14:paraId="7A22AA98" w14:textId="77777777" w:rsidR="005B38C1" w:rsidRDefault="005B38C1" w:rsidP="00583F3E">
            <w:pPr>
              <w:pStyle w:val="BodyText"/>
              <w:widowControl/>
              <w:ind w:left="0"/>
              <w:jc w:val="both"/>
              <w:rPr>
                <w:rFonts w:ascii="Times New Roman" w:hAnsi="Times New Roman" w:cs="Times New Roman"/>
                <w:noProof/>
                <w:position w:val="6"/>
              </w:rPr>
            </w:pPr>
            <w:r>
              <w:rPr>
                <w:rFonts w:ascii="Times New Roman" w:hAnsi="Times New Roman"/>
              </w:rPr>
              <w:t xml:space="preserve">ir oglekļa emisiju pārvirzes riska koeficients siltuma </w:t>
            </w:r>
            <w:r>
              <w:rPr>
                <w:rFonts w:ascii="Times New Roman" w:hAnsi="Times New Roman"/>
                <w:i/>
                <w:iCs/>
              </w:rPr>
              <w:t>BM</w:t>
            </w:r>
            <w:r>
              <w:rPr>
                <w:rFonts w:ascii="Times New Roman" w:hAnsi="Times New Roman"/>
              </w:rPr>
              <w:t xml:space="preserve"> apakšiekārtai gadā </w:t>
            </w:r>
            <w:r>
              <w:rPr>
                <w:rFonts w:ascii="Times New Roman" w:hAnsi="Times New Roman"/>
                <w:i/>
                <w:iCs/>
              </w:rPr>
              <w:t>k</w:t>
            </w:r>
            <w:r>
              <w:rPr>
                <w:rFonts w:ascii="Times New Roman" w:hAnsi="Times New Roman"/>
              </w:rPr>
              <w:t>.</w:t>
            </w:r>
          </w:p>
        </w:tc>
      </w:tr>
    </w:tbl>
    <w:p w14:paraId="163DC9FE" w14:textId="77777777" w:rsidR="005B38C1" w:rsidRDefault="005B38C1" w:rsidP="00583F3E">
      <w:pPr>
        <w:pStyle w:val="BodyText"/>
        <w:widowControl/>
        <w:ind w:left="0"/>
        <w:jc w:val="both"/>
        <w:rPr>
          <w:rFonts w:ascii="Times New Roman" w:hAnsi="Times New Roman" w:cs="Times New Roman"/>
          <w:noProof/>
          <w:position w:val="6"/>
        </w:rPr>
      </w:pPr>
    </w:p>
    <w:p w14:paraId="5B7AC72D" w14:textId="00F01F12" w:rsidR="00583F3E" w:rsidRPr="00583F3E" w:rsidRDefault="00583F3E" w:rsidP="00583F3E">
      <w:pPr>
        <w:widowControl/>
        <w:jc w:val="both"/>
        <w:rPr>
          <w:rFonts w:ascii="Times New Roman" w:hAnsi="Times New Roman" w:cs="Times New Roman"/>
          <w:b/>
          <w:i/>
          <w:noProof/>
          <w:position w:val="6"/>
          <w:sz w:val="24"/>
        </w:rPr>
      </w:pPr>
      <w:r>
        <w:rPr>
          <w:rFonts w:ascii="Times New Roman" w:hAnsi="Times New Roman"/>
          <w:b/>
          <w:i/>
          <w:sz w:val="24"/>
        </w:rPr>
        <w:t>Jāņem vērā ir tikai neto siltuma plūsmas, kas nozīmē, ka siltumsaturs kondensātā vai siltumnesējā, kas atgriežas siltuma piegādātājam, tiek atskaitīts</w:t>
      </w:r>
      <w:r w:rsidR="00AA2F35">
        <w:rPr>
          <w:rStyle w:val="FootnoteReference"/>
          <w:rFonts w:ascii="Times New Roman" w:hAnsi="Times New Roman" w:cs="Times New Roman"/>
          <w:b/>
          <w:i/>
          <w:noProof/>
          <w:position w:val="6"/>
          <w:sz w:val="24"/>
        </w:rPr>
        <w:footnoteReference w:id="26"/>
      </w:r>
      <w:r>
        <w:rPr>
          <w:rFonts w:ascii="Times New Roman" w:hAnsi="Times New Roman"/>
          <w:b/>
          <w:i/>
          <w:sz w:val="24"/>
        </w:rPr>
        <w:t>. Siltuma pašpatēriņš, kas ir daļa no siltuma ražošanas procesa (piemēram, deaeratoram un kurināmā priekšsildīšanai), tiek ņemts vērā siltuma līmeņatzīmes vērtībā, un, veicot kvotu bezmaksas piešķiršanu, uz to nav jāattiecina siltuma līmeņatzīmes apakšiekārta. Siltuma līmeņatzīmes vērtība (E</w:t>
      </w:r>
      <w:r w:rsidR="00136114">
        <w:rPr>
          <w:rFonts w:ascii="Times New Roman" w:hAnsi="Times New Roman"/>
          <w:b/>
          <w:i/>
          <w:sz w:val="24"/>
        </w:rPr>
        <w:t>UA</w:t>
      </w:r>
      <w:r>
        <w:rPr>
          <w:rFonts w:ascii="Times New Roman" w:hAnsi="Times New Roman"/>
          <w:b/>
          <w:i/>
          <w:sz w:val="24"/>
        </w:rPr>
        <w:t>/TJ) ietver visas emisijas, kas saistītas ar siltuma ražošanu, bet var ietvert vienīgi neto siltuma plūsmas, kas var tikt patērētas ārpus siltuma ražošanas sistēmas, un tādējādi zudumi, kas ir iekārtā, netiek ietverti.</w:t>
      </w:r>
    </w:p>
    <w:p w14:paraId="1037E224" w14:textId="77777777" w:rsidR="00583F3E" w:rsidRPr="00583F3E" w:rsidRDefault="00583F3E" w:rsidP="00583F3E">
      <w:pPr>
        <w:widowControl/>
        <w:jc w:val="both"/>
        <w:rPr>
          <w:rFonts w:ascii="Times New Roman" w:hAnsi="Times New Roman" w:cs="Times New Roman"/>
          <w:b/>
          <w:i/>
          <w:noProof/>
          <w:position w:val="6"/>
          <w:sz w:val="24"/>
        </w:rPr>
      </w:pPr>
    </w:p>
    <w:p w14:paraId="4AEB3BEB" w14:textId="77777777" w:rsidR="00583F3E" w:rsidRPr="00583F3E" w:rsidRDefault="00583F3E" w:rsidP="00583F3E">
      <w:pPr>
        <w:pStyle w:val="BodyText"/>
        <w:widowControl/>
        <w:ind w:left="0"/>
        <w:jc w:val="both"/>
        <w:rPr>
          <w:rFonts w:ascii="Times New Roman" w:hAnsi="Times New Roman" w:cs="Times New Roman"/>
          <w:i/>
          <w:noProof/>
          <w:position w:val="6"/>
        </w:rPr>
      </w:pPr>
      <w:r>
        <w:rPr>
          <w:rFonts w:ascii="Times New Roman" w:hAnsi="Times New Roman"/>
        </w:rPr>
        <w:t xml:space="preserve">Gadījumā, ja siltums tiek eksportēts ETS neaptvertiem patērētājiem (vajadzībām, kas nav centralizētā siltumapgāde), neto siltuma patēriņa vietā tiks izmantots neto siltuma eksports, un piešķiramās kvotas tiks iedalītas siltuma ražotājam. ETS neaptverta stacija parasti netiek uzskatīta par pakļautu oglekļa emisiju pārvirzes riskam. Gadījumā, ja operatoram ir iemesls uzskatīt, ka patērētājs, kas nav ETS, ir uzskatāms par pakļautu oglekļa emisiju pārvirzes riskam, tam ir jāsniedz kompetentajam iestādēm pietiekami pierādījumi, kas to apliecina. </w:t>
      </w:r>
      <w:r>
        <w:rPr>
          <w:rFonts w:ascii="Times New Roman" w:hAnsi="Times New Roman"/>
          <w:i/>
        </w:rPr>
        <w:t>Sīkāku informāciju par šo tēmu sk. Norādījumu dokumentā Nr. 6 par siltuma plūsmām pāri iekārtu robežām.</w:t>
      </w:r>
    </w:p>
    <w:p w14:paraId="3D669318" w14:textId="77777777" w:rsidR="00583F3E" w:rsidRPr="00583F3E" w:rsidRDefault="00583F3E" w:rsidP="00583F3E">
      <w:pPr>
        <w:widowControl/>
        <w:jc w:val="both"/>
        <w:rPr>
          <w:rFonts w:ascii="Times New Roman" w:hAnsi="Times New Roman" w:cs="Times New Roman"/>
          <w:i/>
          <w:noProof/>
          <w:position w:val="6"/>
          <w:sz w:val="24"/>
        </w:rPr>
      </w:pPr>
    </w:p>
    <w:p w14:paraId="2325C8B3" w14:textId="132D8AC7" w:rsidR="004B2F25" w:rsidRDefault="004B2F25">
      <w:pPr>
        <w:rPr>
          <w:rFonts w:ascii="Times New Roman" w:hAnsi="Times New Roman" w:cs="Times New Roman"/>
          <w:i/>
          <w:noProof/>
          <w:position w:val="6"/>
          <w:sz w:val="24"/>
        </w:rPr>
      </w:pPr>
      <w:r>
        <w:rPr>
          <w:rFonts w:ascii="Times New Roman" w:hAnsi="Times New Roman" w:cs="Times New Roman"/>
          <w:i/>
          <w:noProof/>
          <w:position w:val="6"/>
          <w:sz w:val="24"/>
        </w:rPr>
        <w:br w:type="page"/>
      </w:r>
    </w:p>
    <w:p w14:paraId="5531A871" w14:textId="77777777" w:rsidR="00583F3E" w:rsidRPr="00583F3E" w:rsidRDefault="00583F3E" w:rsidP="00583F3E">
      <w:pPr>
        <w:widowControl/>
        <w:jc w:val="both"/>
        <w:rPr>
          <w:rFonts w:ascii="Times New Roman" w:hAnsi="Times New Roman" w:cs="Times New Roman"/>
          <w:i/>
          <w:noProof/>
          <w:position w:val="6"/>
          <w:sz w:val="24"/>
        </w:rPr>
      </w:pPr>
    </w:p>
    <w:p w14:paraId="7B9151B7" w14:textId="77777777" w:rsidR="00583F3E" w:rsidRPr="00AA2F35" w:rsidRDefault="00AA2F35" w:rsidP="00AA2F35">
      <w:pPr>
        <w:pStyle w:val="Heading2"/>
        <w:widowControl/>
        <w:tabs>
          <w:tab w:val="left" w:pos="697"/>
        </w:tabs>
        <w:ind w:left="0" w:firstLine="0"/>
        <w:jc w:val="both"/>
        <w:rPr>
          <w:rFonts w:ascii="Times New Roman" w:hAnsi="Times New Roman" w:cs="Times New Roman"/>
          <w:noProof/>
          <w:position w:val="6"/>
          <w:szCs w:val="32"/>
        </w:rPr>
      </w:pPr>
      <w:bookmarkStart w:id="41" w:name="_Toc31207938"/>
      <w:r>
        <w:rPr>
          <w:rFonts w:ascii="Times New Roman" w:hAnsi="Times New Roman"/>
          <w:szCs w:val="32"/>
        </w:rPr>
        <w:t>4.3. Centralizētās siltumapgādes apakšiekārta</w:t>
      </w:r>
      <w:bookmarkStart w:id="42" w:name="_bookmark20"/>
      <w:bookmarkEnd w:id="42"/>
      <w:bookmarkEnd w:id="41"/>
    </w:p>
    <w:p w14:paraId="10F8DFC1" w14:textId="77777777" w:rsidR="00AA2F35" w:rsidRDefault="00AA2F35" w:rsidP="00583F3E">
      <w:pPr>
        <w:pStyle w:val="BodyText"/>
        <w:widowControl/>
        <w:ind w:left="0"/>
        <w:jc w:val="both"/>
        <w:rPr>
          <w:rFonts w:ascii="Times New Roman" w:hAnsi="Times New Roman" w:cs="Times New Roman"/>
          <w:noProof/>
          <w:position w:val="6"/>
        </w:rPr>
      </w:pPr>
    </w:p>
    <w:p w14:paraId="36ACB5C6"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5. attēlā parādīta centralizētās siltumapgādes apakšiekārta. Punktētā līnija parāda apakšiekārtas sistēmas robežas. Piešķiramo kvotu apjomu nosaka, pamatojoties uz izmērāmā siltuma daudzumu, kas tiek eksportēts centralizētās siltumapgādes vajadzībām.</w:t>
      </w:r>
    </w:p>
    <w:p w14:paraId="1AC62B6C"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29579476" w14:textId="694134A6" w:rsidR="00583F3E" w:rsidRPr="00583F3E" w:rsidRDefault="00DD6EBD" w:rsidP="00AA2F35">
      <w:pPr>
        <w:widowControl/>
        <w:jc w:val="center"/>
        <w:rPr>
          <w:rFonts w:ascii="Times New Roman" w:eastAsia="Calibri" w:hAnsi="Times New Roman" w:cs="Times New Roman"/>
          <w:noProof/>
          <w:position w:val="6"/>
          <w:sz w:val="24"/>
          <w:szCs w:val="20"/>
        </w:rPr>
      </w:pPr>
      <w:r>
        <w:rPr>
          <w:rFonts w:ascii="Times New Roman" w:eastAsia="Calibri" w:hAnsi="Times New Roman" w:cs="Times New Roman"/>
          <w:noProof/>
          <w:position w:val="6"/>
          <w:sz w:val="24"/>
          <w:szCs w:val="20"/>
        </w:rPr>
        <w:drawing>
          <wp:inline distT="0" distB="0" distL="0" distR="0" wp14:anchorId="3218015B" wp14:editId="29DEF3F1">
            <wp:extent cx="5760720" cy="21945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194560"/>
                    </a:xfrm>
                    <a:prstGeom prst="rect">
                      <a:avLst/>
                    </a:prstGeom>
                    <a:noFill/>
                    <a:ln>
                      <a:noFill/>
                    </a:ln>
                  </pic:spPr>
                </pic:pic>
              </a:graphicData>
            </a:graphic>
          </wp:inline>
        </w:drawing>
      </w:r>
    </w:p>
    <w:p w14:paraId="1FE72B71" w14:textId="77777777" w:rsidR="00AA2F35" w:rsidRPr="00AA2F35" w:rsidRDefault="00AA2F35" w:rsidP="00583F3E">
      <w:pPr>
        <w:widowControl/>
        <w:jc w:val="both"/>
        <w:rPr>
          <w:rFonts w:ascii="Times New Roman" w:hAnsi="Times New Roman" w:cs="Times New Roman"/>
          <w:bCs/>
          <w:noProof/>
          <w:position w:val="6"/>
          <w:sz w:val="24"/>
        </w:rPr>
      </w:pPr>
    </w:p>
    <w:p w14:paraId="2A78B8B9" w14:textId="77777777" w:rsidR="00583F3E" w:rsidRPr="00583F3E" w:rsidRDefault="00583F3E" w:rsidP="00AA2F35">
      <w:pPr>
        <w:widowControl/>
        <w:jc w:val="center"/>
        <w:rPr>
          <w:rFonts w:ascii="Times New Roman" w:hAnsi="Times New Roman" w:cs="Times New Roman"/>
          <w:b/>
          <w:noProof/>
          <w:position w:val="6"/>
          <w:sz w:val="24"/>
        </w:rPr>
      </w:pPr>
      <w:r>
        <w:rPr>
          <w:rFonts w:ascii="Times New Roman" w:hAnsi="Times New Roman"/>
          <w:b/>
          <w:sz w:val="24"/>
        </w:rPr>
        <w:t>5. attēls. Centralizētās siltumapgādes apakšiekārtas piemērs</w:t>
      </w:r>
      <w:bookmarkStart w:id="43" w:name="_bookmark21"/>
      <w:bookmarkEnd w:id="43"/>
    </w:p>
    <w:p w14:paraId="74535504" w14:textId="77777777" w:rsidR="00583F3E" w:rsidRPr="00583F3E" w:rsidRDefault="00583F3E" w:rsidP="00583F3E">
      <w:pPr>
        <w:widowControl/>
        <w:jc w:val="both"/>
        <w:rPr>
          <w:rFonts w:ascii="Times New Roman" w:eastAsia="Calibri" w:hAnsi="Times New Roman" w:cs="Times New Roman"/>
          <w:b/>
          <w:bCs/>
          <w:noProof/>
          <w:position w:val="6"/>
          <w:sz w:val="24"/>
          <w:szCs w:val="23"/>
        </w:rPr>
      </w:pPr>
    </w:p>
    <w:p w14:paraId="3BF1630E" w14:textId="77777777" w:rsidR="00583F3E" w:rsidRPr="00583F3E" w:rsidRDefault="00583F3E" w:rsidP="00583F3E">
      <w:pPr>
        <w:pStyle w:val="BodyText"/>
        <w:widowControl/>
        <w:ind w:left="0"/>
        <w:jc w:val="both"/>
        <w:rPr>
          <w:rFonts w:ascii="Times New Roman" w:hAnsi="Times New Roman" w:cs="Times New Roman"/>
          <w:noProof/>
          <w:position w:val="6"/>
          <w:u w:val="single" w:color="000000"/>
        </w:rPr>
      </w:pPr>
      <w:r>
        <w:rPr>
          <w:rFonts w:ascii="Times New Roman" w:hAnsi="Times New Roman"/>
          <w:u w:val="single" w:color="000000"/>
        </w:rPr>
        <w:t>Pēc 3.a un 3.b soļa attiecībā uz centralizētās siltumapgādes apakšiekārtām, kas aprakstītas 2.3. iedaļā, ir jāveic nākamie turpmāk norādītie soļi.</w:t>
      </w:r>
    </w:p>
    <w:p w14:paraId="3671D971"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48AF9739"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3.c solis. Nosaka vēsturisko darbības līmeni</w:t>
      </w:r>
    </w:p>
    <w:p w14:paraId="13493103"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Centralizētās siltumapgādes apakšiekārtas ikgadējais vēsturiskais darbības līmenis (</w:t>
      </w:r>
      <w:r>
        <w:rPr>
          <w:rFonts w:ascii="Times New Roman" w:hAnsi="Times New Roman"/>
          <w:i/>
        </w:rPr>
        <w:t>HAL</w:t>
      </w:r>
      <w:r>
        <w:rPr>
          <w:rFonts w:ascii="Times New Roman" w:hAnsi="Times New Roman"/>
          <w:i/>
          <w:vertAlign w:val="subscript"/>
        </w:rPr>
        <w:t>h</w:t>
      </w:r>
      <w:r>
        <w:rPr>
          <w:rFonts w:ascii="Times New Roman" w:hAnsi="Times New Roman"/>
        </w:rPr>
        <w:t xml:space="preserve">) tiek izteikts </w:t>
      </w:r>
      <w:r>
        <w:rPr>
          <w:rFonts w:ascii="Times New Roman" w:hAnsi="Times New Roman"/>
          <w:i/>
          <w:iCs/>
        </w:rPr>
        <w:t>TJ</w:t>
      </w:r>
      <w:r>
        <w:rPr>
          <w:rFonts w:ascii="Times New Roman" w:hAnsi="Times New Roman"/>
        </w:rPr>
        <w:t>/gadā, un tas ir izmērāmais neto siltums, kas tiek eksportēts centralizētās siltumapgādes vajadzībām.</w:t>
      </w:r>
    </w:p>
    <w:p w14:paraId="79EA089E"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22598F02"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3.d solis. Aprēķina provizorisko bez maksas piešķiramo emisijas kvotu apjomu</w:t>
      </w:r>
    </w:p>
    <w:p w14:paraId="60D01212"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Aprēķina provizorisko ikgadējo piešķiramo kvotu apjomu centralizētās siltumapgādes apakšiekārtai, izmantojot šādu vienādojumu:</w:t>
      </w:r>
    </w:p>
    <w:p w14:paraId="29522E48"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50C64FA8" w14:textId="77777777" w:rsidR="00583F3E" w:rsidRPr="00583F3E" w:rsidRDefault="00583218" w:rsidP="00583218">
      <w:pPr>
        <w:widowControl/>
        <w:jc w:val="center"/>
        <w:rPr>
          <w:rFonts w:ascii="Times New Roman" w:eastAsia="Calibri" w:hAnsi="Times New Roman" w:cs="Times New Roman"/>
          <w:noProof/>
          <w:position w:val="6"/>
          <w:sz w:val="24"/>
          <w:szCs w:val="19"/>
        </w:rPr>
      </w:pPr>
      <w:r>
        <w:rPr>
          <w:rFonts w:ascii="Times New Roman" w:hAnsi="Times New Roman"/>
          <w:i/>
          <w:iCs/>
          <w:sz w:val="24"/>
          <w:szCs w:val="19"/>
        </w:rPr>
        <w:t>F</w:t>
      </w:r>
      <w:r>
        <w:rPr>
          <w:rFonts w:ascii="Times New Roman" w:hAnsi="Times New Roman"/>
          <w:i/>
          <w:iCs/>
          <w:sz w:val="24"/>
          <w:szCs w:val="19"/>
          <w:vertAlign w:val="subscript"/>
        </w:rPr>
        <w:t>DH,k</w:t>
      </w:r>
      <w:r>
        <w:rPr>
          <w:rFonts w:ascii="Times New Roman" w:hAnsi="Times New Roman"/>
          <w:sz w:val="24"/>
          <w:szCs w:val="19"/>
        </w:rPr>
        <w:t xml:space="preserve"> = </w:t>
      </w:r>
      <w:r>
        <w:rPr>
          <w:rFonts w:ascii="Times New Roman" w:hAnsi="Times New Roman"/>
          <w:i/>
          <w:iCs/>
          <w:sz w:val="24"/>
          <w:szCs w:val="19"/>
        </w:rPr>
        <w:t>BM</w:t>
      </w:r>
      <w:r>
        <w:rPr>
          <w:rFonts w:ascii="Times New Roman" w:hAnsi="Times New Roman"/>
          <w:i/>
          <w:iCs/>
          <w:sz w:val="24"/>
          <w:szCs w:val="19"/>
          <w:vertAlign w:val="subscript"/>
        </w:rPr>
        <w:t>h</w:t>
      </w:r>
      <w:r>
        <w:rPr>
          <w:rFonts w:ascii="Times New Roman" w:hAnsi="Times New Roman"/>
          <w:sz w:val="24"/>
          <w:szCs w:val="19"/>
        </w:rPr>
        <w:t xml:space="preserve"> = </w:t>
      </w:r>
      <w:r>
        <w:rPr>
          <w:rFonts w:ascii="Times New Roman" w:hAnsi="Times New Roman"/>
          <w:i/>
          <w:iCs/>
          <w:sz w:val="24"/>
          <w:szCs w:val="19"/>
        </w:rPr>
        <w:t>HAL</w:t>
      </w:r>
      <w:r>
        <w:rPr>
          <w:rFonts w:ascii="Times New Roman" w:hAnsi="Times New Roman"/>
          <w:i/>
          <w:iCs/>
          <w:sz w:val="24"/>
          <w:szCs w:val="19"/>
          <w:vertAlign w:val="subscript"/>
        </w:rPr>
        <w:t>DH</w:t>
      </w:r>
      <w:r>
        <w:rPr>
          <w:rFonts w:ascii="Times New Roman" w:hAnsi="Times New Roman"/>
          <w:sz w:val="24"/>
          <w:szCs w:val="19"/>
        </w:rPr>
        <w:t xml:space="preserve"> × </w:t>
      </w:r>
      <w:r>
        <w:rPr>
          <w:rFonts w:ascii="Times New Roman" w:hAnsi="Times New Roman"/>
          <w:i/>
          <w:iCs/>
          <w:sz w:val="24"/>
          <w:szCs w:val="19"/>
        </w:rPr>
        <w:t>CLEF</w:t>
      </w:r>
      <w:r>
        <w:rPr>
          <w:rFonts w:ascii="Times New Roman" w:hAnsi="Times New Roman"/>
          <w:i/>
          <w:iCs/>
          <w:sz w:val="24"/>
          <w:szCs w:val="19"/>
          <w:vertAlign w:val="subscript"/>
        </w:rPr>
        <w:t>DH</w:t>
      </w:r>
      <w:r>
        <w:rPr>
          <w:rFonts w:ascii="Times New Roman" w:hAnsi="Times New Roman"/>
          <w:sz w:val="24"/>
          <w:szCs w:val="19"/>
        </w:rPr>
        <w:t>,</w:t>
      </w:r>
    </w:p>
    <w:p w14:paraId="62EAAF27" w14:textId="77777777" w:rsidR="00583F3E" w:rsidRPr="00583F3E" w:rsidRDefault="00583F3E" w:rsidP="00583F3E">
      <w:pPr>
        <w:widowControl/>
        <w:jc w:val="both"/>
        <w:rPr>
          <w:rFonts w:ascii="Times New Roman" w:eastAsia="Calibri" w:hAnsi="Times New Roman" w:cs="Times New Roman"/>
          <w:noProof/>
          <w:position w:val="6"/>
          <w:sz w:val="24"/>
          <w:szCs w:val="28"/>
        </w:rPr>
      </w:pPr>
    </w:p>
    <w:p w14:paraId="604E642D"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62"/>
      </w:tblGrid>
      <w:tr w:rsidR="00583218" w:rsidRPr="00583218" w14:paraId="324678FE" w14:textId="77777777" w:rsidTr="00583218">
        <w:tc>
          <w:tcPr>
            <w:tcW w:w="1526" w:type="dxa"/>
          </w:tcPr>
          <w:p w14:paraId="3A65F999" w14:textId="77777777" w:rsidR="00583218" w:rsidRPr="00583218" w:rsidRDefault="00583218" w:rsidP="00583F3E">
            <w:pPr>
              <w:widowControl/>
              <w:jc w:val="both"/>
              <w:rPr>
                <w:rFonts w:ascii="Times New Roman" w:hAnsi="Times New Roman" w:cs="Times New Roman"/>
                <w:noProof/>
                <w:position w:val="6"/>
                <w:sz w:val="24"/>
                <w:szCs w:val="24"/>
              </w:rPr>
            </w:pPr>
            <w:r>
              <w:rPr>
                <w:rFonts w:ascii="Times New Roman" w:hAnsi="Times New Roman"/>
                <w:i/>
                <w:iCs/>
                <w:sz w:val="24"/>
                <w:szCs w:val="24"/>
              </w:rPr>
              <w:t>F</w:t>
            </w:r>
            <w:r>
              <w:rPr>
                <w:rFonts w:ascii="Times New Roman" w:hAnsi="Times New Roman"/>
                <w:i/>
                <w:iCs/>
                <w:sz w:val="24"/>
                <w:szCs w:val="24"/>
                <w:vertAlign w:val="subscript"/>
              </w:rPr>
              <w:t>DH,k</w:t>
            </w:r>
          </w:p>
        </w:tc>
        <w:tc>
          <w:tcPr>
            <w:tcW w:w="7762" w:type="dxa"/>
          </w:tcPr>
          <w:p w14:paraId="752547F5" w14:textId="1EF9087B" w:rsidR="00583218" w:rsidRPr="00583218" w:rsidRDefault="00583218" w:rsidP="00583F3E">
            <w:pPr>
              <w:widowControl/>
              <w:jc w:val="both"/>
              <w:rPr>
                <w:rFonts w:ascii="Times New Roman" w:hAnsi="Times New Roman" w:cs="Times New Roman"/>
                <w:noProof/>
                <w:position w:val="6"/>
                <w:sz w:val="24"/>
                <w:szCs w:val="24"/>
              </w:rPr>
            </w:pPr>
            <w:r>
              <w:rPr>
                <w:rFonts w:ascii="Times New Roman" w:hAnsi="Times New Roman"/>
                <w:sz w:val="24"/>
                <w:szCs w:val="24"/>
              </w:rPr>
              <w:t xml:space="preserve">ir provizoriskais ikgadējais piešķiramo kvotu apjoms centralizētās siltumapgādes apakšiekārtai gadā (izteikts </w:t>
            </w:r>
            <w:r w:rsidRPr="00136114">
              <w:rPr>
                <w:rFonts w:ascii="Times New Roman" w:hAnsi="Times New Roman"/>
                <w:i/>
                <w:iCs/>
                <w:sz w:val="24"/>
                <w:szCs w:val="24"/>
              </w:rPr>
              <w:t>E</w:t>
            </w:r>
            <w:r w:rsidR="00136114" w:rsidRPr="00136114">
              <w:rPr>
                <w:rFonts w:ascii="Times New Roman" w:hAnsi="Times New Roman"/>
                <w:i/>
                <w:iCs/>
                <w:sz w:val="24"/>
                <w:szCs w:val="24"/>
              </w:rPr>
              <w:t>UA</w:t>
            </w:r>
            <w:r>
              <w:rPr>
                <w:rFonts w:ascii="Times New Roman" w:hAnsi="Times New Roman"/>
                <w:sz w:val="24"/>
                <w:szCs w:val="24"/>
              </w:rPr>
              <w:t>/gadā);</w:t>
            </w:r>
          </w:p>
        </w:tc>
      </w:tr>
      <w:tr w:rsidR="00583218" w:rsidRPr="00583218" w14:paraId="1F4BA5B3" w14:textId="77777777" w:rsidTr="00583218">
        <w:tc>
          <w:tcPr>
            <w:tcW w:w="1526" w:type="dxa"/>
          </w:tcPr>
          <w:p w14:paraId="549C6CD5" w14:textId="77777777" w:rsidR="00583218" w:rsidRPr="00583218" w:rsidRDefault="00583218" w:rsidP="00583F3E">
            <w:pPr>
              <w:widowControl/>
              <w:jc w:val="both"/>
              <w:rPr>
                <w:rFonts w:ascii="Times New Roman" w:hAnsi="Times New Roman" w:cs="Times New Roman"/>
                <w:i/>
                <w:iCs/>
                <w:noProof/>
                <w:position w:val="6"/>
                <w:sz w:val="24"/>
                <w:szCs w:val="24"/>
              </w:rPr>
            </w:pPr>
            <w:r>
              <w:rPr>
                <w:rFonts w:ascii="Times New Roman" w:hAnsi="Times New Roman"/>
                <w:i/>
                <w:iCs/>
                <w:sz w:val="24"/>
                <w:szCs w:val="24"/>
              </w:rPr>
              <w:t>BM</w:t>
            </w:r>
            <w:r>
              <w:rPr>
                <w:rFonts w:ascii="Times New Roman" w:hAnsi="Times New Roman"/>
                <w:i/>
                <w:iCs/>
                <w:sz w:val="24"/>
                <w:szCs w:val="24"/>
                <w:vertAlign w:val="subscript"/>
              </w:rPr>
              <w:t>h</w:t>
            </w:r>
          </w:p>
        </w:tc>
        <w:tc>
          <w:tcPr>
            <w:tcW w:w="7762" w:type="dxa"/>
          </w:tcPr>
          <w:p w14:paraId="100808F0" w14:textId="50E93F52" w:rsidR="00583218" w:rsidRPr="00583218" w:rsidRDefault="00583218" w:rsidP="00583218">
            <w:pPr>
              <w:pStyle w:val="BodyText"/>
              <w:widowControl/>
              <w:ind w:left="0"/>
              <w:jc w:val="both"/>
              <w:rPr>
                <w:rFonts w:ascii="Times New Roman" w:hAnsi="Times New Roman" w:cs="Times New Roman"/>
                <w:i/>
                <w:iCs/>
                <w:noProof/>
                <w:position w:val="6"/>
              </w:rPr>
            </w:pPr>
            <w:r>
              <w:rPr>
                <w:rFonts w:ascii="Times New Roman" w:hAnsi="Times New Roman"/>
              </w:rPr>
              <w:t xml:space="preserve">ir siltuma līmeņatzīme; noteikts, ka tā ir XX </w:t>
            </w:r>
            <w:r w:rsidRPr="003358A3">
              <w:rPr>
                <w:rFonts w:ascii="Times New Roman" w:hAnsi="Times New Roman"/>
                <w:i/>
                <w:iCs/>
              </w:rPr>
              <w:t>E</w:t>
            </w:r>
            <w:r w:rsidR="00136114" w:rsidRPr="003358A3">
              <w:rPr>
                <w:rFonts w:ascii="Times New Roman" w:hAnsi="Times New Roman"/>
                <w:i/>
                <w:iCs/>
              </w:rPr>
              <w:t>UA</w:t>
            </w:r>
            <w:r>
              <w:rPr>
                <w:rFonts w:ascii="Times New Roman" w:hAnsi="Times New Roman"/>
              </w:rPr>
              <w:t>/</w:t>
            </w:r>
            <w:r>
              <w:rPr>
                <w:rFonts w:ascii="Times New Roman" w:hAnsi="Times New Roman"/>
                <w:i/>
                <w:iCs/>
              </w:rPr>
              <w:t>TJ</w:t>
            </w:r>
            <w:r>
              <w:rPr>
                <w:rFonts w:ascii="Times New Roman" w:hAnsi="Times New Roman"/>
              </w:rPr>
              <w:t>;</w:t>
            </w:r>
          </w:p>
        </w:tc>
      </w:tr>
      <w:tr w:rsidR="00583218" w:rsidRPr="00583218" w14:paraId="1D117C6D" w14:textId="77777777" w:rsidTr="00583218">
        <w:tc>
          <w:tcPr>
            <w:tcW w:w="1526" w:type="dxa"/>
          </w:tcPr>
          <w:p w14:paraId="34207495" w14:textId="77777777" w:rsidR="00583218" w:rsidRPr="00583218" w:rsidRDefault="00583218" w:rsidP="00583F3E">
            <w:pPr>
              <w:widowControl/>
              <w:jc w:val="both"/>
              <w:rPr>
                <w:rFonts w:ascii="Times New Roman" w:hAnsi="Times New Roman" w:cs="Times New Roman"/>
                <w:noProof/>
                <w:position w:val="6"/>
                <w:sz w:val="24"/>
                <w:szCs w:val="24"/>
              </w:rPr>
            </w:pPr>
            <w:r>
              <w:rPr>
                <w:rFonts w:ascii="Times New Roman" w:hAnsi="Times New Roman"/>
                <w:i/>
                <w:iCs/>
                <w:sz w:val="24"/>
                <w:szCs w:val="24"/>
              </w:rPr>
              <w:t>HAL</w:t>
            </w:r>
            <w:r>
              <w:rPr>
                <w:rFonts w:ascii="Times New Roman" w:hAnsi="Times New Roman"/>
                <w:sz w:val="24"/>
                <w:szCs w:val="24"/>
                <w:vertAlign w:val="subscript"/>
              </w:rPr>
              <w:t>DH</w:t>
            </w:r>
          </w:p>
        </w:tc>
        <w:tc>
          <w:tcPr>
            <w:tcW w:w="7762" w:type="dxa"/>
          </w:tcPr>
          <w:p w14:paraId="5C254694" w14:textId="77777777" w:rsidR="00583218" w:rsidRPr="00583218" w:rsidRDefault="00583218" w:rsidP="00583218">
            <w:pPr>
              <w:pStyle w:val="BodyText"/>
              <w:widowControl/>
              <w:tabs>
                <w:tab w:val="left" w:pos="1540"/>
              </w:tabs>
              <w:ind w:left="0"/>
              <w:jc w:val="both"/>
              <w:rPr>
                <w:rFonts w:ascii="Times New Roman" w:hAnsi="Times New Roman" w:cs="Times New Roman"/>
                <w:noProof/>
                <w:position w:val="6"/>
              </w:rPr>
            </w:pPr>
            <w:r>
              <w:rPr>
                <w:rFonts w:ascii="Times New Roman" w:hAnsi="Times New Roman"/>
              </w:rPr>
              <w:t xml:space="preserve">ir vēsturiskais darbības līmenis, t. i., tas izmērāma siltuma, ko importējusi vai saražojusi uz vietas ES ETS iekārta centralizētās siltumapgādes vajadzībām, ikgadējā eksporta aritmētiskais vidējais bāzlīnijas periodā, kas noteikts un verificēts bāzlīnijas datu vākšanā (izteikts </w:t>
            </w:r>
            <w:r>
              <w:rPr>
                <w:rFonts w:ascii="Times New Roman" w:hAnsi="Times New Roman"/>
                <w:i/>
                <w:iCs/>
              </w:rPr>
              <w:t>TJ</w:t>
            </w:r>
            <w:r>
              <w:rPr>
                <w:rFonts w:ascii="Times New Roman" w:hAnsi="Times New Roman"/>
              </w:rPr>
              <w:t>/gadā);</w:t>
            </w:r>
          </w:p>
        </w:tc>
      </w:tr>
      <w:tr w:rsidR="00583218" w:rsidRPr="00583218" w14:paraId="6A472214" w14:textId="77777777" w:rsidTr="00583218">
        <w:tc>
          <w:tcPr>
            <w:tcW w:w="1526" w:type="dxa"/>
          </w:tcPr>
          <w:p w14:paraId="42DF2136" w14:textId="77777777" w:rsidR="00583218" w:rsidRPr="00583218" w:rsidRDefault="00583218" w:rsidP="00583F3E">
            <w:pPr>
              <w:widowControl/>
              <w:jc w:val="both"/>
              <w:rPr>
                <w:rFonts w:ascii="Times New Roman" w:hAnsi="Times New Roman" w:cs="Times New Roman"/>
                <w:noProof/>
                <w:position w:val="6"/>
                <w:sz w:val="24"/>
                <w:szCs w:val="24"/>
              </w:rPr>
            </w:pPr>
            <w:r>
              <w:rPr>
                <w:rFonts w:ascii="Times New Roman" w:hAnsi="Times New Roman"/>
                <w:i/>
                <w:iCs/>
                <w:sz w:val="24"/>
                <w:szCs w:val="24"/>
              </w:rPr>
              <w:t>CLEF</w:t>
            </w:r>
            <w:r>
              <w:rPr>
                <w:rFonts w:ascii="Times New Roman" w:hAnsi="Times New Roman"/>
                <w:i/>
                <w:iCs/>
                <w:sz w:val="24"/>
                <w:szCs w:val="24"/>
                <w:vertAlign w:val="subscript"/>
              </w:rPr>
              <w:t>DH</w:t>
            </w:r>
          </w:p>
        </w:tc>
        <w:tc>
          <w:tcPr>
            <w:tcW w:w="7762" w:type="dxa"/>
          </w:tcPr>
          <w:p w14:paraId="0509F6A1" w14:textId="77777777" w:rsidR="00583218" w:rsidRPr="00583218" w:rsidRDefault="00583218" w:rsidP="00583218">
            <w:pPr>
              <w:pStyle w:val="BodyText"/>
              <w:widowControl/>
              <w:tabs>
                <w:tab w:val="left" w:pos="1540"/>
              </w:tabs>
              <w:ind w:left="0"/>
              <w:jc w:val="both"/>
              <w:rPr>
                <w:rFonts w:ascii="Times New Roman" w:hAnsi="Times New Roman" w:cs="Times New Roman"/>
                <w:noProof/>
                <w:position w:val="6"/>
              </w:rPr>
            </w:pPr>
            <w:r>
              <w:rPr>
                <w:rFonts w:ascii="Times New Roman" w:hAnsi="Times New Roman"/>
              </w:rPr>
              <w:t xml:space="preserve">ir oglekļa emisiju pārvirzes riska koeficients </w:t>
            </w:r>
            <w:r>
              <w:rPr>
                <w:rFonts w:ascii="Times New Roman" w:hAnsi="Times New Roman"/>
                <w:i/>
              </w:rPr>
              <w:t xml:space="preserve">DH </w:t>
            </w:r>
            <w:r>
              <w:rPr>
                <w:rFonts w:ascii="Times New Roman" w:hAnsi="Times New Roman"/>
              </w:rPr>
              <w:t>apakšiekārtai (= 0,300).</w:t>
            </w:r>
          </w:p>
        </w:tc>
      </w:tr>
    </w:tbl>
    <w:p w14:paraId="45F33DD2" w14:textId="77777777" w:rsidR="00583218" w:rsidRDefault="00583218" w:rsidP="00583F3E">
      <w:pPr>
        <w:widowControl/>
        <w:jc w:val="both"/>
        <w:rPr>
          <w:rFonts w:ascii="Times New Roman" w:hAnsi="Times New Roman" w:cs="Times New Roman"/>
          <w:noProof/>
          <w:position w:val="6"/>
          <w:sz w:val="24"/>
        </w:rPr>
      </w:pPr>
    </w:p>
    <w:p w14:paraId="1F9771FD" w14:textId="77777777" w:rsidR="00583F3E" w:rsidRPr="00583F3E" w:rsidRDefault="00583F3E" w:rsidP="00583F3E">
      <w:pPr>
        <w:widowControl/>
        <w:jc w:val="both"/>
        <w:rPr>
          <w:rFonts w:ascii="Times New Roman" w:hAnsi="Times New Roman" w:cs="Times New Roman"/>
          <w:b/>
          <w:i/>
          <w:noProof/>
          <w:position w:val="6"/>
          <w:sz w:val="24"/>
        </w:rPr>
      </w:pPr>
      <w:r>
        <w:rPr>
          <w:rFonts w:ascii="Times New Roman" w:hAnsi="Times New Roman"/>
          <w:b/>
          <w:i/>
          <w:sz w:val="24"/>
        </w:rPr>
        <w:t>Jāņem vērā ir tikai neto siltuma plūsmas, kas nozīmē, ka siltumsaturs kondensātā vai siltumnesējā, kas atgriežas siltuma piegādātājam, tiek atskaitīts.</w:t>
      </w:r>
    </w:p>
    <w:p w14:paraId="0FFCC271" w14:textId="77777777" w:rsidR="00583F3E" w:rsidRPr="00583F3E" w:rsidRDefault="00583F3E" w:rsidP="00583F3E">
      <w:pPr>
        <w:widowControl/>
        <w:jc w:val="both"/>
        <w:rPr>
          <w:rFonts w:ascii="Times New Roman" w:eastAsia="Calibri" w:hAnsi="Times New Roman" w:cs="Times New Roman"/>
          <w:b/>
          <w:bCs/>
          <w:i/>
          <w:noProof/>
          <w:position w:val="6"/>
          <w:sz w:val="24"/>
          <w:szCs w:val="20"/>
        </w:rPr>
      </w:pPr>
    </w:p>
    <w:p w14:paraId="6EBC201F" w14:textId="77777777" w:rsidR="00583F3E" w:rsidRPr="00583F3E" w:rsidRDefault="00583F3E" w:rsidP="00583F3E">
      <w:pPr>
        <w:widowControl/>
        <w:jc w:val="both"/>
        <w:rPr>
          <w:rFonts w:ascii="Times New Roman" w:eastAsia="Calibri" w:hAnsi="Times New Roman" w:cs="Times New Roman"/>
          <w:b/>
          <w:bCs/>
          <w:i/>
          <w:noProof/>
          <w:position w:val="6"/>
          <w:sz w:val="24"/>
          <w:szCs w:val="23"/>
        </w:rPr>
      </w:pPr>
    </w:p>
    <w:p w14:paraId="42293282" w14:textId="77777777" w:rsidR="00583F3E" w:rsidRPr="00583218" w:rsidRDefault="00583218" w:rsidP="00583218">
      <w:pPr>
        <w:pStyle w:val="Heading2"/>
        <w:widowControl/>
        <w:tabs>
          <w:tab w:val="left" w:pos="677"/>
        </w:tabs>
        <w:ind w:left="0" w:firstLine="0"/>
        <w:jc w:val="both"/>
        <w:rPr>
          <w:rFonts w:ascii="Times New Roman" w:hAnsi="Times New Roman" w:cs="Times New Roman"/>
          <w:noProof/>
          <w:position w:val="6"/>
          <w:szCs w:val="32"/>
        </w:rPr>
      </w:pPr>
      <w:bookmarkStart w:id="44" w:name="_Toc31207939"/>
      <w:r>
        <w:rPr>
          <w:rFonts w:ascii="Times New Roman" w:hAnsi="Times New Roman"/>
          <w:szCs w:val="32"/>
        </w:rPr>
        <w:t>4.4. Kurināmā līmeņatzīmes apakšiekārta</w:t>
      </w:r>
      <w:bookmarkStart w:id="45" w:name="_bookmark22"/>
      <w:bookmarkEnd w:id="45"/>
      <w:bookmarkEnd w:id="44"/>
    </w:p>
    <w:p w14:paraId="418378C6" w14:textId="77777777" w:rsidR="00583218" w:rsidRDefault="00583218" w:rsidP="00583F3E">
      <w:pPr>
        <w:pStyle w:val="BodyText"/>
        <w:widowControl/>
        <w:ind w:left="0"/>
        <w:jc w:val="both"/>
        <w:rPr>
          <w:rFonts w:ascii="Times New Roman" w:hAnsi="Times New Roman" w:cs="Times New Roman"/>
          <w:noProof/>
          <w:position w:val="6"/>
        </w:rPr>
      </w:pPr>
    </w:p>
    <w:p w14:paraId="6BBD0BB5"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6. attēlā parādīta kurināmā līmeņatzīmes apakšiekārta. Punktētā līnija parāda apakšiekārtas sistēmas robežas. Piešķiramo kvotu apjomu nosaka, pamatojoties uz kurināmā patēriņu.</w:t>
      </w:r>
    </w:p>
    <w:p w14:paraId="4E771F68" w14:textId="77777777" w:rsidR="00583218" w:rsidRPr="00583F3E" w:rsidRDefault="00583218" w:rsidP="00583F3E">
      <w:pPr>
        <w:pStyle w:val="BodyText"/>
        <w:widowControl/>
        <w:ind w:left="0"/>
        <w:jc w:val="both"/>
        <w:rPr>
          <w:rFonts w:ascii="Times New Roman" w:hAnsi="Times New Roman" w:cs="Times New Roman"/>
          <w:noProof/>
          <w:position w:val="6"/>
        </w:rPr>
      </w:pPr>
    </w:p>
    <w:p w14:paraId="4AFCADF9" w14:textId="0AA83890" w:rsidR="00583F3E" w:rsidRPr="00583F3E" w:rsidRDefault="00DD6EBD" w:rsidP="00583218">
      <w:pPr>
        <w:widowControl/>
        <w:jc w:val="center"/>
        <w:rPr>
          <w:rFonts w:ascii="Times New Roman" w:hAnsi="Times New Roman" w:cs="Times New Roman"/>
          <w:noProof/>
          <w:position w:val="6"/>
          <w:sz w:val="24"/>
        </w:rPr>
      </w:pPr>
      <w:r w:rsidRPr="00DD6EBD">
        <w:rPr>
          <w:rFonts w:ascii="Times New Roman" w:hAnsi="Times New Roman" w:cs="Times New Roman"/>
          <w:noProof/>
          <w:position w:val="6"/>
          <w:sz w:val="24"/>
        </w:rPr>
        <w:drawing>
          <wp:inline distT="0" distB="0" distL="0" distR="0" wp14:anchorId="409E2DBF" wp14:editId="550B83E2">
            <wp:extent cx="5760720" cy="24491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449195"/>
                    </a:xfrm>
                    <a:prstGeom prst="rect">
                      <a:avLst/>
                    </a:prstGeom>
                    <a:noFill/>
                    <a:ln>
                      <a:noFill/>
                    </a:ln>
                  </pic:spPr>
                </pic:pic>
              </a:graphicData>
            </a:graphic>
          </wp:inline>
        </w:drawing>
      </w:r>
    </w:p>
    <w:p w14:paraId="4EB64FF0" w14:textId="77777777" w:rsidR="00583218" w:rsidRPr="00AA2F35" w:rsidRDefault="00583218" w:rsidP="00583218">
      <w:pPr>
        <w:widowControl/>
        <w:jc w:val="both"/>
        <w:rPr>
          <w:rFonts w:ascii="Times New Roman" w:hAnsi="Times New Roman" w:cs="Times New Roman"/>
          <w:bCs/>
          <w:noProof/>
          <w:position w:val="6"/>
          <w:sz w:val="24"/>
        </w:rPr>
      </w:pPr>
    </w:p>
    <w:p w14:paraId="43257E08" w14:textId="77777777" w:rsidR="00583F3E" w:rsidRPr="00583F3E" w:rsidRDefault="00583F3E" w:rsidP="00583218">
      <w:pPr>
        <w:widowControl/>
        <w:jc w:val="center"/>
        <w:rPr>
          <w:rFonts w:ascii="Times New Roman" w:hAnsi="Times New Roman" w:cs="Times New Roman"/>
          <w:b/>
          <w:noProof/>
          <w:position w:val="6"/>
          <w:sz w:val="24"/>
        </w:rPr>
      </w:pPr>
      <w:r>
        <w:rPr>
          <w:rFonts w:ascii="Times New Roman" w:hAnsi="Times New Roman"/>
          <w:b/>
          <w:sz w:val="24"/>
        </w:rPr>
        <w:t>6. attēls. Kurināmā līmeņatzīmes apakšiekārta</w:t>
      </w:r>
      <w:bookmarkStart w:id="46" w:name="_bookmark23"/>
      <w:bookmarkEnd w:id="46"/>
    </w:p>
    <w:p w14:paraId="1060DC90" w14:textId="77777777" w:rsidR="00583F3E" w:rsidRPr="00583F3E" w:rsidRDefault="00583F3E" w:rsidP="00583F3E">
      <w:pPr>
        <w:widowControl/>
        <w:jc w:val="both"/>
        <w:rPr>
          <w:rFonts w:ascii="Times New Roman" w:eastAsia="Calibri" w:hAnsi="Times New Roman" w:cs="Times New Roman"/>
          <w:b/>
          <w:bCs/>
          <w:noProof/>
          <w:position w:val="6"/>
          <w:sz w:val="24"/>
          <w:szCs w:val="23"/>
        </w:rPr>
      </w:pPr>
    </w:p>
    <w:p w14:paraId="6EFA4A1D" w14:textId="77777777" w:rsidR="00583F3E" w:rsidRPr="00583F3E" w:rsidRDefault="00583F3E" w:rsidP="00583F3E">
      <w:pPr>
        <w:pStyle w:val="BodyText"/>
        <w:widowControl/>
        <w:ind w:left="0"/>
        <w:jc w:val="both"/>
        <w:rPr>
          <w:rFonts w:ascii="Times New Roman" w:hAnsi="Times New Roman" w:cs="Times New Roman"/>
          <w:noProof/>
          <w:position w:val="6"/>
          <w:u w:val="single" w:color="000000"/>
        </w:rPr>
      </w:pPr>
      <w:r>
        <w:rPr>
          <w:rFonts w:ascii="Times New Roman" w:hAnsi="Times New Roman"/>
          <w:u w:val="single" w:color="000000"/>
        </w:rPr>
        <w:t>Pēc 4.a un 4.b soļa attiecībā uz kurināmā līmeņatzīmes apakšiekārtām, kas aprakstītas 2.4. iedaļā, ir jāveic nākamie turpmāk norādītie soļi.</w:t>
      </w:r>
    </w:p>
    <w:p w14:paraId="12FA3785"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24309BE5"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4.c solis. Nosaka vēsturisko darbības līmeni</w:t>
      </w:r>
    </w:p>
    <w:p w14:paraId="77D96AF7"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Kurināmā līmeņatzīmes apakšiekārtas ikgadējais vēsturiskais darbības līmenis (</w:t>
      </w:r>
      <w:r>
        <w:rPr>
          <w:rFonts w:ascii="Times New Roman" w:hAnsi="Times New Roman"/>
          <w:i/>
        </w:rPr>
        <w:t>HAL</w:t>
      </w:r>
      <w:r>
        <w:rPr>
          <w:rFonts w:ascii="Times New Roman" w:hAnsi="Times New Roman"/>
          <w:i/>
          <w:vertAlign w:val="subscript"/>
        </w:rPr>
        <w:t>f</w:t>
      </w:r>
      <w:r>
        <w:rPr>
          <w:rFonts w:ascii="Times New Roman" w:hAnsi="Times New Roman"/>
        </w:rPr>
        <w:t xml:space="preserve">) ir kurināmā patēriņš ārpus produkta līmeņatzīmes robežām (izteikts </w:t>
      </w:r>
      <w:r>
        <w:rPr>
          <w:rFonts w:ascii="Times New Roman" w:hAnsi="Times New Roman"/>
          <w:i/>
          <w:iCs/>
        </w:rPr>
        <w:t>TJ</w:t>
      </w:r>
      <w:r>
        <w:rPr>
          <w:rFonts w:ascii="Times New Roman" w:hAnsi="Times New Roman"/>
        </w:rPr>
        <w:t>/gadā), ar nosacījumu, ka kurināmais tiek izmantots produktu ražošanai, mehāniskās enerģijas ražošanai vai siltumapgādei/aukstumapgādei, bet nevis elektroenerģijas vai izmērāma siltuma ražošanai. Ikgadējais vēsturiskais darbības līmenis ietver tā kurināmā daudzumu, kas tiek izmantots sadedzināšanai lāpā drošības apsvērumu dēļ. Netiek ņemts vērā kurināmais, kas tiek izmantots citām vajadzībām (piemēram, atkritumu apstrādei ārpus produkta līmeņatzīmes robežām).</w:t>
      </w:r>
    </w:p>
    <w:p w14:paraId="6AE99092" w14:textId="77777777" w:rsidR="00583F3E" w:rsidRPr="00583F3E" w:rsidRDefault="00583F3E" w:rsidP="00583F3E">
      <w:pPr>
        <w:widowControl/>
        <w:jc w:val="both"/>
        <w:rPr>
          <w:rFonts w:ascii="Times New Roman" w:hAnsi="Times New Roman" w:cs="Times New Roman"/>
          <w:noProof/>
          <w:position w:val="6"/>
          <w:sz w:val="24"/>
        </w:rPr>
      </w:pPr>
    </w:p>
    <w:p w14:paraId="1D5C2136"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sz w:val="24"/>
        </w:rPr>
        <w:t>Ja kurināmais netiek izmantots galvenokārt sadedzināšanas procesam, lai ražotu neizmērāmu siltumu</w:t>
      </w:r>
      <w:r w:rsidR="00583218">
        <w:rPr>
          <w:rStyle w:val="FootnoteReference"/>
          <w:rFonts w:ascii="Times New Roman" w:hAnsi="Times New Roman" w:cs="Times New Roman"/>
          <w:noProof/>
          <w:position w:val="6"/>
          <w:sz w:val="24"/>
        </w:rPr>
        <w:footnoteReference w:id="27"/>
      </w:r>
      <w:r>
        <w:rPr>
          <w:rFonts w:ascii="Times New Roman" w:hAnsi="Times New Roman"/>
          <w:sz w:val="24"/>
        </w:rPr>
        <w:t xml:space="preserve">, šo kurināmā daudzumu nedrīkst ņemt vērā, nosakot kurināmā apakšiekārtas(-u) vēsturisko kurināmā patēriņu. </w:t>
      </w:r>
      <w:r>
        <w:rPr>
          <w:rFonts w:ascii="Times New Roman" w:hAnsi="Times New Roman"/>
          <w:i/>
          <w:sz w:val="24"/>
        </w:rPr>
        <w:t>Papildu informāciju par šo tēmu sk. Norādījumu dokumentā Nr. 8 par atlikumgāzēm.</w:t>
      </w:r>
    </w:p>
    <w:p w14:paraId="7272C4F1" w14:textId="77777777" w:rsidR="00583F3E" w:rsidRPr="00583F3E" w:rsidRDefault="00583F3E" w:rsidP="00583F3E">
      <w:pPr>
        <w:widowControl/>
        <w:jc w:val="both"/>
        <w:rPr>
          <w:rFonts w:ascii="Times New Roman" w:hAnsi="Times New Roman" w:cs="Times New Roman"/>
          <w:i/>
          <w:noProof/>
          <w:position w:val="6"/>
          <w:sz w:val="24"/>
        </w:rPr>
      </w:pPr>
    </w:p>
    <w:p w14:paraId="37FA57D3"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4.d solis. Aprēķina provizorisko bez maksas piešķiramo emisijas kvotu apjomu</w:t>
      </w:r>
    </w:p>
    <w:p w14:paraId="1A080050"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Aprēķina provizorisko ikgadējo piešķiramo kvotu apjomu katrai kurināmā līmeņatzīmes apakšiekārtai, izmantojot šādu vienādojumu:</w:t>
      </w:r>
    </w:p>
    <w:p w14:paraId="4000BB8E"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7727FCCA" w14:textId="77777777" w:rsidR="00583F3E" w:rsidRPr="00583F3E" w:rsidRDefault="00583F3E" w:rsidP="00AE641A">
      <w:pPr>
        <w:keepNext/>
        <w:widowControl/>
        <w:jc w:val="center"/>
        <w:rPr>
          <w:rFonts w:ascii="Times New Roman" w:hAnsi="Times New Roman" w:cs="Times New Roman"/>
          <w:noProof/>
          <w:position w:val="6"/>
          <w:sz w:val="24"/>
        </w:rPr>
      </w:pPr>
      <w:r>
        <w:rPr>
          <w:rFonts w:ascii="Times New Roman" w:hAnsi="Times New Roman"/>
          <w:i/>
          <w:iCs/>
          <w:sz w:val="24"/>
        </w:rPr>
        <w:lastRenderedPageBreak/>
        <w:t>F</w:t>
      </w:r>
      <w:r>
        <w:rPr>
          <w:rFonts w:ascii="Times New Roman" w:hAnsi="Times New Roman"/>
          <w:i/>
          <w:iCs/>
          <w:sz w:val="24"/>
          <w:vertAlign w:val="subscript"/>
        </w:rPr>
        <w:t>f,k</w:t>
      </w:r>
      <w:r>
        <w:rPr>
          <w:rFonts w:ascii="Times New Roman" w:hAnsi="Times New Roman"/>
          <w:sz w:val="24"/>
        </w:rPr>
        <w:t xml:space="preserve"> = </w:t>
      </w:r>
      <w:r>
        <w:rPr>
          <w:rFonts w:ascii="Times New Roman" w:hAnsi="Times New Roman"/>
          <w:i/>
          <w:iCs/>
          <w:sz w:val="24"/>
        </w:rPr>
        <w:t>BM</w:t>
      </w:r>
      <w:r>
        <w:rPr>
          <w:rFonts w:ascii="Times New Roman" w:hAnsi="Times New Roman"/>
          <w:i/>
          <w:iCs/>
          <w:sz w:val="24"/>
          <w:vertAlign w:val="subscript"/>
        </w:rPr>
        <w:t>f</w:t>
      </w:r>
      <w:r>
        <w:rPr>
          <w:rFonts w:ascii="Times New Roman" w:hAnsi="Times New Roman"/>
          <w:sz w:val="24"/>
        </w:rPr>
        <w:t xml:space="preserve"> × </w:t>
      </w:r>
      <w:r>
        <w:rPr>
          <w:rFonts w:ascii="Times New Roman" w:hAnsi="Times New Roman"/>
          <w:i/>
          <w:iCs/>
          <w:sz w:val="24"/>
        </w:rPr>
        <w:t>HAL</w:t>
      </w:r>
      <w:r>
        <w:rPr>
          <w:rFonts w:ascii="Times New Roman" w:hAnsi="Times New Roman"/>
          <w:i/>
          <w:iCs/>
          <w:sz w:val="24"/>
          <w:vertAlign w:val="subscript"/>
        </w:rPr>
        <w:t>f</w:t>
      </w:r>
      <w:r>
        <w:rPr>
          <w:rFonts w:ascii="Times New Roman" w:hAnsi="Times New Roman"/>
          <w:sz w:val="24"/>
        </w:rPr>
        <w:t xml:space="preserve"> × </w:t>
      </w:r>
      <w:r>
        <w:rPr>
          <w:rFonts w:ascii="Times New Roman" w:hAnsi="Times New Roman"/>
          <w:i/>
          <w:iCs/>
          <w:sz w:val="24"/>
        </w:rPr>
        <w:t>CLEF</w:t>
      </w:r>
      <w:r>
        <w:rPr>
          <w:rFonts w:ascii="Times New Roman" w:hAnsi="Times New Roman"/>
          <w:i/>
          <w:iCs/>
          <w:sz w:val="24"/>
          <w:vertAlign w:val="subscript"/>
        </w:rPr>
        <w:t>f,k</w:t>
      </w:r>
      <w:r>
        <w:rPr>
          <w:rFonts w:ascii="Times New Roman" w:hAnsi="Times New Roman"/>
          <w:sz w:val="24"/>
        </w:rPr>
        <w:t>,</w:t>
      </w:r>
    </w:p>
    <w:p w14:paraId="5419D927" w14:textId="77777777" w:rsidR="00583F3E" w:rsidRPr="00583F3E" w:rsidRDefault="00583F3E" w:rsidP="00AE641A">
      <w:pPr>
        <w:keepNext/>
        <w:widowControl/>
        <w:jc w:val="both"/>
        <w:rPr>
          <w:rFonts w:ascii="Times New Roman" w:eastAsia="Calibri" w:hAnsi="Times New Roman" w:cs="Times New Roman"/>
          <w:noProof/>
          <w:position w:val="6"/>
          <w:sz w:val="24"/>
          <w:szCs w:val="24"/>
        </w:rPr>
      </w:pPr>
    </w:p>
    <w:p w14:paraId="7EAC8C19" w14:textId="77777777" w:rsidR="00583F3E" w:rsidRDefault="00583F3E" w:rsidP="00AE641A">
      <w:pPr>
        <w:pStyle w:val="BodyText"/>
        <w:keepNext/>
        <w:widowControl/>
        <w:ind w:left="0"/>
        <w:jc w:val="both"/>
        <w:rPr>
          <w:rFonts w:ascii="Times New Roman" w:hAnsi="Times New Roman" w:cs="Times New Roman"/>
          <w:noProof/>
          <w:position w:val="6"/>
        </w:rPr>
      </w:pPr>
      <w:r>
        <w:rPr>
          <w:rFonts w:ascii="Times New Roman" w:hAnsi="Times New Roman"/>
        </w:rPr>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62"/>
      </w:tblGrid>
      <w:tr w:rsidR="00583218" w14:paraId="57F67C2B" w14:textId="77777777" w:rsidTr="00583218">
        <w:tc>
          <w:tcPr>
            <w:tcW w:w="1526" w:type="dxa"/>
          </w:tcPr>
          <w:p w14:paraId="3C87A09B" w14:textId="77777777" w:rsidR="00583218" w:rsidRDefault="00583218" w:rsidP="00AE641A">
            <w:pPr>
              <w:pStyle w:val="BodyText"/>
              <w:keepNext/>
              <w:widowControl/>
              <w:ind w:left="0"/>
              <w:jc w:val="both"/>
              <w:rPr>
                <w:rFonts w:ascii="Times New Roman" w:hAnsi="Times New Roman" w:cs="Times New Roman"/>
                <w:noProof/>
                <w:position w:val="6"/>
              </w:rPr>
            </w:pPr>
            <w:r>
              <w:rPr>
                <w:rFonts w:ascii="Times New Roman" w:hAnsi="Times New Roman"/>
                <w:i/>
                <w:iCs/>
              </w:rPr>
              <w:t>F</w:t>
            </w:r>
            <w:r>
              <w:rPr>
                <w:rFonts w:ascii="Times New Roman" w:hAnsi="Times New Roman"/>
                <w:i/>
                <w:iCs/>
                <w:vertAlign w:val="subscript"/>
              </w:rPr>
              <w:t>f,k</w:t>
            </w:r>
          </w:p>
        </w:tc>
        <w:tc>
          <w:tcPr>
            <w:tcW w:w="7762" w:type="dxa"/>
          </w:tcPr>
          <w:p w14:paraId="3A292829" w14:textId="02F74978" w:rsidR="00583218" w:rsidRDefault="00583218" w:rsidP="00AE641A">
            <w:pPr>
              <w:pStyle w:val="BodyText"/>
              <w:keepNext/>
              <w:widowControl/>
              <w:tabs>
                <w:tab w:val="left" w:pos="1560"/>
              </w:tabs>
              <w:ind w:left="0"/>
              <w:jc w:val="both"/>
              <w:rPr>
                <w:rFonts w:ascii="Times New Roman" w:hAnsi="Times New Roman" w:cs="Times New Roman"/>
                <w:noProof/>
                <w:position w:val="6"/>
              </w:rPr>
            </w:pPr>
            <w:r>
              <w:rPr>
                <w:rFonts w:ascii="Times New Roman" w:hAnsi="Times New Roman"/>
              </w:rPr>
              <w:t>ir provizoriskais ikgadējais piešķiramo kvotu apjoms apakšiekārtai gadā </w:t>
            </w:r>
            <w:r>
              <w:rPr>
                <w:rFonts w:ascii="Times New Roman" w:hAnsi="Times New Roman"/>
                <w:i/>
                <w:iCs/>
              </w:rPr>
              <w:t>k</w:t>
            </w:r>
            <w:r>
              <w:rPr>
                <w:rFonts w:ascii="Times New Roman" w:hAnsi="Times New Roman"/>
              </w:rPr>
              <w:t xml:space="preserve"> (izteikts </w:t>
            </w:r>
            <w:r w:rsidRPr="003358A3">
              <w:rPr>
                <w:rFonts w:ascii="Times New Roman" w:hAnsi="Times New Roman"/>
                <w:i/>
                <w:iCs/>
              </w:rPr>
              <w:t>E</w:t>
            </w:r>
            <w:r w:rsidR="003358A3" w:rsidRPr="003358A3">
              <w:rPr>
                <w:rFonts w:ascii="Times New Roman" w:hAnsi="Times New Roman"/>
                <w:i/>
                <w:iCs/>
              </w:rPr>
              <w:t>UA</w:t>
            </w:r>
            <w:r>
              <w:rPr>
                <w:rFonts w:ascii="Times New Roman" w:hAnsi="Times New Roman"/>
              </w:rPr>
              <w:t>/gadā);</w:t>
            </w:r>
          </w:p>
        </w:tc>
      </w:tr>
      <w:tr w:rsidR="00583218" w14:paraId="332C90AF" w14:textId="77777777" w:rsidTr="00583218">
        <w:tc>
          <w:tcPr>
            <w:tcW w:w="1526" w:type="dxa"/>
          </w:tcPr>
          <w:p w14:paraId="26065E35" w14:textId="77777777" w:rsidR="00583218" w:rsidRDefault="00583218" w:rsidP="00583F3E">
            <w:pPr>
              <w:pStyle w:val="BodyText"/>
              <w:widowControl/>
              <w:ind w:left="0"/>
              <w:jc w:val="both"/>
              <w:rPr>
                <w:rFonts w:ascii="Times New Roman" w:hAnsi="Times New Roman" w:cs="Times New Roman"/>
                <w:noProof/>
                <w:position w:val="6"/>
              </w:rPr>
            </w:pPr>
            <w:r>
              <w:rPr>
                <w:rFonts w:ascii="Times New Roman" w:hAnsi="Times New Roman"/>
                <w:i/>
                <w:iCs/>
              </w:rPr>
              <w:t>BM</w:t>
            </w:r>
            <w:r>
              <w:rPr>
                <w:rFonts w:ascii="Times New Roman" w:hAnsi="Times New Roman"/>
                <w:i/>
                <w:iCs/>
                <w:vertAlign w:val="subscript"/>
              </w:rPr>
              <w:t>f</w:t>
            </w:r>
          </w:p>
        </w:tc>
        <w:tc>
          <w:tcPr>
            <w:tcW w:w="7762" w:type="dxa"/>
          </w:tcPr>
          <w:p w14:paraId="5D58CFE6" w14:textId="2525622B" w:rsidR="00583218" w:rsidRDefault="00583218" w:rsidP="00583218">
            <w:pPr>
              <w:pStyle w:val="BodyText"/>
              <w:widowControl/>
              <w:ind w:left="0"/>
              <w:jc w:val="both"/>
              <w:rPr>
                <w:rFonts w:ascii="Times New Roman" w:hAnsi="Times New Roman" w:cs="Times New Roman"/>
                <w:noProof/>
                <w:position w:val="6"/>
              </w:rPr>
            </w:pPr>
            <w:r>
              <w:rPr>
                <w:rFonts w:ascii="Times New Roman" w:hAnsi="Times New Roman"/>
              </w:rPr>
              <w:t xml:space="preserve">ir siltuma līmeņatzīme; noteikts, ka tā ir XX </w:t>
            </w:r>
            <w:r w:rsidRPr="003358A3">
              <w:rPr>
                <w:rFonts w:ascii="Times New Roman" w:hAnsi="Times New Roman"/>
                <w:i/>
                <w:iCs/>
              </w:rPr>
              <w:t>E</w:t>
            </w:r>
            <w:r w:rsidR="003358A3" w:rsidRPr="003358A3">
              <w:rPr>
                <w:rFonts w:ascii="Times New Roman" w:hAnsi="Times New Roman"/>
                <w:i/>
                <w:iCs/>
              </w:rPr>
              <w:t>UA</w:t>
            </w:r>
            <w:r>
              <w:rPr>
                <w:rFonts w:ascii="Times New Roman" w:hAnsi="Times New Roman"/>
              </w:rPr>
              <w:t>/</w:t>
            </w:r>
            <w:r>
              <w:rPr>
                <w:rFonts w:ascii="Times New Roman" w:hAnsi="Times New Roman"/>
                <w:i/>
                <w:iCs/>
              </w:rPr>
              <w:t>TJ</w:t>
            </w:r>
            <w:r>
              <w:rPr>
                <w:rFonts w:ascii="Times New Roman" w:hAnsi="Times New Roman"/>
              </w:rPr>
              <w:t>;</w:t>
            </w:r>
          </w:p>
        </w:tc>
      </w:tr>
      <w:tr w:rsidR="00583218" w14:paraId="159D1AD4" w14:textId="77777777" w:rsidTr="00583218">
        <w:tc>
          <w:tcPr>
            <w:tcW w:w="1526" w:type="dxa"/>
          </w:tcPr>
          <w:p w14:paraId="4FB75327" w14:textId="77777777" w:rsidR="00583218" w:rsidRDefault="00583218" w:rsidP="00583F3E">
            <w:pPr>
              <w:pStyle w:val="BodyText"/>
              <w:widowControl/>
              <w:ind w:left="0"/>
              <w:jc w:val="both"/>
              <w:rPr>
                <w:rFonts w:ascii="Times New Roman" w:hAnsi="Times New Roman" w:cs="Times New Roman"/>
                <w:noProof/>
                <w:position w:val="6"/>
              </w:rPr>
            </w:pPr>
            <w:r>
              <w:rPr>
                <w:rFonts w:ascii="Times New Roman" w:hAnsi="Times New Roman"/>
                <w:i/>
                <w:iCs/>
              </w:rPr>
              <w:t>HAL</w:t>
            </w:r>
            <w:r>
              <w:rPr>
                <w:rFonts w:ascii="Times New Roman" w:hAnsi="Times New Roman"/>
                <w:i/>
                <w:iCs/>
                <w:vertAlign w:val="subscript"/>
              </w:rPr>
              <w:t>f</w:t>
            </w:r>
            <w:r>
              <w:rPr>
                <w:rFonts w:ascii="Times New Roman" w:hAnsi="Times New Roman"/>
              </w:rPr>
              <w:t xml:space="preserve"> </w:t>
            </w:r>
          </w:p>
        </w:tc>
        <w:tc>
          <w:tcPr>
            <w:tcW w:w="7762" w:type="dxa"/>
          </w:tcPr>
          <w:p w14:paraId="46FDE73E" w14:textId="77777777" w:rsidR="00583218" w:rsidRDefault="00583218" w:rsidP="00583218">
            <w:pPr>
              <w:pStyle w:val="BodyText"/>
              <w:widowControl/>
              <w:ind w:left="0"/>
              <w:jc w:val="both"/>
              <w:rPr>
                <w:rFonts w:ascii="Times New Roman" w:hAnsi="Times New Roman" w:cs="Times New Roman"/>
                <w:noProof/>
                <w:position w:val="6"/>
              </w:rPr>
            </w:pPr>
            <w:r>
              <w:rPr>
                <w:rFonts w:ascii="Times New Roman" w:hAnsi="Times New Roman"/>
              </w:rPr>
              <w:t xml:space="preserve">ir vēsturiskais darbības līmenis, t. i., apakšiekārtas kurināmā ikgadējā patēriņa aritmētiskais vidējais (izteikts </w:t>
            </w:r>
            <w:r>
              <w:rPr>
                <w:rFonts w:ascii="Times New Roman" w:hAnsi="Times New Roman"/>
                <w:i/>
                <w:iCs/>
              </w:rPr>
              <w:t>TJ</w:t>
            </w:r>
            <w:r>
              <w:rPr>
                <w:rFonts w:ascii="Times New Roman" w:hAnsi="Times New Roman"/>
              </w:rPr>
              <w:t>/gadā);</w:t>
            </w:r>
          </w:p>
        </w:tc>
      </w:tr>
      <w:tr w:rsidR="00583218" w14:paraId="74821F70" w14:textId="77777777" w:rsidTr="00583218">
        <w:tc>
          <w:tcPr>
            <w:tcW w:w="1526" w:type="dxa"/>
          </w:tcPr>
          <w:p w14:paraId="471B00AC" w14:textId="77777777" w:rsidR="00583218" w:rsidRDefault="00583218" w:rsidP="00583F3E">
            <w:pPr>
              <w:pStyle w:val="BodyText"/>
              <w:widowControl/>
              <w:ind w:left="0"/>
              <w:jc w:val="both"/>
              <w:rPr>
                <w:rFonts w:ascii="Times New Roman" w:hAnsi="Times New Roman" w:cs="Times New Roman"/>
                <w:noProof/>
                <w:position w:val="6"/>
              </w:rPr>
            </w:pPr>
            <w:r>
              <w:rPr>
                <w:rFonts w:ascii="Times New Roman" w:hAnsi="Times New Roman"/>
                <w:i/>
                <w:iCs/>
              </w:rPr>
              <w:t>CLEF</w:t>
            </w:r>
            <w:r>
              <w:rPr>
                <w:rFonts w:ascii="Times New Roman" w:hAnsi="Times New Roman"/>
                <w:i/>
                <w:iCs/>
                <w:vertAlign w:val="subscript"/>
              </w:rPr>
              <w:t>f,k</w:t>
            </w:r>
          </w:p>
        </w:tc>
        <w:tc>
          <w:tcPr>
            <w:tcW w:w="7762" w:type="dxa"/>
          </w:tcPr>
          <w:p w14:paraId="71F58F29" w14:textId="77777777" w:rsidR="00583218" w:rsidRDefault="00583218" w:rsidP="00583218">
            <w:pPr>
              <w:pStyle w:val="BodyText"/>
              <w:widowControl/>
              <w:tabs>
                <w:tab w:val="left" w:pos="1560"/>
              </w:tabs>
              <w:ind w:left="0"/>
              <w:jc w:val="both"/>
              <w:rPr>
                <w:rFonts w:ascii="Times New Roman" w:hAnsi="Times New Roman" w:cs="Times New Roman"/>
                <w:noProof/>
                <w:position w:val="6"/>
              </w:rPr>
            </w:pPr>
            <w:r>
              <w:rPr>
                <w:rFonts w:ascii="Times New Roman" w:hAnsi="Times New Roman"/>
              </w:rPr>
              <w:t>ir oglekļa emisiju pārvirzes riska koeficients kurināmā apakšiekārtai gadā </w:t>
            </w:r>
            <w:r>
              <w:rPr>
                <w:rFonts w:ascii="Times New Roman" w:hAnsi="Times New Roman"/>
                <w:i/>
                <w:iCs/>
              </w:rPr>
              <w:t>k</w:t>
            </w:r>
            <w:r>
              <w:rPr>
                <w:rFonts w:ascii="Times New Roman" w:hAnsi="Times New Roman"/>
              </w:rPr>
              <w:t>.</w:t>
            </w:r>
          </w:p>
        </w:tc>
      </w:tr>
    </w:tbl>
    <w:p w14:paraId="3EFCFC28" w14:textId="77777777" w:rsidR="00583218" w:rsidRDefault="00583218" w:rsidP="00583F3E">
      <w:pPr>
        <w:pStyle w:val="BodyText"/>
        <w:widowControl/>
        <w:ind w:left="0"/>
        <w:jc w:val="both"/>
        <w:rPr>
          <w:rFonts w:ascii="Times New Roman" w:hAnsi="Times New Roman" w:cs="Times New Roman"/>
          <w:noProof/>
          <w:position w:val="6"/>
        </w:rPr>
      </w:pPr>
    </w:p>
    <w:p w14:paraId="0A6256BD" w14:textId="77777777" w:rsidR="00583218" w:rsidRPr="00583F3E" w:rsidRDefault="00583218" w:rsidP="00583F3E">
      <w:pPr>
        <w:pStyle w:val="BodyText"/>
        <w:widowControl/>
        <w:ind w:left="0"/>
        <w:jc w:val="both"/>
        <w:rPr>
          <w:rFonts w:ascii="Times New Roman" w:hAnsi="Times New Roman" w:cs="Times New Roman"/>
          <w:noProof/>
          <w:position w:val="6"/>
        </w:rPr>
      </w:pPr>
    </w:p>
    <w:p w14:paraId="79A639B8" w14:textId="77777777" w:rsidR="00583F3E" w:rsidRPr="00583218" w:rsidRDefault="00583218" w:rsidP="00583218">
      <w:pPr>
        <w:pStyle w:val="Heading2"/>
        <w:widowControl/>
        <w:tabs>
          <w:tab w:val="left" w:pos="677"/>
        </w:tabs>
        <w:ind w:left="0" w:firstLine="0"/>
        <w:jc w:val="both"/>
        <w:rPr>
          <w:rFonts w:ascii="Times New Roman" w:hAnsi="Times New Roman" w:cs="Times New Roman"/>
          <w:noProof/>
          <w:position w:val="6"/>
          <w:szCs w:val="32"/>
        </w:rPr>
      </w:pPr>
      <w:bookmarkStart w:id="47" w:name="_Toc31207940"/>
      <w:r>
        <w:rPr>
          <w:rFonts w:ascii="Times New Roman" w:hAnsi="Times New Roman"/>
          <w:szCs w:val="32"/>
        </w:rPr>
        <w:t>4.5. Procesa emisiju apakšiekārta</w:t>
      </w:r>
      <w:bookmarkStart w:id="48" w:name="_bookmark24"/>
      <w:bookmarkEnd w:id="48"/>
      <w:bookmarkEnd w:id="47"/>
    </w:p>
    <w:p w14:paraId="7901365C" w14:textId="77777777" w:rsidR="00583218" w:rsidRDefault="00583218" w:rsidP="00583F3E">
      <w:pPr>
        <w:pStyle w:val="BodyText"/>
        <w:widowControl/>
        <w:ind w:left="0"/>
        <w:jc w:val="both"/>
        <w:rPr>
          <w:rFonts w:ascii="Times New Roman" w:hAnsi="Times New Roman" w:cs="Times New Roman"/>
          <w:noProof/>
          <w:position w:val="6"/>
        </w:rPr>
      </w:pPr>
    </w:p>
    <w:p w14:paraId="3E8F64A1"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7. attēlā parādīta procesa emisiju apakšiekārta. Punktētā līnija parāda apakšiekārtas sistēmas robežas. Piešķiramo kvotu apjomu nosaka, ņemot vērā vēsturiskās procesa emisijas.</w:t>
      </w:r>
    </w:p>
    <w:p w14:paraId="1E143C0C" w14:textId="77777777" w:rsidR="00F83377" w:rsidRPr="00583F3E" w:rsidRDefault="00F83377" w:rsidP="00583F3E">
      <w:pPr>
        <w:pStyle w:val="BodyText"/>
        <w:widowControl/>
        <w:ind w:left="0"/>
        <w:jc w:val="both"/>
        <w:rPr>
          <w:rFonts w:ascii="Times New Roman" w:hAnsi="Times New Roman" w:cs="Times New Roman"/>
          <w:noProof/>
          <w:position w:val="6"/>
        </w:rPr>
      </w:pPr>
    </w:p>
    <w:p w14:paraId="09505DBF" w14:textId="5AC4D075" w:rsidR="00583F3E" w:rsidRPr="00583F3E" w:rsidRDefault="00DD6EBD" w:rsidP="00F83377">
      <w:pPr>
        <w:widowControl/>
        <w:jc w:val="center"/>
        <w:rPr>
          <w:rFonts w:ascii="Times New Roman" w:eastAsia="Calibri" w:hAnsi="Times New Roman" w:cs="Times New Roman"/>
          <w:noProof/>
          <w:position w:val="6"/>
          <w:sz w:val="24"/>
          <w:szCs w:val="20"/>
        </w:rPr>
      </w:pPr>
      <w:r>
        <w:rPr>
          <w:rFonts w:ascii="Times New Roman" w:eastAsia="Calibri" w:hAnsi="Times New Roman" w:cs="Times New Roman"/>
          <w:noProof/>
          <w:position w:val="6"/>
          <w:sz w:val="24"/>
          <w:szCs w:val="20"/>
        </w:rPr>
        <w:drawing>
          <wp:inline distT="0" distB="0" distL="0" distR="0" wp14:anchorId="61E58E0F" wp14:editId="1CF479FD">
            <wp:extent cx="5057775" cy="236609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7711" cy="2370741"/>
                    </a:xfrm>
                    <a:prstGeom prst="rect">
                      <a:avLst/>
                    </a:prstGeom>
                    <a:noFill/>
                    <a:ln>
                      <a:noFill/>
                    </a:ln>
                  </pic:spPr>
                </pic:pic>
              </a:graphicData>
            </a:graphic>
          </wp:inline>
        </w:drawing>
      </w:r>
    </w:p>
    <w:p w14:paraId="6B292381" w14:textId="77777777" w:rsidR="00583F3E" w:rsidRDefault="00583F3E" w:rsidP="00583F3E">
      <w:pPr>
        <w:widowControl/>
        <w:jc w:val="both"/>
        <w:rPr>
          <w:rFonts w:ascii="Times New Roman" w:eastAsia="Calibri" w:hAnsi="Times New Roman" w:cs="Times New Roman"/>
          <w:noProof/>
          <w:position w:val="6"/>
          <w:sz w:val="24"/>
          <w:szCs w:val="21"/>
        </w:rPr>
      </w:pPr>
    </w:p>
    <w:p w14:paraId="4394BCCF" w14:textId="77777777" w:rsidR="00583F3E" w:rsidRPr="00583F3E" w:rsidRDefault="00583F3E" w:rsidP="00F83377">
      <w:pPr>
        <w:widowControl/>
        <w:jc w:val="center"/>
        <w:rPr>
          <w:rFonts w:ascii="Times New Roman" w:hAnsi="Times New Roman" w:cs="Times New Roman"/>
          <w:b/>
          <w:noProof/>
          <w:position w:val="6"/>
          <w:sz w:val="24"/>
        </w:rPr>
      </w:pPr>
      <w:r>
        <w:rPr>
          <w:rFonts w:ascii="Times New Roman" w:hAnsi="Times New Roman"/>
          <w:b/>
          <w:sz w:val="24"/>
        </w:rPr>
        <w:t>7. attēls. Procesa emisiju apakšiekārta</w:t>
      </w:r>
      <w:bookmarkStart w:id="49" w:name="_bookmark25"/>
      <w:bookmarkEnd w:id="49"/>
    </w:p>
    <w:p w14:paraId="3C1C390D" w14:textId="77777777" w:rsidR="00583F3E" w:rsidRPr="00583F3E" w:rsidRDefault="00583F3E" w:rsidP="00583F3E">
      <w:pPr>
        <w:widowControl/>
        <w:jc w:val="both"/>
        <w:rPr>
          <w:rFonts w:ascii="Times New Roman" w:eastAsia="Calibri" w:hAnsi="Times New Roman" w:cs="Times New Roman"/>
          <w:b/>
          <w:bCs/>
          <w:noProof/>
          <w:position w:val="6"/>
          <w:sz w:val="24"/>
          <w:szCs w:val="24"/>
        </w:rPr>
      </w:pPr>
    </w:p>
    <w:p w14:paraId="21C5781F" w14:textId="77777777" w:rsidR="00583F3E" w:rsidRPr="00583F3E" w:rsidRDefault="00583F3E" w:rsidP="00583F3E">
      <w:pPr>
        <w:pStyle w:val="BodyText"/>
        <w:widowControl/>
        <w:ind w:left="0"/>
        <w:jc w:val="both"/>
        <w:rPr>
          <w:rFonts w:ascii="Times New Roman" w:hAnsi="Times New Roman" w:cs="Times New Roman"/>
          <w:noProof/>
          <w:position w:val="6"/>
          <w:u w:val="single" w:color="000000"/>
        </w:rPr>
      </w:pPr>
      <w:r>
        <w:rPr>
          <w:rFonts w:ascii="Times New Roman" w:hAnsi="Times New Roman"/>
          <w:u w:val="single" w:color="000000"/>
        </w:rPr>
        <w:t>Pēc 5.a un 5.b soļa attiecībā uz procesa emisiju apakšiekārtām, kas aprakstītas 2.5. iedaļā, ir jāveic nākamie turpmāk norādītie soļi.</w:t>
      </w:r>
    </w:p>
    <w:p w14:paraId="2F9E1348"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5E5678B6"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5.c solis. Nosaka vēsturisko darbības līmeni</w:t>
      </w:r>
    </w:p>
    <w:p w14:paraId="3661C9DD"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Procesa emisiju apakšiekārtas vēsturiskais darbības līmenis (</w:t>
      </w:r>
      <w:r>
        <w:rPr>
          <w:rFonts w:ascii="Times New Roman" w:hAnsi="Times New Roman"/>
          <w:i/>
        </w:rPr>
        <w:t>HAL</w:t>
      </w:r>
      <w:r>
        <w:rPr>
          <w:rFonts w:ascii="Times New Roman" w:hAnsi="Times New Roman"/>
          <w:i/>
          <w:vertAlign w:val="subscript"/>
        </w:rPr>
        <w:t>e</w:t>
      </w:r>
      <w:r>
        <w:rPr>
          <w:rFonts w:ascii="Times New Roman" w:hAnsi="Times New Roman"/>
        </w:rPr>
        <w:t>) (izteikts tonnās CO</w:t>
      </w:r>
      <w:r>
        <w:rPr>
          <w:rFonts w:ascii="Times New Roman" w:hAnsi="Times New Roman"/>
          <w:vertAlign w:val="subscript"/>
        </w:rPr>
        <w:t xml:space="preserve">2 </w:t>
      </w:r>
      <w:r>
        <w:rPr>
          <w:rFonts w:ascii="Times New Roman" w:hAnsi="Times New Roman"/>
        </w:rPr>
        <w:t>ekv./gadā) ir šādu emisiju summa:</w:t>
      </w:r>
    </w:p>
    <w:p w14:paraId="608A04C4" w14:textId="77777777" w:rsidR="00583F3E" w:rsidRPr="00583F3E" w:rsidRDefault="00716D72" w:rsidP="00716D72">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Direktīvas 2003/87/EK I pielikumā uzskaitītās to siltumnīcefekta gāzu emisijas, kas nav CO</w:t>
      </w:r>
      <w:r>
        <w:rPr>
          <w:rFonts w:ascii="Times New Roman" w:hAnsi="Times New Roman"/>
          <w:vertAlign w:val="subscript"/>
        </w:rPr>
        <w:t>2</w:t>
      </w:r>
      <w:r>
        <w:rPr>
          <w:rFonts w:ascii="Times New Roman" w:hAnsi="Times New Roman"/>
        </w:rPr>
        <w:t xml:space="preserve"> un uz kurām neattiecas produkta līmeņatzīme vai neviena cita rezerves pieeja (a veids; sk. 0 iedaļu);</w:t>
      </w:r>
    </w:p>
    <w:p w14:paraId="29E5B91B" w14:textId="77777777" w:rsidR="00583F3E" w:rsidRPr="00583F3E" w:rsidRDefault="00716D72" w:rsidP="00716D72">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CO</w:t>
      </w:r>
      <w:r>
        <w:rPr>
          <w:rFonts w:ascii="Times New Roman" w:hAnsi="Times New Roman"/>
          <w:vertAlign w:val="subscript"/>
        </w:rPr>
        <w:t>2</w:t>
      </w:r>
      <w:r>
        <w:rPr>
          <w:rFonts w:ascii="Times New Roman" w:hAnsi="Times New Roman"/>
        </w:rPr>
        <w:t xml:space="preserve"> emisijas, kas rodas jebkuras no 5.a solī uzskaitītajām darbībām rezultātā (b veids, sk. 0 iedaļu);</w:t>
      </w:r>
    </w:p>
    <w:p w14:paraId="6CFB1BD8" w14:textId="77777777" w:rsidR="00583F3E" w:rsidRPr="00583F3E" w:rsidRDefault="00716D72" w:rsidP="00716D72">
      <w:pPr>
        <w:pStyle w:val="BodyText"/>
        <w:widowControl/>
        <w:tabs>
          <w:tab w:val="left" w:pos="461"/>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emisijas, kas radušās nepilnīgi oksidētā oglekļa, kas ražots, veicot jebkuru no 5.a solī uzskaitītajām darbībām (sk. 0 iedaļu), sadedzināšanas rezultātā, lai ražotu izmērāmu siltumu, neizmērāmu siltumu vai elektroenerģiju, MĪNUS emisijas, kas rodas, sadedzinot tādu daudzumu dabasgāzes, kuras enerģētiskais saturs ir vienāds ar šo gāzu enerģētisko saturu, ņemot vērā enerģijas pārveides lietderības koeficientu atšķirības. Kvotu apjoms, kas tiek </w:t>
      </w:r>
      <w:r>
        <w:rPr>
          <w:rFonts w:ascii="Times New Roman" w:hAnsi="Times New Roman"/>
        </w:rPr>
        <w:lastRenderedPageBreak/>
        <w:t>piešķirts par nepilnīgi oksidēto oglekli, ir par atlikumgāzēm piešķiramo kvotu apjoms (c veids).</w:t>
      </w:r>
    </w:p>
    <w:p w14:paraId="786821E7"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4DE9A59C"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i/>
          <w:sz w:val="24"/>
        </w:rPr>
        <w:t>Papildu norādījumus par procesa emisiju apakšiekārtām un atlikumgāzēm, lūdzu, sk. Norādījumu dokumentā Nr. 8</w:t>
      </w:r>
      <w:r>
        <w:rPr>
          <w:rFonts w:ascii="Times New Roman" w:hAnsi="Times New Roman"/>
          <w:sz w:val="24"/>
        </w:rPr>
        <w:t>.</w:t>
      </w:r>
    </w:p>
    <w:p w14:paraId="178333E8"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1F6B03C8" w14:textId="77777777" w:rsidR="00583F3E" w:rsidRPr="00583F3E" w:rsidRDefault="00583F3E" w:rsidP="00583F3E">
      <w:pPr>
        <w:widowControl/>
        <w:jc w:val="both"/>
        <w:rPr>
          <w:rFonts w:ascii="Times New Roman" w:hAnsi="Times New Roman" w:cs="Times New Roman"/>
          <w:i/>
          <w:noProof/>
          <w:position w:val="6"/>
          <w:sz w:val="24"/>
          <w:u w:val="single" w:color="000000"/>
        </w:rPr>
      </w:pPr>
      <w:r>
        <w:rPr>
          <w:rFonts w:ascii="Times New Roman" w:hAnsi="Times New Roman"/>
          <w:i/>
          <w:sz w:val="24"/>
          <w:u w:val="single" w:color="000000"/>
        </w:rPr>
        <w:t>5.d solis. Aprēķina provizorisko bez maksas piešķiramo emisijas kvotu apjomu</w:t>
      </w:r>
    </w:p>
    <w:p w14:paraId="677CC17B"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Izmantojot turpmāk norādīto vienādojumu, aprēķina piešķiramo kvotu apjomu katrai apakšiekārtai, kurai piemērojama vēsturisko emisiju pieeja:</w:t>
      </w:r>
    </w:p>
    <w:p w14:paraId="381783DF"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792AC2F9" w14:textId="77777777" w:rsidR="00583F3E" w:rsidRPr="00583F3E" w:rsidRDefault="00583F3E" w:rsidP="00716D72">
      <w:pPr>
        <w:widowControl/>
        <w:jc w:val="center"/>
        <w:rPr>
          <w:rFonts w:ascii="Times New Roman" w:hAnsi="Times New Roman" w:cs="Times New Roman"/>
          <w:noProof/>
          <w:position w:val="6"/>
          <w:sz w:val="24"/>
        </w:rPr>
      </w:pPr>
      <w:r>
        <w:rPr>
          <w:rFonts w:ascii="Times New Roman" w:hAnsi="Times New Roman"/>
          <w:i/>
          <w:iCs/>
          <w:sz w:val="24"/>
        </w:rPr>
        <w:t>F</w:t>
      </w:r>
      <w:r>
        <w:rPr>
          <w:rFonts w:ascii="Times New Roman" w:hAnsi="Times New Roman"/>
          <w:i/>
          <w:iCs/>
          <w:sz w:val="24"/>
          <w:vertAlign w:val="subscript"/>
        </w:rPr>
        <w:t>e,k</w:t>
      </w:r>
      <w:r>
        <w:rPr>
          <w:rFonts w:ascii="Times New Roman" w:hAnsi="Times New Roman"/>
          <w:sz w:val="24"/>
        </w:rPr>
        <w:t xml:space="preserve"> = </w:t>
      </w:r>
      <w:r>
        <w:rPr>
          <w:rFonts w:ascii="Times New Roman" w:hAnsi="Times New Roman"/>
          <w:i/>
          <w:iCs/>
          <w:sz w:val="24"/>
        </w:rPr>
        <w:t>PRF</w:t>
      </w:r>
      <w:r>
        <w:rPr>
          <w:rFonts w:ascii="Times New Roman" w:hAnsi="Times New Roman"/>
          <w:sz w:val="24"/>
        </w:rPr>
        <w:t xml:space="preserve"> X </w:t>
      </w:r>
      <w:r>
        <w:rPr>
          <w:rFonts w:ascii="Times New Roman" w:hAnsi="Times New Roman"/>
          <w:i/>
          <w:iCs/>
          <w:sz w:val="24"/>
        </w:rPr>
        <w:t>HAL</w:t>
      </w:r>
      <w:r>
        <w:rPr>
          <w:rFonts w:ascii="Times New Roman" w:hAnsi="Times New Roman"/>
          <w:i/>
          <w:iCs/>
          <w:sz w:val="24"/>
          <w:vertAlign w:val="subscript"/>
        </w:rPr>
        <w:t>e</w:t>
      </w:r>
      <w:r>
        <w:rPr>
          <w:rFonts w:ascii="Times New Roman" w:hAnsi="Times New Roman"/>
          <w:sz w:val="24"/>
        </w:rPr>
        <w:t xml:space="preserve"> X </w:t>
      </w:r>
      <w:r>
        <w:rPr>
          <w:rFonts w:ascii="Times New Roman" w:hAnsi="Times New Roman"/>
          <w:i/>
          <w:iCs/>
          <w:sz w:val="24"/>
        </w:rPr>
        <w:t>CLEF</w:t>
      </w:r>
      <w:r>
        <w:rPr>
          <w:rFonts w:ascii="Times New Roman" w:hAnsi="Times New Roman"/>
          <w:i/>
          <w:iCs/>
          <w:sz w:val="24"/>
          <w:vertAlign w:val="subscript"/>
        </w:rPr>
        <w:t>e,k</w:t>
      </w:r>
      <w:r>
        <w:rPr>
          <w:rFonts w:ascii="Times New Roman" w:hAnsi="Times New Roman"/>
          <w:sz w:val="24"/>
        </w:rPr>
        <w:t>,</w:t>
      </w:r>
    </w:p>
    <w:p w14:paraId="7886B6CD" w14:textId="77777777" w:rsidR="00583F3E" w:rsidRPr="00583F3E" w:rsidRDefault="00583F3E" w:rsidP="00583F3E">
      <w:pPr>
        <w:widowControl/>
        <w:jc w:val="both"/>
        <w:rPr>
          <w:rFonts w:ascii="Times New Roman" w:eastAsia="Calibri" w:hAnsi="Times New Roman" w:cs="Times New Roman"/>
          <w:noProof/>
          <w:position w:val="6"/>
          <w:sz w:val="24"/>
          <w:szCs w:val="14"/>
        </w:rPr>
      </w:pPr>
    </w:p>
    <w:p w14:paraId="631FC97C"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04"/>
      </w:tblGrid>
      <w:tr w:rsidR="00716D72" w14:paraId="5BE9DB2E" w14:textId="77777777" w:rsidTr="00716D72">
        <w:tc>
          <w:tcPr>
            <w:tcW w:w="1384" w:type="dxa"/>
          </w:tcPr>
          <w:p w14:paraId="5581935B" w14:textId="77777777" w:rsidR="00716D72" w:rsidRDefault="00716D72" w:rsidP="00583F3E">
            <w:pPr>
              <w:pStyle w:val="BodyText"/>
              <w:widowControl/>
              <w:ind w:left="0"/>
              <w:jc w:val="both"/>
              <w:rPr>
                <w:rFonts w:ascii="Times New Roman" w:hAnsi="Times New Roman" w:cs="Times New Roman"/>
                <w:noProof/>
                <w:position w:val="6"/>
              </w:rPr>
            </w:pPr>
            <w:r>
              <w:rPr>
                <w:rFonts w:ascii="Times New Roman" w:hAnsi="Times New Roman"/>
                <w:i/>
                <w:iCs/>
              </w:rPr>
              <w:t>F</w:t>
            </w:r>
            <w:r>
              <w:rPr>
                <w:rFonts w:ascii="Times New Roman" w:hAnsi="Times New Roman"/>
                <w:i/>
                <w:iCs/>
                <w:vertAlign w:val="subscript"/>
              </w:rPr>
              <w:t>e,k</w:t>
            </w:r>
          </w:p>
        </w:tc>
        <w:tc>
          <w:tcPr>
            <w:tcW w:w="7904" w:type="dxa"/>
          </w:tcPr>
          <w:p w14:paraId="66FEE6D1" w14:textId="6163F977" w:rsidR="00716D72" w:rsidRDefault="00716D72" w:rsidP="00716D72">
            <w:pPr>
              <w:pStyle w:val="BodyText"/>
              <w:widowControl/>
              <w:tabs>
                <w:tab w:val="left" w:pos="1560"/>
              </w:tabs>
              <w:ind w:left="0"/>
              <w:jc w:val="both"/>
              <w:rPr>
                <w:rFonts w:ascii="Times New Roman" w:hAnsi="Times New Roman" w:cs="Times New Roman"/>
                <w:noProof/>
                <w:position w:val="6"/>
              </w:rPr>
            </w:pPr>
            <w:r>
              <w:rPr>
                <w:rFonts w:ascii="Times New Roman" w:hAnsi="Times New Roman"/>
              </w:rPr>
              <w:t>ir provizoriskais ikgadējais piešķiramo kvotu apjoms apakšiekārtai gadā </w:t>
            </w:r>
            <w:r>
              <w:rPr>
                <w:rFonts w:ascii="Times New Roman" w:hAnsi="Times New Roman"/>
                <w:i/>
                <w:iCs/>
              </w:rPr>
              <w:t>k</w:t>
            </w:r>
            <w:r>
              <w:rPr>
                <w:rFonts w:ascii="Times New Roman" w:hAnsi="Times New Roman"/>
              </w:rPr>
              <w:t xml:space="preserve"> (izteikts </w:t>
            </w:r>
            <w:r w:rsidRPr="003358A3">
              <w:rPr>
                <w:rFonts w:ascii="Times New Roman" w:hAnsi="Times New Roman"/>
                <w:i/>
                <w:iCs/>
              </w:rPr>
              <w:t>E</w:t>
            </w:r>
            <w:r w:rsidR="003358A3" w:rsidRPr="003358A3">
              <w:rPr>
                <w:rFonts w:ascii="Times New Roman" w:hAnsi="Times New Roman"/>
                <w:i/>
                <w:iCs/>
              </w:rPr>
              <w:t>UA</w:t>
            </w:r>
            <w:r>
              <w:rPr>
                <w:rFonts w:ascii="Times New Roman" w:hAnsi="Times New Roman"/>
              </w:rPr>
              <w:t>/gadā);</w:t>
            </w:r>
          </w:p>
        </w:tc>
      </w:tr>
      <w:tr w:rsidR="00716D72" w:rsidRPr="00716D72" w14:paraId="465EB6DD" w14:textId="77777777" w:rsidTr="00716D72">
        <w:tc>
          <w:tcPr>
            <w:tcW w:w="1384" w:type="dxa"/>
          </w:tcPr>
          <w:p w14:paraId="358A6C32" w14:textId="77777777" w:rsidR="00716D72" w:rsidRPr="00716D72" w:rsidRDefault="00716D72" w:rsidP="00583F3E">
            <w:pPr>
              <w:pStyle w:val="BodyText"/>
              <w:widowControl/>
              <w:ind w:left="0"/>
              <w:jc w:val="both"/>
              <w:rPr>
                <w:rFonts w:ascii="Times New Roman" w:hAnsi="Times New Roman" w:cs="Times New Roman"/>
                <w:i/>
                <w:iCs/>
                <w:noProof/>
                <w:position w:val="6"/>
              </w:rPr>
            </w:pPr>
            <w:r>
              <w:rPr>
                <w:rFonts w:ascii="Times New Roman" w:hAnsi="Times New Roman"/>
                <w:i/>
                <w:iCs/>
              </w:rPr>
              <w:t>PRF</w:t>
            </w:r>
          </w:p>
        </w:tc>
        <w:tc>
          <w:tcPr>
            <w:tcW w:w="7904" w:type="dxa"/>
          </w:tcPr>
          <w:p w14:paraId="1A659701" w14:textId="77777777" w:rsidR="00716D72" w:rsidRPr="00716D72" w:rsidRDefault="00716D72" w:rsidP="00583F3E">
            <w:pPr>
              <w:pStyle w:val="BodyText"/>
              <w:widowControl/>
              <w:ind w:left="0"/>
              <w:jc w:val="both"/>
              <w:rPr>
                <w:rFonts w:ascii="Times New Roman" w:hAnsi="Times New Roman" w:cs="Times New Roman"/>
                <w:i/>
                <w:iCs/>
                <w:noProof/>
                <w:position w:val="6"/>
              </w:rPr>
            </w:pPr>
            <w:r>
              <w:rPr>
                <w:rFonts w:ascii="Times New Roman" w:hAnsi="Times New Roman"/>
              </w:rPr>
              <w:t>ir procesa emisiju samazinājuma koeficients, kas ir noteikts 0,97 (bezdimensionāls);</w:t>
            </w:r>
          </w:p>
        </w:tc>
      </w:tr>
      <w:tr w:rsidR="00716D72" w:rsidRPr="00716D72" w14:paraId="2D903147" w14:textId="77777777" w:rsidTr="00716D72">
        <w:tc>
          <w:tcPr>
            <w:tcW w:w="1384" w:type="dxa"/>
          </w:tcPr>
          <w:p w14:paraId="3A9A0A49" w14:textId="77777777" w:rsidR="00716D72" w:rsidRPr="00716D72" w:rsidRDefault="00716D72" w:rsidP="00583F3E">
            <w:pPr>
              <w:pStyle w:val="BodyText"/>
              <w:widowControl/>
              <w:ind w:left="0"/>
              <w:jc w:val="both"/>
              <w:rPr>
                <w:rFonts w:ascii="Times New Roman" w:hAnsi="Times New Roman" w:cs="Times New Roman"/>
                <w:i/>
                <w:iCs/>
                <w:noProof/>
                <w:position w:val="6"/>
              </w:rPr>
            </w:pPr>
            <w:r>
              <w:rPr>
                <w:rFonts w:ascii="Times New Roman" w:hAnsi="Times New Roman"/>
                <w:i/>
                <w:iCs/>
              </w:rPr>
              <w:t>HAL</w:t>
            </w:r>
            <w:r>
              <w:rPr>
                <w:rFonts w:ascii="Times New Roman" w:hAnsi="Times New Roman"/>
                <w:i/>
                <w:iCs/>
                <w:vertAlign w:val="subscript"/>
              </w:rPr>
              <w:t>e</w:t>
            </w:r>
          </w:p>
        </w:tc>
        <w:tc>
          <w:tcPr>
            <w:tcW w:w="7904" w:type="dxa"/>
          </w:tcPr>
          <w:p w14:paraId="42896FBB" w14:textId="77777777" w:rsidR="00716D72" w:rsidRPr="00716D72" w:rsidRDefault="00716D72" w:rsidP="00716D72">
            <w:pPr>
              <w:pStyle w:val="BodyText"/>
              <w:widowControl/>
              <w:ind w:left="0"/>
              <w:jc w:val="both"/>
              <w:rPr>
                <w:rFonts w:ascii="Times New Roman" w:hAnsi="Times New Roman" w:cs="Times New Roman"/>
                <w:i/>
                <w:iCs/>
                <w:noProof/>
                <w:position w:val="6"/>
              </w:rPr>
            </w:pPr>
            <w:r>
              <w:rPr>
                <w:rFonts w:ascii="Times New Roman" w:hAnsi="Times New Roman"/>
              </w:rPr>
              <w:t>ir vēsturiskais darbības līmenis, t. i., apakšiekārtas “procesa emisiju” aritmētiskais vidējais (izteikts tonnās CO</w:t>
            </w:r>
            <w:r>
              <w:rPr>
                <w:rFonts w:ascii="Times New Roman" w:hAnsi="Times New Roman"/>
                <w:vertAlign w:val="subscript"/>
              </w:rPr>
              <w:t xml:space="preserve">2 </w:t>
            </w:r>
            <w:r>
              <w:rPr>
                <w:rFonts w:ascii="Times New Roman" w:hAnsi="Times New Roman"/>
              </w:rPr>
              <w:t>ekv./gadā);</w:t>
            </w:r>
          </w:p>
        </w:tc>
      </w:tr>
      <w:tr w:rsidR="00716D72" w14:paraId="40E4A56A" w14:textId="77777777" w:rsidTr="00716D72">
        <w:tc>
          <w:tcPr>
            <w:tcW w:w="1384" w:type="dxa"/>
          </w:tcPr>
          <w:p w14:paraId="0FBF2A31" w14:textId="77777777" w:rsidR="00716D72" w:rsidRDefault="00716D72" w:rsidP="00583F3E">
            <w:pPr>
              <w:pStyle w:val="BodyText"/>
              <w:widowControl/>
              <w:ind w:left="0"/>
              <w:jc w:val="both"/>
              <w:rPr>
                <w:rFonts w:ascii="Times New Roman" w:hAnsi="Times New Roman" w:cs="Times New Roman"/>
                <w:noProof/>
                <w:position w:val="6"/>
              </w:rPr>
            </w:pPr>
            <w:r>
              <w:rPr>
                <w:rFonts w:ascii="Times New Roman" w:hAnsi="Times New Roman"/>
                <w:i/>
                <w:iCs/>
              </w:rPr>
              <w:t>CLEF</w:t>
            </w:r>
            <w:r>
              <w:rPr>
                <w:rFonts w:ascii="Times New Roman" w:hAnsi="Times New Roman"/>
                <w:i/>
                <w:iCs/>
                <w:vertAlign w:val="subscript"/>
              </w:rPr>
              <w:t>e,k</w:t>
            </w:r>
          </w:p>
        </w:tc>
        <w:tc>
          <w:tcPr>
            <w:tcW w:w="7904" w:type="dxa"/>
          </w:tcPr>
          <w:p w14:paraId="33C25286" w14:textId="77777777" w:rsidR="00716D72" w:rsidRDefault="00716D72" w:rsidP="00716D72">
            <w:pPr>
              <w:pStyle w:val="BodyText"/>
              <w:widowControl/>
              <w:tabs>
                <w:tab w:val="left" w:pos="1560"/>
              </w:tabs>
              <w:ind w:left="0"/>
              <w:jc w:val="both"/>
              <w:rPr>
                <w:rFonts w:ascii="Times New Roman" w:hAnsi="Times New Roman" w:cs="Times New Roman"/>
                <w:noProof/>
                <w:position w:val="6"/>
              </w:rPr>
            </w:pPr>
            <w:r>
              <w:rPr>
                <w:rFonts w:ascii="Times New Roman" w:hAnsi="Times New Roman"/>
              </w:rPr>
              <w:t>ir oglekļa emisiju pārvirzes riska koeficients procesa emisiju apakšiekārtai gadā </w:t>
            </w:r>
            <w:r>
              <w:rPr>
                <w:rFonts w:ascii="Times New Roman" w:hAnsi="Times New Roman"/>
                <w:i/>
                <w:iCs/>
              </w:rPr>
              <w:t>k</w:t>
            </w:r>
            <w:r>
              <w:rPr>
                <w:rFonts w:ascii="Times New Roman" w:hAnsi="Times New Roman"/>
              </w:rPr>
              <w:t>.</w:t>
            </w:r>
          </w:p>
        </w:tc>
      </w:tr>
    </w:tbl>
    <w:p w14:paraId="1EAA98F8" w14:textId="77777777" w:rsidR="00716D72" w:rsidRDefault="00716D72" w:rsidP="00583F3E">
      <w:pPr>
        <w:pStyle w:val="BodyText"/>
        <w:widowControl/>
        <w:ind w:left="0"/>
        <w:jc w:val="both"/>
        <w:rPr>
          <w:rFonts w:ascii="Times New Roman" w:hAnsi="Times New Roman" w:cs="Times New Roman"/>
          <w:noProof/>
          <w:position w:val="6"/>
        </w:rPr>
      </w:pPr>
    </w:p>
    <w:p w14:paraId="11BB242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B veida procesa emisiju apakšiekārtām vēsturiskais darbības līmenis it noteikts, pamatojoties uz CO</w:t>
      </w:r>
      <w:r>
        <w:rPr>
          <w:rFonts w:ascii="Times New Roman" w:hAnsi="Times New Roman"/>
          <w:vertAlign w:val="subscript"/>
        </w:rPr>
        <w:t>2</w:t>
      </w:r>
      <w:r>
        <w:rPr>
          <w:rFonts w:ascii="Times New Roman" w:hAnsi="Times New Roman"/>
        </w:rPr>
        <w:t xml:space="preserve"> emisijām bāzlīnijas periodā.</w:t>
      </w:r>
    </w:p>
    <w:p w14:paraId="5367DA7E"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5235EF2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Gadījumā, ja atlikumgāzu sadedzināšanas mērķis nav izmērāma siltuma, neizmērāma siltuma vai elektroenerģijas ražošana, vēsturiskais darbības līmenis ir jānosaka, pamatojoties uz pieņēmumu, ka 75 % no gāzu maisījuma oglekļa satura ir pilnībā oksidējušies (CO</w:t>
      </w:r>
      <w:r>
        <w:rPr>
          <w:rFonts w:ascii="Times New Roman" w:hAnsi="Times New Roman"/>
          <w:vertAlign w:val="subscript"/>
        </w:rPr>
        <w:t>2</w:t>
      </w:r>
      <w:r>
        <w:rPr>
          <w:rFonts w:ascii="Times New Roman" w:hAnsi="Times New Roman"/>
        </w:rPr>
        <w:t>). Papildu norādījumus par procesa emisijām, kas rodas atlikumgāzu</w:t>
      </w:r>
      <w:r w:rsidR="00716D72">
        <w:rPr>
          <w:rStyle w:val="FootnoteReference"/>
          <w:rFonts w:ascii="Times New Roman" w:hAnsi="Times New Roman" w:cs="Times New Roman"/>
          <w:noProof/>
          <w:position w:val="6"/>
        </w:rPr>
        <w:footnoteReference w:id="28"/>
      </w:r>
      <w:r>
        <w:rPr>
          <w:rFonts w:ascii="Times New Roman" w:hAnsi="Times New Roman"/>
        </w:rPr>
        <w:t xml:space="preserve"> sadedzināšanas rezultātā, sk.</w:t>
      </w:r>
      <w:r>
        <w:rPr>
          <w:rFonts w:ascii="Times New Roman" w:hAnsi="Times New Roman"/>
          <w:i/>
        </w:rPr>
        <w:t xml:space="preserve"> Norādījumu dokumentā Nr. 8 par atlikumgāzēm un procesa emisiju apakšiekārtu</w:t>
      </w:r>
      <w:r>
        <w:rPr>
          <w:rFonts w:ascii="Times New Roman" w:hAnsi="Times New Roman"/>
        </w:rPr>
        <w:t>.</w:t>
      </w:r>
    </w:p>
    <w:p w14:paraId="7A25CEFD"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1782B5DA" w14:textId="77777777" w:rsidR="00716D72" w:rsidRDefault="00716D72">
      <w:pPr>
        <w:rPr>
          <w:rFonts w:ascii="Times New Roman" w:eastAsia="Calibri" w:hAnsi="Times New Roman" w:cs="Times New Roman"/>
          <w:noProof/>
          <w:position w:val="6"/>
          <w:sz w:val="24"/>
          <w:szCs w:val="20"/>
        </w:rPr>
      </w:pPr>
      <w:r>
        <w:br w:type="page"/>
      </w:r>
    </w:p>
    <w:p w14:paraId="0C871C14" w14:textId="77777777" w:rsidR="00583F3E" w:rsidRPr="00583F3E" w:rsidRDefault="00583F3E" w:rsidP="00583F3E">
      <w:pPr>
        <w:widowControl/>
        <w:jc w:val="both"/>
        <w:rPr>
          <w:rFonts w:ascii="Times New Roman" w:eastAsia="Calibri" w:hAnsi="Times New Roman" w:cs="Times New Roman"/>
          <w:noProof/>
          <w:position w:val="6"/>
          <w:sz w:val="24"/>
          <w:szCs w:val="11"/>
        </w:rPr>
      </w:pPr>
    </w:p>
    <w:p w14:paraId="364CE15D" w14:textId="77777777" w:rsidR="00583F3E" w:rsidRPr="00716D72" w:rsidRDefault="00716D72" w:rsidP="00716D72">
      <w:pPr>
        <w:pStyle w:val="Heading1"/>
        <w:widowControl/>
        <w:tabs>
          <w:tab w:val="left" w:pos="550"/>
        </w:tabs>
        <w:spacing w:before="0"/>
        <w:ind w:left="0" w:firstLine="0"/>
        <w:jc w:val="both"/>
        <w:rPr>
          <w:rFonts w:ascii="Times New Roman" w:hAnsi="Times New Roman" w:cs="Times New Roman"/>
          <w:noProof/>
          <w:position w:val="6"/>
          <w:szCs w:val="40"/>
        </w:rPr>
      </w:pPr>
      <w:bookmarkStart w:id="50" w:name="_Toc31207941"/>
      <w:r>
        <w:rPr>
          <w:rFonts w:ascii="Times New Roman" w:hAnsi="Times New Roman"/>
          <w:szCs w:val="40"/>
        </w:rPr>
        <w:t>5. Provizoriskais un galīgais piešķiramo emisijas kvotu apjoms vienai iekārtai</w:t>
      </w:r>
      <w:bookmarkStart w:id="51" w:name="_bookmark26"/>
      <w:bookmarkEnd w:id="51"/>
      <w:bookmarkEnd w:id="50"/>
    </w:p>
    <w:p w14:paraId="3E6E8C2B" w14:textId="77777777" w:rsidR="00716D72" w:rsidRDefault="00716D72" w:rsidP="00716D72">
      <w:pPr>
        <w:pStyle w:val="Heading2"/>
        <w:widowControl/>
        <w:tabs>
          <w:tab w:val="left" w:pos="694"/>
        </w:tabs>
        <w:ind w:left="0" w:firstLine="0"/>
        <w:jc w:val="both"/>
        <w:rPr>
          <w:rFonts w:ascii="Times New Roman" w:hAnsi="Times New Roman" w:cs="Times New Roman"/>
          <w:noProof/>
          <w:position w:val="6"/>
          <w:sz w:val="24"/>
        </w:rPr>
      </w:pPr>
    </w:p>
    <w:p w14:paraId="3204303A" w14:textId="77777777" w:rsidR="00583F3E" w:rsidRPr="00716D72" w:rsidRDefault="00716D72" w:rsidP="00716D72">
      <w:pPr>
        <w:pStyle w:val="Heading2"/>
        <w:widowControl/>
        <w:tabs>
          <w:tab w:val="left" w:pos="694"/>
        </w:tabs>
        <w:ind w:left="0" w:firstLine="0"/>
        <w:jc w:val="both"/>
        <w:rPr>
          <w:rFonts w:ascii="Times New Roman" w:hAnsi="Times New Roman" w:cs="Times New Roman"/>
          <w:noProof/>
          <w:position w:val="6"/>
          <w:szCs w:val="32"/>
        </w:rPr>
      </w:pPr>
      <w:bookmarkStart w:id="52" w:name="_Toc31207942"/>
      <w:r>
        <w:rPr>
          <w:rFonts w:ascii="Times New Roman" w:hAnsi="Times New Roman"/>
          <w:szCs w:val="32"/>
        </w:rPr>
        <w:t>5.1. Provizoriskais piešķiramo kvotu apjoms</w:t>
      </w:r>
      <w:bookmarkStart w:id="53" w:name="_bookmark27"/>
      <w:bookmarkEnd w:id="53"/>
      <w:bookmarkEnd w:id="52"/>
    </w:p>
    <w:p w14:paraId="65BAFC68" w14:textId="77777777" w:rsidR="00716D72" w:rsidRDefault="00716D72" w:rsidP="00583F3E">
      <w:pPr>
        <w:pStyle w:val="BodyText"/>
        <w:widowControl/>
        <w:ind w:left="0"/>
        <w:jc w:val="both"/>
        <w:rPr>
          <w:rFonts w:ascii="Times New Roman" w:hAnsi="Times New Roman" w:cs="Times New Roman"/>
          <w:noProof/>
          <w:position w:val="6"/>
        </w:rPr>
      </w:pPr>
    </w:p>
    <w:p w14:paraId="51720BBB"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Provizorisko kopējo ikgadējo emisijas kvotu apjomu (tostarp </w:t>
      </w:r>
      <w:r>
        <w:rPr>
          <w:rFonts w:ascii="Times New Roman" w:hAnsi="Times New Roman"/>
          <w:i/>
        </w:rPr>
        <w:t>CLEF</w:t>
      </w:r>
      <w:r>
        <w:rPr>
          <w:rFonts w:ascii="Times New Roman" w:hAnsi="Times New Roman"/>
        </w:rPr>
        <w:t xml:space="preserve"> saskaņā ar 2.2. iedaļā ietverto vienādojumu) vienai iekārtai aprēķina, summējot visu apakšiekārtu kvotas.</w:t>
      </w:r>
    </w:p>
    <w:p w14:paraId="1F38D8A1" w14:textId="77777777" w:rsidR="00A373AC" w:rsidRDefault="00A373AC" w:rsidP="00583F3E">
      <w:pPr>
        <w:pStyle w:val="BodyText"/>
        <w:widowControl/>
        <w:ind w:left="0"/>
        <w:jc w:val="both"/>
        <w:rPr>
          <w:rFonts w:ascii="Times New Roman" w:hAnsi="Times New Roman" w:cs="Times New Roman"/>
          <w:noProof/>
          <w:position w:val="6"/>
        </w:rPr>
      </w:pPr>
    </w:p>
    <w:p w14:paraId="62DB6E34" w14:textId="77777777" w:rsidR="00A373AC" w:rsidRDefault="00A373AC" w:rsidP="00A373AC">
      <w:pPr>
        <w:pStyle w:val="BodyText"/>
        <w:widowControl/>
        <w:ind w:left="0"/>
        <w:jc w:val="center"/>
        <w:rPr>
          <w:rFonts w:ascii="Times New Roman" w:hAnsi="Times New Roman" w:cs="Times New Roman"/>
          <w:noProof/>
          <w:position w:val="6"/>
        </w:rPr>
      </w:pPr>
      <w:r>
        <w:rPr>
          <w:rFonts w:ascii="Times New Roman" w:hAnsi="Times New Roman"/>
          <w:noProof/>
        </w:rPr>
        <w:drawing>
          <wp:inline distT="0" distB="0" distL="0" distR="0" wp14:anchorId="1B02FB1C" wp14:editId="5C681698">
            <wp:extent cx="1285875" cy="5524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875" cy="552450"/>
                    </a:xfrm>
                    <a:prstGeom prst="rect">
                      <a:avLst/>
                    </a:prstGeom>
                    <a:noFill/>
                    <a:ln>
                      <a:noFill/>
                    </a:ln>
                  </pic:spPr>
                </pic:pic>
              </a:graphicData>
            </a:graphic>
          </wp:inline>
        </w:drawing>
      </w:r>
    </w:p>
    <w:p w14:paraId="171FB94E" w14:textId="77777777" w:rsidR="00A373AC" w:rsidRDefault="00A373AC" w:rsidP="00583F3E">
      <w:pPr>
        <w:pStyle w:val="BodyText"/>
        <w:widowControl/>
        <w:ind w:left="0"/>
        <w:jc w:val="both"/>
        <w:rPr>
          <w:rFonts w:ascii="Times New Roman" w:hAnsi="Times New Roman" w:cs="Times New Roman"/>
          <w:noProof/>
          <w:position w:val="6"/>
        </w:rPr>
      </w:pPr>
    </w:p>
    <w:p w14:paraId="371494D7"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187"/>
      </w:tblGrid>
      <w:tr w:rsidR="00A373AC" w14:paraId="059A1CEB" w14:textId="77777777" w:rsidTr="00A373AC">
        <w:tc>
          <w:tcPr>
            <w:tcW w:w="1101" w:type="dxa"/>
          </w:tcPr>
          <w:p w14:paraId="2B9EDC17" w14:textId="77777777" w:rsidR="00A373AC" w:rsidRDefault="00A373AC" w:rsidP="00583F3E">
            <w:pPr>
              <w:pStyle w:val="BodyText"/>
              <w:widowControl/>
              <w:tabs>
                <w:tab w:val="left" w:pos="1557"/>
              </w:tabs>
              <w:ind w:left="0"/>
              <w:jc w:val="both"/>
              <w:rPr>
                <w:rFonts w:ascii="Times New Roman" w:hAnsi="Times New Roman" w:cs="Times New Roman"/>
                <w:noProof/>
                <w:position w:val="6"/>
              </w:rPr>
            </w:pPr>
            <w:r>
              <w:rPr>
                <w:rFonts w:ascii="Times New Roman" w:hAnsi="Times New Roman"/>
                <w:i/>
                <w:iCs/>
              </w:rPr>
              <w:t>F</w:t>
            </w:r>
            <w:r>
              <w:rPr>
                <w:rFonts w:ascii="Times New Roman" w:hAnsi="Times New Roman"/>
                <w:i/>
                <w:iCs/>
                <w:vertAlign w:val="subscript"/>
              </w:rPr>
              <w:t>inst,k</w:t>
            </w:r>
          </w:p>
        </w:tc>
        <w:tc>
          <w:tcPr>
            <w:tcW w:w="8187" w:type="dxa"/>
          </w:tcPr>
          <w:p w14:paraId="086E2BFC" w14:textId="77777777" w:rsidR="00A373AC" w:rsidRDefault="00A373AC" w:rsidP="00583F3E">
            <w:pPr>
              <w:pStyle w:val="BodyText"/>
              <w:widowControl/>
              <w:tabs>
                <w:tab w:val="left" w:pos="1557"/>
              </w:tabs>
              <w:ind w:left="0"/>
              <w:jc w:val="both"/>
              <w:rPr>
                <w:rFonts w:ascii="Times New Roman" w:hAnsi="Times New Roman" w:cs="Times New Roman"/>
                <w:noProof/>
                <w:position w:val="6"/>
              </w:rPr>
            </w:pPr>
            <w:r>
              <w:rPr>
                <w:rFonts w:ascii="Times New Roman" w:hAnsi="Times New Roman"/>
              </w:rPr>
              <w:t>ir provizoriskais kopējais piešķiramo kvotu apjoms iekārtai gadā </w:t>
            </w:r>
            <w:r>
              <w:rPr>
                <w:rFonts w:ascii="Times New Roman" w:hAnsi="Times New Roman"/>
                <w:i/>
                <w:iCs/>
              </w:rPr>
              <w:t>k</w:t>
            </w:r>
            <w:r>
              <w:rPr>
                <w:rFonts w:ascii="Times New Roman" w:hAnsi="Times New Roman"/>
              </w:rPr>
              <w:t>;</w:t>
            </w:r>
          </w:p>
        </w:tc>
      </w:tr>
      <w:tr w:rsidR="00A373AC" w14:paraId="71C32C5E" w14:textId="77777777" w:rsidTr="00A373AC">
        <w:tc>
          <w:tcPr>
            <w:tcW w:w="1101" w:type="dxa"/>
          </w:tcPr>
          <w:p w14:paraId="045429F5" w14:textId="77777777" w:rsidR="00A373AC" w:rsidRDefault="00A373AC" w:rsidP="00A373AC">
            <w:pPr>
              <w:pStyle w:val="BodyText"/>
              <w:widowControl/>
              <w:tabs>
                <w:tab w:val="left" w:pos="1557"/>
              </w:tabs>
              <w:ind w:left="0"/>
              <w:jc w:val="both"/>
              <w:rPr>
                <w:rFonts w:ascii="Times New Roman" w:hAnsi="Times New Roman" w:cs="Times New Roman"/>
                <w:noProof/>
                <w:position w:val="6"/>
              </w:rPr>
            </w:pPr>
            <w:r>
              <w:rPr>
                <w:rFonts w:ascii="Times New Roman" w:hAnsi="Times New Roman"/>
                <w:i/>
                <w:iCs/>
              </w:rPr>
              <w:t>F</w:t>
            </w:r>
            <w:r>
              <w:rPr>
                <w:rFonts w:ascii="Times New Roman" w:hAnsi="Times New Roman"/>
                <w:i/>
                <w:iCs/>
                <w:vertAlign w:val="subscript"/>
              </w:rPr>
              <w:t>i, k</w:t>
            </w:r>
          </w:p>
        </w:tc>
        <w:tc>
          <w:tcPr>
            <w:tcW w:w="8187" w:type="dxa"/>
          </w:tcPr>
          <w:p w14:paraId="2BDA5387" w14:textId="77777777" w:rsidR="00A373AC" w:rsidRDefault="00A373AC" w:rsidP="00A373AC">
            <w:pPr>
              <w:pStyle w:val="BodyText"/>
              <w:widowControl/>
              <w:tabs>
                <w:tab w:val="left" w:pos="1557"/>
              </w:tabs>
              <w:ind w:left="0"/>
              <w:jc w:val="both"/>
              <w:rPr>
                <w:rFonts w:ascii="Times New Roman" w:hAnsi="Times New Roman" w:cs="Times New Roman"/>
                <w:noProof/>
                <w:position w:val="6"/>
              </w:rPr>
            </w:pPr>
            <w:r>
              <w:rPr>
                <w:rFonts w:ascii="Times New Roman" w:hAnsi="Times New Roman"/>
              </w:rPr>
              <w:t>ir provizoriskais piešķiramo kvotu apjoms apakšiekārtai </w:t>
            </w:r>
            <w:r>
              <w:rPr>
                <w:rFonts w:ascii="Times New Roman" w:hAnsi="Times New Roman"/>
                <w:i/>
              </w:rPr>
              <w:t>i</w:t>
            </w:r>
            <w:r>
              <w:rPr>
                <w:rFonts w:ascii="Times New Roman" w:hAnsi="Times New Roman"/>
              </w:rPr>
              <w:t xml:space="preserve"> gadā </w:t>
            </w:r>
            <w:r>
              <w:rPr>
                <w:rFonts w:ascii="Times New Roman" w:hAnsi="Times New Roman"/>
                <w:i/>
                <w:iCs/>
              </w:rPr>
              <w:t>k</w:t>
            </w:r>
            <w:r>
              <w:rPr>
                <w:rFonts w:ascii="Times New Roman" w:hAnsi="Times New Roman"/>
              </w:rPr>
              <w:t>.</w:t>
            </w:r>
          </w:p>
        </w:tc>
      </w:tr>
    </w:tbl>
    <w:p w14:paraId="678A198B" w14:textId="77777777" w:rsidR="00A373AC" w:rsidRDefault="00A373AC" w:rsidP="00583F3E">
      <w:pPr>
        <w:pStyle w:val="BodyText"/>
        <w:widowControl/>
        <w:tabs>
          <w:tab w:val="left" w:pos="1557"/>
        </w:tabs>
        <w:ind w:left="0"/>
        <w:jc w:val="both"/>
        <w:rPr>
          <w:rFonts w:ascii="Times New Roman" w:hAnsi="Times New Roman" w:cs="Times New Roman"/>
          <w:noProof/>
          <w:position w:val="6"/>
        </w:rPr>
      </w:pPr>
    </w:p>
    <w:p w14:paraId="3802CC07"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5E59FCE9" w14:textId="77777777" w:rsidR="00583F3E" w:rsidRPr="00A373AC" w:rsidRDefault="00A373AC" w:rsidP="00A373AC">
      <w:pPr>
        <w:pStyle w:val="Heading2"/>
        <w:widowControl/>
        <w:tabs>
          <w:tab w:val="left" w:pos="694"/>
        </w:tabs>
        <w:ind w:left="0" w:firstLine="0"/>
        <w:jc w:val="both"/>
        <w:rPr>
          <w:rFonts w:ascii="Times New Roman" w:hAnsi="Times New Roman" w:cs="Times New Roman"/>
          <w:noProof/>
          <w:position w:val="6"/>
          <w:szCs w:val="32"/>
        </w:rPr>
      </w:pPr>
      <w:bookmarkStart w:id="54" w:name="_Toc31207943"/>
      <w:r>
        <w:rPr>
          <w:rFonts w:ascii="Times New Roman" w:hAnsi="Times New Roman"/>
          <w:szCs w:val="32"/>
        </w:rPr>
        <w:t>5.2. Galīgais piešķiramo kvotu apjoms</w:t>
      </w:r>
      <w:bookmarkStart w:id="55" w:name="_bookmark28"/>
      <w:bookmarkEnd w:id="55"/>
      <w:bookmarkEnd w:id="54"/>
    </w:p>
    <w:p w14:paraId="3D4864B7" w14:textId="77777777" w:rsidR="00A373AC" w:rsidRDefault="00A373AC" w:rsidP="00583F3E">
      <w:pPr>
        <w:pStyle w:val="BodyText"/>
        <w:widowControl/>
        <w:ind w:left="0"/>
        <w:jc w:val="both"/>
        <w:rPr>
          <w:rFonts w:ascii="Times New Roman" w:hAnsi="Times New Roman" w:cs="Times New Roman"/>
          <w:noProof/>
          <w:position w:val="6"/>
        </w:rPr>
      </w:pPr>
    </w:p>
    <w:p w14:paraId="1D4C93CE"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Iekārtām, kas </w:t>
      </w:r>
      <w:r>
        <w:rPr>
          <w:rFonts w:ascii="Times New Roman" w:hAnsi="Times New Roman"/>
          <w:u w:val="single" w:color="000000"/>
        </w:rPr>
        <w:t>nav</w:t>
      </w:r>
      <w:r>
        <w:rPr>
          <w:rFonts w:ascii="Times New Roman" w:hAnsi="Times New Roman"/>
        </w:rPr>
        <w:t xml:space="preserve"> klasificētas kā “elektroenerģijas ražošanas iekārtas”, kvotu galīgo kopējo ikgadējo apjomu nosaka šādi:</w:t>
      </w:r>
    </w:p>
    <w:p w14:paraId="1DCEF8B7" w14:textId="77777777" w:rsidR="00A373AC" w:rsidRDefault="00A373AC" w:rsidP="00583F3E">
      <w:pPr>
        <w:pStyle w:val="BodyText"/>
        <w:widowControl/>
        <w:ind w:left="0"/>
        <w:jc w:val="both"/>
        <w:rPr>
          <w:rFonts w:ascii="Times New Roman" w:hAnsi="Times New Roman" w:cs="Times New Roman"/>
          <w:noProof/>
          <w:position w:val="6"/>
        </w:rPr>
      </w:pPr>
    </w:p>
    <w:p w14:paraId="282844C5" w14:textId="77777777" w:rsidR="00A373AC" w:rsidRPr="00583F3E" w:rsidRDefault="00A373AC" w:rsidP="00A373AC">
      <w:pPr>
        <w:pStyle w:val="BodyText"/>
        <w:widowControl/>
        <w:ind w:left="0"/>
        <w:jc w:val="center"/>
        <w:rPr>
          <w:rFonts w:ascii="Times New Roman" w:hAnsi="Times New Roman" w:cs="Times New Roman"/>
          <w:noProof/>
          <w:position w:val="6"/>
        </w:rPr>
      </w:pPr>
      <w:r>
        <w:rPr>
          <w:rFonts w:ascii="Times New Roman" w:hAnsi="Times New Roman"/>
          <w:noProof/>
        </w:rPr>
        <w:drawing>
          <wp:inline distT="0" distB="0" distL="0" distR="0" wp14:anchorId="2037B29E" wp14:editId="13CC125F">
            <wp:extent cx="2162175" cy="5334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2175" cy="533400"/>
                    </a:xfrm>
                    <a:prstGeom prst="rect">
                      <a:avLst/>
                    </a:prstGeom>
                    <a:noFill/>
                    <a:ln>
                      <a:noFill/>
                    </a:ln>
                  </pic:spPr>
                </pic:pic>
              </a:graphicData>
            </a:graphic>
          </wp:inline>
        </w:drawing>
      </w:r>
    </w:p>
    <w:p w14:paraId="2BE30D90" w14:textId="77777777" w:rsidR="00583F3E" w:rsidRDefault="00583F3E" w:rsidP="00583F3E">
      <w:pPr>
        <w:widowControl/>
        <w:jc w:val="both"/>
        <w:rPr>
          <w:rFonts w:ascii="Times New Roman" w:eastAsia="Calibri" w:hAnsi="Times New Roman" w:cs="Times New Roman"/>
          <w:noProof/>
          <w:position w:val="6"/>
          <w:sz w:val="24"/>
          <w:szCs w:val="17"/>
        </w:rPr>
      </w:pPr>
    </w:p>
    <w:p w14:paraId="408C188A" w14:textId="77777777"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7"/>
      </w:tblGrid>
      <w:tr w:rsidR="00A373AC" w14:paraId="68365DDD" w14:textId="77777777" w:rsidTr="00A373AC">
        <w:tc>
          <w:tcPr>
            <w:tcW w:w="1951" w:type="dxa"/>
          </w:tcPr>
          <w:p w14:paraId="59964E0F" w14:textId="77777777" w:rsidR="00A373AC" w:rsidRDefault="00A373AC" w:rsidP="00583F3E">
            <w:pPr>
              <w:pStyle w:val="BodyText"/>
              <w:widowControl/>
              <w:ind w:left="0"/>
              <w:jc w:val="both"/>
              <w:rPr>
                <w:rFonts w:ascii="Times New Roman" w:hAnsi="Times New Roman" w:cs="Times New Roman"/>
                <w:noProof/>
                <w:position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
              <w:gridCol w:w="555"/>
              <w:gridCol w:w="499"/>
            </w:tblGrid>
            <w:tr w:rsidR="00A373AC" w14:paraId="697CC139" w14:textId="77777777" w:rsidTr="00A373AC">
              <w:tc>
                <w:tcPr>
                  <w:tcW w:w="363" w:type="dxa"/>
                  <w:vMerge w:val="restart"/>
                  <w:vAlign w:val="center"/>
                </w:tcPr>
                <w:p w14:paraId="763D6CD0" w14:textId="77777777" w:rsidR="00A373AC" w:rsidRPr="00A373AC" w:rsidRDefault="00A373AC" w:rsidP="00A373AC">
                  <w:pPr>
                    <w:pStyle w:val="BodyText"/>
                    <w:widowControl/>
                    <w:ind w:left="0"/>
                    <w:jc w:val="right"/>
                    <w:rPr>
                      <w:rFonts w:ascii="Times New Roman" w:hAnsi="Times New Roman" w:cs="Times New Roman"/>
                      <w:i/>
                      <w:iCs/>
                      <w:noProof/>
                      <w:position w:val="6"/>
                    </w:rPr>
                  </w:pPr>
                  <w:r>
                    <w:rPr>
                      <w:rFonts w:ascii="Times New Roman" w:hAnsi="Times New Roman"/>
                      <w:i/>
                      <w:iCs/>
                    </w:rPr>
                    <w:t>F</w:t>
                  </w:r>
                </w:p>
              </w:tc>
              <w:tc>
                <w:tcPr>
                  <w:tcW w:w="555" w:type="dxa"/>
                </w:tcPr>
                <w:p w14:paraId="2D845FD3" w14:textId="77777777" w:rsidR="00A373AC" w:rsidRPr="00A373AC" w:rsidRDefault="00A373AC" w:rsidP="00A373AC">
                  <w:pPr>
                    <w:pStyle w:val="BodyText"/>
                    <w:widowControl/>
                    <w:ind w:left="0"/>
                    <w:jc w:val="both"/>
                    <w:rPr>
                      <w:rFonts w:ascii="Times New Roman" w:hAnsi="Times New Roman" w:cs="Times New Roman"/>
                      <w:i/>
                      <w:iCs/>
                      <w:noProof/>
                      <w:position w:val="6"/>
                      <w:vertAlign w:val="superscript"/>
                    </w:rPr>
                  </w:pPr>
                  <w:r>
                    <w:rPr>
                      <w:rFonts w:ascii="Times New Roman" w:hAnsi="Times New Roman"/>
                      <w:i/>
                      <w:iCs/>
                      <w:vertAlign w:val="superscript"/>
                    </w:rPr>
                    <w:t>final</w:t>
                  </w:r>
                </w:p>
              </w:tc>
              <w:tc>
                <w:tcPr>
                  <w:tcW w:w="499" w:type="dxa"/>
                  <w:vMerge w:val="restart"/>
                  <w:vAlign w:val="center"/>
                </w:tcPr>
                <w:p w14:paraId="4A5CE9A8" w14:textId="77777777" w:rsidR="00A373AC" w:rsidRPr="00DF14FC" w:rsidRDefault="00A373AC" w:rsidP="00A373AC">
                  <w:pPr>
                    <w:pStyle w:val="BodyText"/>
                    <w:widowControl/>
                    <w:ind w:left="0"/>
                    <w:rPr>
                      <w:rFonts w:ascii="Times New Roman" w:hAnsi="Times New Roman" w:cs="Times New Roman"/>
                      <w:i/>
                      <w:iCs/>
                      <w:noProof/>
                      <w:position w:val="6"/>
                    </w:rPr>
                  </w:pPr>
                  <w:r>
                    <w:rPr>
                      <w:rFonts w:ascii="Times New Roman" w:hAnsi="Times New Roman"/>
                      <w:i/>
                      <w:iCs/>
                    </w:rPr>
                    <w:t>(k)</w:t>
                  </w:r>
                </w:p>
              </w:tc>
            </w:tr>
            <w:tr w:rsidR="00A373AC" w14:paraId="1CB8DCAA" w14:textId="77777777" w:rsidTr="00A373AC">
              <w:tc>
                <w:tcPr>
                  <w:tcW w:w="363" w:type="dxa"/>
                  <w:vMerge/>
                </w:tcPr>
                <w:p w14:paraId="720D96D3" w14:textId="77777777" w:rsidR="00A373AC" w:rsidRDefault="00A373AC" w:rsidP="00A373AC">
                  <w:pPr>
                    <w:pStyle w:val="BodyText"/>
                    <w:widowControl/>
                    <w:ind w:left="0"/>
                    <w:jc w:val="both"/>
                    <w:rPr>
                      <w:rFonts w:ascii="Times New Roman" w:hAnsi="Times New Roman" w:cs="Times New Roman"/>
                      <w:noProof/>
                      <w:position w:val="6"/>
                    </w:rPr>
                  </w:pPr>
                </w:p>
              </w:tc>
              <w:tc>
                <w:tcPr>
                  <w:tcW w:w="555" w:type="dxa"/>
                </w:tcPr>
                <w:p w14:paraId="0E6004CE" w14:textId="77777777" w:rsidR="00A373AC" w:rsidRPr="00A373AC" w:rsidRDefault="00A373AC" w:rsidP="00A373AC">
                  <w:pPr>
                    <w:pStyle w:val="BodyText"/>
                    <w:widowControl/>
                    <w:ind w:left="0"/>
                    <w:jc w:val="both"/>
                    <w:rPr>
                      <w:rFonts w:ascii="Times New Roman" w:hAnsi="Times New Roman" w:cs="Times New Roman"/>
                      <w:i/>
                      <w:iCs/>
                      <w:noProof/>
                      <w:position w:val="6"/>
                      <w:vertAlign w:val="subscript"/>
                    </w:rPr>
                  </w:pPr>
                  <w:r>
                    <w:rPr>
                      <w:rFonts w:ascii="Times New Roman" w:hAnsi="Times New Roman"/>
                      <w:i/>
                      <w:iCs/>
                      <w:vertAlign w:val="subscript"/>
                    </w:rPr>
                    <w:t>inst</w:t>
                  </w:r>
                </w:p>
              </w:tc>
              <w:tc>
                <w:tcPr>
                  <w:tcW w:w="499" w:type="dxa"/>
                  <w:vMerge/>
                </w:tcPr>
                <w:p w14:paraId="14A518E6" w14:textId="77777777" w:rsidR="00A373AC" w:rsidRDefault="00A373AC" w:rsidP="00A373AC">
                  <w:pPr>
                    <w:pStyle w:val="BodyText"/>
                    <w:widowControl/>
                    <w:ind w:left="0"/>
                    <w:jc w:val="both"/>
                    <w:rPr>
                      <w:rFonts w:ascii="Times New Roman" w:hAnsi="Times New Roman" w:cs="Times New Roman"/>
                      <w:noProof/>
                      <w:position w:val="6"/>
                    </w:rPr>
                  </w:pPr>
                </w:p>
              </w:tc>
            </w:tr>
          </w:tbl>
          <w:p w14:paraId="7AF62691" w14:textId="77777777" w:rsidR="00A373AC" w:rsidRDefault="00A373AC" w:rsidP="00583F3E">
            <w:pPr>
              <w:pStyle w:val="BodyText"/>
              <w:widowControl/>
              <w:ind w:left="0"/>
              <w:jc w:val="both"/>
              <w:rPr>
                <w:rFonts w:ascii="Times New Roman" w:hAnsi="Times New Roman" w:cs="Times New Roman"/>
                <w:noProof/>
                <w:position w:val="6"/>
              </w:rPr>
            </w:pPr>
          </w:p>
          <w:p w14:paraId="50328D73" w14:textId="77777777" w:rsidR="00A373AC" w:rsidRDefault="00A373AC" w:rsidP="00583F3E">
            <w:pPr>
              <w:pStyle w:val="BodyText"/>
              <w:widowControl/>
              <w:ind w:left="0"/>
              <w:jc w:val="both"/>
              <w:rPr>
                <w:rFonts w:ascii="Times New Roman" w:hAnsi="Times New Roman" w:cs="Times New Roman"/>
                <w:noProof/>
                <w:position w:val="6"/>
              </w:rPr>
            </w:pPr>
          </w:p>
        </w:tc>
        <w:tc>
          <w:tcPr>
            <w:tcW w:w="7337" w:type="dxa"/>
          </w:tcPr>
          <w:p w14:paraId="3E694986" w14:textId="77777777" w:rsidR="00A373AC" w:rsidRDefault="00A373AC" w:rsidP="00A373AC">
            <w:pPr>
              <w:pStyle w:val="BodyText"/>
              <w:widowControl/>
              <w:tabs>
                <w:tab w:val="left" w:pos="1557"/>
              </w:tabs>
              <w:ind w:left="0"/>
              <w:jc w:val="both"/>
              <w:rPr>
                <w:rFonts w:ascii="Times New Roman" w:hAnsi="Times New Roman" w:cs="Times New Roman"/>
                <w:noProof/>
                <w:position w:val="6"/>
              </w:rPr>
            </w:pPr>
            <w:r>
              <w:rPr>
                <w:rFonts w:ascii="Times New Roman" w:hAnsi="Times New Roman"/>
              </w:rPr>
              <w:t>ir galīgais kopējais piešķiramo kvotu apjoms iekārtai gadā </w:t>
            </w:r>
            <w:r>
              <w:rPr>
                <w:rFonts w:ascii="Times New Roman" w:hAnsi="Times New Roman"/>
                <w:i/>
                <w:iCs/>
              </w:rPr>
              <w:t>k</w:t>
            </w:r>
            <w:r>
              <w:rPr>
                <w:rFonts w:ascii="Times New Roman" w:hAnsi="Times New Roman"/>
              </w:rPr>
              <w:t>;</w:t>
            </w:r>
          </w:p>
        </w:tc>
      </w:tr>
      <w:tr w:rsidR="00A373AC" w14:paraId="22F5DA9A" w14:textId="77777777" w:rsidTr="00A373AC">
        <w:tc>
          <w:tcPr>
            <w:tcW w:w="1951" w:type="dxa"/>
          </w:tcPr>
          <w:p w14:paraId="08BBCC5E" w14:textId="0E81B390" w:rsidR="00A373AC" w:rsidRPr="00A373AC" w:rsidRDefault="00063A9A" w:rsidP="00583F3E">
            <w:pPr>
              <w:pStyle w:val="BodyText"/>
              <w:widowControl/>
              <w:ind w:left="0"/>
              <w:jc w:val="both"/>
              <w:rPr>
                <w:rFonts w:ascii="Times New Roman" w:hAnsi="Times New Roman" w:cs="Times New Roman"/>
                <w:i/>
                <w:iCs/>
                <w:noProof/>
                <w:position w:val="6"/>
              </w:rPr>
            </w:pPr>
            <w:r>
              <w:rPr>
                <w:rFonts w:ascii="Times New Roman" w:hAnsi="Times New Roman"/>
                <w:i/>
                <w:iCs/>
              </w:rPr>
              <w:t>CSCF</w:t>
            </w:r>
            <w:r w:rsidR="00A373AC">
              <w:rPr>
                <w:rFonts w:ascii="Times New Roman" w:hAnsi="Times New Roman"/>
                <w:i/>
                <w:iCs/>
                <w:vertAlign w:val="subscript"/>
              </w:rPr>
              <w:t>k</w:t>
            </w:r>
          </w:p>
        </w:tc>
        <w:tc>
          <w:tcPr>
            <w:tcW w:w="7337" w:type="dxa"/>
          </w:tcPr>
          <w:p w14:paraId="279BE6E6" w14:textId="77777777" w:rsidR="00A373AC" w:rsidRDefault="00A373AC" w:rsidP="00A373AC">
            <w:pPr>
              <w:pStyle w:val="BodyText"/>
              <w:widowControl/>
              <w:tabs>
                <w:tab w:val="left" w:pos="1557"/>
              </w:tabs>
              <w:ind w:left="0"/>
              <w:jc w:val="both"/>
              <w:rPr>
                <w:rFonts w:ascii="Times New Roman" w:hAnsi="Times New Roman" w:cs="Times New Roman"/>
                <w:noProof/>
                <w:position w:val="6"/>
              </w:rPr>
            </w:pPr>
            <w:r>
              <w:rPr>
                <w:rFonts w:ascii="Times New Roman" w:hAnsi="Times New Roman"/>
              </w:rPr>
              <w:t>starpsektoru korekcijas koeficients gadā </w:t>
            </w:r>
            <w:r>
              <w:rPr>
                <w:rFonts w:ascii="Times New Roman" w:hAnsi="Times New Roman"/>
                <w:i/>
                <w:iCs/>
              </w:rPr>
              <w:t>k</w:t>
            </w:r>
            <w:r>
              <w:rPr>
                <w:rFonts w:ascii="Times New Roman" w:hAnsi="Times New Roman"/>
              </w:rPr>
              <w:t xml:space="preserve"> (ja nepieciešams).</w:t>
            </w:r>
          </w:p>
        </w:tc>
      </w:tr>
    </w:tbl>
    <w:p w14:paraId="4CCFFFA4" w14:textId="77777777" w:rsidR="00A373AC" w:rsidRDefault="00A373AC" w:rsidP="00583F3E">
      <w:pPr>
        <w:pStyle w:val="BodyText"/>
        <w:widowControl/>
        <w:ind w:left="0"/>
        <w:jc w:val="both"/>
        <w:rPr>
          <w:rFonts w:ascii="Times New Roman" w:hAnsi="Times New Roman" w:cs="Times New Roman"/>
          <w:noProof/>
          <w:position w:val="6"/>
        </w:rPr>
      </w:pPr>
    </w:p>
    <w:p w14:paraId="628F0B2C" w14:textId="04A3719D" w:rsid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Ja </w:t>
      </w:r>
      <w:r w:rsidR="00063A9A">
        <w:rPr>
          <w:rFonts w:ascii="Times New Roman" w:hAnsi="Times New Roman"/>
          <w:i/>
          <w:iCs/>
        </w:rPr>
        <w:t>CSCF</w:t>
      </w:r>
      <w:r>
        <w:rPr>
          <w:rFonts w:ascii="Times New Roman" w:hAnsi="Times New Roman"/>
        </w:rPr>
        <w:t xml:space="preserve"> ir piemērojams jebkuram gadam</w:t>
      </w:r>
      <w:r w:rsidR="00DF14FC">
        <w:rPr>
          <w:rStyle w:val="FootnoteReference"/>
          <w:rFonts w:ascii="Times New Roman" w:hAnsi="Times New Roman" w:cs="Times New Roman"/>
          <w:noProof/>
          <w:position w:val="6"/>
        </w:rPr>
        <w:footnoteReference w:id="29"/>
      </w:r>
      <w:r>
        <w:rPr>
          <w:rFonts w:ascii="Times New Roman" w:hAnsi="Times New Roman"/>
        </w:rPr>
        <w:t xml:space="preserve">, kvotu galīgo kopējo ikgadējo apjomu iekārtām, kas klasificētas kā “elektroenerģijas ražošanas iekārtas”, nosaka tādā pašā veidā, kā norādīts iepriekš. Tomēr gados, kad </w:t>
      </w:r>
      <w:r w:rsidR="00063A9A">
        <w:rPr>
          <w:rFonts w:ascii="Times New Roman" w:hAnsi="Times New Roman"/>
          <w:i/>
          <w:iCs/>
        </w:rPr>
        <w:t>CSCF</w:t>
      </w:r>
      <w:r>
        <w:rPr>
          <w:rFonts w:ascii="Times New Roman" w:hAnsi="Times New Roman"/>
        </w:rPr>
        <w:t xml:space="preserve"> netiek piemērots, kvotu galīgo kopējo ikgadējo apjomu nosaka šādi:</w:t>
      </w:r>
    </w:p>
    <w:p w14:paraId="24AC7399" w14:textId="77777777" w:rsidR="00A373AC" w:rsidRDefault="00A373AC" w:rsidP="00583F3E">
      <w:pPr>
        <w:pStyle w:val="BodyText"/>
        <w:widowControl/>
        <w:ind w:left="0"/>
        <w:jc w:val="both"/>
        <w:rPr>
          <w:rFonts w:ascii="Times New Roman" w:hAnsi="Times New Roman" w:cs="Times New Roman"/>
          <w:noProof/>
          <w:position w:val="6"/>
        </w:rPr>
      </w:pPr>
    </w:p>
    <w:p w14:paraId="06DB7B8B" w14:textId="77777777" w:rsidR="00A373AC" w:rsidRDefault="00A373AC" w:rsidP="00A373AC">
      <w:pPr>
        <w:pStyle w:val="BodyText"/>
        <w:widowControl/>
        <w:ind w:left="0"/>
        <w:jc w:val="center"/>
        <w:rPr>
          <w:rFonts w:ascii="Times New Roman" w:hAnsi="Times New Roman" w:cs="Times New Roman"/>
          <w:noProof/>
          <w:position w:val="6"/>
        </w:rPr>
      </w:pPr>
      <w:r>
        <w:rPr>
          <w:rFonts w:ascii="Times New Roman" w:hAnsi="Times New Roman"/>
          <w:noProof/>
        </w:rPr>
        <w:drawing>
          <wp:inline distT="0" distB="0" distL="0" distR="0" wp14:anchorId="16E9781E" wp14:editId="15B1D3D1">
            <wp:extent cx="2162175" cy="56197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2175" cy="561975"/>
                    </a:xfrm>
                    <a:prstGeom prst="rect">
                      <a:avLst/>
                    </a:prstGeom>
                    <a:noFill/>
                    <a:ln>
                      <a:noFill/>
                    </a:ln>
                  </pic:spPr>
                </pic:pic>
              </a:graphicData>
            </a:graphic>
          </wp:inline>
        </w:drawing>
      </w:r>
    </w:p>
    <w:p w14:paraId="2D1F377F" w14:textId="77777777" w:rsidR="00A373AC" w:rsidRPr="00583F3E" w:rsidRDefault="00A373AC" w:rsidP="00583F3E">
      <w:pPr>
        <w:pStyle w:val="BodyText"/>
        <w:widowControl/>
        <w:ind w:left="0"/>
        <w:jc w:val="both"/>
        <w:rPr>
          <w:rFonts w:ascii="Times New Roman" w:hAnsi="Times New Roman" w:cs="Times New Roman"/>
          <w:noProof/>
          <w:position w:val="6"/>
        </w:rPr>
      </w:pPr>
    </w:p>
    <w:p w14:paraId="21A0DF3A" w14:textId="77777777" w:rsidR="00583F3E" w:rsidRDefault="00583F3E" w:rsidP="00AE641A">
      <w:pPr>
        <w:pStyle w:val="BodyText"/>
        <w:keepNext/>
        <w:widowControl/>
        <w:ind w:left="0"/>
        <w:jc w:val="both"/>
        <w:rPr>
          <w:rFonts w:ascii="Times New Roman" w:hAnsi="Times New Roman" w:cs="Times New Roman"/>
          <w:noProof/>
          <w:position w:val="6"/>
        </w:rPr>
      </w:pPr>
      <w:r>
        <w:rPr>
          <w:rFonts w:ascii="Times New Roman" w:hAnsi="Times New Roman"/>
        </w:rPr>
        <w:lastRenderedPageBreak/>
        <w:t>kur: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20"/>
      </w:tblGrid>
      <w:tr w:rsidR="00A373AC" w14:paraId="67F44290" w14:textId="77777777" w:rsidTr="00A645BA">
        <w:tc>
          <w:tcPr>
            <w:tcW w:w="1668" w:type="dxa"/>
          </w:tcPr>
          <w:p w14:paraId="33A0709D" w14:textId="77777777" w:rsidR="00A373AC" w:rsidRPr="00DF14FC" w:rsidRDefault="00DF14FC" w:rsidP="00AE641A">
            <w:pPr>
              <w:pStyle w:val="BodyText"/>
              <w:keepNext/>
              <w:widowControl/>
              <w:ind w:left="0"/>
              <w:jc w:val="both"/>
              <w:rPr>
                <w:rFonts w:ascii="Times New Roman" w:hAnsi="Times New Roman" w:cs="Times New Roman"/>
                <w:i/>
                <w:iCs/>
                <w:noProof/>
                <w:position w:val="6"/>
              </w:rPr>
            </w:pPr>
            <w:r>
              <w:rPr>
                <w:rFonts w:ascii="Times New Roman" w:hAnsi="Times New Roman"/>
                <w:i/>
                <w:iCs/>
              </w:rPr>
              <w:t>k</w:t>
            </w:r>
          </w:p>
        </w:tc>
        <w:tc>
          <w:tcPr>
            <w:tcW w:w="7620" w:type="dxa"/>
          </w:tcPr>
          <w:p w14:paraId="2D0D07E2" w14:textId="77777777" w:rsidR="00A373AC" w:rsidRDefault="00DF14FC" w:rsidP="00AE641A">
            <w:pPr>
              <w:pStyle w:val="BodyText"/>
              <w:keepNext/>
              <w:widowControl/>
              <w:ind w:left="0"/>
              <w:jc w:val="both"/>
              <w:rPr>
                <w:rFonts w:ascii="Times New Roman" w:hAnsi="Times New Roman" w:cs="Times New Roman"/>
                <w:noProof/>
                <w:position w:val="6"/>
              </w:rPr>
            </w:pPr>
            <w:r>
              <w:rPr>
                <w:rFonts w:ascii="Times New Roman" w:hAnsi="Times New Roman"/>
              </w:rPr>
              <w:t>ir gads </w:t>
            </w:r>
            <w:r>
              <w:rPr>
                <w:rFonts w:ascii="Times New Roman" w:hAnsi="Times New Roman"/>
                <w:i/>
                <w:iCs/>
              </w:rPr>
              <w:t>k</w:t>
            </w:r>
            <w:r>
              <w:rPr>
                <w:rFonts w:ascii="Times New Roman" w:hAnsi="Times New Roman"/>
              </w:rPr>
              <w:t>;</w:t>
            </w:r>
          </w:p>
        </w:tc>
      </w:tr>
      <w:tr w:rsidR="00A373AC" w14:paraId="18A75610" w14:textId="77777777" w:rsidTr="00A645BA">
        <w:tc>
          <w:tcPr>
            <w:tcW w:w="1668" w:type="dxa"/>
          </w:tcPr>
          <w:p w14:paraId="20AA89DF" w14:textId="77777777" w:rsidR="00DF14FC" w:rsidRDefault="00DF14FC" w:rsidP="00AE641A">
            <w:pPr>
              <w:pStyle w:val="BodyText"/>
              <w:keepNext/>
              <w:widowControl/>
              <w:ind w:left="0"/>
              <w:jc w:val="both"/>
              <w:rPr>
                <w:rFonts w:ascii="Times New Roman" w:hAnsi="Times New Roman" w:cs="Times New Roman"/>
                <w:noProof/>
                <w:position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
              <w:gridCol w:w="555"/>
              <w:gridCol w:w="499"/>
            </w:tblGrid>
            <w:tr w:rsidR="00DF14FC" w14:paraId="42759B96" w14:textId="77777777" w:rsidTr="00FB6E42">
              <w:tc>
                <w:tcPr>
                  <w:tcW w:w="363" w:type="dxa"/>
                  <w:vMerge w:val="restart"/>
                  <w:vAlign w:val="center"/>
                </w:tcPr>
                <w:p w14:paraId="4977F7A5" w14:textId="77777777" w:rsidR="00DF14FC" w:rsidRPr="00A373AC" w:rsidRDefault="00DF14FC" w:rsidP="00AE641A">
                  <w:pPr>
                    <w:pStyle w:val="BodyText"/>
                    <w:keepNext/>
                    <w:widowControl/>
                    <w:ind w:left="0"/>
                    <w:jc w:val="right"/>
                    <w:rPr>
                      <w:rFonts w:ascii="Times New Roman" w:hAnsi="Times New Roman" w:cs="Times New Roman"/>
                      <w:i/>
                      <w:iCs/>
                      <w:noProof/>
                      <w:position w:val="6"/>
                    </w:rPr>
                  </w:pPr>
                  <w:r>
                    <w:rPr>
                      <w:rFonts w:ascii="Times New Roman" w:hAnsi="Times New Roman"/>
                      <w:i/>
                      <w:iCs/>
                    </w:rPr>
                    <w:t>F</w:t>
                  </w:r>
                </w:p>
              </w:tc>
              <w:tc>
                <w:tcPr>
                  <w:tcW w:w="555" w:type="dxa"/>
                </w:tcPr>
                <w:p w14:paraId="1A64414C" w14:textId="77777777" w:rsidR="00DF14FC" w:rsidRPr="00A373AC" w:rsidRDefault="00DF14FC" w:rsidP="00AE641A">
                  <w:pPr>
                    <w:pStyle w:val="BodyText"/>
                    <w:keepNext/>
                    <w:widowControl/>
                    <w:ind w:left="0"/>
                    <w:jc w:val="both"/>
                    <w:rPr>
                      <w:rFonts w:ascii="Times New Roman" w:hAnsi="Times New Roman" w:cs="Times New Roman"/>
                      <w:i/>
                      <w:iCs/>
                      <w:noProof/>
                      <w:position w:val="6"/>
                      <w:vertAlign w:val="superscript"/>
                    </w:rPr>
                  </w:pPr>
                  <w:r>
                    <w:rPr>
                      <w:rFonts w:ascii="Times New Roman" w:hAnsi="Times New Roman"/>
                      <w:i/>
                      <w:iCs/>
                      <w:vertAlign w:val="superscript"/>
                    </w:rPr>
                    <w:t>final</w:t>
                  </w:r>
                </w:p>
              </w:tc>
              <w:tc>
                <w:tcPr>
                  <w:tcW w:w="499" w:type="dxa"/>
                  <w:vMerge w:val="restart"/>
                  <w:vAlign w:val="center"/>
                </w:tcPr>
                <w:p w14:paraId="1329B79C" w14:textId="77777777" w:rsidR="00DF14FC" w:rsidRPr="00DF14FC" w:rsidRDefault="00DF14FC" w:rsidP="00AE641A">
                  <w:pPr>
                    <w:pStyle w:val="BodyText"/>
                    <w:keepNext/>
                    <w:widowControl/>
                    <w:ind w:left="0"/>
                    <w:rPr>
                      <w:rFonts w:ascii="Times New Roman" w:hAnsi="Times New Roman" w:cs="Times New Roman"/>
                      <w:i/>
                      <w:iCs/>
                      <w:noProof/>
                      <w:position w:val="6"/>
                    </w:rPr>
                  </w:pPr>
                  <w:r>
                    <w:rPr>
                      <w:rFonts w:ascii="Times New Roman" w:hAnsi="Times New Roman"/>
                      <w:i/>
                      <w:iCs/>
                    </w:rPr>
                    <w:t>(k)</w:t>
                  </w:r>
                </w:p>
              </w:tc>
            </w:tr>
            <w:tr w:rsidR="00DF14FC" w14:paraId="02F21DFB" w14:textId="77777777" w:rsidTr="00FB6E42">
              <w:tc>
                <w:tcPr>
                  <w:tcW w:w="363" w:type="dxa"/>
                  <w:vMerge/>
                </w:tcPr>
                <w:p w14:paraId="34DEA102" w14:textId="77777777" w:rsidR="00DF14FC" w:rsidRDefault="00DF14FC" w:rsidP="00AE641A">
                  <w:pPr>
                    <w:pStyle w:val="BodyText"/>
                    <w:keepNext/>
                    <w:widowControl/>
                    <w:ind w:left="0"/>
                    <w:jc w:val="both"/>
                    <w:rPr>
                      <w:rFonts w:ascii="Times New Roman" w:hAnsi="Times New Roman" w:cs="Times New Roman"/>
                      <w:noProof/>
                      <w:position w:val="6"/>
                    </w:rPr>
                  </w:pPr>
                </w:p>
              </w:tc>
              <w:tc>
                <w:tcPr>
                  <w:tcW w:w="555" w:type="dxa"/>
                </w:tcPr>
                <w:p w14:paraId="5BD3A98F" w14:textId="77777777" w:rsidR="00DF14FC" w:rsidRPr="00A373AC" w:rsidRDefault="00DF14FC" w:rsidP="00AE641A">
                  <w:pPr>
                    <w:pStyle w:val="BodyText"/>
                    <w:keepNext/>
                    <w:widowControl/>
                    <w:ind w:left="0"/>
                    <w:jc w:val="both"/>
                    <w:rPr>
                      <w:rFonts w:ascii="Times New Roman" w:hAnsi="Times New Roman" w:cs="Times New Roman"/>
                      <w:i/>
                      <w:iCs/>
                      <w:noProof/>
                      <w:position w:val="6"/>
                      <w:vertAlign w:val="subscript"/>
                    </w:rPr>
                  </w:pPr>
                  <w:r>
                    <w:rPr>
                      <w:rFonts w:ascii="Times New Roman" w:hAnsi="Times New Roman"/>
                      <w:i/>
                      <w:iCs/>
                      <w:vertAlign w:val="subscript"/>
                    </w:rPr>
                    <w:t>inst</w:t>
                  </w:r>
                </w:p>
              </w:tc>
              <w:tc>
                <w:tcPr>
                  <w:tcW w:w="499" w:type="dxa"/>
                  <w:vMerge/>
                </w:tcPr>
                <w:p w14:paraId="621CB900" w14:textId="77777777" w:rsidR="00DF14FC" w:rsidRDefault="00DF14FC" w:rsidP="00AE641A">
                  <w:pPr>
                    <w:pStyle w:val="BodyText"/>
                    <w:keepNext/>
                    <w:widowControl/>
                    <w:ind w:left="0"/>
                    <w:jc w:val="both"/>
                    <w:rPr>
                      <w:rFonts w:ascii="Times New Roman" w:hAnsi="Times New Roman" w:cs="Times New Roman"/>
                      <w:noProof/>
                      <w:position w:val="6"/>
                    </w:rPr>
                  </w:pPr>
                </w:p>
              </w:tc>
            </w:tr>
          </w:tbl>
          <w:p w14:paraId="1D74C5A8" w14:textId="77777777" w:rsidR="00DF14FC" w:rsidRDefault="00DF14FC" w:rsidP="00AE641A">
            <w:pPr>
              <w:pStyle w:val="BodyText"/>
              <w:keepNext/>
              <w:widowControl/>
              <w:ind w:left="0"/>
              <w:jc w:val="both"/>
              <w:rPr>
                <w:rFonts w:ascii="Times New Roman" w:hAnsi="Times New Roman" w:cs="Times New Roman"/>
                <w:noProof/>
                <w:position w:val="6"/>
              </w:rPr>
            </w:pPr>
          </w:p>
          <w:p w14:paraId="23CF7C9A" w14:textId="77777777" w:rsidR="00A373AC" w:rsidRDefault="00A373AC" w:rsidP="00AE641A">
            <w:pPr>
              <w:pStyle w:val="BodyText"/>
              <w:keepNext/>
              <w:widowControl/>
              <w:ind w:left="0"/>
              <w:jc w:val="both"/>
              <w:rPr>
                <w:rFonts w:ascii="Times New Roman" w:hAnsi="Times New Roman" w:cs="Times New Roman"/>
                <w:noProof/>
                <w:position w:val="6"/>
              </w:rPr>
            </w:pPr>
          </w:p>
        </w:tc>
        <w:tc>
          <w:tcPr>
            <w:tcW w:w="7620" w:type="dxa"/>
          </w:tcPr>
          <w:p w14:paraId="69EBDDC2" w14:textId="77777777" w:rsidR="00A373AC" w:rsidRDefault="00DF14FC" w:rsidP="00AE641A">
            <w:pPr>
              <w:pStyle w:val="BodyText"/>
              <w:keepNext/>
              <w:widowControl/>
              <w:ind w:left="0"/>
              <w:jc w:val="both"/>
              <w:rPr>
                <w:rFonts w:ascii="Times New Roman" w:hAnsi="Times New Roman" w:cs="Times New Roman"/>
                <w:noProof/>
                <w:position w:val="6"/>
              </w:rPr>
            </w:pPr>
            <w:r>
              <w:rPr>
                <w:rFonts w:ascii="Times New Roman" w:hAnsi="Times New Roman"/>
              </w:rPr>
              <w:t>ir galīgais kopējais piešķiramo kvotu apjoms iekārtai gadā </w:t>
            </w:r>
            <w:r>
              <w:rPr>
                <w:rFonts w:ascii="Times New Roman" w:hAnsi="Times New Roman"/>
                <w:i/>
              </w:rPr>
              <w:t>k</w:t>
            </w:r>
            <w:r>
              <w:rPr>
                <w:rFonts w:ascii="Times New Roman" w:hAnsi="Times New Roman"/>
              </w:rPr>
              <w:t>;</w:t>
            </w:r>
          </w:p>
        </w:tc>
      </w:tr>
      <w:tr w:rsidR="00DF14FC" w:rsidRPr="00DF14FC" w14:paraId="522076CA" w14:textId="77777777" w:rsidTr="00A645BA">
        <w:tc>
          <w:tcPr>
            <w:tcW w:w="1668" w:type="dxa"/>
          </w:tcPr>
          <w:p w14:paraId="669D5D95" w14:textId="77777777" w:rsidR="00DF14FC" w:rsidRPr="00DF14FC" w:rsidRDefault="00DF14FC" w:rsidP="00583F3E">
            <w:pPr>
              <w:pStyle w:val="BodyText"/>
              <w:widowControl/>
              <w:ind w:left="0"/>
              <w:jc w:val="both"/>
              <w:rPr>
                <w:rFonts w:ascii="Times New Roman" w:hAnsi="Times New Roman" w:cs="Times New Roman"/>
                <w:i/>
                <w:iCs/>
                <w:noProof/>
                <w:position w:val="6"/>
              </w:rPr>
            </w:pPr>
            <w:r>
              <w:rPr>
                <w:rFonts w:ascii="Times New Roman" w:hAnsi="Times New Roman"/>
                <w:i/>
                <w:iCs/>
              </w:rPr>
              <w:t>F</w:t>
            </w:r>
            <w:r>
              <w:rPr>
                <w:rFonts w:ascii="Times New Roman" w:hAnsi="Times New Roman"/>
                <w:i/>
                <w:iCs/>
                <w:vertAlign w:val="subscript"/>
              </w:rPr>
              <w:t>inst,k</w:t>
            </w:r>
          </w:p>
        </w:tc>
        <w:tc>
          <w:tcPr>
            <w:tcW w:w="7620" w:type="dxa"/>
          </w:tcPr>
          <w:p w14:paraId="3E1BF8B1" w14:textId="77777777" w:rsidR="00DF14FC" w:rsidRPr="00DF14FC" w:rsidRDefault="00DF14FC" w:rsidP="00583F3E">
            <w:pPr>
              <w:pStyle w:val="BodyText"/>
              <w:widowControl/>
              <w:ind w:left="0"/>
              <w:jc w:val="both"/>
              <w:rPr>
                <w:rFonts w:ascii="Times New Roman" w:hAnsi="Times New Roman" w:cs="Times New Roman"/>
                <w:i/>
                <w:iCs/>
                <w:noProof/>
                <w:position w:val="6"/>
              </w:rPr>
            </w:pPr>
            <w:r>
              <w:rPr>
                <w:rFonts w:ascii="Times New Roman" w:hAnsi="Times New Roman"/>
              </w:rPr>
              <w:t>ir galīgais provizoriskais piešķiramo kvotu apjoms iekārtai gadā </w:t>
            </w:r>
            <w:r>
              <w:rPr>
                <w:rFonts w:ascii="Times New Roman" w:hAnsi="Times New Roman"/>
                <w:i/>
              </w:rPr>
              <w:t>k</w:t>
            </w:r>
            <w:r>
              <w:rPr>
                <w:rFonts w:ascii="Times New Roman" w:hAnsi="Times New Roman"/>
              </w:rPr>
              <w:t>;</w:t>
            </w:r>
          </w:p>
        </w:tc>
      </w:tr>
      <w:tr w:rsidR="00A373AC" w14:paraId="48FA10A7" w14:textId="77777777" w:rsidTr="00A645BA">
        <w:tc>
          <w:tcPr>
            <w:tcW w:w="1668" w:type="dxa"/>
          </w:tcPr>
          <w:p w14:paraId="427A1114" w14:textId="5578325B" w:rsidR="00A373AC" w:rsidRDefault="00DF14FC" w:rsidP="00583F3E">
            <w:pPr>
              <w:pStyle w:val="BodyText"/>
              <w:widowControl/>
              <w:ind w:left="0"/>
              <w:jc w:val="both"/>
              <w:rPr>
                <w:rFonts w:ascii="Times New Roman" w:hAnsi="Times New Roman" w:cs="Times New Roman"/>
                <w:noProof/>
                <w:position w:val="6"/>
              </w:rPr>
            </w:pPr>
            <w:r>
              <w:rPr>
                <w:rFonts w:ascii="Times New Roman" w:hAnsi="Times New Roman"/>
                <w:i/>
              </w:rPr>
              <w:t>L</w:t>
            </w:r>
            <w:r w:rsidR="00063A9A">
              <w:rPr>
                <w:rFonts w:ascii="Times New Roman" w:hAnsi="Times New Roman"/>
                <w:i/>
              </w:rPr>
              <w:t>RF</w:t>
            </w:r>
            <w:r>
              <w:rPr>
                <w:rFonts w:ascii="Times New Roman" w:hAnsi="Times New Roman"/>
                <w:i/>
                <w:vertAlign w:val="subscript"/>
              </w:rPr>
              <w:t>k</w:t>
            </w:r>
          </w:p>
        </w:tc>
        <w:tc>
          <w:tcPr>
            <w:tcW w:w="7620" w:type="dxa"/>
          </w:tcPr>
          <w:p w14:paraId="5FEE031B" w14:textId="77777777" w:rsidR="00A373AC" w:rsidRDefault="00DF14FC" w:rsidP="00DF14FC">
            <w:pPr>
              <w:pStyle w:val="BodyText"/>
              <w:widowControl/>
              <w:tabs>
                <w:tab w:val="left" w:pos="2277"/>
              </w:tabs>
              <w:ind w:left="0"/>
              <w:jc w:val="both"/>
              <w:rPr>
                <w:rFonts w:ascii="Times New Roman" w:hAnsi="Times New Roman" w:cs="Times New Roman"/>
                <w:noProof/>
                <w:position w:val="6"/>
              </w:rPr>
            </w:pPr>
            <w:r>
              <w:rPr>
                <w:rFonts w:ascii="Times New Roman" w:hAnsi="Times New Roman"/>
              </w:rPr>
              <w:t>ir lineārais samazinājuma koeficients (sk. tabulu Norādījumu dokumentā Nr. 1).</w:t>
            </w:r>
          </w:p>
        </w:tc>
      </w:tr>
    </w:tbl>
    <w:p w14:paraId="3C5DBB72" w14:textId="77777777" w:rsidR="00A373AC" w:rsidRDefault="00A373AC" w:rsidP="00583F3E">
      <w:pPr>
        <w:pStyle w:val="BodyText"/>
        <w:widowControl/>
        <w:ind w:left="0"/>
        <w:jc w:val="both"/>
        <w:rPr>
          <w:rFonts w:ascii="Times New Roman" w:hAnsi="Times New Roman" w:cs="Times New Roman"/>
          <w:noProof/>
          <w:position w:val="6"/>
        </w:rPr>
      </w:pPr>
    </w:p>
    <w:p w14:paraId="72ECEA04" w14:textId="77777777" w:rsidR="00DF14FC" w:rsidRDefault="00DF14FC">
      <w:pPr>
        <w:rPr>
          <w:rFonts w:ascii="Times New Roman" w:eastAsia="Calibri" w:hAnsi="Times New Roman" w:cs="Times New Roman"/>
          <w:noProof/>
          <w:position w:val="6"/>
          <w:sz w:val="24"/>
          <w:szCs w:val="24"/>
        </w:rPr>
      </w:pPr>
      <w:r>
        <w:br w:type="page"/>
      </w:r>
    </w:p>
    <w:p w14:paraId="05DA80FC" w14:textId="77777777" w:rsidR="00A373AC" w:rsidRPr="00583F3E" w:rsidRDefault="00A373AC" w:rsidP="00583F3E">
      <w:pPr>
        <w:pStyle w:val="BodyText"/>
        <w:widowControl/>
        <w:ind w:left="0"/>
        <w:jc w:val="both"/>
        <w:rPr>
          <w:rFonts w:ascii="Times New Roman" w:hAnsi="Times New Roman" w:cs="Times New Roman"/>
          <w:noProof/>
          <w:position w:val="6"/>
        </w:rPr>
      </w:pPr>
    </w:p>
    <w:p w14:paraId="2A92FBD2" w14:textId="77777777" w:rsidR="00583F3E" w:rsidRPr="00DF14FC" w:rsidRDefault="00DF14FC" w:rsidP="00DF14FC">
      <w:pPr>
        <w:pStyle w:val="Heading1"/>
        <w:widowControl/>
        <w:spacing w:before="0"/>
        <w:ind w:left="0" w:firstLine="0"/>
        <w:jc w:val="both"/>
        <w:rPr>
          <w:rFonts w:ascii="Times New Roman" w:hAnsi="Times New Roman" w:cs="Times New Roman"/>
          <w:noProof/>
          <w:position w:val="6"/>
          <w:szCs w:val="40"/>
        </w:rPr>
      </w:pPr>
      <w:bookmarkStart w:id="56" w:name="_Toc31207944"/>
      <w:r>
        <w:rPr>
          <w:rFonts w:ascii="Times New Roman" w:hAnsi="Times New Roman"/>
          <w:szCs w:val="40"/>
        </w:rPr>
        <w:t>6. Vēsturiskā darbības līmeņa noteikšana</w:t>
      </w:r>
      <w:bookmarkStart w:id="57" w:name="_bookmark29"/>
      <w:bookmarkEnd w:id="57"/>
      <w:bookmarkEnd w:id="56"/>
    </w:p>
    <w:p w14:paraId="63D36A93" w14:textId="77777777" w:rsidR="00DF14FC" w:rsidRDefault="00DF14FC" w:rsidP="00DF14FC">
      <w:pPr>
        <w:pStyle w:val="Heading2"/>
        <w:widowControl/>
        <w:tabs>
          <w:tab w:val="left" w:pos="694"/>
        </w:tabs>
        <w:ind w:left="0" w:firstLine="0"/>
        <w:jc w:val="both"/>
        <w:rPr>
          <w:rFonts w:ascii="Times New Roman" w:hAnsi="Times New Roman" w:cs="Times New Roman"/>
          <w:noProof/>
          <w:position w:val="6"/>
          <w:sz w:val="24"/>
        </w:rPr>
      </w:pPr>
    </w:p>
    <w:p w14:paraId="40AC6796" w14:textId="77777777" w:rsidR="00583F3E" w:rsidRPr="00DF14FC" w:rsidRDefault="00DF14FC" w:rsidP="00DF14FC">
      <w:pPr>
        <w:pStyle w:val="Heading2"/>
        <w:widowControl/>
        <w:tabs>
          <w:tab w:val="left" w:pos="694"/>
        </w:tabs>
        <w:ind w:left="0" w:firstLine="0"/>
        <w:jc w:val="both"/>
        <w:rPr>
          <w:rFonts w:ascii="Times New Roman" w:hAnsi="Times New Roman" w:cs="Times New Roman"/>
          <w:noProof/>
          <w:position w:val="6"/>
          <w:szCs w:val="32"/>
        </w:rPr>
      </w:pPr>
      <w:bookmarkStart w:id="58" w:name="_Toc31207945"/>
      <w:r>
        <w:rPr>
          <w:rFonts w:ascii="Times New Roman" w:hAnsi="Times New Roman"/>
          <w:szCs w:val="32"/>
        </w:rPr>
        <w:t>6.1. Noklusējuma pieeja vēsturiskā darbības līmeņa noteikšanai</w:t>
      </w:r>
      <w:bookmarkStart w:id="59" w:name="_bookmark30"/>
      <w:bookmarkEnd w:id="59"/>
      <w:bookmarkEnd w:id="58"/>
    </w:p>
    <w:p w14:paraId="310ECBB2" w14:textId="77777777" w:rsidR="00DF14FC" w:rsidRDefault="00DF14FC" w:rsidP="00583F3E">
      <w:pPr>
        <w:pStyle w:val="BodyText"/>
        <w:widowControl/>
        <w:ind w:left="0"/>
        <w:jc w:val="both"/>
        <w:rPr>
          <w:rFonts w:ascii="Times New Roman" w:hAnsi="Times New Roman" w:cs="Times New Roman"/>
          <w:noProof/>
          <w:position w:val="6"/>
        </w:rPr>
      </w:pPr>
    </w:p>
    <w:p w14:paraId="1FA93C37" w14:textId="68758AA5"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Kā norādīts iepriekšējā iedaļā aprakstītajos soļos, noklusējuma metode apakšiekārtas vēsturiskā darbības līmeņa noteikšanai nozīmē to, ka tiek ņemta apakšiekārtas ikgadējo darbības līmeņu vidējā aritmētiskā vērtība bāzlīnijas periodā: 2014.–2018. gadā vai 2019.–2023. gadā atkarībā no piešķiršanas perioda, un tādējādi:</w:t>
      </w:r>
    </w:p>
    <w:p w14:paraId="3A77C792"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203011B8" w14:textId="77777777" w:rsidR="00583F3E" w:rsidRPr="00583F3E" w:rsidRDefault="00583F3E" w:rsidP="001223B1">
      <w:pPr>
        <w:widowControl/>
        <w:ind w:firstLine="709"/>
        <w:jc w:val="both"/>
        <w:rPr>
          <w:rFonts w:ascii="Times New Roman" w:hAnsi="Times New Roman" w:cs="Times New Roman"/>
          <w:i/>
          <w:noProof/>
          <w:position w:val="6"/>
          <w:sz w:val="24"/>
        </w:rPr>
      </w:pPr>
      <w:r>
        <w:rPr>
          <w:rFonts w:ascii="Times New Roman" w:hAnsi="Times New Roman"/>
          <w:i/>
          <w:sz w:val="24"/>
        </w:rPr>
        <w:t>HAL = vidējais</w:t>
      </w:r>
      <w:r>
        <w:rPr>
          <w:rFonts w:ascii="Times New Roman" w:hAnsi="Times New Roman"/>
          <w:i/>
          <w:sz w:val="24"/>
          <w:vertAlign w:val="subscript"/>
        </w:rPr>
        <w:t>2014–2018</w:t>
      </w:r>
      <w:r>
        <w:rPr>
          <w:rFonts w:ascii="Times New Roman" w:hAnsi="Times New Roman"/>
          <w:i/>
          <w:sz w:val="24"/>
        </w:rPr>
        <w:t xml:space="preserve"> (ikgadējie darbības līmeņi)</w:t>
      </w:r>
    </w:p>
    <w:p w14:paraId="6F2485F9"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VAI</w:t>
      </w:r>
    </w:p>
    <w:p w14:paraId="6734A242" w14:textId="77777777" w:rsidR="00583F3E" w:rsidRPr="00583F3E" w:rsidRDefault="00583F3E" w:rsidP="001223B1">
      <w:pPr>
        <w:widowControl/>
        <w:ind w:firstLine="709"/>
        <w:jc w:val="both"/>
        <w:rPr>
          <w:rFonts w:ascii="Times New Roman" w:hAnsi="Times New Roman" w:cs="Times New Roman"/>
          <w:i/>
          <w:noProof/>
          <w:position w:val="6"/>
          <w:sz w:val="24"/>
        </w:rPr>
      </w:pPr>
      <w:r>
        <w:rPr>
          <w:rFonts w:ascii="Times New Roman" w:hAnsi="Times New Roman"/>
          <w:i/>
          <w:sz w:val="24"/>
        </w:rPr>
        <w:t>HAL = vidējais</w:t>
      </w:r>
      <w:r>
        <w:rPr>
          <w:rFonts w:ascii="Times New Roman" w:hAnsi="Times New Roman"/>
          <w:i/>
          <w:sz w:val="24"/>
          <w:vertAlign w:val="subscript"/>
        </w:rPr>
        <w:t>2019–2023</w:t>
      </w:r>
      <w:r>
        <w:rPr>
          <w:rFonts w:ascii="Times New Roman" w:hAnsi="Times New Roman"/>
          <w:i/>
          <w:sz w:val="24"/>
        </w:rPr>
        <w:t xml:space="preserve"> (ikgadējie darbības līmeņi).</w:t>
      </w:r>
    </w:p>
    <w:p w14:paraId="6941A11B" w14:textId="77777777" w:rsidR="00583F3E" w:rsidRPr="00583F3E" w:rsidRDefault="00583F3E" w:rsidP="00583F3E">
      <w:pPr>
        <w:widowControl/>
        <w:jc w:val="both"/>
        <w:rPr>
          <w:rFonts w:ascii="Times New Roman" w:eastAsia="Calibri" w:hAnsi="Times New Roman" w:cs="Times New Roman"/>
          <w:i/>
          <w:noProof/>
          <w:position w:val="6"/>
          <w:sz w:val="24"/>
          <w:szCs w:val="20"/>
        </w:rPr>
      </w:pPr>
    </w:p>
    <w:p w14:paraId="15CE6E90" w14:textId="77777777" w:rsidR="00583F3E" w:rsidRPr="00583F3E" w:rsidRDefault="00583F3E" w:rsidP="00583F3E">
      <w:pPr>
        <w:widowControl/>
        <w:jc w:val="both"/>
        <w:rPr>
          <w:rFonts w:ascii="Times New Roman" w:eastAsia="Calibri" w:hAnsi="Times New Roman" w:cs="Times New Roman"/>
          <w:i/>
          <w:noProof/>
          <w:position w:val="6"/>
          <w:sz w:val="24"/>
          <w:szCs w:val="23"/>
        </w:rPr>
      </w:pPr>
    </w:p>
    <w:p w14:paraId="2B74576A"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Jāņem vērā visi gadi bāzlīnijas periodā, kuros </w:t>
      </w:r>
      <w:r>
        <w:rPr>
          <w:rFonts w:ascii="Times New Roman" w:hAnsi="Times New Roman"/>
          <w:i/>
        </w:rPr>
        <w:t>iekārta</w:t>
      </w:r>
      <w:r>
        <w:rPr>
          <w:rFonts w:ascii="Times New Roman" w:hAnsi="Times New Roman"/>
        </w:rPr>
        <w:t xml:space="preserve"> bijusi ekspluatācijā vismaz 1 dienu (sk. </w:t>
      </w:r>
      <w:r>
        <w:rPr>
          <w:rFonts w:ascii="Times New Roman" w:hAnsi="Times New Roman"/>
          <w:i/>
        </w:rPr>
        <w:t>FAR</w:t>
      </w:r>
      <w:r>
        <w:rPr>
          <w:rFonts w:ascii="Times New Roman" w:hAnsi="Times New Roman"/>
        </w:rPr>
        <w:t xml:space="preserve"> 15. panta 7. punktu).</w:t>
      </w:r>
    </w:p>
    <w:p w14:paraId="294A53D4"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237EA916"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Tādējādi dažos gadījumos ir jāņem vērā gadi, kuros apakšiekārtas darbības līmeņi ir bijuši vienādi ar nulli, ja ekspluatācijā bijusi vismaz viena cita apakšiekārta. Tas jo īpaši attiecas uz iekārtām, kas vienā ražošanas līnijā ir ražojušas dažādus līmeņatzīmes produktus. Turpmākajos piemēros ir uzskatāmi parādīts, ka standarta metodoloģija ir izmantojama arī šādos gadījumos.</w:t>
      </w:r>
    </w:p>
    <w:p w14:paraId="4D2965E4"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4836BECF" w14:textId="77777777" w:rsidR="00583F3E" w:rsidRPr="00583F3E" w:rsidRDefault="00583F3E" w:rsidP="00583F3E">
      <w:pPr>
        <w:pStyle w:val="Heading3"/>
        <w:widowControl/>
        <w:ind w:left="0"/>
        <w:jc w:val="both"/>
        <w:rPr>
          <w:rFonts w:ascii="Times New Roman" w:hAnsi="Times New Roman" w:cs="Times New Roman"/>
          <w:noProof/>
          <w:position w:val="6"/>
        </w:rPr>
      </w:pPr>
      <w:bookmarkStart w:id="60" w:name="_Toc31207946"/>
      <w:r>
        <w:rPr>
          <w:rFonts w:ascii="Times New Roman" w:hAnsi="Times New Roman"/>
        </w:rPr>
        <w:t>1. piemērs</w:t>
      </w:r>
      <w:bookmarkEnd w:id="60"/>
    </w:p>
    <w:p w14:paraId="7742E303"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Stikla rūpnīcai ir stikla ražošanas līnija, kurā var ražot gan krāsaina, gan bezkrāsaina stikla pudeles. Uz diviem norādītajiem produktu veidiem attiecas divas atšķirīgas produktu līmeņatzīmes. Turpmāk norādītie darbības līmeņi tika izmantoti 2014.–2018. gadā.</w:t>
      </w:r>
    </w:p>
    <w:p w14:paraId="5C0BE5CC"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4F7B98C0" w14:textId="77777777" w:rsidR="00583F3E" w:rsidRPr="00583F3E" w:rsidRDefault="00583F3E" w:rsidP="00583F3E">
      <w:pPr>
        <w:widowControl/>
        <w:jc w:val="both"/>
        <w:rPr>
          <w:rFonts w:ascii="Times New Roman" w:hAnsi="Times New Roman" w:cs="Times New Roman"/>
          <w:b/>
          <w:noProof/>
          <w:position w:val="6"/>
          <w:sz w:val="24"/>
        </w:rPr>
      </w:pPr>
      <w:r>
        <w:rPr>
          <w:rFonts w:ascii="Times New Roman" w:hAnsi="Times New Roman"/>
          <w:b/>
          <w:sz w:val="24"/>
        </w:rPr>
        <w:t>4. tabula. Stikla ražošanas iekārtas vēsturiskie darbības līmeņi</w:t>
      </w:r>
    </w:p>
    <w:tbl>
      <w:tblPr>
        <w:tblStyle w:val="TableNormal1"/>
        <w:tblW w:w="5000" w:type="pct"/>
        <w:tblLook w:val="01E0" w:firstRow="1" w:lastRow="1" w:firstColumn="1" w:lastColumn="1" w:noHBand="0" w:noVBand="0"/>
      </w:tblPr>
      <w:tblGrid>
        <w:gridCol w:w="2913"/>
        <w:gridCol w:w="1234"/>
        <w:gridCol w:w="1234"/>
        <w:gridCol w:w="1235"/>
        <w:gridCol w:w="1234"/>
        <w:gridCol w:w="1234"/>
      </w:tblGrid>
      <w:tr w:rsidR="00583F3E" w:rsidRPr="00583F3E" w14:paraId="6BDBA089" w14:textId="77777777" w:rsidTr="001223B1">
        <w:tc>
          <w:tcPr>
            <w:tcW w:w="1604" w:type="pct"/>
            <w:tcBorders>
              <w:top w:val="single" w:sz="5" w:space="0" w:color="000000"/>
              <w:left w:val="single" w:sz="5" w:space="0" w:color="000000"/>
              <w:bottom w:val="single" w:sz="5" w:space="0" w:color="000000"/>
              <w:right w:val="single" w:sz="5" w:space="0" w:color="000000"/>
            </w:tcBorders>
          </w:tcPr>
          <w:p w14:paraId="539FEF31" w14:textId="77777777" w:rsidR="00583F3E" w:rsidRPr="00583F3E" w:rsidRDefault="00583F3E" w:rsidP="00583F3E">
            <w:pPr>
              <w:widowControl/>
              <w:jc w:val="both"/>
              <w:rPr>
                <w:rFonts w:ascii="Times New Roman" w:hAnsi="Times New Roman" w:cs="Times New Roman"/>
                <w:noProof/>
                <w:position w:val="6"/>
                <w:sz w:val="24"/>
              </w:rPr>
            </w:pPr>
          </w:p>
        </w:tc>
        <w:tc>
          <w:tcPr>
            <w:tcW w:w="679" w:type="pct"/>
            <w:tcBorders>
              <w:top w:val="single" w:sz="5" w:space="0" w:color="000000"/>
              <w:left w:val="single" w:sz="5" w:space="0" w:color="000000"/>
              <w:bottom w:val="single" w:sz="5" w:space="0" w:color="000000"/>
              <w:right w:val="single" w:sz="5" w:space="0" w:color="000000"/>
            </w:tcBorders>
          </w:tcPr>
          <w:p w14:paraId="39A804CA"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2014</w:t>
            </w:r>
          </w:p>
        </w:tc>
        <w:tc>
          <w:tcPr>
            <w:tcW w:w="679" w:type="pct"/>
            <w:tcBorders>
              <w:top w:val="single" w:sz="5" w:space="0" w:color="000000"/>
              <w:left w:val="single" w:sz="5" w:space="0" w:color="000000"/>
              <w:bottom w:val="single" w:sz="5" w:space="0" w:color="000000"/>
              <w:right w:val="single" w:sz="5" w:space="0" w:color="000000"/>
            </w:tcBorders>
          </w:tcPr>
          <w:p w14:paraId="7DCC98FD"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2015</w:t>
            </w:r>
          </w:p>
        </w:tc>
        <w:tc>
          <w:tcPr>
            <w:tcW w:w="680" w:type="pct"/>
            <w:tcBorders>
              <w:top w:val="single" w:sz="5" w:space="0" w:color="000000"/>
              <w:left w:val="single" w:sz="5" w:space="0" w:color="000000"/>
              <w:bottom w:val="single" w:sz="5" w:space="0" w:color="000000"/>
              <w:right w:val="single" w:sz="5" w:space="0" w:color="000000"/>
            </w:tcBorders>
          </w:tcPr>
          <w:p w14:paraId="2D16196C"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2016</w:t>
            </w:r>
          </w:p>
        </w:tc>
        <w:tc>
          <w:tcPr>
            <w:tcW w:w="679" w:type="pct"/>
            <w:tcBorders>
              <w:top w:val="single" w:sz="5" w:space="0" w:color="000000"/>
              <w:left w:val="single" w:sz="5" w:space="0" w:color="000000"/>
              <w:bottom w:val="single" w:sz="5" w:space="0" w:color="000000"/>
              <w:right w:val="single" w:sz="5" w:space="0" w:color="000000"/>
            </w:tcBorders>
          </w:tcPr>
          <w:p w14:paraId="43DA1349"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2017</w:t>
            </w:r>
          </w:p>
        </w:tc>
        <w:tc>
          <w:tcPr>
            <w:tcW w:w="680" w:type="pct"/>
            <w:tcBorders>
              <w:top w:val="single" w:sz="5" w:space="0" w:color="000000"/>
              <w:left w:val="single" w:sz="5" w:space="0" w:color="000000"/>
              <w:bottom w:val="single" w:sz="5" w:space="0" w:color="000000"/>
              <w:right w:val="single" w:sz="5" w:space="0" w:color="000000"/>
            </w:tcBorders>
          </w:tcPr>
          <w:p w14:paraId="2022A333"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2018</w:t>
            </w:r>
          </w:p>
        </w:tc>
      </w:tr>
      <w:tr w:rsidR="00583F3E" w:rsidRPr="00583F3E" w14:paraId="39E8477F" w14:textId="77777777" w:rsidTr="001223B1">
        <w:tc>
          <w:tcPr>
            <w:tcW w:w="1604" w:type="pct"/>
            <w:tcBorders>
              <w:top w:val="single" w:sz="5" w:space="0" w:color="000000"/>
              <w:left w:val="single" w:sz="5" w:space="0" w:color="000000"/>
              <w:bottom w:val="single" w:sz="5" w:space="0" w:color="000000"/>
              <w:right w:val="single" w:sz="5" w:space="0" w:color="000000"/>
            </w:tcBorders>
          </w:tcPr>
          <w:p w14:paraId="63AA8CC5"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Krāsaina stikla pudeles</w:t>
            </w:r>
          </w:p>
        </w:tc>
        <w:tc>
          <w:tcPr>
            <w:tcW w:w="679" w:type="pct"/>
            <w:tcBorders>
              <w:top w:val="single" w:sz="5" w:space="0" w:color="000000"/>
              <w:left w:val="single" w:sz="5" w:space="0" w:color="000000"/>
              <w:bottom w:val="single" w:sz="5" w:space="0" w:color="000000"/>
              <w:right w:val="single" w:sz="5" w:space="0" w:color="000000"/>
            </w:tcBorders>
          </w:tcPr>
          <w:p w14:paraId="20E75C14"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800</w:t>
            </w:r>
          </w:p>
        </w:tc>
        <w:tc>
          <w:tcPr>
            <w:tcW w:w="679" w:type="pct"/>
            <w:tcBorders>
              <w:top w:val="single" w:sz="5" w:space="0" w:color="000000"/>
              <w:left w:val="single" w:sz="5" w:space="0" w:color="000000"/>
              <w:bottom w:val="single" w:sz="5" w:space="0" w:color="000000"/>
              <w:right w:val="single" w:sz="5" w:space="0" w:color="000000"/>
            </w:tcBorders>
          </w:tcPr>
          <w:p w14:paraId="66C41E11"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800</w:t>
            </w:r>
          </w:p>
        </w:tc>
        <w:tc>
          <w:tcPr>
            <w:tcW w:w="680" w:type="pct"/>
            <w:tcBorders>
              <w:top w:val="single" w:sz="5" w:space="0" w:color="000000"/>
              <w:left w:val="single" w:sz="5" w:space="0" w:color="000000"/>
              <w:bottom w:val="single" w:sz="5" w:space="0" w:color="000000"/>
              <w:right w:val="single" w:sz="5" w:space="0" w:color="000000"/>
            </w:tcBorders>
          </w:tcPr>
          <w:p w14:paraId="0CC251DD"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p>
        </w:tc>
        <w:tc>
          <w:tcPr>
            <w:tcW w:w="679" w:type="pct"/>
            <w:tcBorders>
              <w:top w:val="single" w:sz="5" w:space="0" w:color="000000"/>
              <w:left w:val="single" w:sz="5" w:space="0" w:color="000000"/>
              <w:bottom w:val="single" w:sz="5" w:space="0" w:color="000000"/>
              <w:right w:val="single" w:sz="5" w:space="0" w:color="000000"/>
            </w:tcBorders>
          </w:tcPr>
          <w:p w14:paraId="15CB3D0A"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p>
        </w:tc>
        <w:tc>
          <w:tcPr>
            <w:tcW w:w="680" w:type="pct"/>
            <w:tcBorders>
              <w:top w:val="single" w:sz="5" w:space="0" w:color="000000"/>
              <w:left w:val="single" w:sz="5" w:space="0" w:color="000000"/>
              <w:bottom w:val="single" w:sz="5" w:space="0" w:color="000000"/>
              <w:right w:val="single" w:sz="5" w:space="0" w:color="000000"/>
            </w:tcBorders>
          </w:tcPr>
          <w:p w14:paraId="30F1737D"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800</w:t>
            </w:r>
          </w:p>
        </w:tc>
      </w:tr>
      <w:tr w:rsidR="00583F3E" w:rsidRPr="00583F3E" w14:paraId="530E36BD" w14:textId="77777777" w:rsidTr="001223B1">
        <w:tc>
          <w:tcPr>
            <w:tcW w:w="1604" w:type="pct"/>
            <w:tcBorders>
              <w:top w:val="single" w:sz="5" w:space="0" w:color="000000"/>
              <w:left w:val="single" w:sz="5" w:space="0" w:color="000000"/>
              <w:bottom w:val="single" w:sz="5" w:space="0" w:color="000000"/>
              <w:right w:val="single" w:sz="5" w:space="0" w:color="000000"/>
            </w:tcBorders>
          </w:tcPr>
          <w:p w14:paraId="1F0B98BF"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Bezkrāsaina stikla pudeles</w:t>
            </w:r>
          </w:p>
        </w:tc>
        <w:tc>
          <w:tcPr>
            <w:tcW w:w="679" w:type="pct"/>
            <w:tcBorders>
              <w:top w:val="single" w:sz="5" w:space="0" w:color="000000"/>
              <w:left w:val="single" w:sz="5" w:space="0" w:color="000000"/>
              <w:bottom w:val="single" w:sz="5" w:space="0" w:color="000000"/>
              <w:right w:val="single" w:sz="5" w:space="0" w:color="000000"/>
            </w:tcBorders>
          </w:tcPr>
          <w:p w14:paraId="1AEFA76A"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r w:rsidR="001223B1">
              <w:rPr>
                <w:rStyle w:val="FootnoteReference"/>
                <w:rFonts w:ascii="Times New Roman" w:hAnsi="Times New Roman" w:cs="Times New Roman"/>
                <w:noProof/>
                <w:position w:val="6"/>
                <w:sz w:val="24"/>
              </w:rPr>
              <w:footnoteReference w:id="30"/>
            </w:r>
          </w:p>
        </w:tc>
        <w:tc>
          <w:tcPr>
            <w:tcW w:w="679" w:type="pct"/>
            <w:tcBorders>
              <w:top w:val="single" w:sz="5" w:space="0" w:color="000000"/>
              <w:left w:val="single" w:sz="5" w:space="0" w:color="000000"/>
              <w:bottom w:val="single" w:sz="5" w:space="0" w:color="000000"/>
              <w:right w:val="single" w:sz="5" w:space="0" w:color="000000"/>
            </w:tcBorders>
          </w:tcPr>
          <w:p w14:paraId="76F640AE"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p>
        </w:tc>
        <w:tc>
          <w:tcPr>
            <w:tcW w:w="680" w:type="pct"/>
            <w:tcBorders>
              <w:top w:val="single" w:sz="5" w:space="0" w:color="000000"/>
              <w:left w:val="single" w:sz="5" w:space="0" w:color="000000"/>
              <w:bottom w:val="single" w:sz="5" w:space="0" w:color="000000"/>
              <w:right w:val="single" w:sz="5" w:space="0" w:color="000000"/>
            </w:tcBorders>
          </w:tcPr>
          <w:p w14:paraId="601C55BC"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800</w:t>
            </w:r>
          </w:p>
        </w:tc>
        <w:tc>
          <w:tcPr>
            <w:tcW w:w="679" w:type="pct"/>
            <w:tcBorders>
              <w:top w:val="single" w:sz="5" w:space="0" w:color="000000"/>
              <w:left w:val="single" w:sz="5" w:space="0" w:color="000000"/>
              <w:bottom w:val="single" w:sz="5" w:space="0" w:color="000000"/>
              <w:right w:val="single" w:sz="5" w:space="0" w:color="000000"/>
            </w:tcBorders>
          </w:tcPr>
          <w:p w14:paraId="3A11F752"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800</w:t>
            </w:r>
          </w:p>
        </w:tc>
        <w:tc>
          <w:tcPr>
            <w:tcW w:w="680" w:type="pct"/>
            <w:tcBorders>
              <w:top w:val="single" w:sz="5" w:space="0" w:color="000000"/>
              <w:left w:val="single" w:sz="5" w:space="0" w:color="000000"/>
              <w:bottom w:val="single" w:sz="5" w:space="0" w:color="000000"/>
              <w:right w:val="single" w:sz="5" w:space="0" w:color="000000"/>
            </w:tcBorders>
          </w:tcPr>
          <w:p w14:paraId="5E49DF73"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p>
        </w:tc>
      </w:tr>
    </w:tbl>
    <w:p w14:paraId="6356C314" w14:textId="77777777" w:rsidR="00583F3E" w:rsidRPr="00583F3E" w:rsidRDefault="00583F3E" w:rsidP="00583F3E">
      <w:pPr>
        <w:widowControl/>
        <w:jc w:val="both"/>
        <w:rPr>
          <w:rFonts w:ascii="Times New Roman" w:eastAsia="Calibri" w:hAnsi="Times New Roman" w:cs="Times New Roman"/>
          <w:b/>
          <w:bCs/>
          <w:noProof/>
          <w:position w:val="6"/>
          <w:sz w:val="24"/>
          <w:szCs w:val="19"/>
        </w:rPr>
      </w:pPr>
    </w:p>
    <w:p w14:paraId="1286CEFA"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Uz iekārtu attiecas divas produktu līmeņatzīmes, un tādēļ ir jāizmanto divas apakšiekārtas. Lai noteiktu </w:t>
      </w:r>
      <w:r>
        <w:rPr>
          <w:rFonts w:ascii="Times New Roman" w:hAnsi="Times New Roman"/>
          <w:i/>
        </w:rPr>
        <w:t>HAL</w:t>
      </w:r>
      <w:r>
        <w:rPr>
          <w:rFonts w:ascii="Times New Roman" w:hAnsi="Times New Roman"/>
        </w:rPr>
        <w:t xml:space="preserve">, katrai produkta līmeņatzīmei ir jāņem ikgadējā ražošanas apjoma aritmētiskais vidējais bāzlīnijas periodā, kurā </w:t>
      </w:r>
      <w:r>
        <w:rPr>
          <w:rFonts w:ascii="Times New Roman" w:hAnsi="Times New Roman"/>
          <w:b/>
        </w:rPr>
        <w:t>iekārta</w:t>
      </w:r>
      <w:r>
        <w:rPr>
          <w:rFonts w:ascii="Times New Roman" w:hAnsi="Times New Roman"/>
        </w:rPr>
        <w:t xml:space="preserve"> (t. i., jāaplūko visa iekārta, nevis katra atsevišķā apakšiekārta) ir bijusi ekspluatācijā vismaz vienu dienu, saskaņā ar 15. panta 7. punktu:</w:t>
      </w:r>
    </w:p>
    <w:p w14:paraId="58BF1832" w14:textId="77777777" w:rsidR="00583F3E" w:rsidRPr="00583F3E" w:rsidRDefault="00583F3E" w:rsidP="00583F3E">
      <w:pPr>
        <w:widowControl/>
        <w:jc w:val="both"/>
        <w:rPr>
          <w:rFonts w:ascii="Times New Roman" w:hAnsi="Times New Roman" w:cs="Times New Roman"/>
          <w:noProof/>
          <w:position w:val="6"/>
          <w:sz w:val="24"/>
        </w:rPr>
      </w:pPr>
    </w:p>
    <w:p w14:paraId="36102C07"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HAL</w:t>
      </w:r>
      <w:r>
        <w:rPr>
          <w:rFonts w:ascii="Times New Roman" w:hAnsi="Times New Roman"/>
          <w:i/>
          <w:sz w:val="24"/>
          <w:vertAlign w:val="subscript"/>
        </w:rPr>
        <w:t>krāsains stikls</w:t>
      </w:r>
      <w:r>
        <w:rPr>
          <w:rFonts w:ascii="Times New Roman" w:hAnsi="Times New Roman"/>
          <w:i/>
          <w:sz w:val="24"/>
        </w:rPr>
        <w:t xml:space="preserve"> = vidējais</w:t>
      </w:r>
      <w:r>
        <w:rPr>
          <w:rFonts w:ascii="Times New Roman" w:hAnsi="Times New Roman"/>
          <w:i/>
          <w:sz w:val="24"/>
          <w:vertAlign w:val="subscript"/>
        </w:rPr>
        <w:t>2014–2018</w:t>
      </w:r>
      <w:r>
        <w:rPr>
          <w:rFonts w:ascii="Times New Roman" w:hAnsi="Times New Roman"/>
          <w:i/>
          <w:sz w:val="24"/>
        </w:rPr>
        <w:t xml:space="preserve"> (800, 800, 0, 0, 800) = 480</w:t>
      </w:r>
    </w:p>
    <w:p w14:paraId="2575D7AB"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HAL</w:t>
      </w:r>
      <w:r>
        <w:rPr>
          <w:rFonts w:ascii="Times New Roman" w:hAnsi="Times New Roman"/>
          <w:i/>
          <w:sz w:val="24"/>
          <w:vertAlign w:val="subscript"/>
        </w:rPr>
        <w:t>bezkrāsains stiks</w:t>
      </w:r>
      <w:r>
        <w:rPr>
          <w:rFonts w:ascii="Times New Roman" w:hAnsi="Times New Roman"/>
          <w:i/>
          <w:sz w:val="24"/>
        </w:rPr>
        <w:t xml:space="preserve"> = vidējais</w:t>
      </w:r>
      <w:r>
        <w:rPr>
          <w:rFonts w:ascii="Times New Roman" w:hAnsi="Times New Roman"/>
          <w:i/>
          <w:sz w:val="24"/>
          <w:vertAlign w:val="subscript"/>
        </w:rPr>
        <w:t>2014––2018</w:t>
      </w:r>
      <w:r>
        <w:rPr>
          <w:rFonts w:ascii="Times New Roman" w:hAnsi="Times New Roman"/>
          <w:i/>
          <w:sz w:val="24"/>
        </w:rPr>
        <w:t xml:space="preserve"> (0, 0, 800, 800, 0) = 320</w:t>
      </w:r>
    </w:p>
    <w:p w14:paraId="34DF8DC5" w14:textId="77777777" w:rsidR="00583F3E" w:rsidRPr="00583F3E" w:rsidRDefault="00583F3E" w:rsidP="00583F3E">
      <w:pPr>
        <w:widowControl/>
        <w:jc w:val="both"/>
        <w:rPr>
          <w:rFonts w:ascii="Times New Roman" w:eastAsia="Calibri" w:hAnsi="Times New Roman" w:cs="Times New Roman"/>
          <w:noProof/>
          <w:position w:val="6"/>
          <w:sz w:val="24"/>
          <w:szCs w:val="14"/>
        </w:rPr>
      </w:pPr>
    </w:p>
    <w:p w14:paraId="7F4E7F73"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Visas iekārtas </w:t>
      </w:r>
      <w:r>
        <w:rPr>
          <w:rFonts w:ascii="Times New Roman" w:hAnsi="Times New Roman"/>
          <w:i/>
        </w:rPr>
        <w:t>HAL</w:t>
      </w:r>
      <w:r>
        <w:rPr>
          <w:rFonts w:ascii="Times New Roman" w:hAnsi="Times New Roman"/>
        </w:rPr>
        <w:t xml:space="preserve"> summa ir 800, un tā raksturo stikla rūpnīcas vēsturiskās darbības.</w:t>
      </w:r>
    </w:p>
    <w:p w14:paraId="017C6A86"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1D0F4104" w14:textId="77777777" w:rsidR="00583F3E" w:rsidRPr="00583F3E" w:rsidRDefault="00583F3E" w:rsidP="00AE641A">
      <w:pPr>
        <w:pStyle w:val="Heading3"/>
        <w:keepNext/>
        <w:widowControl/>
        <w:ind w:left="0"/>
        <w:jc w:val="both"/>
        <w:rPr>
          <w:rFonts w:ascii="Times New Roman" w:hAnsi="Times New Roman" w:cs="Times New Roman"/>
          <w:noProof/>
          <w:position w:val="6"/>
        </w:rPr>
      </w:pPr>
      <w:bookmarkStart w:id="61" w:name="_Toc31207947"/>
      <w:r>
        <w:rPr>
          <w:rFonts w:ascii="Times New Roman" w:hAnsi="Times New Roman"/>
        </w:rPr>
        <w:lastRenderedPageBreak/>
        <w:t>2. piemērs</w:t>
      </w:r>
      <w:bookmarkEnd w:id="61"/>
    </w:p>
    <w:p w14:paraId="6D3E01FB" w14:textId="77777777" w:rsidR="00583F3E" w:rsidRPr="00583F3E" w:rsidRDefault="00583F3E" w:rsidP="00AE641A">
      <w:pPr>
        <w:pStyle w:val="BodyText"/>
        <w:keepNext/>
        <w:widowControl/>
        <w:ind w:left="0"/>
        <w:jc w:val="both"/>
        <w:rPr>
          <w:rFonts w:ascii="Times New Roman" w:hAnsi="Times New Roman" w:cs="Times New Roman"/>
          <w:noProof/>
          <w:position w:val="6"/>
        </w:rPr>
      </w:pPr>
      <w:r>
        <w:rPr>
          <w:rFonts w:ascii="Times New Roman" w:hAnsi="Times New Roman"/>
        </w:rPr>
        <w:t>Papīrfabrikā ir papīra ražošanas līnija, kurā var ražot 3 veidu papīru: avīžpapīru, nekrītotu augstākās šķirnes papīru un augstākās šķirnes krītpapīru. Uz šiem trim norādītajiem produktu veidiem attiecas trīs atšķirīgas produktu līmeņatzīmes. Turpmāk norādītie darbības līmeņi tika izmantoti 2014.–2018. gadā.</w:t>
      </w:r>
    </w:p>
    <w:p w14:paraId="7EDEE31E"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47BBF1E8" w14:textId="77777777" w:rsidR="00583F3E" w:rsidRPr="00583F3E" w:rsidRDefault="00583F3E" w:rsidP="00583F3E">
      <w:pPr>
        <w:widowControl/>
        <w:jc w:val="both"/>
        <w:rPr>
          <w:rFonts w:ascii="Times New Roman" w:hAnsi="Times New Roman" w:cs="Times New Roman"/>
          <w:b/>
          <w:noProof/>
          <w:position w:val="6"/>
          <w:sz w:val="24"/>
        </w:rPr>
      </w:pPr>
      <w:r>
        <w:rPr>
          <w:rFonts w:ascii="Times New Roman" w:hAnsi="Times New Roman"/>
          <w:b/>
          <w:sz w:val="24"/>
        </w:rPr>
        <w:t>5. tabula. Papīra ražošanas iekārtas vēsturiskie darbības līmeņi</w:t>
      </w:r>
    </w:p>
    <w:tbl>
      <w:tblPr>
        <w:tblStyle w:val="TableNormal1"/>
        <w:tblW w:w="5000" w:type="pct"/>
        <w:tblLook w:val="01E0" w:firstRow="1" w:lastRow="1" w:firstColumn="1" w:lastColumn="1" w:noHBand="0" w:noVBand="0"/>
      </w:tblPr>
      <w:tblGrid>
        <w:gridCol w:w="2598"/>
        <w:gridCol w:w="1297"/>
        <w:gridCol w:w="1299"/>
        <w:gridCol w:w="1297"/>
        <w:gridCol w:w="1299"/>
        <w:gridCol w:w="1294"/>
      </w:tblGrid>
      <w:tr w:rsidR="00583F3E" w:rsidRPr="00583F3E" w14:paraId="0740A035" w14:textId="77777777" w:rsidTr="001223B1">
        <w:tc>
          <w:tcPr>
            <w:tcW w:w="1430" w:type="pct"/>
            <w:tcBorders>
              <w:top w:val="single" w:sz="5" w:space="0" w:color="000000"/>
              <w:left w:val="single" w:sz="5" w:space="0" w:color="000000"/>
              <w:bottom w:val="single" w:sz="5" w:space="0" w:color="000000"/>
              <w:right w:val="single" w:sz="5" w:space="0" w:color="000000"/>
            </w:tcBorders>
          </w:tcPr>
          <w:p w14:paraId="103C1C70" w14:textId="77777777" w:rsidR="00583F3E" w:rsidRPr="00583F3E" w:rsidRDefault="00583F3E" w:rsidP="00583F3E">
            <w:pPr>
              <w:widowControl/>
              <w:jc w:val="both"/>
              <w:rPr>
                <w:rFonts w:ascii="Times New Roman" w:hAnsi="Times New Roman" w:cs="Times New Roman"/>
                <w:noProof/>
                <w:position w:val="6"/>
                <w:sz w:val="24"/>
              </w:rPr>
            </w:pPr>
          </w:p>
        </w:tc>
        <w:tc>
          <w:tcPr>
            <w:tcW w:w="714" w:type="pct"/>
            <w:tcBorders>
              <w:top w:val="single" w:sz="5" w:space="0" w:color="000000"/>
              <w:left w:val="single" w:sz="5" w:space="0" w:color="000000"/>
              <w:bottom w:val="single" w:sz="5" w:space="0" w:color="000000"/>
              <w:right w:val="single" w:sz="5" w:space="0" w:color="000000"/>
            </w:tcBorders>
          </w:tcPr>
          <w:p w14:paraId="6D1BAF47"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2014</w:t>
            </w:r>
          </w:p>
        </w:tc>
        <w:tc>
          <w:tcPr>
            <w:tcW w:w="715" w:type="pct"/>
            <w:tcBorders>
              <w:top w:val="single" w:sz="5" w:space="0" w:color="000000"/>
              <w:left w:val="single" w:sz="5" w:space="0" w:color="000000"/>
              <w:bottom w:val="single" w:sz="5" w:space="0" w:color="000000"/>
              <w:right w:val="single" w:sz="5" w:space="0" w:color="000000"/>
            </w:tcBorders>
          </w:tcPr>
          <w:p w14:paraId="5A2038A4"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2015</w:t>
            </w:r>
          </w:p>
        </w:tc>
        <w:tc>
          <w:tcPr>
            <w:tcW w:w="714" w:type="pct"/>
            <w:tcBorders>
              <w:top w:val="single" w:sz="5" w:space="0" w:color="000000"/>
              <w:left w:val="single" w:sz="5" w:space="0" w:color="000000"/>
              <w:bottom w:val="single" w:sz="5" w:space="0" w:color="000000"/>
              <w:right w:val="single" w:sz="5" w:space="0" w:color="000000"/>
            </w:tcBorders>
          </w:tcPr>
          <w:p w14:paraId="2129E38A"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2016</w:t>
            </w:r>
          </w:p>
        </w:tc>
        <w:tc>
          <w:tcPr>
            <w:tcW w:w="715" w:type="pct"/>
            <w:tcBorders>
              <w:top w:val="single" w:sz="5" w:space="0" w:color="000000"/>
              <w:left w:val="single" w:sz="5" w:space="0" w:color="000000"/>
              <w:bottom w:val="single" w:sz="5" w:space="0" w:color="000000"/>
              <w:right w:val="single" w:sz="5" w:space="0" w:color="000000"/>
            </w:tcBorders>
          </w:tcPr>
          <w:p w14:paraId="5F0AF78D"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2017</w:t>
            </w:r>
          </w:p>
        </w:tc>
        <w:tc>
          <w:tcPr>
            <w:tcW w:w="714" w:type="pct"/>
            <w:tcBorders>
              <w:top w:val="single" w:sz="5" w:space="0" w:color="000000"/>
              <w:left w:val="single" w:sz="5" w:space="0" w:color="000000"/>
              <w:bottom w:val="single" w:sz="5" w:space="0" w:color="000000"/>
              <w:right w:val="single" w:sz="5" w:space="0" w:color="000000"/>
            </w:tcBorders>
          </w:tcPr>
          <w:p w14:paraId="42C7D4EF" w14:textId="77777777" w:rsidR="00583F3E" w:rsidRPr="00583F3E" w:rsidRDefault="00583F3E" w:rsidP="00583F3E">
            <w:pPr>
              <w:pStyle w:val="TableParagraph"/>
              <w:widowControl/>
              <w:jc w:val="both"/>
              <w:rPr>
                <w:rFonts w:ascii="Times New Roman" w:hAnsi="Times New Roman" w:cs="Times New Roman"/>
                <w:b/>
                <w:noProof/>
                <w:position w:val="6"/>
                <w:sz w:val="24"/>
              </w:rPr>
            </w:pPr>
            <w:r>
              <w:rPr>
                <w:rFonts w:ascii="Times New Roman" w:hAnsi="Times New Roman"/>
                <w:b/>
                <w:sz w:val="24"/>
              </w:rPr>
              <w:t>2018</w:t>
            </w:r>
          </w:p>
        </w:tc>
      </w:tr>
      <w:tr w:rsidR="00583F3E" w:rsidRPr="00583F3E" w14:paraId="3CE06CF9" w14:textId="77777777" w:rsidTr="001223B1">
        <w:tc>
          <w:tcPr>
            <w:tcW w:w="1430" w:type="pct"/>
            <w:tcBorders>
              <w:top w:val="single" w:sz="5" w:space="0" w:color="000000"/>
              <w:left w:val="single" w:sz="5" w:space="0" w:color="000000"/>
              <w:bottom w:val="single" w:sz="5" w:space="0" w:color="000000"/>
              <w:right w:val="single" w:sz="5" w:space="0" w:color="000000"/>
            </w:tcBorders>
          </w:tcPr>
          <w:p w14:paraId="554EBA63"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Avīžpapīrs</w:t>
            </w:r>
          </w:p>
        </w:tc>
        <w:tc>
          <w:tcPr>
            <w:tcW w:w="714" w:type="pct"/>
            <w:tcBorders>
              <w:top w:val="single" w:sz="5" w:space="0" w:color="000000"/>
              <w:left w:val="single" w:sz="5" w:space="0" w:color="000000"/>
              <w:bottom w:val="single" w:sz="5" w:space="0" w:color="000000"/>
              <w:right w:val="single" w:sz="5" w:space="0" w:color="000000"/>
            </w:tcBorders>
          </w:tcPr>
          <w:p w14:paraId="48515D74"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800</w:t>
            </w:r>
          </w:p>
        </w:tc>
        <w:tc>
          <w:tcPr>
            <w:tcW w:w="715" w:type="pct"/>
            <w:tcBorders>
              <w:top w:val="single" w:sz="5" w:space="0" w:color="000000"/>
              <w:left w:val="single" w:sz="5" w:space="0" w:color="000000"/>
              <w:bottom w:val="single" w:sz="5" w:space="0" w:color="000000"/>
              <w:right w:val="single" w:sz="5" w:space="0" w:color="000000"/>
            </w:tcBorders>
          </w:tcPr>
          <w:p w14:paraId="747AFDC9"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p>
        </w:tc>
        <w:tc>
          <w:tcPr>
            <w:tcW w:w="714" w:type="pct"/>
            <w:tcBorders>
              <w:top w:val="single" w:sz="5" w:space="0" w:color="000000"/>
              <w:left w:val="single" w:sz="5" w:space="0" w:color="000000"/>
              <w:bottom w:val="single" w:sz="5" w:space="0" w:color="000000"/>
              <w:right w:val="single" w:sz="5" w:space="0" w:color="000000"/>
            </w:tcBorders>
          </w:tcPr>
          <w:p w14:paraId="2D66EF46"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500</w:t>
            </w:r>
          </w:p>
        </w:tc>
        <w:tc>
          <w:tcPr>
            <w:tcW w:w="715" w:type="pct"/>
            <w:tcBorders>
              <w:top w:val="single" w:sz="5" w:space="0" w:color="000000"/>
              <w:left w:val="single" w:sz="5" w:space="0" w:color="000000"/>
              <w:bottom w:val="single" w:sz="5" w:space="0" w:color="000000"/>
              <w:right w:val="single" w:sz="5" w:space="0" w:color="000000"/>
            </w:tcBorders>
          </w:tcPr>
          <w:p w14:paraId="60F60F98"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700</w:t>
            </w:r>
          </w:p>
        </w:tc>
        <w:tc>
          <w:tcPr>
            <w:tcW w:w="714" w:type="pct"/>
            <w:tcBorders>
              <w:top w:val="single" w:sz="5" w:space="0" w:color="000000"/>
              <w:left w:val="single" w:sz="5" w:space="0" w:color="000000"/>
              <w:bottom w:val="single" w:sz="5" w:space="0" w:color="000000"/>
              <w:right w:val="single" w:sz="5" w:space="0" w:color="000000"/>
            </w:tcBorders>
          </w:tcPr>
          <w:p w14:paraId="5AC118C7"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p>
        </w:tc>
      </w:tr>
      <w:tr w:rsidR="00583F3E" w:rsidRPr="00583F3E" w14:paraId="285A814A" w14:textId="77777777" w:rsidTr="001223B1">
        <w:tc>
          <w:tcPr>
            <w:tcW w:w="1430" w:type="pct"/>
            <w:tcBorders>
              <w:top w:val="single" w:sz="5" w:space="0" w:color="000000"/>
              <w:left w:val="single" w:sz="5" w:space="0" w:color="000000"/>
              <w:bottom w:val="single" w:sz="5" w:space="0" w:color="000000"/>
              <w:right w:val="single" w:sz="5" w:space="0" w:color="000000"/>
            </w:tcBorders>
          </w:tcPr>
          <w:p w14:paraId="08C16EC4"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Nekrītots augstākās šķirnes papīrs</w:t>
            </w:r>
          </w:p>
        </w:tc>
        <w:tc>
          <w:tcPr>
            <w:tcW w:w="714" w:type="pct"/>
            <w:tcBorders>
              <w:top w:val="single" w:sz="5" w:space="0" w:color="000000"/>
              <w:left w:val="single" w:sz="5" w:space="0" w:color="000000"/>
              <w:bottom w:val="single" w:sz="5" w:space="0" w:color="000000"/>
              <w:right w:val="single" w:sz="5" w:space="0" w:color="000000"/>
            </w:tcBorders>
          </w:tcPr>
          <w:p w14:paraId="7FC314AA"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200</w:t>
            </w:r>
          </w:p>
        </w:tc>
        <w:tc>
          <w:tcPr>
            <w:tcW w:w="715" w:type="pct"/>
            <w:tcBorders>
              <w:top w:val="single" w:sz="5" w:space="0" w:color="000000"/>
              <w:left w:val="single" w:sz="5" w:space="0" w:color="000000"/>
              <w:bottom w:val="single" w:sz="5" w:space="0" w:color="000000"/>
              <w:right w:val="single" w:sz="5" w:space="0" w:color="000000"/>
            </w:tcBorders>
          </w:tcPr>
          <w:p w14:paraId="79FCB830"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600</w:t>
            </w:r>
          </w:p>
        </w:tc>
        <w:tc>
          <w:tcPr>
            <w:tcW w:w="714" w:type="pct"/>
            <w:tcBorders>
              <w:top w:val="single" w:sz="5" w:space="0" w:color="000000"/>
              <w:left w:val="single" w:sz="5" w:space="0" w:color="000000"/>
              <w:bottom w:val="single" w:sz="5" w:space="0" w:color="000000"/>
              <w:right w:val="single" w:sz="5" w:space="0" w:color="000000"/>
            </w:tcBorders>
          </w:tcPr>
          <w:p w14:paraId="6F330225"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p>
        </w:tc>
        <w:tc>
          <w:tcPr>
            <w:tcW w:w="715" w:type="pct"/>
            <w:tcBorders>
              <w:top w:val="single" w:sz="5" w:space="0" w:color="000000"/>
              <w:left w:val="single" w:sz="5" w:space="0" w:color="000000"/>
              <w:bottom w:val="single" w:sz="5" w:space="0" w:color="000000"/>
              <w:right w:val="single" w:sz="5" w:space="0" w:color="000000"/>
            </w:tcBorders>
          </w:tcPr>
          <w:p w14:paraId="12E63743"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300</w:t>
            </w:r>
          </w:p>
        </w:tc>
        <w:tc>
          <w:tcPr>
            <w:tcW w:w="714" w:type="pct"/>
            <w:tcBorders>
              <w:top w:val="single" w:sz="5" w:space="0" w:color="000000"/>
              <w:left w:val="single" w:sz="5" w:space="0" w:color="000000"/>
              <w:bottom w:val="single" w:sz="5" w:space="0" w:color="000000"/>
              <w:right w:val="single" w:sz="5" w:space="0" w:color="000000"/>
            </w:tcBorders>
          </w:tcPr>
          <w:p w14:paraId="24E2B585"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500</w:t>
            </w:r>
          </w:p>
        </w:tc>
      </w:tr>
      <w:tr w:rsidR="00583F3E" w:rsidRPr="00583F3E" w14:paraId="28CFAC8B" w14:textId="77777777" w:rsidTr="001223B1">
        <w:tc>
          <w:tcPr>
            <w:tcW w:w="1430" w:type="pct"/>
            <w:tcBorders>
              <w:top w:val="single" w:sz="5" w:space="0" w:color="000000"/>
              <w:left w:val="single" w:sz="5" w:space="0" w:color="000000"/>
              <w:bottom w:val="single" w:sz="5" w:space="0" w:color="000000"/>
              <w:right w:val="single" w:sz="5" w:space="0" w:color="000000"/>
            </w:tcBorders>
          </w:tcPr>
          <w:p w14:paraId="331EC2C9"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Augstākās šķirnes krītpapīrs</w:t>
            </w:r>
          </w:p>
        </w:tc>
        <w:tc>
          <w:tcPr>
            <w:tcW w:w="714" w:type="pct"/>
            <w:tcBorders>
              <w:top w:val="single" w:sz="5" w:space="0" w:color="000000"/>
              <w:left w:val="single" w:sz="5" w:space="0" w:color="000000"/>
              <w:bottom w:val="single" w:sz="5" w:space="0" w:color="000000"/>
              <w:right w:val="single" w:sz="5" w:space="0" w:color="000000"/>
            </w:tcBorders>
          </w:tcPr>
          <w:p w14:paraId="3E2356C3"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r w:rsidR="001223B1">
              <w:rPr>
                <w:rStyle w:val="FootnoteReference"/>
                <w:rFonts w:ascii="Times New Roman" w:hAnsi="Times New Roman" w:cs="Times New Roman"/>
                <w:noProof/>
                <w:position w:val="6"/>
                <w:sz w:val="24"/>
              </w:rPr>
              <w:footnoteReference w:id="31"/>
            </w:r>
          </w:p>
        </w:tc>
        <w:tc>
          <w:tcPr>
            <w:tcW w:w="715" w:type="pct"/>
            <w:tcBorders>
              <w:top w:val="single" w:sz="5" w:space="0" w:color="000000"/>
              <w:left w:val="single" w:sz="5" w:space="0" w:color="000000"/>
              <w:bottom w:val="single" w:sz="5" w:space="0" w:color="000000"/>
              <w:right w:val="single" w:sz="5" w:space="0" w:color="000000"/>
            </w:tcBorders>
          </w:tcPr>
          <w:p w14:paraId="6CC44417"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400</w:t>
            </w:r>
          </w:p>
        </w:tc>
        <w:tc>
          <w:tcPr>
            <w:tcW w:w="714" w:type="pct"/>
            <w:tcBorders>
              <w:top w:val="single" w:sz="5" w:space="0" w:color="000000"/>
              <w:left w:val="single" w:sz="5" w:space="0" w:color="000000"/>
              <w:bottom w:val="single" w:sz="5" w:space="0" w:color="000000"/>
              <w:right w:val="single" w:sz="5" w:space="0" w:color="000000"/>
            </w:tcBorders>
          </w:tcPr>
          <w:p w14:paraId="40750A9C"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500</w:t>
            </w:r>
          </w:p>
        </w:tc>
        <w:tc>
          <w:tcPr>
            <w:tcW w:w="715" w:type="pct"/>
            <w:tcBorders>
              <w:top w:val="single" w:sz="5" w:space="0" w:color="000000"/>
              <w:left w:val="single" w:sz="5" w:space="0" w:color="000000"/>
              <w:bottom w:val="single" w:sz="5" w:space="0" w:color="000000"/>
              <w:right w:val="single" w:sz="5" w:space="0" w:color="000000"/>
            </w:tcBorders>
          </w:tcPr>
          <w:p w14:paraId="6524DE02"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0</w:t>
            </w:r>
          </w:p>
        </w:tc>
        <w:tc>
          <w:tcPr>
            <w:tcW w:w="714" w:type="pct"/>
            <w:tcBorders>
              <w:top w:val="single" w:sz="5" w:space="0" w:color="000000"/>
              <w:left w:val="single" w:sz="5" w:space="0" w:color="000000"/>
              <w:bottom w:val="single" w:sz="5" w:space="0" w:color="000000"/>
              <w:right w:val="single" w:sz="5" w:space="0" w:color="000000"/>
            </w:tcBorders>
          </w:tcPr>
          <w:p w14:paraId="5265DCAD" w14:textId="77777777" w:rsidR="00583F3E" w:rsidRPr="00583F3E" w:rsidRDefault="00583F3E" w:rsidP="00583F3E">
            <w:pPr>
              <w:pStyle w:val="TableParagraph"/>
              <w:widowControl/>
              <w:jc w:val="both"/>
              <w:rPr>
                <w:rFonts w:ascii="Times New Roman" w:hAnsi="Times New Roman" w:cs="Times New Roman"/>
                <w:noProof/>
                <w:position w:val="6"/>
                <w:sz w:val="24"/>
              </w:rPr>
            </w:pPr>
            <w:r>
              <w:rPr>
                <w:rFonts w:ascii="Times New Roman" w:hAnsi="Times New Roman"/>
                <w:sz w:val="24"/>
              </w:rPr>
              <w:t>500</w:t>
            </w:r>
          </w:p>
        </w:tc>
      </w:tr>
    </w:tbl>
    <w:p w14:paraId="421B2637" w14:textId="77777777" w:rsidR="00583F3E" w:rsidRPr="00583F3E" w:rsidRDefault="00583F3E" w:rsidP="00583F3E">
      <w:pPr>
        <w:widowControl/>
        <w:jc w:val="both"/>
        <w:rPr>
          <w:rFonts w:ascii="Times New Roman" w:eastAsia="Calibri" w:hAnsi="Times New Roman" w:cs="Times New Roman"/>
          <w:b/>
          <w:bCs/>
          <w:noProof/>
          <w:position w:val="6"/>
          <w:sz w:val="24"/>
          <w:szCs w:val="19"/>
        </w:rPr>
      </w:pPr>
    </w:p>
    <w:p w14:paraId="2695DE07"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Uz iekārtu attiecas trīs produktu līmeņatzīmes, un tādēļ ir jāizmanto trīs apakšiekārtas. Lai noteiktu </w:t>
      </w:r>
      <w:r>
        <w:rPr>
          <w:rFonts w:ascii="Times New Roman" w:hAnsi="Times New Roman"/>
          <w:i/>
        </w:rPr>
        <w:t>HAL</w:t>
      </w:r>
      <w:r>
        <w:rPr>
          <w:rFonts w:ascii="Times New Roman" w:hAnsi="Times New Roman"/>
        </w:rPr>
        <w:t xml:space="preserve">, katrai produkta līmeņatzīmei ir jāņem ikgadējā ražošanas apjoma aritmētiskais vidējais bāzlīnijas periodā, kurā </w:t>
      </w:r>
      <w:r>
        <w:rPr>
          <w:rFonts w:ascii="Times New Roman" w:hAnsi="Times New Roman"/>
          <w:b/>
        </w:rPr>
        <w:t>iekārta</w:t>
      </w:r>
      <w:r>
        <w:rPr>
          <w:rFonts w:ascii="Times New Roman" w:hAnsi="Times New Roman"/>
        </w:rPr>
        <w:t xml:space="preserve"> (t. i., jāaplūko visa iekārta, nevis katra atsevišķā apakšiekārta) ir bijusi ekspluatācijā vismaz vienu dienu, saskaņā ar 15. panta 7. punktu:</w:t>
      </w:r>
    </w:p>
    <w:p w14:paraId="5E738869" w14:textId="77777777" w:rsidR="00583F3E" w:rsidRPr="00583F3E" w:rsidRDefault="00583F3E" w:rsidP="00583F3E">
      <w:pPr>
        <w:widowControl/>
        <w:jc w:val="both"/>
        <w:rPr>
          <w:rFonts w:ascii="Times New Roman" w:hAnsi="Times New Roman" w:cs="Times New Roman"/>
          <w:noProof/>
          <w:position w:val="6"/>
          <w:sz w:val="24"/>
        </w:rPr>
      </w:pPr>
    </w:p>
    <w:p w14:paraId="11450421"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HAL</w:t>
      </w:r>
      <w:r>
        <w:rPr>
          <w:rFonts w:ascii="Times New Roman" w:hAnsi="Times New Roman"/>
          <w:i/>
          <w:sz w:val="24"/>
          <w:vertAlign w:val="subscript"/>
        </w:rPr>
        <w:t>avīžpapīrs</w:t>
      </w:r>
      <w:r>
        <w:rPr>
          <w:rFonts w:ascii="Times New Roman" w:hAnsi="Times New Roman"/>
          <w:i/>
          <w:sz w:val="24"/>
        </w:rPr>
        <w:t xml:space="preserve"> = vidējais</w:t>
      </w:r>
      <w:r>
        <w:rPr>
          <w:rFonts w:ascii="Times New Roman" w:hAnsi="Times New Roman"/>
          <w:i/>
          <w:sz w:val="24"/>
          <w:vertAlign w:val="subscript"/>
        </w:rPr>
        <w:t>2014–2018</w:t>
      </w:r>
      <w:r>
        <w:rPr>
          <w:rFonts w:ascii="Times New Roman" w:hAnsi="Times New Roman"/>
          <w:i/>
          <w:sz w:val="24"/>
        </w:rPr>
        <w:t xml:space="preserve"> (800, 0, 500, 700, 0) = 400</w:t>
      </w:r>
    </w:p>
    <w:p w14:paraId="1FBC339E"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HAL</w:t>
      </w:r>
      <w:r>
        <w:rPr>
          <w:rFonts w:ascii="Times New Roman" w:hAnsi="Times New Roman"/>
          <w:i/>
          <w:sz w:val="24"/>
          <w:vertAlign w:val="subscript"/>
        </w:rPr>
        <w:t>nekrītots augstākās šķirnes papīrs</w:t>
      </w:r>
      <w:r>
        <w:rPr>
          <w:rFonts w:ascii="Times New Roman" w:hAnsi="Times New Roman"/>
          <w:i/>
          <w:sz w:val="24"/>
        </w:rPr>
        <w:t xml:space="preserve"> = vidējais</w:t>
      </w:r>
      <w:r>
        <w:rPr>
          <w:rFonts w:ascii="Times New Roman" w:hAnsi="Times New Roman"/>
          <w:i/>
          <w:sz w:val="24"/>
          <w:vertAlign w:val="subscript"/>
        </w:rPr>
        <w:t>2014–2018</w:t>
      </w:r>
      <w:r>
        <w:rPr>
          <w:rFonts w:ascii="Times New Roman" w:hAnsi="Times New Roman"/>
          <w:i/>
          <w:sz w:val="24"/>
        </w:rPr>
        <w:t xml:space="preserve"> (200, 600, 0, 300, 500) = 320</w:t>
      </w:r>
    </w:p>
    <w:p w14:paraId="1214EEC5"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i/>
          <w:sz w:val="24"/>
        </w:rPr>
        <w:t>HAL</w:t>
      </w:r>
      <w:r>
        <w:rPr>
          <w:rFonts w:ascii="Times New Roman" w:hAnsi="Times New Roman"/>
          <w:i/>
          <w:sz w:val="24"/>
          <w:vertAlign w:val="subscript"/>
        </w:rPr>
        <w:t>augstākās šķirnes krītpapīrs</w:t>
      </w:r>
      <w:r>
        <w:rPr>
          <w:rFonts w:ascii="Times New Roman" w:hAnsi="Times New Roman"/>
          <w:i/>
          <w:sz w:val="24"/>
        </w:rPr>
        <w:t xml:space="preserve"> = vidējais</w:t>
      </w:r>
      <w:r>
        <w:rPr>
          <w:rFonts w:ascii="Times New Roman" w:hAnsi="Times New Roman"/>
          <w:i/>
          <w:sz w:val="24"/>
          <w:vertAlign w:val="subscript"/>
        </w:rPr>
        <w:t>2014–2018</w:t>
      </w:r>
      <w:r>
        <w:rPr>
          <w:rFonts w:ascii="Times New Roman" w:hAnsi="Times New Roman"/>
          <w:i/>
          <w:sz w:val="24"/>
        </w:rPr>
        <w:t xml:space="preserve"> (0, 400, 500, 0, 500) = 280</w:t>
      </w:r>
    </w:p>
    <w:p w14:paraId="4818C226" w14:textId="77777777" w:rsidR="00583F3E" w:rsidRPr="00583F3E" w:rsidRDefault="00583F3E" w:rsidP="00583F3E">
      <w:pPr>
        <w:widowControl/>
        <w:jc w:val="both"/>
        <w:rPr>
          <w:rFonts w:ascii="Times New Roman" w:eastAsia="Calibri" w:hAnsi="Times New Roman" w:cs="Times New Roman"/>
          <w:i/>
          <w:noProof/>
          <w:position w:val="6"/>
          <w:sz w:val="24"/>
          <w:szCs w:val="24"/>
        </w:rPr>
      </w:pPr>
    </w:p>
    <w:p w14:paraId="78DD09B0"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i/>
        </w:rPr>
        <w:t>HAL</w:t>
      </w:r>
      <w:r>
        <w:rPr>
          <w:rFonts w:ascii="Times New Roman" w:hAnsi="Times New Roman"/>
        </w:rPr>
        <w:t xml:space="preserve"> summa visai iekārtai ir 1000. Tāpat kā pirmajā piemērā, rezultāti ļoti labi raksturo ražošanas apjomus.</w:t>
      </w:r>
    </w:p>
    <w:p w14:paraId="52C995A1"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1A7E2286" w14:textId="77777777" w:rsidR="00583F3E" w:rsidRPr="00583F3E" w:rsidRDefault="00583F3E" w:rsidP="00583F3E">
      <w:pPr>
        <w:widowControl/>
        <w:jc w:val="both"/>
        <w:rPr>
          <w:rFonts w:ascii="Times New Roman" w:eastAsia="Calibri" w:hAnsi="Times New Roman" w:cs="Times New Roman"/>
          <w:noProof/>
          <w:position w:val="6"/>
          <w:sz w:val="24"/>
          <w:szCs w:val="19"/>
        </w:rPr>
      </w:pPr>
    </w:p>
    <w:p w14:paraId="73FF2AC5" w14:textId="77777777" w:rsidR="00583F3E" w:rsidRPr="00583F3E" w:rsidRDefault="001223B1" w:rsidP="001223B1">
      <w:pPr>
        <w:pStyle w:val="Heading2"/>
        <w:widowControl/>
        <w:tabs>
          <w:tab w:val="left" w:pos="694"/>
        </w:tabs>
        <w:ind w:left="0" w:firstLine="0"/>
        <w:jc w:val="both"/>
        <w:rPr>
          <w:rFonts w:ascii="Times New Roman" w:hAnsi="Times New Roman" w:cs="Times New Roman"/>
          <w:noProof/>
          <w:position w:val="6"/>
          <w:sz w:val="24"/>
        </w:rPr>
      </w:pPr>
      <w:bookmarkStart w:id="62" w:name="_Toc31207948"/>
      <w:r>
        <w:rPr>
          <w:rFonts w:ascii="Times New Roman" w:hAnsi="Times New Roman"/>
          <w:sz w:val="24"/>
        </w:rPr>
        <w:t>6.2. Vēsturiskā darbības līmeņa noteikšana, ja (apakš-)iekārta nav bijusi ekspluatācijā visu bāzlīnijas periodu</w:t>
      </w:r>
      <w:bookmarkStart w:id="63" w:name="_bookmark31"/>
      <w:bookmarkEnd w:id="63"/>
      <w:bookmarkEnd w:id="62"/>
    </w:p>
    <w:p w14:paraId="1F18BB55" w14:textId="77777777" w:rsidR="001223B1" w:rsidRDefault="001223B1" w:rsidP="00583F3E">
      <w:pPr>
        <w:pStyle w:val="BodyText"/>
        <w:widowControl/>
        <w:ind w:left="0"/>
        <w:jc w:val="both"/>
        <w:rPr>
          <w:rFonts w:ascii="Times New Roman" w:hAnsi="Times New Roman" w:cs="Times New Roman"/>
          <w:noProof/>
          <w:position w:val="6"/>
        </w:rPr>
      </w:pPr>
    </w:p>
    <w:p w14:paraId="12D777C9"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Ja nav pieejami dati par </w:t>
      </w:r>
      <w:r>
        <w:rPr>
          <w:rFonts w:ascii="Times New Roman" w:hAnsi="Times New Roman"/>
          <w:i/>
        </w:rPr>
        <w:t>HAL</w:t>
      </w:r>
      <w:r>
        <w:rPr>
          <w:rFonts w:ascii="Times New Roman" w:hAnsi="Times New Roman"/>
        </w:rPr>
        <w:t xml:space="preserve"> visam bāzlīnijas periodam, piemēro īpašus noteikumus. Šajā ziņā </w:t>
      </w:r>
      <w:r>
        <w:rPr>
          <w:rFonts w:ascii="Times New Roman" w:hAnsi="Times New Roman"/>
          <w:i/>
        </w:rPr>
        <w:t>FAR</w:t>
      </w:r>
      <w:r>
        <w:rPr>
          <w:rFonts w:ascii="Times New Roman" w:hAnsi="Times New Roman"/>
        </w:rPr>
        <w:t xml:space="preserve"> tiek izšķirtas divas situācijas:</w:t>
      </w:r>
    </w:p>
    <w:p w14:paraId="6F1B0D91" w14:textId="77777777" w:rsidR="00583F3E" w:rsidRPr="00583F3E" w:rsidRDefault="001223B1" w:rsidP="001223B1">
      <w:pPr>
        <w:pStyle w:val="BodyText"/>
        <w:widowControl/>
        <w:tabs>
          <w:tab w:val="left" w:pos="47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apakšiekārta bijusi ekspluatācijā mazāk nekā divus kalendāros gadus;</w:t>
      </w:r>
    </w:p>
    <w:p w14:paraId="7BE472AD" w14:textId="77777777" w:rsidR="00583F3E" w:rsidRPr="00583F3E" w:rsidRDefault="001223B1" w:rsidP="001223B1">
      <w:pPr>
        <w:pStyle w:val="BodyText"/>
        <w:widowControl/>
        <w:tabs>
          <w:tab w:val="left" w:pos="47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kopš normālas ekspluatācijas sākuma apakšiekārta vēl nav bijusi ekspluatācijā pilnu kalendāro gadu.</w:t>
      </w:r>
    </w:p>
    <w:p w14:paraId="0610528F"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3B3BE73B" w14:textId="77777777" w:rsidR="00583F3E" w:rsidRPr="001223B1" w:rsidRDefault="00583F3E" w:rsidP="001223B1">
      <w:pPr>
        <w:widowControl/>
        <w:jc w:val="both"/>
        <w:rPr>
          <w:rFonts w:ascii="Times New Roman" w:eastAsia="Calibri" w:hAnsi="Times New Roman" w:cs="Times New Roman"/>
          <w:noProof/>
          <w:position w:val="6"/>
          <w:sz w:val="24"/>
          <w:szCs w:val="24"/>
        </w:rPr>
      </w:pPr>
      <w:r>
        <w:rPr>
          <w:rFonts w:ascii="Times New Roman" w:hAnsi="Times New Roman"/>
          <w:sz w:val="24"/>
          <w:szCs w:val="24"/>
        </w:rPr>
        <w:t xml:space="preserve">Ja apakšiekārta attiecīgajā bāzlīnijas periodā bijusi </w:t>
      </w:r>
      <w:r>
        <w:rPr>
          <w:rFonts w:ascii="Times New Roman" w:hAnsi="Times New Roman"/>
          <w:b/>
          <w:sz w:val="24"/>
          <w:szCs w:val="24"/>
        </w:rPr>
        <w:t>ekspluatācijā mazāk nekā divus kalendāros gadus</w:t>
      </w:r>
      <w:r>
        <w:rPr>
          <w:rFonts w:ascii="Times New Roman" w:hAnsi="Times New Roman"/>
          <w:sz w:val="24"/>
          <w:szCs w:val="24"/>
        </w:rPr>
        <w:t xml:space="preserve">, noteiktais vēsturiskais darbības līmenis ir darbības līmenis pirmajā kalendārajā ekspluatācijas gadā pēc šīs apakšiekārtas normālas ekspluatācijas sākuma. Šī pieeja ir derīga visām iekārtas apakšiekārtām, kuru normāla ekspluatācija pirmoreiz sākta attiecīgi pēc 2017. gada 1. janvāra vai 2022. gada 1. janvāra. Ja apakšiekārta bāzlīnijas periodā pēc normālas ekspluatācijas sākuma vēl nav </w:t>
      </w:r>
      <w:r>
        <w:rPr>
          <w:rFonts w:ascii="Times New Roman" w:hAnsi="Times New Roman"/>
          <w:b/>
          <w:sz w:val="24"/>
          <w:szCs w:val="24"/>
        </w:rPr>
        <w:t>bijusi ekspluatācijā pilnu kalendāro gadu</w:t>
      </w:r>
      <w:r>
        <w:rPr>
          <w:rFonts w:ascii="Times New Roman" w:hAnsi="Times New Roman"/>
          <w:sz w:val="24"/>
          <w:szCs w:val="24"/>
        </w:rPr>
        <w:t>, vēsturisko darbības līmeni nosaka, kad tiek iesniegts darbības līmeņa ziņojums pēc pirmā pilnā kalendārā ekspluatācijas gada</w:t>
      </w:r>
      <w:r w:rsidR="001223B1">
        <w:rPr>
          <w:rStyle w:val="FootnoteReference"/>
          <w:rFonts w:ascii="Times New Roman" w:hAnsi="Times New Roman" w:cs="Times New Roman"/>
          <w:noProof/>
          <w:position w:val="6"/>
          <w:sz w:val="24"/>
          <w:szCs w:val="24"/>
        </w:rPr>
        <w:footnoteReference w:id="32"/>
      </w:r>
      <w:r>
        <w:rPr>
          <w:rFonts w:ascii="Times New Roman" w:hAnsi="Times New Roman"/>
          <w:sz w:val="24"/>
          <w:szCs w:val="24"/>
        </w:rPr>
        <w:t>.</w:t>
      </w:r>
    </w:p>
    <w:p w14:paraId="04228D84"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3C9BB494" w14:textId="77777777" w:rsidR="00583F3E" w:rsidRPr="00583F3E" w:rsidRDefault="00583F3E" w:rsidP="00583F3E">
      <w:pPr>
        <w:widowControl/>
        <w:jc w:val="both"/>
        <w:rPr>
          <w:rFonts w:ascii="Times New Roman" w:hAnsi="Times New Roman" w:cs="Times New Roman"/>
          <w:i/>
          <w:noProof/>
          <w:position w:val="6"/>
          <w:sz w:val="24"/>
        </w:rPr>
      </w:pPr>
      <w:r>
        <w:rPr>
          <w:rFonts w:ascii="Times New Roman" w:hAnsi="Times New Roman"/>
          <w:sz w:val="24"/>
        </w:rPr>
        <w:t xml:space="preserve">Nekāda īpaša pieeja nav nepieciešama, lai ņemtu vērā iespējamo (apakš-)iekārtas ekspluatācijas izbeigšanu vai ražošanas iespējamās izmaiņas bāzlīnijas periodā. Jebkādas šāda veida izmaiņas automātiski reglamentēs noteikumi par darbības līmeņu izmaiņām. </w:t>
      </w:r>
      <w:r>
        <w:rPr>
          <w:rFonts w:ascii="Times New Roman" w:hAnsi="Times New Roman"/>
          <w:i/>
          <w:sz w:val="24"/>
        </w:rPr>
        <w:t>Papildu norādījumus par iepriekš minēto sk. Norādījumu dokumentā Nr. 7 par jaunām iekārtam un slēgtām iekārtām.</w:t>
      </w:r>
    </w:p>
    <w:p w14:paraId="3C6B7160" w14:textId="77777777" w:rsidR="00583F3E" w:rsidRPr="00583F3E" w:rsidRDefault="00583F3E" w:rsidP="00583F3E">
      <w:pPr>
        <w:widowControl/>
        <w:jc w:val="both"/>
        <w:rPr>
          <w:rFonts w:ascii="Times New Roman" w:hAnsi="Times New Roman" w:cs="Times New Roman"/>
          <w:i/>
          <w:noProof/>
          <w:position w:val="6"/>
          <w:sz w:val="24"/>
        </w:rPr>
      </w:pPr>
    </w:p>
    <w:p w14:paraId="00E94107"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4. periodā “normālas ekspluatācijas sākums” ir definēts kā pirmā ekspluatācijas diena (</w:t>
      </w:r>
      <w:r>
        <w:rPr>
          <w:rFonts w:ascii="Times New Roman" w:hAnsi="Times New Roman"/>
          <w:i/>
        </w:rPr>
        <w:t>FAR</w:t>
      </w:r>
      <w:r>
        <w:rPr>
          <w:rFonts w:ascii="Times New Roman" w:hAnsi="Times New Roman"/>
        </w:rPr>
        <w:t xml:space="preserve"> 2. panta 12. punkts)</w:t>
      </w:r>
      <w:r w:rsidR="001223B1">
        <w:rPr>
          <w:rStyle w:val="FootnoteReference"/>
          <w:rFonts w:ascii="Times New Roman" w:hAnsi="Times New Roman" w:cs="Times New Roman"/>
          <w:noProof/>
          <w:position w:val="6"/>
        </w:rPr>
        <w:footnoteReference w:id="33"/>
      </w:r>
      <w:r>
        <w:rPr>
          <w:rFonts w:ascii="Times New Roman" w:hAnsi="Times New Roman"/>
        </w:rPr>
        <w:t>. “Pirmā ekspluatācijas diena” ir definēta kā pirmā diena, kad darbības līmenis ir lielāks par 0.</w:t>
      </w:r>
    </w:p>
    <w:p w14:paraId="0F705228" w14:textId="77777777" w:rsidR="00583F3E" w:rsidRPr="00583F3E" w:rsidRDefault="00583F3E" w:rsidP="00583F3E">
      <w:pPr>
        <w:widowControl/>
        <w:jc w:val="both"/>
        <w:rPr>
          <w:rFonts w:ascii="Times New Roman" w:hAnsi="Times New Roman" w:cs="Times New Roman"/>
          <w:noProof/>
          <w:position w:val="6"/>
          <w:sz w:val="24"/>
        </w:rPr>
      </w:pPr>
    </w:p>
    <w:p w14:paraId="630C8D3D" w14:textId="77777777" w:rsidR="00E24359"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Turpmākajā teksta lodziņā sniegti vairāki piemēri tam, kā, nosakot </w:t>
      </w:r>
      <w:r>
        <w:rPr>
          <w:rFonts w:ascii="Times New Roman" w:hAnsi="Times New Roman"/>
          <w:i/>
        </w:rPr>
        <w:t>HAL</w:t>
      </w:r>
      <w:r>
        <w:rPr>
          <w:rFonts w:ascii="Times New Roman" w:hAnsi="Times New Roman"/>
        </w:rPr>
        <w:t>, ņemt vērā apakšiekārtu ekspluatāciju bāzlīnijas periodā.</w:t>
      </w:r>
    </w:p>
    <w:p w14:paraId="73935827" w14:textId="77777777" w:rsidR="00E24359" w:rsidRDefault="00E24359" w:rsidP="00583F3E">
      <w:pPr>
        <w:pStyle w:val="BodyText"/>
        <w:widowControl/>
        <w:ind w:left="0"/>
        <w:jc w:val="both"/>
        <w:rPr>
          <w:rFonts w:ascii="Times New Roman" w:hAnsi="Times New Roman" w:cs="Times New Roman"/>
          <w:noProof/>
          <w:position w:val="6"/>
        </w:rPr>
      </w:pPr>
    </w:p>
    <w:p w14:paraId="76A9C368" w14:textId="77777777" w:rsidR="00E24359" w:rsidRDefault="00E24359">
      <w:pPr>
        <w:rPr>
          <w:rFonts w:ascii="Times New Roman" w:eastAsia="Calibri" w:hAnsi="Times New Roman" w:cs="Times New Roman"/>
          <w:noProof/>
          <w:position w:val="6"/>
          <w:sz w:val="24"/>
          <w:szCs w:val="24"/>
        </w:rPr>
      </w:pPr>
      <w:r>
        <w:br w:type="page"/>
      </w:r>
    </w:p>
    <w:tbl>
      <w:tblPr>
        <w:tblStyle w:val="TableGrid"/>
        <w:tblW w:w="0" w:type="auto"/>
        <w:tblLook w:val="04A0" w:firstRow="1" w:lastRow="0" w:firstColumn="1" w:lastColumn="0" w:noHBand="0" w:noVBand="1"/>
      </w:tblPr>
      <w:tblGrid>
        <w:gridCol w:w="9288"/>
      </w:tblGrid>
      <w:tr w:rsidR="00746418" w14:paraId="77EEF99E" w14:textId="77777777" w:rsidTr="00746418">
        <w:tc>
          <w:tcPr>
            <w:tcW w:w="9288" w:type="dxa"/>
          </w:tcPr>
          <w:p w14:paraId="69BA54B4" w14:textId="77777777" w:rsidR="00746418" w:rsidRDefault="00746418" w:rsidP="00746418">
            <w:pPr>
              <w:pStyle w:val="TableParagraph"/>
              <w:widowControl/>
              <w:jc w:val="both"/>
              <w:rPr>
                <w:rFonts w:ascii="Times New Roman" w:hAnsi="Times New Roman" w:cs="Times New Roman"/>
                <w:b/>
                <w:noProof/>
                <w:position w:val="6"/>
                <w:sz w:val="24"/>
              </w:rPr>
            </w:pPr>
            <w:r>
              <w:rPr>
                <w:rFonts w:ascii="Times New Roman" w:hAnsi="Times New Roman"/>
                <w:b/>
                <w:sz w:val="24"/>
              </w:rPr>
              <w:lastRenderedPageBreak/>
              <w:t xml:space="preserve">Teksta lodziņš. </w:t>
            </w:r>
            <w:r>
              <w:rPr>
                <w:rFonts w:ascii="Times New Roman" w:hAnsi="Times New Roman"/>
                <w:b/>
                <w:i/>
                <w:sz w:val="24"/>
              </w:rPr>
              <w:t>HAL</w:t>
            </w:r>
            <w:r>
              <w:rPr>
                <w:rFonts w:ascii="Times New Roman" w:hAnsi="Times New Roman"/>
                <w:b/>
                <w:sz w:val="24"/>
              </w:rPr>
              <w:t xml:space="preserve"> aprēķina piemēri gadījumiem, kad apakšiekārta nav bijusi ekspluatācijā visu bāzlīnijas periodu</w:t>
            </w:r>
          </w:p>
          <w:p w14:paraId="2C507B32" w14:textId="77777777" w:rsidR="00746418" w:rsidRPr="00583F3E" w:rsidRDefault="00746418" w:rsidP="00746418">
            <w:pPr>
              <w:pStyle w:val="TableParagraph"/>
              <w:widowControl/>
              <w:jc w:val="both"/>
              <w:rPr>
                <w:rFonts w:ascii="Times New Roman" w:eastAsia="Calibri" w:hAnsi="Times New Roman" w:cs="Times New Roman"/>
                <w:noProof/>
                <w:position w:val="6"/>
                <w:sz w:val="24"/>
                <w:szCs w:val="24"/>
              </w:rPr>
            </w:pPr>
            <w:r>
              <w:rPr>
                <w:rFonts w:ascii="Times New Roman" w:hAnsi="Times New Roman"/>
                <w:sz w:val="24"/>
              </w:rPr>
              <w:t xml:space="preserve">Turpmākajā piemērā parādīts, kā dažādas apakšiekārtas ir jāņem vērā, nosakot </w:t>
            </w:r>
            <w:r>
              <w:rPr>
                <w:rFonts w:ascii="Times New Roman" w:hAnsi="Times New Roman"/>
                <w:i/>
                <w:sz w:val="24"/>
              </w:rPr>
              <w:t>HAL</w:t>
            </w:r>
            <w:r>
              <w:rPr>
                <w:rFonts w:ascii="Times New Roman" w:hAnsi="Times New Roman"/>
                <w:sz w:val="24"/>
              </w:rPr>
              <w:t>, atkarībā no gada, kad tiek uzsākta to ekspluatācija, un tā, kā tās tiek ekspluatētas nākamajos gados bāzlīnijas periodā.</w:t>
            </w:r>
          </w:p>
          <w:p w14:paraId="26930608" w14:textId="77777777" w:rsidR="00746418" w:rsidRDefault="00746418" w:rsidP="00746418">
            <w:pPr>
              <w:pStyle w:val="BodyText"/>
              <w:widowControl/>
              <w:ind w:left="0"/>
              <w:jc w:val="both"/>
              <w:rPr>
                <w:rFonts w:ascii="Times New Roman" w:hAnsi="Times New Roman" w:cs="Times New Roman"/>
                <w:noProof/>
                <w:position w:val="6"/>
              </w:rPr>
            </w:pPr>
            <w:r>
              <w:rPr>
                <w:rFonts w:ascii="Times New Roman" w:hAnsi="Times New Roman"/>
              </w:rPr>
              <w:t>Šajā piemērā aprakstītas vairākas apakšiekārtas, norādot gadus, kuros tās bijušas ekspluatācijā bāzlīnijas periodā. Tiek pieņemts, ka apakšiekārtu Nr. 2, Nr. 4 un Nr. 5 normālas ekspluatācijas sākums ir bāzlīnijas periodā, t. i., tās nekad iepriekš nav bijušas ekspluatācijā. Tad sniegti vairāki tādu iekārtu piemēri, kas sastāv no vienas vai vairākām uzskaitītajām apakšiekārtām.</w:t>
            </w:r>
          </w:p>
          <w:p w14:paraId="715B24B7" w14:textId="77777777" w:rsidR="00746418" w:rsidRDefault="00746418" w:rsidP="00746418">
            <w:pPr>
              <w:pStyle w:val="BodyText"/>
              <w:widowControl/>
              <w:ind w:left="0"/>
              <w:jc w:val="both"/>
              <w:rPr>
                <w:rFonts w:ascii="Times New Roman" w:hAnsi="Times New Roman" w:cs="Times New Roman"/>
                <w:noProof/>
                <w:position w:val="6"/>
              </w:rPr>
            </w:pPr>
          </w:p>
          <w:p w14:paraId="509C6914" w14:textId="1B058A17" w:rsidR="00746418" w:rsidRDefault="004B5374" w:rsidP="003D48ED">
            <w:pPr>
              <w:pStyle w:val="BodyText"/>
              <w:widowControl/>
              <w:ind w:left="0"/>
              <w:jc w:val="center"/>
              <w:rPr>
                <w:rFonts w:ascii="Times New Roman" w:hAnsi="Times New Roman" w:cs="Times New Roman"/>
                <w:noProof/>
                <w:position w:val="6"/>
              </w:rPr>
            </w:pPr>
            <w:r>
              <w:object w:dxaOrig="12975" w:dyaOrig="5220" w14:anchorId="1AC19B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182.35pt" o:ole="">
                  <v:imagedata r:id="rId20" o:title=""/>
                </v:shape>
                <o:OLEObject Type="Embed" ProgID="PBrush" ShapeID="_x0000_i1025" DrawAspect="Content" ObjectID="_1651042548" r:id="rId21"/>
              </w:object>
            </w:r>
          </w:p>
          <w:p w14:paraId="1556C557" w14:textId="77777777" w:rsidR="003D48ED" w:rsidRDefault="003D48ED" w:rsidP="00746418">
            <w:pPr>
              <w:pStyle w:val="BodyText"/>
              <w:widowControl/>
              <w:ind w:left="0"/>
              <w:jc w:val="both"/>
              <w:rPr>
                <w:rFonts w:ascii="Times New Roman" w:hAnsi="Times New Roman" w:cs="Times New Roman"/>
                <w:noProof/>
                <w:position w:val="6"/>
              </w:rPr>
            </w:pPr>
          </w:p>
          <w:tbl>
            <w:tblPr>
              <w:tblStyle w:val="TableGrid"/>
              <w:tblW w:w="0" w:type="auto"/>
              <w:tblLook w:val="04A0" w:firstRow="1" w:lastRow="0" w:firstColumn="1" w:lastColumn="0" w:noHBand="0" w:noVBand="1"/>
            </w:tblPr>
            <w:tblGrid>
              <w:gridCol w:w="772"/>
              <w:gridCol w:w="1769"/>
              <w:gridCol w:w="616"/>
              <w:gridCol w:w="666"/>
              <w:gridCol w:w="708"/>
              <w:gridCol w:w="709"/>
              <w:gridCol w:w="709"/>
              <w:gridCol w:w="1559"/>
              <w:gridCol w:w="1554"/>
            </w:tblGrid>
            <w:tr w:rsidR="003D48ED" w14:paraId="3FB3AAAE" w14:textId="77777777" w:rsidTr="00A645BA">
              <w:tc>
                <w:tcPr>
                  <w:tcW w:w="772" w:type="dxa"/>
                  <w:vMerge w:val="restart"/>
                </w:tcPr>
                <w:p w14:paraId="3CDD477D"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Iekārta</w:t>
                  </w:r>
                </w:p>
              </w:tc>
              <w:tc>
                <w:tcPr>
                  <w:tcW w:w="1769" w:type="dxa"/>
                  <w:vMerge w:val="restart"/>
                </w:tcPr>
                <w:p w14:paraId="100C58AF"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Sastāv no</w:t>
                  </w:r>
                </w:p>
              </w:tc>
              <w:tc>
                <w:tcPr>
                  <w:tcW w:w="3408" w:type="dxa"/>
                  <w:gridSpan w:val="5"/>
                </w:tcPr>
                <w:p w14:paraId="44B2F5FC"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 xml:space="preserve">Gadi, kas jāņem vērā attiecībā uz </w:t>
                  </w:r>
                  <w:r w:rsidRPr="00A645BA">
                    <w:rPr>
                      <w:rFonts w:ascii="Times New Roman" w:hAnsi="Times New Roman"/>
                      <w:i/>
                      <w:sz w:val="20"/>
                      <w:szCs w:val="20"/>
                    </w:rPr>
                    <w:t>HAL</w:t>
                  </w:r>
                  <w:r w:rsidRPr="00A645BA">
                    <w:rPr>
                      <w:rFonts w:ascii="Times New Roman" w:hAnsi="Times New Roman"/>
                      <w:sz w:val="20"/>
                      <w:szCs w:val="20"/>
                    </w:rPr>
                    <w:t xml:space="preserve"> katrai apakšiekārtai</w:t>
                  </w:r>
                </w:p>
              </w:tc>
              <w:tc>
                <w:tcPr>
                  <w:tcW w:w="1559" w:type="dxa"/>
                  <w:vMerge w:val="restart"/>
                </w:tcPr>
                <w:p w14:paraId="2093982B"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Apakšiekārta bijusi ekspluatācijā &lt; 2 kalendāros gadus?</w:t>
                  </w:r>
                </w:p>
              </w:tc>
              <w:tc>
                <w:tcPr>
                  <w:tcW w:w="1554" w:type="dxa"/>
                  <w:vMerge w:val="restart"/>
                </w:tcPr>
                <w:p w14:paraId="5941785F"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 xml:space="preserve">Ja jā, gads, kas attiecas uz </w:t>
                  </w:r>
                  <w:r w:rsidRPr="00A645BA">
                    <w:rPr>
                      <w:rFonts w:ascii="Times New Roman" w:hAnsi="Times New Roman"/>
                      <w:i/>
                      <w:sz w:val="20"/>
                      <w:szCs w:val="20"/>
                    </w:rPr>
                    <w:t>HAL</w:t>
                  </w:r>
                </w:p>
              </w:tc>
            </w:tr>
            <w:tr w:rsidR="003D48ED" w14:paraId="66713286" w14:textId="77777777" w:rsidTr="00A645BA">
              <w:tc>
                <w:tcPr>
                  <w:tcW w:w="772" w:type="dxa"/>
                  <w:vMerge/>
                </w:tcPr>
                <w:p w14:paraId="6AA7AAB4"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1769" w:type="dxa"/>
                  <w:vMerge/>
                </w:tcPr>
                <w:p w14:paraId="3D4C9EE5"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616" w:type="dxa"/>
                </w:tcPr>
                <w:p w14:paraId="3F78996C"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2014</w:t>
                  </w:r>
                </w:p>
              </w:tc>
              <w:tc>
                <w:tcPr>
                  <w:tcW w:w="666" w:type="dxa"/>
                </w:tcPr>
                <w:p w14:paraId="10A2A319"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2015</w:t>
                  </w:r>
                </w:p>
              </w:tc>
              <w:tc>
                <w:tcPr>
                  <w:tcW w:w="708" w:type="dxa"/>
                </w:tcPr>
                <w:p w14:paraId="4A57A7E9"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2016</w:t>
                  </w:r>
                </w:p>
              </w:tc>
              <w:tc>
                <w:tcPr>
                  <w:tcW w:w="709" w:type="dxa"/>
                </w:tcPr>
                <w:p w14:paraId="1FD16778"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2017</w:t>
                  </w:r>
                </w:p>
              </w:tc>
              <w:tc>
                <w:tcPr>
                  <w:tcW w:w="709" w:type="dxa"/>
                </w:tcPr>
                <w:p w14:paraId="3F7B278F"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2018</w:t>
                  </w:r>
                </w:p>
              </w:tc>
              <w:tc>
                <w:tcPr>
                  <w:tcW w:w="1559" w:type="dxa"/>
                  <w:vMerge/>
                </w:tcPr>
                <w:p w14:paraId="72A95EEE"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1554" w:type="dxa"/>
                  <w:vMerge/>
                </w:tcPr>
                <w:p w14:paraId="66ABC353"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r>
            <w:tr w:rsidR="003D48ED" w14:paraId="411D2853" w14:textId="77777777" w:rsidTr="00A645BA">
              <w:tc>
                <w:tcPr>
                  <w:tcW w:w="772" w:type="dxa"/>
                </w:tcPr>
                <w:p w14:paraId="1FAC23AF"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w:t>
                  </w:r>
                </w:p>
              </w:tc>
              <w:tc>
                <w:tcPr>
                  <w:tcW w:w="1769" w:type="dxa"/>
                </w:tcPr>
                <w:p w14:paraId="29E1C4B8"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1</w:t>
                  </w:r>
                </w:p>
              </w:tc>
              <w:tc>
                <w:tcPr>
                  <w:tcW w:w="616" w:type="dxa"/>
                </w:tcPr>
                <w:p w14:paraId="5544A002"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666" w:type="dxa"/>
                </w:tcPr>
                <w:p w14:paraId="44BB4C69"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8" w:type="dxa"/>
                </w:tcPr>
                <w:p w14:paraId="606F3042"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249B4532"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73BA543F"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1559" w:type="dxa"/>
                </w:tcPr>
                <w:p w14:paraId="4E3EE0DC"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tc>
              <w:tc>
                <w:tcPr>
                  <w:tcW w:w="1554" w:type="dxa"/>
                </w:tcPr>
                <w:p w14:paraId="5D452805"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tc>
            </w:tr>
            <w:tr w:rsidR="003D48ED" w14:paraId="6D22994A" w14:textId="77777777" w:rsidTr="00A645BA">
              <w:tc>
                <w:tcPr>
                  <w:tcW w:w="772" w:type="dxa"/>
                </w:tcPr>
                <w:p w14:paraId="16A0D032"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B</w:t>
                  </w:r>
                </w:p>
              </w:tc>
              <w:tc>
                <w:tcPr>
                  <w:tcW w:w="1769" w:type="dxa"/>
                </w:tcPr>
                <w:p w14:paraId="325FD20D"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2</w:t>
                  </w:r>
                </w:p>
              </w:tc>
              <w:tc>
                <w:tcPr>
                  <w:tcW w:w="616" w:type="dxa"/>
                </w:tcPr>
                <w:p w14:paraId="210A05EE"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666" w:type="dxa"/>
                </w:tcPr>
                <w:p w14:paraId="189240B3"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8" w:type="dxa"/>
                </w:tcPr>
                <w:p w14:paraId="3DC8C036"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59829F66"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0329E659"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1559" w:type="dxa"/>
                </w:tcPr>
                <w:p w14:paraId="79769316"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tc>
              <w:tc>
                <w:tcPr>
                  <w:tcW w:w="1554" w:type="dxa"/>
                </w:tcPr>
                <w:p w14:paraId="54F59A05"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tc>
            </w:tr>
            <w:tr w:rsidR="003D48ED" w14:paraId="4CA051DC" w14:textId="77777777" w:rsidTr="00A645BA">
              <w:tc>
                <w:tcPr>
                  <w:tcW w:w="772" w:type="dxa"/>
                </w:tcPr>
                <w:p w14:paraId="635FA62A"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C</w:t>
                  </w:r>
                </w:p>
              </w:tc>
              <w:tc>
                <w:tcPr>
                  <w:tcW w:w="1769" w:type="dxa"/>
                </w:tcPr>
                <w:p w14:paraId="677683E1"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3</w:t>
                  </w:r>
                </w:p>
              </w:tc>
              <w:tc>
                <w:tcPr>
                  <w:tcW w:w="616" w:type="dxa"/>
                </w:tcPr>
                <w:p w14:paraId="48AE3AC9"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666" w:type="dxa"/>
                </w:tcPr>
                <w:p w14:paraId="5F120802"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8" w:type="dxa"/>
                </w:tcPr>
                <w:p w14:paraId="51CA3082"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709" w:type="dxa"/>
                </w:tcPr>
                <w:p w14:paraId="54B3C7C3"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10036A32"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1559" w:type="dxa"/>
                </w:tcPr>
                <w:p w14:paraId="6E0DB848"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tc>
              <w:tc>
                <w:tcPr>
                  <w:tcW w:w="1554" w:type="dxa"/>
                </w:tcPr>
                <w:p w14:paraId="1F63A43C"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tc>
            </w:tr>
            <w:tr w:rsidR="003D48ED" w14:paraId="51638F94" w14:textId="77777777" w:rsidTr="00A645BA">
              <w:tc>
                <w:tcPr>
                  <w:tcW w:w="772" w:type="dxa"/>
                </w:tcPr>
                <w:p w14:paraId="3D714A60"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D</w:t>
                  </w:r>
                </w:p>
              </w:tc>
              <w:tc>
                <w:tcPr>
                  <w:tcW w:w="1769" w:type="dxa"/>
                </w:tcPr>
                <w:p w14:paraId="3E3F1C77"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4</w:t>
                  </w:r>
                </w:p>
              </w:tc>
              <w:tc>
                <w:tcPr>
                  <w:tcW w:w="616" w:type="dxa"/>
                </w:tcPr>
                <w:p w14:paraId="1633E809"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666" w:type="dxa"/>
                </w:tcPr>
                <w:p w14:paraId="60595CD6"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708" w:type="dxa"/>
                </w:tcPr>
                <w:p w14:paraId="5F4B6717"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709" w:type="dxa"/>
                </w:tcPr>
                <w:p w14:paraId="6ABEC607"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33BFF13B"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1559" w:type="dxa"/>
                </w:tcPr>
                <w:p w14:paraId="6596337B"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Jā</w:t>
                  </w:r>
                </w:p>
              </w:tc>
              <w:tc>
                <w:tcPr>
                  <w:tcW w:w="1554" w:type="dxa"/>
                </w:tcPr>
                <w:p w14:paraId="4E41E7B9"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2018</w:t>
                  </w:r>
                </w:p>
              </w:tc>
            </w:tr>
            <w:tr w:rsidR="003D48ED" w14:paraId="3A366A1F" w14:textId="77777777" w:rsidTr="00A645BA">
              <w:tc>
                <w:tcPr>
                  <w:tcW w:w="772" w:type="dxa"/>
                </w:tcPr>
                <w:p w14:paraId="738805C4"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E</w:t>
                  </w:r>
                </w:p>
              </w:tc>
              <w:tc>
                <w:tcPr>
                  <w:tcW w:w="1769" w:type="dxa"/>
                </w:tcPr>
                <w:p w14:paraId="44522AB6"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5</w:t>
                  </w:r>
                </w:p>
              </w:tc>
              <w:tc>
                <w:tcPr>
                  <w:tcW w:w="616" w:type="dxa"/>
                </w:tcPr>
                <w:p w14:paraId="1F3D615C"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666" w:type="dxa"/>
                </w:tcPr>
                <w:p w14:paraId="10CCC6B7"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708" w:type="dxa"/>
                </w:tcPr>
                <w:p w14:paraId="1AF0081D"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709" w:type="dxa"/>
                </w:tcPr>
                <w:p w14:paraId="05740BC4"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709" w:type="dxa"/>
                </w:tcPr>
                <w:p w14:paraId="4FF41FC4"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1559" w:type="dxa"/>
                </w:tcPr>
                <w:p w14:paraId="63737991"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Jā</w:t>
                  </w:r>
                </w:p>
              </w:tc>
              <w:tc>
                <w:tcPr>
                  <w:tcW w:w="1554" w:type="dxa"/>
                </w:tcPr>
                <w:p w14:paraId="600BA7EF"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2019</w:t>
                  </w:r>
                </w:p>
              </w:tc>
            </w:tr>
            <w:tr w:rsidR="003D48ED" w14:paraId="74FD7B4E" w14:textId="77777777" w:rsidTr="00A645BA">
              <w:tc>
                <w:tcPr>
                  <w:tcW w:w="772" w:type="dxa"/>
                </w:tcPr>
                <w:p w14:paraId="5491E91F"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F</w:t>
                  </w:r>
                </w:p>
              </w:tc>
              <w:tc>
                <w:tcPr>
                  <w:tcW w:w="1769" w:type="dxa"/>
                </w:tcPr>
                <w:p w14:paraId="7CA93D80"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1</w:t>
                  </w:r>
                </w:p>
                <w:p w14:paraId="03A93F48"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2</w:t>
                  </w:r>
                </w:p>
              </w:tc>
              <w:tc>
                <w:tcPr>
                  <w:tcW w:w="616" w:type="dxa"/>
                </w:tcPr>
                <w:p w14:paraId="0EED504D"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666" w:type="dxa"/>
                </w:tcPr>
                <w:p w14:paraId="412E54B7"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2974D9E8" w14:textId="77777777" w:rsidR="00063F99"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8" w:type="dxa"/>
                </w:tcPr>
                <w:p w14:paraId="02D86291"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4249FA84" w14:textId="77777777" w:rsidR="00063F99"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2B1C6962"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7C038D65" w14:textId="77777777" w:rsidR="00063F99"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2F544FC2"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508486E3" w14:textId="77777777" w:rsidR="00063F99"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1559" w:type="dxa"/>
                </w:tcPr>
                <w:p w14:paraId="0737A243"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p w14:paraId="7C58981D"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tc>
              <w:tc>
                <w:tcPr>
                  <w:tcW w:w="1554" w:type="dxa"/>
                </w:tcPr>
                <w:p w14:paraId="6DD07E14"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p w14:paraId="7281B4AE"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tc>
            </w:tr>
            <w:tr w:rsidR="003D48ED" w14:paraId="6C729F95" w14:textId="77777777" w:rsidTr="00A645BA">
              <w:tc>
                <w:tcPr>
                  <w:tcW w:w="772" w:type="dxa"/>
                </w:tcPr>
                <w:p w14:paraId="3B706888"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G</w:t>
                  </w:r>
                </w:p>
              </w:tc>
              <w:tc>
                <w:tcPr>
                  <w:tcW w:w="1769" w:type="dxa"/>
                </w:tcPr>
                <w:p w14:paraId="6266F35C"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1</w:t>
                  </w:r>
                </w:p>
                <w:p w14:paraId="2292F4FA"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3</w:t>
                  </w:r>
                </w:p>
              </w:tc>
              <w:tc>
                <w:tcPr>
                  <w:tcW w:w="616" w:type="dxa"/>
                </w:tcPr>
                <w:p w14:paraId="7ACCEB84"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227418D9"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666" w:type="dxa"/>
                </w:tcPr>
                <w:p w14:paraId="5AE9F3E7"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5C3ED229"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8" w:type="dxa"/>
                </w:tcPr>
                <w:p w14:paraId="711168A6"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43E8AEE0"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5089A9E8"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4C47FDA6"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00DAB761"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61B9B132"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1559" w:type="dxa"/>
                </w:tcPr>
                <w:p w14:paraId="2BCFA468"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p w14:paraId="57E2F588"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tc>
              <w:tc>
                <w:tcPr>
                  <w:tcW w:w="1554" w:type="dxa"/>
                </w:tcPr>
                <w:p w14:paraId="38F254BF"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p w14:paraId="43AA0445"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tc>
            </w:tr>
            <w:tr w:rsidR="003D48ED" w14:paraId="2AF4E5F9" w14:textId="77777777" w:rsidTr="00A645BA">
              <w:tc>
                <w:tcPr>
                  <w:tcW w:w="772" w:type="dxa"/>
                </w:tcPr>
                <w:p w14:paraId="04611324"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H</w:t>
                  </w:r>
                </w:p>
              </w:tc>
              <w:tc>
                <w:tcPr>
                  <w:tcW w:w="1769" w:type="dxa"/>
                </w:tcPr>
                <w:p w14:paraId="1B27F0DF"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2</w:t>
                  </w:r>
                </w:p>
                <w:p w14:paraId="6650559B"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3</w:t>
                  </w:r>
                </w:p>
              </w:tc>
              <w:tc>
                <w:tcPr>
                  <w:tcW w:w="616" w:type="dxa"/>
                </w:tcPr>
                <w:p w14:paraId="32F0F6CC"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p w14:paraId="6138C1A1" w14:textId="77777777" w:rsidR="00063F99"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666" w:type="dxa"/>
                </w:tcPr>
                <w:p w14:paraId="59692F4E"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334899CE"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8" w:type="dxa"/>
                </w:tcPr>
                <w:p w14:paraId="03413ED8"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7914911F"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25105C5C"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7FB3F6D5"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3611392C"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4DCB271F"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1559" w:type="dxa"/>
                </w:tcPr>
                <w:p w14:paraId="05A8BDD0"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p w14:paraId="3586771B"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tc>
              <w:tc>
                <w:tcPr>
                  <w:tcW w:w="1554" w:type="dxa"/>
                </w:tcPr>
                <w:p w14:paraId="02941689"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p w14:paraId="06314370"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tc>
            </w:tr>
            <w:tr w:rsidR="003D48ED" w14:paraId="71BE7438" w14:textId="77777777" w:rsidTr="00A645BA">
              <w:tc>
                <w:tcPr>
                  <w:tcW w:w="772" w:type="dxa"/>
                </w:tcPr>
                <w:p w14:paraId="10275A77"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I</w:t>
                  </w:r>
                </w:p>
              </w:tc>
              <w:tc>
                <w:tcPr>
                  <w:tcW w:w="1769" w:type="dxa"/>
                </w:tcPr>
                <w:p w14:paraId="50C649BB"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4</w:t>
                  </w:r>
                </w:p>
                <w:p w14:paraId="6207597F"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5</w:t>
                  </w:r>
                </w:p>
              </w:tc>
              <w:tc>
                <w:tcPr>
                  <w:tcW w:w="616" w:type="dxa"/>
                </w:tcPr>
                <w:p w14:paraId="4F01351A"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666" w:type="dxa"/>
                </w:tcPr>
                <w:p w14:paraId="7C5F09B9"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708" w:type="dxa"/>
                </w:tcPr>
                <w:p w14:paraId="6504F1E5"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709" w:type="dxa"/>
                </w:tcPr>
                <w:p w14:paraId="09C0C96B"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43FBBE93"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2BCAE9CA"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1559" w:type="dxa"/>
                </w:tcPr>
                <w:p w14:paraId="2277C2CD"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Jā</w:t>
                  </w:r>
                </w:p>
                <w:p w14:paraId="6778F2D5"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Jā</w:t>
                  </w:r>
                </w:p>
              </w:tc>
              <w:tc>
                <w:tcPr>
                  <w:tcW w:w="1554" w:type="dxa"/>
                </w:tcPr>
                <w:p w14:paraId="2608D6B5"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2018</w:t>
                  </w:r>
                </w:p>
                <w:p w14:paraId="3C21A4DD"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2019</w:t>
                  </w:r>
                </w:p>
              </w:tc>
            </w:tr>
            <w:tr w:rsidR="003D48ED" w14:paraId="4E8F702F" w14:textId="77777777" w:rsidTr="00A645BA">
              <w:tc>
                <w:tcPr>
                  <w:tcW w:w="772" w:type="dxa"/>
                </w:tcPr>
                <w:p w14:paraId="327D828E"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J</w:t>
                  </w:r>
                </w:p>
              </w:tc>
              <w:tc>
                <w:tcPr>
                  <w:tcW w:w="1769" w:type="dxa"/>
                </w:tcPr>
                <w:p w14:paraId="14063EF5"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3</w:t>
                  </w:r>
                </w:p>
                <w:p w14:paraId="4EA9E76A" w14:textId="77777777" w:rsidR="003D48ED" w:rsidRPr="00A645BA" w:rsidRDefault="003D48ED" w:rsidP="00746418">
                  <w:pPr>
                    <w:pStyle w:val="BodyText"/>
                    <w:widowControl/>
                    <w:ind w:left="0"/>
                    <w:jc w:val="both"/>
                    <w:rPr>
                      <w:rFonts w:ascii="Times New Roman" w:hAnsi="Times New Roman" w:cs="Times New Roman"/>
                      <w:noProof/>
                      <w:position w:val="6"/>
                      <w:sz w:val="20"/>
                      <w:szCs w:val="20"/>
                    </w:rPr>
                  </w:pPr>
                  <w:r w:rsidRPr="00A645BA">
                    <w:rPr>
                      <w:rFonts w:ascii="Times New Roman" w:hAnsi="Times New Roman"/>
                      <w:sz w:val="20"/>
                      <w:szCs w:val="20"/>
                    </w:rPr>
                    <w:t>Apakšiekārta Nr. 4</w:t>
                  </w:r>
                </w:p>
              </w:tc>
              <w:tc>
                <w:tcPr>
                  <w:tcW w:w="616" w:type="dxa"/>
                </w:tcPr>
                <w:p w14:paraId="671FA000"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666" w:type="dxa"/>
                </w:tcPr>
                <w:p w14:paraId="434A1FAE" w14:textId="77777777" w:rsidR="003D48ED" w:rsidRPr="00A645BA" w:rsidRDefault="00063F99"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8" w:type="dxa"/>
                </w:tcPr>
                <w:p w14:paraId="0DAE1D79"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p>
              </w:tc>
              <w:tc>
                <w:tcPr>
                  <w:tcW w:w="709" w:type="dxa"/>
                </w:tcPr>
                <w:p w14:paraId="6BAD5477"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738E4B32"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709" w:type="dxa"/>
                </w:tcPr>
                <w:p w14:paraId="34E7A1A5" w14:textId="77777777" w:rsidR="00063F99"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p w14:paraId="353100BF" w14:textId="77777777" w:rsidR="003D48ED" w:rsidRPr="00A645BA" w:rsidRDefault="00063F99" w:rsidP="00063F99">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X</w:t>
                  </w:r>
                </w:p>
              </w:tc>
              <w:tc>
                <w:tcPr>
                  <w:tcW w:w="1559" w:type="dxa"/>
                </w:tcPr>
                <w:p w14:paraId="33F67601"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Nē</w:t>
                  </w:r>
                </w:p>
                <w:p w14:paraId="1119DD4E"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Jā</w:t>
                  </w:r>
                </w:p>
              </w:tc>
              <w:tc>
                <w:tcPr>
                  <w:tcW w:w="1554" w:type="dxa"/>
                </w:tcPr>
                <w:p w14:paraId="284BC41E"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Nav attiecināms</w:t>
                  </w:r>
                </w:p>
                <w:p w14:paraId="7DAF7103" w14:textId="77777777" w:rsidR="003D48ED" w:rsidRPr="00A645BA" w:rsidRDefault="003D48ED" w:rsidP="003D48ED">
                  <w:pPr>
                    <w:pStyle w:val="BodyText"/>
                    <w:widowControl/>
                    <w:ind w:left="0"/>
                    <w:jc w:val="center"/>
                    <w:rPr>
                      <w:rFonts w:ascii="Times New Roman" w:hAnsi="Times New Roman" w:cs="Times New Roman"/>
                      <w:noProof/>
                      <w:position w:val="6"/>
                      <w:sz w:val="20"/>
                      <w:szCs w:val="20"/>
                    </w:rPr>
                  </w:pPr>
                  <w:r w:rsidRPr="00A645BA">
                    <w:rPr>
                      <w:rFonts w:ascii="Times New Roman" w:hAnsi="Times New Roman"/>
                      <w:sz w:val="20"/>
                      <w:szCs w:val="20"/>
                    </w:rPr>
                    <w:t>2018</w:t>
                  </w:r>
                </w:p>
              </w:tc>
            </w:tr>
          </w:tbl>
          <w:p w14:paraId="0809B846" w14:textId="77777777" w:rsidR="00746418" w:rsidRDefault="00746418" w:rsidP="00746418">
            <w:pPr>
              <w:pStyle w:val="BodyText"/>
              <w:widowControl/>
              <w:ind w:left="0"/>
              <w:jc w:val="both"/>
              <w:rPr>
                <w:rFonts w:ascii="Times New Roman" w:hAnsi="Times New Roman" w:cs="Times New Roman"/>
                <w:noProof/>
                <w:position w:val="6"/>
              </w:rPr>
            </w:pPr>
          </w:p>
        </w:tc>
      </w:tr>
      <w:tr w:rsidR="00063F99" w14:paraId="7B934E9D" w14:textId="77777777" w:rsidTr="00063F99">
        <w:tc>
          <w:tcPr>
            <w:tcW w:w="9288" w:type="dxa"/>
          </w:tcPr>
          <w:p w14:paraId="033B7E83" w14:textId="77777777" w:rsidR="00063F99" w:rsidRDefault="00063F99" w:rsidP="00583F3E">
            <w:pPr>
              <w:pStyle w:val="BodyText"/>
              <w:widowControl/>
              <w:ind w:left="0"/>
              <w:jc w:val="both"/>
              <w:rPr>
                <w:rFonts w:ascii="Times New Roman" w:hAnsi="Times New Roman" w:cs="Times New Roman"/>
                <w:noProof/>
                <w:position w:val="6"/>
              </w:rPr>
            </w:pPr>
          </w:p>
          <w:p w14:paraId="1C71209D" w14:textId="77777777" w:rsidR="00063F99" w:rsidRPr="00583F3E" w:rsidRDefault="00063F99" w:rsidP="00063F99">
            <w:pPr>
              <w:pStyle w:val="BodyText"/>
              <w:widowControl/>
              <w:ind w:left="0"/>
              <w:jc w:val="both"/>
              <w:rPr>
                <w:rFonts w:ascii="Times New Roman" w:hAnsi="Times New Roman" w:cs="Times New Roman"/>
                <w:noProof/>
                <w:position w:val="6"/>
              </w:rPr>
            </w:pPr>
            <w:r>
              <w:rPr>
                <w:rFonts w:ascii="Times New Roman" w:hAnsi="Times New Roman"/>
              </w:rPr>
              <w:t>Rezumējums</w:t>
            </w:r>
          </w:p>
          <w:p w14:paraId="3AFCE348" w14:textId="77777777" w:rsidR="00063F99" w:rsidRDefault="00063F99" w:rsidP="00583F3E">
            <w:pPr>
              <w:pStyle w:val="BodyText"/>
              <w:widowControl/>
              <w:ind w:left="0"/>
              <w:jc w:val="both"/>
              <w:rPr>
                <w:rFonts w:ascii="Times New Roman" w:hAnsi="Times New Roman" w:cs="Times New Roman"/>
                <w:noProof/>
                <w:position w:val="6"/>
              </w:rPr>
            </w:pPr>
          </w:p>
          <w:p w14:paraId="12A80D23" w14:textId="77777777" w:rsidR="00063F99" w:rsidRPr="00583F3E" w:rsidRDefault="00063F99" w:rsidP="00063F99">
            <w:pPr>
              <w:pStyle w:val="BodyText"/>
              <w:widowControl/>
              <w:tabs>
                <w:tab w:val="left" w:pos="630"/>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Ja apakšiekārtas A ekspluatācija tiek uzsākta bāzlīnijas periodā gadā Y, to var ņemt vērā tikai no gada Y (t. i., gadījumā, ja iekārtā ietvertas vairākas apakšiekārtas, šai apakšiekārtai gadā Y-1 </w:t>
            </w:r>
            <w:r>
              <w:rPr>
                <w:rFonts w:ascii="Times New Roman" w:hAnsi="Times New Roman"/>
                <w:i/>
              </w:rPr>
              <w:t xml:space="preserve">AL </w:t>
            </w:r>
            <w:r>
              <w:rPr>
                <w:rFonts w:ascii="Times New Roman" w:hAnsi="Times New Roman"/>
              </w:rPr>
              <w:t xml:space="preserve">NEBŪS 0). Tas, piemēram, attiecas uz apakšiekārtu Nr. 2, kuras ekspluatācija tiek uzsākta 2015. gadā, un tādēļ tās </w:t>
            </w:r>
            <w:r>
              <w:rPr>
                <w:rFonts w:ascii="Times New Roman" w:hAnsi="Times New Roman"/>
                <w:i/>
              </w:rPr>
              <w:t>HAL</w:t>
            </w:r>
            <w:r>
              <w:rPr>
                <w:rFonts w:ascii="Times New Roman" w:hAnsi="Times New Roman"/>
              </w:rPr>
              <w:t xml:space="preserve"> aprēķinā 2014. gads nekad netiek ņemts vērā.</w:t>
            </w:r>
          </w:p>
          <w:p w14:paraId="540CB23C" w14:textId="77777777" w:rsidR="00063F99" w:rsidRPr="00583F3E" w:rsidRDefault="00063F99" w:rsidP="00063F99">
            <w:pPr>
              <w:pStyle w:val="BodyText"/>
              <w:widowControl/>
              <w:tabs>
                <w:tab w:val="left" w:pos="630"/>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Izņemot situācijas, kas aprakstītas iepriekšējajā uzsvēruma punktā, </w:t>
            </w:r>
            <w:r>
              <w:rPr>
                <w:rFonts w:ascii="Times New Roman" w:hAnsi="Times New Roman"/>
                <w:i/>
              </w:rPr>
              <w:t>HAL</w:t>
            </w:r>
            <w:r>
              <w:rPr>
                <w:rFonts w:ascii="Times New Roman" w:hAnsi="Times New Roman"/>
              </w:rPr>
              <w:t xml:space="preserve"> aprēķināšanai ir </w:t>
            </w:r>
            <w:r>
              <w:rPr>
                <w:rFonts w:ascii="Times New Roman" w:hAnsi="Times New Roman"/>
              </w:rPr>
              <w:lastRenderedPageBreak/>
              <w:t xml:space="preserve">jāņem vērā visi gadi bāzlīnijas periodā, kuros bijusi ekspluatācijā VISMAZ VIENA apakšiekārta (ja apakšiekārta nav ekspluatācijā vienā vai vairākos bāzlīnijas perioda gados, bet cita apakšiekārta ir ekspluatācijā, jāskaita, ka šajos gados </w:t>
            </w:r>
            <w:r>
              <w:rPr>
                <w:rFonts w:ascii="Times New Roman" w:hAnsi="Times New Roman"/>
                <w:i/>
              </w:rPr>
              <w:t>AL</w:t>
            </w:r>
            <w:r>
              <w:rPr>
                <w:rFonts w:ascii="Times New Roman" w:hAnsi="Times New Roman"/>
              </w:rPr>
              <w:t xml:space="preserve"> ir 0; sk. piemērus 6.1. iedaļā). Šajā piemērā attiecībā uz iekārtu C 2016. gads </w:t>
            </w:r>
            <w:r>
              <w:rPr>
                <w:rFonts w:ascii="Times New Roman" w:hAnsi="Times New Roman"/>
                <w:i/>
              </w:rPr>
              <w:t>HAL</w:t>
            </w:r>
            <w:r>
              <w:rPr>
                <w:rFonts w:ascii="Times New Roman" w:hAnsi="Times New Roman"/>
              </w:rPr>
              <w:t xml:space="preserve"> netiek ņemts vērā, jo apakšiekārta šajā gadā nav ekspluatācijā un iekārtai C nav citu apakšiekārtu. Tomēr 2016. gads tiek ņemts vērā iekārtas H apakšiekārtas Nr. 3 </w:t>
            </w:r>
            <w:r>
              <w:rPr>
                <w:rFonts w:ascii="Times New Roman" w:hAnsi="Times New Roman"/>
                <w:i/>
              </w:rPr>
              <w:t>HAL</w:t>
            </w:r>
            <w:r>
              <w:rPr>
                <w:rFonts w:ascii="Times New Roman" w:hAnsi="Times New Roman"/>
              </w:rPr>
              <w:t xml:space="preserve"> (kaut gan tās </w:t>
            </w:r>
            <w:r>
              <w:rPr>
                <w:rFonts w:ascii="Times New Roman" w:hAnsi="Times New Roman"/>
                <w:i/>
              </w:rPr>
              <w:t>AL</w:t>
            </w:r>
            <w:r>
              <w:rPr>
                <w:rFonts w:ascii="Times New Roman" w:hAnsi="Times New Roman"/>
              </w:rPr>
              <w:t xml:space="preserve"> šim gadam ir 0), jo šajā gadā iekārta H ir bijusi ekspluatācijā vismaz vienu dienu (ar apakšiekārtu Nr. 2).</w:t>
            </w:r>
          </w:p>
          <w:p w14:paraId="061E7C52" w14:textId="77777777" w:rsidR="00063F99" w:rsidRPr="00583F3E" w:rsidRDefault="00063F99" w:rsidP="00063F99">
            <w:pPr>
              <w:pStyle w:val="BodyText"/>
              <w:widowControl/>
              <w:tabs>
                <w:tab w:val="left" w:pos="630"/>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Ja apakšiekārta bāzlīnijas periodā ir ekspluatācijā mazāk nekā 1 pilnu kalendāro gadu, tās </w:t>
            </w:r>
            <w:r>
              <w:rPr>
                <w:rFonts w:ascii="Times New Roman" w:hAnsi="Times New Roman"/>
                <w:i/>
              </w:rPr>
              <w:t>HAL</w:t>
            </w:r>
            <w:r>
              <w:rPr>
                <w:rFonts w:ascii="Times New Roman" w:hAnsi="Times New Roman"/>
              </w:rPr>
              <w:t xml:space="preserve"> balstīsies uz pirmā pilnā kalendārā ekspluatācijas gada </w:t>
            </w:r>
            <w:r>
              <w:rPr>
                <w:rFonts w:ascii="Times New Roman" w:hAnsi="Times New Roman"/>
                <w:i/>
              </w:rPr>
              <w:t>AL</w:t>
            </w:r>
            <w:r>
              <w:rPr>
                <w:rFonts w:ascii="Times New Roman" w:hAnsi="Times New Roman"/>
              </w:rPr>
              <w:t xml:space="preserve">, t. i., 2019. gada </w:t>
            </w:r>
            <w:r>
              <w:rPr>
                <w:rFonts w:ascii="Times New Roman" w:hAnsi="Times New Roman"/>
                <w:i/>
              </w:rPr>
              <w:t>AL</w:t>
            </w:r>
            <w:r>
              <w:rPr>
                <w:rFonts w:ascii="Times New Roman" w:hAnsi="Times New Roman"/>
              </w:rPr>
              <w:t>. Šajā piemērā tas ir apakšiekārtas Nr. 5 gadījums.</w:t>
            </w:r>
          </w:p>
          <w:p w14:paraId="5A940511" w14:textId="77777777" w:rsidR="00063F99" w:rsidRDefault="00063F99" w:rsidP="00583F3E">
            <w:pPr>
              <w:pStyle w:val="BodyText"/>
              <w:widowControl/>
              <w:ind w:left="0"/>
              <w:jc w:val="both"/>
              <w:rPr>
                <w:rFonts w:ascii="Times New Roman" w:hAnsi="Times New Roman" w:cs="Times New Roman"/>
                <w:noProof/>
                <w:position w:val="6"/>
              </w:rPr>
            </w:pPr>
          </w:p>
        </w:tc>
      </w:tr>
    </w:tbl>
    <w:p w14:paraId="5D3BDD63" w14:textId="77777777" w:rsidR="00E24359" w:rsidRDefault="00E24359" w:rsidP="00583F3E">
      <w:pPr>
        <w:pStyle w:val="BodyText"/>
        <w:widowControl/>
        <w:ind w:left="0"/>
        <w:jc w:val="both"/>
        <w:rPr>
          <w:rFonts w:ascii="Times New Roman" w:hAnsi="Times New Roman" w:cs="Times New Roman"/>
          <w:noProof/>
          <w:position w:val="6"/>
        </w:rPr>
      </w:pPr>
    </w:p>
    <w:p w14:paraId="5CA8FEA6" w14:textId="77777777" w:rsidR="00063F99" w:rsidRDefault="00063F99" w:rsidP="00583F3E">
      <w:pPr>
        <w:pStyle w:val="BodyText"/>
        <w:widowControl/>
        <w:ind w:left="0"/>
        <w:jc w:val="both"/>
        <w:rPr>
          <w:rFonts w:ascii="Times New Roman" w:hAnsi="Times New Roman" w:cs="Times New Roman"/>
          <w:noProof/>
          <w:position w:val="6"/>
        </w:rPr>
      </w:pPr>
    </w:p>
    <w:p w14:paraId="5A3DFE6B" w14:textId="77777777" w:rsidR="00063F99" w:rsidRPr="00583F3E" w:rsidRDefault="00063F99" w:rsidP="00063F99">
      <w:pPr>
        <w:pStyle w:val="BodyText"/>
        <w:widowControl/>
        <w:ind w:left="0"/>
        <w:jc w:val="both"/>
        <w:rPr>
          <w:rFonts w:ascii="Times New Roman" w:hAnsi="Times New Roman" w:cs="Times New Roman"/>
          <w:noProof/>
          <w:position w:val="6"/>
        </w:rPr>
      </w:pPr>
      <w:r>
        <w:rPr>
          <w:rFonts w:ascii="Times New Roman" w:hAnsi="Times New Roman"/>
        </w:rPr>
        <w:t xml:space="preserve">Attiecībā uz </w:t>
      </w:r>
      <w:r>
        <w:rPr>
          <w:rFonts w:ascii="Times New Roman" w:hAnsi="Times New Roman"/>
          <w:b/>
          <w:bCs/>
        </w:rPr>
        <w:t>jaunām iekārtām</w:t>
      </w:r>
      <w:r>
        <w:rPr>
          <w:rFonts w:ascii="Times New Roman" w:hAnsi="Times New Roman"/>
        </w:rPr>
        <w:t xml:space="preserve"> būtībā izmanto tādu pašu pieeju bezmaksas kvotu apjoma aprēķināšanai kā attiecībā uz esošajām iekārtām, t. i., </w:t>
      </w:r>
      <w:r>
        <w:rPr>
          <w:rFonts w:ascii="Times New Roman" w:hAnsi="Times New Roman"/>
          <w:i/>
        </w:rPr>
        <w:t>HAL</w:t>
      </w:r>
      <w:r>
        <w:rPr>
          <w:rFonts w:ascii="Times New Roman" w:hAnsi="Times New Roman"/>
        </w:rPr>
        <w:t xml:space="preserve"> reizināšanu ar līmeņatzīmes vērtību</w:t>
      </w:r>
      <w:r>
        <w:rPr>
          <w:rStyle w:val="FootnoteReference"/>
          <w:rFonts w:ascii="Times New Roman" w:hAnsi="Times New Roman" w:cs="Times New Roman"/>
          <w:noProof/>
          <w:position w:val="6"/>
        </w:rPr>
        <w:footnoteReference w:id="34"/>
      </w:r>
      <w:r>
        <w:rPr>
          <w:rFonts w:ascii="Times New Roman" w:hAnsi="Times New Roman"/>
        </w:rPr>
        <w:t>. Attiecībā uz jaunas iekārtas pirmajiem diviem ekspluatācijas gadiem emisijas kvotu provizoriskā ikgadējā skaita aprēķinā tiks izmantots šīs jaunās iekārtas faktiskais darbības līmenis attiecīgajā gadā</w:t>
      </w:r>
      <w:r>
        <w:rPr>
          <w:rStyle w:val="FootnoteReference"/>
          <w:rFonts w:ascii="Times New Roman" w:hAnsi="Times New Roman" w:cs="Times New Roman"/>
          <w:noProof/>
          <w:position w:val="6"/>
        </w:rPr>
        <w:footnoteReference w:id="35"/>
      </w:r>
      <w:r>
        <w:rPr>
          <w:rFonts w:ascii="Times New Roman" w:hAnsi="Times New Roman"/>
        </w:rPr>
        <w:t>.</w:t>
      </w:r>
    </w:p>
    <w:p w14:paraId="17564017" w14:textId="77777777" w:rsidR="00063F99" w:rsidRPr="00583F3E" w:rsidRDefault="00063F99" w:rsidP="00063F99">
      <w:pPr>
        <w:widowControl/>
        <w:jc w:val="both"/>
        <w:rPr>
          <w:rFonts w:ascii="Times New Roman" w:hAnsi="Times New Roman" w:cs="Times New Roman"/>
          <w:noProof/>
          <w:position w:val="6"/>
          <w:sz w:val="24"/>
        </w:rPr>
      </w:pPr>
    </w:p>
    <w:p w14:paraId="62E57770" w14:textId="77777777" w:rsidR="00063F99" w:rsidRPr="00583F3E" w:rsidRDefault="00063F99" w:rsidP="00063F99">
      <w:pPr>
        <w:widowControl/>
        <w:jc w:val="both"/>
        <w:rPr>
          <w:rFonts w:ascii="Times New Roman" w:hAnsi="Times New Roman" w:cs="Times New Roman"/>
          <w:i/>
          <w:noProof/>
          <w:position w:val="6"/>
          <w:sz w:val="24"/>
        </w:rPr>
      </w:pPr>
      <w:r>
        <w:rPr>
          <w:rFonts w:ascii="Times New Roman" w:hAnsi="Times New Roman"/>
          <w:i/>
          <w:sz w:val="24"/>
        </w:rPr>
        <w:t>Sīkākus norādījumus par kvotu piešķiršanu jaunām iekārtām sk. Norādījumu dokumentā Nr. 7.</w:t>
      </w:r>
    </w:p>
    <w:p w14:paraId="1823EFA9" w14:textId="77777777" w:rsidR="00063F99" w:rsidRPr="00583F3E" w:rsidRDefault="00063F99" w:rsidP="00063F99">
      <w:pPr>
        <w:widowControl/>
        <w:jc w:val="both"/>
        <w:rPr>
          <w:rFonts w:ascii="Times New Roman" w:eastAsia="Calibri" w:hAnsi="Times New Roman" w:cs="Times New Roman"/>
          <w:i/>
          <w:noProof/>
          <w:position w:val="6"/>
          <w:sz w:val="24"/>
          <w:szCs w:val="23"/>
        </w:rPr>
      </w:pPr>
    </w:p>
    <w:p w14:paraId="6DD34068" w14:textId="24C9D812" w:rsidR="00E24359" w:rsidRDefault="00063F99" w:rsidP="004B5374">
      <w:pPr>
        <w:widowControl/>
        <w:jc w:val="both"/>
        <w:rPr>
          <w:rFonts w:ascii="Times New Roman" w:hAnsi="Times New Roman" w:cs="Times New Roman"/>
          <w:noProof/>
          <w:position w:val="6"/>
        </w:rPr>
      </w:pPr>
      <w:r>
        <w:rPr>
          <w:rFonts w:ascii="Times New Roman" w:hAnsi="Times New Roman"/>
          <w:sz w:val="24"/>
        </w:rPr>
        <w:t xml:space="preserve">Detalizētāki noteikumi par to, kā noteikt piešķiramo kvotu apjoma izmaiņas darbības līmeņa izmaiņu rezultātā, ir izklāstīti Darbības līmeņa izmaiņu īstenošanas </w:t>
      </w:r>
      <w:r w:rsidR="006C5D99">
        <w:rPr>
          <w:rFonts w:ascii="Times New Roman" w:hAnsi="Times New Roman"/>
          <w:sz w:val="24"/>
        </w:rPr>
        <w:t>regulā</w:t>
      </w:r>
      <w:r>
        <w:rPr>
          <w:rFonts w:ascii="Times New Roman" w:hAnsi="Times New Roman"/>
          <w:sz w:val="24"/>
        </w:rPr>
        <w:t xml:space="preserve"> (</w:t>
      </w:r>
      <w:r>
        <w:rPr>
          <w:rFonts w:ascii="Times New Roman" w:hAnsi="Times New Roman"/>
          <w:i/>
          <w:sz w:val="24"/>
        </w:rPr>
        <w:t>ALC</w:t>
      </w:r>
      <w:r>
        <w:rPr>
          <w:rFonts w:ascii="Times New Roman" w:hAnsi="Times New Roman"/>
          <w:sz w:val="24"/>
        </w:rPr>
        <w:t>)</w:t>
      </w:r>
      <w:r>
        <w:rPr>
          <w:rStyle w:val="FootnoteReference"/>
          <w:rFonts w:ascii="Times New Roman" w:hAnsi="Times New Roman" w:cs="Times New Roman"/>
          <w:noProof/>
          <w:position w:val="6"/>
          <w:sz w:val="24"/>
        </w:rPr>
        <w:footnoteReference w:id="36"/>
      </w:r>
      <w:r>
        <w:rPr>
          <w:rFonts w:ascii="Times New Roman" w:hAnsi="Times New Roman"/>
          <w:sz w:val="24"/>
        </w:rPr>
        <w:t xml:space="preserve">. </w:t>
      </w:r>
      <w:r>
        <w:rPr>
          <w:rFonts w:ascii="Times New Roman" w:hAnsi="Times New Roman"/>
          <w:i/>
          <w:sz w:val="24"/>
        </w:rPr>
        <w:t>Sīkākus norādījumus sk. Norādījumu dokumentā par darbības līmeņu izmaiņām.</w:t>
      </w:r>
    </w:p>
    <w:p w14:paraId="5C5AD84E" w14:textId="77777777" w:rsidR="00063F99" w:rsidRDefault="00063F99">
      <w:pPr>
        <w:rPr>
          <w:rFonts w:ascii="Times New Roman" w:eastAsia="Calibri" w:hAnsi="Times New Roman" w:cs="Times New Roman"/>
          <w:noProof/>
          <w:position w:val="6"/>
          <w:sz w:val="24"/>
          <w:szCs w:val="24"/>
        </w:rPr>
      </w:pPr>
      <w:r>
        <w:br w:type="page"/>
      </w:r>
    </w:p>
    <w:p w14:paraId="2429125D" w14:textId="77777777" w:rsidR="00E24359" w:rsidRDefault="00E24359" w:rsidP="00583F3E">
      <w:pPr>
        <w:pStyle w:val="BodyText"/>
        <w:widowControl/>
        <w:ind w:left="0"/>
        <w:jc w:val="both"/>
        <w:rPr>
          <w:rFonts w:ascii="Times New Roman" w:hAnsi="Times New Roman" w:cs="Times New Roman"/>
          <w:noProof/>
          <w:position w:val="6"/>
        </w:rPr>
      </w:pPr>
    </w:p>
    <w:p w14:paraId="56B22E16" w14:textId="77777777" w:rsidR="00063F99" w:rsidRPr="00063F99" w:rsidRDefault="00063F99" w:rsidP="00063F99">
      <w:pPr>
        <w:pStyle w:val="Heading1"/>
        <w:widowControl/>
        <w:tabs>
          <w:tab w:val="left" w:pos="550"/>
        </w:tabs>
        <w:spacing w:before="0"/>
        <w:ind w:left="0" w:firstLine="0"/>
        <w:jc w:val="both"/>
        <w:rPr>
          <w:rFonts w:ascii="Times New Roman" w:hAnsi="Times New Roman" w:cs="Times New Roman"/>
          <w:noProof/>
          <w:position w:val="6"/>
        </w:rPr>
      </w:pPr>
      <w:bookmarkStart w:id="64" w:name="_Toc31207949"/>
      <w:r>
        <w:rPr>
          <w:rFonts w:ascii="Times New Roman" w:hAnsi="Times New Roman"/>
        </w:rPr>
        <w:t>7. Papildu piemēri</w:t>
      </w:r>
      <w:bookmarkStart w:id="65" w:name="_bookmark32"/>
      <w:bookmarkEnd w:id="65"/>
      <w:bookmarkEnd w:id="64"/>
    </w:p>
    <w:p w14:paraId="0C9ED398" w14:textId="77777777" w:rsidR="00063F99" w:rsidRPr="00063F99" w:rsidRDefault="00063F99" w:rsidP="00063F99">
      <w:pPr>
        <w:pStyle w:val="BodyText"/>
        <w:widowControl/>
        <w:ind w:left="0"/>
        <w:jc w:val="both"/>
        <w:rPr>
          <w:rFonts w:ascii="Times New Roman" w:hAnsi="Times New Roman" w:cs="Times New Roman"/>
          <w:noProof/>
          <w:position w:val="6"/>
        </w:rPr>
      </w:pPr>
    </w:p>
    <w:p w14:paraId="44281A47" w14:textId="77777777" w:rsidR="00063F99" w:rsidRPr="00063F99" w:rsidRDefault="00063F99" w:rsidP="00063F99">
      <w:pPr>
        <w:pStyle w:val="BodyText"/>
        <w:widowControl/>
        <w:ind w:left="0"/>
        <w:jc w:val="both"/>
        <w:rPr>
          <w:rFonts w:ascii="Times New Roman" w:hAnsi="Times New Roman" w:cs="Times New Roman"/>
          <w:noProof/>
          <w:position w:val="6"/>
        </w:rPr>
      </w:pPr>
      <w:r>
        <w:rPr>
          <w:rFonts w:ascii="Times New Roman" w:hAnsi="Times New Roman"/>
        </w:rPr>
        <w:t>Šajā nodaļā sniegti daži papildu piemēri, lai ilustrētu iekārtām piešķiramo kvotu aprēķinu.</w:t>
      </w:r>
    </w:p>
    <w:p w14:paraId="5184E823" w14:textId="77777777" w:rsidR="00063F99" w:rsidRPr="00063F99" w:rsidRDefault="00063F99" w:rsidP="00063F99">
      <w:pPr>
        <w:widowControl/>
        <w:jc w:val="both"/>
        <w:rPr>
          <w:rFonts w:ascii="Times New Roman" w:eastAsia="Calibri" w:hAnsi="Times New Roman" w:cs="Times New Roman"/>
          <w:noProof/>
          <w:position w:val="6"/>
          <w:sz w:val="24"/>
          <w:szCs w:val="24"/>
        </w:rPr>
      </w:pPr>
    </w:p>
    <w:p w14:paraId="72CA7874" w14:textId="77777777" w:rsidR="00063F99" w:rsidRPr="00063F99" w:rsidRDefault="00063F99" w:rsidP="00063F99">
      <w:pPr>
        <w:pStyle w:val="Heading2"/>
        <w:widowControl/>
        <w:tabs>
          <w:tab w:val="left" w:pos="697"/>
        </w:tabs>
        <w:ind w:left="0" w:firstLine="0"/>
        <w:jc w:val="both"/>
        <w:rPr>
          <w:rFonts w:ascii="Times New Roman" w:hAnsi="Times New Roman" w:cs="Times New Roman"/>
          <w:noProof/>
          <w:position w:val="6"/>
          <w:sz w:val="24"/>
          <w:szCs w:val="24"/>
        </w:rPr>
      </w:pPr>
      <w:bookmarkStart w:id="66" w:name="_Toc31207950"/>
      <w:r>
        <w:rPr>
          <w:rFonts w:ascii="Times New Roman" w:hAnsi="Times New Roman"/>
          <w:sz w:val="24"/>
          <w:szCs w:val="24"/>
        </w:rPr>
        <w:t>7.1. 1. piemērs. Iekārta bez produkta līmeņatzīmēm un ar dažādiem oglekļa emisiju pārvirzes statusiem</w:t>
      </w:r>
      <w:bookmarkStart w:id="67" w:name="_bookmark33"/>
      <w:bookmarkEnd w:id="67"/>
      <w:bookmarkEnd w:id="66"/>
    </w:p>
    <w:p w14:paraId="5C7BF000" w14:textId="77777777" w:rsidR="00063F99" w:rsidRPr="00063F99" w:rsidRDefault="00063F99" w:rsidP="00063F99">
      <w:pPr>
        <w:pStyle w:val="BodyText"/>
        <w:widowControl/>
        <w:ind w:left="0"/>
        <w:jc w:val="both"/>
        <w:rPr>
          <w:rFonts w:ascii="Times New Roman" w:hAnsi="Times New Roman" w:cs="Times New Roman"/>
          <w:noProof/>
          <w:position w:val="6"/>
        </w:rPr>
      </w:pPr>
    </w:p>
    <w:p w14:paraId="19B32591" w14:textId="77777777" w:rsidR="00063F99" w:rsidRPr="00063F99" w:rsidRDefault="00063F99" w:rsidP="00063F99">
      <w:pPr>
        <w:pStyle w:val="BodyText"/>
        <w:widowControl/>
        <w:ind w:left="0"/>
        <w:jc w:val="both"/>
        <w:rPr>
          <w:rFonts w:ascii="Times New Roman" w:hAnsi="Times New Roman" w:cs="Times New Roman"/>
          <w:noProof/>
          <w:position w:val="6"/>
        </w:rPr>
      </w:pPr>
      <w:r>
        <w:rPr>
          <w:rFonts w:ascii="Times New Roman" w:hAnsi="Times New Roman"/>
        </w:rPr>
        <w:t>Aplūkosim turpmāk norādīto iekārtu, kas ražo trīs produktus (A, B un C), no kuriem produkts A un produkts B ir uzskatāmi par pakļautu ievērojamam oglekļa emisiju pārvirzes riskam, bet produkts C par tādu nav uzskatāms.</w:t>
      </w:r>
    </w:p>
    <w:p w14:paraId="08B4DEEE"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1DD90D3B" w14:textId="73EB20C7" w:rsidR="00583F3E" w:rsidRPr="00583F3E" w:rsidRDefault="00DA3C75" w:rsidP="00063F99">
      <w:pPr>
        <w:widowControl/>
        <w:jc w:val="center"/>
        <w:rPr>
          <w:rFonts w:ascii="Times New Roman" w:eastAsia="Calibri" w:hAnsi="Times New Roman" w:cs="Times New Roman"/>
          <w:noProof/>
          <w:position w:val="6"/>
          <w:sz w:val="24"/>
          <w:szCs w:val="20"/>
        </w:rPr>
      </w:pPr>
      <w:r w:rsidRPr="00DA3C75">
        <w:rPr>
          <w:rFonts w:ascii="Times New Roman" w:eastAsia="Calibri" w:hAnsi="Times New Roman" w:cs="Times New Roman"/>
          <w:noProof/>
          <w:position w:val="6"/>
          <w:sz w:val="24"/>
          <w:szCs w:val="20"/>
        </w:rPr>
        <w:drawing>
          <wp:inline distT="0" distB="0" distL="0" distR="0" wp14:anchorId="092C9701" wp14:editId="5DEF2E6D">
            <wp:extent cx="5760720" cy="17075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1707515"/>
                    </a:xfrm>
                    <a:prstGeom prst="rect">
                      <a:avLst/>
                    </a:prstGeom>
                    <a:noFill/>
                    <a:ln>
                      <a:noFill/>
                    </a:ln>
                  </pic:spPr>
                </pic:pic>
              </a:graphicData>
            </a:graphic>
          </wp:inline>
        </w:drawing>
      </w:r>
    </w:p>
    <w:p w14:paraId="2ADD4FD3" w14:textId="77777777" w:rsidR="00583F3E" w:rsidRPr="00583F3E" w:rsidRDefault="00583F3E" w:rsidP="00583F3E">
      <w:pPr>
        <w:widowControl/>
        <w:jc w:val="both"/>
        <w:rPr>
          <w:rFonts w:ascii="Times New Roman" w:eastAsia="Calibri" w:hAnsi="Times New Roman" w:cs="Times New Roman"/>
          <w:noProof/>
          <w:position w:val="6"/>
          <w:sz w:val="24"/>
          <w:szCs w:val="20"/>
        </w:rPr>
      </w:pPr>
    </w:p>
    <w:p w14:paraId="3112567A" w14:textId="77777777" w:rsidR="00583F3E" w:rsidRPr="00583F3E" w:rsidRDefault="00583F3E" w:rsidP="003E5112">
      <w:pPr>
        <w:widowControl/>
        <w:jc w:val="center"/>
        <w:rPr>
          <w:rFonts w:ascii="Times New Roman" w:hAnsi="Times New Roman" w:cs="Times New Roman"/>
          <w:b/>
          <w:noProof/>
          <w:position w:val="6"/>
          <w:sz w:val="24"/>
        </w:rPr>
      </w:pPr>
      <w:r>
        <w:rPr>
          <w:rFonts w:ascii="Times New Roman" w:hAnsi="Times New Roman"/>
          <w:b/>
          <w:sz w:val="24"/>
        </w:rPr>
        <w:t>8. attēls. Cik daudz apakšiekārtu ir šajā iekārtā?</w:t>
      </w:r>
    </w:p>
    <w:p w14:paraId="278C554C" w14:textId="77777777" w:rsidR="00583F3E" w:rsidRPr="00583F3E" w:rsidRDefault="00583F3E" w:rsidP="00583F3E">
      <w:pPr>
        <w:widowControl/>
        <w:jc w:val="both"/>
        <w:rPr>
          <w:rFonts w:ascii="Times New Roman" w:eastAsia="Calibri" w:hAnsi="Times New Roman" w:cs="Times New Roman"/>
          <w:b/>
          <w:bCs/>
          <w:noProof/>
          <w:position w:val="6"/>
          <w:sz w:val="24"/>
          <w:szCs w:val="23"/>
        </w:rPr>
      </w:pPr>
    </w:p>
    <w:p w14:paraId="4DB10951"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Tā kā produktiem A, B un C nav piemērojamas produkta līmeņatzīmes, ir jāizmanto rezerves pieejas. Gadījumā, ja nerodas procesa emisijas, par kurām var pretendēt uz kvotu piešķiršanu, ir jāizmanto vienīgi siltuma un kurināmā līmeņatzīmes. Tā kā oglekļa emisiju pārvirzes statuss visiem produktiem nav vienāds, kopumā būs četras apakšiekārtas.</w:t>
      </w:r>
    </w:p>
    <w:p w14:paraId="1BBF57EC"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169CB701" w14:textId="77777777" w:rsidR="00583F3E" w:rsidRPr="00583F3E" w:rsidRDefault="003E5112" w:rsidP="003E5112">
      <w:pPr>
        <w:pStyle w:val="BodyText"/>
        <w:widowControl/>
        <w:tabs>
          <w:tab w:val="left" w:pos="838"/>
        </w:tabs>
        <w:ind w:left="0"/>
        <w:jc w:val="both"/>
        <w:rPr>
          <w:rFonts w:ascii="Times New Roman" w:hAnsi="Times New Roman" w:cs="Times New Roman"/>
          <w:noProof/>
          <w:position w:val="6"/>
        </w:rPr>
      </w:pPr>
      <w:r>
        <w:rPr>
          <w:rFonts w:ascii="Times New Roman" w:hAnsi="Times New Roman"/>
        </w:rPr>
        <w:t>1. Siltuma līmeņatzīme produktiem, kas uzskatāmi par pakļautiem oglekļa emisiju pārvirzes riskam (produktiem A un B)</w:t>
      </w:r>
    </w:p>
    <w:p w14:paraId="152552AB" w14:textId="77777777" w:rsidR="00583F3E" w:rsidRPr="00583F3E" w:rsidRDefault="003E5112" w:rsidP="003E5112">
      <w:pPr>
        <w:pStyle w:val="BodyText"/>
        <w:widowControl/>
        <w:tabs>
          <w:tab w:val="left" w:pos="838"/>
        </w:tabs>
        <w:ind w:left="0"/>
        <w:jc w:val="both"/>
        <w:rPr>
          <w:rFonts w:ascii="Times New Roman" w:hAnsi="Times New Roman" w:cs="Times New Roman"/>
          <w:noProof/>
          <w:position w:val="6"/>
        </w:rPr>
      </w:pPr>
      <w:r>
        <w:rPr>
          <w:rFonts w:ascii="Times New Roman" w:hAnsi="Times New Roman"/>
        </w:rPr>
        <w:t>2. Siltuma līmeņatzīme produktiem, kas nav uzskatāmi par pakļautiem oglekļa emisiju pārvirzes riskam (produktam C)</w:t>
      </w:r>
    </w:p>
    <w:p w14:paraId="53E13187" w14:textId="77777777" w:rsidR="00583F3E" w:rsidRPr="00583F3E" w:rsidRDefault="003E5112" w:rsidP="003E5112">
      <w:pPr>
        <w:pStyle w:val="BodyText"/>
        <w:widowControl/>
        <w:tabs>
          <w:tab w:val="left" w:pos="838"/>
        </w:tabs>
        <w:ind w:left="0"/>
        <w:jc w:val="both"/>
        <w:rPr>
          <w:rFonts w:ascii="Times New Roman" w:hAnsi="Times New Roman" w:cs="Times New Roman"/>
          <w:noProof/>
          <w:position w:val="6"/>
        </w:rPr>
      </w:pPr>
      <w:r>
        <w:rPr>
          <w:rFonts w:ascii="Times New Roman" w:hAnsi="Times New Roman"/>
        </w:rPr>
        <w:t>3. Kurināmā līmeņatzīme produktiem, kas uzskatāmi par pakļautiem oglekļa emisiju pārvirzes riskam (produktiem A un B)</w:t>
      </w:r>
    </w:p>
    <w:p w14:paraId="0135E5DB" w14:textId="77777777" w:rsidR="00583F3E" w:rsidRPr="00583F3E" w:rsidRDefault="003E5112" w:rsidP="003E5112">
      <w:pPr>
        <w:pStyle w:val="BodyText"/>
        <w:widowControl/>
        <w:tabs>
          <w:tab w:val="left" w:pos="838"/>
        </w:tabs>
        <w:ind w:left="0"/>
        <w:jc w:val="both"/>
        <w:rPr>
          <w:rFonts w:ascii="Times New Roman" w:hAnsi="Times New Roman" w:cs="Times New Roman"/>
          <w:noProof/>
          <w:position w:val="6"/>
        </w:rPr>
      </w:pPr>
      <w:r>
        <w:rPr>
          <w:rFonts w:ascii="Times New Roman" w:hAnsi="Times New Roman"/>
        </w:rPr>
        <w:t>4. Kurināmā līmeņatzīme produktiem, kas nav uzskatāmi par pakļautiem oglekļa emisiju pārvirzes riskam (produktam C)</w:t>
      </w:r>
    </w:p>
    <w:p w14:paraId="0BBFC5EC" w14:textId="77777777" w:rsidR="00583F3E" w:rsidRPr="00583F3E" w:rsidRDefault="00583F3E" w:rsidP="00583F3E">
      <w:pPr>
        <w:widowControl/>
        <w:jc w:val="both"/>
        <w:rPr>
          <w:rFonts w:ascii="Times New Roman" w:eastAsia="Calibri" w:hAnsi="Times New Roman" w:cs="Times New Roman"/>
          <w:noProof/>
          <w:position w:val="6"/>
          <w:sz w:val="24"/>
          <w:szCs w:val="23"/>
        </w:rPr>
      </w:pPr>
    </w:p>
    <w:p w14:paraId="5718AD86"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Lai aprēķinātu vēsturisko darbības līmeni katrai iekārtai, jāņem vērā tikai tā siltuma (attiecīgi – kurināmā) daļa, kas nepieciešama, lai ražotu attiecīgo(-s) produktu(-s):</w:t>
      </w:r>
    </w:p>
    <w:p w14:paraId="68C5DB43" w14:textId="77777777" w:rsidR="00583F3E" w:rsidRPr="00583F3E" w:rsidRDefault="003E5112" w:rsidP="003E5112">
      <w:pPr>
        <w:pStyle w:val="BodyText"/>
        <w:widowControl/>
        <w:tabs>
          <w:tab w:val="left" w:pos="83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nosakot apakšiekārtas Nr. 1 </w:t>
      </w:r>
      <w:r>
        <w:rPr>
          <w:rFonts w:ascii="Times New Roman" w:hAnsi="Times New Roman"/>
          <w:i/>
        </w:rPr>
        <w:t>HAL</w:t>
      </w:r>
      <w:r>
        <w:rPr>
          <w:rFonts w:ascii="Times New Roman" w:hAnsi="Times New Roman"/>
        </w:rPr>
        <w:t>, ir jāņem vērā tikai izmērāms siltums, kas patērēts, lai ražotu produktus A un B;</w:t>
      </w:r>
    </w:p>
    <w:p w14:paraId="097978F4" w14:textId="77777777" w:rsidR="00583F3E" w:rsidRPr="00583F3E" w:rsidRDefault="003E5112" w:rsidP="003E5112">
      <w:pPr>
        <w:pStyle w:val="BodyText"/>
        <w:widowControl/>
        <w:tabs>
          <w:tab w:val="left" w:pos="83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nosakot apakšiekārtas Nr. 2 </w:t>
      </w:r>
      <w:r>
        <w:rPr>
          <w:rFonts w:ascii="Times New Roman" w:hAnsi="Times New Roman"/>
          <w:i/>
        </w:rPr>
        <w:t>HAL</w:t>
      </w:r>
      <w:r>
        <w:rPr>
          <w:rFonts w:ascii="Times New Roman" w:hAnsi="Times New Roman"/>
        </w:rPr>
        <w:t>, ir jāņem vērā tikai izmērāms siltums, kas patērēts, lai ražotu produktu C;</w:t>
      </w:r>
    </w:p>
    <w:p w14:paraId="1421D36D" w14:textId="77777777" w:rsidR="00583F3E" w:rsidRPr="00583F3E" w:rsidRDefault="003E5112" w:rsidP="003E5112">
      <w:pPr>
        <w:pStyle w:val="BodyText"/>
        <w:widowControl/>
        <w:tabs>
          <w:tab w:val="left" w:pos="83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nosakot apakšiekārtas Nr. 3 </w:t>
      </w:r>
      <w:r>
        <w:rPr>
          <w:rFonts w:ascii="Times New Roman" w:hAnsi="Times New Roman"/>
          <w:i/>
        </w:rPr>
        <w:t>HAL</w:t>
      </w:r>
      <w:r>
        <w:rPr>
          <w:rFonts w:ascii="Times New Roman" w:hAnsi="Times New Roman"/>
        </w:rPr>
        <w:t>, ir jāņem vērā tikai kurināmais, kas sadedzināts, lai ražotu produktus A un B, neietverot kurināmā sadedzināšanu izmērāma siltuma ražošanai;</w:t>
      </w:r>
    </w:p>
    <w:p w14:paraId="70B8CB92" w14:textId="77777777" w:rsidR="00583F3E" w:rsidRPr="00583F3E" w:rsidRDefault="003E5112" w:rsidP="003E5112">
      <w:pPr>
        <w:pStyle w:val="BodyText"/>
        <w:widowControl/>
        <w:tabs>
          <w:tab w:val="left" w:pos="83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nosakot apakšiekārtas Nr. 4 </w:t>
      </w:r>
      <w:r>
        <w:rPr>
          <w:rFonts w:ascii="Times New Roman" w:hAnsi="Times New Roman"/>
          <w:i/>
        </w:rPr>
        <w:t>HAL</w:t>
      </w:r>
      <w:r>
        <w:rPr>
          <w:rFonts w:ascii="Times New Roman" w:hAnsi="Times New Roman"/>
        </w:rPr>
        <w:t>, ir jāņem vērā tikai kurināmais, kas sadedzināts, lai ražotu produktu C, neietverot kurināmā sadedzināšanu izmērāma siltuma ražošanai.</w:t>
      </w:r>
    </w:p>
    <w:p w14:paraId="7C668B1C"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04F3A0BE" w14:textId="77777777" w:rsidR="00583F3E" w:rsidRPr="00583F3E" w:rsidRDefault="00583F3E" w:rsidP="00583F3E">
      <w:pPr>
        <w:widowControl/>
        <w:jc w:val="both"/>
        <w:rPr>
          <w:rFonts w:ascii="Times New Roman" w:eastAsia="Calibri" w:hAnsi="Times New Roman" w:cs="Times New Roman"/>
          <w:noProof/>
          <w:position w:val="6"/>
          <w:sz w:val="24"/>
          <w:szCs w:val="24"/>
        </w:rPr>
      </w:pPr>
      <w:r>
        <w:rPr>
          <w:rFonts w:ascii="Times New Roman" w:hAnsi="Times New Roman"/>
          <w:sz w:val="24"/>
        </w:rPr>
        <w:lastRenderedPageBreak/>
        <w:t xml:space="preserve">Norādījumus par datiem, kas ir jāizmanto, sk. </w:t>
      </w:r>
      <w:r>
        <w:rPr>
          <w:rFonts w:ascii="Times New Roman" w:hAnsi="Times New Roman"/>
          <w:i/>
          <w:sz w:val="24"/>
        </w:rPr>
        <w:t>Norādījumu dokumentā Nr. 3 par datu vākšanu</w:t>
      </w:r>
      <w:r>
        <w:rPr>
          <w:rFonts w:ascii="Times New Roman" w:hAnsi="Times New Roman"/>
          <w:sz w:val="24"/>
        </w:rPr>
        <w:t>.</w:t>
      </w:r>
    </w:p>
    <w:p w14:paraId="116A5E56" w14:textId="77777777" w:rsidR="00583F3E" w:rsidRPr="00583F3E" w:rsidRDefault="00583F3E" w:rsidP="00583F3E">
      <w:pPr>
        <w:widowControl/>
        <w:jc w:val="both"/>
        <w:rPr>
          <w:rFonts w:ascii="Times New Roman" w:eastAsia="Calibri" w:hAnsi="Times New Roman" w:cs="Times New Roman"/>
          <w:noProof/>
          <w:position w:val="6"/>
          <w:sz w:val="24"/>
          <w:szCs w:val="24"/>
        </w:rPr>
      </w:pPr>
    </w:p>
    <w:p w14:paraId="38B1BD65" w14:textId="77777777" w:rsidR="00583F3E" w:rsidRPr="003E5112" w:rsidRDefault="003E5112" w:rsidP="003E5112">
      <w:pPr>
        <w:pStyle w:val="Heading2"/>
        <w:widowControl/>
        <w:tabs>
          <w:tab w:val="left" w:pos="694"/>
        </w:tabs>
        <w:ind w:left="0" w:firstLine="0"/>
        <w:jc w:val="both"/>
        <w:rPr>
          <w:rFonts w:ascii="Times New Roman" w:hAnsi="Times New Roman" w:cs="Times New Roman"/>
          <w:noProof/>
          <w:position w:val="6"/>
          <w:szCs w:val="32"/>
        </w:rPr>
      </w:pPr>
      <w:bookmarkStart w:id="68" w:name="_Toc31207951"/>
      <w:r>
        <w:rPr>
          <w:rFonts w:ascii="Times New Roman" w:hAnsi="Times New Roman"/>
          <w:szCs w:val="32"/>
        </w:rPr>
        <w:t>7.2. 2. piemērs. Koģenerācija (</w:t>
      </w:r>
      <w:r>
        <w:rPr>
          <w:rFonts w:ascii="Times New Roman" w:hAnsi="Times New Roman"/>
          <w:i/>
          <w:szCs w:val="32"/>
        </w:rPr>
        <w:t>CHP</w:t>
      </w:r>
      <w:r>
        <w:rPr>
          <w:rFonts w:ascii="Times New Roman" w:hAnsi="Times New Roman"/>
          <w:szCs w:val="32"/>
        </w:rPr>
        <w:t>)</w:t>
      </w:r>
      <w:bookmarkStart w:id="69" w:name="_bookmark34"/>
      <w:bookmarkEnd w:id="69"/>
      <w:bookmarkEnd w:id="68"/>
    </w:p>
    <w:p w14:paraId="15BB8F5B" w14:textId="77777777" w:rsidR="003E5112" w:rsidRDefault="003E5112" w:rsidP="00583F3E">
      <w:pPr>
        <w:pStyle w:val="BodyText"/>
        <w:widowControl/>
        <w:ind w:left="0"/>
        <w:jc w:val="both"/>
        <w:rPr>
          <w:rFonts w:ascii="Times New Roman" w:hAnsi="Times New Roman" w:cs="Times New Roman"/>
          <w:noProof/>
          <w:position w:val="6"/>
        </w:rPr>
      </w:pPr>
    </w:p>
    <w:p w14:paraId="57774A5C"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i/>
        </w:rPr>
        <w:t>CHP</w:t>
      </w:r>
      <w:r>
        <w:rPr>
          <w:rFonts w:ascii="Times New Roman" w:hAnsi="Times New Roman"/>
        </w:rPr>
        <w:t xml:space="preserve"> iekārtas izmantošanas gadījumā (sk. 9. attēlu), iekārta ražo gan siltumu, gan elektroenerģiju.</w:t>
      </w:r>
    </w:p>
    <w:p w14:paraId="166C7D06" w14:textId="77777777" w:rsidR="00583F3E" w:rsidRPr="00583F3E" w:rsidRDefault="003E5112" w:rsidP="003E5112">
      <w:pPr>
        <w:pStyle w:val="BodyText"/>
        <w:widowControl/>
        <w:tabs>
          <w:tab w:val="left" w:pos="47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Par elektroenerģijas ražošanu nevar pretendēt uz kvotu bezmaksas piešķiršanu.</w:t>
      </w:r>
    </w:p>
    <w:p w14:paraId="5B04FB3C" w14:textId="77777777" w:rsidR="00583F3E" w:rsidRPr="00583F3E" w:rsidRDefault="003E5112" w:rsidP="003E5112">
      <w:pPr>
        <w:pStyle w:val="BodyText"/>
        <w:widowControl/>
        <w:tabs>
          <w:tab w:val="left" w:pos="478"/>
        </w:tabs>
        <w:ind w:left="0"/>
        <w:jc w:val="both"/>
        <w:rPr>
          <w:rFonts w:ascii="Times New Roman" w:hAnsi="Times New Roman" w:cs="Times New Roman"/>
          <w:noProof/>
          <w:position w:val="6"/>
        </w:rPr>
      </w:pPr>
      <w:r>
        <w:rPr>
          <w:rFonts w:ascii="Times New Roman" w:hAnsi="Times New Roman"/>
        </w:rPr>
        <w:sym w:font="Symbol" w:char="F0B7"/>
      </w:r>
      <w:r>
        <w:rPr>
          <w:rFonts w:ascii="Times New Roman" w:hAnsi="Times New Roman"/>
        </w:rPr>
        <w:t xml:space="preserve"> Par siltuma ražošanu var pretendēt uz kvotu bezmaksas piešķiršanu.</w:t>
      </w:r>
    </w:p>
    <w:p w14:paraId="69272581" w14:textId="77777777" w:rsidR="00583F3E" w:rsidRPr="00583F3E" w:rsidRDefault="003E5112" w:rsidP="003E5112">
      <w:pPr>
        <w:pStyle w:val="BodyText"/>
        <w:widowControl/>
        <w:tabs>
          <w:tab w:val="left" w:pos="970"/>
        </w:tabs>
        <w:ind w:left="0"/>
        <w:jc w:val="both"/>
        <w:rPr>
          <w:rFonts w:ascii="Times New Roman" w:hAnsi="Times New Roman" w:cs="Times New Roman"/>
          <w:noProof/>
          <w:position w:val="6"/>
        </w:rPr>
      </w:pPr>
      <w:r>
        <w:rPr>
          <w:rFonts w:ascii="Times New Roman" w:hAnsi="Times New Roman"/>
        </w:rPr>
        <w:t xml:space="preserve">○ </w:t>
      </w:r>
      <w:r>
        <w:rPr>
          <w:rFonts w:ascii="Times New Roman" w:hAnsi="Times New Roman"/>
          <w:i/>
        </w:rPr>
        <w:t>CHP</w:t>
      </w:r>
      <w:r>
        <w:rPr>
          <w:rFonts w:ascii="Times New Roman" w:hAnsi="Times New Roman"/>
        </w:rPr>
        <w:t xml:space="preserve"> iekārta nesaņems nekādas bez maksas piešķiramās kvotas par to siltuma daļu, kas tiek piegādāta citam </w:t>
      </w:r>
      <w:r>
        <w:rPr>
          <w:rFonts w:ascii="Times New Roman" w:hAnsi="Times New Roman"/>
          <w:b/>
        </w:rPr>
        <w:t>ETS aptvertam patērētājam</w:t>
      </w:r>
      <w:r>
        <w:rPr>
          <w:rFonts w:ascii="Times New Roman" w:hAnsi="Times New Roman"/>
        </w:rPr>
        <w:t>, jo šis ETS aptvertais siltuma patērētājs saņems bezmaksas kvotas par siltumu, ko tas patērē.</w:t>
      </w:r>
    </w:p>
    <w:p w14:paraId="1DD6B79B" w14:textId="77777777" w:rsidR="00583F3E" w:rsidRPr="00583F3E" w:rsidRDefault="003E5112" w:rsidP="003E5112">
      <w:pPr>
        <w:pStyle w:val="BodyText"/>
        <w:widowControl/>
        <w:tabs>
          <w:tab w:val="left" w:pos="970"/>
        </w:tabs>
        <w:ind w:left="0"/>
        <w:jc w:val="both"/>
        <w:rPr>
          <w:rFonts w:ascii="Times New Roman" w:hAnsi="Times New Roman" w:cs="Times New Roman"/>
          <w:noProof/>
          <w:position w:val="6"/>
        </w:rPr>
      </w:pPr>
      <w:r>
        <w:rPr>
          <w:rFonts w:ascii="Times New Roman" w:hAnsi="Times New Roman"/>
        </w:rPr>
        <w:t xml:space="preserve">○ </w:t>
      </w:r>
      <w:r>
        <w:rPr>
          <w:rFonts w:ascii="Times New Roman" w:hAnsi="Times New Roman"/>
          <w:i/>
        </w:rPr>
        <w:t>CHP</w:t>
      </w:r>
      <w:r>
        <w:rPr>
          <w:rFonts w:ascii="Times New Roman" w:hAnsi="Times New Roman"/>
        </w:rPr>
        <w:t xml:space="preserve"> iekārta saņems bez maksas piešķiramās kvotas saskaņā ar siltuma līmeņatzīmi par siltumu, kas tiek eksportēts </w:t>
      </w:r>
      <w:r>
        <w:rPr>
          <w:rFonts w:ascii="Times New Roman" w:hAnsi="Times New Roman"/>
          <w:b/>
        </w:rPr>
        <w:t>ETS neaptvertiem patērētājiem</w:t>
      </w:r>
      <w:r>
        <w:rPr>
          <w:rFonts w:ascii="Times New Roman" w:hAnsi="Times New Roman"/>
        </w:rPr>
        <w:t xml:space="preserve">, kā arī par siltumu, kas tiek patērēts iekārtā, ja šis siltums netiek izmantots elektroenerģijas ražošanai. Tikai šī siltuma daļa ir jāņem vērā, nosakot vēsturisko darbības līmeni, kas attiecas uz </w:t>
      </w:r>
      <w:r>
        <w:rPr>
          <w:rFonts w:ascii="Times New Roman" w:hAnsi="Times New Roman"/>
          <w:i/>
        </w:rPr>
        <w:t>CHP</w:t>
      </w:r>
      <w:r>
        <w:rPr>
          <w:rFonts w:ascii="Times New Roman" w:hAnsi="Times New Roman"/>
        </w:rPr>
        <w:t xml:space="preserve"> siltuma līmeņatzīmes apakšiekārtu.</w:t>
      </w:r>
    </w:p>
    <w:p w14:paraId="514E84CF" w14:textId="77777777" w:rsidR="00583F3E" w:rsidRPr="00583F3E" w:rsidRDefault="00583F3E" w:rsidP="00583F3E">
      <w:pPr>
        <w:widowControl/>
        <w:jc w:val="both"/>
        <w:rPr>
          <w:rFonts w:ascii="Times New Roman" w:hAnsi="Times New Roman" w:cs="Times New Roman"/>
          <w:noProof/>
          <w:position w:val="6"/>
          <w:sz w:val="24"/>
        </w:rPr>
      </w:pPr>
    </w:p>
    <w:p w14:paraId="4C49C853"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ETS neaptverti patērētāji pēc noklusējuma netiek uzskatīti par pakļautiem oglekļa emisiju pārvirzes riskam. Gadījumā, ja </w:t>
      </w:r>
      <w:r>
        <w:rPr>
          <w:rFonts w:ascii="Times New Roman" w:hAnsi="Times New Roman"/>
          <w:i/>
        </w:rPr>
        <w:t>CHP</w:t>
      </w:r>
      <w:r>
        <w:rPr>
          <w:rFonts w:ascii="Times New Roman" w:hAnsi="Times New Roman"/>
        </w:rPr>
        <w:t xml:space="preserve"> operators spēj pierādīt, ka viens no tā ETS neaptvertajiem siltuma patērētājiem ir uzskatāms par pakļautu oglekļa emisiju pārvirzes riskam, tam var būt jāveic apakšiekārtas sašķelšana 2 siltuma līmeņatzīmes apakšiekārtās – vienā apakšiekārtā, kas paredzēta ETS neaptvertiem siltuma patērētājiem, kas uzskatāmi par pakļautiem oglekļa emisiju pārvirzes riskam, un vienā apakšiekārtā, kas paredzēta ETS neaptvertiem patērētājiem, kas nav uzskatāmi par pakļautiem šim riskam.</w:t>
      </w:r>
    </w:p>
    <w:p w14:paraId="4596EACC" w14:textId="77777777" w:rsidR="00583F3E" w:rsidRDefault="00583F3E" w:rsidP="00583F3E">
      <w:pPr>
        <w:widowControl/>
        <w:jc w:val="both"/>
        <w:rPr>
          <w:rFonts w:ascii="Times New Roman" w:eastAsia="Calibri" w:hAnsi="Times New Roman" w:cs="Times New Roman"/>
          <w:noProof/>
          <w:position w:val="6"/>
          <w:sz w:val="24"/>
          <w:szCs w:val="12"/>
        </w:rPr>
      </w:pPr>
    </w:p>
    <w:p w14:paraId="49BA7B5C" w14:textId="64CECB9A" w:rsidR="003E5112" w:rsidRDefault="00DA3C75" w:rsidP="003E5112">
      <w:pPr>
        <w:widowControl/>
        <w:jc w:val="center"/>
        <w:rPr>
          <w:rFonts w:ascii="Times New Roman" w:eastAsia="Calibri" w:hAnsi="Times New Roman" w:cs="Times New Roman"/>
          <w:noProof/>
          <w:position w:val="6"/>
          <w:sz w:val="24"/>
          <w:szCs w:val="12"/>
        </w:rPr>
      </w:pPr>
      <w:r w:rsidRPr="00DA3C75">
        <w:rPr>
          <w:rFonts w:ascii="Times New Roman" w:eastAsia="Calibri" w:hAnsi="Times New Roman" w:cs="Times New Roman"/>
          <w:noProof/>
          <w:position w:val="6"/>
          <w:sz w:val="24"/>
          <w:szCs w:val="12"/>
        </w:rPr>
        <w:drawing>
          <wp:inline distT="0" distB="0" distL="0" distR="0" wp14:anchorId="234C4EB0" wp14:editId="4126C7DB">
            <wp:extent cx="5760720" cy="23094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309495"/>
                    </a:xfrm>
                    <a:prstGeom prst="rect">
                      <a:avLst/>
                    </a:prstGeom>
                    <a:noFill/>
                    <a:ln>
                      <a:noFill/>
                    </a:ln>
                  </pic:spPr>
                </pic:pic>
              </a:graphicData>
            </a:graphic>
          </wp:inline>
        </w:drawing>
      </w:r>
    </w:p>
    <w:p w14:paraId="121B5DCE" w14:textId="77777777" w:rsidR="003E5112" w:rsidRDefault="003E5112" w:rsidP="00583F3E">
      <w:pPr>
        <w:widowControl/>
        <w:jc w:val="both"/>
        <w:rPr>
          <w:rFonts w:ascii="Times New Roman" w:eastAsia="Calibri" w:hAnsi="Times New Roman" w:cs="Times New Roman"/>
          <w:noProof/>
          <w:position w:val="6"/>
          <w:sz w:val="24"/>
          <w:szCs w:val="12"/>
        </w:rPr>
      </w:pPr>
    </w:p>
    <w:p w14:paraId="6FE29491" w14:textId="77777777" w:rsidR="003E5112" w:rsidRPr="00583F3E" w:rsidRDefault="003E5112" w:rsidP="003E5112">
      <w:pPr>
        <w:widowControl/>
        <w:jc w:val="center"/>
        <w:rPr>
          <w:rFonts w:ascii="Times New Roman" w:hAnsi="Times New Roman" w:cs="Times New Roman"/>
          <w:b/>
          <w:noProof/>
          <w:position w:val="6"/>
          <w:sz w:val="24"/>
        </w:rPr>
      </w:pPr>
      <w:r>
        <w:rPr>
          <w:rFonts w:ascii="Times New Roman" w:hAnsi="Times New Roman"/>
          <w:b/>
          <w:sz w:val="24"/>
        </w:rPr>
        <w:t xml:space="preserve">9. attēls. </w:t>
      </w:r>
      <w:r>
        <w:rPr>
          <w:rFonts w:ascii="Times New Roman" w:hAnsi="Times New Roman"/>
          <w:b/>
          <w:i/>
          <w:sz w:val="24"/>
        </w:rPr>
        <w:t>CHP</w:t>
      </w:r>
      <w:r>
        <w:rPr>
          <w:rFonts w:ascii="Times New Roman" w:hAnsi="Times New Roman"/>
          <w:b/>
          <w:sz w:val="24"/>
        </w:rPr>
        <w:t xml:space="preserve"> iekārtas principshēma</w:t>
      </w:r>
      <w:bookmarkStart w:id="70" w:name="_bookmark35"/>
      <w:bookmarkEnd w:id="70"/>
    </w:p>
    <w:p w14:paraId="626A6301" w14:textId="77777777" w:rsidR="00583F3E" w:rsidRDefault="00583F3E" w:rsidP="00583F3E">
      <w:pPr>
        <w:widowControl/>
        <w:jc w:val="both"/>
        <w:rPr>
          <w:rFonts w:ascii="Times New Roman" w:eastAsia="Verdana" w:hAnsi="Times New Roman" w:cs="Times New Roman"/>
          <w:iCs/>
          <w:noProof/>
          <w:position w:val="6"/>
          <w:sz w:val="24"/>
          <w:szCs w:val="20"/>
        </w:rPr>
      </w:pPr>
    </w:p>
    <w:p w14:paraId="2664FF99" w14:textId="77777777" w:rsidR="003E5112" w:rsidRDefault="003E5112">
      <w:pPr>
        <w:rPr>
          <w:rFonts w:ascii="Times New Roman" w:eastAsia="Verdana" w:hAnsi="Times New Roman" w:cs="Times New Roman"/>
          <w:iCs/>
          <w:noProof/>
          <w:position w:val="6"/>
          <w:sz w:val="24"/>
          <w:szCs w:val="20"/>
        </w:rPr>
      </w:pPr>
      <w:r>
        <w:br w:type="page"/>
      </w:r>
    </w:p>
    <w:p w14:paraId="0BAE4915" w14:textId="77777777" w:rsidR="003E5112" w:rsidRDefault="003E5112" w:rsidP="00583F3E">
      <w:pPr>
        <w:widowControl/>
        <w:jc w:val="both"/>
        <w:rPr>
          <w:rFonts w:ascii="Times New Roman" w:eastAsia="Verdana" w:hAnsi="Times New Roman" w:cs="Times New Roman"/>
          <w:iCs/>
          <w:noProof/>
          <w:position w:val="6"/>
          <w:sz w:val="24"/>
          <w:szCs w:val="20"/>
        </w:rPr>
      </w:pPr>
    </w:p>
    <w:p w14:paraId="38365C75" w14:textId="77777777" w:rsidR="003E5112" w:rsidRPr="00FA5AF6" w:rsidRDefault="003E5112" w:rsidP="00FA5AF6">
      <w:pPr>
        <w:pStyle w:val="Heading2"/>
        <w:ind w:left="0" w:firstLine="0"/>
        <w:rPr>
          <w:rFonts w:ascii="Times New Roman" w:eastAsia="Verdana" w:hAnsi="Times New Roman" w:cs="Times New Roman"/>
          <w:iCs/>
          <w:noProof/>
          <w:position w:val="6"/>
        </w:rPr>
      </w:pPr>
      <w:bookmarkStart w:id="71" w:name="_Toc31207952"/>
      <w:r w:rsidRPr="00FA5AF6">
        <w:rPr>
          <w:rFonts w:ascii="Times New Roman" w:hAnsi="Times New Roman" w:cs="Times New Roman"/>
        </w:rPr>
        <w:t>7.3. 3. piemērs. Kompleksais piemērs</w:t>
      </w:r>
      <w:bookmarkEnd w:id="71"/>
    </w:p>
    <w:p w14:paraId="1885C654" w14:textId="77777777" w:rsidR="003E5112" w:rsidRDefault="003E5112" w:rsidP="00583F3E">
      <w:pPr>
        <w:widowControl/>
        <w:jc w:val="both"/>
        <w:rPr>
          <w:rFonts w:ascii="Times New Roman" w:eastAsia="Verdana" w:hAnsi="Times New Roman" w:cs="Times New Roman"/>
          <w:iCs/>
          <w:noProof/>
          <w:position w:val="6"/>
          <w:sz w:val="24"/>
          <w:szCs w:val="20"/>
        </w:rPr>
      </w:pPr>
    </w:p>
    <w:tbl>
      <w:tblPr>
        <w:tblStyle w:val="TableGrid"/>
        <w:tblW w:w="0" w:type="auto"/>
        <w:tblLook w:val="04A0" w:firstRow="1" w:lastRow="0" w:firstColumn="1" w:lastColumn="0" w:noHBand="0" w:noVBand="1"/>
      </w:tblPr>
      <w:tblGrid>
        <w:gridCol w:w="9288"/>
      </w:tblGrid>
      <w:tr w:rsidR="003E5112" w14:paraId="681E677F" w14:textId="77777777" w:rsidTr="003E5112">
        <w:tc>
          <w:tcPr>
            <w:tcW w:w="9288" w:type="dxa"/>
          </w:tcPr>
          <w:p w14:paraId="5F16457A" w14:textId="77777777" w:rsidR="003E5112" w:rsidRPr="003E5112" w:rsidRDefault="003E5112" w:rsidP="003E5112">
            <w:pPr>
              <w:spacing w:line="240" w:lineRule="exact"/>
              <w:rPr>
                <w:rFonts w:ascii="Times New Roman" w:eastAsia="Calibri" w:hAnsi="Times New Roman" w:cs="Times New Roman"/>
                <w:noProof/>
                <w:sz w:val="24"/>
                <w:szCs w:val="24"/>
              </w:rPr>
            </w:pPr>
            <w:r>
              <w:rPr>
                <w:rFonts w:ascii="Times New Roman" w:hAnsi="Times New Roman"/>
                <w:b/>
                <w:bCs/>
                <w:sz w:val="24"/>
                <w:szCs w:val="24"/>
              </w:rPr>
              <w:t>1. ietvars – visu metodoloģiju apvienošana</w:t>
            </w:r>
          </w:p>
          <w:p w14:paraId="747445AA" w14:textId="77777777" w:rsidR="003E5112" w:rsidRDefault="003E5112" w:rsidP="00583F3E">
            <w:pPr>
              <w:widowControl/>
              <w:jc w:val="both"/>
              <w:rPr>
                <w:rFonts w:ascii="Times New Roman" w:eastAsia="Verdana" w:hAnsi="Times New Roman" w:cs="Times New Roman"/>
                <w:iCs/>
                <w:noProof/>
                <w:position w:val="6"/>
                <w:sz w:val="24"/>
                <w:szCs w:val="20"/>
              </w:rPr>
            </w:pPr>
          </w:p>
          <w:p w14:paraId="2BA17DA0" w14:textId="65911BE8" w:rsidR="003E5112" w:rsidRDefault="00B73E3C" w:rsidP="003E5112">
            <w:pPr>
              <w:widowControl/>
              <w:jc w:val="center"/>
              <w:rPr>
                <w:rFonts w:ascii="Times New Roman" w:eastAsia="Verdana" w:hAnsi="Times New Roman" w:cs="Times New Roman"/>
                <w:iCs/>
                <w:noProof/>
                <w:position w:val="6"/>
                <w:sz w:val="24"/>
                <w:szCs w:val="20"/>
              </w:rPr>
            </w:pPr>
            <w:r>
              <w:object w:dxaOrig="12300" w:dyaOrig="8085" w14:anchorId="18FE865E">
                <v:shape id="_x0000_i1026" type="#_x0000_t75" style="width:453.5pt;height:297.35pt" o:ole="">
                  <v:imagedata r:id="rId24" o:title=""/>
                </v:shape>
                <o:OLEObject Type="Embed" ProgID="PBrush" ShapeID="_x0000_i1026" DrawAspect="Content" ObjectID="_1651042549" r:id="rId25"/>
              </w:object>
            </w:r>
          </w:p>
          <w:p w14:paraId="25E08C43" w14:textId="77777777" w:rsidR="003E5112" w:rsidRDefault="003E5112" w:rsidP="00583F3E">
            <w:pPr>
              <w:widowControl/>
              <w:jc w:val="both"/>
              <w:rPr>
                <w:rFonts w:ascii="Times New Roman" w:eastAsia="Verdana" w:hAnsi="Times New Roman" w:cs="Times New Roman"/>
                <w:iCs/>
                <w:noProof/>
                <w:position w:val="6"/>
                <w:sz w:val="24"/>
                <w:szCs w:val="20"/>
              </w:rPr>
            </w:pPr>
          </w:p>
          <w:p w14:paraId="3271B2FE" w14:textId="77777777" w:rsidR="009B4C20" w:rsidRPr="009B4C20" w:rsidRDefault="009B4C20" w:rsidP="009B4C20">
            <w:pPr>
              <w:tabs>
                <w:tab w:val="left" w:pos="360"/>
              </w:tabs>
              <w:jc w:val="both"/>
              <w:rPr>
                <w:rFonts w:ascii="Times New Roman" w:eastAsia="Calibri" w:hAnsi="Times New Roman" w:cs="Times New Roman"/>
                <w:sz w:val="24"/>
                <w:szCs w:val="24"/>
              </w:rPr>
            </w:pPr>
            <w:r>
              <w:rPr>
                <w:rFonts w:ascii="Times New Roman" w:hAnsi="Times New Roman"/>
                <w:sz w:val="24"/>
                <w:szCs w:val="24"/>
              </w:rPr>
              <w:t>- Iekārtas atļaujā noteiktās robežas ir attēlotas pārtrauktas līnijas veidā.</w:t>
            </w:r>
          </w:p>
          <w:p w14:paraId="4EEC8D25" w14:textId="77777777" w:rsidR="009B4C20" w:rsidRPr="009B4C20" w:rsidRDefault="009B4C20" w:rsidP="009B4C20">
            <w:pPr>
              <w:tabs>
                <w:tab w:val="left" w:pos="360"/>
              </w:tabs>
              <w:jc w:val="both"/>
              <w:rPr>
                <w:rFonts w:ascii="Times New Roman" w:eastAsia="Calibri" w:hAnsi="Times New Roman" w:cs="Times New Roman"/>
                <w:sz w:val="24"/>
                <w:szCs w:val="24"/>
              </w:rPr>
            </w:pPr>
            <w:r>
              <w:rPr>
                <w:rFonts w:ascii="Times New Roman" w:hAnsi="Times New Roman"/>
                <w:sz w:val="24"/>
                <w:szCs w:val="24"/>
              </w:rPr>
              <w:t>- Katrā lodziņā attēlota fiziskā vienība, kurā notiek viens vai vairāki rūpnieciskie procesi.</w:t>
            </w:r>
          </w:p>
          <w:p w14:paraId="63EF9A3C" w14:textId="77777777" w:rsidR="009B4C20" w:rsidRPr="009B4C20" w:rsidRDefault="009B4C20" w:rsidP="009B4C20">
            <w:pPr>
              <w:tabs>
                <w:tab w:val="left" w:pos="360"/>
              </w:tabs>
              <w:jc w:val="both"/>
              <w:rPr>
                <w:rFonts w:ascii="Times New Roman" w:eastAsia="Calibri" w:hAnsi="Times New Roman" w:cs="Times New Roman"/>
                <w:sz w:val="24"/>
                <w:szCs w:val="24"/>
              </w:rPr>
            </w:pPr>
            <w:r>
              <w:rPr>
                <w:rFonts w:ascii="Times New Roman" w:hAnsi="Times New Roman"/>
                <w:sz w:val="24"/>
                <w:szCs w:val="24"/>
              </w:rPr>
              <w:t>- Lai izvairītos no attēla pārblīvēšanas, šajā piemērā siltumnīcefekta gāzu emisijas nav parādītas, bet tās attiecas un ir jāattiecina uz katru procesa bloku.</w:t>
            </w:r>
          </w:p>
          <w:p w14:paraId="79FCC8CF" w14:textId="77777777" w:rsidR="009B4C20" w:rsidRPr="009B4C20" w:rsidRDefault="009B4C20" w:rsidP="009B4C20">
            <w:pPr>
              <w:tabs>
                <w:tab w:val="left" w:pos="360"/>
              </w:tabs>
              <w:jc w:val="both"/>
              <w:rPr>
                <w:rFonts w:ascii="Times New Roman" w:eastAsia="Calibri" w:hAnsi="Times New Roman" w:cs="Times New Roman"/>
                <w:sz w:val="24"/>
                <w:szCs w:val="24"/>
              </w:rPr>
            </w:pPr>
            <w:r>
              <w:rPr>
                <w:rFonts w:ascii="Times New Roman" w:hAnsi="Times New Roman"/>
                <w:sz w:val="24"/>
                <w:szCs w:val="24"/>
              </w:rPr>
              <w:t>- Krāsainās līnijas parāda enerģijas plūsmas uz procesa blokiem un no tiem.</w:t>
            </w:r>
          </w:p>
          <w:p w14:paraId="71B0A54E" w14:textId="77777777" w:rsidR="009B4C20" w:rsidRPr="009B4C20" w:rsidRDefault="009B4C20" w:rsidP="009B4C20">
            <w:pPr>
              <w:jc w:val="both"/>
              <w:rPr>
                <w:rFonts w:ascii="Times New Roman" w:eastAsia="Calibri" w:hAnsi="Times New Roman" w:cs="Times New Roman"/>
                <w:b/>
                <w:bCs/>
                <w:sz w:val="24"/>
                <w:szCs w:val="24"/>
              </w:rPr>
            </w:pPr>
          </w:p>
          <w:p w14:paraId="20C2A822" w14:textId="77777777" w:rsidR="009B4C20" w:rsidRPr="009B4C20" w:rsidRDefault="009B4C20" w:rsidP="009B4C20">
            <w:pPr>
              <w:tabs>
                <w:tab w:val="left" w:pos="360"/>
              </w:tabs>
              <w:jc w:val="both"/>
              <w:rPr>
                <w:rFonts w:ascii="Times New Roman" w:eastAsia="Calibri" w:hAnsi="Times New Roman" w:cs="Times New Roman"/>
                <w:sz w:val="24"/>
                <w:szCs w:val="24"/>
              </w:rPr>
            </w:pPr>
            <w:r>
              <w:rPr>
                <w:rFonts w:ascii="Times New Roman" w:hAnsi="Times New Roman"/>
                <w:sz w:val="24"/>
                <w:szCs w:val="24"/>
              </w:rPr>
              <w:t>- P1, P2 un P3 ir trīs procesa bloki, kuros tiek ražots produkts.</w:t>
            </w:r>
          </w:p>
          <w:p w14:paraId="66B8F17F" w14:textId="77777777" w:rsidR="009B4C20" w:rsidRPr="009B4C20" w:rsidRDefault="009B4C20" w:rsidP="009B4C20">
            <w:pPr>
              <w:tabs>
                <w:tab w:val="left" w:pos="720"/>
              </w:tabs>
              <w:jc w:val="both"/>
              <w:rPr>
                <w:rFonts w:ascii="Times New Roman" w:eastAsia="Calibri" w:hAnsi="Times New Roman" w:cs="Times New Roman"/>
                <w:sz w:val="24"/>
                <w:szCs w:val="24"/>
              </w:rPr>
            </w:pPr>
            <w:r>
              <w:rPr>
                <w:rFonts w:ascii="Times New Roman" w:hAnsi="Times New Roman"/>
                <w:sz w:val="24"/>
                <w:szCs w:val="24"/>
              </w:rPr>
              <w:t>▪ Attiecībā uz P2 ir pieejams līmeņatzīmes produkts.</w:t>
            </w:r>
          </w:p>
          <w:p w14:paraId="60158A79" w14:textId="77777777" w:rsidR="009B4C20" w:rsidRPr="009B4C20" w:rsidRDefault="009B4C20" w:rsidP="009B4C20">
            <w:pPr>
              <w:tabs>
                <w:tab w:val="left" w:pos="720"/>
              </w:tabs>
              <w:jc w:val="both"/>
              <w:rPr>
                <w:rFonts w:ascii="Times New Roman" w:eastAsia="Calibri" w:hAnsi="Times New Roman" w:cs="Times New Roman"/>
                <w:sz w:val="24"/>
                <w:szCs w:val="24"/>
              </w:rPr>
            </w:pPr>
            <w:r>
              <w:rPr>
                <w:rFonts w:ascii="Times New Roman" w:hAnsi="Times New Roman"/>
                <w:sz w:val="24"/>
                <w:szCs w:val="24"/>
              </w:rPr>
              <w:t>▪ Attiecībā uz P1 un P3 produkta līmeņatzīme nav pieejama.</w:t>
            </w:r>
          </w:p>
          <w:p w14:paraId="356E2F08" w14:textId="77777777" w:rsidR="009B4C20" w:rsidRPr="009B4C20" w:rsidRDefault="009B4C20" w:rsidP="009B4C20">
            <w:pPr>
              <w:jc w:val="both"/>
              <w:rPr>
                <w:rFonts w:ascii="Times New Roman" w:eastAsia="Calibri" w:hAnsi="Times New Roman" w:cs="Times New Roman"/>
                <w:b/>
                <w:bCs/>
                <w:sz w:val="24"/>
                <w:szCs w:val="24"/>
              </w:rPr>
            </w:pPr>
          </w:p>
          <w:p w14:paraId="5F0F0F09" w14:textId="77777777" w:rsidR="009B4C20" w:rsidRPr="009B4C20" w:rsidRDefault="009B4C20" w:rsidP="009B4C20">
            <w:pPr>
              <w:tabs>
                <w:tab w:val="left" w:pos="360"/>
              </w:tabs>
              <w:jc w:val="both"/>
              <w:rPr>
                <w:rFonts w:ascii="Times New Roman" w:eastAsia="Calibri" w:hAnsi="Times New Roman" w:cs="Times New Roman"/>
                <w:sz w:val="24"/>
                <w:szCs w:val="24"/>
              </w:rPr>
            </w:pPr>
            <w:r>
              <w:rPr>
                <w:rFonts w:ascii="Times New Roman" w:hAnsi="Times New Roman"/>
                <w:sz w:val="24"/>
                <w:szCs w:val="24"/>
              </w:rPr>
              <w:t>- Oglekļa emisiju pārvirze</w:t>
            </w:r>
          </w:p>
          <w:p w14:paraId="5FC0B0E6" w14:textId="77777777" w:rsidR="009B4C20" w:rsidRPr="009B4C20" w:rsidRDefault="009B4C20" w:rsidP="009B4C20">
            <w:pPr>
              <w:tabs>
                <w:tab w:val="left" w:pos="720"/>
              </w:tabs>
              <w:jc w:val="both"/>
              <w:rPr>
                <w:rFonts w:ascii="Times New Roman" w:eastAsia="Calibri" w:hAnsi="Times New Roman" w:cs="Times New Roman"/>
                <w:sz w:val="24"/>
                <w:szCs w:val="24"/>
              </w:rPr>
            </w:pPr>
            <w:r>
              <w:rPr>
                <w:rFonts w:ascii="Times New Roman" w:hAnsi="Times New Roman"/>
                <w:sz w:val="24"/>
                <w:szCs w:val="24"/>
              </w:rPr>
              <w:t>▪ P1, P2 un P3 ir pakļauti ievērojamam oglekļa emisiju pārvirzes riskam.</w:t>
            </w:r>
          </w:p>
          <w:p w14:paraId="7E4F3F38" w14:textId="77777777" w:rsidR="009B4C20" w:rsidRPr="009B4C20" w:rsidRDefault="009B4C20" w:rsidP="009B4C20">
            <w:pPr>
              <w:tabs>
                <w:tab w:val="left" w:pos="720"/>
              </w:tabs>
              <w:jc w:val="both"/>
              <w:rPr>
                <w:rFonts w:ascii="Times New Roman" w:eastAsia="Calibri" w:hAnsi="Times New Roman" w:cs="Times New Roman"/>
                <w:sz w:val="24"/>
                <w:szCs w:val="24"/>
              </w:rPr>
            </w:pPr>
            <w:r>
              <w:rPr>
                <w:rFonts w:ascii="Times New Roman" w:hAnsi="Times New Roman"/>
                <w:sz w:val="24"/>
                <w:szCs w:val="24"/>
              </w:rPr>
              <w:t>▪ Ārējie siltuma patērētāji nav pakļauti šim riskam.</w:t>
            </w:r>
          </w:p>
          <w:p w14:paraId="4139351D" w14:textId="77777777" w:rsidR="009B4C20" w:rsidRPr="009B4C20" w:rsidRDefault="009B4C20" w:rsidP="009B4C20">
            <w:pPr>
              <w:jc w:val="both"/>
              <w:rPr>
                <w:rFonts w:ascii="Times New Roman" w:eastAsia="Calibri" w:hAnsi="Times New Roman" w:cs="Times New Roman"/>
                <w:b/>
                <w:bCs/>
                <w:sz w:val="24"/>
                <w:szCs w:val="24"/>
              </w:rPr>
            </w:pPr>
          </w:p>
          <w:p w14:paraId="4AB7776C" w14:textId="77777777" w:rsidR="009B4C20" w:rsidRPr="009B4C20" w:rsidRDefault="009B4C20" w:rsidP="009B4C20">
            <w:pPr>
              <w:tabs>
                <w:tab w:val="left" w:pos="360"/>
              </w:tabs>
              <w:jc w:val="both"/>
              <w:rPr>
                <w:rFonts w:ascii="Times New Roman" w:eastAsia="Calibri" w:hAnsi="Times New Roman" w:cs="Times New Roman"/>
                <w:sz w:val="24"/>
                <w:szCs w:val="24"/>
              </w:rPr>
            </w:pPr>
            <w:r>
              <w:rPr>
                <w:rFonts w:ascii="Times New Roman" w:hAnsi="Times New Roman"/>
                <w:sz w:val="24"/>
                <w:szCs w:val="24"/>
              </w:rPr>
              <w:t>- Nenotiek sadedzināšana lāpā drošības apsvērumu dēļ.</w:t>
            </w:r>
          </w:p>
          <w:p w14:paraId="27865959" w14:textId="77777777" w:rsidR="003E5112" w:rsidRDefault="003E5112" w:rsidP="00583F3E">
            <w:pPr>
              <w:widowControl/>
              <w:jc w:val="both"/>
              <w:rPr>
                <w:rFonts w:ascii="Times New Roman" w:eastAsia="Verdana" w:hAnsi="Times New Roman" w:cs="Times New Roman"/>
                <w:iCs/>
                <w:noProof/>
                <w:position w:val="6"/>
                <w:sz w:val="24"/>
                <w:szCs w:val="20"/>
              </w:rPr>
            </w:pPr>
          </w:p>
        </w:tc>
      </w:tr>
    </w:tbl>
    <w:p w14:paraId="71756DDE" w14:textId="77777777" w:rsidR="003E5112" w:rsidRDefault="003E5112" w:rsidP="00583F3E">
      <w:pPr>
        <w:widowControl/>
        <w:jc w:val="both"/>
        <w:rPr>
          <w:rFonts w:ascii="Times New Roman" w:eastAsia="Verdana" w:hAnsi="Times New Roman" w:cs="Times New Roman"/>
          <w:iCs/>
          <w:noProof/>
          <w:position w:val="6"/>
          <w:sz w:val="24"/>
          <w:szCs w:val="20"/>
        </w:rPr>
      </w:pPr>
    </w:p>
    <w:p w14:paraId="4104CBB8" w14:textId="093B54FB" w:rsidR="00B73E3C" w:rsidRDefault="00B73E3C">
      <w:pPr>
        <w:rPr>
          <w:rFonts w:ascii="Times New Roman" w:eastAsia="Verdana" w:hAnsi="Times New Roman" w:cs="Times New Roman"/>
          <w:iCs/>
          <w:noProof/>
          <w:position w:val="6"/>
          <w:sz w:val="24"/>
          <w:szCs w:val="20"/>
        </w:rPr>
      </w:pPr>
      <w:r>
        <w:rPr>
          <w:rFonts w:ascii="Times New Roman" w:eastAsia="Verdana" w:hAnsi="Times New Roman" w:cs="Times New Roman"/>
          <w:iCs/>
          <w:noProof/>
          <w:position w:val="6"/>
          <w:sz w:val="24"/>
          <w:szCs w:val="20"/>
        </w:rPr>
        <w:br w:type="page"/>
      </w:r>
    </w:p>
    <w:p w14:paraId="4437DFD3" w14:textId="77777777" w:rsidR="003E5112" w:rsidRDefault="003E5112" w:rsidP="00583F3E">
      <w:pPr>
        <w:widowControl/>
        <w:jc w:val="both"/>
        <w:rPr>
          <w:rFonts w:ascii="Times New Roman" w:eastAsia="Verdana" w:hAnsi="Times New Roman" w:cs="Times New Roman"/>
          <w:iCs/>
          <w:noProof/>
          <w:position w:val="6"/>
          <w:sz w:val="24"/>
          <w:szCs w:val="20"/>
        </w:rPr>
      </w:pPr>
    </w:p>
    <w:tbl>
      <w:tblPr>
        <w:tblStyle w:val="TableGrid"/>
        <w:tblW w:w="0" w:type="auto"/>
        <w:tblLook w:val="04A0" w:firstRow="1" w:lastRow="0" w:firstColumn="1" w:lastColumn="0" w:noHBand="0" w:noVBand="1"/>
      </w:tblPr>
      <w:tblGrid>
        <w:gridCol w:w="9288"/>
      </w:tblGrid>
      <w:tr w:rsidR="009B4C20" w14:paraId="4D6B498A" w14:textId="77777777" w:rsidTr="009B4C20">
        <w:tc>
          <w:tcPr>
            <w:tcW w:w="9288" w:type="dxa"/>
          </w:tcPr>
          <w:p w14:paraId="7008253D" w14:textId="77777777" w:rsidR="00C827A3" w:rsidRPr="00C827A3" w:rsidRDefault="00C827A3" w:rsidP="00C827A3">
            <w:pPr>
              <w:spacing w:line="240" w:lineRule="exact"/>
              <w:rPr>
                <w:rFonts w:ascii="Times New Roman" w:eastAsia="Calibri" w:hAnsi="Times New Roman" w:cs="Times New Roman"/>
                <w:sz w:val="24"/>
                <w:szCs w:val="24"/>
              </w:rPr>
            </w:pPr>
            <w:r>
              <w:rPr>
                <w:rFonts w:ascii="Times New Roman" w:hAnsi="Times New Roman"/>
                <w:b/>
                <w:bCs/>
                <w:sz w:val="24"/>
                <w:szCs w:val="24"/>
              </w:rPr>
              <w:t>2. ietvars – produkta līmeņatzīme</w:t>
            </w:r>
          </w:p>
          <w:p w14:paraId="0389755F" w14:textId="77777777" w:rsidR="009B4C20" w:rsidRDefault="009B4C20" w:rsidP="00583F3E">
            <w:pPr>
              <w:widowControl/>
              <w:jc w:val="both"/>
              <w:rPr>
                <w:rFonts w:ascii="Times New Roman" w:eastAsia="Verdana" w:hAnsi="Times New Roman" w:cs="Times New Roman"/>
                <w:iCs/>
                <w:noProof/>
                <w:position w:val="6"/>
                <w:sz w:val="24"/>
                <w:szCs w:val="20"/>
              </w:rPr>
            </w:pPr>
          </w:p>
          <w:p w14:paraId="4B6879AE" w14:textId="15710B41" w:rsidR="009B4C20" w:rsidRDefault="00EA7D40" w:rsidP="00C827A3">
            <w:pPr>
              <w:widowControl/>
              <w:jc w:val="center"/>
              <w:rPr>
                <w:rFonts w:ascii="Times New Roman" w:eastAsia="Verdana" w:hAnsi="Times New Roman" w:cs="Times New Roman"/>
                <w:iCs/>
                <w:noProof/>
                <w:position w:val="6"/>
                <w:sz w:val="24"/>
                <w:szCs w:val="20"/>
              </w:rPr>
            </w:pPr>
            <w:r>
              <w:object w:dxaOrig="14610" w:dyaOrig="8355" w14:anchorId="6E620F3E">
                <v:shape id="_x0000_i1027" type="#_x0000_t75" style="width:452.55pt;height:259pt" o:ole="">
                  <v:imagedata r:id="rId26" o:title=""/>
                </v:shape>
                <o:OLEObject Type="Embed" ProgID="PBrush" ShapeID="_x0000_i1027" DrawAspect="Content" ObjectID="_1651042550" r:id="rId27"/>
              </w:object>
            </w:r>
          </w:p>
          <w:p w14:paraId="0210DC96" w14:textId="77777777" w:rsidR="001E5D99" w:rsidRDefault="001E5D99" w:rsidP="001E5D99">
            <w:pPr>
              <w:widowControl/>
              <w:jc w:val="both"/>
              <w:rPr>
                <w:rFonts w:ascii="Times New Roman" w:eastAsia="Verdana" w:hAnsi="Times New Roman" w:cs="Times New Roman"/>
                <w:iCs/>
                <w:noProof/>
                <w:position w:val="6"/>
                <w:sz w:val="24"/>
                <w:szCs w:val="20"/>
              </w:rPr>
            </w:pPr>
          </w:p>
          <w:p w14:paraId="5C7494C6" w14:textId="77777777" w:rsidR="001E5D99" w:rsidRPr="001E5D99" w:rsidRDefault="001E5D99" w:rsidP="001E5D99">
            <w:pPr>
              <w:jc w:val="both"/>
              <w:rPr>
                <w:rFonts w:ascii="Times New Roman" w:eastAsia="Calibri" w:hAnsi="Times New Roman" w:cs="Times New Roman"/>
                <w:sz w:val="24"/>
                <w:szCs w:val="24"/>
              </w:rPr>
            </w:pPr>
            <w:r>
              <w:rPr>
                <w:rFonts w:ascii="Times New Roman" w:hAnsi="Times New Roman"/>
                <w:i/>
                <w:sz w:val="24"/>
                <w:szCs w:val="24"/>
              </w:rPr>
              <w:t>1.a solis: produkta līmeņatzīmes apakšiekārtu noteikšana</w:t>
            </w:r>
          </w:p>
          <w:p w14:paraId="7F7C6317" w14:textId="77777777" w:rsidR="001E5D99" w:rsidRPr="001E5D99" w:rsidRDefault="001E5D99" w:rsidP="001E5D99">
            <w:pPr>
              <w:jc w:val="both"/>
              <w:rPr>
                <w:rFonts w:ascii="Times New Roman" w:eastAsia="Calibri" w:hAnsi="Times New Roman" w:cs="Times New Roman"/>
                <w:sz w:val="24"/>
                <w:szCs w:val="24"/>
              </w:rPr>
            </w:pPr>
            <w:r>
              <w:rPr>
                <w:rFonts w:ascii="Times New Roman" w:hAnsi="Times New Roman"/>
                <w:sz w:val="24"/>
                <w:szCs w:val="24"/>
              </w:rPr>
              <w:t xml:space="preserve">Šai iekārtai ir 1 produkts ar produkta līmeņatzīmi (tādēļ </w:t>
            </w:r>
            <w:r>
              <w:rPr>
                <w:rFonts w:ascii="Times New Roman" w:hAnsi="Times New Roman"/>
                <w:i/>
                <w:iCs/>
                <w:sz w:val="24"/>
                <w:szCs w:val="24"/>
              </w:rPr>
              <w:t>n</w:t>
            </w:r>
            <w:r>
              <w:rPr>
                <w:rFonts w:ascii="Times New Roman" w:hAnsi="Times New Roman"/>
                <w:sz w:val="24"/>
                <w:szCs w:val="24"/>
              </w:rPr>
              <w:t>=1). Šī produkta ražošanai tiek noteikts procesa bloks P2.</w:t>
            </w:r>
          </w:p>
          <w:p w14:paraId="61F27086" w14:textId="77777777" w:rsidR="001E5D99" w:rsidRPr="001E5D99" w:rsidRDefault="001E5D99" w:rsidP="001E5D99">
            <w:pPr>
              <w:jc w:val="both"/>
              <w:rPr>
                <w:rFonts w:ascii="Times New Roman" w:eastAsia="Times New Roman" w:hAnsi="Times New Roman" w:cs="Times New Roman"/>
                <w:sz w:val="24"/>
                <w:szCs w:val="24"/>
              </w:rPr>
            </w:pPr>
          </w:p>
          <w:p w14:paraId="2CD3B898" w14:textId="77777777" w:rsidR="001E5D99" w:rsidRPr="001E5D99" w:rsidRDefault="001E5D99" w:rsidP="001E5D99">
            <w:pPr>
              <w:jc w:val="both"/>
              <w:rPr>
                <w:rFonts w:ascii="Times New Roman" w:eastAsia="Calibri" w:hAnsi="Times New Roman" w:cs="Times New Roman"/>
                <w:sz w:val="24"/>
                <w:szCs w:val="24"/>
              </w:rPr>
            </w:pPr>
            <w:r>
              <w:rPr>
                <w:rFonts w:ascii="Times New Roman" w:hAnsi="Times New Roman"/>
                <w:i/>
                <w:sz w:val="24"/>
                <w:szCs w:val="24"/>
              </w:rPr>
              <w:t>1.b solis: attiecina attiecīgo ielaidi un izlaidi</w:t>
            </w:r>
          </w:p>
          <w:p w14:paraId="515D78FB" w14:textId="77777777" w:rsidR="001E5D99" w:rsidRPr="001E5D99" w:rsidRDefault="001E5D99" w:rsidP="001E5D99">
            <w:pPr>
              <w:tabs>
                <w:tab w:val="left" w:pos="360"/>
              </w:tabs>
              <w:jc w:val="both"/>
              <w:rPr>
                <w:rFonts w:ascii="Times New Roman" w:eastAsia="Calibri" w:hAnsi="Times New Roman" w:cs="Times New Roman"/>
                <w:sz w:val="24"/>
                <w:szCs w:val="24"/>
              </w:rPr>
            </w:pPr>
            <w:r>
              <w:rPr>
                <w:rFonts w:ascii="Times New Roman" w:hAnsi="Times New Roman"/>
                <w:sz w:val="24"/>
                <w:szCs w:val="24"/>
              </w:rPr>
              <w:t>- Attiecīgās enerģijas plūsmas apakšiekārtai Nr. 1 ir attēlotas punktētu bultiņu veidā.</w:t>
            </w:r>
          </w:p>
          <w:p w14:paraId="09F72641" w14:textId="77777777" w:rsidR="001E5D99" w:rsidRPr="001E5D99" w:rsidRDefault="001E5D99" w:rsidP="001E5D99">
            <w:pPr>
              <w:tabs>
                <w:tab w:val="left" w:pos="360"/>
              </w:tabs>
              <w:jc w:val="both"/>
              <w:rPr>
                <w:rFonts w:ascii="Times New Roman" w:eastAsia="Calibri" w:hAnsi="Times New Roman" w:cs="Times New Roman"/>
                <w:sz w:val="24"/>
                <w:szCs w:val="24"/>
              </w:rPr>
            </w:pPr>
            <w:r>
              <w:rPr>
                <w:rFonts w:ascii="Times New Roman" w:hAnsi="Times New Roman"/>
                <w:sz w:val="24"/>
                <w:szCs w:val="24"/>
              </w:rPr>
              <w:t>- Apakšiekārtā Nr. 1 (P2) kurināmais un siltums tiek ielaists, atlikumgāzes un emisijas (nav parādītas) no tās tiek izlaistas, kā arī tiek attiecinātas uz apakšiekārtu.</w:t>
            </w:r>
          </w:p>
          <w:p w14:paraId="698342C2" w14:textId="77777777" w:rsidR="001E5D99" w:rsidRPr="001E5D99" w:rsidRDefault="001E5D99" w:rsidP="001E5D99">
            <w:pPr>
              <w:tabs>
                <w:tab w:val="left" w:pos="360"/>
              </w:tabs>
              <w:jc w:val="both"/>
              <w:rPr>
                <w:rFonts w:ascii="Times New Roman" w:eastAsia="Calibri" w:hAnsi="Times New Roman" w:cs="Times New Roman"/>
                <w:sz w:val="24"/>
                <w:szCs w:val="24"/>
              </w:rPr>
            </w:pPr>
            <w:r>
              <w:rPr>
                <w:rFonts w:ascii="Times New Roman" w:hAnsi="Times New Roman"/>
                <w:sz w:val="24"/>
                <w:szCs w:val="24"/>
              </w:rPr>
              <w:t>- Kurināmā un siltuma ielaides daudzums (enerģijas vienībās) neietekmē apakšiekārtai Nr. 1 bez maksas piešķiramo kvotu apjomu, bet ir būtiski šos daudzumus zināt, jo tie nav jāattiecina uz citu apakšiekārtu.</w:t>
            </w:r>
          </w:p>
          <w:p w14:paraId="6BA500B0" w14:textId="77777777" w:rsidR="001E5D99" w:rsidRPr="001E5D99" w:rsidRDefault="001E5D99" w:rsidP="001E5D99">
            <w:pPr>
              <w:jc w:val="both"/>
              <w:rPr>
                <w:rFonts w:ascii="Times New Roman" w:eastAsia="Times New Roman" w:hAnsi="Times New Roman" w:cs="Times New Roman"/>
                <w:sz w:val="24"/>
                <w:szCs w:val="24"/>
              </w:rPr>
            </w:pPr>
          </w:p>
          <w:p w14:paraId="34185593" w14:textId="77777777" w:rsidR="001E5D99" w:rsidRPr="001E5D99" w:rsidRDefault="001E5D99" w:rsidP="001E5D99">
            <w:pPr>
              <w:jc w:val="both"/>
              <w:rPr>
                <w:rFonts w:ascii="Times New Roman" w:eastAsia="Calibri" w:hAnsi="Times New Roman" w:cs="Times New Roman"/>
                <w:sz w:val="24"/>
                <w:szCs w:val="24"/>
              </w:rPr>
            </w:pPr>
            <w:r>
              <w:rPr>
                <w:rFonts w:ascii="Times New Roman" w:hAnsi="Times New Roman"/>
                <w:i/>
                <w:sz w:val="24"/>
                <w:szCs w:val="24"/>
              </w:rPr>
              <w:t xml:space="preserve">1.c solis: </w:t>
            </w:r>
            <w:r>
              <w:rPr>
                <w:rFonts w:ascii="Times New Roman" w:hAnsi="Times New Roman"/>
                <w:i/>
                <w:sz w:val="24"/>
                <w:szCs w:val="24"/>
                <w:u w:val="single" w:color="000000"/>
              </w:rPr>
              <w:t>nosaka vēsturisko darbības līmeni</w:t>
            </w:r>
          </w:p>
          <w:p w14:paraId="2497C923" w14:textId="77777777" w:rsidR="009B4C20" w:rsidRPr="001E5D99" w:rsidRDefault="001E5D99" w:rsidP="001E5D99">
            <w:pPr>
              <w:widowControl/>
              <w:jc w:val="both"/>
              <w:rPr>
                <w:rFonts w:ascii="Times New Roman" w:eastAsia="Verdana" w:hAnsi="Times New Roman" w:cs="Times New Roman"/>
                <w:iCs/>
                <w:noProof/>
                <w:position w:val="6"/>
                <w:sz w:val="24"/>
                <w:szCs w:val="24"/>
              </w:rPr>
            </w:pPr>
            <w:r>
              <w:rPr>
                <w:rFonts w:ascii="Times New Roman" w:hAnsi="Times New Roman"/>
                <w:sz w:val="24"/>
                <w:szCs w:val="24"/>
              </w:rPr>
              <w:t>- Apakšiekārtas Nr. 1 vēsturisko darbības līmeni nosaka, pamatojoties uz produkta Nr. 2 vēsturiskajiem ražošanas apjomiem.</w:t>
            </w:r>
          </w:p>
          <w:p w14:paraId="6E0C0A4B" w14:textId="77777777" w:rsidR="001E5D99" w:rsidRDefault="001E5D99" w:rsidP="00583F3E">
            <w:pPr>
              <w:widowControl/>
              <w:jc w:val="both"/>
              <w:rPr>
                <w:rFonts w:ascii="Times New Roman" w:eastAsia="Verdana" w:hAnsi="Times New Roman" w:cs="Times New Roman"/>
                <w:iCs/>
                <w:noProof/>
                <w:position w:val="6"/>
                <w:sz w:val="24"/>
                <w:szCs w:val="20"/>
              </w:rPr>
            </w:pPr>
          </w:p>
          <w:p w14:paraId="5EF3E37E" w14:textId="77777777" w:rsidR="009B4C20" w:rsidRDefault="009B4C20" w:rsidP="00583F3E">
            <w:pPr>
              <w:widowControl/>
              <w:jc w:val="both"/>
              <w:rPr>
                <w:rFonts w:ascii="Times New Roman" w:eastAsia="Verdana" w:hAnsi="Times New Roman" w:cs="Times New Roman"/>
                <w:iCs/>
                <w:noProof/>
                <w:position w:val="6"/>
                <w:sz w:val="24"/>
                <w:szCs w:val="20"/>
              </w:rPr>
            </w:pPr>
          </w:p>
        </w:tc>
      </w:tr>
    </w:tbl>
    <w:p w14:paraId="27F11B23" w14:textId="63EFB763" w:rsidR="00EA7D40" w:rsidRDefault="00EA7D40" w:rsidP="00583F3E">
      <w:pPr>
        <w:widowControl/>
        <w:jc w:val="both"/>
        <w:rPr>
          <w:rFonts w:ascii="Times New Roman" w:eastAsia="Verdana" w:hAnsi="Times New Roman" w:cs="Times New Roman"/>
          <w:iCs/>
          <w:noProof/>
          <w:position w:val="6"/>
          <w:sz w:val="24"/>
          <w:szCs w:val="20"/>
        </w:rPr>
      </w:pPr>
    </w:p>
    <w:p w14:paraId="7E5B4AA5" w14:textId="77777777" w:rsidR="00EA7D40" w:rsidRDefault="00EA7D40">
      <w:pPr>
        <w:rPr>
          <w:rFonts w:ascii="Times New Roman" w:eastAsia="Verdana" w:hAnsi="Times New Roman" w:cs="Times New Roman"/>
          <w:iCs/>
          <w:noProof/>
          <w:position w:val="6"/>
          <w:sz w:val="24"/>
          <w:szCs w:val="20"/>
        </w:rPr>
      </w:pPr>
      <w:r>
        <w:rPr>
          <w:rFonts w:ascii="Times New Roman" w:eastAsia="Verdana" w:hAnsi="Times New Roman" w:cs="Times New Roman"/>
          <w:iCs/>
          <w:noProof/>
          <w:position w:val="6"/>
          <w:sz w:val="24"/>
          <w:szCs w:val="20"/>
        </w:rPr>
        <w:br w:type="page"/>
      </w:r>
    </w:p>
    <w:p w14:paraId="0FE8757B" w14:textId="77777777" w:rsidR="003E5112" w:rsidRDefault="003E5112" w:rsidP="00583F3E">
      <w:pPr>
        <w:widowControl/>
        <w:jc w:val="both"/>
        <w:rPr>
          <w:rFonts w:ascii="Times New Roman" w:eastAsia="Verdana" w:hAnsi="Times New Roman" w:cs="Times New Roman"/>
          <w:iCs/>
          <w:noProof/>
          <w:position w:val="6"/>
          <w:sz w:val="24"/>
          <w:szCs w:val="20"/>
        </w:rPr>
      </w:pPr>
    </w:p>
    <w:tbl>
      <w:tblPr>
        <w:tblStyle w:val="TableGrid"/>
        <w:tblW w:w="0" w:type="auto"/>
        <w:tblLook w:val="04A0" w:firstRow="1" w:lastRow="0" w:firstColumn="1" w:lastColumn="0" w:noHBand="0" w:noVBand="1"/>
      </w:tblPr>
      <w:tblGrid>
        <w:gridCol w:w="9288"/>
      </w:tblGrid>
      <w:tr w:rsidR="001E5D99" w14:paraId="649E3F2E" w14:textId="77777777" w:rsidTr="001E5D99">
        <w:tc>
          <w:tcPr>
            <w:tcW w:w="9288" w:type="dxa"/>
          </w:tcPr>
          <w:p w14:paraId="67AAC5AF" w14:textId="77777777" w:rsidR="001E5D99" w:rsidRPr="001E5D99" w:rsidRDefault="001E5D99" w:rsidP="00583F3E">
            <w:pPr>
              <w:widowControl/>
              <w:jc w:val="both"/>
              <w:rPr>
                <w:rFonts w:ascii="Times New Roman" w:eastAsia="Verdana" w:hAnsi="Times New Roman" w:cs="Times New Roman"/>
                <w:b/>
                <w:bCs/>
                <w:iCs/>
                <w:noProof/>
                <w:position w:val="6"/>
                <w:sz w:val="24"/>
                <w:szCs w:val="24"/>
              </w:rPr>
            </w:pPr>
            <w:r>
              <w:rPr>
                <w:rFonts w:ascii="Times New Roman" w:hAnsi="Times New Roman"/>
                <w:b/>
                <w:bCs/>
                <w:sz w:val="24"/>
                <w:szCs w:val="24"/>
              </w:rPr>
              <w:t>3. ietvars – siltuma līmeņatzīme; pakļauts oglekļa emisiju pārvirzes riskam</w:t>
            </w:r>
          </w:p>
          <w:p w14:paraId="1D6EBEB7" w14:textId="77777777" w:rsidR="001E5D99" w:rsidRDefault="001E5D99" w:rsidP="00583F3E">
            <w:pPr>
              <w:widowControl/>
              <w:jc w:val="both"/>
              <w:rPr>
                <w:rFonts w:ascii="Times New Roman" w:eastAsia="Verdana" w:hAnsi="Times New Roman" w:cs="Times New Roman"/>
                <w:iCs/>
                <w:noProof/>
                <w:position w:val="6"/>
                <w:sz w:val="24"/>
                <w:szCs w:val="20"/>
              </w:rPr>
            </w:pPr>
          </w:p>
          <w:p w14:paraId="3C973AC9" w14:textId="11D3CFAF" w:rsidR="001E5D99" w:rsidRDefault="00EA7D40" w:rsidP="001E5D99">
            <w:pPr>
              <w:widowControl/>
              <w:jc w:val="center"/>
              <w:rPr>
                <w:rFonts w:ascii="Times New Roman" w:eastAsia="Verdana" w:hAnsi="Times New Roman" w:cs="Times New Roman"/>
                <w:iCs/>
                <w:noProof/>
                <w:position w:val="6"/>
                <w:sz w:val="24"/>
                <w:szCs w:val="20"/>
              </w:rPr>
            </w:pPr>
            <w:r>
              <w:object w:dxaOrig="14490" w:dyaOrig="8355" w14:anchorId="43B8FE39">
                <v:shape id="_x0000_i1028" type="#_x0000_t75" style="width:453.5pt;height:260.9pt" o:ole="">
                  <v:imagedata r:id="rId28" o:title=""/>
                </v:shape>
                <o:OLEObject Type="Embed" ProgID="PBrush" ShapeID="_x0000_i1028" DrawAspect="Content" ObjectID="_1651042551" r:id="rId29"/>
              </w:object>
            </w:r>
          </w:p>
          <w:p w14:paraId="10B715BA" w14:textId="77777777" w:rsidR="001E5D99" w:rsidRDefault="001E5D99" w:rsidP="001E5D99">
            <w:pPr>
              <w:widowControl/>
              <w:jc w:val="both"/>
              <w:rPr>
                <w:rFonts w:ascii="Times New Roman" w:eastAsia="Verdana" w:hAnsi="Times New Roman" w:cs="Times New Roman"/>
                <w:iCs/>
                <w:noProof/>
                <w:position w:val="6"/>
                <w:sz w:val="24"/>
                <w:szCs w:val="20"/>
              </w:rPr>
            </w:pPr>
          </w:p>
          <w:p w14:paraId="5383180A" w14:textId="77777777" w:rsidR="001E5D99" w:rsidRPr="001E5D99" w:rsidRDefault="001E5D99" w:rsidP="001E5D99">
            <w:pPr>
              <w:jc w:val="both"/>
              <w:rPr>
                <w:rFonts w:ascii="Times New Roman" w:eastAsia="Calibri" w:hAnsi="Times New Roman" w:cs="Times New Roman"/>
                <w:sz w:val="24"/>
                <w:szCs w:val="24"/>
              </w:rPr>
            </w:pPr>
            <w:r>
              <w:rPr>
                <w:rFonts w:ascii="Times New Roman" w:hAnsi="Times New Roman"/>
                <w:i/>
                <w:sz w:val="24"/>
                <w:szCs w:val="24"/>
              </w:rPr>
              <w:t>2.a solis: nosaka vienu vai divas siltuma līmeņatzīmes apakšiekārtas</w:t>
            </w:r>
          </w:p>
          <w:p w14:paraId="673E2AA5" w14:textId="77777777" w:rsidR="001E5D99" w:rsidRPr="001E5D99" w:rsidRDefault="001E5D99" w:rsidP="001E5D99">
            <w:pPr>
              <w:tabs>
                <w:tab w:val="left" w:pos="630"/>
              </w:tabs>
              <w:jc w:val="both"/>
              <w:rPr>
                <w:rFonts w:ascii="Times New Roman" w:eastAsia="Calibri" w:hAnsi="Times New Roman" w:cs="Times New Roman"/>
                <w:sz w:val="24"/>
                <w:szCs w:val="24"/>
              </w:rPr>
            </w:pPr>
            <w:r>
              <w:rPr>
                <w:rFonts w:ascii="Times New Roman" w:hAnsi="Times New Roman"/>
                <w:sz w:val="24"/>
                <w:szCs w:val="24"/>
              </w:rPr>
              <w:t>- Iekārta patērē izmērāmu siltumu ārpus produkta līmeņatzīmes robežām (P1 un P3) un eksportē siltumu ETS neaptvertiem patērētājiem.</w:t>
            </w:r>
          </w:p>
          <w:p w14:paraId="56F6F52D" w14:textId="77777777" w:rsidR="001E5D99" w:rsidRPr="001E5D99" w:rsidRDefault="001E5D99" w:rsidP="001E5D99">
            <w:pPr>
              <w:tabs>
                <w:tab w:val="left" w:pos="630"/>
              </w:tabs>
              <w:jc w:val="both"/>
              <w:rPr>
                <w:rFonts w:ascii="Times New Roman" w:eastAsia="Calibri" w:hAnsi="Times New Roman" w:cs="Times New Roman"/>
                <w:sz w:val="24"/>
                <w:szCs w:val="24"/>
              </w:rPr>
            </w:pPr>
            <w:r>
              <w:rPr>
                <w:rFonts w:ascii="Times New Roman" w:hAnsi="Times New Roman"/>
                <w:sz w:val="24"/>
                <w:szCs w:val="24"/>
              </w:rPr>
              <w:t>- Procesa bloki (P1 un P3) ir pakļauti ievērojamam oglekļa emisiju pārvirzes riskam, turpretim ETS neaptvertie patērētāji nav pakļauti šim riskam. Tādēļ ir jānosaka divas siltuma līmeņatzīmes apakšiekārtas.</w:t>
            </w:r>
          </w:p>
          <w:p w14:paraId="5B289524" w14:textId="77777777" w:rsidR="001E5D99" w:rsidRPr="001E5D99" w:rsidRDefault="001E5D99" w:rsidP="001E5D99">
            <w:pPr>
              <w:jc w:val="both"/>
              <w:rPr>
                <w:rFonts w:ascii="Times New Roman" w:eastAsia="Calibri" w:hAnsi="Times New Roman" w:cs="Times New Roman"/>
                <w:sz w:val="24"/>
                <w:szCs w:val="24"/>
              </w:rPr>
            </w:pPr>
          </w:p>
          <w:p w14:paraId="3EEE5F18" w14:textId="77777777" w:rsidR="001E5D99" w:rsidRPr="001E5D99" w:rsidRDefault="001E5D99" w:rsidP="001E5D99">
            <w:pPr>
              <w:jc w:val="both"/>
              <w:rPr>
                <w:rFonts w:ascii="Times New Roman" w:eastAsia="Calibri" w:hAnsi="Times New Roman" w:cs="Times New Roman"/>
                <w:sz w:val="24"/>
                <w:szCs w:val="24"/>
              </w:rPr>
            </w:pPr>
            <w:r>
              <w:rPr>
                <w:rFonts w:ascii="Times New Roman" w:hAnsi="Times New Roman"/>
                <w:i/>
                <w:sz w:val="24"/>
                <w:szCs w:val="24"/>
              </w:rPr>
              <w:t>2.a un 2.b solis – attiecina attiecīgo ielaidi un izlaidi (apakšiekārtai Nr. 2)</w:t>
            </w:r>
          </w:p>
          <w:p w14:paraId="59C2ED77" w14:textId="77777777" w:rsidR="001E5D99" w:rsidRPr="001E5D99" w:rsidRDefault="001E5D99" w:rsidP="001E5D99">
            <w:pPr>
              <w:tabs>
                <w:tab w:val="left" w:pos="630"/>
              </w:tabs>
              <w:jc w:val="both"/>
              <w:rPr>
                <w:rFonts w:ascii="Times New Roman" w:eastAsia="Calibri" w:hAnsi="Times New Roman" w:cs="Times New Roman"/>
                <w:sz w:val="24"/>
                <w:szCs w:val="24"/>
              </w:rPr>
            </w:pPr>
            <w:r>
              <w:rPr>
                <w:rFonts w:ascii="Times New Roman" w:hAnsi="Times New Roman"/>
                <w:sz w:val="24"/>
                <w:szCs w:val="24"/>
              </w:rPr>
              <w:t>- Apakšiekārta Nr. 2 veido siltumu, ko patērē P1 un P3, emisijas, kas saistītas ar šī siltuma ražošanu, un enerģijas plūsmas, ko izmanto šī siltuma ražošanai.</w:t>
            </w:r>
          </w:p>
          <w:p w14:paraId="261CCE97" w14:textId="77777777" w:rsidR="001E5D99" w:rsidRPr="001E5D99" w:rsidRDefault="001E5D99" w:rsidP="001E5D99">
            <w:pPr>
              <w:tabs>
                <w:tab w:val="left" w:pos="630"/>
              </w:tabs>
              <w:jc w:val="both"/>
              <w:rPr>
                <w:rFonts w:ascii="Times New Roman" w:eastAsia="Calibri" w:hAnsi="Times New Roman" w:cs="Times New Roman"/>
                <w:sz w:val="24"/>
                <w:szCs w:val="24"/>
              </w:rPr>
            </w:pPr>
            <w:r>
              <w:rPr>
                <w:rFonts w:ascii="Times New Roman" w:hAnsi="Times New Roman"/>
                <w:sz w:val="24"/>
                <w:szCs w:val="24"/>
              </w:rPr>
              <w:t>- Siltums tiek ražots, sadedzinot atlikumgāzes un kurināmo 2 tvaika ģeneratoros; daļu no saražotā siltuma patērē arī citi patērētāji. Tādēļ apakšiekārta Nr. 2 veido daļu no atlikumgāzēm un kurināmā, kas tiek sadedzināts tvaika ģeneratoros, kā arī daļu atbilstošo emisiju.</w:t>
            </w:r>
          </w:p>
          <w:p w14:paraId="3A2E40F6" w14:textId="77777777" w:rsidR="001E5D99" w:rsidRPr="001E5D99" w:rsidRDefault="001E5D99" w:rsidP="001E5D99">
            <w:pPr>
              <w:jc w:val="both"/>
              <w:rPr>
                <w:rFonts w:ascii="Times New Roman" w:eastAsia="Calibri" w:hAnsi="Times New Roman" w:cs="Times New Roman"/>
                <w:sz w:val="24"/>
                <w:szCs w:val="24"/>
              </w:rPr>
            </w:pPr>
          </w:p>
          <w:p w14:paraId="1B7EE97F" w14:textId="77777777" w:rsidR="001E5D99" w:rsidRPr="001E5D99" w:rsidRDefault="001E5D99" w:rsidP="001E5D99">
            <w:pPr>
              <w:jc w:val="both"/>
              <w:rPr>
                <w:rFonts w:ascii="Times New Roman" w:eastAsia="Calibri" w:hAnsi="Times New Roman" w:cs="Times New Roman"/>
                <w:sz w:val="24"/>
                <w:szCs w:val="24"/>
              </w:rPr>
            </w:pPr>
            <w:r>
              <w:rPr>
                <w:rFonts w:ascii="Times New Roman" w:hAnsi="Times New Roman"/>
                <w:i/>
                <w:sz w:val="24"/>
                <w:szCs w:val="24"/>
              </w:rPr>
              <w:t>2.c solis: nosaka vēsturisko darbības līmeni (apakšiekārtai Nr. 2)</w:t>
            </w:r>
          </w:p>
          <w:p w14:paraId="6ED07597" w14:textId="77777777" w:rsidR="001E5D99" w:rsidRPr="001E5D99" w:rsidRDefault="001E5D99" w:rsidP="001E5D99">
            <w:pPr>
              <w:widowControl/>
              <w:jc w:val="both"/>
              <w:rPr>
                <w:rFonts w:ascii="Times New Roman" w:eastAsia="Verdana" w:hAnsi="Times New Roman" w:cs="Times New Roman"/>
                <w:iCs/>
                <w:noProof/>
                <w:position w:val="6"/>
                <w:sz w:val="24"/>
                <w:szCs w:val="24"/>
              </w:rPr>
            </w:pPr>
            <w:r>
              <w:rPr>
                <w:rFonts w:ascii="Times New Roman" w:hAnsi="Times New Roman"/>
                <w:sz w:val="24"/>
                <w:szCs w:val="24"/>
              </w:rPr>
              <w:t>- Apakšiekārtas Nr. 2 vēsturiskais darbības līmenis ir noteikts, pamatojoties uz P1 un P3 patērētā siltuma summu.</w:t>
            </w:r>
          </w:p>
          <w:p w14:paraId="4E3C147F" w14:textId="77777777" w:rsidR="001E5D99" w:rsidRDefault="001E5D99" w:rsidP="00583F3E">
            <w:pPr>
              <w:widowControl/>
              <w:jc w:val="both"/>
              <w:rPr>
                <w:rFonts w:ascii="Times New Roman" w:eastAsia="Verdana" w:hAnsi="Times New Roman" w:cs="Times New Roman"/>
                <w:iCs/>
                <w:noProof/>
                <w:position w:val="6"/>
                <w:sz w:val="24"/>
                <w:szCs w:val="20"/>
              </w:rPr>
            </w:pPr>
          </w:p>
          <w:p w14:paraId="71EB22AD" w14:textId="77777777" w:rsidR="001E5D99" w:rsidRDefault="001E5D99" w:rsidP="00583F3E">
            <w:pPr>
              <w:widowControl/>
              <w:jc w:val="both"/>
              <w:rPr>
                <w:rFonts w:ascii="Times New Roman" w:eastAsia="Verdana" w:hAnsi="Times New Roman" w:cs="Times New Roman"/>
                <w:iCs/>
                <w:noProof/>
                <w:position w:val="6"/>
                <w:sz w:val="24"/>
                <w:szCs w:val="20"/>
              </w:rPr>
            </w:pPr>
          </w:p>
        </w:tc>
      </w:tr>
    </w:tbl>
    <w:p w14:paraId="25EABD20" w14:textId="59AE5A94" w:rsidR="00EA7D40" w:rsidRDefault="00EA7D40" w:rsidP="00583F3E">
      <w:pPr>
        <w:widowControl/>
        <w:jc w:val="both"/>
        <w:rPr>
          <w:rFonts w:ascii="Times New Roman" w:eastAsia="Verdana" w:hAnsi="Times New Roman" w:cs="Times New Roman"/>
          <w:iCs/>
          <w:noProof/>
          <w:position w:val="6"/>
          <w:sz w:val="24"/>
          <w:szCs w:val="20"/>
        </w:rPr>
      </w:pPr>
    </w:p>
    <w:p w14:paraId="10D5B317" w14:textId="77777777" w:rsidR="00EA7D40" w:rsidRDefault="00EA7D40">
      <w:pPr>
        <w:rPr>
          <w:rFonts w:ascii="Times New Roman" w:eastAsia="Verdana" w:hAnsi="Times New Roman" w:cs="Times New Roman"/>
          <w:iCs/>
          <w:noProof/>
          <w:position w:val="6"/>
          <w:sz w:val="24"/>
          <w:szCs w:val="20"/>
        </w:rPr>
      </w:pPr>
      <w:r>
        <w:rPr>
          <w:rFonts w:ascii="Times New Roman" w:eastAsia="Verdana" w:hAnsi="Times New Roman" w:cs="Times New Roman"/>
          <w:iCs/>
          <w:noProof/>
          <w:position w:val="6"/>
          <w:sz w:val="24"/>
          <w:szCs w:val="20"/>
        </w:rPr>
        <w:br w:type="page"/>
      </w:r>
    </w:p>
    <w:p w14:paraId="4F6B126A" w14:textId="77777777" w:rsidR="003E5112" w:rsidRDefault="003E5112" w:rsidP="00583F3E">
      <w:pPr>
        <w:widowControl/>
        <w:jc w:val="both"/>
        <w:rPr>
          <w:rFonts w:ascii="Times New Roman" w:eastAsia="Verdana" w:hAnsi="Times New Roman" w:cs="Times New Roman"/>
          <w:iCs/>
          <w:noProof/>
          <w:position w:val="6"/>
          <w:sz w:val="24"/>
          <w:szCs w:val="20"/>
        </w:rPr>
      </w:pPr>
    </w:p>
    <w:tbl>
      <w:tblPr>
        <w:tblStyle w:val="TableGrid"/>
        <w:tblW w:w="0" w:type="auto"/>
        <w:tblLook w:val="04A0" w:firstRow="1" w:lastRow="0" w:firstColumn="1" w:lastColumn="0" w:noHBand="0" w:noVBand="1"/>
      </w:tblPr>
      <w:tblGrid>
        <w:gridCol w:w="9288"/>
      </w:tblGrid>
      <w:tr w:rsidR="001E5D99" w14:paraId="5617FDE7" w14:textId="77777777" w:rsidTr="001E5D99">
        <w:tc>
          <w:tcPr>
            <w:tcW w:w="9288" w:type="dxa"/>
          </w:tcPr>
          <w:p w14:paraId="3966404E" w14:textId="77777777" w:rsidR="001E5D99" w:rsidRPr="00FB6E42" w:rsidRDefault="00FB6E42" w:rsidP="00FB6E42">
            <w:pPr>
              <w:widowControl/>
              <w:jc w:val="both"/>
              <w:rPr>
                <w:rFonts w:ascii="Times New Roman" w:eastAsia="Verdana" w:hAnsi="Times New Roman" w:cs="Times New Roman"/>
                <w:b/>
                <w:bCs/>
                <w:iCs/>
                <w:noProof/>
                <w:position w:val="6"/>
                <w:sz w:val="24"/>
                <w:szCs w:val="24"/>
              </w:rPr>
            </w:pPr>
            <w:r>
              <w:rPr>
                <w:rFonts w:ascii="Times New Roman" w:hAnsi="Times New Roman"/>
                <w:b/>
                <w:bCs/>
                <w:sz w:val="24"/>
                <w:szCs w:val="24"/>
              </w:rPr>
              <w:t>4. ietvars – siltuma līmeņatzīme; nav pakļauts oglekļa emisiju pārvirzes riskam</w:t>
            </w:r>
          </w:p>
          <w:p w14:paraId="22BDB559" w14:textId="77777777" w:rsidR="001E5D99" w:rsidRDefault="001E5D99" w:rsidP="00FB6E42">
            <w:pPr>
              <w:widowControl/>
              <w:jc w:val="both"/>
              <w:rPr>
                <w:rFonts w:ascii="Times New Roman" w:eastAsia="Verdana" w:hAnsi="Times New Roman" w:cs="Times New Roman"/>
                <w:iCs/>
                <w:noProof/>
                <w:position w:val="6"/>
                <w:sz w:val="24"/>
                <w:szCs w:val="24"/>
              </w:rPr>
            </w:pPr>
          </w:p>
          <w:p w14:paraId="62E2D5F8" w14:textId="55C6526C" w:rsidR="00FB6E42" w:rsidRDefault="00BA2BAC" w:rsidP="00FB6E42">
            <w:pPr>
              <w:widowControl/>
              <w:jc w:val="center"/>
              <w:rPr>
                <w:rFonts w:ascii="Times New Roman" w:eastAsia="Verdana" w:hAnsi="Times New Roman" w:cs="Times New Roman"/>
                <w:iCs/>
                <w:noProof/>
                <w:position w:val="6"/>
                <w:sz w:val="24"/>
                <w:szCs w:val="24"/>
              </w:rPr>
            </w:pPr>
            <w:r>
              <w:object w:dxaOrig="14340" w:dyaOrig="8490" w14:anchorId="0F496EBA">
                <v:shape id="_x0000_i1029" type="#_x0000_t75" style="width:453.5pt;height:268.35pt" o:ole="">
                  <v:imagedata r:id="rId30" o:title=""/>
                </v:shape>
                <o:OLEObject Type="Embed" ProgID="PBrush" ShapeID="_x0000_i1029" DrawAspect="Content" ObjectID="_1651042552" r:id="rId31"/>
              </w:object>
            </w:r>
          </w:p>
          <w:p w14:paraId="3337859A" w14:textId="77777777" w:rsidR="00FB6E42" w:rsidRDefault="00FB6E42" w:rsidP="00FB6E42">
            <w:pPr>
              <w:widowControl/>
              <w:jc w:val="both"/>
              <w:rPr>
                <w:rFonts w:ascii="Times New Roman" w:eastAsia="Verdana" w:hAnsi="Times New Roman" w:cs="Times New Roman"/>
                <w:iCs/>
                <w:noProof/>
                <w:position w:val="6"/>
                <w:sz w:val="24"/>
                <w:szCs w:val="20"/>
              </w:rPr>
            </w:pPr>
          </w:p>
          <w:p w14:paraId="0F9DC825" w14:textId="77777777" w:rsidR="00FB6E42" w:rsidRPr="00FB6E42" w:rsidRDefault="00FB6E42" w:rsidP="00FB6E42">
            <w:pPr>
              <w:jc w:val="both"/>
              <w:rPr>
                <w:rFonts w:ascii="Times New Roman" w:eastAsia="Calibri" w:hAnsi="Times New Roman" w:cs="Times New Roman"/>
                <w:sz w:val="24"/>
                <w:szCs w:val="24"/>
              </w:rPr>
            </w:pPr>
            <w:r>
              <w:rPr>
                <w:rFonts w:ascii="Times New Roman" w:hAnsi="Times New Roman"/>
                <w:i/>
                <w:sz w:val="24"/>
                <w:szCs w:val="24"/>
              </w:rPr>
              <w:t>2.a un 2.b solis – attiecina attiecīgo ielaidi un izlaidi (apakšiekārtai Nr. 3)</w:t>
            </w:r>
          </w:p>
          <w:p w14:paraId="3313E306" w14:textId="77777777" w:rsidR="00FB6E42" w:rsidRPr="00FB6E42" w:rsidRDefault="00FB6E42" w:rsidP="00FB6E42">
            <w:pPr>
              <w:tabs>
                <w:tab w:val="left" w:pos="630"/>
              </w:tabs>
              <w:jc w:val="both"/>
              <w:rPr>
                <w:rFonts w:ascii="Times New Roman" w:eastAsia="Calibri" w:hAnsi="Times New Roman" w:cs="Times New Roman"/>
                <w:sz w:val="24"/>
                <w:szCs w:val="24"/>
              </w:rPr>
            </w:pPr>
            <w:r>
              <w:rPr>
                <w:rFonts w:ascii="Times New Roman" w:hAnsi="Times New Roman"/>
                <w:sz w:val="24"/>
                <w:szCs w:val="24"/>
              </w:rPr>
              <w:t xml:space="preserve">- Apakšiekārta Nr. 3 tiks noteikta tāda izmērāma siltuma ražošanai, kas tiek patērēts tādu produktu ražošanai, kuri </w:t>
            </w:r>
            <w:r>
              <w:rPr>
                <w:rFonts w:ascii="Times New Roman" w:hAnsi="Times New Roman"/>
                <w:i/>
                <w:sz w:val="24"/>
                <w:szCs w:val="24"/>
              </w:rPr>
              <w:t xml:space="preserve">nav </w:t>
            </w:r>
            <w:r>
              <w:rPr>
                <w:rFonts w:ascii="Times New Roman" w:hAnsi="Times New Roman"/>
                <w:sz w:val="24"/>
                <w:szCs w:val="24"/>
              </w:rPr>
              <w:t>uzskatāmi par pakļautiem ievērojamam oglekļa emisiju pārvirzes riskam. Šajā piemērā patērētāji ir ETS neaptvertie patērētāji, un tādēļ kvotas tiek piešķirtas siltuma ražotājam (jo kvotas nevar tikt piešķirtas ETS neaptvertai iekārtai).</w:t>
            </w:r>
          </w:p>
          <w:p w14:paraId="1CF91DC5" w14:textId="77777777" w:rsidR="00FB6E42" w:rsidRPr="00FB6E42" w:rsidRDefault="00FB6E42" w:rsidP="00FB6E42">
            <w:pPr>
              <w:jc w:val="both"/>
              <w:rPr>
                <w:rFonts w:ascii="Times New Roman" w:eastAsia="Calibri" w:hAnsi="Times New Roman" w:cs="Times New Roman"/>
                <w:sz w:val="24"/>
                <w:szCs w:val="24"/>
              </w:rPr>
            </w:pPr>
          </w:p>
          <w:p w14:paraId="1BF7D813" w14:textId="77777777" w:rsidR="00FB6E42" w:rsidRPr="00FB6E42" w:rsidRDefault="00FB6E42" w:rsidP="00FB6E42">
            <w:pPr>
              <w:jc w:val="both"/>
              <w:rPr>
                <w:rFonts w:ascii="Times New Roman" w:eastAsia="Calibri" w:hAnsi="Times New Roman" w:cs="Times New Roman"/>
                <w:sz w:val="24"/>
                <w:szCs w:val="24"/>
              </w:rPr>
            </w:pPr>
            <w:r>
              <w:rPr>
                <w:rFonts w:ascii="Times New Roman" w:hAnsi="Times New Roman"/>
                <w:i/>
                <w:sz w:val="24"/>
                <w:szCs w:val="24"/>
              </w:rPr>
              <w:t>Ja ārējais siltuma patērētājs būtu cita ETS iekārta, bezmaksas kvotas tiktu piešķirtas siltuma patērētajam, un tādēļ šī apakšiekārta nebūtu daļa no esošās iekārtas.</w:t>
            </w:r>
          </w:p>
          <w:p w14:paraId="0E290BA6" w14:textId="77777777" w:rsidR="00FB6E42" w:rsidRPr="00FB6E42" w:rsidRDefault="00FB6E42" w:rsidP="00FB6E42">
            <w:pPr>
              <w:jc w:val="both"/>
              <w:rPr>
                <w:rFonts w:ascii="Times New Roman" w:eastAsia="Calibri" w:hAnsi="Times New Roman" w:cs="Times New Roman"/>
                <w:i/>
                <w:sz w:val="24"/>
                <w:szCs w:val="24"/>
              </w:rPr>
            </w:pPr>
          </w:p>
          <w:p w14:paraId="57B0A25D" w14:textId="77777777" w:rsidR="00FB6E42" w:rsidRPr="00FB6E42" w:rsidRDefault="00FB6E42" w:rsidP="00FB6E42">
            <w:pPr>
              <w:tabs>
                <w:tab w:val="left" w:pos="630"/>
              </w:tabs>
              <w:jc w:val="both"/>
              <w:rPr>
                <w:rFonts w:ascii="Times New Roman" w:eastAsia="Calibri" w:hAnsi="Times New Roman" w:cs="Times New Roman"/>
                <w:sz w:val="24"/>
                <w:szCs w:val="24"/>
              </w:rPr>
            </w:pPr>
            <w:r>
              <w:rPr>
                <w:rFonts w:ascii="Times New Roman" w:hAnsi="Times New Roman"/>
                <w:sz w:val="24"/>
                <w:szCs w:val="24"/>
              </w:rPr>
              <w:t>- Tāpat kā apakšiekārtai Nr. 2, apakšiekārta Nr. 3 veido daļu no atlikumgāzēm un kurināmā, kas sadedzināts tvaika ģeneratoros, un daļu atbilstošo emisiju (gadījumos, kad tiek aplūkota tikai emisiju, kas rodas no atlikumgāzēm, “patērētāja daļa”, papildu norādījumus sk. Norādījumu dokumentā Nr. 8). Apakšiekārtas Nr. 2 un Nr. 3 kopā aptver kopējo kurināmā daudzumu, kas tiek izmantots, lai ražotu izmērāmu siltumu, un atbilstošās emisijas.</w:t>
            </w:r>
          </w:p>
          <w:p w14:paraId="2E51B96E" w14:textId="77777777" w:rsidR="00FB6E42" w:rsidRPr="00FB6E42" w:rsidRDefault="00FB6E42" w:rsidP="00FB6E42">
            <w:pPr>
              <w:jc w:val="both"/>
              <w:rPr>
                <w:rFonts w:ascii="Times New Roman" w:eastAsia="Calibri" w:hAnsi="Times New Roman" w:cs="Times New Roman"/>
                <w:sz w:val="24"/>
                <w:szCs w:val="24"/>
              </w:rPr>
            </w:pPr>
          </w:p>
          <w:p w14:paraId="10437D2B" w14:textId="77777777" w:rsidR="00FB6E42" w:rsidRPr="00FB6E42" w:rsidRDefault="00FB6E42" w:rsidP="00FB6E42">
            <w:pPr>
              <w:jc w:val="both"/>
              <w:rPr>
                <w:rFonts w:ascii="Times New Roman" w:eastAsia="Calibri" w:hAnsi="Times New Roman" w:cs="Times New Roman"/>
                <w:sz w:val="24"/>
                <w:szCs w:val="24"/>
              </w:rPr>
            </w:pPr>
            <w:r>
              <w:rPr>
                <w:rFonts w:ascii="Times New Roman" w:hAnsi="Times New Roman"/>
                <w:i/>
                <w:sz w:val="24"/>
                <w:szCs w:val="24"/>
              </w:rPr>
              <w:t>2.c solis: nosaka vēsturisko darbības līmeni (apakšiekārtai Nr. 3)</w:t>
            </w:r>
          </w:p>
          <w:p w14:paraId="082583AF" w14:textId="77777777" w:rsidR="00FB6E42" w:rsidRPr="00FB6E42" w:rsidRDefault="00FB6E42" w:rsidP="00FB6E42">
            <w:pPr>
              <w:widowControl/>
              <w:jc w:val="both"/>
              <w:rPr>
                <w:rFonts w:ascii="Times New Roman" w:eastAsia="Verdana" w:hAnsi="Times New Roman" w:cs="Times New Roman"/>
                <w:iCs/>
                <w:noProof/>
                <w:position w:val="6"/>
                <w:sz w:val="24"/>
                <w:szCs w:val="24"/>
              </w:rPr>
            </w:pPr>
            <w:r>
              <w:rPr>
                <w:rFonts w:ascii="Times New Roman" w:hAnsi="Times New Roman"/>
                <w:sz w:val="24"/>
                <w:szCs w:val="24"/>
              </w:rPr>
              <w:t>Apakšiekārtas Nr. 3 vēsturiskais darbības līmenis ir noteikts, pamatojoties uz siltuma daudzumu, kas tiek eksportēts ETS neaptvertiem patērētajiem.</w:t>
            </w:r>
          </w:p>
          <w:p w14:paraId="223998BB" w14:textId="77777777" w:rsidR="001E5D99" w:rsidRPr="00FB6E42" w:rsidRDefault="001E5D99" w:rsidP="00FB6E42">
            <w:pPr>
              <w:widowControl/>
              <w:jc w:val="both"/>
              <w:rPr>
                <w:rFonts w:ascii="Times New Roman" w:eastAsia="Verdana" w:hAnsi="Times New Roman" w:cs="Times New Roman"/>
                <w:iCs/>
                <w:noProof/>
                <w:position w:val="6"/>
                <w:sz w:val="24"/>
                <w:szCs w:val="24"/>
              </w:rPr>
            </w:pPr>
          </w:p>
          <w:p w14:paraId="16A514B4" w14:textId="77777777" w:rsidR="001E5D99" w:rsidRPr="00FB6E42" w:rsidRDefault="001E5D99" w:rsidP="00FB6E42">
            <w:pPr>
              <w:widowControl/>
              <w:jc w:val="both"/>
              <w:rPr>
                <w:rFonts w:ascii="Times New Roman" w:eastAsia="Verdana" w:hAnsi="Times New Roman" w:cs="Times New Roman"/>
                <w:iCs/>
                <w:noProof/>
                <w:position w:val="6"/>
                <w:sz w:val="24"/>
                <w:szCs w:val="24"/>
              </w:rPr>
            </w:pPr>
          </w:p>
        </w:tc>
      </w:tr>
    </w:tbl>
    <w:p w14:paraId="71746FD1" w14:textId="199FA965" w:rsidR="00B275FB" w:rsidRDefault="00B275FB" w:rsidP="00583F3E">
      <w:pPr>
        <w:widowControl/>
        <w:jc w:val="both"/>
        <w:rPr>
          <w:rFonts w:ascii="Times New Roman" w:eastAsia="Verdana" w:hAnsi="Times New Roman" w:cs="Times New Roman"/>
          <w:iCs/>
          <w:noProof/>
          <w:position w:val="6"/>
          <w:sz w:val="24"/>
          <w:szCs w:val="20"/>
        </w:rPr>
      </w:pPr>
    </w:p>
    <w:p w14:paraId="1D3248F5" w14:textId="77777777" w:rsidR="00B275FB" w:rsidRDefault="00B275FB">
      <w:pPr>
        <w:rPr>
          <w:rFonts w:ascii="Times New Roman" w:eastAsia="Verdana" w:hAnsi="Times New Roman" w:cs="Times New Roman"/>
          <w:iCs/>
          <w:noProof/>
          <w:position w:val="6"/>
          <w:sz w:val="24"/>
          <w:szCs w:val="20"/>
        </w:rPr>
      </w:pPr>
      <w:r>
        <w:rPr>
          <w:rFonts w:ascii="Times New Roman" w:eastAsia="Verdana" w:hAnsi="Times New Roman" w:cs="Times New Roman"/>
          <w:iCs/>
          <w:noProof/>
          <w:position w:val="6"/>
          <w:sz w:val="24"/>
          <w:szCs w:val="20"/>
        </w:rPr>
        <w:br w:type="page"/>
      </w:r>
    </w:p>
    <w:p w14:paraId="7A473A97" w14:textId="77777777" w:rsidR="003E5112" w:rsidRDefault="003E5112" w:rsidP="00583F3E">
      <w:pPr>
        <w:widowControl/>
        <w:jc w:val="both"/>
        <w:rPr>
          <w:rFonts w:ascii="Times New Roman" w:eastAsia="Verdana" w:hAnsi="Times New Roman" w:cs="Times New Roman"/>
          <w:iCs/>
          <w:noProof/>
          <w:position w:val="6"/>
          <w:sz w:val="24"/>
          <w:szCs w:val="20"/>
        </w:rPr>
      </w:pPr>
    </w:p>
    <w:tbl>
      <w:tblPr>
        <w:tblStyle w:val="TableGrid"/>
        <w:tblW w:w="0" w:type="auto"/>
        <w:tblLook w:val="04A0" w:firstRow="1" w:lastRow="0" w:firstColumn="1" w:lastColumn="0" w:noHBand="0" w:noVBand="1"/>
      </w:tblPr>
      <w:tblGrid>
        <w:gridCol w:w="9288"/>
      </w:tblGrid>
      <w:tr w:rsidR="00B72299" w14:paraId="4FB7C654" w14:textId="77777777" w:rsidTr="00B72299">
        <w:tc>
          <w:tcPr>
            <w:tcW w:w="9288" w:type="dxa"/>
          </w:tcPr>
          <w:p w14:paraId="1AF28A28" w14:textId="77777777" w:rsidR="00B72299" w:rsidRPr="00B72299" w:rsidRDefault="00B72299" w:rsidP="00B72299">
            <w:pPr>
              <w:jc w:val="both"/>
              <w:rPr>
                <w:rFonts w:ascii="Times New Roman" w:eastAsia="Calibri" w:hAnsi="Times New Roman" w:cs="Times New Roman"/>
                <w:sz w:val="24"/>
                <w:szCs w:val="24"/>
              </w:rPr>
            </w:pPr>
            <w:r>
              <w:rPr>
                <w:rFonts w:ascii="Times New Roman" w:hAnsi="Times New Roman"/>
                <w:b/>
                <w:bCs/>
                <w:sz w:val="24"/>
                <w:szCs w:val="24"/>
              </w:rPr>
              <w:t>5. ietvars – kurināmā līmeņatzīme</w:t>
            </w:r>
          </w:p>
          <w:p w14:paraId="65AAE34A" w14:textId="77777777" w:rsidR="00B72299" w:rsidRDefault="00B72299" w:rsidP="00583F3E">
            <w:pPr>
              <w:widowControl/>
              <w:jc w:val="both"/>
              <w:rPr>
                <w:rFonts w:ascii="Times New Roman" w:eastAsia="Verdana" w:hAnsi="Times New Roman" w:cs="Times New Roman"/>
                <w:iCs/>
                <w:noProof/>
                <w:position w:val="6"/>
                <w:sz w:val="24"/>
                <w:szCs w:val="20"/>
              </w:rPr>
            </w:pPr>
          </w:p>
          <w:p w14:paraId="67DE8804" w14:textId="35E97944" w:rsidR="00B72299" w:rsidRDefault="000A02B5" w:rsidP="00B72299">
            <w:pPr>
              <w:widowControl/>
              <w:jc w:val="center"/>
              <w:rPr>
                <w:rFonts w:ascii="Times New Roman" w:eastAsia="Verdana" w:hAnsi="Times New Roman" w:cs="Times New Roman"/>
                <w:iCs/>
                <w:noProof/>
                <w:position w:val="6"/>
                <w:sz w:val="24"/>
                <w:szCs w:val="20"/>
              </w:rPr>
            </w:pPr>
            <w:r>
              <w:object w:dxaOrig="17595" w:dyaOrig="9795" w14:anchorId="19AC820F">
                <v:shape id="_x0000_i1030" type="#_x0000_t75" style="width:453.5pt;height:252.45pt" o:ole="">
                  <v:imagedata r:id="rId32" o:title=""/>
                </v:shape>
                <o:OLEObject Type="Embed" ProgID="PBrush" ShapeID="_x0000_i1030" DrawAspect="Content" ObjectID="_1651042553" r:id="rId33"/>
              </w:object>
            </w:r>
          </w:p>
          <w:p w14:paraId="625B5E0F" w14:textId="77777777" w:rsidR="00B72299" w:rsidRPr="00B72299" w:rsidRDefault="00B72299" w:rsidP="00B72299">
            <w:pPr>
              <w:widowControl/>
              <w:jc w:val="both"/>
              <w:rPr>
                <w:rFonts w:ascii="Times New Roman" w:eastAsia="Verdana" w:hAnsi="Times New Roman" w:cs="Times New Roman"/>
                <w:iCs/>
                <w:noProof/>
                <w:position w:val="6"/>
                <w:sz w:val="24"/>
                <w:szCs w:val="24"/>
              </w:rPr>
            </w:pPr>
          </w:p>
          <w:p w14:paraId="66345B62" w14:textId="77777777" w:rsidR="00B72299" w:rsidRPr="00B72299" w:rsidRDefault="00B72299" w:rsidP="00B72299">
            <w:pPr>
              <w:jc w:val="both"/>
              <w:rPr>
                <w:rFonts w:ascii="Times New Roman" w:eastAsia="Calibri" w:hAnsi="Times New Roman" w:cs="Times New Roman"/>
                <w:sz w:val="24"/>
                <w:szCs w:val="24"/>
              </w:rPr>
            </w:pPr>
            <w:r>
              <w:rPr>
                <w:rFonts w:ascii="Times New Roman" w:hAnsi="Times New Roman"/>
                <w:i/>
                <w:sz w:val="24"/>
                <w:szCs w:val="24"/>
              </w:rPr>
              <w:t>3.a solis: nosaka vienu vai divas kurināmā līmeņatzīmes apakšiekārtas</w:t>
            </w:r>
          </w:p>
          <w:p w14:paraId="01A2BB10" w14:textId="77777777" w:rsidR="00B72299" w:rsidRPr="00B72299" w:rsidRDefault="00B72299" w:rsidP="00B72299">
            <w:pPr>
              <w:tabs>
                <w:tab w:val="left" w:pos="360"/>
              </w:tabs>
              <w:jc w:val="both"/>
              <w:rPr>
                <w:rFonts w:ascii="Times New Roman" w:eastAsia="Calibri" w:hAnsi="Times New Roman" w:cs="Times New Roman"/>
                <w:sz w:val="24"/>
                <w:szCs w:val="24"/>
              </w:rPr>
            </w:pPr>
            <w:r>
              <w:rPr>
                <w:rFonts w:ascii="Times New Roman" w:hAnsi="Times New Roman"/>
                <w:sz w:val="24"/>
                <w:szCs w:val="24"/>
              </w:rPr>
              <w:t>- Piemērā norādītā apakšiekārta ietver divus procesa blokus (P1 un P3), kuros kurināmais tiek sadedzināts tiešās apsildes vajadzībām. Abi bloki ražo produktus, kas ir uzskatāmi par pakļautiem oglekļa emisiju pārvirzes riskam un kurus tādēļ aptver viena apakšiekārta (apakšiekārta Nr. 4).</w:t>
            </w:r>
          </w:p>
          <w:p w14:paraId="5AEEFCF9" w14:textId="77777777" w:rsidR="00B72299" w:rsidRPr="00B72299" w:rsidRDefault="00B72299" w:rsidP="00B72299">
            <w:pPr>
              <w:jc w:val="both"/>
              <w:rPr>
                <w:rFonts w:ascii="Times New Roman" w:eastAsia="Times New Roman" w:hAnsi="Times New Roman" w:cs="Times New Roman"/>
                <w:sz w:val="24"/>
                <w:szCs w:val="24"/>
              </w:rPr>
            </w:pPr>
          </w:p>
          <w:p w14:paraId="1D6BC416" w14:textId="77777777" w:rsidR="00B72299" w:rsidRPr="00B72299" w:rsidRDefault="00B72299" w:rsidP="00B72299">
            <w:pPr>
              <w:jc w:val="both"/>
              <w:rPr>
                <w:rFonts w:ascii="Times New Roman" w:eastAsia="Calibri" w:hAnsi="Times New Roman" w:cs="Times New Roman"/>
                <w:sz w:val="24"/>
                <w:szCs w:val="24"/>
              </w:rPr>
            </w:pPr>
            <w:r>
              <w:rPr>
                <w:rFonts w:ascii="Times New Roman" w:hAnsi="Times New Roman"/>
                <w:i/>
                <w:sz w:val="24"/>
                <w:szCs w:val="24"/>
              </w:rPr>
              <w:t>3.b solis: attiecina attiecīgo ielaidi un izlaidi (apakšiekārtai Nr. 4)</w:t>
            </w:r>
          </w:p>
          <w:p w14:paraId="4A4E46F3" w14:textId="77777777" w:rsidR="00B72299" w:rsidRPr="00B72299" w:rsidRDefault="00B72299" w:rsidP="00B72299">
            <w:pPr>
              <w:tabs>
                <w:tab w:val="left" w:pos="360"/>
              </w:tabs>
              <w:jc w:val="both"/>
              <w:rPr>
                <w:rFonts w:ascii="Times New Roman" w:eastAsia="Calibri" w:hAnsi="Times New Roman" w:cs="Times New Roman"/>
                <w:sz w:val="24"/>
                <w:szCs w:val="24"/>
              </w:rPr>
            </w:pPr>
            <w:r>
              <w:rPr>
                <w:rFonts w:ascii="Times New Roman" w:hAnsi="Times New Roman"/>
                <w:sz w:val="24"/>
                <w:szCs w:val="24"/>
              </w:rPr>
              <w:t>- Attiecīgā ielaide ir izmantotais kurināmais, un attiecīgā izlaide ir emisijas.</w:t>
            </w:r>
          </w:p>
          <w:p w14:paraId="3804B2A4" w14:textId="77777777" w:rsidR="00B72299" w:rsidRPr="00B72299" w:rsidRDefault="00B72299" w:rsidP="00B72299">
            <w:pPr>
              <w:jc w:val="both"/>
              <w:rPr>
                <w:rFonts w:ascii="Times New Roman" w:eastAsia="Times New Roman" w:hAnsi="Times New Roman" w:cs="Times New Roman"/>
                <w:sz w:val="24"/>
                <w:szCs w:val="24"/>
              </w:rPr>
            </w:pPr>
          </w:p>
          <w:p w14:paraId="274619AB" w14:textId="77777777" w:rsidR="00B72299" w:rsidRPr="00B72299" w:rsidRDefault="00B72299" w:rsidP="00B72299">
            <w:pPr>
              <w:jc w:val="both"/>
              <w:rPr>
                <w:rFonts w:ascii="Times New Roman" w:eastAsia="Calibri" w:hAnsi="Times New Roman" w:cs="Times New Roman"/>
                <w:sz w:val="24"/>
                <w:szCs w:val="24"/>
              </w:rPr>
            </w:pPr>
            <w:r>
              <w:rPr>
                <w:rFonts w:ascii="Times New Roman" w:hAnsi="Times New Roman"/>
                <w:i/>
                <w:sz w:val="24"/>
                <w:szCs w:val="24"/>
              </w:rPr>
              <w:t>Ja būtu notikusi sadedzināšana lāpā drošības apsvērumu dēļ (šajā piemērā sadedzināšana lāpā drošības apsvērumu dēļ netiek veikta), arī kurināmais un/vai atlikumgāzes, kas tiek patērētas, lai veiktu sadedzināšanu lāpā drošības apsvērumu dēļ, būtu attiecīgā ielaide.</w:t>
            </w:r>
          </w:p>
          <w:p w14:paraId="475371AA" w14:textId="77777777" w:rsidR="00B72299" w:rsidRPr="00B72299" w:rsidRDefault="00B72299" w:rsidP="00B72299">
            <w:pPr>
              <w:jc w:val="both"/>
              <w:rPr>
                <w:rFonts w:ascii="Times New Roman" w:eastAsia="Times New Roman" w:hAnsi="Times New Roman" w:cs="Times New Roman"/>
                <w:sz w:val="24"/>
                <w:szCs w:val="24"/>
              </w:rPr>
            </w:pPr>
          </w:p>
          <w:p w14:paraId="673C579A" w14:textId="77777777" w:rsidR="00B72299" w:rsidRPr="00B72299" w:rsidRDefault="00B72299" w:rsidP="00B72299">
            <w:pPr>
              <w:jc w:val="both"/>
              <w:rPr>
                <w:rFonts w:ascii="Times New Roman" w:eastAsia="Calibri" w:hAnsi="Times New Roman" w:cs="Times New Roman"/>
                <w:sz w:val="24"/>
                <w:szCs w:val="24"/>
              </w:rPr>
            </w:pPr>
            <w:r>
              <w:rPr>
                <w:rFonts w:ascii="Times New Roman" w:hAnsi="Times New Roman"/>
                <w:i/>
                <w:sz w:val="24"/>
                <w:szCs w:val="24"/>
              </w:rPr>
              <w:t>3.c solis: nosaka vēsturisko darbības līmeni (apakšiekārtai Nr. 4)</w:t>
            </w:r>
          </w:p>
          <w:p w14:paraId="10F9AEC7" w14:textId="77777777" w:rsidR="00B72299" w:rsidRPr="00B72299" w:rsidRDefault="00B72299" w:rsidP="00B72299">
            <w:pPr>
              <w:widowControl/>
              <w:jc w:val="both"/>
              <w:rPr>
                <w:rFonts w:ascii="Times New Roman" w:eastAsia="Verdana" w:hAnsi="Times New Roman" w:cs="Times New Roman"/>
                <w:iCs/>
                <w:noProof/>
                <w:position w:val="6"/>
                <w:sz w:val="24"/>
                <w:szCs w:val="24"/>
              </w:rPr>
            </w:pPr>
            <w:r>
              <w:rPr>
                <w:rFonts w:ascii="Times New Roman" w:hAnsi="Times New Roman"/>
                <w:sz w:val="24"/>
                <w:szCs w:val="24"/>
              </w:rPr>
              <w:t xml:space="preserve">- Tā kā šajā gadījumā daļa no kurināmā tiek pārvērsta atlikumgāzēs, ir rūpīgi jāseko tam, kā tiek aprēķināts apakšiekārtas Nr. 4 vēsturiskais darbības līmenis; aprēķinot </w:t>
            </w:r>
            <w:r>
              <w:rPr>
                <w:rFonts w:ascii="Times New Roman" w:hAnsi="Times New Roman"/>
                <w:i/>
                <w:sz w:val="24"/>
                <w:szCs w:val="24"/>
              </w:rPr>
              <w:t>HAL</w:t>
            </w:r>
            <w:r>
              <w:rPr>
                <w:rFonts w:ascii="Times New Roman" w:hAnsi="Times New Roman"/>
                <w:sz w:val="24"/>
                <w:szCs w:val="24"/>
              </w:rPr>
              <w:t>, nedrīkst ņemt vērā to kurināmā daļu, kas tiek pārvērsta atlikumgāzēs (</w:t>
            </w:r>
            <w:r>
              <w:rPr>
                <w:rFonts w:ascii="Times New Roman" w:hAnsi="Times New Roman"/>
                <w:i/>
                <w:sz w:val="24"/>
                <w:szCs w:val="24"/>
              </w:rPr>
              <w:t>Norādījumu dokumentā Nr. 8 sk. sīkāku informāciju par to, kā to izdarīt; norādījumi ir sniegti, pamatojoties uz šo pašu piemēru</w:t>
            </w:r>
            <w:r>
              <w:rPr>
                <w:rFonts w:ascii="Times New Roman" w:hAnsi="Times New Roman"/>
                <w:sz w:val="24"/>
                <w:szCs w:val="24"/>
              </w:rPr>
              <w:t>).</w:t>
            </w:r>
          </w:p>
          <w:p w14:paraId="55B2B71F" w14:textId="77777777" w:rsidR="00B72299" w:rsidRPr="00B72299" w:rsidRDefault="00B72299" w:rsidP="00B72299">
            <w:pPr>
              <w:widowControl/>
              <w:jc w:val="both"/>
              <w:rPr>
                <w:rFonts w:ascii="Times New Roman" w:eastAsia="Verdana" w:hAnsi="Times New Roman" w:cs="Times New Roman"/>
                <w:iCs/>
                <w:noProof/>
                <w:position w:val="6"/>
                <w:sz w:val="24"/>
                <w:szCs w:val="24"/>
              </w:rPr>
            </w:pPr>
          </w:p>
          <w:p w14:paraId="44280E42" w14:textId="77777777" w:rsidR="00B72299" w:rsidRDefault="00B72299" w:rsidP="00583F3E">
            <w:pPr>
              <w:widowControl/>
              <w:jc w:val="both"/>
              <w:rPr>
                <w:rFonts w:ascii="Times New Roman" w:eastAsia="Verdana" w:hAnsi="Times New Roman" w:cs="Times New Roman"/>
                <w:iCs/>
                <w:noProof/>
                <w:position w:val="6"/>
                <w:sz w:val="24"/>
                <w:szCs w:val="20"/>
              </w:rPr>
            </w:pPr>
          </w:p>
        </w:tc>
      </w:tr>
    </w:tbl>
    <w:p w14:paraId="584061E0" w14:textId="2B1DF7DB" w:rsidR="000A02B5" w:rsidRDefault="000A02B5" w:rsidP="00583F3E">
      <w:pPr>
        <w:widowControl/>
        <w:jc w:val="both"/>
        <w:rPr>
          <w:rFonts w:ascii="Times New Roman" w:eastAsia="Verdana" w:hAnsi="Times New Roman" w:cs="Times New Roman"/>
          <w:iCs/>
          <w:noProof/>
          <w:position w:val="6"/>
          <w:sz w:val="24"/>
          <w:szCs w:val="20"/>
        </w:rPr>
      </w:pPr>
    </w:p>
    <w:p w14:paraId="37BA6307" w14:textId="77777777" w:rsidR="000A02B5" w:rsidRDefault="000A02B5">
      <w:pPr>
        <w:rPr>
          <w:rFonts w:ascii="Times New Roman" w:eastAsia="Verdana" w:hAnsi="Times New Roman" w:cs="Times New Roman"/>
          <w:iCs/>
          <w:noProof/>
          <w:position w:val="6"/>
          <w:sz w:val="24"/>
          <w:szCs w:val="20"/>
        </w:rPr>
      </w:pPr>
      <w:r>
        <w:rPr>
          <w:rFonts w:ascii="Times New Roman" w:eastAsia="Verdana" w:hAnsi="Times New Roman" w:cs="Times New Roman"/>
          <w:iCs/>
          <w:noProof/>
          <w:position w:val="6"/>
          <w:sz w:val="24"/>
          <w:szCs w:val="20"/>
        </w:rPr>
        <w:br w:type="page"/>
      </w:r>
    </w:p>
    <w:p w14:paraId="1F4B6993" w14:textId="77777777" w:rsidR="001E5D99" w:rsidRDefault="001E5D99" w:rsidP="00583F3E">
      <w:pPr>
        <w:widowControl/>
        <w:jc w:val="both"/>
        <w:rPr>
          <w:rFonts w:ascii="Times New Roman" w:eastAsia="Verdana" w:hAnsi="Times New Roman" w:cs="Times New Roman"/>
          <w:iCs/>
          <w:noProof/>
          <w:position w:val="6"/>
          <w:sz w:val="24"/>
          <w:szCs w:val="20"/>
        </w:rPr>
      </w:pPr>
    </w:p>
    <w:tbl>
      <w:tblPr>
        <w:tblStyle w:val="TableGrid"/>
        <w:tblW w:w="0" w:type="auto"/>
        <w:tblLook w:val="04A0" w:firstRow="1" w:lastRow="0" w:firstColumn="1" w:lastColumn="0" w:noHBand="0" w:noVBand="1"/>
      </w:tblPr>
      <w:tblGrid>
        <w:gridCol w:w="9288"/>
      </w:tblGrid>
      <w:tr w:rsidR="00B72299" w14:paraId="54E46208" w14:textId="77777777" w:rsidTr="00B72299">
        <w:tc>
          <w:tcPr>
            <w:tcW w:w="9288" w:type="dxa"/>
          </w:tcPr>
          <w:p w14:paraId="38F7B4A7" w14:textId="77777777" w:rsidR="00B72299" w:rsidRPr="00741DF8" w:rsidRDefault="00741DF8" w:rsidP="00583F3E">
            <w:pPr>
              <w:widowControl/>
              <w:jc w:val="both"/>
              <w:rPr>
                <w:rFonts w:ascii="Times New Roman" w:eastAsia="Verdana" w:hAnsi="Times New Roman" w:cs="Times New Roman"/>
                <w:b/>
                <w:bCs/>
                <w:iCs/>
                <w:noProof/>
                <w:position w:val="6"/>
                <w:sz w:val="24"/>
                <w:szCs w:val="24"/>
              </w:rPr>
            </w:pPr>
            <w:r>
              <w:rPr>
                <w:rFonts w:ascii="Times New Roman" w:hAnsi="Times New Roman"/>
                <w:b/>
                <w:bCs/>
                <w:sz w:val="24"/>
                <w:szCs w:val="24"/>
              </w:rPr>
              <w:t>6. ietvars – vēsturiskās emisijas attiecībā uz procesa emisijām</w:t>
            </w:r>
          </w:p>
          <w:p w14:paraId="11DA4230" w14:textId="77777777" w:rsidR="00B72299" w:rsidRDefault="00B72299" w:rsidP="00583F3E">
            <w:pPr>
              <w:widowControl/>
              <w:jc w:val="both"/>
              <w:rPr>
                <w:rFonts w:ascii="Times New Roman" w:eastAsia="Verdana" w:hAnsi="Times New Roman" w:cs="Times New Roman"/>
                <w:iCs/>
                <w:noProof/>
                <w:position w:val="6"/>
                <w:sz w:val="24"/>
                <w:szCs w:val="20"/>
              </w:rPr>
            </w:pPr>
          </w:p>
          <w:p w14:paraId="7D29E4E7" w14:textId="7D6A8E25" w:rsidR="00B72299" w:rsidRDefault="000A02B5" w:rsidP="00741DF8">
            <w:pPr>
              <w:widowControl/>
              <w:jc w:val="center"/>
              <w:rPr>
                <w:rFonts w:ascii="Times New Roman" w:eastAsia="Verdana" w:hAnsi="Times New Roman" w:cs="Times New Roman"/>
                <w:iCs/>
                <w:noProof/>
                <w:position w:val="6"/>
                <w:sz w:val="24"/>
                <w:szCs w:val="20"/>
              </w:rPr>
            </w:pPr>
            <w:r>
              <w:object w:dxaOrig="13110" w:dyaOrig="7440" w14:anchorId="5F906BC9">
                <v:shape id="_x0000_i1031" type="#_x0000_t75" style="width:452.55pt;height:257.15pt" o:ole="">
                  <v:imagedata r:id="rId34" o:title=""/>
                </v:shape>
                <o:OLEObject Type="Embed" ProgID="PBrush" ShapeID="_x0000_i1031" DrawAspect="Content" ObjectID="_1651042554" r:id="rId35"/>
              </w:object>
            </w:r>
          </w:p>
          <w:p w14:paraId="4B3F7E55" w14:textId="77777777" w:rsidR="00741DF8" w:rsidRDefault="00741DF8" w:rsidP="00741DF8">
            <w:pPr>
              <w:widowControl/>
              <w:jc w:val="both"/>
              <w:rPr>
                <w:rFonts w:ascii="Times New Roman" w:eastAsia="Verdana" w:hAnsi="Times New Roman" w:cs="Times New Roman"/>
                <w:iCs/>
                <w:noProof/>
                <w:position w:val="6"/>
                <w:sz w:val="24"/>
                <w:szCs w:val="20"/>
              </w:rPr>
            </w:pPr>
          </w:p>
          <w:p w14:paraId="1AABC6F9" w14:textId="77777777" w:rsidR="00741DF8" w:rsidRPr="00741DF8" w:rsidRDefault="00741DF8" w:rsidP="00741DF8">
            <w:pPr>
              <w:jc w:val="both"/>
              <w:rPr>
                <w:rFonts w:ascii="Times New Roman" w:eastAsia="Calibri" w:hAnsi="Times New Roman" w:cs="Times New Roman"/>
                <w:sz w:val="24"/>
                <w:szCs w:val="24"/>
              </w:rPr>
            </w:pPr>
            <w:r>
              <w:rPr>
                <w:rFonts w:ascii="Times New Roman" w:hAnsi="Times New Roman"/>
                <w:i/>
                <w:sz w:val="24"/>
                <w:szCs w:val="24"/>
              </w:rPr>
              <w:t>4.a solis: nosaka vienu vai divas procesa emisiju apakšiekārtas</w:t>
            </w:r>
          </w:p>
          <w:p w14:paraId="4AFD020B" w14:textId="77777777" w:rsidR="00741DF8" w:rsidRPr="00741DF8" w:rsidRDefault="00741DF8" w:rsidP="00741DF8">
            <w:pPr>
              <w:tabs>
                <w:tab w:val="left" w:pos="630"/>
              </w:tabs>
              <w:jc w:val="both"/>
              <w:rPr>
                <w:rFonts w:ascii="Times New Roman" w:eastAsia="Calibri" w:hAnsi="Times New Roman" w:cs="Times New Roman"/>
                <w:sz w:val="24"/>
                <w:szCs w:val="24"/>
              </w:rPr>
            </w:pPr>
            <w:r>
              <w:rPr>
                <w:rFonts w:ascii="Times New Roman" w:hAnsi="Times New Roman"/>
                <w:sz w:val="24"/>
                <w:szCs w:val="24"/>
              </w:rPr>
              <w:t>- Mūsu piemērā norādītajā iekārtā atlikumgāzes, ko rada P1 un P3, var vai nu sadedzināt lāpā (ne drošības apsvērumu dēļ), vai izmantot sadedzināšanai tvaika ģeneratoros.</w:t>
            </w:r>
          </w:p>
          <w:p w14:paraId="674433B0" w14:textId="77777777" w:rsidR="00741DF8" w:rsidRPr="00741DF8" w:rsidRDefault="00741DF8" w:rsidP="00741DF8">
            <w:pPr>
              <w:tabs>
                <w:tab w:val="left" w:pos="630"/>
              </w:tabs>
              <w:jc w:val="both"/>
              <w:rPr>
                <w:rFonts w:ascii="Times New Roman" w:eastAsia="Calibri" w:hAnsi="Times New Roman" w:cs="Times New Roman"/>
                <w:sz w:val="24"/>
                <w:szCs w:val="24"/>
              </w:rPr>
            </w:pPr>
            <w:r>
              <w:rPr>
                <w:rFonts w:ascii="Times New Roman" w:hAnsi="Times New Roman"/>
                <w:sz w:val="24"/>
                <w:szCs w:val="24"/>
              </w:rPr>
              <w:t>- Par sadedzināšanu lāpā (kas nav sadedzināšana lāpā drošības apsvērumu dēļ) nevar pretendēt uz kvotu bezmaksas piešķiršanu, un uz atlikumgāzu izmantošanu tvaika ģeneratoros ir attiekušās 2 siltuma līmeņatzīmes (3. un 4. ietvars).</w:t>
            </w:r>
          </w:p>
          <w:p w14:paraId="3E7FE305" w14:textId="77777777" w:rsidR="00741DF8" w:rsidRPr="00741DF8" w:rsidRDefault="00741DF8" w:rsidP="00741DF8">
            <w:pPr>
              <w:tabs>
                <w:tab w:val="left" w:pos="630"/>
              </w:tabs>
              <w:jc w:val="both"/>
              <w:rPr>
                <w:rFonts w:ascii="Times New Roman" w:eastAsia="Calibri" w:hAnsi="Times New Roman" w:cs="Times New Roman"/>
                <w:sz w:val="24"/>
                <w:szCs w:val="24"/>
              </w:rPr>
            </w:pPr>
            <w:r>
              <w:rPr>
                <w:rFonts w:ascii="Times New Roman" w:hAnsi="Times New Roman"/>
                <w:sz w:val="24"/>
                <w:szCs w:val="24"/>
              </w:rPr>
              <w:t>- Tādēļ apakšiekārta Nr. 5 ir noteikta, izmantojot vēsturisko emisiju pieeju attiecībā uz atlikumgāzu radīšanu no P1 un P3, un attiecīgā attiecināmā plūsma ir radīto atlikumgāzu plūsma.</w:t>
            </w:r>
          </w:p>
          <w:p w14:paraId="4B3508DD" w14:textId="77777777" w:rsidR="00741DF8" w:rsidRPr="00741DF8" w:rsidRDefault="00741DF8" w:rsidP="00741DF8">
            <w:pPr>
              <w:jc w:val="both"/>
              <w:rPr>
                <w:rFonts w:ascii="Times New Roman" w:eastAsia="Calibri" w:hAnsi="Times New Roman" w:cs="Times New Roman"/>
                <w:sz w:val="24"/>
                <w:szCs w:val="24"/>
              </w:rPr>
            </w:pPr>
          </w:p>
          <w:p w14:paraId="4CA1DC27" w14:textId="77777777" w:rsidR="00741DF8" w:rsidRPr="00741DF8" w:rsidRDefault="00741DF8" w:rsidP="00741DF8">
            <w:pPr>
              <w:jc w:val="both"/>
              <w:rPr>
                <w:rFonts w:ascii="Times New Roman" w:eastAsia="Calibri" w:hAnsi="Times New Roman" w:cs="Times New Roman"/>
                <w:sz w:val="24"/>
                <w:szCs w:val="24"/>
              </w:rPr>
            </w:pPr>
            <w:r>
              <w:rPr>
                <w:rFonts w:ascii="Times New Roman" w:hAnsi="Times New Roman"/>
                <w:i/>
                <w:sz w:val="24"/>
                <w:szCs w:val="24"/>
              </w:rPr>
              <w:t>4.b solis: attiecina attiecīgo ielaidi un izlaidi (apakšiekārtai Nr. 5)</w:t>
            </w:r>
          </w:p>
          <w:p w14:paraId="7887A426" w14:textId="77777777" w:rsidR="00741DF8" w:rsidRPr="00741DF8" w:rsidRDefault="00741DF8" w:rsidP="00741DF8">
            <w:pPr>
              <w:jc w:val="both"/>
              <w:rPr>
                <w:rFonts w:ascii="Times New Roman" w:eastAsia="Calibri" w:hAnsi="Times New Roman" w:cs="Times New Roman"/>
                <w:sz w:val="24"/>
                <w:szCs w:val="24"/>
              </w:rPr>
            </w:pPr>
            <w:r>
              <w:rPr>
                <w:rFonts w:ascii="Times New Roman" w:hAnsi="Times New Roman"/>
                <w:sz w:val="24"/>
                <w:szCs w:val="24"/>
              </w:rPr>
              <w:t>Attiecīgā ielaide un izlaide ir:</w:t>
            </w:r>
          </w:p>
          <w:p w14:paraId="06B139CC" w14:textId="77777777" w:rsidR="00741DF8" w:rsidRPr="00741DF8" w:rsidRDefault="00741DF8" w:rsidP="00741DF8">
            <w:pPr>
              <w:tabs>
                <w:tab w:val="left" w:pos="630"/>
              </w:tabs>
              <w:jc w:val="both"/>
              <w:rPr>
                <w:rFonts w:ascii="Times New Roman" w:eastAsia="Calibri" w:hAnsi="Times New Roman" w:cs="Times New Roman"/>
                <w:sz w:val="24"/>
                <w:szCs w:val="24"/>
              </w:rPr>
            </w:pPr>
            <w:r>
              <w:rPr>
                <w:rFonts w:ascii="Times New Roman" w:hAnsi="Times New Roman"/>
                <w:sz w:val="24"/>
                <w:szCs w:val="24"/>
              </w:rPr>
              <w:t>- CO</w:t>
            </w:r>
            <w:r>
              <w:rPr>
                <w:rFonts w:ascii="Times New Roman" w:hAnsi="Times New Roman"/>
                <w:sz w:val="24"/>
                <w:szCs w:val="24"/>
                <w:vertAlign w:val="subscript"/>
              </w:rPr>
              <w:t>2</w:t>
            </w:r>
            <w:r>
              <w:rPr>
                <w:rFonts w:ascii="Times New Roman" w:hAnsi="Times New Roman"/>
                <w:sz w:val="24"/>
                <w:szCs w:val="24"/>
              </w:rPr>
              <w:t xml:space="preserve"> daudzums atlikumgāzē;</w:t>
            </w:r>
          </w:p>
          <w:p w14:paraId="5803017A" w14:textId="77777777" w:rsidR="00741DF8" w:rsidRPr="00741DF8" w:rsidRDefault="00741DF8" w:rsidP="00741DF8">
            <w:pPr>
              <w:tabs>
                <w:tab w:val="left" w:pos="630"/>
              </w:tabs>
              <w:jc w:val="both"/>
              <w:rPr>
                <w:rFonts w:ascii="Times New Roman" w:eastAsia="Calibri" w:hAnsi="Times New Roman" w:cs="Times New Roman"/>
                <w:sz w:val="24"/>
                <w:szCs w:val="24"/>
              </w:rPr>
            </w:pPr>
            <w:r>
              <w:rPr>
                <w:rFonts w:ascii="Times New Roman" w:hAnsi="Times New Roman"/>
                <w:sz w:val="24"/>
                <w:szCs w:val="24"/>
              </w:rPr>
              <w:t>- nepilnīgi sadegušā oglekļa daudzums atlikumgāzē, kas nav sadedzināta lāpā;</w:t>
            </w:r>
          </w:p>
          <w:p w14:paraId="065C9245" w14:textId="77777777" w:rsidR="00741DF8" w:rsidRPr="00741DF8" w:rsidRDefault="00741DF8" w:rsidP="00741DF8">
            <w:pPr>
              <w:tabs>
                <w:tab w:val="left" w:pos="630"/>
              </w:tabs>
              <w:jc w:val="both"/>
              <w:rPr>
                <w:rFonts w:ascii="Times New Roman" w:eastAsia="Calibri" w:hAnsi="Times New Roman" w:cs="Times New Roman"/>
                <w:sz w:val="24"/>
                <w:szCs w:val="24"/>
              </w:rPr>
            </w:pPr>
            <w:r>
              <w:rPr>
                <w:rFonts w:ascii="Times New Roman" w:hAnsi="Times New Roman"/>
                <w:sz w:val="24"/>
                <w:szCs w:val="24"/>
              </w:rPr>
              <w:t>- atlikumgāzes, kas nav sadedzināta lāpā, enerģētiskais saturs;</w:t>
            </w:r>
          </w:p>
          <w:p w14:paraId="28641897" w14:textId="77777777" w:rsidR="00741DF8" w:rsidRPr="00741DF8" w:rsidRDefault="00741DF8" w:rsidP="00741DF8">
            <w:pPr>
              <w:tabs>
                <w:tab w:val="left" w:pos="630"/>
              </w:tabs>
              <w:jc w:val="both"/>
              <w:rPr>
                <w:rFonts w:ascii="Times New Roman" w:eastAsia="Calibri" w:hAnsi="Times New Roman" w:cs="Times New Roman"/>
                <w:sz w:val="24"/>
                <w:szCs w:val="24"/>
              </w:rPr>
            </w:pPr>
            <w:r>
              <w:rPr>
                <w:rFonts w:ascii="Times New Roman" w:hAnsi="Times New Roman"/>
                <w:sz w:val="24"/>
                <w:szCs w:val="24"/>
              </w:rPr>
              <w:t>- kurināmais, kas nepieciešams atlikumgāzes radīšanai.</w:t>
            </w:r>
          </w:p>
          <w:p w14:paraId="23102330" w14:textId="77777777" w:rsidR="00741DF8" w:rsidRPr="00741DF8" w:rsidRDefault="00741DF8" w:rsidP="00741DF8">
            <w:pPr>
              <w:jc w:val="both"/>
              <w:rPr>
                <w:rFonts w:ascii="Times New Roman" w:eastAsia="Calibri" w:hAnsi="Times New Roman" w:cs="Times New Roman"/>
                <w:sz w:val="24"/>
                <w:szCs w:val="24"/>
              </w:rPr>
            </w:pPr>
          </w:p>
          <w:p w14:paraId="3D22A31B" w14:textId="77777777" w:rsidR="00741DF8" w:rsidRPr="00741DF8" w:rsidRDefault="00741DF8" w:rsidP="00741DF8">
            <w:pPr>
              <w:jc w:val="both"/>
              <w:rPr>
                <w:rFonts w:ascii="Times New Roman" w:eastAsia="Calibri" w:hAnsi="Times New Roman" w:cs="Times New Roman"/>
                <w:sz w:val="24"/>
                <w:szCs w:val="24"/>
              </w:rPr>
            </w:pPr>
            <w:r>
              <w:rPr>
                <w:rFonts w:ascii="Times New Roman" w:hAnsi="Times New Roman"/>
                <w:i/>
                <w:sz w:val="24"/>
                <w:szCs w:val="24"/>
              </w:rPr>
              <w:t>4.c solis: nosaka vēsturisko darbības līmeni (apakšiekārtai Nr. 5)</w:t>
            </w:r>
          </w:p>
          <w:p w14:paraId="74D82543" w14:textId="77777777" w:rsidR="00741DF8" w:rsidRPr="00741DF8" w:rsidRDefault="00741DF8" w:rsidP="00741DF8">
            <w:pPr>
              <w:widowControl/>
              <w:jc w:val="both"/>
              <w:rPr>
                <w:rFonts w:ascii="Times New Roman" w:eastAsia="Verdana" w:hAnsi="Times New Roman" w:cs="Times New Roman"/>
                <w:iCs/>
                <w:noProof/>
                <w:position w:val="6"/>
                <w:sz w:val="24"/>
                <w:szCs w:val="24"/>
              </w:rPr>
            </w:pPr>
            <w:r>
              <w:rPr>
                <w:rFonts w:ascii="Times New Roman" w:hAnsi="Times New Roman"/>
                <w:sz w:val="24"/>
                <w:szCs w:val="24"/>
              </w:rPr>
              <w:t>Vēsturiskais darbības līmenis ir CO</w:t>
            </w:r>
            <w:r>
              <w:rPr>
                <w:rFonts w:ascii="Times New Roman" w:hAnsi="Times New Roman"/>
                <w:sz w:val="24"/>
                <w:szCs w:val="24"/>
                <w:vertAlign w:val="subscript"/>
              </w:rPr>
              <w:t>2</w:t>
            </w:r>
            <w:r>
              <w:rPr>
                <w:rFonts w:ascii="Times New Roman" w:hAnsi="Times New Roman"/>
                <w:sz w:val="24"/>
                <w:szCs w:val="24"/>
              </w:rPr>
              <w:t xml:space="preserve">, ko satur atlikumgāzes (pilnīgi oksidēts ogleklis, ko satur atlikumgāzes), plus emisijas, kas rodas, sadedzinot nepilnīgi sadegušo oglekli atlikumgāzēs, kas nav sadedzinātas lāpā, MĪNUS emisijas, kas rodas, sadedzinot tādu daudzumu dabasgāzes, kuram ir tāds pats enerģētiskais saturs. Jāievēro, ka kvotas par atlikumgāzes izmantošanu tiek piešķirtas patērētājam, nevis ražotājam. Tas neattiecas uz šo piemēru, jo atlikumgāze tiek gan ražota, gan patērēta vienā iekārtā. </w:t>
            </w:r>
            <w:r>
              <w:rPr>
                <w:rFonts w:ascii="Times New Roman" w:hAnsi="Times New Roman"/>
                <w:i/>
                <w:sz w:val="24"/>
                <w:szCs w:val="24"/>
              </w:rPr>
              <w:t>Papildu norādījumus par kvotu piešķiršanu attiecībā uz emisijām no atlikumgāzēm sk. Norādījumu dokumentā Nr. 8.</w:t>
            </w:r>
          </w:p>
          <w:p w14:paraId="48252AB6" w14:textId="77777777" w:rsidR="00B72299" w:rsidRDefault="00B72299" w:rsidP="00583F3E">
            <w:pPr>
              <w:widowControl/>
              <w:jc w:val="both"/>
              <w:rPr>
                <w:rFonts w:ascii="Times New Roman" w:eastAsia="Verdana" w:hAnsi="Times New Roman" w:cs="Times New Roman"/>
                <w:iCs/>
                <w:noProof/>
                <w:position w:val="6"/>
                <w:sz w:val="24"/>
                <w:szCs w:val="20"/>
              </w:rPr>
            </w:pPr>
          </w:p>
        </w:tc>
      </w:tr>
    </w:tbl>
    <w:p w14:paraId="5891A58C" w14:textId="120E4825" w:rsidR="000A02B5" w:rsidRDefault="000A02B5" w:rsidP="00583F3E">
      <w:pPr>
        <w:widowControl/>
        <w:jc w:val="both"/>
        <w:rPr>
          <w:rFonts w:ascii="Times New Roman" w:eastAsia="Verdana" w:hAnsi="Times New Roman" w:cs="Times New Roman"/>
          <w:iCs/>
          <w:noProof/>
          <w:position w:val="6"/>
          <w:sz w:val="24"/>
          <w:szCs w:val="20"/>
        </w:rPr>
      </w:pPr>
    </w:p>
    <w:p w14:paraId="48F25FE0" w14:textId="77777777" w:rsidR="000A02B5" w:rsidRDefault="000A02B5">
      <w:pPr>
        <w:rPr>
          <w:rFonts w:ascii="Times New Roman" w:eastAsia="Verdana" w:hAnsi="Times New Roman" w:cs="Times New Roman"/>
          <w:iCs/>
          <w:noProof/>
          <w:position w:val="6"/>
          <w:sz w:val="24"/>
          <w:szCs w:val="20"/>
        </w:rPr>
      </w:pPr>
      <w:r>
        <w:rPr>
          <w:rFonts w:ascii="Times New Roman" w:eastAsia="Verdana" w:hAnsi="Times New Roman" w:cs="Times New Roman"/>
          <w:iCs/>
          <w:noProof/>
          <w:position w:val="6"/>
          <w:sz w:val="24"/>
          <w:szCs w:val="20"/>
        </w:rPr>
        <w:br w:type="page"/>
      </w:r>
    </w:p>
    <w:p w14:paraId="758F35C2" w14:textId="77777777" w:rsidR="00B72299" w:rsidRDefault="00B72299" w:rsidP="00583F3E">
      <w:pPr>
        <w:widowControl/>
        <w:jc w:val="both"/>
        <w:rPr>
          <w:rFonts w:ascii="Times New Roman" w:eastAsia="Verdana" w:hAnsi="Times New Roman" w:cs="Times New Roman"/>
          <w:iCs/>
          <w:noProof/>
          <w:position w:val="6"/>
          <w:sz w:val="24"/>
          <w:szCs w:val="20"/>
        </w:rPr>
      </w:pPr>
    </w:p>
    <w:tbl>
      <w:tblPr>
        <w:tblStyle w:val="TableGrid"/>
        <w:tblW w:w="0" w:type="auto"/>
        <w:tblLook w:val="04A0" w:firstRow="1" w:lastRow="0" w:firstColumn="1" w:lastColumn="0" w:noHBand="0" w:noVBand="1"/>
      </w:tblPr>
      <w:tblGrid>
        <w:gridCol w:w="9288"/>
      </w:tblGrid>
      <w:tr w:rsidR="00741DF8" w14:paraId="30B8699C" w14:textId="77777777" w:rsidTr="00741DF8">
        <w:tc>
          <w:tcPr>
            <w:tcW w:w="9288" w:type="dxa"/>
          </w:tcPr>
          <w:p w14:paraId="6688C120" w14:textId="77777777" w:rsidR="00741DF8" w:rsidRPr="00741DF8" w:rsidRDefault="00741DF8" w:rsidP="00741DF8">
            <w:pPr>
              <w:spacing w:line="240" w:lineRule="exact"/>
              <w:rPr>
                <w:rFonts w:ascii="Times New Roman" w:eastAsia="Calibri" w:hAnsi="Times New Roman" w:cs="Times New Roman"/>
                <w:sz w:val="24"/>
                <w:szCs w:val="24"/>
              </w:rPr>
            </w:pPr>
            <w:r>
              <w:rPr>
                <w:rFonts w:ascii="Times New Roman" w:hAnsi="Times New Roman"/>
                <w:b/>
                <w:bCs/>
                <w:sz w:val="24"/>
                <w:szCs w:val="24"/>
              </w:rPr>
              <w:t>7. ietvars – emisijas, par kurām nevar pretendēt uz kvotu piešķiršanu</w:t>
            </w:r>
          </w:p>
          <w:p w14:paraId="2765DD97" w14:textId="77777777" w:rsidR="00741DF8" w:rsidRPr="00741DF8" w:rsidRDefault="00741DF8" w:rsidP="00583F3E">
            <w:pPr>
              <w:widowControl/>
              <w:jc w:val="both"/>
              <w:rPr>
                <w:rFonts w:ascii="Times New Roman" w:eastAsia="Verdana" w:hAnsi="Times New Roman" w:cs="Times New Roman"/>
                <w:iCs/>
                <w:noProof/>
                <w:position w:val="6"/>
                <w:sz w:val="24"/>
                <w:szCs w:val="24"/>
              </w:rPr>
            </w:pPr>
          </w:p>
          <w:p w14:paraId="09F2B217" w14:textId="433B3658" w:rsidR="00741DF8" w:rsidRPr="00741DF8" w:rsidRDefault="00A91BA3" w:rsidP="00741DF8">
            <w:pPr>
              <w:widowControl/>
              <w:jc w:val="center"/>
              <w:rPr>
                <w:rFonts w:ascii="Times New Roman" w:eastAsia="Verdana" w:hAnsi="Times New Roman" w:cs="Times New Roman"/>
                <w:iCs/>
                <w:noProof/>
                <w:position w:val="6"/>
                <w:sz w:val="24"/>
                <w:szCs w:val="24"/>
              </w:rPr>
            </w:pPr>
            <w:r>
              <w:object w:dxaOrig="13515" w:dyaOrig="7845" w14:anchorId="6D26AABC">
                <v:shape id="_x0000_i1032" type="#_x0000_t75" style="width:453.5pt;height:262.75pt" o:ole="">
                  <v:imagedata r:id="rId36" o:title=""/>
                </v:shape>
                <o:OLEObject Type="Embed" ProgID="PBrush" ShapeID="_x0000_i1032" DrawAspect="Content" ObjectID="_1651042555" r:id="rId37"/>
              </w:object>
            </w:r>
          </w:p>
          <w:p w14:paraId="3EA6D3BA" w14:textId="77777777" w:rsidR="00741DF8" w:rsidRDefault="00741DF8" w:rsidP="00741DF8">
            <w:pPr>
              <w:widowControl/>
              <w:jc w:val="both"/>
              <w:rPr>
                <w:rFonts w:ascii="Times New Roman" w:eastAsia="Verdana" w:hAnsi="Times New Roman" w:cs="Times New Roman"/>
                <w:iCs/>
                <w:noProof/>
                <w:position w:val="6"/>
                <w:sz w:val="24"/>
                <w:szCs w:val="20"/>
              </w:rPr>
            </w:pPr>
          </w:p>
          <w:p w14:paraId="295297D4" w14:textId="2F04FB0F" w:rsidR="00741DF8" w:rsidRPr="00741DF8" w:rsidRDefault="00741DF8" w:rsidP="00741DF8">
            <w:pPr>
              <w:jc w:val="both"/>
              <w:rPr>
                <w:rFonts w:ascii="Times New Roman" w:eastAsia="Calibri" w:hAnsi="Times New Roman" w:cs="Times New Roman"/>
                <w:sz w:val="24"/>
                <w:szCs w:val="24"/>
              </w:rPr>
            </w:pPr>
            <w:r>
              <w:rPr>
                <w:rFonts w:ascii="Times New Roman" w:hAnsi="Times New Roman"/>
                <w:sz w:val="24"/>
                <w:szCs w:val="24"/>
              </w:rPr>
              <w:t>Uzdevuma par apakšiekārtām pēdējā daļā ir jāattiecina emisijas, par kurām nevar pretendēt uz kvotu piešķiršanu, t. i.,</w:t>
            </w:r>
            <w:r w:rsidR="00992B49">
              <w:rPr>
                <w:rFonts w:ascii="Times New Roman" w:hAnsi="Times New Roman"/>
                <w:sz w:val="24"/>
                <w:szCs w:val="24"/>
              </w:rPr>
              <w:t xml:space="preserve"> </w:t>
            </w:r>
            <w:r>
              <w:rPr>
                <w:rFonts w:ascii="Times New Roman" w:hAnsi="Times New Roman"/>
                <w:sz w:val="24"/>
                <w:szCs w:val="24"/>
              </w:rPr>
              <w:t>emisijas, kuras radušās, ražojot elektroenerģiju vai veicot sadedzināšanu lāpā, izņemot sadedzināšanu lāpā drošības apsvērumu dēļ. Tā kā par šīm emisijām nevar pretendēt uz kvotu bezmaksas piešķiršanu, šīm emisijām nav nepieciešama apakšiekārta. Būtībā tās ir attiecinātas kā ārpusbilances posteņi pilnajā darbību un emisiju sarakstā, lai nodrošinātu līdzsvaru un nekas netiktu uzskaitīts divkārši u. tml.</w:t>
            </w:r>
          </w:p>
          <w:p w14:paraId="60977B80" w14:textId="77777777" w:rsidR="00741DF8" w:rsidRPr="00741DF8" w:rsidRDefault="00741DF8" w:rsidP="00741DF8">
            <w:pPr>
              <w:jc w:val="both"/>
              <w:rPr>
                <w:rFonts w:ascii="Times New Roman" w:eastAsia="Times New Roman" w:hAnsi="Times New Roman" w:cs="Times New Roman"/>
                <w:sz w:val="24"/>
                <w:szCs w:val="24"/>
              </w:rPr>
            </w:pPr>
          </w:p>
          <w:p w14:paraId="2E69D563" w14:textId="77777777" w:rsidR="00741DF8" w:rsidRPr="00741DF8" w:rsidRDefault="00741DF8" w:rsidP="00741DF8">
            <w:pPr>
              <w:widowControl/>
              <w:jc w:val="both"/>
              <w:rPr>
                <w:rFonts w:ascii="Times New Roman" w:eastAsia="Verdana" w:hAnsi="Times New Roman" w:cs="Times New Roman"/>
                <w:iCs/>
                <w:noProof/>
                <w:position w:val="6"/>
                <w:sz w:val="24"/>
                <w:szCs w:val="24"/>
              </w:rPr>
            </w:pPr>
            <w:r>
              <w:rPr>
                <w:rFonts w:ascii="Times New Roman" w:hAnsi="Times New Roman"/>
                <w:sz w:val="24"/>
                <w:szCs w:val="24"/>
              </w:rPr>
              <w:t>Šajā posmā operatoram ir jāpārbauda, vai visi identificētie avoti (piemēram, enerģijas patēriņš un emisijas) ir vai nu attiecināti uz apakšiekārtu, vai uzskaitīti iedaļā par elementiem, kas nevar pretendēt uz kvotu piešķiršanu; katru avotu (tā daļu) var attiecināt tikai vienreiz.</w:t>
            </w:r>
          </w:p>
          <w:p w14:paraId="2D2C026B" w14:textId="77777777" w:rsidR="00741DF8" w:rsidRDefault="00741DF8" w:rsidP="00583F3E">
            <w:pPr>
              <w:widowControl/>
              <w:jc w:val="both"/>
              <w:rPr>
                <w:rFonts w:ascii="Times New Roman" w:eastAsia="Verdana" w:hAnsi="Times New Roman" w:cs="Times New Roman"/>
                <w:iCs/>
                <w:noProof/>
                <w:position w:val="6"/>
                <w:sz w:val="24"/>
                <w:szCs w:val="24"/>
              </w:rPr>
            </w:pPr>
          </w:p>
          <w:p w14:paraId="0C659958" w14:textId="77777777" w:rsidR="00741DF8" w:rsidRPr="00741DF8" w:rsidRDefault="00741DF8" w:rsidP="00583F3E">
            <w:pPr>
              <w:widowControl/>
              <w:jc w:val="both"/>
              <w:rPr>
                <w:rFonts w:ascii="Times New Roman" w:eastAsia="Verdana" w:hAnsi="Times New Roman" w:cs="Times New Roman"/>
                <w:iCs/>
                <w:noProof/>
                <w:position w:val="6"/>
                <w:sz w:val="24"/>
                <w:szCs w:val="24"/>
              </w:rPr>
            </w:pPr>
          </w:p>
        </w:tc>
      </w:tr>
    </w:tbl>
    <w:p w14:paraId="2DB858B2" w14:textId="77777777" w:rsidR="00B72299" w:rsidRDefault="00B72299" w:rsidP="00583F3E">
      <w:pPr>
        <w:widowControl/>
        <w:jc w:val="both"/>
        <w:rPr>
          <w:rFonts w:ascii="Times New Roman" w:eastAsia="Verdana" w:hAnsi="Times New Roman" w:cs="Times New Roman"/>
          <w:iCs/>
          <w:noProof/>
          <w:position w:val="6"/>
          <w:sz w:val="24"/>
          <w:szCs w:val="20"/>
        </w:rPr>
      </w:pPr>
    </w:p>
    <w:p w14:paraId="142F6209" w14:textId="77777777" w:rsidR="00741DF8" w:rsidRDefault="00741DF8" w:rsidP="00583F3E">
      <w:pPr>
        <w:widowControl/>
        <w:jc w:val="both"/>
        <w:rPr>
          <w:rFonts w:ascii="Times New Roman" w:eastAsia="Verdana" w:hAnsi="Times New Roman" w:cs="Times New Roman"/>
          <w:iCs/>
          <w:noProof/>
          <w:position w:val="6"/>
          <w:sz w:val="24"/>
          <w:szCs w:val="20"/>
        </w:rPr>
        <w:sectPr w:rsidR="00741DF8" w:rsidSect="00583F3E">
          <w:headerReference w:type="default" r:id="rId38"/>
          <w:footerReference w:type="default" r:id="rId39"/>
          <w:headerReference w:type="first" r:id="rId40"/>
          <w:footerReference w:type="first" r:id="rId41"/>
          <w:pgSz w:w="11907" w:h="16840" w:code="9"/>
          <w:pgMar w:top="1134" w:right="1134" w:bottom="1134" w:left="1701" w:header="567" w:footer="567" w:gutter="0"/>
          <w:cols w:space="720"/>
          <w:titlePg/>
        </w:sectPr>
      </w:pPr>
    </w:p>
    <w:p w14:paraId="78D09DAD" w14:textId="77777777" w:rsidR="00B72299" w:rsidRDefault="00B72299" w:rsidP="00583F3E">
      <w:pPr>
        <w:widowControl/>
        <w:jc w:val="both"/>
        <w:rPr>
          <w:rFonts w:ascii="Times New Roman" w:eastAsia="Verdana" w:hAnsi="Times New Roman" w:cs="Times New Roman"/>
          <w:iCs/>
          <w:noProof/>
          <w:position w:val="6"/>
          <w:sz w:val="24"/>
          <w:szCs w:val="20"/>
        </w:rPr>
      </w:pPr>
    </w:p>
    <w:p w14:paraId="763DEEB4" w14:textId="77777777" w:rsidR="00583F3E" w:rsidRPr="00741DF8" w:rsidRDefault="00583F3E" w:rsidP="00583F3E">
      <w:pPr>
        <w:pStyle w:val="Heading1"/>
        <w:widowControl/>
        <w:spacing w:before="0"/>
        <w:ind w:left="0" w:firstLine="0"/>
        <w:jc w:val="both"/>
        <w:rPr>
          <w:rFonts w:ascii="Times New Roman" w:hAnsi="Times New Roman" w:cs="Times New Roman"/>
          <w:noProof/>
          <w:position w:val="6"/>
          <w:szCs w:val="40"/>
        </w:rPr>
      </w:pPr>
      <w:bookmarkStart w:id="91" w:name="_Toc31207953"/>
      <w:r>
        <w:rPr>
          <w:rFonts w:ascii="Times New Roman" w:hAnsi="Times New Roman"/>
          <w:szCs w:val="40"/>
        </w:rPr>
        <w:t>A pielikums. Salīdzinājums ar 2011. gada Norādījumu dokumentu Nr. 2</w:t>
      </w:r>
      <w:bookmarkStart w:id="92" w:name="_bookmark37"/>
      <w:bookmarkEnd w:id="92"/>
      <w:bookmarkEnd w:id="91"/>
    </w:p>
    <w:p w14:paraId="40FB6F25" w14:textId="77777777" w:rsidR="00583F3E" w:rsidRPr="00583F3E" w:rsidRDefault="00583F3E" w:rsidP="00583F3E">
      <w:pPr>
        <w:widowControl/>
        <w:jc w:val="both"/>
        <w:rPr>
          <w:rFonts w:ascii="Times New Roman" w:eastAsia="Calibri" w:hAnsi="Times New Roman" w:cs="Times New Roman"/>
          <w:b/>
          <w:bCs/>
          <w:noProof/>
          <w:position w:val="6"/>
          <w:sz w:val="24"/>
          <w:szCs w:val="28"/>
        </w:rPr>
      </w:pPr>
    </w:p>
    <w:p w14:paraId="08E3ACBF" w14:textId="77777777" w:rsidR="00583F3E" w:rsidRPr="00583F3E" w:rsidRDefault="00583F3E" w:rsidP="00583F3E">
      <w:pPr>
        <w:pStyle w:val="BodyText"/>
        <w:widowControl/>
        <w:ind w:left="0"/>
        <w:jc w:val="both"/>
        <w:rPr>
          <w:rFonts w:ascii="Times New Roman" w:hAnsi="Times New Roman" w:cs="Times New Roman"/>
          <w:noProof/>
          <w:position w:val="6"/>
        </w:rPr>
      </w:pPr>
      <w:r>
        <w:rPr>
          <w:rFonts w:ascii="Times New Roman" w:hAnsi="Times New Roman"/>
        </w:rPr>
        <w:t xml:space="preserve">Turpmākajā tabulā parādīts, kāda ir 2011. gadā izdotās Norādījumu dokumenta Nr. 2 versijas iedaļu savstarpējā saistība ar pašreizējās 2019. gada versijas iedaļām, kā arī tas, kur aplūkotas galvenās tēmas. Lūdzu, ievērojiet, ka dažādo versiju atbilstošo iedaļu saturs var būt ievērojami izmainīts atbilstoši jaunajiem noteikumiem, kas ietverti pārskatītajā ETS direktīvā vai </w:t>
      </w:r>
      <w:r>
        <w:rPr>
          <w:rFonts w:ascii="Times New Roman" w:hAnsi="Times New Roman"/>
          <w:i/>
        </w:rPr>
        <w:t>FAR</w:t>
      </w:r>
      <w:r>
        <w:rPr>
          <w:rFonts w:ascii="Times New Roman" w:hAnsi="Times New Roman"/>
        </w:rPr>
        <w:t xml:space="preserve"> regulā. “-” nozīmē to, ka tēma netika ietverta attiecīgajā </w:t>
      </w:r>
      <w:r>
        <w:rPr>
          <w:rFonts w:ascii="Times New Roman" w:hAnsi="Times New Roman"/>
          <w:i/>
        </w:rPr>
        <w:t>GD</w:t>
      </w:r>
      <w:r>
        <w:rPr>
          <w:rFonts w:ascii="Times New Roman" w:hAnsi="Times New Roman"/>
        </w:rPr>
        <w:t>.</w:t>
      </w:r>
    </w:p>
    <w:p w14:paraId="2166C7BF" w14:textId="77777777" w:rsidR="00583F3E" w:rsidRDefault="00583F3E" w:rsidP="00583F3E">
      <w:pPr>
        <w:widowControl/>
        <w:jc w:val="both"/>
        <w:rPr>
          <w:rFonts w:ascii="Times New Roman" w:eastAsia="Calibri" w:hAnsi="Times New Roman" w:cs="Times New Roman"/>
          <w:noProof/>
          <w:position w:val="6"/>
          <w:sz w:val="24"/>
          <w:szCs w:val="20"/>
        </w:rPr>
      </w:pPr>
    </w:p>
    <w:tbl>
      <w:tblPr>
        <w:tblStyle w:val="TableGrid"/>
        <w:tblW w:w="0" w:type="auto"/>
        <w:tblLook w:val="04A0" w:firstRow="1" w:lastRow="0" w:firstColumn="1" w:lastColumn="0" w:noHBand="0" w:noVBand="1"/>
      </w:tblPr>
      <w:tblGrid>
        <w:gridCol w:w="4786"/>
        <w:gridCol w:w="1418"/>
        <w:gridCol w:w="1275"/>
        <w:gridCol w:w="7309"/>
      </w:tblGrid>
      <w:tr w:rsidR="00741DF8" w14:paraId="4EF3EFCF" w14:textId="77777777" w:rsidTr="00741DF8">
        <w:tc>
          <w:tcPr>
            <w:tcW w:w="4786" w:type="dxa"/>
          </w:tcPr>
          <w:p w14:paraId="7F09B23D" w14:textId="77777777" w:rsidR="00741DF8" w:rsidRDefault="00741DF8"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Satura rādītājs</w:t>
            </w:r>
          </w:p>
        </w:tc>
        <w:tc>
          <w:tcPr>
            <w:tcW w:w="2693" w:type="dxa"/>
            <w:gridSpan w:val="2"/>
          </w:tcPr>
          <w:p w14:paraId="3207D5C8" w14:textId="77777777" w:rsidR="00741DF8" w:rsidRDefault="00741DF8" w:rsidP="00741DF8">
            <w:pPr>
              <w:widowControl/>
              <w:jc w:val="center"/>
              <w:rPr>
                <w:rFonts w:ascii="Times New Roman" w:eastAsia="Calibri" w:hAnsi="Times New Roman" w:cs="Times New Roman"/>
                <w:noProof/>
                <w:position w:val="6"/>
                <w:sz w:val="24"/>
                <w:szCs w:val="20"/>
              </w:rPr>
            </w:pPr>
            <w:r>
              <w:rPr>
                <w:rFonts w:ascii="Times New Roman" w:hAnsi="Times New Roman"/>
                <w:sz w:val="24"/>
                <w:szCs w:val="24"/>
              </w:rPr>
              <w:t>Iedaļa</w:t>
            </w:r>
          </w:p>
        </w:tc>
        <w:tc>
          <w:tcPr>
            <w:tcW w:w="7309" w:type="dxa"/>
          </w:tcPr>
          <w:p w14:paraId="71A12ACD" w14:textId="77777777" w:rsidR="00741DF8" w:rsidRDefault="00741DF8"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Komentāri</w:t>
            </w:r>
          </w:p>
        </w:tc>
      </w:tr>
      <w:tr w:rsidR="00741DF8" w14:paraId="29595DCC" w14:textId="77777777" w:rsidTr="00741DF8">
        <w:tc>
          <w:tcPr>
            <w:tcW w:w="4786" w:type="dxa"/>
          </w:tcPr>
          <w:p w14:paraId="7F43C36B" w14:textId="77777777" w:rsidR="00741DF8" w:rsidRDefault="00741DF8" w:rsidP="00583F3E">
            <w:pPr>
              <w:widowControl/>
              <w:jc w:val="both"/>
              <w:rPr>
                <w:rFonts w:ascii="Times New Roman" w:eastAsia="Calibri" w:hAnsi="Times New Roman" w:cs="Times New Roman"/>
                <w:noProof/>
                <w:position w:val="6"/>
                <w:sz w:val="24"/>
                <w:szCs w:val="20"/>
              </w:rPr>
            </w:pPr>
          </w:p>
        </w:tc>
        <w:tc>
          <w:tcPr>
            <w:tcW w:w="1418" w:type="dxa"/>
          </w:tcPr>
          <w:p w14:paraId="65ACDD4D" w14:textId="77777777" w:rsidR="00741DF8" w:rsidRDefault="00741DF8" w:rsidP="00741DF8">
            <w:pPr>
              <w:widowControl/>
              <w:jc w:val="center"/>
              <w:rPr>
                <w:rFonts w:ascii="Times New Roman" w:eastAsia="Calibri" w:hAnsi="Times New Roman" w:cs="Times New Roman"/>
                <w:noProof/>
                <w:position w:val="6"/>
                <w:sz w:val="24"/>
                <w:szCs w:val="20"/>
              </w:rPr>
            </w:pPr>
            <w:r>
              <w:rPr>
                <w:rFonts w:ascii="Times New Roman" w:hAnsi="Times New Roman"/>
                <w:sz w:val="24"/>
                <w:szCs w:val="20"/>
              </w:rPr>
              <w:t>2011</w:t>
            </w:r>
          </w:p>
          <w:p w14:paraId="33B2AF83" w14:textId="77777777" w:rsidR="00741DF8" w:rsidRDefault="00741DF8" w:rsidP="00741DF8">
            <w:pPr>
              <w:widowControl/>
              <w:jc w:val="center"/>
              <w:rPr>
                <w:rFonts w:ascii="Times New Roman" w:eastAsia="Calibri" w:hAnsi="Times New Roman" w:cs="Times New Roman"/>
                <w:noProof/>
                <w:position w:val="6"/>
                <w:sz w:val="24"/>
                <w:szCs w:val="20"/>
              </w:rPr>
            </w:pPr>
            <w:r>
              <w:rPr>
                <w:rFonts w:ascii="Times New Roman" w:hAnsi="Times New Roman"/>
                <w:i/>
                <w:sz w:val="24"/>
                <w:szCs w:val="20"/>
              </w:rPr>
              <w:t>GD</w:t>
            </w:r>
            <w:r>
              <w:rPr>
                <w:rFonts w:ascii="Times New Roman" w:hAnsi="Times New Roman"/>
                <w:sz w:val="24"/>
                <w:szCs w:val="20"/>
              </w:rPr>
              <w:t>2</w:t>
            </w:r>
          </w:p>
        </w:tc>
        <w:tc>
          <w:tcPr>
            <w:tcW w:w="1275" w:type="dxa"/>
          </w:tcPr>
          <w:p w14:paraId="6903F494" w14:textId="77777777" w:rsidR="00741DF8" w:rsidRDefault="00741DF8" w:rsidP="00741DF8">
            <w:pPr>
              <w:widowControl/>
              <w:jc w:val="center"/>
              <w:rPr>
                <w:rFonts w:ascii="Times New Roman" w:eastAsia="Calibri" w:hAnsi="Times New Roman" w:cs="Times New Roman"/>
                <w:noProof/>
                <w:position w:val="6"/>
                <w:sz w:val="24"/>
                <w:szCs w:val="20"/>
              </w:rPr>
            </w:pPr>
            <w:r>
              <w:rPr>
                <w:rFonts w:ascii="Times New Roman" w:hAnsi="Times New Roman"/>
                <w:sz w:val="24"/>
                <w:szCs w:val="20"/>
              </w:rPr>
              <w:t>2019</w:t>
            </w:r>
          </w:p>
          <w:p w14:paraId="57CAB040" w14:textId="77777777" w:rsidR="00741DF8" w:rsidRDefault="00741DF8" w:rsidP="00741DF8">
            <w:pPr>
              <w:widowControl/>
              <w:jc w:val="center"/>
              <w:rPr>
                <w:rFonts w:ascii="Times New Roman" w:eastAsia="Calibri" w:hAnsi="Times New Roman" w:cs="Times New Roman"/>
                <w:noProof/>
                <w:position w:val="6"/>
                <w:sz w:val="24"/>
                <w:szCs w:val="20"/>
              </w:rPr>
            </w:pPr>
            <w:r>
              <w:rPr>
                <w:rFonts w:ascii="Times New Roman" w:hAnsi="Times New Roman"/>
                <w:i/>
                <w:sz w:val="24"/>
                <w:szCs w:val="20"/>
              </w:rPr>
              <w:t>GD</w:t>
            </w:r>
            <w:r>
              <w:rPr>
                <w:rFonts w:ascii="Times New Roman" w:hAnsi="Times New Roman"/>
                <w:sz w:val="24"/>
                <w:szCs w:val="20"/>
              </w:rPr>
              <w:t>2</w:t>
            </w:r>
          </w:p>
        </w:tc>
        <w:tc>
          <w:tcPr>
            <w:tcW w:w="7309" w:type="dxa"/>
          </w:tcPr>
          <w:p w14:paraId="15D862F7" w14:textId="77777777" w:rsidR="00741DF8" w:rsidRDefault="00741DF8" w:rsidP="00583F3E">
            <w:pPr>
              <w:widowControl/>
              <w:jc w:val="both"/>
              <w:rPr>
                <w:rFonts w:ascii="Times New Roman" w:eastAsia="Calibri" w:hAnsi="Times New Roman" w:cs="Times New Roman"/>
                <w:noProof/>
                <w:position w:val="6"/>
                <w:sz w:val="24"/>
                <w:szCs w:val="20"/>
              </w:rPr>
            </w:pPr>
          </w:p>
        </w:tc>
      </w:tr>
      <w:tr w:rsidR="007F6624" w14:paraId="66D0F75A" w14:textId="77777777" w:rsidTr="00741DF8">
        <w:tc>
          <w:tcPr>
            <w:tcW w:w="4786" w:type="dxa"/>
          </w:tcPr>
          <w:p w14:paraId="64701A32"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Ievads</w:t>
            </w:r>
          </w:p>
        </w:tc>
        <w:tc>
          <w:tcPr>
            <w:tcW w:w="1418" w:type="dxa"/>
          </w:tcPr>
          <w:p w14:paraId="3BA9EE1E"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1.</w:t>
            </w:r>
          </w:p>
        </w:tc>
        <w:tc>
          <w:tcPr>
            <w:tcW w:w="1275" w:type="dxa"/>
          </w:tcPr>
          <w:p w14:paraId="0120DBB4"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 </w:t>
            </w:r>
            <w:r>
              <w:rPr>
                <w:rFonts w:ascii="Times New Roman" w:hAnsi="Times New Roman"/>
                <w:i/>
                <w:sz w:val="24"/>
                <w:szCs w:val="24"/>
              </w:rPr>
              <w:t>GD</w:t>
            </w:r>
            <w:r>
              <w:rPr>
                <w:rFonts w:ascii="Times New Roman" w:hAnsi="Times New Roman"/>
                <w:sz w:val="24"/>
                <w:szCs w:val="24"/>
              </w:rPr>
              <w:t>1</w:t>
            </w:r>
          </w:p>
        </w:tc>
        <w:tc>
          <w:tcPr>
            <w:tcW w:w="7309" w:type="dxa"/>
            <w:vMerge w:val="restart"/>
          </w:tcPr>
          <w:p w14:paraId="649943F5"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2019. gada </w:t>
            </w:r>
            <w:r>
              <w:rPr>
                <w:rFonts w:ascii="Times New Roman" w:hAnsi="Times New Roman"/>
                <w:i/>
                <w:sz w:val="24"/>
                <w:szCs w:val="24"/>
              </w:rPr>
              <w:t>GD</w:t>
            </w:r>
            <w:r>
              <w:rPr>
                <w:rFonts w:ascii="Times New Roman" w:hAnsi="Times New Roman"/>
                <w:sz w:val="24"/>
                <w:szCs w:val="24"/>
              </w:rPr>
              <w:t xml:space="preserve">2 attiecas uz vispārīgā ievada iedaļu 2019. gada </w:t>
            </w:r>
            <w:r>
              <w:rPr>
                <w:rFonts w:ascii="Times New Roman" w:hAnsi="Times New Roman"/>
                <w:i/>
                <w:sz w:val="24"/>
                <w:szCs w:val="24"/>
              </w:rPr>
              <w:t>GD</w:t>
            </w:r>
            <w:r>
              <w:rPr>
                <w:rFonts w:ascii="Times New Roman" w:hAnsi="Times New Roman"/>
                <w:sz w:val="24"/>
                <w:szCs w:val="24"/>
              </w:rPr>
              <w:t>1</w:t>
            </w:r>
          </w:p>
        </w:tc>
      </w:tr>
      <w:tr w:rsidR="007F6624" w14:paraId="52EC72F4" w14:textId="77777777" w:rsidTr="00741DF8">
        <w:tc>
          <w:tcPr>
            <w:tcW w:w="4786" w:type="dxa"/>
          </w:tcPr>
          <w:p w14:paraId="79AE2BD5" w14:textId="77777777" w:rsidR="007F6624"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Norādījumu dokumentu statuss</w:t>
            </w:r>
          </w:p>
        </w:tc>
        <w:tc>
          <w:tcPr>
            <w:tcW w:w="1418" w:type="dxa"/>
          </w:tcPr>
          <w:p w14:paraId="29D4790D"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1.1.</w:t>
            </w:r>
          </w:p>
        </w:tc>
        <w:tc>
          <w:tcPr>
            <w:tcW w:w="1275" w:type="dxa"/>
          </w:tcPr>
          <w:p w14:paraId="5734A623"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 </w:t>
            </w:r>
            <w:r>
              <w:rPr>
                <w:rFonts w:ascii="Times New Roman" w:hAnsi="Times New Roman"/>
                <w:i/>
                <w:sz w:val="24"/>
                <w:szCs w:val="24"/>
              </w:rPr>
              <w:t>GD</w:t>
            </w:r>
            <w:r>
              <w:rPr>
                <w:rFonts w:ascii="Times New Roman" w:hAnsi="Times New Roman"/>
                <w:sz w:val="24"/>
                <w:szCs w:val="24"/>
              </w:rPr>
              <w:t>1</w:t>
            </w:r>
          </w:p>
        </w:tc>
        <w:tc>
          <w:tcPr>
            <w:tcW w:w="7309" w:type="dxa"/>
            <w:vMerge/>
          </w:tcPr>
          <w:p w14:paraId="19D67252" w14:textId="77777777" w:rsidR="007F6624" w:rsidRDefault="007F6624" w:rsidP="00583F3E">
            <w:pPr>
              <w:widowControl/>
              <w:jc w:val="both"/>
              <w:rPr>
                <w:rFonts w:ascii="Times New Roman" w:eastAsia="Calibri" w:hAnsi="Times New Roman" w:cs="Times New Roman"/>
                <w:noProof/>
                <w:position w:val="6"/>
                <w:sz w:val="24"/>
                <w:szCs w:val="20"/>
              </w:rPr>
            </w:pPr>
          </w:p>
        </w:tc>
      </w:tr>
      <w:tr w:rsidR="007F6624" w14:paraId="50964470" w14:textId="77777777" w:rsidTr="00741DF8">
        <w:tc>
          <w:tcPr>
            <w:tcW w:w="4786" w:type="dxa"/>
          </w:tcPr>
          <w:p w14:paraId="5402D933" w14:textId="77777777" w:rsidR="007F6624"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i/>
                <w:sz w:val="24"/>
                <w:szCs w:val="24"/>
              </w:rPr>
              <w:t>CIM</w:t>
            </w:r>
            <w:r>
              <w:rPr>
                <w:rFonts w:ascii="Times New Roman" w:hAnsi="Times New Roman"/>
                <w:sz w:val="24"/>
                <w:szCs w:val="24"/>
              </w:rPr>
              <w:t xml:space="preserve"> norādījumu dokumentu vispārīgs apraksts</w:t>
            </w:r>
          </w:p>
        </w:tc>
        <w:tc>
          <w:tcPr>
            <w:tcW w:w="1418" w:type="dxa"/>
          </w:tcPr>
          <w:p w14:paraId="0C535C36" w14:textId="77777777" w:rsidR="007F6624" w:rsidRP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1.2.</w:t>
            </w:r>
          </w:p>
        </w:tc>
        <w:tc>
          <w:tcPr>
            <w:tcW w:w="1275" w:type="dxa"/>
          </w:tcPr>
          <w:p w14:paraId="75053F8F"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 </w:t>
            </w:r>
            <w:r>
              <w:rPr>
                <w:rFonts w:ascii="Times New Roman" w:hAnsi="Times New Roman"/>
                <w:i/>
                <w:sz w:val="24"/>
                <w:szCs w:val="24"/>
              </w:rPr>
              <w:t>GD</w:t>
            </w:r>
            <w:r>
              <w:rPr>
                <w:rFonts w:ascii="Times New Roman" w:hAnsi="Times New Roman"/>
                <w:sz w:val="24"/>
                <w:szCs w:val="24"/>
              </w:rPr>
              <w:t>1</w:t>
            </w:r>
          </w:p>
        </w:tc>
        <w:tc>
          <w:tcPr>
            <w:tcW w:w="7309" w:type="dxa"/>
            <w:vMerge/>
          </w:tcPr>
          <w:p w14:paraId="656436C6" w14:textId="77777777" w:rsidR="007F6624" w:rsidRDefault="007F6624" w:rsidP="00583F3E">
            <w:pPr>
              <w:widowControl/>
              <w:jc w:val="both"/>
              <w:rPr>
                <w:rFonts w:ascii="Times New Roman" w:eastAsia="Calibri" w:hAnsi="Times New Roman" w:cs="Times New Roman"/>
                <w:noProof/>
                <w:position w:val="6"/>
                <w:sz w:val="24"/>
                <w:szCs w:val="20"/>
              </w:rPr>
            </w:pPr>
          </w:p>
        </w:tc>
      </w:tr>
      <w:tr w:rsidR="007F6624" w14:paraId="5DAFB197" w14:textId="77777777" w:rsidTr="00741DF8">
        <w:tc>
          <w:tcPr>
            <w:tcW w:w="4786" w:type="dxa"/>
          </w:tcPr>
          <w:p w14:paraId="2FCC55DA" w14:textId="77777777" w:rsidR="007F6624"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Norādījumu dokumentu izmantošana</w:t>
            </w:r>
          </w:p>
        </w:tc>
        <w:tc>
          <w:tcPr>
            <w:tcW w:w="1418" w:type="dxa"/>
          </w:tcPr>
          <w:p w14:paraId="4D066BE1"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1.3.</w:t>
            </w:r>
          </w:p>
        </w:tc>
        <w:tc>
          <w:tcPr>
            <w:tcW w:w="1275" w:type="dxa"/>
          </w:tcPr>
          <w:p w14:paraId="0A656EDC"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 </w:t>
            </w:r>
            <w:r>
              <w:rPr>
                <w:rFonts w:ascii="Times New Roman" w:hAnsi="Times New Roman"/>
                <w:i/>
                <w:sz w:val="24"/>
                <w:szCs w:val="24"/>
              </w:rPr>
              <w:t>GD</w:t>
            </w:r>
            <w:r>
              <w:rPr>
                <w:rFonts w:ascii="Times New Roman" w:hAnsi="Times New Roman"/>
                <w:sz w:val="24"/>
                <w:szCs w:val="24"/>
              </w:rPr>
              <w:t>1</w:t>
            </w:r>
          </w:p>
        </w:tc>
        <w:tc>
          <w:tcPr>
            <w:tcW w:w="7309" w:type="dxa"/>
            <w:vMerge/>
          </w:tcPr>
          <w:p w14:paraId="705A9269" w14:textId="77777777" w:rsidR="007F6624" w:rsidRDefault="007F6624" w:rsidP="00583F3E">
            <w:pPr>
              <w:widowControl/>
              <w:jc w:val="both"/>
              <w:rPr>
                <w:rFonts w:ascii="Times New Roman" w:eastAsia="Calibri" w:hAnsi="Times New Roman" w:cs="Times New Roman"/>
                <w:noProof/>
                <w:position w:val="6"/>
                <w:sz w:val="24"/>
                <w:szCs w:val="20"/>
              </w:rPr>
            </w:pPr>
          </w:p>
        </w:tc>
      </w:tr>
      <w:tr w:rsidR="007F6624" w14:paraId="4ED93B0D" w14:textId="77777777" w:rsidTr="00741DF8">
        <w:tc>
          <w:tcPr>
            <w:tcW w:w="4786" w:type="dxa"/>
          </w:tcPr>
          <w:p w14:paraId="383CD9FA" w14:textId="77777777" w:rsidR="007F6624"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Papildu norādījumi</w:t>
            </w:r>
          </w:p>
        </w:tc>
        <w:tc>
          <w:tcPr>
            <w:tcW w:w="1418" w:type="dxa"/>
          </w:tcPr>
          <w:p w14:paraId="118329C9"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1.4.</w:t>
            </w:r>
          </w:p>
        </w:tc>
        <w:tc>
          <w:tcPr>
            <w:tcW w:w="1275" w:type="dxa"/>
          </w:tcPr>
          <w:p w14:paraId="6FE6AEF3"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 </w:t>
            </w:r>
            <w:r>
              <w:rPr>
                <w:rFonts w:ascii="Times New Roman" w:hAnsi="Times New Roman"/>
                <w:i/>
                <w:sz w:val="24"/>
                <w:szCs w:val="24"/>
              </w:rPr>
              <w:t>GD</w:t>
            </w:r>
            <w:r>
              <w:rPr>
                <w:rFonts w:ascii="Times New Roman" w:hAnsi="Times New Roman"/>
                <w:sz w:val="24"/>
                <w:szCs w:val="24"/>
              </w:rPr>
              <w:t>1</w:t>
            </w:r>
          </w:p>
        </w:tc>
        <w:tc>
          <w:tcPr>
            <w:tcW w:w="7309" w:type="dxa"/>
            <w:vMerge/>
          </w:tcPr>
          <w:p w14:paraId="7FD2A38C" w14:textId="77777777" w:rsidR="007F6624" w:rsidRDefault="007F6624" w:rsidP="00583F3E">
            <w:pPr>
              <w:widowControl/>
              <w:jc w:val="both"/>
              <w:rPr>
                <w:rFonts w:ascii="Times New Roman" w:eastAsia="Calibri" w:hAnsi="Times New Roman" w:cs="Times New Roman"/>
                <w:noProof/>
                <w:position w:val="6"/>
                <w:sz w:val="24"/>
                <w:szCs w:val="20"/>
              </w:rPr>
            </w:pPr>
          </w:p>
        </w:tc>
      </w:tr>
      <w:tr w:rsidR="00741DF8" w14:paraId="4732F59C" w14:textId="77777777" w:rsidTr="00741DF8">
        <w:tc>
          <w:tcPr>
            <w:tcW w:w="4786" w:type="dxa"/>
          </w:tcPr>
          <w:p w14:paraId="7EBB5209" w14:textId="77777777" w:rsidR="00741DF8" w:rsidRDefault="00741DF8"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Šā norādījumu dokumenta darbības joma</w:t>
            </w:r>
          </w:p>
        </w:tc>
        <w:tc>
          <w:tcPr>
            <w:tcW w:w="1418" w:type="dxa"/>
          </w:tcPr>
          <w:p w14:paraId="73472E2F"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1.5.</w:t>
            </w:r>
          </w:p>
        </w:tc>
        <w:tc>
          <w:tcPr>
            <w:tcW w:w="1275" w:type="dxa"/>
          </w:tcPr>
          <w:p w14:paraId="0CC3B84A"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1.</w:t>
            </w:r>
          </w:p>
        </w:tc>
        <w:tc>
          <w:tcPr>
            <w:tcW w:w="7309" w:type="dxa"/>
          </w:tcPr>
          <w:p w14:paraId="4B81A20F"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1CDFA2C4" w14:textId="77777777" w:rsidTr="00741DF8">
        <w:tc>
          <w:tcPr>
            <w:tcW w:w="4786" w:type="dxa"/>
          </w:tcPr>
          <w:p w14:paraId="09054B8D" w14:textId="77777777" w:rsidR="00741DF8" w:rsidRDefault="00741DF8"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Emisijas kvotu piešķiršanas pieeju pārskats</w:t>
            </w:r>
          </w:p>
        </w:tc>
        <w:tc>
          <w:tcPr>
            <w:tcW w:w="1418" w:type="dxa"/>
          </w:tcPr>
          <w:p w14:paraId="2B300696"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1.5.</w:t>
            </w:r>
          </w:p>
        </w:tc>
        <w:tc>
          <w:tcPr>
            <w:tcW w:w="1275" w:type="dxa"/>
          </w:tcPr>
          <w:p w14:paraId="6C798254"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2.</w:t>
            </w:r>
          </w:p>
        </w:tc>
        <w:tc>
          <w:tcPr>
            <w:tcW w:w="7309" w:type="dxa"/>
          </w:tcPr>
          <w:p w14:paraId="0C89C88E"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176C9F32" w14:textId="77777777" w:rsidTr="00741DF8">
        <w:tc>
          <w:tcPr>
            <w:tcW w:w="4786" w:type="dxa"/>
          </w:tcPr>
          <w:p w14:paraId="4A73EF00" w14:textId="77777777" w:rsidR="00741DF8" w:rsidRDefault="00741DF8"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Kad izmantot katru no iekārtas līmeņa pieejām?</w:t>
            </w:r>
          </w:p>
        </w:tc>
        <w:tc>
          <w:tcPr>
            <w:tcW w:w="1418" w:type="dxa"/>
          </w:tcPr>
          <w:p w14:paraId="5CA4BCDF"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1.5.</w:t>
            </w:r>
          </w:p>
        </w:tc>
        <w:tc>
          <w:tcPr>
            <w:tcW w:w="1275" w:type="dxa"/>
          </w:tcPr>
          <w:p w14:paraId="36EEAA1A"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2.1.</w:t>
            </w:r>
          </w:p>
        </w:tc>
        <w:tc>
          <w:tcPr>
            <w:tcW w:w="7309" w:type="dxa"/>
          </w:tcPr>
          <w:p w14:paraId="7D008148"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Ietverta centralizētās siltumapgādes apakšiekārta, pārskats par saistītajiem jēdzieniem 2019. gada </w:t>
            </w:r>
            <w:r>
              <w:rPr>
                <w:rFonts w:ascii="Times New Roman" w:hAnsi="Times New Roman"/>
                <w:i/>
                <w:sz w:val="24"/>
                <w:szCs w:val="24"/>
              </w:rPr>
              <w:t>GD</w:t>
            </w:r>
          </w:p>
        </w:tc>
      </w:tr>
      <w:tr w:rsidR="00741DF8" w14:paraId="2E19A71D" w14:textId="77777777" w:rsidTr="00741DF8">
        <w:tc>
          <w:tcPr>
            <w:tcW w:w="4786" w:type="dxa"/>
          </w:tcPr>
          <w:p w14:paraId="3D23F457" w14:textId="77777777" w:rsidR="00741DF8" w:rsidRDefault="00741DF8"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Oglekļa emisiju pārvirzes ietekme</w:t>
            </w:r>
          </w:p>
        </w:tc>
        <w:tc>
          <w:tcPr>
            <w:tcW w:w="1418" w:type="dxa"/>
          </w:tcPr>
          <w:p w14:paraId="276189C5"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 </w:t>
            </w:r>
            <w:r>
              <w:rPr>
                <w:rFonts w:ascii="Times New Roman" w:hAnsi="Times New Roman"/>
                <w:i/>
                <w:sz w:val="24"/>
                <w:szCs w:val="24"/>
              </w:rPr>
              <w:t>GD</w:t>
            </w:r>
            <w:r>
              <w:rPr>
                <w:rFonts w:ascii="Times New Roman" w:hAnsi="Times New Roman"/>
                <w:sz w:val="24"/>
                <w:szCs w:val="24"/>
              </w:rPr>
              <w:t>5</w:t>
            </w:r>
          </w:p>
        </w:tc>
        <w:tc>
          <w:tcPr>
            <w:tcW w:w="1275" w:type="dxa"/>
          </w:tcPr>
          <w:p w14:paraId="63EF0E13"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2.2.</w:t>
            </w:r>
          </w:p>
        </w:tc>
        <w:tc>
          <w:tcPr>
            <w:tcW w:w="7309" w:type="dxa"/>
          </w:tcPr>
          <w:p w14:paraId="64FBE1FE"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2011. gada </w:t>
            </w:r>
            <w:r>
              <w:rPr>
                <w:rFonts w:ascii="Times New Roman" w:hAnsi="Times New Roman"/>
                <w:i/>
                <w:sz w:val="24"/>
                <w:szCs w:val="24"/>
              </w:rPr>
              <w:t>GD</w:t>
            </w:r>
            <w:r>
              <w:rPr>
                <w:rFonts w:ascii="Times New Roman" w:hAnsi="Times New Roman"/>
                <w:sz w:val="24"/>
                <w:szCs w:val="24"/>
              </w:rPr>
              <w:t xml:space="preserve">5 par oglekļa emisiju pārvirzi (atjauninātais) saturs pārcelts uz 2019. gada </w:t>
            </w:r>
            <w:r>
              <w:rPr>
                <w:rFonts w:ascii="Times New Roman" w:hAnsi="Times New Roman"/>
                <w:i/>
                <w:sz w:val="24"/>
                <w:szCs w:val="24"/>
              </w:rPr>
              <w:t>GD</w:t>
            </w:r>
            <w:r>
              <w:rPr>
                <w:rFonts w:ascii="Times New Roman" w:hAnsi="Times New Roman"/>
                <w:sz w:val="24"/>
                <w:szCs w:val="24"/>
              </w:rPr>
              <w:t>2</w:t>
            </w:r>
          </w:p>
        </w:tc>
      </w:tr>
      <w:tr w:rsidR="00741DF8" w14:paraId="548AF6DA" w14:textId="77777777" w:rsidTr="00741DF8">
        <w:tc>
          <w:tcPr>
            <w:tcW w:w="4786" w:type="dxa"/>
          </w:tcPr>
          <w:p w14:paraId="292CD535" w14:textId="77777777" w:rsidR="00741DF8" w:rsidRDefault="00741DF8"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Iekārtas sašķelšana apakšiekārtās</w:t>
            </w:r>
          </w:p>
        </w:tc>
        <w:tc>
          <w:tcPr>
            <w:tcW w:w="1418" w:type="dxa"/>
          </w:tcPr>
          <w:p w14:paraId="37FC2BA5"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2.</w:t>
            </w:r>
          </w:p>
        </w:tc>
        <w:tc>
          <w:tcPr>
            <w:tcW w:w="1275" w:type="dxa"/>
          </w:tcPr>
          <w:p w14:paraId="6023272A"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w:t>
            </w:r>
          </w:p>
        </w:tc>
        <w:tc>
          <w:tcPr>
            <w:tcW w:w="7309" w:type="dxa"/>
          </w:tcPr>
          <w:p w14:paraId="3FA26860"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4"/>
              </w:rPr>
              <w:t xml:space="preserve">2019. gada </w:t>
            </w:r>
            <w:r>
              <w:rPr>
                <w:rFonts w:ascii="Times New Roman" w:hAnsi="Times New Roman"/>
                <w:i/>
                <w:sz w:val="24"/>
                <w:szCs w:val="24"/>
              </w:rPr>
              <w:t>GD</w:t>
            </w:r>
            <w:r>
              <w:rPr>
                <w:rFonts w:ascii="Times New Roman" w:hAnsi="Times New Roman"/>
                <w:sz w:val="24"/>
                <w:szCs w:val="24"/>
              </w:rPr>
              <w:t xml:space="preserve"> ietverta centralizētās siltumapgādes (</w:t>
            </w:r>
            <w:r>
              <w:rPr>
                <w:rFonts w:ascii="Times New Roman" w:hAnsi="Times New Roman"/>
                <w:i/>
                <w:sz w:val="24"/>
                <w:szCs w:val="24"/>
              </w:rPr>
              <w:t>DH</w:t>
            </w:r>
            <w:r>
              <w:rPr>
                <w:rFonts w:ascii="Times New Roman" w:hAnsi="Times New Roman"/>
                <w:sz w:val="24"/>
                <w:szCs w:val="24"/>
              </w:rPr>
              <w:t>) apakšiekārta</w:t>
            </w:r>
          </w:p>
        </w:tc>
      </w:tr>
      <w:tr w:rsidR="00741DF8" w14:paraId="13015CBC" w14:textId="77777777" w:rsidTr="00741DF8">
        <w:tc>
          <w:tcPr>
            <w:tcW w:w="4786" w:type="dxa"/>
          </w:tcPr>
          <w:p w14:paraId="722CEA13" w14:textId="77777777" w:rsidR="00741DF8" w:rsidRDefault="00741DF8"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Produkta līmeņatzīmes apakšiekārtu noteikšana</w:t>
            </w:r>
          </w:p>
        </w:tc>
        <w:tc>
          <w:tcPr>
            <w:tcW w:w="1418" w:type="dxa"/>
          </w:tcPr>
          <w:p w14:paraId="401CD5C9"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2.1.</w:t>
            </w:r>
          </w:p>
        </w:tc>
        <w:tc>
          <w:tcPr>
            <w:tcW w:w="1275" w:type="dxa"/>
          </w:tcPr>
          <w:p w14:paraId="2D4255AA"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3.1.</w:t>
            </w:r>
          </w:p>
        </w:tc>
        <w:tc>
          <w:tcPr>
            <w:tcW w:w="7309" w:type="dxa"/>
          </w:tcPr>
          <w:p w14:paraId="64DD25D6"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48AE9CC2" w14:textId="77777777" w:rsidTr="00741DF8">
        <w:tc>
          <w:tcPr>
            <w:tcW w:w="4786" w:type="dxa"/>
          </w:tcPr>
          <w:p w14:paraId="364F518B" w14:textId="77777777" w:rsidR="00741DF8" w:rsidRDefault="00741DF8"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Siltuma līmeņatzīmes apakšiekārtu noteikšana</w:t>
            </w:r>
          </w:p>
        </w:tc>
        <w:tc>
          <w:tcPr>
            <w:tcW w:w="1418" w:type="dxa"/>
          </w:tcPr>
          <w:p w14:paraId="1BF812A5"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2.2.</w:t>
            </w:r>
          </w:p>
        </w:tc>
        <w:tc>
          <w:tcPr>
            <w:tcW w:w="1275" w:type="dxa"/>
          </w:tcPr>
          <w:p w14:paraId="16F012EB"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3.2.</w:t>
            </w:r>
          </w:p>
        </w:tc>
        <w:tc>
          <w:tcPr>
            <w:tcW w:w="7309" w:type="dxa"/>
          </w:tcPr>
          <w:p w14:paraId="13128615"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197F38E5" w14:textId="77777777" w:rsidTr="00741DF8">
        <w:tc>
          <w:tcPr>
            <w:tcW w:w="4786" w:type="dxa"/>
          </w:tcPr>
          <w:p w14:paraId="6DC0A31A" w14:textId="77777777" w:rsidR="00741DF8" w:rsidRDefault="00741DF8"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Centralizētās siltumapgādes apakšiekārtu noteikšana</w:t>
            </w:r>
          </w:p>
        </w:tc>
        <w:tc>
          <w:tcPr>
            <w:tcW w:w="1418" w:type="dxa"/>
          </w:tcPr>
          <w:p w14:paraId="123E1A7A"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w:t>
            </w:r>
          </w:p>
        </w:tc>
        <w:tc>
          <w:tcPr>
            <w:tcW w:w="1275" w:type="dxa"/>
          </w:tcPr>
          <w:p w14:paraId="738A81E0"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3.3.</w:t>
            </w:r>
          </w:p>
        </w:tc>
        <w:tc>
          <w:tcPr>
            <w:tcW w:w="7309" w:type="dxa"/>
          </w:tcPr>
          <w:p w14:paraId="23A55A20"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4362B058" w14:textId="77777777" w:rsidTr="00741DF8">
        <w:tc>
          <w:tcPr>
            <w:tcW w:w="4786" w:type="dxa"/>
          </w:tcPr>
          <w:p w14:paraId="40B676AB" w14:textId="77777777" w:rsidR="00741DF8" w:rsidRDefault="00741DF8"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szCs w:val="24"/>
              </w:rPr>
              <w:t xml:space="preserve">Kurināmā līmeņatzīmes apakšiekārtu </w:t>
            </w:r>
            <w:r>
              <w:rPr>
                <w:rFonts w:ascii="Times New Roman" w:hAnsi="Times New Roman"/>
                <w:sz w:val="24"/>
                <w:szCs w:val="24"/>
              </w:rPr>
              <w:lastRenderedPageBreak/>
              <w:t>noteikšana</w:t>
            </w:r>
          </w:p>
        </w:tc>
        <w:tc>
          <w:tcPr>
            <w:tcW w:w="1418" w:type="dxa"/>
          </w:tcPr>
          <w:p w14:paraId="32F350EB"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lastRenderedPageBreak/>
              <w:t>2.3.</w:t>
            </w:r>
          </w:p>
        </w:tc>
        <w:tc>
          <w:tcPr>
            <w:tcW w:w="1275" w:type="dxa"/>
          </w:tcPr>
          <w:p w14:paraId="3B741632"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3.4.</w:t>
            </w:r>
          </w:p>
        </w:tc>
        <w:tc>
          <w:tcPr>
            <w:tcW w:w="7309" w:type="dxa"/>
          </w:tcPr>
          <w:p w14:paraId="6F84594C"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44F7F3E1" w14:textId="77777777" w:rsidTr="00741DF8">
        <w:tc>
          <w:tcPr>
            <w:tcW w:w="4786" w:type="dxa"/>
          </w:tcPr>
          <w:p w14:paraId="3C140400" w14:textId="77777777" w:rsidR="00741DF8"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Procesa emisiju apakšiekārtu noteikšana</w:t>
            </w:r>
          </w:p>
        </w:tc>
        <w:tc>
          <w:tcPr>
            <w:tcW w:w="1418" w:type="dxa"/>
          </w:tcPr>
          <w:p w14:paraId="66EA3A48"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2.4.</w:t>
            </w:r>
          </w:p>
        </w:tc>
        <w:tc>
          <w:tcPr>
            <w:tcW w:w="1275" w:type="dxa"/>
          </w:tcPr>
          <w:p w14:paraId="42CAC488"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3.5.</w:t>
            </w:r>
          </w:p>
        </w:tc>
        <w:tc>
          <w:tcPr>
            <w:tcW w:w="7309" w:type="dxa"/>
          </w:tcPr>
          <w:p w14:paraId="77E27037"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7E49828D" w14:textId="77777777" w:rsidTr="00741DF8">
        <w:tc>
          <w:tcPr>
            <w:tcW w:w="4786" w:type="dxa"/>
          </w:tcPr>
          <w:p w14:paraId="7753C8FD"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Piešķiramo emisijas kvotu noteikšana katrai apakšiekārtai</w:t>
            </w:r>
          </w:p>
        </w:tc>
        <w:tc>
          <w:tcPr>
            <w:tcW w:w="1418" w:type="dxa"/>
          </w:tcPr>
          <w:p w14:paraId="64529256"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w:t>
            </w:r>
          </w:p>
        </w:tc>
        <w:tc>
          <w:tcPr>
            <w:tcW w:w="1275" w:type="dxa"/>
          </w:tcPr>
          <w:p w14:paraId="4EC4D3F8"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w:t>
            </w:r>
          </w:p>
        </w:tc>
        <w:tc>
          <w:tcPr>
            <w:tcW w:w="7309" w:type="dxa"/>
          </w:tcPr>
          <w:p w14:paraId="7004AC0E"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 xml:space="preserve">2019. gada </w:t>
            </w:r>
            <w:r>
              <w:rPr>
                <w:rFonts w:ascii="Times New Roman" w:hAnsi="Times New Roman"/>
                <w:i/>
                <w:sz w:val="24"/>
              </w:rPr>
              <w:t>GD</w:t>
            </w:r>
            <w:r>
              <w:rPr>
                <w:rFonts w:ascii="Times New Roman" w:hAnsi="Times New Roman"/>
                <w:sz w:val="24"/>
              </w:rPr>
              <w:t xml:space="preserve"> ietverta </w:t>
            </w:r>
            <w:r>
              <w:rPr>
                <w:rFonts w:ascii="Times New Roman" w:hAnsi="Times New Roman"/>
                <w:i/>
                <w:sz w:val="24"/>
              </w:rPr>
              <w:t>DH</w:t>
            </w:r>
            <w:r>
              <w:rPr>
                <w:rFonts w:ascii="Times New Roman" w:hAnsi="Times New Roman"/>
                <w:sz w:val="24"/>
              </w:rPr>
              <w:t xml:space="preserve"> apakšiekārta, precizēti vienādojumi/piemēri, vēsturisko darbības līmeņu mediānas aizstājot ar aritmētiskajiem vidējiem</w:t>
            </w:r>
          </w:p>
        </w:tc>
      </w:tr>
      <w:tr w:rsidR="00741DF8" w14:paraId="69795379" w14:textId="77777777" w:rsidTr="00741DF8">
        <w:tc>
          <w:tcPr>
            <w:tcW w:w="4786" w:type="dxa"/>
          </w:tcPr>
          <w:p w14:paraId="652269F6" w14:textId="77777777" w:rsidR="00741DF8"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Produkta līmeņatzīmes apakšiekārta</w:t>
            </w:r>
          </w:p>
        </w:tc>
        <w:tc>
          <w:tcPr>
            <w:tcW w:w="1418" w:type="dxa"/>
          </w:tcPr>
          <w:p w14:paraId="7447DD41"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3.1.</w:t>
            </w:r>
          </w:p>
        </w:tc>
        <w:tc>
          <w:tcPr>
            <w:tcW w:w="1275" w:type="dxa"/>
          </w:tcPr>
          <w:p w14:paraId="03FFED1F"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4.1.</w:t>
            </w:r>
          </w:p>
        </w:tc>
        <w:tc>
          <w:tcPr>
            <w:tcW w:w="7309" w:type="dxa"/>
          </w:tcPr>
          <w:p w14:paraId="0C385DF6"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7F8A8AEC" w14:textId="77777777" w:rsidTr="00741DF8">
        <w:tc>
          <w:tcPr>
            <w:tcW w:w="4786" w:type="dxa"/>
          </w:tcPr>
          <w:p w14:paraId="6E843021" w14:textId="77777777" w:rsidR="00741DF8"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Siltuma līmeņatzīmes apakšiekārta</w:t>
            </w:r>
          </w:p>
        </w:tc>
        <w:tc>
          <w:tcPr>
            <w:tcW w:w="1418" w:type="dxa"/>
          </w:tcPr>
          <w:p w14:paraId="603766C2"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3.2.</w:t>
            </w:r>
          </w:p>
        </w:tc>
        <w:tc>
          <w:tcPr>
            <w:tcW w:w="1275" w:type="dxa"/>
          </w:tcPr>
          <w:p w14:paraId="486E1B95"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4.2.</w:t>
            </w:r>
          </w:p>
        </w:tc>
        <w:tc>
          <w:tcPr>
            <w:tcW w:w="7309" w:type="dxa"/>
          </w:tcPr>
          <w:p w14:paraId="43250DAD"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0D9DDB2C" w14:textId="77777777" w:rsidTr="00741DF8">
        <w:tc>
          <w:tcPr>
            <w:tcW w:w="4786" w:type="dxa"/>
          </w:tcPr>
          <w:p w14:paraId="01008137" w14:textId="77777777" w:rsidR="00741DF8"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Centralizētās siltumapgādes apakšiekārta</w:t>
            </w:r>
          </w:p>
        </w:tc>
        <w:tc>
          <w:tcPr>
            <w:tcW w:w="1418" w:type="dxa"/>
          </w:tcPr>
          <w:p w14:paraId="0B69C9AA" w14:textId="77777777" w:rsidR="00741DF8" w:rsidRDefault="00741DF8" w:rsidP="00583F3E">
            <w:pPr>
              <w:widowControl/>
              <w:jc w:val="both"/>
              <w:rPr>
                <w:rFonts w:ascii="Times New Roman" w:eastAsia="Calibri" w:hAnsi="Times New Roman" w:cs="Times New Roman"/>
                <w:noProof/>
                <w:position w:val="6"/>
                <w:sz w:val="24"/>
                <w:szCs w:val="20"/>
              </w:rPr>
            </w:pPr>
          </w:p>
        </w:tc>
        <w:tc>
          <w:tcPr>
            <w:tcW w:w="1275" w:type="dxa"/>
          </w:tcPr>
          <w:p w14:paraId="746A3873"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4.3.</w:t>
            </w:r>
          </w:p>
        </w:tc>
        <w:tc>
          <w:tcPr>
            <w:tcW w:w="7309" w:type="dxa"/>
          </w:tcPr>
          <w:p w14:paraId="2A049A3D"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640FC6C6" w14:textId="77777777" w:rsidTr="00741DF8">
        <w:tc>
          <w:tcPr>
            <w:tcW w:w="4786" w:type="dxa"/>
          </w:tcPr>
          <w:p w14:paraId="7BEDE59F" w14:textId="77777777" w:rsidR="00741DF8"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Kurināmā līmeņatzīmes apakšiekārta</w:t>
            </w:r>
          </w:p>
        </w:tc>
        <w:tc>
          <w:tcPr>
            <w:tcW w:w="1418" w:type="dxa"/>
          </w:tcPr>
          <w:p w14:paraId="708EFF44"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3.3.</w:t>
            </w:r>
          </w:p>
        </w:tc>
        <w:tc>
          <w:tcPr>
            <w:tcW w:w="1275" w:type="dxa"/>
          </w:tcPr>
          <w:p w14:paraId="38E3D34F"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4.4.</w:t>
            </w:r>
          </w:p>
        </w:tc>
        <w:tc>
          <w:tcPr>
            <w:tcW w:w="7309" w:type="dxa"/>
          </w:tcPr>
          <w:p w14:paraId="172E3E11"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119C8036" w14:textId="77777777" w:rsidTr="00741DF8">
        <w:tc>
          <w:tcPr>
            <w:tcW w:w="4786" w:type="dxa"/>
          </w:tcPr>
          <w:p w14:paraId="4C498766" w14:textId="77777777" w:rsidR="00741DF8"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Procesa emisiju apakšiekārta</w:t>
            </w:r>
          </w:p>
        </w:tc>
        <w:tc>
          <w:tcPr>
            <w:tcW w:w="1418" w:type="dxa"/>
          </w:tcPr>
          <w:p w14:paraId="3BDC3C5B"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3.4.</w:t>
            </w:r>
          </w:p>
        </w:tc>
        <w:tc>
          <w:tcPr>
            <w:tcW w:w="1275" w:type="dxa"/>
          </w:tcPr>
          <w:p w14:paraId="0B0442E8"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4.5.</w:t>
            </w:r>
          </w:p>
        </w:tc>
        <w:tc>
          <w:tcPr>
            <w:tcW w:w="7309" w:type="dxa"/>
          </w:tcPr>
          <w:p w14:paraId="3D877B93"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67E3186C" w14:textId="77777777" w:rsidTr="00741DF8">
        <w:tc>
          <w:tcPr>
            <w:tcW w:w="4786" w:type="dxa"/>
          </w:tcPr>
          <w:p w14:paraId="3BEF47DF"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Provizoriskais un galīgais piešķiramo emisijas kvotu apjoms vienai iekārtai</w:t>
            </w:r>
          </w:p>
        </w:tc>
        <w:tc>
          <w:tcPr>
            <w:tcW w:w="1418" w:type="dxa"/>
          </w:tcPr>
          <w:p w14:paraId="65A50EF3"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w:t>
            </w:r>
          </w:p>
        </w:tc>
        <w:tc>
          <w:tcPr>
            <w:tcW w:w="1275" w:type="dxa"/>
          </w:tcPr>
          <w:p w14:paraId="083B716C"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5.</w:t>
            </w:r>
          </w:p>
        </w:tc>
        <w:tc>
          <w:tcPr>
            <w:tcW w:w="7309" w:type="dxa"/>
          </w:tcPr>
          <w:p w14:paraId="6B7AFA59"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 xml:space="preserve">2019. gada </w:t>
            </w:r>
            <w:r>
              <w:rPr>
                <w:rFonts w:ascii="Times New Roman" w:hAnsi="Times New Roman"/>
                <w:i/>
                <w:sz w:val="24"/>
              </w:rPr>
              <w:t>GD</w:t>
            </w:r>
            <w:r>
              <w:rPr>
                <w:rFonts w:ascii="Times New Roman" w:hAnsi="Times New Roman"/>
                <w:sz w:val="24"/>
              </w:rPr>
              <w:t xml:space="preserve"> ietverta centralizētās siltumapgādes apakšiekārta</w:t>
            </w:r>
          </w:p>
        </w:tc>
      </w:tr>
      <w:tr w:rsidR="00741DF8" w14:paraId="64A8E6F3" w14:textId="77777777" w:rsidTr="00741DF8">
        <w:tc>
          <w:tcPr>
            <w:tcW w:w="4786" w:type="dxa"/>
          </w:tcPr>
          <w:p w14:paraId="0E2CDD40" w14:textId="77777777" w:rsidR="00741DF8" w:rsidRDefault="007F6624" w:rsidP="007F6624">
            <w:pPr>
              <w:widowControl/>
              <w:ind w:firstLine="284"/>
              <w:jc w:val="both"/>
              <w:rPr>
                <w:rFonts w:ascii="Times New Roman" w:eastAsia="Calibri" w:hAnsi="Times New Roman" w:cs="Times New Roman"/>
                <w:noProof/>
                <w:position w:val="6"/>
                <w:sz w:val="24"/>
                <w:szCs w:val="20"/>
              </w:rPr>
            </w:pPr>
            <w:r>
              <w:rPr>
                <w:rFonts w:ascii="Times New Roman" w:hAnsi="Times New Roman"/>
                <w:sz w:val="24"/>
              </w:rPr>
              <w:t>Pamata piešķiramo emisijas kvotu apjoms</w:t>
            </w:r>
          </w:p>
        </w:tc>
        <w:tc>
          <w:tcPr>
            <w:tcW w:w="1418" w:type="dxa"/>
          </w:tcPr>
          <w:p w14:paraId="6A3096F2"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4.1.</w:t>
            </w:r>
          </w:p>
        </w:tc>
        <w:tc>
          <w:tcPr>
            <w:tcW w:w="1275" w:type="dxa"/>
          </w:tcPr>
          <w:p w14:paraId="651BB2AE"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w:t>
            </w:r>
          </w:p>
        </w:tc>
        <w:tc>
          <w:tcPr>
            <w:tcW w:w="7309" w:type="dxa"/>
          </w:tcPr>
          <w:p w14:paraId="72A2A535"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 xml:space="preserve">Svītrots 2019. gada </w:t>
            </w:r>
            <w:r>
              <w:rPr>
                <w:rFonts w:ascii="Times New Roman" w:hAnsi="Times New Roman"/>
                <w:i/>
                <w:sz w:val="24"/>
              </w:rPr>
              <w:t>GD</w:t>
            </w:r>
            <w:r>
              <w:rPr>
                <w:rFonts w:ascii="Times New Roman" w:hAnsi="Times New Roman"/>
                <w:sz w:val="24"/>
              </w:rPr>
              <w:t>, jo nav vairs atbilstīgs</w:t>
            </w:r>
          </w:p>
        </w:tc>
      </w:tr>
      <w:tr w:rsidR="00741DF8" w14:paraId="33220D14" w14:textId="77777777" w:rsidTr="00741DF8">
        <w:tc>
          <w:tcPr>
            <w:tcW w:w="4786" w:type="dxa"/>
          </w:tcPr>
          <w:p w14:paraId="3EB0EC7E" w14:textId="77777777" w:rsidR="00741DF8" w:rsidRDefault="007F6624" w:rsidP="007F6624">
            <w:pPr>
              <w:widowControl/>
              <w:ind w:firstLine="284"/>
              <w:jc w:val="both"/>
              <w:rPr>
                <w:rFonts w:ascii="Times New Roman" w:eastAsia="Calibri" w:hAnsi="Times New Roman" w:cs="Times New Roman"/>
                <w:noProof/>
                <w:position w:val="6"/>
                <w:sz w:val="24"/>
                <w:szCs w:val="20"/>
              </w:rPr>
            </w:pPr>
            <w:r>
              <w:rPr>
                <w:rFonts w:ascii="Times New Roman" w:hAnsi="Times New Roman"/>
                <w:sz w:val="24"/>
              </w:rPr>
              <w:t>Provizoriskais piešķiramo kvotu apjoms</w:t>
            </w:r>
          </w:p>
        </w:tc>
        <w:tc>
          <w:tcPr>
            <w:tcW w:w="1418" w:type="dxa"/>
          </w:tcPr>
          <w:p w14:paraId="246D6D0D"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4.2.</w:t>
            </w:r>
          </w:p>
        </w:tc>
        <w:tc>
          <w:tcPr>
            <w:tcW w:w="1275" w:type="dxa"/>
          </w:tcPr>
          <w:p w14:paraId="14FD45F2"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5.1.</w:t>
            </w:r>
          </w:p>
        </w:tc>
        <w:tc>
          <w:tcPr>
            <w:tcW w:w="7309" w:type="dxa"/>
          </w:tcPr>
          <w:p w14:paraId="53710D8F"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6139E4AB" w14:textId="77777777" w:rsidTr="00741DF8">
        <w:tc>
          <w:tcPr>
            <w:tcW w:w="4786" w:type="dxa"/>
          </w:tcPr>
          <w:p w14:paraId="3C5C81D9" w14:textId="77777777" w:rsidR="00741DF8" w:rsidRDefault="007F6624" w:rsidP="007F6624">
            <w:pPr>
              <w:widowControl/>
              <w:ind w:firstLine="284"/>
              <w:jc w:val="both"/>
              <w:rPr>
                <w:rFonts w:ascii="Times New Roman" w:eastAsia="Calibri" w:hAnsi="Times New Roman" w:cs="Times New Roman"/>
                <w:noProof/>
                <w:position w:val="6"/>
                <w:sz w:val="24"/>
                <w:szCs w:val="20"/>
              </w:rPr>
            </w:pPr>
            <w:r>
              <w:rPr>
                <w:rFonts w:ascii="Times New Roman" w:hAnsi="Times New Roman"/>
                <w:sz w:val="24"/>
              </w:rPr>
              <w:t>Galīgais piešķiramo kvotu apjoms</w:t>
            </w:r>
          </w:p>
        </w:tc>
        <w:tc>
          <w:tcPr>
            <w:tcW w:w="1418" w:type="dxa"/>
          </w:tcPr>
          <w:p w14:paraId="43EE238B"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4.3.</w:t>
            </w:r>
          </w:p>
        </w:tc>
        <w:tc>
          <w:tcPr>
            <w:tcW w:w="1275" w:type="dxa"/>
          </w:tcPr>
          <w:p w14:paraId="21D670CD"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5.2.</w:t>
            </w:r>
          </w:p>
        </w:tc>
        <w:tc>
          <w:tcPr>
            <w:tcW w:w="7309" w:type="dxa"/>
          </w:tcPr>
          <w:p w14:paraId="3AB23221" w14:textId="77777777" w:rsidR="00741DF8" w:rsidRDefault="00741DF8" w:rsidP="00583F3E">
            <w:pPr>
              <w:widowControl/>
              <w:jc w:val="both"/>
              <w:rPr>
                <w:rFonts w:ascii="Times New Roman" w:eastAsia="Calibri" w:hAnsi="Times New Roman" w:cs="Times New Roman"/>
                <w:noProof/>
                <w:position w:val="6"/>
                <w:sz w:val="24"/>
                <w:szCs w:val="20"/>
              </w:rPr>
            </w:pPr>
          </w:p>
        </w:tc>
      </w:tr>
      <w:tr w:rsidR="00741DF8" w14:paraId="172A60B3" w14:textId="77777777" w:rsidTr="00741DF8">
        <w:tc>
          <w:tcPr>
            <w:tcW w:w="4786" w:type="dxa"/>
          </w:tcPr>
          <w:p w14:paraId="0506554F"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Sākotnējās jaudas noteikšana</w:t>
            </w:r>
          </w:p>
        </w:tc>
        <w:tc>
          <w:tcPr>
            <w:tcW w:w="1418" w:type="dxa"/>
          </w:tcPr>
          <w:p w14:paraId="5F035B5D"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5.</w:t>
            </w:r>
          </w:p>
        </w:tc>
        <w:tc>
          <w:tcPr>
            <w:tcW w:w="1275" w:type="dxa"/>
          </w:tcPr>
          <w:p w14:paraId="1ED4EA4F"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w:t>
            </w:r>
          </w:p>
        </w:tc>
        <w:tc>
          <w:tcPr>
            <w:tcW w:w="7309" w:type="dxa"/>
          </w:tcPr>
          <w:p w14:paraId="692DA546"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 xml:space="preserve">Svītrots 2019. gada </w:t>
            </w:r>
            <w:r>
              <w:rPr>
                <w:rFonts w:ascii="Times New Roman" w:hAnsi="Times New Roman"/>
                <w:i/>
                <w:sz w:val="24"/>
              </w:rPr>
              <w:t>GD</w:t>
            </w:r>
            <w:r>
              <w:rPr>
                <w:rFonts w:ascii="Times New Roman" w:hAnsi="Times New Roman"/>
                <w:sz w:val="24"/>
              </w:rPr>
              <w:t xml:space="preserve">, atsauce uz jauniem noteikumiem par darbības līmeņu izmaiņām saskaņā ar </w:t>
            </w:r>
            <w:r>
              <w:rPr>
                <w:rFonts w:ascii="Times New Roman" w:hAnsi="Times New Roman"/>
                <w:i/>
                <w:sz w:val="24"/>
              </w:rPr>
              <w:t>FAR</w:t>
            </w:r>
            <w:r>
              <w:rPr>
                <w:rFonts w:ascii="Times New Roman" w:hAnsi="Times New Roman"/>
                <w:sz w:val="24"/>
              </w:rPr>
              <w:t xml:space="preserve"> atsevišķā </w:t>
            </w:r>
            <w:r>
              <w:rPr>
                <w:rFonts w:ascii="Times New Roman" w:hAnsi="Times New Roman"/>
                <w:i/>
                <w:sz w:val="24"/>
              </w:rPr>
              <w:t>GD</w:t>
            </w:r>
          </w:p>
        </w:tc>
      </w:tr>
      <w:tr w:rsidR="007F6624" w14:paraId="32B87C20" w14:textId="77777777" w:rsidTr="00741DF8">
        <w:tc>
          <w:tcPr>
            <w:tcW w:w="4786" w:type="dxa"/>
          </w:tcPr>
          <w:p w14:paraId="4FCC6694"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Vēsturiskā darbības līmeņa noteikšana</w:t>
            </w:r>
          </w:p>
        </w:tc>
        <w:tc>
          <w:tcPr>
            <w:tcW w:w="1418" w:type="dxa"/>
          </w:tcPr>
          <w:p w14:paraId="6F881467"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6.</w:t>
            </w:r>
          </w:p>
        </w:tc>
        <w:tc>
          <w:tcPr>
            <w:tcW w:w="1275" w:type="dxa"/>
          </w:tcPr>
          <w:p w14:paraId="5283AF0D"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6.</w:t>
            </w:r>
          </w:p>
        </w:tc>
        <w:tc>
          <w:tcPr>
            <w:tcW w:w="7309" w:type="dxa"/>
          </w:tcPr>
          <w:p w14:paraId="20DF5479" w14:textId="77777777" w:rsidR="007F6624" w:rsidRDefault="007F6624" w:rsidP="00583F3E">
            <w:pPr>
              <w:widowControl/>
              <w:jc w:val="both"/>
              <w:rPr>
                <w:rFonts w:ascii="Times New Roman" w:eastAsia="Calibri" w:hAnsi="Times New Roman" w:cs="Times New Roman"/>
                <w:noProof/>
                <w:position w:val="6"/>
                <w:sz w:val="24"/>
                <w:szCs w:val="20"/>
              </w:rPr>
            </w:pPr>
          </w:p>
        </w:tc>
      </w:tr>
      <w:tr w:rsidR="007F6624" w14:paraId="1D194673" w14:textId="77777777" w:rsidTr="00741DF8">
        <w:tc>
          <w:tcPr>
            <w:tcW w:w="4786" w:type="dxa"/>
          </w:tcPr>
          <w:p w14:paraId="6A7EAD1E" w14:textId="77777777" w:rsidR="007F6624"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Bāzlīnijas perioda izvēle</w:t>
            </w:r>
          </w:p>
        </w:tc>
        <w:tc>
          <w:tcPr>
            <w:tcW w:w="1418" w:type="dxa"/>
          </w:tcPr>
          <w:p w14:paraId="18C43B68"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6.1.</w:t>
            </w:r>
          </w:p>
        </w:tc>
        <w:tc>
          <w:tcPr>
            <w:tcW w:w="1275" w:type="dxa"/>
          </w:tcPr>
          <w:p w14:paraId="3B27C0A6"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w:t>
            </w:r>
          </w:p>
        </w:tc>
        <w:tc>
          <w:tcPr>
            <w:tcW w:w="7309" w:type="dxa"/>
          </w:tcPr>
          <w:p w14:paraId="7F167F29"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Svītrots 2019. gada GD, jo nav vairs atbilstīgs</w:t>
            </w:r>
          </w:p>
        </w:tc>
      </w:tr>
      <w:tr w:rsidR="007F6624" w14:paraId="068B2795" w14:textId="77777777" w:rsidTr="00741DF8">
        <w:tc>
          <w:tcPr>
            <w:tcW w:w="4786" w:type="dxa"/>
          </w:tcPr>
          <w:p w14:paraId="6DB07BAC" w14:textId="77777777" w:rsidR="007F6624"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Noklusējuma pieeja</w:t>
            </w:r>
          </w:p>
        </w:tc>
        <w:tc>
          <w:tcPr>
            <w:tcW w:w="1418" w:type="dxa"/>
          </w:tcPr>
          <w:p w14:paraId="268563C8"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6.2.</w:t>
            </w:r>
          </w:p>
        </w:tc>
        <w:tc>
          <w:tcPr>
            <w:tcW w:w="1275" w:type="dxa"/>
          </w:tcPr>
          <w:p w14:paraId="6651B184"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6.1.</w:t>
            </w:r>
          </w:p>
        </w:tc>
        <w:tc>
          <w:tcPr>
            <w:tcW w:w="7309" w:type="dxa"/>
          </w:tcPr>
          <w:p w14:paraId="67140831" w14:textId="77777777" w:rsidR="007F6624" w:rsidRDefault="007F6624" w:rsidP="00583F3E">
            <w:pPr>
              <w:widowControl/>
              <w:jc w:val="both"/>
              <w:rPr>
                <w:rFonts w:ascii="Times New Roman" w:eastAsia="Calibri" w:hAnsi="Times New Roman" w:cs="Times New Roman"/>
                <w:noProof/>
                <w:position w:val="6"/>
                <w:sz w:val="24"/>
                <w:szCs w:val="20"/>
              </w:rPr>
            </w:pPr>
          </w:p>
        </w:tc>
      </w:tr>
      <w:tr w:rsidR="007F6624" w14:paraId="3EBBBE6E" w14:textId="77777777" w:rsidTr="00741DF8">
        <w:tc>
          <w:tcPr>
            <w:tcW w:w="4786" w:type="dxa"/>
          </w:tcPr>
          <w:p w14:paraId="237A2233" w14:textId="77777777" w:rsidR="007F6624"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Vēsturiskā darbības līmeņa noteikšana, ja (apakš-)iekārta nav bijusi ekspluatācijā visu bāzlīnijas periodu</w:t>
            </w:r>
          </w:p>
        </w:tc>
        <w:tc>
          <w:tcPr>
            <w:tcW w:w="1418" w:type="dxa"/>
          </w:tcPr>
          <w:p w14:paraId="1F7EB24E"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6.3.</w:t>
            </w:r>
          </w:p>
        </w:tc>
        <w:tc>
          <w:tcPr>
            <w:tcW w:w="1275" w:type="dxa"/>
          </w:tcPr>
          <w:p w14:paraId="5A8B2184" w14:textId="77777777" w:rsidR="007F6624"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6.2.</w:t>
            </w:r>
          </w:p>
        </w:tc>
        <w:tc>
          <w:tcPr>
            <w:tcW w:w="7309" w:type="dxa"/>
          </w:tcPr>
          <w:p w14:paraId="2691B439" w14:textId="77777777" w:rsidR="007F6624" w:rsidRDefault="007F6624" w:rsidP="00583F3E">
            <w:pPr>
              <w:widowControl/>
              <w:jc w:val="both"/>
              <w:rPr>
                <w:rFonts w:ascii="Times New Roman" w:eastAsia="Calibri" w:hAnsi="Times New Roman" w:cs="Times New Roman"/>
                <w:noProof/>
                <w:position w:val="6"/>
                <w:sz w:val="24"/>
                <w:szCs w:val="20"/>
              </w:rPr>
            </w:pPr>
          </w:p>
        </w:tc>
      </w:tr>
      <w:tr w:rsidR="00741DF8" w14:paraId="05B9061E" w14:textId="77777777" w:rsidTr="00741DF8">
        <w:tc>
          <w:tcPr>
            <w:tcW w:w="4786" w:type="dxa"/>
          </w:tcPr>
          <w:p w14:paraId="438565FE" w14:textId="77777777" w:rsidR="00741DF8" w:rsidRDefault="007F6624" w:rsidP="007F6624">
            <w:pPr>
              <w:widowControl/>
              <w:ind w:left="284"/>
              <w:jc w:val="both"/>
              <w:rPr>
                <w:rFonts w:ascii="Times New Roman" w:eastAsia="Calibri" w:hAnsi="Times New Roman" w:cs="Times New Roman"/>
                <w:noProof/>
                <w:position w:val="6"/>
                <w:sz w:val="24"/>
                <w:szCs w:val="20"/>
              </w:rPr>
            </w:pPr>
            <w:r>
              <w:rPr>
                <w:rFonts w:ascii="Times New Roman" w:hAnsi="Times New Roman"/>
                <w:sz w:val="24"/>
              </w:rPr>
              <w:t>Jaudas izmaiņas</w:t>
            </w:r>
          </w:p>
        </w:tc>
        <w:tc>
          <w:tcPr>
            <w:tcW w:w="1418" w:type="dxa"/>
          </w:tcPr>
          <w:p w14:paraId="6FA6878E"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6.4.</w:t>
            </w:r>
          </w:p>
        </w:tc>
        <w:tc>
          <w:tcPr>
            <w:tcW w:w="1275" w:type="dxa"/>
          </w:tcPr>
          <w:p w14:paraId="62AB3AF6"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w:t>
            </w:r>
          </w:p>
        </w:tc>
        <w:tc>
          <w:tcPr>
            <w:tcW w:w="7309" w:type="dxa"/>
          </w:tcPr>
          <w:p w14:paraId="5E01CA41"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 xml:space="preserve">Svītrots 2019. gada </w:t>
            </w:r>
            <w:r>
              <w:rPr>
                <w:rFonts w:ascii="Times New Roman" w:hAnsi="Times New Roman"/>
                <w:i/>
                <w:sz w:val="24"/>
              </w:rPr>
              <w:t>GD</w:t>
            </w:r>
            <w:r>
              <w:rPr>
                <w:rFonts w:ascii="Times New Roman" w:hAnsi="Times New Roman"/>
                <w:sz w:val="24"/>
              </w:rPr>
              <w:t xml:space="preserve">, atsauce uz atsevišķu </w:t>
            </w:r>
            <w:r>
              <w:rPr>
                <w:rFonts w:ascii="Times New Roman" w:hAnsi="Times New Roman"/>
                <w:i/>
                <w:sz w:val="24"/>
              </w:rPr>
              <w:t>GD</w:t>
            </w:r>
            <w:r>
              <w:rPr>
                <w:rFonts w:ascii="Times New Roman" w:hAnsi="Times New Roman"/>
                <w:sz w:val="24"/>
              </w:rPr>
              <w:t xml:space="preserve"> par darbības līmeņu izmaiņām saskaņā ar </w:t>
            </w:r>
            <w:r>
              <w:rPr>
                <w:rFonts w:ascii="Times New Roman" w:hAnsi="Times New Roman"/>
                <w:i/>
                <w:sz w:val="24"/>
              </w:rPr>
              <w:t>FAR</w:t>
            </w:r>
          </w:p>
        </w:tc>
      </w:tr>
      <w:tr w:rsidR="00741DF8" w14:paraId="4D264095" w14:textId="77777777" w:rsidTr="00741DF8">
        <w:tc>
          <w:tcPr>
            <w:tcW w:w="4786" w:type="dxa"/>
          </w:tcPr>
          <w:p w14:paraId="262C72F5"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rPr>
              <w:t>Papildu piemēri</w:t>
            </w:r>
          </w:p>
        </w:tc>
        <w:tc>
          <w:tcPr>
            <w:tcW w:w="1418" w:type="dxa"/>
          </w:tcPr>
          <w:p w14:paraId="1242F47A"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7.</w:t>
            </w:r>
          </w:p>
        </w:tc>
        <w:tc>
          <w:tcPr>
            <w:tcW w:w="1275" w:type="dxa"/>
          </w:tcPr>
          <w:p w14:paraId="2DA9AD22" w14:textId="77777777" w:rsidR="00741DF8" w:rsidRDefault="007F6624" w:rsidP="00583F3E">
            <w:pPr>
              <w:widowControl/>
              <w:jc w:val="both"/>
              <w:rPr>
                <w:rFonts w:ascii="Times New Roman" w:eastAsia="Calibri" w:hAnsi="Times New Roman" w:cs="Times New Roman"/>
                <w:noProof/>
                <w:position w:val="6"/>
                <w:sz w:val="24"/>
                <w:szCs w:val="20"/>
              </w:rPr>
            </w:pPr>
            <w:r>
              <w:rPr>
                <w:rFonts w:ascii="Times New Roman" w:hAnsi="Times New Roman"/>
                <w:sz w:val="24"/>
                <w:szCs w:val="20"/>
              </w:rPr>
              <w:t>7.</w:t>
            </w:r>
          </w:p>
        </w:tc>
        <w:tc>
          <w:tcPr>
            <w:tcW w:w="7309" w:type="dxa"/>
          </w:tcPr>
          <w:p w14:paraId="6163CFC2" w14:textId="77777777" w:rsidR="00741DF8" w:rsidRDefault="00741DF8" w:rsidP="00583F3E">
            <w:pPr>
              <w:widowControl/>
              <w:jc w:val="both"/>
              <w:rPr>
                <w:rFonts w:ascii="Times New Roman" w:eastAsia="Calibri" w:hAnsi="Times New Roman" w:cs="Times New Roman"/>
                <w:noProof/>
                <w:position w:val="6"/>
                <w:sz w:val="24"/>
                <w:szCs w:val="20"/>
              </w:rPr>
            </w:pPr>
          </w:p>
        </w:tc>
      </w:tr>
    </w:tbl>
    <w:p w14:paraId="427097ED" w14:textId="77777777" w:rsidR="000D4CFE" w:rsidRDefault="000D4CFE" w:rsidP="000D4CFE">
      <w:pPr>
        <w:widowControl/>
        <w:jc w:val="both"/>
        <w:rPr>
          <w:rFonts w:ascii="Times New Roman" w:eastAsia="Calibri" w:hAnsi="Times New Roman" w:cs="Times New Roman"/>
          <w:noProof/>
          <w:position w:val="6"/>
          <w:sz w:val="24"/>
          <w:szCs w:val="20"/>
        </w:rPr>
      </w:pPr>
    </w:p>
    <w:sectPr w:rsidR="000D4CFE" w:rsidSect="00A91BA3">
      <w:headerReference w:type="default" r:id="rId42"/>
      <w:footerReference w:type="default" r:id="rId43"/>
      <w:headerReference w:type="first" r:id="rId44"/>
      <w:pgSz w:w="16840" w:h="11907" w:orient="landscape" w:code="9"/>
      <w:pgMar w:top="1701"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E323F" w14:textId="77777777" w:rsidR="009E734E" w:rsidRPr="00583F3E" w:rsidRDefault="009E734E">
      <w:pPr>
        <w:rPr>
          <w:noProof/>
        </w:rPr>
      </w:pPr>
      <w:r w:rsidRPr="00583F3E">
        <w:rPr>
          <w:noProof/>
        </w:rPr>
        <w:separator/>
      </w:r>
    </w:p>
  </w:endnote>
  <w:endnote w:type="continuationSeparator" w:id="0">
    <w:p w14:paraId="4B549A49" w14:textId="77777777" w:rsidR="009E734E" w:rsidRPr="00583F3E" w:rsidRDefault="009E734E">
      <w:pPr>
        <w:rPr>
          <w:noProof/>
        </w:rPr>
      </w:pPr>
      <w:r w:rsidRPr="00583F3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FE3EB" w14:textId="77777777" w:rsidR="009E734E" w:rsidRPr="00FA5AF6" w:rsidRDefault="009E734E" w:rsidP="00FA5AF6">
    <w:pPr>
      <w:pStyle w:val="Header"/>
      <w:tabs>
        <w:tab w:val="clear" w:pos="4153"/>
        <w:tab w:val="clear" w:pos="8306"/>
        <w:tab w:val="left" w:pos="9072"/>
      </w:tabs>
      <w:rPr>
        <w:rStyle w:val="PageNumber"/>
        <w:rFonts w:ascii="Times New Roman" w:hAnsi="Times New Roman" w:cs="Times New Roman"/>
        <w:sz w:val="20"/>
        <w:szCs w:val="18"/>
      </w:rPr>
    </w:pPr>
  </w:p>
  <w:p w14:paraId="7FD7AE58" w14:textId="77777777" w:rsidR="009E734E" w:rsidRPr="00FA5AF6" w:rsidRDefault="009E734E" w:rsidP="00FA5AF6">
    <w:pPr>
      <w:pStyle w:val="Header"/>
      <w:tabs>
        <w:tab w:val="clear" w:pos="4153"/>
        <w:tab w:val="clear" w:pos="8306"/>
        <w:tab w:val="right" w:leader="underscore" w:pos="9072"/>
      </w:tabs>
      <w:rPr>
        <w:rStyle w:val="PageNumber"/>
        <w:rFonts w:ascii="Times New Roman" w:hAnsi="Times New Roman" w:cs="Times New Roman"/>
        <w:sz w:val="20"/>
        <w:szCs w:val="18"/>
      </w:rPr>
    </w:pPr>
    <w:r w:rsidRPr="00FA5AF6">
      <w:rPr>
        <w:rStyle w:val="PageNumber"/>
        <w:rFonts w:ascii="Times New Roman" w:hAnsi="Times New Roman" w:cs="Times New Roman"/>
        <w:sz w:val="20"/>
        <w:szCs w:val="18"/>
      </w:rPr>
      <w:tab/>
    </w:r>
  </w:p>
  <w:p w14:paraId="10486F77" w14:textId="77777777" w:rsidR="009E734E" w:rsidRPr="00FA5AF6" w:rsidRDefault="009E734E" w:rsidP="00FA5AF6">
    <w:pPr>
      <w:pStyle w:val="Header"/>
      <w:tabs>
        <w:tab w:val="clear" w:pos="4153"/>
        <w:tab w:val="clear" w:pos="8306"/>
        <w:tab w:val="right" w:pos="9072"/>
      </w:tabs>
      <w:rPr>
        <w:rStyle w:val="PageNumber"/>
        <w:rFonts w:ascii="Times New Roman" w:hAnsi="Times New Roman" w:cs="Times New Roman"/>
        <w:sz w:val="20"/>
        <w:szCs w:val="18"/>
      </w:rPr>
    </w:pPr>
  </w:p>
  <w:p w14:paraId="45E8E7B2" w14:textId="77777777" w:rsidR="009E734E" w:rsidRPr="00FA5AF6" w:rsidRDefault="009E734E" w:rsidP="00FA5AF6">
    <w:pPr>
      <w:pStyle w:val="Footer"/>
      <w:tabs>
        <w:tab w:val="clear" w:pos="4153"/>
        <w:tab w:val="clear" w:pos="8306"/>
        <w:tab w:val="right" w:pos="9072"/>
      </w:tabs>
      <w:rPr>
        <w:rFonts w:ascii="Times New Roman" w:hAnsi="Times New Roman" w:cs="Times New Roman"/>
        <w:sz w:val="20"/>
        <w:szCs w:val="18"/>
      </w:rPr>
    </w:pPr>
    <w:r w:rsidRPr="00FA5AF6">
      <w:rPr>
        <w:rFonts w:ascii="Times New Roman" w:hAnsi="Times New Roman" w:cs="Times New Roman"/>
        <w:noProof/>
        <w:sz w:val="20"/>
        <w:szCs w:val="18"/>
      </w:rPr>
      <w:t xml:space="preserve">Tulkojums </w:t>
    </w:r>
    <w:r w:rsidRPr="00FA5AF6">
      <w:rPr>
        <w:rFonts w:ascii="Times New Roman" w:hAnsi="Times New Roman" w:cs="Times New Roman"/>
        <w:noProof/>
        <w:sz w:val="20"/>
        <w:szCs w:val="18"/>
      </w:rPr>
      <w:fldChar w:fldCharType="begin"/>
    </w:r>
    <w:r w:rsidRPr="00FA5AF6">
      <w:rPr>
        <w:rFonts w:ascii="Times New Roman" w:hAnsi="Times New Roman" w:cs="Times New Roman"/>
        <w:noProof/>
        <w:sz w:val="20"/>
        <w:szCs w:val="18"/>
      </w:rPr>
      <w:instrText>symbol 211 \f "Symbol" \s 9</w:instrText>
    </w:r>
    <w:r w:rsidRPr="00FA5AF6">
      <w:rPr>
        <w:rFonts w:ascii="Times New Roman" w:hAnsi="Times New Roman" w:cs="Times New Roman"/>
        <w:noProof/>
        <w:sz w:val="20"/>
        <w:szCs w:val="18"/>
      </w:rPr>
      <w:fldChar w:fldCharType="separate"/>
    </w:r>
    <w:r w:rsidRPr="00FA5AF6">
      <w:rPr>
        <w:rFonts w:ascii="Times New Roman" w:hAnsi="Times New Roman" w:cs="Times New Roman"/>
        <w:noProof/>
        <w:sz w:val="20"/>
        <w:szCs w:val="18"/>
      </w:rPr>
      <w:t>Ó</w:t>
    </w:r>
    <w:r w:rsidRPr="00FA5AF6">
      <w:rPr>
        <w:rFonts w:ascii="Times New Roman" w:hAnsi="Times New Roman" w:cs="Times New Roman"/>
        <w:noProof/>
        <w:sz w:val="20"/>
        <w:szCs w:val="18"/>
      </w:rPr>
      <w:fldChar w:fldCharType="end"/>
    </w:r>
    <w:r w:rsidRPr="00FA5AF6">
      <w:rPr>
        <w:rFonts w:ascii="Times New Roman" w:hAnsi="Times New Roman" w:cs="Times New Roman"/>
        <w:noProof/>
        <w:sz w:val="20"/>
        <w:szCs w:val="18"/>
      </w:rPr>
      <w:t xml:space="preserve"> Valsts valodas centrs, 2020</w:t>
    </w:r>
    <w:r w:rsidRPr="00FA5AF6">
      <w:rPr>
        <w:rFonts w:ascii="Times New Roman" w:hAnsi="Times New Roman" w:cs="Times New Roman"/>
        <w:sz w:val="20"/>
        <w:szCs w:val="18"/>
      </w:rPr>
      <w:tab/>
    </w:r>
    <w:r w:rsidRPr="00FA5AF6">
      <w:rPr>
        <w:rStyle w:val="PageNumber"/>
        <w:rFonts w:ascii="Times New Roman" w:hAnsi="Times New Roman" w:cs="Times New Roman"/>
        <w:sz w:val="20"/>
        <w:szCs w:val="18"/>
      </w:rPr>
      <w:fldChar w:fldCharType="begin"/>
    </w:r>
    <w:r w:rsidRPr="00FA5AF6">
      <w:rPr>
        <w:rStyle w:val="PageNumber"/>
        <w:rFonts w:ascii="Times New Roman" w:hAnsi="Times New Roman" w:cs="Times New Roman"/>
        <w:sz w:val="20"/>
        <w:szCs w:val="18"/>
      </w:rPr>
      <w:instrText xml:space="preserve">page </w:instrText>
    </w:r>
    <w:r w:rsidRPr="00FA5AF6">
      <w:rPr>
        <w:rStyle w:val="PageNumber"/>
        <w:rFonts w:ascii="Times New Roman" w:hAnsi="Times New Roman" w:cs="Times New Roman"/>
        <w:sz w:val="20"/>
        <w:szCs w:val="18"/>
      </w:rPr>
      <w:fldChar w:fldCharType="separate"/>
    </w:r>
    <w:r w:rsidRPr="00FA5AF6">
      <w:rPr>
        <w:rStyle w:val="PageNumber"/>
        <w:rFonts w:ascii="Times New Roman" w:hAnsi="Times New Roman" w:cs="Times New Roman"/>
        <w:sz w:val="20"/>
        <w:szCs w:val="18"/>
      </w:rPr>
      <w:t>2</w:t>
    </w:r>
    <w:r w:rsidRPr="00FA5AF6">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F43E4" w14:textId="77777777" w:rsidR="009E734E" w:rsidRPr="00FA5AF6" w:rsidRDefault="009E734E" w:rsidP="00FA5AF6">
    <w:pPr>
      <w:pStyle w:val="Header"/>
      <w:tabs>
        <w:tab w:val="clear" w:pos="4153"/>
        <w:tab w:val="clear" w:pos="8306"/>
        <w:tab w:val="left" w:pos="9072"/>
      </w:tabs>
      <w:rPr>
        <w:rStyle w:val="PageNumber"/>
        <w:rFonts w:ascii="Times New Roman" w:hAnsi="Times New Roman" w:cs="Times New Roman"/>
        <w:sz w:val="20"/>
        <w:szCs w:val="18"/>
      </w:rPr>
    </w:pPr>
    <w:bookmarkStart w:id="86" w:name="_Hlk496261764"/>
    <w:bookmarkStart w:id="87" w:name="_Hlk496261765"/>
    <w:bookmarkStart w:id="88" w:name="_Hlk496261766"/>
    <w:bookmarkStart w:id="89" w:name="_Hlk30491075"/>
    <w:bookmarkStart w:id="90" w:name="_Hlk30491076"/>
  </w:p>
  <w:p w14:paraId="782C3E41" w14:textId="77777777" w:rsidR="009E734E" w:rsidRPr="00FA5AF6" w:rsidRDefault="009E734E" w:rsidP="00FA5AF6">
    <w:pPr>
      <w:pStyle w:val="Header"/>
      <w:tabs>
        <w:tab w:val="clear" w:pos="4153"/>
        <w:tab w:val="clear" w:pos="8306"/>
        <w:tab w:val="left" w:leader="underscore" w:pos="9072"/>
      </w:tabs>
      <w:rPr>
        <w:rStyle w:val="PageNumber"/>
        <w:rFonts w:ascii="Times New Roman" w:hAnsi="Times New Roman" w:cs="Times New Roman"/>
        <w:sz w:val="20"/>
        <w:szCs w:val="18"/>
      </w:rPr>
    </w:pPr>
    <w:r w:rsidRPr="00FA5AF6">
      <w:rPr>
        <w:rStyle w:val="PageNumber"/>
        <w:rFonts w:ascii="Times New Roman" w:hAnsi="Times New Roman" w:cs="Times New Roman"/>
        <w:sz w:val="20"/>
        <w:szCs w:val="18"/>
      </w:rPr>
      <w:tab/>
    </w:r>
  </w:p>
  <w:p w14:paraId="545D438D" w14:textId="77777777" w:rsidR="009E734E" w:rsidRPr="00FA5AF6" w:rsidRDefault="009E734E" w:rsidP="00FA5AF6">
    <w:pPr>
      <w:pStyle w:val="Header"/>
      <w:tabs>
        <w:tab w:val="clear" w:pos="4153"/>
        <w:tab w:val="clear" w:pos="8306"/>
        <w:tab w:val="left" w:pos="9072"/>
      </w:tabs>
      <w:rPr>
        <w:rStyle w:val="PageNumber"/>
        <w:rFonts w:ascii="Times New Roman" w:hAnsi="Times New Roman" w:cs="Times New Roman"/>
        <w:sz w:val="20"/>
        <w:szCs w:val="18"/>
      </w:rPr>
    </w:pPr>
  </w:p>
  <w:p w14:paraId="18F56B17" w14:textId="77777777" w:rsidR="009E734E" w:rsidRPr="00FA5AF6" w:rsidRDefault="009E734E" w:rsidP="00FA5AF6">
    <w:pPr>
      <w:pStyle w:val="Footer"/>
      <w:rPr>
        <w:rFonts w:ascii="Times New Roman" w:hAnsi="Times New Roman" w:cs="Times New Roman"/>
        <w:sz w:val="20"/>
        <w:szCs w:val="18"/>
      </w:rPr>
    </w:pPr>
    <w:r w:rsidRPr="00FA5AF6">
      <w:rPr>
        <w:rFonts w:ascii="Times New Roman" w:hAnsi="Times New Roman" w:cs="Times New Roman"/>
        <w:noProof/>
        <w:sz w:val="20"/>
        <w:szCs w:val="18"/>
      </w:rPr>
      <w:t xml:space="preserve">Tulkojums </w:t>
    </w:r>
    <w:r w:rsidRPr="00FA5AF6">
      <w:rPr>
        <w:rFonts w:ascii="Times New Roman" w:hAnsi="Times New Roman" w:cs="Times New Roman"/>
        <w:noProof/>
        <w:sz w:val="20"/>
        <w:szCs w:val="18"/>
      </w:rPr>
      <w:fldChar w:fldCharType="begin"/>
    </w:r>
    <w:r w:rsidRPr="00FA5AF6">
      <w:rPr>
        <w:rFonts w:ascii="Times New Roman" w:hAnsi="Times New Roman" w:cs="Times New Roman"/>
        <w:noProof/>
        <w:sz w:val="20"/>
        <w:szCs w:val="18"/>
      </w:rPr>
      <w:instrText>symbol 211 \f "Symbol" \s 9</w:instrText>
    </w:r>
    <w:r w:rsidRPr="00FA5AF6">
      <w:rPr>
        <w:rFonts w:ascii="Times New Roman" w:hAnsi="Times New Roman" w:cs="Times New Roman"/>
        <w:noProof/>
        <w:sz w:val="20"/>
        <w:szCs w:val="18"/>
      </w:rPr>
      <w:fldChar w:fldCharType="separate"/>
    </w:r>
    <w:r w:rsidRPr="00FA5AF6">
      <w:rPr>
        <w:rFonts w:ascii="Times New Roman" w:hAnsi="Times New Roman" w:cs="Times New Roman"/>
        <w:noProof/>
        <w:sz w:val="20"/>
        <w:szCs w:val="18"/>
      </w:rPr>
      <w:t>Ó</w:t>
    </w:r>
    <w:r w:rsidRPr="00FA5AF6">
      <w:rPr>
        <w:rFonts w:ascii="Times New Roman" w:hAnsi="Times New Roman" w:cs="Times New Roman"/>
        <w:noProof/>
        <w:sz w:val="20"/>
        <w:szCs w:val="18"/>
      </w:rPr>
      <w:fldChar w:fldCharType="end"/>
    </w:r>
    <w:r w:rsidRPr="00FA5AF6">
      <w:rPr>
        <w:rFonts w:ascii="Times New Roman" w:hAnsi="Times New Roman" w:cs="Times New Roman"/>
        <w:noProof/>
        <w:sz w:val="20"/>
        <w:szCs w:val="18"/>
      </w:rPr>
      <w:t xml:space="preserve"> Valsts valodas centrs, 20</w:t>
    </w:r>
    <w:bookmarkEnd w:id="86"/>
    <w:bookmarkEnd w:id="87"/>
    <w:bookmarkEnd w:id="88"/>
    <w:r w:rsidRPr="00FA5AF6">
      <w:rPr>
        <w:rFonts w:ascii="Times New Roman" w:hAnsi="Times New Roman" w:cs="Times New Roman"/>
        <w:noProof/>
        <w:sz w:val="20"/>
        <w:szCs w:val="18"/>
      </w:rPr>
      <w:t>20</w:t>
    </w:r>
    <w:bookmarkEnd w:id="89"/>
    <w:bookmarkEnd w:id="9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49979" w14:textId="77777777" w:rsidR="009E734E" w:rsidRPr="00FA5AF6" w:rsidRDefault="009E734E" w:rsidP="00FA5AF6">
    <w:pPr>
      <w:pStyle w:val="Header"/>
      <w:tabs>
        <w:tab w:val="clear" w:pos="4153"/>
        <w:tab w:val="clear" w:pos="8306"/>
        <w:tab w:val="left" w:pos="9072"/>
      </w:tabs>
      <w:rPr>
        <w:rStyle w:val="PageNumber"/>
        <w:rFonts w:ascii="Times New Roman" w:hAnsi="Times New Roman" w:cs="Times New Roman"/>
        <w:sz w:val="20"/>
        <w:szCs w:val="18"/>
      </w:rPr>
    </w:pPr>
  </w:p>
  <w:p w14:paraId="4B8071DA" w14:textId="77777777" w:rsidR="009E734E" w:rsidRPr="00FA5AF6" w:rsidRDefault="009E734E" w:rsidP="00A91BA3">
    <w:pPr>
      <w:pStyle w:val="Header"/>
      <w:tabs>
        <w:tab w:val="clear" w:pos="4153"/>
        <w:tab w:val="clear" w:pos="8306"/>
        <w:tab w:val="right" w:leader="underscore" w:pos="14572"/>
      </w:tabs>
      <w:rPr>
        <w:rStyle w:val="PageNumber"/>
        <w:rFonts w:ascii="Times New Roman" w:hAnsi="Times New Roman" w:cs="Times New Roman"/>
        <w:sz w:val="20"/>
        <w:szCs w:val="18"/>
      </w:rPr>
    </w:pPr>
    <w:r w:rsidRPr="00FA5AF6">
      <w:rPr>
        <w:rStyle w:val="PageNumber"/>
        <w:rFonts w:ascii="Times New Roman" w:hAnsi="Times New Roman" w:cs="Times New Roman"/>
        <w:sz w:val="20"/>
        <w:szCs w:val="18"/>
      </w:rPr>
      <w:tab/>
    </w:r>
  </w:p>
  <w:p w14:paraId="199C8932" w14:textId="77777777" w:rsidR="009E734E" w:rsidRPr="00FA5AF6" w:rsidRDefault="009E734E" w:rsidP="00FA5AF6">
    <w:pPr>
      <w:pStyle w:val="Header"/>
      <w:tabs>
        <w:tab w:val="clear" w:pos="4153"/>
        <w:tab w:val="clear" w:pos="8306"/>
        <w:tab w:val="right" w:pos="9072"/>
      </w:tabs>
      <w:rPr>
        <w:rStyle w:val="PageNumber"/>
        <w:rFonts w:ascii="Times New Roman" w:hAnsi="Times New Roman" w:cs="Times New Roman"/>
        <w:sz w:val="20"/>
        <w:szCs w:val="18"/>
      </w:rPr>
    </w:pPr>
  </w:p>
  <w:p w14:paraId="25481211" w14:textId="77777777" w:rsidR="009E734E" w:rsidRPr="00FA5AF6" w:rsidRDefault="009E734E" w:rsidP="00A91BA3">
    <w:pPr>
      <w:pStyle w:val="Footer"/>
      <w:tabs>
        <w:tab w:val="clear" w:pos="4153"/>
        <w:tab w:val="clear" w:pos="8306"/>
        <w:tab w:val="right" w:pos="14572"/>
      </w:tabs>
      <w:rPr>
        <w:rFonts w:ascii="Times New Roman" w:hAnsi="Times New Roman" w:cs="Times New Roman"/>
        <w:sz w:val="20"/>
        <w:szCs w:val="18"/>
      </w:rPr>
    </w:pPr>
    <w:r w:rsidRPr="00FA5AF6">
      <w:rPr>
        <w:rFonts w:ascii="Times New Roman" w:hAnsi="Times New Roman" w:cs="Times New Roman"/>
        <w:noProof/>
        <w:sz w:val="20"/>
        <w:szCs w:val="18"/>
      </w:rPr>
      <w:t xml:space="preserve">Tulkojums </w:t>
    </w:r>
    <w:r w:rsidRPr="00FA5AF6">
      <w:rPr>
        <w:rFonts w:ascii="Times New Roman" w:hAnsi="Times New Roman" w:cs="Times New Roman"/>
        <w:noProof/>
        <w:sz w:val="20"/>
        <w:szCs w:val="18"/>
      </w:rPr>
      <w:fldChar w:fldCharType="begin"/>
    </w:r>
    <w:r w:rsidRPr="00FA5AF6">
      <w:rPr>
        <w:rFonts w:ascii="Times New Roman" w:hAnsi="Times New Roman" w:cs="Times New Roman"/>
        <w:noProof/>
        <w:sz w:val="20"/>
        <w:szCs w:val="18"/>
      </w:rPr>
      <w:instrText>symbol 211 \f "Symbol" \s 9</w:instrText>
    </w:r>
    <w:r w:rsidRPr="00FA5AF6">
      <w:rPr>
        <w:rFonts w:ascii="Times New Roman" w:hAnsi="Times New Roman" w:cs="Times New Roman"/>
        <w:noProof/>
        <w:sz w:val="20"/>
        <w:szCs w:val="18"/>
      </w:rPr>
      <w:fldChar w:fldCharType="separate"/>
    </w:r>
    <w:r w:rsidRPr="00FA5AF6">
      <w:rPr>
        <w:rFonts w:ascii="Times New Roman" w:hAnsi="Times New Roman" w:cs="Times New Roman"/>
        <w:noProof/>
        <w:sz w:val="20"/>
        <w:szCs w:val="18"/>
      </w:rPr>
      <w:t>Ó</w:t>
    </w:r>
    <w:r w:rsidRPr="00FA5AF6">
      <w:rPr>
        <w:rFonts w:ascii="Times New Roman" w:hAnsi="Times New Roman" w:cs="Times New Roman"/>
        <w:noProof/>
        <w:sz w:val="20"/>
        <w:szCs w:val="18"/>
      </w:rPr>
      <w:fldChar w:fldCharType="end"/>
    </w:r>
    <w:r w:rsidRPr="00FA5AF6">
      <w:rPr>
        <w:rFonts w:ascii="Times New Roman" w:hAnsi="Times New Roman" w:cs="Times New Roman"/>
        <w:noProof/>
        <w:sz w:val="20"/>
        <w:szCs w:val="18"/>
      </w:rPr>
      <w:t xml:space="preserve"> Valsts valodas centrs, 2020</w:t>
    </w:r>
    <w:r w:rsidRPr="00FA5AF6">
      <w:rPr>
        <w:rFonts w:ascii="Times New Roman" w:hAnsi="Times New Roman" w:cs="Times New Roman"/>
        <w:sz w:val="20"/>
        <w:szCs w:val="18"/>
      </w:rPr>
      <w:tab/>
    </w:r>
    <w:r w:rsidRPr="00FA5AF6">
      <w:rPr>
        <w:rStyle w:val="PageNumber"/>
        <w:rFonts w:ascii="Times New Roman" w:hAnsi="Times New Roman" w:cs="Times New Roman"/>
        <w:sz w:val="20"/>
        <w:szCs w:val="18"/>
      </w:rPr>
      <w:fldChar w:fldCharType="begin"/>
    </w:r>
    <w:r w:rsidRPr="00FA5AF6">
      <w:rPr>
        <w:rStyle w:val="PageNumber"/>
        <w:rFonts w:ascii="Times New Roman" w:hAnsi="Times New Roman" w:cs="Times New Roman"/>
        <w:sz w:val="20"/>
        <w:szCs w:val="18"/>
      </w:rPr>
      <w:instrText xml:space="preserve">page </w:instrText>
    </w:r>
    <w:r w:rsidRPr="00FA5AF6">
      <w:rPr>
        <w:rStyle w:val="PageNumber"/>
        <w:rFonts w:ascii="Times New Roman" w:hAnsi="Times New Roman" w:cs="Times New Roman"/>
        <w:sz w:val="20"/>
        <w:szCs w:val="18"/>
      </w:rPr>
      <w:fldChar w:fldCharType="separate"/>
    </w:r>
    <w:r w:rsidRPr="00FA5AF6">
      <w:rPr>
        <w:rStyle w:val="PageNumber"/>
        <w:rFonts w:ascii="Times New Roman" w:hAnsi="Times New Roman" w:cs="Times New Roman"/>
        <w:sz w:val="20"/>
        <w:szCs w:val="18"/>
      </w:rPr>
      <w:t>2</w:t>
    </w:r>
    <w:r w:rsidRPr="00FA5AF6">
      <w:rPr>
        <w:rStyle w:val="PageNumber"/>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4A4A0" w14:textId="77777777" w:rsidR="009E734E" w:rsidRPr="00583F3E" w:rsidRDefault="009E734E">
      <w:pPr>
        <w:rPr>
          <w:noProof/>
        </w:rPr>
      </w:pPr>
      <w:r w:rsidRPr="00583F3E">
        <w:rPr>
          <w:noProof/>
        </w:rPr>
        <w:separator/>
      </w:r>
    </w:p>
  </w:footnote>
  <w:footnote w:type="continuationSeparator" w:id="0">
    <w:p w14:paraId="6C226EF5" w14:textId="77777777" w:rsidR="009E734E" w:rsidRPr="00583F3E" w:rsidRDefault="009E734E">
      <w:pPr>
        <w:rPr>
          <w:noProof/>
        </w:rPr>
      </w:pPr>
      <w:r w:rsidRPr="00583F3E">
        <w:rPr>
          <w:noProof/>
        </w:rPr>
        <w:continuationSeparator/>
      </w:r>
    </w:p>
  </w:footnote>
  <w:footnote w:id="1">
    <w:p w14:paraId="74C9436C" w14:textId="77777777" w:rsidR="009E734E" w:rsidRPr="00562FD7" w:rsidRDefault="009E734E" w:rsidP="00562FD7">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Visi norādījumu dokumenti ir atrodami: </w:t>
      </w:r>
      <w:r>
        <w:rPr>
          <w:rFonts w:ascii="Times New Roman" w:hAnsi="Times New Roman"/>
          <w:u w:val="single"/>
        </w:rPr>
        <w:t>https://ec.europa.eu/clima/policies/ets/allowances_en#tab-0-1</w:t>
      </w:r>
    </w:p>
  </w:footnote>
  <w:footnote w:id="2">
    <w:p w14:paraId="682C7FB1" w14:textId="77777777" w:rsidR="009E734E" w:rsidRPr="00562FD7" w:rsidRDefault="009E734E" w:rsidP="00562FD7">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Pievienot hipersaiti</w:t>
      </w:r>
    </w:p>
  </w:footnote>
  <w:footnote w:id="3">
    <w:p w14:paraId="0E2B9414" w14:textId="77777777" w:rsidR="009E734E" w:rsidRPr="00562FD7" w:rsidRDefault="009E734E" w:rsidP="00562FD7">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Tiek ietverta, ja piemēro centralizētās siltumapgādes apakšiekārtām; sīkāku informāciju sk. 3.3. iedaļā</w:t>
      </w:r>
    </w:p>
  </w:footnote>
  <w:footnote w:id="4">
    <w:p w14:paraId="38DC7086" w14:textId="77777777" w:rsidR="009E734E" w:rsidRPr="00562FD7" w:rsidRDefault="009E734E" w:rsidP="00562FD7">
      <w:pPr>
        <w:jc w:val="both"/>
        <w:rPr>
          <w:rFonts w:ascii="Times New Roman" w:eastAsia="Calibri" w:hAnsi="Times New Roman" w:cs="Times New Roman"/>
          <w:noProof/>
          <w:sz w:val="20"/>
          <w:szCs w:val="20"/>
        </w:rPr>
      </w:pPr>
      <w:r>
        <w:rPr>
          <w:rStyle w:val="FootnoteReference"/>
          <w:rFonts w:ascii="Times New Roman" w:hAnsi="Times New Roman" w:cs="Times New Roman"/>
          <w:noProof/>
          <w:sz w:val="20"/>
          <w:szCs w:val="20"/>
        </w:rPr>
        <w:footnoteRef/>
      </w:r>
      <w:r>
        <w:rPr>
          <w:rFonts w:ascii="Times New Roman" w:hAnsi="Times New Roman"/>
          <w:sz w:val="20"/>
          <w:szCs w:val="20"/>
        </w:rPr>
        <w:t xml:space="preserve"> Papildu informāciju</w:t>
      </w:r>
      <w:r>
        <w:rPr>
          <w:rFonts w:ascii="Times New Roman" w:hAnsi="Times New Roman"/>
          <w:i/>
          <w:sz w:val="20"/>
          <w:szCs w:val="20"/>
        </w:rPr>
        <w:t xml:space="preserve"> sk. Norādījumu dokumentā Nr. 5 par monitoringu un ziņošanu.</w:t>
      </w:r>
    </w:p>
  </w:footnote>
  <w:footnote w:id="5">
    <w:p w14:paraId="7BD5936D" w14:textId="77777777" w:rsidR="009E734E" w:rsidRPr="00562FD7" w:rsidRDefault="009E734E" w:rsidP="00562FD7">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Šajā gadījumā “kurināmais” attiecīgos gadījumos ietvers daļu no atlikumgāzēm, kas ir attiecināma uz atlikumgāzu </w:t>
      </w:r>
      <w:r>
        <w:rPr>
          <w:rFonts w:ascii="Times New Roman" w:hAnsi="Times New Roman"/>
          <w:i/>
        </w:rPr>
        <w:t>patēriņu</w:t>
      </w:r>
      <w:r>
        <w:rPr>
          <w:rFonts w:ascii="Times New Roman" w:hAnsi="Times New Roman"/>
        </w:rPr>
        <w:t>, ja tas ir ārpus produkta līmeņatzīmes apakšiekārtas. Sīkāku informāciju sk. Norādījumu dokumentā Nr. 8 par atlikumgāzēm un procesa emisiju apakšiekārtu.</w:t>
      </w:r>
    </w:p>
  </w:footnote>
  <w:footnote w:id="6">
    <w:p w14:paraId="4B85B921"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FF"/>
        </w:rPr>
        <w:t>https://eur-lex.europa.eu/legal-content/EN/TXT/PDF/?uri=CELEX:32019D0708&amp;from=EN</w:t>
      </w:r>
    </w:p>
  </w:footnote>
  <w:footnote w:id="7">
    <w:p w14:paraId="641BFCA1"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Jāpārskata saskaņā ar minētās direktīvas 30. pantu attiecībā uz </w:t>
      </w:r>
      <w:r>
        <w:rPr>
          <w:rFonts w:ascii="Times New Roman" w:hAnsi="Times New Roman"/>
          <w:i/>
        </w:rPr>
        <w:t>CLEF</w:t>
      </w:r>
      <w:r>
        <w:rPr>
          <w:rFonts w:ascii="Times New Roman" w:hAnsi="Times New Roman"/>
        </w:rPr>
        <w:t xml:space="preserve"> samazinājumu pēc 2026. gada, ja nepastāv ievērojams oglekļa emisiju pārvirzes risks, kā arī gadījumos, kad nav </w:t>
      </w:r>
      <w:r>
        <w:rPr>
          <w:rFonts w:ascii="Times New Roman" w:hAnsi="Times New Roman"/>
          <w:i/>
        </w:rPr>
        <w:t>CL</w:t>
      </w:r>
      <w:r>
        <w:rPr>
          <w:rFonts w:ascii="Times New Roman" w:hAnsi="Times New Roman"/>
        </w:rPr>
        <w:t>, un centralizētās siltumapgādes gadījumos.</w:t>
      </w:r>
    </w:p>
  </w:footnote>
  <w:footnote w:id="8">
    <w:p w14:paraId="20B79DEF"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Produkta tonna (vai CO</w:t>
      </w:r>
      <w:r>
        <w:rPr>
          <w:rFonts w:ascii="Times New Roman" w:hAnsi="Times New Roman"/>
          <w:vertAlign w:val="subscript"/>
        </w:rPr>
        <w:t>2</w:t>
      </w:r>
      <w:r>
        <w:rPr>
          <w:rFonts w:ascii="Times New Roman" w:hAnsi="Times New Roman"/>
        </w:rPr>
        <w:t xml:space="preserve"> svērtā tonna (</w:t>
      </w:r>
      <w:r>
        <w:rPr>
          <w:rFonts w:ascii="Times New Roman" w:hAnsi="Times New Roman"/>
          <w:i/>
        </w:rPr>
        <w:t>CWT</w:t>
      </w:r>
      <w:r>
        <w:rPr>
          <w:rFonts w:ascii="Times New Roman" w:hAnsi="Times New Roman"/>
        </w:rPr>
        <w:t xml:space="preserve">)) produkta līmeņatzīmes apakšiekārtām, siltuma </w:t>
      </w:r>
      <w:r>
        <w:rPr>
          <w:rFonts w:ascii="Times New Roman" w:hAnsi="Times New Roman"/>
          <w:i/>
          <w:iCs/>
        </w:rPr>
        <w:t>GJ</w:t>
      </w:r>
      <w:r>
        <w:rPr>
          <w:rFonts w:ascii="Times New Roman" w:hAnsi="Times New Roman"/>
        </w:rPr>
        <w:t xml:space="preserve"> siltuma līmeņatzīmes (un centralizētās siltumapgādes) apakšiekārtām, kurināmā </w:t>
      </w:r>
      <w:r>
        <w:rPr>
          <w:rFonts w:ascii="Times New Roman" w:hAnsi="Times New Roman"/>
          <w:i/>
          <w:iCs/>
        </w:rPr>
        <w:t>GJ</w:t>
      </w:r>
      <w:r>
        <w:rPr>
          <w:rFonts w:ascii="Times New Roman" w:hAnsi="Times New Roman"/>
        </w:rPr>
        <w:t xml:space="preserve"> kurināmā līmeņatzīmes apakšiekārtām vai CO</w:t>
      </w:r>
      <w:r>
        <w:rPr>
          <w:rFonts w:ascii="Times New Roman" w:hAnsi="Times New Roman"/>
          <w:vertAlign w:val="subscript"/>
        </w:rPr>
        <w:t>2</w:t>
      </w:r>
      <w:r>
        <w:rPr>
          <w:rFonts w:ascii="Times New Roman" w:hAnsi="Times New Roman"/>
        </w:rPr>
        <w:t xml:space="preserve"> tonna procesa emisiju apakšiekārtām</w:t>
      </w:r>
    </w:p>
  </w:footnote>
  <w:footnote w:id="9">
    <w:p w14:paraId="3F328D73"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FAR</w:t>
      </w:r>
      <w:r>
        <w:rPr>
          <w:rFonts w:ascii="Times New Roman" w:hAnsi="Times New Roman"/>
        </w:rPr>
        <w:t xml:space="preserve"> 10. panta 3. punkts</w:t>
      </w:r>
    </w:p>
  </w:footnote>
  <w:footnote w:id="10">
    <w:p w14:paraId="11695464"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FAR</w:t>
      </w:r>
      <w:r>
        <w:rPr>
          <w:rFonts w:ascii="Times New Roman" w:hAnsi="Times New Roman"/>
        </w:rPr>
        <w:t xml:space="preserve"> sniegtas šādas formālās definīcijas: 3. panta b) punktā – produkta līmeņatzīmes apakšiekārtai; 3. panta c) punktā – siltuma līmeņatzīmes apakšiekārtai; 3. panta d) punktā – centralizētās siltumapgādes apakšiekārtai; 3. panta f) punktā – kurināmā līmeņatzīmes apakšiekārtai; un 3. panta j) punktā – procesa emisiju apakšiekārtai.</w:t>
      </w:r>
    </w:p>
  </w:footnote>
  <w:footnote w:id="11">
    <w:p w14:paraId="10D72B1E"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FAR</w:t>
      </w:r>
      <w:r>
        <w:rPr>
          <w:rFonts w:ascii="Times New Roman" w:hAnsi="Times New Roman"/>
        </w:rPr>
        <w:t xml:space="preserve"> 10. panta 5. punkts</w:t>
      </w:r>
    </w:p>
  </w:footnote>
  <w:footnote w:id="12">
    <w:p w14:paraId="299DC683"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2019. gada 15. februāra Lēmums par oglekļa emisiju pārvirzes sarakstu – </w:t>
      </w:r>
      <w:r>
        <w:rPr>
          <w:rFonts w:ascii="Times New Roman" w:hAnsi="Times New Roman"/>
          <w:u w:val="single" w:color="0000FF"/>
        </w:rPr>
        <w:t>https://eur-lex.europa.eu/legal-content/EN/TXT/PDF/?uri=CELEX:32019D0708&amp;from=EN</w:t>
      </w:r>
    </w:p>
  </w:footnote>
  <w:footnote w:id="13">
    <w:p w14:paraId="24D5544D" w14:textId="77777777" w:rsidR="009E734E" w:rsidRPr="00562FD7" w:rsidRDefault="009E734E" w:rsidP="00562FD7">
      <w:pPr>
        <w:pStyle w:val="FootnoteText"/>
        <w:jc w:val="both"/>
        <w:rPr>
          <w:rFonts w:ascii="Times New Roman" w:hAnsi="Times New Roman" w:cs="Times New Roman"/>
          <w:noProof/>
          <w:position w:val="6"/>
        </w:rPr>
      </w:pPr>
      <w:r>
        <w:rPr>
          <w:rStyle w:val="FootnoteReference"/>
          <w:rFonts w:ascii="Times New Roman" w:hAnsi="Times New Roman" w:cs="Times New Roman"/>
        </w:rPr>
        <w:footnoteRef/>
      </w:r>
      <w:r>
        <w:rPr>
          <w:rFonts w:ascii="Times New Roman" w:hAnsi="Times New Roman"/>
        </w:rPr>
        <w:t xml:space="preserve"> Komentāru par siltumu, kas tiek eksportēts centralizētās siltumapgādes vajadzībām, sk. 3.3. iedaļā.</w:t>
      </w:r>
    </w:p>
  </w:footnote>
  <w:footnote w:id="14">
    <w:p w14:paraId="270FD71B"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Pat ja ne viss kondensāts atgriežas piegādātājam, neto izmērāmais siltums ir jāaprēķina, pieņemot, ka atpakaļ atgriezti tiek 100 % kondensāta.</w:t>
      </w:r>
    </w:p>
  </w:footnote>
  <w:footnote w:id="15">
    <w:p w14:paraId="25BBE513"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““Siltuma skaitītājs” ir siltumenerģijas skaitītājs (MI-004) Eiropas Parlamenta un Padomes Direktīvas 2014/32/EK VI pielikuma [OV L 135, 30.4.2004., 1. lpp] izpratnē vai jebkura cita ierīce, kas paredzēta saražotā siltumenerģijas daudzuma mērīšanai un reģistrēšanai, balstoties uz plūsmas apjomiem un temperatūrām” (</w:t>
      </w:r>
      <w:r>
        <w:rPr>
          <w:rFonts w:ascii="Times New Roman" w:hAnsi="Times New Roman"/>
          <w:i/>
        </w:rPr>
        <w:t>FAR</w:t>
      </w:r>
      <w:r>
        <w:rPr>
          <w:rFonts w:ascii="Times New Roman" w:hAnsi="Times New Roman"/>
        </w:rPr>
        <w:t xml:space="preserve"> 2. panta h8. punkts). Norādījumus gadījumiem, kad nav uzstādīts siltuma skaitītājs, </w:t>
      </w:r>
      <w:r>
        <w:rPr>
          <w:rFonts w:ascii="Times New Roman" w:hAnsi="Times New Roman"/>
          <w:i/>
        </w:rPr>
        <w:t>sk. Norādījumu dokumentā Nr. 5 par monitoringu uz ziņošanu</w:t>
      </w:r>
      <w:r>
        <w:rPr>
          <w:rFonts w:ascii="Times New Roman" w:hAnsi="Times New Roman"/>
        </w:rPr>
        <w:t>.</w:t>
      </w:r>
    </w:p>
  </w:footnote>
  <w:footnote w:id="16">
    <w:p w14:paraId="344FE192"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Potenciāli jāpārskata saskaņā ar ES ETS direktīvas 30. pantu.</w:t>
      </w:r>
    </w:p>
  </w:footnote>
  <w:footnote w:id="17">
    <w:p w14:paraId="778D6571"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Siltums, kura projektētā temperatūra ir zemāka par 130 °C siltuma ražotāja ievadpunktā centralizētās siltumapgādes tīklā.</w:t>
      </w:r>
    </w:p>
  </w:footnote>
  <w:footnote w:id="18">
    <w:p w14:paraId="0679A43A"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Atkarībā no oglekļa emisiju pārvirzes statusa; sk. </w:t>
      </w:r>
      <w:r>
        <w:rPr>
          <w:rFonts w:ascii="Times New Roman" w:hAnsi="Times New Roman"/>
          <w:i/>
        </w:rPr>
        <w:t>2.2. iedaļu</w:t>
      </w:r>
      <w:r>
        <w:rPr>
          <w:rFonts w:ascii="Times New Roman" w:hAnsi="Times New Roman"/>
        </w:rPr>
        <w:t>.</w:t>
      </w:r>
    </w:p>
  </w:footnote>
  <w:footnote w:id="19">
    <w:p w14:paraId="039E086F"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w:t>
      </w:r>
      <w:r>
        <w:rPr>
          <w:rFonts w:ascii="Times New Roman" w:hAnsi="Times New Roman"/>
          <w:i/>
        </w:rPr>
        <w:t>FAR</w:t>
      </w:r>
      <w:r>
        <w:rPr>
          <w:rFonts w:ascii="Times New Roman" w:hAnsi="Times New Roman"/>
        </w:rPr>
        <w:t xml:space="preserve"> 10. panta k) apakšpunktu.</w:t>
      </w:r>
    </w:p>
  </w:footnote>
  <w:footnote w:id="20">
    <w:p w14:paraId="60B6491D"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Atkarībā no oglekļa emisiju pārvirzes statusa; </w:t>
      </w:r>
      <w:r>
        <w:rPr>
          <w:rFonts w:ascii="Times New Roman" w:hAnsi="Times New Roman"/>
          <w:i/>
        </w:rPr>
        <w:t>sīkāku informāciju sk. Norādījumu dokumentā Nr. 5 par oglekļa emisiju pārvirzi</w:t>
      </w:r>
    </w:p>
  </w:footnote>
  <w:footnote w:id="21">
    <w:p w14:paraId="4C1FBF9E" w14:textId="77777777" w:rsidR="009E734E" w:rsidRPr="00562FD7" w:rsidRDefault="009E734E" w:rsidP="00562FD7">
      <w:pPr>
        <w:widowControl/>
        <w:jc w:val="both"/>
        <w:rPr>
          <w:rFonts w:ascii="Times New Roman" w:hAnsi="Times New Roman" w:cs="Times New Roman"/>
          <w:noProof/>
          <w:position w:val="6"/>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Sākot no 2014. gada 4. marta saskaņā ar Komisijas Regulu (ES) Nr. 206/2014, ar kuru groza Regulu (ES) Nr. 601/2012 attiecībā uz globālās sasilšanas potenciālu siltumnīcefekta gāzēm, kas nav CO</w:t>
      </w:r>
      <w:r>
        <w:rPr>
          <w:rFonts w:ascii="Times New Roman" w:hAnsi="Times New Roman"/>
          <w:sz w:val="20"/>
          <w:szCs w:val="20"/>
          <w:vertAlign w:val="subscript"/>
        </w:rPr>
        <w:t xml:space="preserve">2 </w:t>
      </w:r>
      <w:r>
        <w:rPr>
          <w:rFonts w:ascii="Times New Roman" w:hAnsi="Times New Roman"/>
          <w:sz w:val="20"/>
          <w:szCs w:val="20"/>
        </w:rPr>
        <w:t>.</w:t>
      </w:r>
    </w:p>
    <w:p w14:paraId="7906E151" w14:textId="77777777" w:rsidR="009E734E" w:rsidRPr="00562FD7" w:rsidRDefault="009E734E" w:rsidP="00562FD7">
      <w:pPr>
        <w:widowControl/>
        <w:jc w:val="both"/>
        <w:rPr>
          <w:rFonts w:ascii="Times New Roman" w:hAnsi="Times New Roman" w:cs="Times New Roman"/>
          <w:noProof/>
          <w:position w:val="6"/>
          <w:sz w:val="20"/>
          <w:szCs w:val="20"/>
        </w:rPr>
      </w:pPr>
      <w:r>
        <w:rPr>
          <w:rFonts w:ascii="Times New Roman" w:hAnsi="Times New Roman"/>
          <w:sz w:val="20"/>
          <w:szCs w:val="20"/>
        </w:rPr>
        <w:t>https://eur-lex.europa.eu/legal-content/EN/TXT/PDF/?uri=CELEX:32014R0206&amp;from=EN)</w:t>
      </w:r>
    </w:p>
  </w:footnote>
  <w:footnote w:id="22">
    <w:p w14:paraId="17FEE739"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w:t>
      </w:r>
      <w:r>
        <w:rPr>
          <w:rFonts w:ascii="Times New Roman" w:hAnsi="Times New Roman"/>
          <w:vertAlign w:val="subscript"/>
        </w:rPr>
        <w:t>2</w:t>
      </w:r>
      <w:r>
        <w:rPr>
          <w:rFonts w:ascii="Times New Roman" w:hAnsi="Times New Roman"/>
        </w:rPr>
        <w:t xml:space="preserve"> emisijām ir jāatbilst MZR noteikumiem. Tas nozīmē, ka emisijas no biomasas, kas ir ilgtspējīga vai uz kuru neattiecas ilgtspējības kritēriji (piemēram, cietās biomasas) ir uzskatāmas par vienādām ar nulli.</w:t>
      </w:r>
    </w:p>
  </w:footnote>
  <w:footnote w:id="23">
    <w:p w14:paraId="28F946DB"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Īpašs noteikums piemērojams gadījumos, kad netiek izmantotas atlikumgāzes, kas rodas ārpus produkta līmeņatzīmju robežām; tas ir galvenokārt tajos gadījumos, kad tiek izmantotas atklātas krāsnis, jo nepilnīgi oksidētā oglekļa turpmākā oksidācija ir grūti kontrolējama. </w:t>
      </w:r>
      <w:r>
        <w:rPr>
          <w:rFonts w:ascii="Times New Roman" w:hAnsi="Times New Roman"/>
          <w:i/>
        </w:rPr>
        <w:t>Papildu norādījumus par šo tēmu sk. Norādījumu dokumentā Nr. 8 par procesa emisijām un procesa emisiju apakšiekārtu.</w:t>
      </w:r>
    </w:p>
  </w:footnote>
  <w:footnote w:id="24">
    <w:p w14:paraId="7E200E88"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Visas darbības, kuru pamatmērķis nav siltuma ražošana</w:t>
      </w:r>
    </w:p>
  </w:footnote>
  <w:footnote w:id="25">
    <w:p w14:paraId="2EDA627B"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Jāievēro, ka rezultāts tiks automātiski aprēķināts bāzlīnijas datu veidnē, izmantojot </w:t>
      </w:r>
      <w:r>
        <w:rPr>
          <w:rFonts w:ascii="Times New Roman" w:hAnsi="Times New Roman"/>
          <w:i/>
          <w:iCs/>
        </w:rPr>
        <w:t>BM</w:t>
      </w:r>
      <w:r>
        <w:rPr>
          <w:rFonts w:ascii="Times New Roman" w:hAnsi="Times New Roman"/>
          <w:i/>
          <w:iCs/>
          <w:vertAlign w:val="subscript"/>
        </w:rPr>
        <w:t>heat</w:t>
      </w:r>
      <w:r>
        <w:rPr>
          <w:rFonts w:ascii="Times New Roman" w:hAnsi="Times New Roman"/>
        </w:rPr>
        <w:t xml:space="preserve"> vērtību, tiklīdz tā būs publicēta.</w:t>
      </w:r>
    </w:p>
  </w:footnote>
  <w:footnote w:id="26">
    <w:p w14:paraId="0B00D1E4"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Pat ja ne viss kondensāts atgriežas piegādātājam, neto izmērāmais siltums ir jāaprēķina, pieņemot, ka atpakaļ atgriezti tiek 100 % kondensāta.</w:t>
      </w:r>
    </w:p>
  </w:footnote>
  <w:footnote w:id="27">
    <w:p w14:paraId="3980DD10"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Jo tas tiek izmantots citām ķīmiskajām reakcijām, kurās tiek radītas atlikumgāzes (piemēram, metāla rūdas reducēšanai, ķīmiskai sintēzei u. tml.).</w:t>
      </w:r>
    </w:p>
  </w:footnote>
  <w:footnote w:id="28">
    <w:p w14:paraId="1FAD825C"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Tostarp tās ir atlikumgāzes, kas rodas ārpus produkta līmeņatzīmju robežām atklātās krāsnīs.</w:t>
      </w:r>
    </w:p>
  </w:footnote>
  <w:footnote w:id="29">
    <w:p w14:paraId="5E6ECB34" w14:textId="7DD4310D"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ka </w:t>
      </w:r>
      <w:r>
        <w:rPr>
          <w:rFonts w:ascii="Times New Roman" w:hAnsi="Times New Roman"/>
          <w:i/>
          <w:iCs/>
        </w:rPr>
        <w:t>CSCF</w:t>
      </w:r>
      <w:r>
        <w:rPr>
          <w:rFonts w:ascii="Times New Roman" w:hAnsi="Times New Roman"/>
        </w:rPr>
        <w:t xml:space="preserve"> ir piemērojams, nozīmē to, ka </w:t>
      </w:r>
      <w:r>
        <w:rPr>
          <w:rFonts w:ascii="Times New Roman" w:hAnsi="Times New Roman"/>
          <w:i/>
          <w:iCs/>
        </w:rPr>
        <w:t>CSCF</w:t>
      </w:r>
      <w:r>
        <w:rPr>
          <w:rFonts w:ascii="Times New Roman" w:hAnsi="Times New Roman"/>
        </w:rPr>
        <w:t xml:space="preserve"> vērtība ir mazāka par 1 jebkurā gadā, kurā piešķiramo kvotu apjoms tiek koriģēts, to samazinot.</w:t>
      </w:r>
    </w:p>
  </w:footnote>
  <w:footnote w:id="30">
    <w:p w14:paraId="5B76642E"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gadījumā </w:t>
      </w:r>
      <w:r>
        <w:rPr>
          <w:rFonts w:ascii="Times New Roman" w:hAnsi="Times New Roman"/>
          <w:i/>
          <w:iCs/>
        </w:rPr>
        <w:t>HAL</w:t>
      </w:r>
      <w:r>
        <w:rPr>
          <w:rFonts w:ascii="Times New Roman" w:hAnsi="Times New Roman"/>
        </w:rPr>
        <w:t xml:space="preserve"> aprēķinā tiek ņemta vērā darbības līmeņa (</w:t>
      </w:r>
      <w:r>
        <w:rPr>
          <w:rFonts w:ascii="Times New Roman" w:hAnsi="Times New Roman"/>
          <w:i/>
        </w:rPr>
        <w:t>AL</w:t>
      </w:r>
      <w:r>
        <w:rPr>
          <w:rFonts w:ascii="Times New Roman" w:hAnsi="Times New Roman"/>
        </w:rPr>
        <w:t xml:space="preserve">) vērtība, kas ir vienāda ar 0, jo apakšiekārta ir bijusi ekspluatācijā iepriekšējos gados. Ja apakšiekārtas ekspluatācija būtu uzsākta 2016. gadā, tad </w:t>
      </w:r>
      <w:r>
        <w:rPr>
          <w:rFonts w:ascii="Times New Roman" w:hAnsi="Times New Roman"/>
          <w:i/>
        </w:rPr>
        <w:t>HAL</w:t>
      </w:r>
      <w:r>
        <w:rPr>
          <w:rFonts w:ascii="Times New Roman" w:hAnsi="Times New Roman"/>
        </w:rPr>
        <w:t xml:space="preserve"> aprēķinā 2014. un 2015. gads netiktu ņemts vērā. Norādījumus par šādiem gadījumiem sk. 6.2. iedaļā.</w:t>
      </w:r>
    </w:p>
  </w:footnote>
  <w:footnote w:id="31">
    <w:p w14:paraId="67EE0DD4"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Tāpat kā iepriekš, šajā gadījumā </w:t>
      </w:r>
      <w:r>
        <w:rPr>
          <w:rFonts w:ascii="Times New Roman" w:hAnsi="Times New Roman"/>
          <w:i/>
          <w:iCs/>
        </w:rPr>
        <w:t>HAL</w:t>
      </w:r>
      <w:r>
        <w:rPr>
          <w:rFonts w:ascii="Times New Roman" w:hAnsi="Times New Roman"/>
        </w:rPr>
        <w:t xml:space="preserve"> aprēķinā tiek ņemta vērā </w:t>
      </w:r>
      <w:r>
        <w:rPr>
          <w:rFonts w:ascii="Times New Roman" w:hAnsi="Times New Roman"/>
          <w:i/>
        </w:rPr>
        <w:t>AL</w:t>
      </w:r>
      <w:r>
        <w:rPr>
          <w:rFonts w:ascii="Times New Roman" w:hAnsi="Times New Roman"/>
        </w:rPr>
        <w:t xml:space="preserve"> vērtība, kas ir vienāda ar 0, jo apakšiekārta ir bijusi ekspluatācijā iepriekšējos gados. Ja apakšiekārtas ekspluatācija būtu uzsākta 2015. gadā, tad </w:t>
      </w:r>
      <w:r>
        <w:rPr>
          <w:rFonts w:ascii="Times New Roman" w:hAnsi="Times New Roman"/>
          <w:i/>
        </w:rPr>
        <w:t>HAL</w:t>
      </w:r>
      <w:r>
        <w:rPr>
          <w:rFonts w:ascii="Times New Roman" w:hAnsi="Times New Roman"/>
        </w:rPr>
        <w:t xml:space="preserve"> aprēķinā 2014. gads netiktu ņemts vērā. Norādījumus par šādiem gadījumiem sk. 6.2. iedaļā.</w:t>
      </w:r>
    </w:p>
  </w:footnote>
  <w:footnote w:id="32">
    <w:p w14:paraId="3295650B" w14:textId="77777777" w:rsidR="009E734E" w:rsidRPr="00562FD7" w:rsidRDefault="009E734E" w:rsidP="00562FD7">
      <w:pPr>
        <w:widowControl/>
        <w:jc w:val="both"/>
        <w:rPr>
          <w:rFonts w:ascii="Times New Roman" w:hAnsi="Times New Roman" w:cs="Times New Roman"/>
          <w:noProof/>
          <w:position w:val="6"/>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Tas attieksies uz (apakš-)iekārtām, kuru ekspluatācija tiek uzsākta pēc 2018. gada (attiecīgi – 2023. gada) 1. janvāra. Šajos gadījumos dati par </w:t>
      </w:r>
      <w:r>
        <w:rPr>
          <w:rFonts w:ascii="Times New Roman" w:hAnsi="Times New Roman"/>
          <w:i/>
          <w:sz w:val="20"/>
          <w:szCs w:val="20"/>
        </w:rPr>
        <w:t>HAL</w:t>
      </w:r>
      <w:r>
        <w:rPr>
          <w:rFonts w:ascii="Times New Roman" w:hAnsi="Times New Roman"/>
          <w:sz w:val="20"/>
          <w:szCs w:val="20"/>
        </w:rPr>
        <w:t xml:space="preserve"> nebūs pieejami laikus, lai tos varētu ietvert </w:t>
      </w:r>
      <w:r>
        <w:rPr>
          <w:rFonts w:ascii="Times New Roman" w:hAnsi="Times New Roman"/>
          <w:i/>
          <w:sz w:val="20"/>
          <w:szCs w:val="20"/>
        </w:rPr>
        <w:t>NIM</w:t>
      </w:r>
      <w:r>
        <w:rPr>
          <w:rFonts w:ascii="Times New Roman" w:hAnsi="Times New Roman"/>
          <w:sz w:val="20"/>
          <w:szCs w:val="20"/>
        </w:rPr>
        <w:t>, bet tas būs zināms pirms 4. perioda sākuma.</w:t>
      </w:r>
    </w:p>
  </w:footnote>
  <w:footnote w:id="33">
    <w:p w14:paraId="28522779"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Atšķiras no definīcijas 3. periodam.</w:t>
      </w:r>
    </w:p>
  </w:footnote>
  <w:footnote w:id="34">
    <w:p w14:paraId="72C10394"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 attiecīgos gadījumos tiks izmantoti citi korekcijas koeficienti (piemēram, </w:t>
      </w:r>
      <w:r>
        <w:rPr>
          <w:rFonts w:ascii="Times New Roman" w:hAnsi="Times New Roman"/>
          <w:i/>
        </w:rPr>
        <w:t>CLEF</w:t>
      </w:r>
      <w:r>
        <w:rPr>
          <w:rFonts w:ascii="Times New Roman" w:hAnsi="Times New Roman"/>
        </w:rPr>
        <w:t>).</w:t>
      </w:r>
    </w:p>
  </w:footnote>
  <w:footnote w:id="35">
    <w:p w14:paraId="71B32E90" w14:textId="77777777"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Jāievēro, ka tas ir atšķirīgi nekā 3. periodā, kurā jaunu iekārtu darbības līmeņi tika noteikti, reizinot katras apakšiekārtas jaudu ar jaudas izmantojuma koeficientu (attiecīgais jaudas izmantojuma koeficients (</w:t>
      </w:r>
      <w:r>
        <w:rPr>
          <w:rFonts w:ascii="Times New Roman" w:hAnsi="Times New Roman"/>
          <w:i/>
        </w:rPr>
        <w:t>RCUF</w:t>
      </w:r>
      <w:r>
        <w:rPr>
          <w:rFonts w:ascii="Times New Roman" w:hAnsi="Times New Roman"/>
        </w:rPr>
        <w:t>) vai standarta jaudas izmantojuma koeficients (SJIF)).</w:t>
      </w:r>
    </w:p>
  </w:footnote>
  <w:footnote w:id="36">
    <w:p w14:paraId="020E3670" w14:textId="00C32BF8" w:rsidR="009E734E" w:rsidRPr="00562FD7" w:rsidRDefault="009E734E" w:rsidP="00562FD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Atsauce uz īstenošanas regulu.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B140A" w14:textId="77777777" w:rsidR="009E734E" w:rsidRPr="00FA5AF6" w:rsidRDefault="009E734E" w:rsidP="00FA5AF6">
    <w:pPr>
      <w:pStyle w:val="Header"/>
      <w:tabs>
        <w:tab w:val="clear" w:pos="4153"/>
        <w:tab w:val="clear" w:pos="8306"/>
      </w:tabs>
      <w:rPr>
        <w:rStyle w:val="PageNumber"/>
        <w:rFonts w:ascii="Times New Roman" w:hAnsi="Times New Roman" w:cs="Times New Roman"/>
        <w:sz w:val="20"/>
        <w:szCs w:val="20"/>
      </w:rPr>
    </w:pPr>
    <w:bookmarkStart w:id="72" w:name="_Hlk496261784"/>
    <w:bookmarkStart w:id="73" w:name="_Hlk496261785"/>
    <w:bookmarkStart w:id="74" w:name="_Hlk496261786"/>
    <w:bookmarkStart w:id="75" w:name="_Hlk502757728"/>
    <w:bookmarkStart w:id="76" w:name="_Hlk502757729"/>
    <w:bookmarkStart w:id="77" w:name="_Hlk502757738"/>
    <w:bookmarkStart w:id="78" w:name="_Hlk502757739"/>
    <w:bookmarkStart w:id="79" w:name="_Hlk30491084"/>
    <w:bookmarkStart w:id="80" w:name="_Hlk30491085"/>
  </w:p>
  <w:p w14:paraId="2FDC88CB" w14:textId="77777777" w:rsidR="009E734E" w:rsidRPr="00FA5AF6" w:rsidRDefault="009E734E" w:rsidP="00FA5AF6">
    <w:pPr>
      <w:pStyle w:val="Header"/>
      <w:tabs>
        <w:tab w:val="clear" w:pos="4153"/>
        <w:tab w:val="clear" w:pos="8306"/>
        <w:tab w:val="right" w:leader="underscore" w:pos="9072"/>
      </w:tabs>
      <w:rPr>
        <w:rStyle w:val="PageNumber"/>
        <w:rFonts w:ascii="Times New Roman" w:hAnsi="Times New Roman" w:cs="Times New Roman"/>
        <w:sz w:val="20"/>
        <w:szCs w:val="20"/>
      </w:rPr>
    </w:pPr>
    <w:r w:rsidRPr="00FA5AF6">
      <w:rPr>
        <w:rStyle w:val="PageNumber"/>
        <w:rFonts w:ascii="Times New Roman" w:hAnsi="Times New Roman" w:cs="Times New Roman"/>
        <w:sz w:val="20"/>
        <w:szCs w:val="20"/>
      </w:rPr>
      <w:tab/>
    </w:r>
  </w:p>
  <w:bookmarkEnd w:id="72"/>
  <w:bookmarkEnd w:id="73"/>
  <w:bookmarkEnd w:id="74"/>
  <w:bookmarkEnd w:id="75"/>
  <w:bookmarkEnd w:id="76"/>
  <w:bookmarkEnd w:id="77"/>
  <w:bookmarkEnd w:id="78"/>
  <w:bookmarkEnd w:id="79"/>
  <w:bookmarkEnd w:id="80"/>
  <w:p w14:paraId="3A78A053" w14:textId="77777777" w:rsidR="009E734E" w:rsidRPr="00FA5AF6" w:rsidRDefault="009E734E" w:rsidP="00FA5AF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2C184" w14:textId="77777777" w:rsidR="009E734E" w:rsidRPr="00FA5AF6" w:rsidRDefault="009E734E" w:rsidP="00FA5AF6">
    <w:pPr>
      <w:pBdr>
        <w:bottom w:val="single" w:sz="12" w:space="5" w:color="auto"/>
      </w:pBdr>
      <w:rPr>
        <w:rFonts w:ascii="Times New Roman" w:hAnsi="Times New Roman" w:cs="Times New Roman"/>
        <w:spacing w:val="-2"/>
        <w:sz w:val="20"/>
        <w:szCs w:val="20"/>
      </w:rPr>
    </w:pPr>
    <w:bookmarkStart w:id="81" w:name="_Hlk496261745"/>
    <w:bookmarkStart w:id="82" w:name="_Hlk496261746"/>
    <w:bookmarkStart w:id="83" w:name="_Hlk496261747"/>
    <w:bookmarkStart w:id="84" w:name="_Hlk30491063"/>
    <w:bookmarkStart w:id="85" w:name="_Hlk30491064"/>
  </w:p>
  <w:bookmarkEnd w:id="81"/>
  <w:bookmarkEnd w:id="82"/>
  <w:bookmarkEnd w:id="83"/>
  <w:bookmarkEnd w:id="84"/>
  <w:bookmarkEnd w:id="85"/>
  <w:p w14:paraId="5C969DAC" w14:textId="77777777" w:rsidR="009E734E" w:rsidRPr="00FA5AF6" w:rsidRDefault="009E734E" w:rsidP="00FA5AF6">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F1D78" w14:textId="77777777" w:rsidR="009E734E" w:rsidRPr="00FA5AF6" w:rsidRDefault="009E734E" w:rsidP="00FA5AF6">
    <w:pPr>
      <w:pStyle w:val="Header"/>
      <w:tabs>
        <w:tab w:val="clear" w:pos="4153"/>
        <w:tab w:val="clear" w:pos="8306"/>
      </w:tabs>
      <w:rPr>
        <w:rStyle w:val="PageNumber"/>
        <w:rFonts w:ascii="Times New Roman" w:hAnsi="Times New Roman" w:cs="Times New Roman"/>
        <w:sz w:val="20"/>
        <w:szCs w:val="20"/>
      </w:rPr>
    </w:pPr>
  </w:p>
  <w:p w14:paraId="4CEA4F99" w14:textId="77777777" w:rsidR="009E734E" w:rsidRPr="00FA5AF6" w:rsidRDefault="009E734E" w:rsidP="00A91BA3">
    <w:pPr>
      <w:pStyle w:val="Header"/>
      <w:tabs>
        <w:tab w:val="clear" w:pos="4153"/>
        <w:tab w:val="clear" w:pos="8306"/>
        <w:tab w:val="right" w:leader="underscore" w:pos="14572"/>
      </w:tabs>
      <w:rPr>
        <w:rStyle w:val="PageNumber"/>
        <w:rFonts w:ascii="Times New Roman" w:hAnsi="Times New Roman" w:cs="Times New Roman"/>
        <w:sz w:val="20"/>
        <w:szCs w:val="20"/>
      </w:rPr>
    </w:pPr>
    <w:r w:rsidRPr="00FA5AF6">
      <w:rPr>
        <w:rStyle w:val="PageNumber"/>
        <w:rFonts w:ascii="Times New Roman" w:hAnsi="Times New Roman" w:cs="Times New Roman"/>
        <w:sz w:val="20"/>
        <w:szCs w:val="20"/>
      </w:rPr>
      <w:tab/>
    </w:r>
  </w:p>
  <w:p w14:paraId="53FC739A" w14:textId="77777777" w:rsidR="009E734E" w:rsidRPr="00FA5AF6" w:rsidRDefault="009E734E" w:rsidP="00FA5AF6">
    <w:pPr>
      <w:pStyle w:val="Header"/>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AE40F" w14:textId="77777777" w:rsidR="009E734E" w:rsidRPr="00FA5AF6" w:rsidRDefault="009E734E" w:rsidP="00FA5AF6">
    <w:pPr>
      <w:pBdr>
        <w:bottom w:val="single" w:sz="12" w:space="5" w:color="auto"/>
      </w:pBdr>
      <w:rPr>
        <w:rFonts w:ascii="Times New Roman" w:hAnsi="Times New Roman" w:cs="Times New Roman"/>
        <w:spacing w:val="-2"/>
        <w:sz w:val="20"/>
        <w:szCs w:val="20"/>
      </w:rPr>
    </w:pPr>
  </w:p>
  <w:p w14:paraId="61CBD0AA" w14:textId="77777777" w:rsidR="009E734E" w:rsidRPr="00FA5AF6" w:rsidRDefault="009E734E" w:rsidP="00FA5AF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A0F94"/>
    <w:multiLevelType w:val="hybridMultilevel"/>
    <w:tmpl w:val="C5F27F78"/>
    <w:lvl w:ilvl="0" w:tplc="81446DEC">
      <w:start w:val="1"/>
      <w:numFmt w:val="decimal"/>
      <w:lvlText w:val="%1."/>
      <w:lvlJc w:val="left"/>
      <w:pPr>
        <w:ind w:left="420" w:hanging="360"/>
      </w:pPr>
      <w:rPr>
        <w:rFonts w:ascii="Calibri" w:eastAsia="Calibri" w:hAnsi="Calibri" w:hint="default"/>
        <w:spacing w:val="-1"/>
        <w:w w:val="99"/>
        <w:sz w:val="20"/>
        <w:szCs w:val="20"/>
      </w:rPr>
    </w:lvl>
    <w:lvl w:ilvl="1" w:tplc="5BCADE2A">
      <w:start w:val="1"/>
      <w:numFmt w:val="bullet"/>
      <w:lvlText w:val=""/>
      <w:lvlJc w:val="left"/>
      <w:pPr>
        <w:ind w:left="561" w:hanging="142"/>
      </w:pPr>
      <w:rPr>
        <w:rFonts w:ascii="Wingdings" w:eastAsia="Wingdings" w:hAnsi="Wingdings" w:hint="default"/>
        <w:w w:val="99"/>
        <w:sz w:val="20"/>
        <w:szCs w:val="20"/>
      </w:rPr>
    </w:lvl>
    <w:lvl w:ilvl="2" w:tplc="73F61DE2">
      <w:start w:val="1"/>
      <w:numFmt w:val="bullet"/>
      <w:lvlText w:val="o"/>
      <w:lvlJc w:val="left"/>
      <w:pPr>
        <w:ind w:left="844" w:hanging="284"/>
      </w:pPr>
      <w:rPr>
        <w:rFonts w:ascii="Courier New" w:eastAsia="Courier New" w:hAnsi="Courier New" w:hint="default"/>
        <w:w w:val="99"/>
        <w:sz w:val="20"/>
        <w:szCs w:val="20"/>
      </w:rPr>
    </w:lvl>
    <w:lvl w:ilvl="3" w:tplc="E70AF436">
      <w:start w:val="1"/>
      <w:numFmt w:val="bullet"/>
      <w:lvlText w:val="•"/>
      <w:lvlJc w:val="left"/>
      <w:pPr>
        <w:ind w:left="1535" w:hanging="284"/>
      </w:pPr>
      <w:rPr>
        <w:rFonts w:hint="default"/>
      </w:rPr>
    </w:lvl>
    <w:lvl w:ilvl="4" w:tplc="764CBA82">
      <w:start w:val="1"/>
      <w:numFmt w:val="bullet"/>
      <w:lvlText w:val="•"/>
      <w:lvlJc w:val="left"/>
      <w:pPr>
        <w:ind w:left="2226" w:hanging="284"/>
      </w:pPr>
      <w:rPr>
        <w:rFonts w:hint="default"/>
      </w:rPr>
    </w:lvl>
    <w:lvl w:ilvl="5" w:tplc="8DBCF5D8">
      <w:start w:val="1"/>
      <w:numFmt w:val="bullet"/>
      <w:lvlText w:val="•"/>
      <w:lvlJc w:val="left"/>
      <w:pPr>
        <w:ind w:left="2917" w:hanging="284"/>
      </w:pPr>
      <w:rPr>
        <w:rFonts w:hint="default"/>
      </w:rPr>
    </w:lvl>
    <w:lvl w:ilvl="6" w:tplc="FB1E68C4">
      <w:start w:val="1"/>
      <w:numFmt w:val="bullet"/>
      <w:lvlText w:val="•"/>
      <w:lvlJc w:val="left"/>
      <w:pPr>
        <w:ind w:left="3608" w:hanging="284"/>
      </w:pPr>
      <w:rPr>
        <w:rFonts w:hint="default"/>
      </w:rPr>
    </w:lvl>
    <w:lvl w:ilvl="7" w:tplc="AB185174">
      <w:start w:val="1"/>
      <w:numFmt w:val="bullet"/>
      <w:lvlText w:val="•"/>
      <w:lvlJc w:val="left"/>
      <w:pPr>
        <w:ind w:left="4299" w:hanging="284"/>
      </w:pPr>
      <w:rPr>
        <w:rFonts w:hint="default"/>
      </w:rPr>
    </w:lvl>
    <w:lvl w:ilvl="8" w:tplc="5C664410">
      <w:start w:val="1"/>
      <w:numFmt w:val="bullet"/>
      <w:lvlText w:val="•"/>
      <w:lvlJc w:val="left"/>
      <w:pPr>
        <w:ind w:left="4990" w:hanging="284"/>
      </w:pPr>
      <w:rPr>
        <w:rFonts w:hint="default"/>
      </w:rPr>
    </w:lvl>
  </w:abstractNum>
  <w:abstractNum w:abstractNumId="1" w15:restartNumberingAfterBreak="0">
    <w:nsid w:val="077553A1"/>
    <w:multiLevelType w:val="hybridMultilevel"/>
    <w:tmpl w:val="1D2A53FC"/>
    <w:lvl w:ilvl="0" w:tplc="58FC4366">
      <w:start w:val="1"/>
      <w:numFmt w:val="bullet"/>
      <w:lvlText w:val=""/>
      <w:lvlJc w:val="left"/>
      <w:pPr>
        <w:ind w:left="547" w:hanging="360"/>
      </w:pPr>
      <w:rPr>
        <w:rFonts w:ascii="Symbol" w:eastAsia="Symbol" w:hAnsi="Symbol" w:hint="default"/>
        <w:sz w:val="24"/>
        <w:szCs w:val="24"/>
      </w:rPr>
    </w:lvl>
    <w:lvl w:ilvl="1" w:tplc="0F6E5F52">
      <w:start w:val="1"/>
      <w:numFmt w:val="bullet"/>
      <w:lvlText w:val="•"/>
      <w:lvlJc w:val="left"/>
      <w:pPr>
        <w:ind w:left="1416" w:hanging="360"/>
      </w:pPr>
      <w:rPr>
        <w:rFonts w:hint="default"/>
      </w:rPr>
    </w:lvl>
    <w:lvl w:ilvl="2" w:tplc="485E8B7A">
      <w:start w:val="1"/>
      <w:numFmt w:val="bullet"/>
      <w:lvlText w:val="•"/>
      <w:lvlJc w:val="left"/>
      <w:pPr>
        <w:ind w:left="2286" w:hanging="360"/>
      </w:pPr>
      <w:rPr>
        <w:rFonts w:hint="default"/>
      </w:rPr>
    </w:lvl>
    <w:lvl w:ilvl="3" w:tplc="6BD066AC">
      <w:start w:val="1"/>
      <w:numFmt w:val="bullet"/>
      <w:lvlText w:val="•"/>
      <w:lvlJc w:val="left"/>
      <w:pPr>
        <w:ind w:left="3155" w:hanging="360"/>
      </w:pPr>
      <w:rPr>
        <w:rFonts w:hint="default"/>
      </w:rPr>
    </w:lvl>
    <w:lvl w:ilvl="4" w:tplc="496AD5C8">
      <w:start w:val="1"/>
      <w:numFmt w:val="bullet"/>
      <w:lvlText w:val="•"/>
      <w:lvlJc w:val="left"/>
      <w:pPr>
        <w:ind w:left="4024" w:hanging="360"/>
      </w:pPr>
      <w:rPr>
        <w:rFonts w:hint="default"/>
      </w:rPr>
    </w:lvl>
    <w:lvl w:ilvl="5" w:tplc="DDFEEB2A">
      <w:start w:val="1"/>
      <w:numFmt w:val="bullet"/>
      <w:lvlText w:val="•"/>
      <w:lvlJc w:val="left"/>
      <w:pPr>
        <w:ind w:left="4893" w:hanging="360"/>
      </w:pPr>
      <w:rPr>
        <w:rFonts w:hint="default"/>
      </w:rPr>
    </w:lvl>
    <w:lvl w:ilvl="6" w:tplc="448AC95E">
      <w:start w:val="1"/>
      <w:numFmt w:val="bullet"/>
      <w:lvlText w:val="•"/>
      <w:lvlJc w:val="left"/>
      <w:pPr>
        <w:ind w:left="5763" w:hanging="360"/>
      </w:pPr>
      <w:rPr>
        <w:rFonts w:hint="default"/>
      </w:rPr>
    </w:lvl>
    <w:lvl w:ilvl="7" w:tplc="C9AEA42A">
      <w:start w:val="1"/>
      <w:numFmt w:val="bullet"/>
      <w:lvlText w:val="•"/>
      <w:lvlJc w:val="left"/>
      <w:pPr>
        <w:ind w:left="6632" w:hanging="360"/>
      </w:pPr>
      <w:rPr>
        <w:rFonts w:hint="default"/>
      </w:rPr>
    </w:lvl>
    <w:lvl w:ilvl="8" w:tplc="68E20434">
      <w:start w:val="1"/>
      <w:numFmt w:val="bullet"/>
      <w:lvlText w:val="•"/>
      <w:lvlJc w:val="left"/>
      <w:pPr>
        <w:ind w:left="7501" w:hanging="360"/>
      </w:pPr>
      <w:rPr>
        <w:rFonts w:hint="default"/>
      </w:rPr>
    </w:lvl>
  </w:abstractNum>
  <w:abstractNum w:abstractNumId="2" w15:restartNumberingAfterBreak="0">
    <w:nsid w:val="0D9259CB"/>
    <w:multiLevelType w:val="hybridMultilevel"/>
    <w:tmpl w:val="0FFA4058"/>
    <w:lvl w:ilvl="0" w:tplc="D20E1EE2">
      <w:start w:val="1"/>
      <w:numFmt w:val="bullet"/>
      <w:lvlText w:val="o"/>
      <w:lvlJc w:val="left"/>
      <w:pPr>
        <w:ind w:left="301" w:hanging="180"/>
      </w:pPr>
      <w:rPr>
        <w:rFonts w:ascii="Courier New" w:eastAsia="Courier New" w:hAnsi="Courier New" w:hint="default"/>
        <w:w w:val="99"/>
        <w:sz w:val="20"/>
        <w:szCs w:val="20"/>
      </w:rPr>
    </w:lvl>
    <w:lvl w:ilvl="1" w:tplc="3D7405B0">
      <w:start w:val="1"/>
      <w:numFmt w:val="bullet"/>
      <w:lvlText w:val="•"/>
      <w:lvlJc w:val="left"/>
      <w:pPr>
        <w:ind w:left="920" w:hanging="180"/>
      </w:pPr>
      <w:rPr>
        <w:rFonts w:hint="default"/>
      </w:rPr>
    </w:lvl>
    <w:lvl w:ilvl="2" w:tplc="6D360F4E">
      <w:start w:val="1"/>
      <w:numFmt w:val="bullet"/>
      <w:lvlText w:val="•"/>
      <w:lvlJc w:val="left"/>
      <w:pPr>
        <w:ind w:left="1540" w:hanging="180"/>
      </w:pPr>
      <w:rPr>
        <w:rFonts w:hint="default"/>
      </w:rPr>
    </w:lvl>
    <w:lvl w:ilvl="3" w:tplc="6F92AFE2">
      <w:start w:val="1"/>
      <w:numFmt w:val="bullet"/>
      <w:lvlText w:val="•"/>
      <w:lvlJc w:val="left"/>
      <w:pPr>
        <w:ind w:left="2159" w:hanging="180"/>
      </w:pPr>
      <w:rPr>
        <w:rFonts w:hint="default"/>
      </w:rPr>
    </w:lvl>
    <w:lvl w:ilvl="4" w:tplc="E482F09C">
      <w:start w:val="1"/>
      <w:numFmt w:val="bullet"/>
      <w:lvlText w:val="•"/>
      <w:lvlJc w:val="left"/>
      <w:pPr>
        <w:ind w:left="2778" w:hanging="180"/>
      </w:pPr>
      <w:rPr>
        <w:rFonts w:hint="default"/>
      </w:rPr>
    </w:lvl>
    <w:lvl w:ilvl="5" w:tplc="3EC6884E">
      <w:start w:val="1"/>
      <w:numFmt w:val="bullet"/>
      <w:lvlText w:val="•"/>
      <w:lvlJc w:val="left"/>
      <w:pPr>
        <w:ind w:left="3398" w:hanging="180"/>
      </w:pPr>
      <w:rPr>
        <w:rFonts w:hint="default"/>
      </w:rPr>
    </w:lvl>
    <w:lvl w:ilvl="6" w:tplc="7C648A90">
      <w:start w:val="1"/>
      <w:numFmt w:val="bullet"/>
      <w:lvlText w:val="•"/>
      <w:lvlJc w:val="left"/>
      <w:pPr>
        <w:ind w:left="4017" w:hanging="180"/>
      </w:pPr>
      <w:rPr>
        <w:rFonts w:hint="default"/>
      </w:rPr>
    </w:lvl>
    <w:lvl w:ilvl="7" w:tplc="23B42376">
      <w:start w:val="1"/>
      <w:numFmt w:val="bullet"/>
      <w:lvlText w:val="•"/>
      <w:lvlJc w:val="left"/>
      <w:pPr>
        <w:ind w:left="4636" w:hanging="180"/>
      </w:pPr>
      <w:rPr>
        <w:rFonts w:hint="default"/>
      </w:rPr>
    </w:lvl>
    <w:lvl w:ilvl="8" w:tplc="AEF22482">
      <w:start w:val="1"/>
      <w:numFmt w:val="bullet"/>
      <w:lvlText w:val="•"/>
      <w:lvlJc w:val="left"/>
      <w:pPr>
        <w:ind w:left="5255" w:hanging="180"/>
      </w:pPr>
      <w:rPr>
        <w:rFonts w:hint="default"/>
      </w:rPr>
    </w:lvl>
  </w:abstractNum>
  <w:abstractNum w:abstractNumId="3" w15:restartNumberingAfterBreak="0">
    <w:nsid w:val="0E6744FA"/>
    <w:multiLevelType w:val="hybridMultilevel"/>
    <w:tmpl w:val="F96E9004"/>
    <w:lvl w:ilvl="0" w:tplc="5B367982">
      <w:start w:val="1"/>
      <w:numFmt w:val="bullet"/>
      <w:lvlText w:val="-"/>
      <w:lvlJc w:val="left"/>
      <w:pPr>
        <w:ind w:left="629" w:hanging="360"/>
      </w:pPr>
      <w:rPr>
        <w:rFonts w:ascii="Arial" w:eastAsia="Arial" w:hAnsi="Arial" w:hint="default"/>
        <w:sz w:val="22"/>
        <w:szCs w:val="22"/>
      </w:rPr>
    </w:lvl>
    <w:lvl w:ilvl="1" w:tplc="075E11B8">
      <w:start w:val="1"/>
      <w:numFmt w:val="bullet"/>
      <w:lvlText w:val="•"/>
      <w:lvlJc w:val="left"/>
      <w:pPr>
        <w:ind w:left="1492" w:hanging="360"/>
      </w:pPr>
      <w:rPr>
        <w:rFonts w:hint="default"/>
      </w:rPr>
    </w:lvl>
    <w:lvl w:ilvl="2" w:tplc="1936A394">
      <w:start w:val="1"/>
      <w:numFmt w:val="bullet"/>
      <w:lvlText w:val="•"/>
      <w:lvlJc w:val="left"/>
      <w:pPr>
        <w:ind w:left="2355" w:hanging="360"/>
      </w:pPr>
      <w:rPr>
        <w:rFonts w:hint="default"/>
      </w:rPr>
    </w:lvl>
    <w:lvl w:ilvl="3" w:tplc="0EC63E68">
      <w:start w:val="1"/>
      <w:numFmt w:val="bullet"/>
      <w:lvlText w:val="•"/>
      <w:lvlJc w:val="left"/>
      <w:pPr>
        <w:ind w:left="3218" w:hanging="360"/>
      </w:pPr>
      <w:rPr>
        <w:rFonts w:hint="default"/>
      </w:rPr>
    </w:lvl>
    <w:lvl w:ilvl="4" w:tplc="7194BE44">
      <w:start w:val="1"/>
      <w:numFmt w:val="bullet"/>
      <w:lvlText w:val="•"/>
      <w:lvlJc w:val="left"/>
      <w:pPr>
        <w:ind w:left="4081" w:hanging="360"/>
      </w:pPr>
      <w:rPr>
        <w:rFonts w:hint="default"/>
      </w:rPr>
    </w:lvl>
    <w:lvl w:ilvl="5" w:tplc="E08AA030">
      <w:start w:val="1"/>
      <w:numFmt w:val="bullet"/>
      <w:lvlText w:val="•"/>
      <w:lvlJc w:val="left"/>
      <w:pPr>
        <w:ind w:left="4944" w:hanging="360"/>
      </w:pPr>
      <w:rPr>
        <w:rFonts w:hint="default"/>
      </w:rPr>
    </w:lvl>
    <w:lvl w:ilvl="6" w:tplc="F2E85FB6">
      <w:start w:val="1"/>
      <w:numFmt w:val="bullet"/>
      <w:lvlText w:val="•"/>
      <w:lvlJc w:val="left"/>
      <w:pPr>
        <w:ind w:left="5807" w:hanging="360"/>
      </w:pPr>
      <w:rPr>
        <w:rFonts w:hint="default"/>
      </w:rPr>
    </w:lvl>
    <w:lvl w:ilvl="7" w:tplc="4AC6E898">
      <w:start w:val="1"/>
      <w:numFmt w:val="bullet"/>
      <w:lvlText w:val="•"/>
      <w:lvlJc w:val="left"/>
      <w:pPr>
        <w:ind w:left="6670" w:hanging="360"/>
      </w:pPr>
      <w:rPr>
        <w:rFonts w:hint="default"/>
      </w:rPr>
    </w:lvl>
    <w:lvl w:ilvl="8" w:tplc="C6EE4E38">
      <w:start w:val="1"/>
      <w:numFmt w:val="bullet"/>
      <w:lvlText w:val="•"/>
      <w:lvlJc w:val="left"/>
      <w:pPr>
        <w:ind w:left="7533" w:hanging="360"/>
      </w:pPr>
      <w:rPr>
        <w:rFonts w:hint="default"/>
      </w:rPr>
    </w:lvl>
  </w:abstractNum>
  <w:abstractNum w:abstractNumId="4" w15:restartNumberingAfterBreak="0">
    <w:nsid w:val="0F0B4201"/>
    <w:multiLevelType w:val="hybridMultilevel"/>
    <w:tmpl w:val="BD4ED618"/>
    <w:lvl w:ilvl="0" w:tplc="186ADFA4">
      <w:start w:val="1"/>
      <w:numFmt w:val="bullet"/>
      <w:lvlText w:val="-"/>
      <w:lvlJc w:val="left"/>
      <w:pPr>
        <w:ind w:left="629" w:hanging="360"/>
      </w:pPr>
      <w:rPr>
        <w:rFonts w:ascii="Arial" w:eastAsia="Arial" w:hAnsi="Arial" w:hint="default"/>
        <w:sz w:val="22"/>
        <w:szCs w:val="22"/>
      </w:rPr>
    </w:lvl>
    <w:lvl w:ilvl="1" w:tplc="14D8F920">
      <w:start w:val="1"/>
      <w:numFmt w:val="bullet"/>
      <w:lvlText w:val="•"/>
      <w:lvlJc w:val="left"/>
      <w:pPr>
        <w:ind w:left="1490" w:hanging="360"/>
      </w:pPr>
      <w:rPr>
        <w:rFonts w:hint="default"/>
      </w:rPr>
    </w:lvl>
    <w:lvl w:ilvl="2" w:tplc="FBF460A2">
      <w:start w:val="1"/>
      <w:numFmt w:val="bullet"/>
      <w:lvlText w:val="•"/>
      <w:lvlJc w:val="left"/>
      <w:pPr>
        <w:ind w:left="2351" w:hanging="360"/>
      </w:pPr>
      <w:rPr>
        <w:rFonts w:hint="default"/>
      </w:rPr>
    </w:lvl>
    <w:lvl w:ilvl="3" w:tplc="7E60C230">
      <w:start w:val="1"/>
      <w:numFmt w:val="bullet"/>
      <w:lvlText w:val="•"/>
      <w:lvlJc w:val="left"/>
      <w:pPr>
        <w:ind w:left="3212" w:hanging="360"/>
      </w:pPr>
      <w:rPr>
        <w:rFonts w:hint="default"/>
      </w:rPr>
    </w:lvl>
    <w:lvl w:ilvl="4" w:tplc="5A3654C6">
      <w:start w:val="1"/>
      <w:numFmt w:val="bullet"/>
      <w:lvlText w:val="•"/>
      <w:lvlJc w:val="left"/>
      <w:pPr>
        <w:ind w:left="4073" w:hanging="360"/>
      </w:pPr>
      <w:rPr>
        <w:rFonts w:hint="default"/>
      </w:rPr>
    </w:lvl>
    <w:lvl w:ilvl="5" w:tplc="9DB6C472">
      <w:start w:val="1"/>
      <w:numFmt w:val="bullet"/>
      <w:lvlText w:val="•"/>
      <w:lvlJc w:val="left"/>
      <w:pPr>
        <w:ind w:left="4934" w:hanging="360"/>
      </w:pPr>
      <w:rPr>
        <w:rFonts w:hint="default"/>
      </w:rPr>
    </w:lvl>
    <w:lvl w:ilvl="6" w:tplc="F4423B3E">
      <w:start w:val="1"/>
      <w:numFmt w:val="bullet"/>
      <w:lvlText w:val="•"/>
      <w:lvlJc w:val="left"/>
      <w:pPr>
        <w:ind w:left="5795" w:hanging="360"/>
      </w:pPr>
      <w:rPr>
        <w:rFonts w:hint="default"/>
      </w:rPr>
    </w:lvl>
    <w:lvl w:ilvl="7" w:tplc="15EC57C4">
      <w:start w:val="1"/>
      <w:numFmt w:val="bullet"/>
      <w:lvlText w:val="•"/>
      <w:lvlJc w:val="left"/>
      <w:pPr>
        <w:ind w:left="6656" w:hanging="360"/>
      </w:pPr>
      <w:rPr>
        <w:rFonts w:hint="default"/>
      </w:rPr>
    </w:lvl>
    <w:lvl w:ilvl="8" w:tplc="7CDEB40A">
      <w:start w:val="1"/>
      <w:numFmt w:val="bullet"/>
      <w:lvlText w:val="•"/>
      <w:lvlJc w:val="left"/>
      <w:pPr>
        <w:ind w:left="7517" w:hanging="360"/>
      </w:pPr>
      <w:rPr>
        <w:rFonts w:hint="default"/>
      </w:rPr>
    </w:lvl>
  </w:abstractNum>
  <w:abstractNum w:abstractNumId="5" w15:restartNumberingAfterBreak="0">
    <w:nsid w:val="13794092"/>
    <w:multiLevelType w:val="hybridMultilevel"/>
    <w:tmpl w:val="E4308E6A"/>
    <w:lvl w:ilvl="0" w:tplc="1730115E">
      <w:start w:val="1"/>
      <w:numFmt w:val="bullet"/>
      <w:lvlText w:val=""/>
      <w:lvlJc w:val="left"/>
      <w:pPr>
        <w:ind w:left="460" w:hanging="360"/>
      </w:pPr>
      <w:rPr>
        <w:rFonts w:ascii="Symbol" w:eastAsia="Symbol" w:hAnsi="Symbol" w:hint="default"/>
        <w:position w:val="2"/>
        <w:sz w:val="24"/>
        <w:szCs w:val="24"/>
      </w:rPr>
    </w:lvl>
    <w:lvl w:ilvl="1" w:tplc="AC5CB888">
      <w:start w:val="1"/>
      <w:numFmt w:val="bullet"/>
      <w:lvlText w:val="o"/>
      <w:lvlJc w:val="left"/>
      <w:pPr>
        <w:ind w:left="120" w:hanging="281"/>
      </w:pPr>
      <w:rPr>
        <w:rFonts w:ascii="Courier New" w:eastAsia="Courier New" w:hAnsi="Courier New" w:hint="default"/>
        <w:sz w:val="24"/>
        <w:szCs w:val="24"/>
      </w:rPr>
    </w:lvl>
    <w:lvl w:ilvl="2" w:tplc="E4CE399E">
      <w:start w:val="1"/>
      <w:numFmt w:val="bullet"/>
      <w:lvlText w:val="•"/>
      <w:lvlJc w:val="left"/>
      <w:pPr>
        <w:ind w:left="828" w:hanging="281"/>
      </w:pPr>
      <w:rPr>
        <w:rFonts w:hint="default"/>
      </w:rPr>
    </w:lvl>
    <w:lvl w:ilvl="3" w:tplc="F4E0CFB8">
      <w:start w:val="1"/>
      <w:numFmt w:val="bullet"/>
      <w:lvlText w:val="•"/>
      <w:lvlJc w:val="left"/>
      <w:pPr>
        <w:ind w:left="1877" w:hanging="281"/>
      </w:pPr>
      <w:rPr>
        <w:rFonts w:hint="default"/>
      </w:rPr>
    </w:lvl>
    <w:lvl w:ilvl="4" w:tplc="572CB138">
      <w:start w:val="1"/>
      <w:numFmt w:val="bullet"/>
      <w:lvlText w:val="•"/>
      <w:lvlJc w:val="left"/>
      <w:pPr>
        <w:ind w:left="2926" w:hanging="281"/>
      </w:pPr>
      <w:rPr>
        <w:rFonts w:hint="default"/>
      </w:rPr>
    </w:lvl>
    <w:lvl w:ilvl="5" w:tplc="377285AE">
      <w:start w:val="1"/>
      <w:numFmt w:val="bullet"/>
      <w:lvlText w:val="•"/>
      <w:lvlJc w:val="left"/>
      <w:pPr>
        <w:ind w:left="3975" w:hanging="281"/>
      </w:pPr>
      <w:rPr>
        <w:rFonts w:hint="default"/>
      </w:rPr>
    </w:lvl>
    <w:lvl w:ilvl="6" w:tplc="FA30B8CC">
      <w:start w:val="1"/>
      <w:numFmt w:val="bullet"/>
      <w:lvlText w:val="•"/>
      <w:lvlJc w:val="left"/>
      <w:pPr>
        <w:ind w:left="5024" w:hanging="281"/>
      </w:pPr>
      <w:rPr>
        <w:rFonts w:hint="default"/>
      </w:rPr>
    </w:lvl>
    <w:lvl w:ilvl="7" w:tplc="06AC399C">
      <w:start w:val="1"/>
      <w:numFmt w:val="bullet"/>
      <w:lvlText w:val="•"/>
      <w:lvlJc w:val="left"/>
      <w:pPr>
        <w:ind w:left="6073" w:hanging="281"/>
      </w:pPr>
      <w:rPr>
        <w:rFonts w:hint="default"/>
      </w:rPr>
    </w:lvl>
    <w:lvl w:ilvl="8" w:tplc="665677FE">
      <w:start w:val="1"/>
      <w:numFmt w:val="bullet"/>
      <w:lvlText w:val="•"/>
      <w:lvlJc w:val="left"/>
      <w:pPr>
        <w:ind w:left="7122" w:hanging="281"/>
      </w:pPr>
      <w:rPr>
        <w:rFonts w:hint="default"/>
      </w:rPr>
    </w:lvl>
  </w:abstractNum>
  <w:abstractNum w:abstractNumId="6" w15:restartNumberingAfterBreak="0">
    <w:nsid w:val="24F20A3A"/>
    <w:multiLevelType w:val="hybridMultilevel"/>
    <w:tmpl w:val="24ECD214"/>
    <w:lvl w:ilvl="0" w:tplc="03F08194">
      <w:start w:val="1"/>
      <w:numFmt w:val="bullet"/>
      <w:lvlText w:val="-"/>
      <w:lvlJc w:val="left"/>
      <w:pPr>
        <w:ind w:left="629" w:hanging="360"/>
      </w:pPr>
      <w:rPr>
        <w:rFonts w:ascii="Arial" w:eastAsia="Arial" w:hAnsi="Arial" w:hint="default"/>
        <w:sz w:val="22"/>
        <w:szCs w:val="22"/>
      </w:rPr>
    </w:lvl>
    <w:lvl w:ilvl="1" w:tplc="6C903244">
      <w:start w:val="1"/>
      <w:numFmt w:val="bullet"/>
      <w:lvlText w:val="•"/>
      <w:lvlJc w:val="left"/>
      <w:pPr>
        <w:ind w:left="1492" w:hanging="360"/>
      </w:pPr>
      <w:rPr>
        <w:rFonts w:hint="default"/>
      </w:rPr>
    </w:lvl>
    <w:lvl w:ilvl="2" w:tplc="C8609570">
      <w:start w:val="1"/>
      <w:numFmt w:val="bullet"/>
      <w:lvlText w:val="•"/>
      <w:lvlJc w:val="left"/>
      <w:pPr>
        <w:ind w:left="2355" w:hanging="360"/>
      </w:pPr>
      <w:rPr>
        <w:rFonts w:hint="default"/>
      </w:rPr>
    </w:lvl>
    <w:lvl w:ilvl="3" w:tplc="72E2A530">
      <w:start w:val="1"/>
      <w:numFmt w:val="bullet"/>
      <w:lvlText w:val="•"/>
      <w:lvlJc w:val="left"/>
      <w:pPr>
        <w:ind w:left="3218" w:hanging="360"/>
      </w:pPr>
      <w:rPr>
        <w:rFonts w:hint="default"/>
      </w:rPr>
    </w:lvl>
    <w:lvl w:ilvl="4" w:tplc="B2A61642">
      <w:start w:val="1"/>
      <w:numFmt w:val="bullet"/>
      <w:lvlText w:val="•"/>
      <w:lvlJc w:val="left"/>
      <w:pPr>
        <w:ind w:left="4081" w:hanging="360"/>
      </w:pPr>
      <w:rPr>
        <w:rFonts w:hint="default"/>
      </w:rPr>
    </w:lvl>
    <w:lvl w:ilvl="5" w:tplc="5F28084A">
      <w:start w:val="1"/>
      <w:numFmt w:val="bullet"/>
      <w:lvlText w:val="•"/>
      <w:lvlJc w:val="left"/>
      <w:pPr>
        <w:ind w:left="4944" w:hanging="360"/>
      </w:pPr>
      <w:rPr>
        <w:rFonts w:hint="default"/>
      </w:rPr>
    </w:lvl>
    <w:lvl w:ilvl="6" w:tplc="4D620FAC">
      <w:start w:val="1"/>
      <w:numFmt w:val="bullet"/>
      <w:lvlText w:val="•"/>
      <w:lvlJc w:val="left"/>
      <w:pPr>
        <w:ind w:left="5807" w:hanging="360"/>
      </w:pPr>
      <w:rPr>
        <w:rFonts w:hint="default"/>
      </w:rPr>
    </w:lvl>
    <w:lvl w:ilvl="7" w:tplc="9DD479CA">
      <w:start w:val="1"/>
      <w:numFmt w:val="bullet"/>
      <w:lvlText w:val="•"/>
      <w:lvlJc w:val="left"/>
      <w:pPr>
        <w:ind w:left="6670" w:hanging="360"/>
      </w:pPr>
      <w:rPr>
        <w:rFonts w:hint="default"/>
      </w:rPr>
    </w:lvl>
    <w:lvl w:ilvl="8" w:tplc="B7665FE2">
      <w:start w:val="1"/>
      <w:numFmt w:val="bullet"/>
      <w:lvlText w:val="•"/>
      <w:lvlJc w:val="left"/>
      <w:pPr>
        <w:ind w:left="7533" w:hanging="360"/>
      </w:pPr>
      <w:rPr>
        <w:rFonts w:hint="default"/>
      </w:rPr>
    </w:lvl>
  </w:abstractNum>
  <w:abstractNum w:abstractNumId="7" w15:restartNumberingAfterBreak="0">
    <w:nsid w:val="275E01B9"/>
    <w:multiLevelType w:val="hybridMultilevel"/>
    <w:tmpl w:val="9CFAC34C"/>
    <w:lvl w:ilvl="0" w:tplc="CE727CF2">
      <w:start w:val="1"/>
      <w:numFmt w:val="bullet"/>
      <w:lvlText w:val="-"/>
      <w:lvlJc w:val="left"/>
      <w:pPr>
        <w:ind w:left="629" w:hanging="360"/>
      </w:pPr>
      <w:rPr>
        <w:rFonts w:ascii="Arial" w:eastAsia="Arial" w:hAnsi="Arial" w:hint="default"/>
        <w:sz w:val="22"/>
        <w:szCs w:val="22"/>
      </w:rPr>
    </w:lvl>
    <w:lvl w:ilvl="1" w:tplc="D7A8D0D6">
      <w:start w:val="1"/>
      <w:numFmt w:val="bullet"/>
      <w:lvlText w:val="•"/>
      <w:lvlJc w:val="left"/>
      <w:pPr>
        <w:ind w:left="1492" w:hanging="360"/>
      </w:pPr>
      <w:rPr>
        <w:rFonts w:hint="default"/>
      </w:rPr>
    </w:lvl>
    <w:lvl w:ilvl="2" w:tplc="192853C6">
      <w:start w:val="1"/>
      <w:numFmt w:val="bullet"/>
      <w:lvlText w:val="•"/>
      <w:lvlJc w:val="left"/>
      <w:pPr>
        <w:ind w:left="2355" w:hanging="360"/>
      </w:pPr>
      <w:rPr>
        <w:rFonts w:hint="default"/>
      </w:rPr>
    </w:lvl>
    <w:lvl w:ilvl="3" w:tplc="344A516A">
      <w:start w:val="1"/>
      <w:numFmt w:val="bullet"/>
      <w:lvlText w:val="•"/>
      <w:lvlJc w:val="left"/>
      <w:pPr>
        <w:ind w:left="3218" w:hanging="360"/>
      </w:pPr>
      <w:rPr>
        <w:rFonts w:hint="default"/>
      </w:rPr>
    </w:lvl>
    <w:lvl w:ilvl="4" w:tplc="E91ED804">
      <w:start w:val="1"/>
      <w:numFmt w:val="bullet"/>
      <w:lvlText w:val="•"/>
      <w:lvlJc w:val="left"/>
      <w:pPr>
        <w:ind w:left="4081" w:hanging="360"/>
      </w:pPr>
      <w:rPr>
        <w:rFonts w:hint="default"/>
      </w:rPr>
    </w:lvl>
    <w:lvl w:ilvl="5" w:tplc="CFC657BE">
      <w:start w:val="1"/>
      <w:numFmt w:val="bullet"/>
      <w:lvlText w:val="•"/>
      <w:lvlJc w:val="left"/>
      <w:pPr>
        <w:ind w:left="4944" w:hanging="360"/>
      </w:pPr>
      <w:rPr>
        <w:rFonts w:hint="default"/>
      </w:rPr>
    </w:lvl>
    <w:lvl w:ilvl="6" w:tplc="A2F6544C">
      <w:start w:val="1"/>
      <w:numFmt w:val="bullet"/>
      <w:lvlText w:val="•"/>
      <w:lvlJc w:val="left"/>
      <w:pPr>
        <w:ind w:left="5807" w:hanging="360"/>
      </w:pPr>
      <w:rPr>
        <w:rFonts w:hint="default"/>
      </w:rPr>
    </w:lvl>
    <w:lvl w:ilvl="7" w:tplc="4E30F4EA">
      <w:start w:val="1"/>
      <w:numFmt w:val="bullet"/>
      <w:lvlText w:val="•"/>
      <w:lvlJc w:val="left"/>
      <w:pPr>
        <w:ind w:left="6670" w:hanging="360"/>
      </w:pPr>
      <w:rPr>
        <w:rFonts w:hint="default"/>
      </w:rPr>
    </w:lvl>
    <w:lvl w:ilvl="8" w:tplc="8006E1F2">
      <w:start w:val="1"/>
      <w:numFmt w:val="bullet"/>
      <w:lvlText w:val="•"/>
      <w:lvlJc w:val="left"/>
      <w:pPr>
        <w:ind w:left="7533" w:hanging="360"/>
      </w:pPr>
      <w:rPr>
        <w:rFonts w:hint="default"/>
      </w:rPr>
    </w:lvl>
  </w:abstractNum>
  <w:abstractNum w:abstractNumId="8" w15:restartNumberingAfterBreak="0">
    <w:nsid w:val="323A23FD"/>
    <w:multiLevelType w:val="hybridMultilevel"/>
    <w:tmpl w:val="9C0E5468"/>
    <w:lvl w:ilvl="0" w:tplc="766EC054">
      <w:start w:val="1"/>
      <w:numFmt w:val="bullet"/>
      <w:lvlText w:val="-"/>
      <w:lvlJc w:val="left"/>
      <w:pPr>
        <w:ind w:left="99" w:hanging="99"/>
      </w:pPr>
      <w:rPr>
        <w:rFonts w:ascii="Verdana" w:eastAsia="Verdana" w:hAnsi="Verdana" w:hint="default"/>
        <w:b/>
        <w:bCs/>
        <w:color w:val="4D4D4D"/>
        <w:w w:val="99"/>
        <w:sz w:val="12"/>
        <w:szCs w:val="12"/>
      </w:rPr>
    </w:lvl>
    <w:lvl w:ilvl="1" w:tplc="CD24845A">
      <w:start w:val="1"/>
      <w:numFmt w:val="bullet"/>
      <w:lvlText w:val="•"/>
      <w:lvlJc w:val="left"/>
      <w:pPr>
        <w:ind w:left="280" w:hanging="99"/>
      </w:pPr>
      <w:rPr>
        <w:rFonts w:hint="default"/>
      </w:rPr>
    </w:lvl>
    <w:lvl w:ilvl="2" w:tplc="04523A54">
      <w:start w:val="1"/>
      <w:numFmt w:val="bullet"/>
      <w:lvlText w:val="•"/>
      <w:lvlJc w:val="left"/>
      <w:pPr>
        <w:ind w:left="461" w:hanging="99"/>
      </w:pPr>
      <w:rPr>
        <w:rFonts w:hint="default"/>
      </w:rPr>
    </w:lvl>
    <w:lvl w:ilvl="3" w:tplc="2C5C11CA">
      <w:start w:val="1"/>
      <w:numFmt w:val="bullet"/>
      <w:lvlText w:val="•"/>
      <w:lvlJc w:val="left"/>
      <w:pPr>
        <w:ind w:left="641" w:hanging="99"/>
      </w:pPr>
      <w:rPr>
        <w:rFonts w:hint="default"/>
      </w:rPr>
    </w:lvl>
    <w:lvl w:ilvl="4" w:tplc="CACECD8E">
      <w:start w:val="1"/>
      <w:numFmt w:val="bullet"/>
      <w:lvlText w:val="•"/>
      <w:lvlJc w:val="left"/>
      <w:pPr>
        <w:ind w:left="822" w:hanging="99"/>
      </w:pPr>
      <w:rPr>
        <w:rFonts w:hint="default"/>
      </w:rPr>
    </w:lvl>
    <w:lvl w:ilvl="5" w:tplc="3930735C">
      <w:start w:val="1"/>
      <w:numFmt w:val="bullet"/>
      <w:lvlText w:val="•"/>
      <w:lvlJc w:val="left"/>
      <w:pPr>
        <w:ind w:left="1003" w:hanging="99"/>
      </w:pPr>
      <w:rPr>
        <w:rFonts w:hint="default"/>
      </w:rPr>
    </w:lvl>
    <w:lvl w:ilvl="6" w:tplc="2578BEC6">
      <w:start w:val="1"/>
      <w:numFmt w:val="bullet"/>
      <w:lvlText w:val="•"/>
      <w:lvlJc w:val="left"/>
      <w:pPr>
        <w:ind w:left="1183" w:hanging="99"/>
      </w:pPr>
      <w:rPr>
        <w:rFonts w:hint="default"/>
      </w:rPr>
    </w:lvl>
    <w:lvl w:ilvl="7" w:tplc="31B07E2C">
      <w:start w:val="1"/>
      <w:numFmt w:val="bullet"/>
      <w:lvlText w:val="•"/>
      <w:lvlJc w:val="left"/>
      <w:pPr>
        <w:ind w:left="1364" w:hanging="99"/>
      </w:pPr>
      <w:rPr>
        <w:rFonts w:hint="default"/>
      </w:rPr>
    </w:lvl>
    <w:lvl w:ilvl="8" w:tplc="E60E645E">
      <w:start w:val="1"/>
      <w:numFmt w:val="bullet"/>
      <w:lvlText w:val="•"/>
      <w:lvlJc w:val="left"/>
      <w:pPr>
        <w:ind w:left="1545" w:hanging="99"/>
      </w:pPr>
      <w:rPr>
        <w:rFonts w:hint="default"/>
      </w:rPr>
    </w:lvl>
  </w:abstractNum>
  <w:abstractNum w:abstractNumId="9" w15:restartNumberingAfterBreak="0">
    <w:nsid w:val="34A42764"/>
    <w:multiLevelType w:val="multilevel"/>
    <w:tmpl w:val="DC820B98"/>
    <w:lvl w:ilvl="0">
      <w:start w:val="1"/>
      <w:numFmt w:val="decimal"/>
      <w:lvlText w:val="%1"/>
      <w:lvlJc w:val="left"/>
      <w:pPr>
        <w:ind w:left="580" w:hanging="480"/>
      </w:pPr>
      <w:rPr>
        <w:rFonts w:ascii="Calibri" w:eastAsia="Calibri" w:hAnsi="Calibri" w:hint="default"/>
        <w:w w:val="99"/>
        <w:sz w:val="24"/>
        <w:szCs w:val="24"/>
      </w:rPr>
    </w:lvl>
    <w:lvl w:ilvl="1">
      <w:start w:val="1"/>
      <w:numFmt w:val="decimal"/>
      <w:lvlText w:val="%1.%2"/>
      <w:lvlJc w:val="left"/>
      <w:pPr>
        <w:ind w:left="981" w:hanging="641"/>
      </w:pPr>
      <w:rPr>
        <w:rFonts w:ascii="Calibri" w:eastAsia="Calibri" w:hAnsi="Calibri" w:hint="default"/>
        <w:sz w:val="24"/>
        <w:szCs w:val="24"/>
      </w:rPr>
    </w:lvl>
    <w:lvl w:ilvl="2">
      <w:start w:val="1"/>
      <w:numFmt w:val="bullet"/>
      <w:lvlText w:val="•"/>
      <w:lvlJc w:val="left"/>
      <w:pPr>
        <w:ind w:left="981" w:hanging="641"/>
      </w:pPr>
      <w:rPr>
        <w:rFonts w:hint="default"/>
      </w:rPr>
    </w:lvl>
    <w:lvl w:ilvl="3">
      <w:start w:val="1"/>
      <w:numFmt w:val="bullet"/>
      <w:lvlText w:val="•"/>
      <w:lvlJc w:val="left"/>
      <w:pPr>
        <w:ind w:left="2011" w:hanging="641"/>
      </w:pPr>
      <w:rPr>
        <w:rFonts w:hint="default"/>
      </w:rPr>
    </w:lvl>
    <w:lvl w:ilvl="4">
      <w:start w:val="1"/>
      <w:numFmt w:val="bullet"/>
      <w:lvlText w:val="•"/>
      <w:lvlJc w:val="left"/>
      <w:pPr>
        <w:ind w:left="3040" w:hanging="641"/>
      </w:pPr>
      <w:rPr>
        <w:rFonts w:hint="default"/>
      </w:rPr>
    </w:lvl>
    <w:lvl w:ilvl="5">
      <w:start w:val="1"/>
      <w:numFmt w:val="bullet"/>
      <w:lvlText w:val="•"/>
      <w:lvlJc w:val="left"/>
      <w:pPr>
        <w:ind w:left="4070" w:hanging="641"/>
      </w:pPr>
      <w:rPr>
        <w:rFonts w:hint="default"/>
      </w:rPr>
    </w:lvl>
    <w:lvl w:ilvl="6">
      <w:start w:val="1"/>
      <w:numFmt w:val="bullet"/>
      <w:lvlText w:val="•"/>
      <w:lvlJc w:val="left"/>
      <w:pPr>
        <w:ind w:left="5100" w:hanging="641"/>
      </w:pPr>
      <w:rPr>
        <w:rFonts w:hint="default"/>
      </w:rPr>
    </w:lvl>
    <w:lvl w:ilvl="7">
      <w:start w:val="1"/>
      <w:numFmt w:val="bullet"/>
      <w:lvlText w:val="•"/>
      <w:lvlJc w:val="left"/>
      <w:pPr>
        <w:ind w:left="6130" w:hanging="641"/>
      </w:pPr>
      <w:rPr>
        <w:rFonts w:hint="default"/>
      </w:rPr>
    </w:lvl>
    <w:lvl w:ilvl="8">
      <w:start w:val="1"/>
      <w:numFmt w:val="bullet"/>
      <w:lvlText w:val="•"/>
      <w:lvlJc w:val="left"/>
      <w:pPr>
        <w:ind w:left="7160" w:hanging="641"/>
      </w:pPr>
      <w:rPr>
        <w:rFonts w:hint="default"/>
      </w:rPr>
    </w:lvl>
  </w:abstractNum>
  <w:abstractNum w:abstractNumId="10" w15:restartNumberingAfterBreak="0">
    <w:nsid w:val="371E4145"/>
    <w:multiLevelType w:val="hybridMultilevel"/>
    <w:tmpl w:val="59F2FF16"/>
    <w:lvl w:ilvl="0" w:tplc="B4DE57E8">
      <w:start w:val="1"/>
      <w:numFmt w:val="bullet"/>
      <w:lvlText w:val=""/>
      <w:lvlJc w:val="left"/>
      <w:pPr>
        <w:ind w:left="527" w:hanging="360"/>
      </w:pPr>
      <w:rPr>
        <w:rFonts w:ascii="Symbol" w:eastAsia="Symbol" w:hAnsi="Symbol" w:hint="default"/>
        <w:sz w:val="24"/>
        <w:szCs w:val="24"/>
      </w:rPr>
    </w:lvl>
    <w:lvl w:ilvl="1" w:tplc="F6D873D6">
      <w:start w:val="1"/>
      <w:numFmt w:val="bullet"/>
      <w:lvlText w:val="•"/>
      <w:lvlJc w:val="left"/>
      <w:pPr>
        <w:ind w:left="1396" w:hanging="360"/>
      </w:pPr>
      <w:rPr>
        <w:rFonts w:hint="default"/>
      </w:rPr>
    </w:lvl>
    <w:lvl w:ilvl="2" w:tplc="382448C4">
      <w:start w:val="1"/>
      <w:numFmt w:val="bullet"/>
      <w:lvlText w:val="•"/>
      <w:lvlJc w:val="left"/>
      <w:pPr>
        <w:ind w:left="2266" w:hanging="360"/>
      </w:pPr>
      <w:rPr>
        <w:rFonts w:hint="default"/>
      </w:rPr>
    </w:lvl>
    <w:lvl w:ilvl="3" w:tplc="D65408E8">
      <w:start w:val="1"/>
      <w:numFmt w:val="bullet"/>
      <w:lvlText w:val="•"/>
      <w:lvlJc w:val="left"/>
      <w:pPr>
        <w:ind w:left="3135" w:hanging="360"/>
      </w:pPr>
      <w:rPr>
        <w:rFonts w:hint="default"/>
      </w:rPr>
    </w:lvl>
    <w:lvl w:ilvl="4" w:tplc="01C097A4">
      <w:start w:val="1"/>
      <w:numFmt w:val="bullet"/>
      <w:lvlText w:val="•"/>
      <w:lvlJc w:val="left"/>
      <w:pPr>
        <w:ind w:left="4004" w:hanging="360"/>
      </w:pPr>
      <w:rPr>
        <w:rFonts w:hint="default"/>
      </w:rPr>
    </w:lvl>
    <w:lvl w:ilvl="5" w:tplc="E4484600">
      <w:start w:val="1"/>
      <w:numFmt w:val="bullet"/>
      <w:lvlText w:val="•"/>
      <w:lvlJc w:val="left"/>
      <w:pPr>
        <w:ind w:left="4873" w:hanging="360"/>
      </w:pPr>
      <w:rPr>
        <w:rFonts w:hint="default"/>
      </w:rPr>
    </w:lvl>
    <w:lvl w:ilvl="6" w:tplc="F26CDC22">
      <w:start w:val="1"/>
      <w:numFmt w:val="bullet"/>
      <w:lvlText w:val="•"/>
      <w:lvlJc w:val="left"/>
      <w:pPr>
        <w:ind w:left="5743" w:hanging="360"/>
      </w:pPr>
      <w:rPr>
        <w:rFonts w:hint="default"/>
      </w:rPr>
    </w:lvl>
    <w:lvl w:ilvl="7" w:tplc="B49E88DE">
      <w:start w:val="1"/>
      <w:numFmt w:val="bullet"/>
      <w:lvlText w:val="•"/>
      <w:lvlJc w:val="left"/>
      <w:pPr>
        <w:ind w:left="6612" w:hanging="360"/>
      </w:pPr>
      <w:rPr>
        <w:rFonts w:hint="default"/>
      </w:rPr>
    </w:lvl>
    <w:lvl w:ilvl="8" w:tplc="1C96FBF6">
      <w:start w:val="1"/>
      <w:numFmt w:val="bullet"/>
      <w:lvlText w:val="•"/>
      <w:lvlJc w:val="left"/>
      <w:pPr>
        <w:ind w:left="7481" w:hanging="360"/>
      </w:pPr>
      <w:rPr>
        <w:rFonts w:hint="default"/>
      </w:rPr>
    </w:lvl>
  </w:abstractNum>
  <w:abstractNum w:abstractNumId="11" w15:restartNumberingAfterBreak="0">
    <w:nsid w:val="3A0625FD"/>
    <w:multiLevelType w:val="hybridMultilevel"/>
    <w:tmpl w:val="41D4F43A"/>
    <w:lvl w:ilvl="0" w:tplc="1ABAA642">
      <w:start w:val="1"/>
      <w:numFmt w:val="bullet"/>
      <w:lvlText w:val="-"/>
      <w:lvlJc w:val="left"/>
      <w:pPr>
        <w:ind w:left="6662" w:hanging="97"/>
      </w:pPr>
      <w:rPr>
        <w:rFonts w:ascii="Verdana" w:eastAsia="Verdana" w:hAnsi="Verdana" w:hint="default"/>
        <w:b/>
        <w:bCs/>
        <w:color w:val="4D4D4D"/>
        <w:w w:val="117"/>
        <w:sz w:val="10"/>
        <w:szCs w:val="10"/>
      </w:rPr>
    </w:lvl>
    <w:lvl w:ilvl="1" w:tplc="AC14EF9C">
      <w:start w:val="1"/>
      <w:numFmt w:val="bullet"/>
      <w:lvlText w:val="•"/>
      <w:lvlJc w:val="left"/>
      <w:pPr>
        <w:ind w:left="6919" w:hanging="97"/>
      </w:pPr>
      <w:rPr>
        <w:rFonts w:hint="default"/>
      </w:rPr>
    </w:lvl>
    <w:lvl w:ilvl="2" w:tplc="F1E4515C">
      <w:start w:val="1"/>
      <w:numFmt w:val="bullet"/>
      <w:lvlText w:val="•"/>
      <w:lvlJc w:val="left"/>
      <w:pPr>
        <w:ind w:left="7177" w:hanging="97"/>
      </w:pPr>
      <w:rPr>
        <w:rFonts w:hint="default"/>
      </w:rPr>
    </w:lvl>
    <w:lvl w:ilvl="3" w:tplc="A4E2FCCE">
      <w:start w:val="1"/>
      <w:numFmt w:val="bullet"/>
      <w:lvlText w:val="•"/>
      <w:lvlJc w:val="left"/>
      <w:pPr>
        <w:ind w:left="7435" w:hanging="97"/>
      </w:pPr>
      <w:rPr>
        <w:rFonts w:hint="default"/>
      </w:rPr>
    </w:lvl>
    <w:lvl w:ilvl="4" w:tplc="0AC43B70">
      <w:start w:val="1"/>
      <w:numFmt w:val="bullet"/>
      <w:lvlText w:val="•"/>
      <w:lvlJc w:val="left"/>
      <w:pPr>
        <w:ind w:left="7693" w:hanging="97"/>
      </w:pPr>
      <w:rPr>
        <w:rFonts w:hint="default"/>
      </w:rPr>
    </w:lvl>
    <w:lvl w:ilvl="5" w:tplc="B5B698C4">
      <w:start w:val="1"/>
      <w:numFmt w:val="bullet"/>
      <w:lvlText w:val="•"/>
      <w:lvlJc w:val="left"/>
      <w:pPr>
        <w:ind w:left="7951" w:hanging="97"/>
      </w:pPr>
      <w:rPr>
        <w:rFonts w:hint="default"/>
      </w:rPr>
    </w:lvl>
    <w:lvl w:ilvl="6" w:tplc="138A0A20">
      <w:start w:val="1"/>
      <w:numFmt w:val="bullet"/>
      <w:lvlText w:val="•"/>
      <w:lvlJc w:val="left"/>
      <w:pPr>
        <w:ind w:left="8208" w:hanging="97"/>
      </w:pPr>
      <w:rPr>
        <w:rFonts w:hint="default"/>
      </w:rPr>
    </w:lvl>
    <w:lvl w:ilvl="7" w:tplc="AD54E978">
      <w:start w:val="1"/>
      <w:numFmt w:val="bullet"/>
      <w:lvlText w:val="•"/>
      <w:lvlJc w:val="left"/>
      <w:pPr>
        <w:ind w:left="8466" w:hanging="97"/>
      </w:pPr>
      <w:rPr>
        <w:rFonts w:hint="default"/>
      </w:rPr>
    </w:lvl>
    <w:lvl w:ilvl="8" w:tplc="33C455D4">
      <w:start w:val="1"/>
      <w:numFmt w:val="bullet"/>
      <w:lvlText w:val="•"/>
      <w:lvlJc w:val="left"/>
      <w:pPr>
        <w:ind w:left="8724" w:hanging="97"/>
      </w:pPr>
      <w:rPr>
        <w:rFonts w:hint="default"/>
      </w:rPr>
    </w:lvl>
  </w:abstractNum>
  <w:abstractNum w:abstractNumId="12" w15:restartNumberingAfterBreak="0">
    <w:nsid w:val="3ABE5C68"/>
    <w:multiLevelType w:val="multilevel"/>
    <w:tmpl w:val="388EFA82"/>
    <w:lvl w:ilvl="0">
      <w:start w:val="1"/>
      <w:numFmt w:val="decimal"/>
      <w:lvlText w:val="%1"/>
      <w:lvlJc w:val="left"/>
      <w:pPr>
        <w:ind w:left="552" w:hanging="432"/>
      </w:pPr>
      <w:rPr>
        <w:rFonts w:ascii="Calibri" w:eastAsia="Calibri" w:hAnsi="Calibri" w:hint="default"/>
        <w:b/>
        <w:bCs/>
        <w:w w:val="99"/>
        <w:sz w:val="32"/>
        <w:szCs w:val="32"/>
      </w:rPr>
    </w:lvl>
    <w:lvl w:ilvl="1">
      <w:start w:val="1"/>
      <w:numFmt w:val="decimal"/>
      <w:lvlText w:val="%1.%2"/>
      <w:lvlJc w:val="left"/>
      <w:pPr>
        <w:ind w:left="220" w:hanging="576"/>
        <w:jc w:val="right"/>
      </w:pPr>
      <w:rPr>
        <w:rFonts w:ascii="Calibri" w:eastAsia="Calibri" w:hAnsi="Calibri" w:hint="default"/>
        <w:b/>
        <w:bCs/>
        <w:spacing w:val="-1"/>
        <w:sz w:val="28"/>
        <w:szCs w:val="28"/>
      </w:rPr>
    </w:lvl>
    <w:lvl w:ilvl="2">
      <w:start w:val="1"/>
      <w:numFmt w:val="bullet"/>
      <w:lvlText w:val=""/>
      <w:lvlJc w:val="left"/>
      <w:pPr>
        <w:ind w:left="527" w:hanging="360"/>
      </w:pPr>
      <w:rPr>
        <w:rFonts w:ascii="Symbol" w:eastAsia="Symbol" w:hAnsi="Symbol" w:hint="default"/>
        <w:sz w:val="24"/>
        <w:szCs w:val="24"/>
      </w:rPr>
    </w:lvl>
    <w:lvl w:ilvl="3">
      <w:start w:val="1"/>
      <w:numFmt w:val="bullet"/>
      <w:lvlText w:val=""/>
      <w:lvlJc w:val="left"/>
      <w:pPr>
        <w:ind w:left="644" w:hanging="360"/>
      </w:pPr>
      <w:rPr>
        <w:rFonts w:ascii="Symbol" w:eastAsia="Symbol" w:hAnsi="Symbol" w:hint="default"/>
        <w:sz w:val="24"/>
        <w:szCs w:val="24"/>
      </w:rPr>
    </w:lvl>
    <w:lvl w:ilvl="4">
      <w:start w:val="1"/>
      <w:numFmt w:val="bullet"/>
      <w:lvlText w:val="•"/>
      <w:lvlJc w:val="left"/>
      <w:pPr>
        <w:ind w:left="629" w:hanging="360"/>
      </w:pPr>
      <w:rPr>
        <w:rFonts w:hint="default"/>
      </w:rPr>
    </w:lvl>
    <w:lvl w:ilvl="5">
      <w:start w:val="1"/>
      <w:numFmt w:val="bullet"/>
      <w:lvlText w:val="•"/>
      <w:lvlJc w:val="left"/>
      <w:pPr>
        <w:ind w:left="676" w:hanging="360"/>
      </w:pPr>
      <w:rPr>
        <w:rFonts w:hint="default"/>
      </w:rPr>
    </w:lvl>
    <w:lvl w:ilvl="6">
      <w:start w:val="1"/>
      <w:numFmt w:val="bullet"/>
      <w:lvlText w:val="•"/>
      <w:lvlJc w:val="left"/>
      <w:pPr>
        <w:ind w:left="694" w:hanging="360"/>
      </w:pPr>
      <w:rPr>
        <w:rFonts w:hint="default"/>
      </w:rPr>
    </w:lvl>
    <w:lvl w:ilvl="7">
      <w:start w:val="1"/>
      <w:numFmt w:val="bullet"/>
      <w:lvlText w:val="•"/>
      <w:lvlJc w:val="left"/>
      <w:pPr>
        <w:ind w:left="696" w:hanging="360"/>
      </w:pPr>
      <w:rPr>
        <w:rFonts w:hint="default"/>
      </w:rPr>
    </w:lvl>
    <w:lvl w:ilvl="8">
      <w:start w:val="1"/>
      <w:numFmt w:val="bullet"/>
      <w:lvlText w:val="•"/>
      <w:lvlJc w:val="left"/>
      <w:pPr>
        <w:ind w:left="838" w:hanging="360"/>
      </w:pPr>
      <w:rPr>
        <w:rFonts w:hint="default"/>
      </w:rPr>
    </w:lvl>
  </w:abstractNum>
  <w:abstractNum w:abstractNumId="13" w15:restartNumberingAfterBreak="0">
    <w:nsid w:val="3DC56DD4"/>
    <w:multiLevelType w:val="hybridMultilevel"/>
    <w:tmpl w:val="381AAD0C"/>
    <w:lvl w:ilvl="0" w:tplc="493AAAEC">
      <w:start w:val="1"/>
      <w:numFmt w:val="bullet"/>
      <w:lvlText w:val="-"/>
      <w:lvlJc w:val="left"/>
      <w:pPr>
        <w:ind w:left="359" w:hanging="360"/>
      </w:pPr>
      <w:rPr>
        <w:rFonts w:ascii="Arial" w:eastAsia="Arial" w:hAnsi="Arial" w:hint="default"/>
        <w:sz w:val="22"/>
        <w:szCs w:val="22"/>
      </w:rPr>
    </w:lvl>
    <w:lvl w:ilvl="1" w:tplc="CFF6B37E">
      <w:start w:val="1"/>
      <w:numFmt w:val="bullet"/>
      <w:lvlText w:val=""/>
      <w:lvlJc w:val="left"/>
      <w:pPr>
        <w:ind w:left="719" w:hanging="360"/>
      </w:pPr>
      <w:rPr>
        <w:rFonts w:ascii="Wingdings" w:eastAsia="Wingdings" w:hAnsi="Wingdings" w:hint="default"/>
        <w:sz w:val="22"/>
        <w:szCs w:val="22"/>
      </w:rPr>
    </w:lvl>
    <w:lvl w:ilvl="2" w:tplc="5A722480">
      <w:start w:val="1"/>
      <w:numFmt w:val="bullet"/>
      <w:lvlText w:val="•"/>
      <w:lvlJc w:val="left"/>
      <w:pPr>
        <w:ind w:left="1596" w:hanging="360"/>
      </w:pPr>
      <w:rPr>
        <w:rFonts w:hint="default"/>
      </w:rPr>
    </w:lvl>
    <w:lvl w:ilvl="3" w:tplc="83D87018">
      <w:start w:val="1"/>
      <w:numFmt w:val="bullet"/>
      <w:lvlText w:val="•"/>
      <w:lvlJc w:val="left"/>
      <w:pPr>
        <w:ind w:left="2472" w:hanging="360"/>
      </w:pPr>
      <w:rPr>
        <w:rFonts w:hint="default"/>
      </w:rPr>
    </w:lvl>
    <w:lvl w:ilvl="4" w:tplc="DDDE4B84">
      <w:start w:val="1"/>
      <w:numFmt w:val="bullet"/>
      <w:lvlText w:val="•"/>
      <w:lvlJc w:val="left"/>
      <w:pPr>
        <w:ind w:left="3348" w:hanging="360"/>
      </w:pPr>
      <w:rPr>
        <w:rFonts w:hint="default"/>
      </w:rPr>
    </w:lvl>
    <w:lvl w:ilvl="5" w:tplc="74A67528">
      <w:start w:val="1"/>
      <w:numFmt w:val="bullet"/>
      <w:lvlText w:val="•"/>
      <w:lvlJc w:val="left"/>
      <w:pPr>
        <w:ind w:left="4225" w:hanging="360"/>
      </w:pPr>
      <w:rPr>
        <w:rFonts w:hint="default"/>
      </w:rPr>
    </w:lvl>
    <w:lvl w:ilvl="6" w:tplc="1DDA9CD2">
      <w:start w:val="1"/>
      <w:numFmt w:val="bullet"/>
      <w:lvlText w:val="•"/>
      <w:lvlJc w:val="left"/>
      <w:pPr>
        <w:ind w:left="5101" w:hanging="360"/>
      </w:pPr>
      <w:rPr>
        <w:rFonts w:hint="default"/>
      </w:rPr>
    </w:lvl>
    <w:lvl w:ilvl="7" w:tplc="8FFE87A6">
      <w:start w:val="1"/>
      <w:numFmt w:val="bullet"/>
      <w:lvlText w:val="•"/>
      <w:lvlJc w:val="left"/>
      <w:pPr>
        <w:ind w:left="5977" w:hanging="360"/>
      </w:pPr>
      <w:rPr>
        <w:rFonts w:hint="default"/>
      </w:rPr>
    </w:lvl>
    <w:lvl w:ilvl="8" w:tplc="4B743A94">
      <w:start w:val="1"/>
      <w:numFmt w:val="bullet"/>
      <w:lvlText w:val="•"/>
      <w:lvlJc w:val="left"/>
      <w:pPr>
        <w:ind w:left="6853" w:hanging="360"/>
      </w:pPr>
      <w:rPr>
        <w:rFonts w:hint="default"/>
      </w:rPr>
    </w:lvl>
  </w:abstractNum>
  <w:abstractNum w:abstractNumId="14" w15:restartNumberingAfterBreak="0">
    <w:nsid w:val="40E30EBA"/>
    <w:multiLevelType w:val="hybridMultilevel"/>
    <w:tmpl w:val="72F4756C"/>
    <w:lvl w:ilvl="0" w:tplc="33A6E25A">
      <w:start w:val="1"/>
      <w:numFmt w:val="bullet"/>
      <w:lvlText w:val="-"/>
      <w:lvlJc w:val="left"/>
      <w:pPr>
        <w:ind w:left="359" w:hanging="360"/>
      </w:pPr>
      <w:rPr>
        <w:rFonts w:ascii="Arial" w:eastAsia="Arial" w:hAnsi="Arial" w:hint="default"/>
        <w:sz w:val="22"/>
        <w:szCs w:val="22"/>
      </w:rPr>
    </w:lvl>
    <w:lvl w:ilvl="1" w:tplc="3EE2F17A">
      <w:start w:val="1"/>
      <w:numFmt w:val="bullet"/>
      <w:lvlText w:val="•"/>
      <w:lvlJc w:val="left"/>
      <w:pPr>
        <w:ind w:left="1178" w:hanging="360"/>
      </w:pPr>
      <w:rPr>
        <w:rFonts w:hint="default"/>
      </w:rPr>
    </w:lvl>
    <w:lvl w:ilvl="2" w:tplc="8384FA20">
      <w:start w:val="1"/>
      <w:numFmt w:val="bullet"/>
      <w:lvlText w:val="•"/>
      <w:lvlJc w:val="left"/>
      <w:pPr>
        <w:ind w:left="1996" w:hanging="360"/>
      </w:pPr>
      <w:rPr>
        <w:rFonts w:hint="default"/>
      </w:rPr>
    </w:lvl>
    <w:lvl w:ilvl="3" w:tplc="4418C69A">
      <w:start w:val="1"/>
      <w:numFmt w:val="bullet"/>
      <w:lvlText w:val="•"/>
      <w:lvlJc w:val="left"/>
      <w:pPr>
        <w:ind w:left="2814" w:hanging="360"/>
      </w:pPr>
      <w:rPr>
        <w:rFonts w:hint="default"/>
      </w:rPr>
    </w:lvl>
    <w:lvl w:ilvl="4" w:tplc="BC38522A">
      <w:start w:val="1"/>
      <w:numFmt w:val="bullet"/>
      <w:lvlText w:val="•"/>
      <w:lvlJc w:val="left"/>
      <w:pPr>
        <w:ind w:left="3633" w:hanging="360"/>
      </w:pPr>
      <w:rPr>
        <w:rFonts w:hint="default"/>
      </w:rPr>
    </w:lvl>
    <w:lvl w:ilvl="5" w:tplc="92624EF6">
      <w:start w:val="1"/>
      <w:numFmt w:val="bullet"/>
      <w:lvlText w:val="•"/>
      <w:lvlJc w:val="left"/>
      <w:pPr>
        <w:ind w:left="4451" w:hanging="360"/>
      </w:pPr>
      <w:rPr>
        <w:rFonts w:hint="default"/>
      </w:rPr>
    </w:lvl>
    <w:lvl w:ilvl="6" w:tplc="8222D4F0">
      <w:start w:val="1"/>
      <w:numFmt w:val="bullet"/>
      <w:lvlText w:val="•"/>
      <w:lvlJc w:val="left"/>
      <w:pPr>
        <w:ind w:left="5269" w:hanging="360"/>
      </w:pPr>
      <w:rPr>
        <w:rFonts w:hint="default"/>
      </w:rPr>
    </w:lvl>
    <w:lvl w:ilvl="7" w:tplc="A83217DA">
      <w:start w:val="1"/>
      <w:numFmt w:val="bullet"/>
      <w:lvlText w:val="•"/>
      <w:lvlJc w:val="left"/>
      <w:pPr>
        <w:ind w:left="6088" w:hanging="360"/>
      </w:pPr>
      <w:rPr>
        <w:rFonts w:hint="default"/>
      </w:rPr>
    </w:lvl>
    <w:lvl w:ilvl="8" w:tplc="51B03F88">
      <w:start w:val="1"/>
      <w:numFmt w:val="bullet"/>
      <w:lvlText w:val="•"/>
      <w:lvlJc w:val="left"/>
      <w:pPr>
        <w:ind w:left="6906" w:hanging="360"/>
      </w:pPr>
      <w:rPr>
        <w:rFonts w:hint="default"/>
      </w:rPr>
    </w:lvl>
  </w:abstractNum>
  <w:abstractNum w:abstractNumId="15" w15:restartNumberingAfterBreak="0">
    <w:nsid w:val="413D704C"/>
    <w:multiLevelType w:val="hybridMultilevel"/>
    <w:tmpl w:val="AF34F9DA"/>
    <w:lvl w:ilvl="0" w:tplc="E9305BAC">
      <w:start w:val="1"/>
      <w:numFmt w:val="bullet"/>
      <w:lvlText w:val=""/>
      <w:lvlJc w:val="left"/>
      <w:pPr>
        <w:ind w:left="504" w:hanging="360"/>
      </w:pPr>
      <w:rPr>
        <w:rFonts w:ascii="Symbol" w:eastAsia="Symbol" w:hAnsi="Symbol" w:hint="default"/>
        <w:sz w:val="22"/>
        <w:szCs w:val="22"/>
      </w:rPr>
    </w:lvl>
    <w:lvl w:ilvl="1" w:tplc="354C2CAA">
      <w:start w:val="1"/>
      <w:numFmt w:val="bullet"/>
      <w:lvlText w:val="•"/>
      <w:lvlJc w:val="left"/>
      <w:pPr>
        <w:ind w:left="1353" w:hanging="360"/>
      </w:pPr>
      <w:rPr>
        <w:rFonts w:hint="default"/>
      </w:rPr>
    </w:lvl>
    <w:lvl w:ilvl="2" w:tplc="B9B0037E">
      <w:start w:val="1"/>
      <w:numFmt w:val="bullet"/>
      <w:lvlText w:val="•"/>
      <w:lvlJc w:val="left"/>
      <w:pPr>
        <w:ind w:left="2203" w:hanging="360"/>
      </w:pPr>
      <w:rPr>
        <w:rFonts w:hint="default"/>
      </w:rPr>
    </w:lvl>
    <w:lvl w:ilvl="3" w:tplc="5B7615EE">
      <w:start w:val="1"/>
      <w:numFmt w:val="bullet"/>
      <w:lvlText w:val="•"/>
      <w:lvlJc w:val="left"/>
      <w:pPr>
        <w:ind w:left="3052" w:hanging="360"/>
      </w:pPr>
      <w:rPr>
        <w:rFonts w:hint="default"/>
      </w:rPr>
    </w:lvl>
    <w:lvl w:ilvl="4" w:tplc="AF18CD5A">
      <w:start w:val="1"/>
      <w:numFmt w:val="bullet"/>
      <w:lvlText w:val="•"/>
      <w:lvlJc w:val="left"/>
      <w:pPr>
        <w:ind w:left="3902" w:hanging="360"/>
      </w:pPr>
      <w:rPr>
        <w:rFonts w:hint="default"/>
      </w:rPr>
    </w:lvl>
    <w:lvl w:ilvl="5" w:tplc="9C6C5C7E">
      <w:start w:val="1"/>
      <w:numFmt w:val="bullet"/>
      <w:lvlText w:val="•"/>
      <w:lvlJc w:val="left"/>
      <w:pPr>
        <w:ind w:left="4751" w:hanging="360"/>
      </w:pPr>
      <w:rPr>
        <w:rFonts w:hint="default"/>
      </w:rPr>
    </w:lvl>
    <w:lvl w:ilvl="6" w:tplc="D828F10C">
      <w:start w:val="1"/>
      <w:numFmt w:val="bullet"/>
      <w:lvlText w:val="•"/>
      <w:lvlJc w:val="left"/>
      <w:pPr>
        <w:ind w:left="5601" w:hanging="360"/>
      </w:pPr>
      <w:rPr>
        <w:rFonts w:hint="default"/>
      </w:rPr>
    </w:lvl>
    <w:lvl w:ilvl="7" w:tplc="22161774">
      <w:start w:val="1"/>
      <w:numFmt w:val="bullet"/>
      <w:lvlText w:val="•"/>
      <w:lvlJc w:val="left"/>
      <w:pPr>
        <w:ind w:left="6450" w:hanging="360"/>
      </w:pPr>
      <w:rPr>
        <w:rFonts w:hint="default"/>
      </w:rPr>
    </w:lvl>
    <w:lvl w:ilvl="8" w:tplc="0A142310">
      <w:start w:val="1"/>
      <w:numFmt w:val="bullet"/>
      <w:lvlText w:val="•"/>
      <w:lvlJc w:val="left"/>
      <w:pPr>
        <w:ind w:left="7300" w:hanging="360"/>
      </w:pPr>
      <w:rPr>
        <w:rFonts w:hint="default"/>
      </w:rPr>
    </w:lvl>
  </w:abstractNum>
  <w:abstractNum w:abstractNumId="16" w15:restartNumberingAfterBreak="0">
    <w:nsid w:val="49DA6425"/>
    <w:multiLevelType w:val="hybridMultilevel"/>
    <w:tmpl w:val="7B840A72"/>
    <w:lvl w:ilvl="0" w:tplc="F6EA29B4">
      <w:start w:val="1"/>
      <w:numFmt w:val="bullet"/>
      <w:lvlText w:val="-"/>
      <w:lvlJc w:val="left"/>
      <w:pPr>
        <w:ind w:left="359" w:hanging="360"/>
      </w:pPr>
      <w:rPr>
        <w:rFonts w:ascii="Arial" w:eastAsia="Arial" w:hAnsi="Arial" w:hint="default"/>
        <w:sz w:val="22"/>
        <w:szCs w:val="22"/>
      </w:rPr>
    </w:lvl>
    <w:lvl w:ilvl="1" w:tplc="2844FE3A">
      <w:start w:val="1"/>
      <w:numFmt w:val="bullet"/>
      <w:lvlText w:val="•"/>
      <w:lvlJc w:val="left"/>
      <w:pPr>
        <w:ind w:left="1098" w:hanging="360"/>
      </w:pPr>
      <w:rPr>
        <w:rFonts w:hint="default"/>
      </w:rPr>
    </w:lvl>
    <w:lvl w:ilvl="2" w:tplc="8EBA1942">
      <w:start w:val="1"/>
      <w:numFmt w:val="bullet"/>
      <w:lvlText w:val="•"/>
      <w:lvlJc w:val="left"/>
      <w:pPr>
        <w:ind w:left="1837" w:hanging="360"/>
      </w:pPr>
      <w:rPr>
        <w:rFonts w:hint="default"/>
      </w:rPr>
    </w:lvl>
    <w:lvl w:ilvl="3" w:tplc="73B0BF78">
      <w:start w:val="1"/>
      <w:numFmt w:val="bullet"/>
      <w:lvlText w:val="•"/>
      <w:lvlJc w:val="left"/>
      <w:pPr>
        <w:ind w:left="2575" w:hanging="360"/>
      </w:pPr>
      <w:rPr>
        <w:rFonts w:hint="default"/>
      </w:rPr>
    </w:lvl>
    <w:lvl w:ilvl="4" w:tplc="E7C05482">
      <w:start w:val="1"/>
      <w:numFmt w:val="bullet"/>
      <w:lvlText w:val="•"/>
      <w:lvlJc w:val="left"/>
      <w:pPr>
        <w:ind w:left="3314" w:hanging="360"/>
      </w:pPr>
      <w:rPr>
        <w:rFonts w:hint="default"/>
      </w:rPr>
    </w:lvl>
    <w:lvl w:ilvl="5" w:tplc="92868A34">
      <w:start w:val="1"/>
      <w:numFmt w:val="bullet"/>
      <w:lvlText w:val="•"/>
      <w:lvlJc w:val="left"/>
      <w:pPr>
        <w:ind w:left="4052" w:hanging="360"/>
      </w:pPr>
      <w:rPr>
        <w:rFonts w:hint="default"/>
      </w:rPr>
    </w:lvl>
    <w:lvl w:ilvl="6" w:tplc="5D842BF6">
      <w:start w:val="1"/>
      <w:numFmt w:val="bullet"/>
      <w:lvlText w:val="•"/>
      <w:lvlJc w:val="left"/>
      <w:pPr>
        <w:ind w:left="4791" w:hanging="360"/>
      </w:pPr>
      <w:rPr>
        <w:rFonts w:hint="default"/>
      </w:rPr>
    </w:lvl>
    <w:lvl w:ilvl="7" w:tplc="D21284D4">
      <w:start w:val="1"/>
      <w:numFmt w:val="bullet"/>
      <w:lvlText w:val="•"/>
      <w:lvlJc w:val="left"/>
      <w:pPr>
        <w:ind w:left="5530" w:hanging="360"/>
      </w:pPr>
      <w:rPr>
        <w:rFonts w:hint="default"/>
      </w:rPr>
    </w:lvl>
    <w:lvl w:ilvl="8" w:tplc="57ACCA9A">
      <w:start w:val="1"/>
      <w:numFmt w:val="bullet"/>
      <w:lvlText w:val="•"/>
      <w:lvlJc w:val="left"/>
      <w:pPr>
        <w:ind w:left="6268" w:hanging="360"/>
      </w:pPr>
      <w:rPr>
        <w:rFonts w:hint="default"/>
      </w:rPr>
    </w:lvl>
  </w:abstractNum>
  <w:abstractNum w:abstractNumId="17" w15:restartNumberingAfterBreak="0">
    <w:nsid w:val="4C9A791B"/>
    <w:multiLevelType w:val="hybridMultilevel"/>
    <w:tmpl w:val="B8369226"/>
    <w:lvl w:ilvl="0" w:tplc="50309672">
      <w:start w:val="1"/>
      <w:numFmt w:val="bullet"/>
      <w:lvlText w:val=""/>
      <w:lvlJc w:val="left"/>
      <w:pPr>
        <w:ind w:left="547" w:hanging="360"/>
      </w:pPr>
      <w:rPr>
        <w:rFonts w:ascii="Symbol" w:eastAsia="Symbol" w:hAnsi="Symbol" w:hint="default"/>
        <w:sz w:val="24"/>
        <w:szCs w:val="24"/>
      </w:rPr>
    </w:lvl>
    <w:lvl w:ilvl="1" w:tplc="27F64DDE">
      <w:start w:val="1"/>
      <w:numFmt w:val="bullet"/>
      <w:lvlText w:val="•"/>
      <w:lvlJc w:val="left"/>
      <w:pPr>
        <w:ind w:left="1416" w:hanging="360"/>
      </w:pPr>
      <w:rPr>
        <w:rFonts w:hint="default"/>
      </w:rPr>
    </w:lvl>
    <w:lvl w:ilvl="2" w:tplc="C6E84C86">
      <w:start w:val="1"/>
      <w:numFmt w:val="bullet"/>
      <w:lvlText w:val="•"/>
      <w:lvlJc w:val="left"/>
      <w:pPr>
        <w:ind w:left="2286" w:hanging="360"/>
      </w:pPr>
      <w:rPr>
        <w:rFonts w:hint="default"/>
      </w:rPr>
    </w:lvl>
    <w:lvl w:ilvl="3" w:tplc="32CE5960">
      <w:start w:val="1"/>
      <w:numFmt w:val="bullet"/>
      <w:lvlText w:val="•"/>
      <w:lvlJc w:val="left"/>
      <w:pPr>
        <w:ind w:left="3155" w:hanging="360"/>
      </w:pPr>
      <w:rPr>
        <w:rFonts w:hint="default"/>
      </w:rPr>
    </w:lvl>
    <w:lvl w:ilvl="4" w:tplc="4C8AB744">
      <w:start w:val="1"/>
      <w:numFmt w:val="bullet"/>
      <w:lvlText w:val="•"/>
      <w:lvlJc w:val="left"/>
      <w:pPr>
        <w:ind w:left="4024" w:hanging="360"/>
      </w:pPr>
      <w:rPr>
        <w:rFonts w:hint="default"/>
      </w:rPr>
    </w:lvl>
    <w:lvl w:ilvl="5" w:tplc="58E82DA6">
      <w:start w:val="1"/>
      <w:numFmt w:val="bullet"/>
      <w:lvlText w:val="•"/>
      <w:lvlJc w:val="left"/>
      <w:pPr>
        <w:ind w:left="4893" w:hanging="360"/>
      </w:pPr>
      <w:rPr>
        <w:rFonts w:hint="default"/>
      </w:rPr>
    </w:lvl>
    <w:lvl w:ilvl="6" w:tplc="B1129466">
      <w:start w:val="1"/>
      <w:numFmt w:val="bullet"/>
      <w:lvlText w:val="•"/>
      <w:lvlJc w:val="left"/>
      <w:pPr>
        <w:ind w:left="5763" w:hanging="360"/>
      </w:pPr>
      <w:rPr>
        <w:rFonts w:hint="default"/>
      </w:rPr>
    </w:lvl>
    <w:lvl w:ilvl="7" w:tplc="72605F4C">
      <w:start w:val="1"/>
      <w:numFmt w:val="bullet"/>
      <w:lvlText w:val="•"/>
      <w:lvlJc w:val="left"/>
      <w:pPr>
        <w:ind w:left="6632" w:hanging="360"/>
      </w:pPr>
      <w:rPr>
        <w:rFonts w:hint="default"/>
      </w:rPr>
    </w:lvl>
    <w:lvl w:ilvl="8" w:tplc="42B6A9B8">
      <w:start w:val="1"/>
      <w:numFmt w:val="bullet"/>
      <w:lvlText w:val="•"/>
      <w:lvlJc w:val="left"/>
      <w:pPr>
        <w:ind w:left="7501" w:hanging="360"/>
      </w:pPr>
      <w:rPr>
        <w:rFonts w:hint="default"/>
      </w:rPr>
    </w:lvl>
  </w:abstractNum>
  <w:abstractNum w:abstractNumId="18" w15:restartNumberingAfterBreak="0">
    <w:nsid w:val="50DA71E9"/>
    <w:multiLevelType w:val="hybridMultilevel"/>
    <w:tmpl w:val="7696E7C4"/>
    <w:lvl w:ilvl="0" w:tplc="E6EED1CE">
      <w:start w:val="1"/>
      <w:numFmt w:val="bullet"/>
      <w:lvlText w:val="o"/>
      <w:lvlJc w:val="left"/>
      <w:pPr>
        <w:ind w:left="970" w:hanging="360"/>
      </w:pPr>
      <w:rPr>
        <w:rFonts w:ascii="Courier New" w:eastAsia="Courier New" w:hAnsi="Courier New" w:hint="default"/>
        <w:sz w:val="24"/>
        <w:szCs w:val="24"/>
      </w:rPr>
    </w:lvl>
    <w:lvl w:ilvl="1" w:tplc="41B8A7E6">
      <w:start w:val="1"/>
      <w:numFmt w:val="bullet"/>
      <w:lvlText w:val="•"/>
      <w:lvlJc w:val="left"/>
      <w:pPr>
        <w:ind w:left="1797" w:hanging="360"/>
      </w:pPr>
      <w:rPr>
        <w:rFonts w:hint="default"/>
      </w:rPr>
    </w:lvl>
    <w:lvl w:ilvl="2" w:tplc="D3A85FEE">
      <w:start w:val="1"/>
      <w:numFmt w:val="bullet"/>
      <w:lvlText w:val="•"/>
      <w:lvlJc w:val="left"/>
      <w:pPr>
        <w:ind w:left="2624" w:hanging="360"/>
      </w:pPr>
      <w:rPr>
        <w:rFonts w:hint="default"/>
      </w:rPr>
    </w:lvl>
    <w:lvl w:ilvl="3" w:tplc="A5BA5C80">
      <w:start w:val="1"/>
      <w:numFmt w:val="bullet"/>
      <w:lvlText w:val="•"/>
      <w:lvlJc w:val="left"/>
      <w:pPr>
        <w:ind w:left="3451" w:hanging="360"/>
      </w:pPr>
      <w:rPr>
        <w:rFonts w:hint="default"/>
      </w:rPr>
    </w:lvl>
    <w:lvl w:ilvl="4" w:tplc="2ECA4B24">
      <w:start w:val="1"/>
      <w:numFmt w:val="bullet"/>
      <w:lvlText w:val="•"/>
      <w:lvlJc w:val="left"/>
      <w:pPr>
        <w:ind w:left="4278" w:hanging="360"/>
      </w:pPr>
      <w:rPr>
        <w:rFonts w:hint="default"/>
      </w:rPr>
    </w:lvl>
    <w:lvl w:ilvl="5" w:tplc="352C4A54">
      <w:start w:val="1"/>
      <w:numFmt w:val="bullet"/>
      <w:lvlText w:val="•"/>
      <w:lvlJc w:val="left"/>
      <w:pPr>
        <w:ind w:left="5105" w:hanging="360"/>
      </w:pPr>
      <w:rPr>
        <w:rFonts w:hint="default"/>
      </w:rPr>
    </w:lvl>
    <w:lvl w:ilvl="6" w:tplc="03FAF192">
      <w:start w:val="1"/>
      <w:numFmt w:val="bullet"/>
      <w:lvlText w:val="•"/>
      <w:lvlJc w:val="left"/>
      <w:pPr>
        <w:ind w:left="5932" w:hanging="360"/>
      </w:pPr>
      <w:rPr>
        <w:rFonts w:hint="default"/>
      </w:rPr>
    </w:lvl>
    <w:lvl w:ilvl="7" w:tplc="1FBCDC64">
      <w:start w:val="1"/>
      <w:numFmt w:val="bullet"/>
      <w:lvlText w:val="•"/>
      <w:lvlJc w:val="left"/>
      <w:pPr>
        <w:ind w:left="6759" w:hanging="360"/>
      </w:pPr>
      <w:rPr>
        <w:rFonts w:hint="default"/>
      </w:rPr>
    </w:lvl>
    <w:lvl w:ilvl="8" w:tplc="7BFE66B0">
      <w:start w:val="1"/>
      <w:numFmt w:val="bullet"/>
      <w:lvlText w:val="•"/>
      <w:lvlJc w:val="left"/>
      <w:pPr>
        <w:ind w:left="7586" w:hanging="360"/>
      </w:pPr>
      <w:rPr>
        <w:rFonts w:hint="default"/>
      </w:rPr>
    </w:lvl>
  </w:abstractNum>
  <w:abstractNum w:abstractNumId="19" w15:restartNumberingAfterBreak="0">
    <w:nsid w:val="545639A0"/>
    <w:multiLevelType w:val="hybridMultilevel"/>
    <w:tmpl w:val="E82096CC"/>
    <w:lvl w:ilvl="0" w:tplc="788E7866">
      <w:start w:val="1"/>
      <w:numFmt w:val="bullet"/>
      <w:lvlText w:val="-"/>
      <w:lvlJc w:val="left"/>
      <w:pPr>
        <w:ind w:left="359" w:hanging="360"/>
      </w:pPr>
      <w:rPr>
        <w:rFonts w:ascii="Arial" w:eastAsia="Arial" w:hAnsi="Arial" w:hint="default"/>
        <w:sz w:val="22"/>
        <w:szCs w:val="22"/>
      </w:rPr>
    </w:lvl>
    <w:lvl w:ilvl="1" w:tplc="7D106464">
      <w:start w:val="1"/>
      <w:numFmt w:val="bullet"/>
      <w:lvlText w:val=""/>
      <w:lvlJc w:val="left"/>
      <w:pPr>
        <w:ind w:left="719" w:hanging="360"/>
      </w:pPr>
      <w:rPr>
        <w:rFonts w:ascii="Wingdings" w:eastAsia="Wingdings" w:hAnsi="Wingdings" w:hint="default"/>
        <w:sz w:val="22"/>
        <w:szCs w:val="22"/>
      </w:rPr>
    </w:lvl>
    <w:lvl w:ilvl="2" w:tplc="B316C9E0">
      <w:start w:val="1"/>
      <w:numFmt w:val="bullet"/>
      <w:lvlText w:val="•"/>
      <w:lvlJc w:val="left"/>
      <w:pPr>
        <w:ind w:left="1596" w:hanging="360"/>
      </w:pPr>
      <w:rPr>
        <w:rFonts w:hint="default"/>
      </w:rPr>
    </w:lvl>
    <w:lvl w:ilvl="3" w:tplc="221C174C">
      <w:start w:val="1"/>
      <w:numFmt w:val="bullet"/>
      <w:lvlText w:val="•"/>
      <w:lvlJc w:val="left"/>
      <w:pPr>
        <w:ind w:left="2472" w:hanging="360"/>
      </w:pPr>
      <w:rPr>
        <w:rFonts w:hint="default"/>
      </w:rPr>
    </w:lvl>
    <w:lvl w:ilvl="4" w:tplc="2018A8BA">
      <w:start w:val="1"/>
      <w:numFmt w:val="bullet"/>
      <w:lvlText w:val="•"/>
      <w:lvlJc w:val="left"/>
      <w:pPr>
        <w:ind w:left="3348" w:hanging="360"/>
      </w:pPr>
      <w:rPr>
        <w:rFonts w:hint="default"/>
      </w:rPr>
    </w:lvl>
    <w:lvl w:ilvl="5" w:tplc="72B02640">
      <w:start w:val="1"/>
      <w:numFmt w:val="bullet"/>
      <w:lvlText w:val="•"/>
      <w:lvlJc w:val="left"/>
      <w:pPr>
        <w:ind w:left="4225" w:hanging="360"/>
      </w:pPr>
      <w:rPr>
        <w:rFonts w:hint="default"/>
      </w:rPr>
    </w:lvl>
    <w:lvl w:ilvl="6" w:tplc="BF92F356">
      <w:start w:val="1"/>
      <w:numFmt w:val="bullet"/>
      <w:lvlText w:val="•"/>
      <w:lvlJc w:val="left"/>
      <w:pPr>
        <w:ind w:left="5101" w:hanging="360"/>
      </w:pPr>
      <w:rPr>
        <w:rFonts w:hint="default"/>
      </w:rPr>
    </w:lvl>
    <w:lvl w:ilvl="7" w:tplc="F3CC735A">
      <w:start w:val="1"/>
      <w:numFmt w:val="bullet"/>
      <w:lvlText w:val="•"/>
      <w:lvlJc w:val="left"/>
      <w:pPr>
        <w:ind w:left="5977" w:hanging="360"/>
      </w:pPr>
      <w:rPr>
        <w:rFonts w:hint="default"/>
      </w:rPr>
    </w:lvl>
    <w:lvl w:ilvl="8" w:tplc="E718211C">
      <w:start w:val="1"/>
      <w:numFmt w:val="bullet"/>
      <w:lvlText w:val="•"/>
      <w:lvlJc w:val="left"/>
      <w:pPr>
        <w:ind w:left="6853" w:hanging="360"/>
      </w:pPr>
      <w:rPr>
        <w:rFonts w:hint="default"/>
      </w:rPr>
    </w:lvl>
  </w:abstractNum>
  <w:abstractNum w:abstractNumId="20" w15:restartNumberingAfterBreak="0">
    <w:nsid w:val="5A2D2D97"/>
    <w:multiLevelType w:val="hybridMultilevel"/>
    <w:tmpl w:val="73144574"/>
    <w:lvl w:ilvl="0" w:tplc="C2E8F8A8">
      <w:start w:val="1"/>
      <w:numFmt w:val="bullet"/>
      <w:lvlText w:val="-"/>
      <w:lvlJc w:val="left"/>
      <w:pPr>
        <w:ind w:left="107" w:hanging="99"/>
      </w:pPr>
      <w:rPr>
        <w:rFonts w:ascii="Verdana" w:eastAsia="Verdana" w:hAnsi="Verdana" w:hint="default"/>
        <w:b/>
        <w:bCs/>
        <w:color w:val="4D4D4D"/>
        <w:w w:val="99"/>
        <w:sz w:val="12"/>
        <w:szCs w:val="12"/>
      </w:rPr>
    </w:lvl>
    <w:lvl w:ilvl="1" w:tplc="DA7451C8">
      <w:start w:val="1"/>
      <w:numFmt w:val="bullet"/>
      <w:lvlText w:val="•"/>
      <w:lvlJc w:val="left"/>
      <w:pPr>
        <w:ind w:left="320" w:hanging="99"/>
      </w:pPr>
      <w:rPr>
        <w:rFonts w:hint="default"/>
      </w:rPr>
    </w:lvl>
    <w:lvl w:ilvl="2" w:tplc="E444A936">
      <w:start w:val="1"/>
      <w:numFmt w:val="bullet"/>
      <w:lvlText w:val="•"/>
      <w:lvlJc w:val="left"/>
      <w:pPr>
        <w:ind w:left="534" w:hanging="99"/>
      </w:pPr>
      <w:rPr>
        <w:rFonts w:hint="default"/>
      </w:rPr>
    </w:lvl>
    <w:lvl w:ilvl="3" w:tplc="1F66D76A">
      <w:start w:val="1"/>
      <w:numFmt w:val="bullet"/>
      <w:lvlText w:val="•"/>
      <w:lvlJc w:val="left"/>
      <w:pPr>
        <w:ind w:left="747" w:hanging="99"/>
      </w:pPr>
      <w:rPr>
        <w:rFonts w:hint="default"/>
      </w:rPr>
    </w:lvl>
    <w:lvl w:ilvl="4" w:tplc="BEBE359A">
      <w:start w:val="1"/>
      <w:numFmt w:val="bullet"/>
      <w:lvlText w:val="•"/>
      <w:lvlJc w:val="left"/>
      <w:pPr>
        <w:ind w:left="960" w:hanging="99"/>
      </w:pPr>
      <w:rPr>
        <w:rFonts w:hint="default"/>
      </w:rPr>
    </w:lvl>
    <w:lvl w:ilvl="5" w:tplc="9C1A398E">
      <w:start w:val="1"/>
      <w:numFmt w:val="bullet"/>
      <w:lvlText w:val="•"/>
      <w:lvlJc w:val="left"/>
      <w:pPr>
        <w:ind w:left="1174" w:hanging="99"/>
      </w:pPr>
      <w:rPr>
        <w:rFonts w:hint="default"/>
      </w:rPr>
    </w:lvl>
    <w:lvl w:ilvl="6" w:tplc="852ED01C">
      <w:start w:val="1"/>
      <w:numFmt w:val="bullet"/>
      <w:lvlText w:val="•"/>
      <w:lvlJc w:val="left"/>
      <w:pPr>
        <w:ind w:left="1387" w:hanging="99"/>
      </w:pPr>
      <w:rPr>
        <w:rFonts w:hint="default"/>
      </w:rPr>
    </w:lvl>
    <w:lvl w:ilvl="7" w:tplc="541AE9E6">
      <w:start w:val="1"/>
      <w:numFmt w:val="bullet"/>
      <w:lvlText w:val="•"/>
      <w:lvlJc w:val="left"/>
      <w:pPr>
        <w:ind w:left="1600" w:hanging="99"/>
      </w:pPr>
      <w:rPr>
        <w:rFonts w:hint="default"/>
      </w:rPr>
    </w:lvl>
    <w:lvl w:ilvl="8" w:tplc="9CC832D2">
      <w:start w:val="1"/>
      <w:numFmt w:val="bullet"/>
      <w:lvlText w:val="•"/>
      <w:lvlJc w:val="left"/>
      <w:pPr>
        <w:ind w:left="1814" w:hanging="99"/>
      </w:pPr>
      <w:rPr>
        <w:rFonts w:hint="default"/>
      </w:rPr>
    </w:lvl>
  </w:abstractNum>
  <w:abstractNum w:abstractNumId="21" w15:restartNumberingAfterBreak="0">
    <w:nsid w:val="5A570D37"/>
    <w:multiLevelType w:val="hybridMultilevel"/>
    <w:tmpl w:val="5A5A84A2"/>
    <w:lvl w:ilvl="0" w:tplc="9D76355E">
      <w:start w:val="1"/>
      <w:numFmt w:val="bullet"/>
      <w:lvlText w:val=""/>
      <w:lvlJc w:val="left"/>
      <w:pPr>
        <w:ind w:left="840" w:hanging="360"/>
      </w:pPr>
      <w:rPr>
        <w:rFonts w:ascii="Wingdings" w:eastAsia="Wingdings" w:hAnsi="Wingdings" w:hint="default"/>
        <w:sz w:val="24"/>
        <w:szCs w:val="24"/>
      </w:rPr>
    </w:lvl>
    <w:lvl w:ilvl="1" w:tplc="AAE24F08">
      <w:start w:val="1"/>
      <w:numFmt w:val="bullet"/>
      <w:lvlText w:val="•"/>
      <w:lvlJc w:val="left"/>
      <w:pPr>
        <w:ind w:left="1680" w:hanging="360"/>
      </w:pPr>
      <w:rPr>
        <w:rFonts w:hint="default"/>
      </w:rPr>
    </w:lvl>
    <w:lvl w:ilvl="2" w:tplc="348433FA">
      <w:start w:val="1"/>
      <w:numFmt w:val="bullet"/>
      <w:lvlText w:val="•"/>
      <w:lvlJc w:val="left"/>
      <w:pPr>
        <w:ind w:left="2520" w:hanging="360"/>
      </w:pPr>
      <w:rPr>
        <w:rFonts w:hint="default"/>
      </w:rPr>
    </w:lvl>
    <w:lvl w:ilvl="3" w:tplc="8FCCF572">
      <w:start w:val="1"/>
      <w:numFmt w:val="bullet"/>
      <w:lvlText w:val="•"/>
      <w:lvlJc w:val="left"/>
      <w:pPr>
        <w:ind w:left="3360" w:hanging="360"/>
      </w:pPr>
      <w:rPr>
        <w:rFonts w:hint="default"/>
      </w:rPr>
    </w:lvl>
    <w:lvl w:ilvl="4" w:tplc="AA54C30A">
      <w:start w:val="1"/>
      <w:numFmt w:val="bullet"/>
      <w:lvlText w:val="•"/>
      <w:lvlJc w:val="left"/>
      <w:pPr>
        <w:ind w:left="4200" w:hanging="360"/>
      </w:pPr>
      <w:rPr>
        <w:rFonts w:hint="default"/>
      </w:rPr>
    </w:lvl>
    <w:lvl w:ilvl="5" w:tplc="DDCC9FF2">
      <w:start w:val="1"/>
      <w:numFmt w:val="bullet"/>
      <w:lvlText w:val="•"/>
      <w:lvlJc w:val="left"/>
      <w:pPr>
        <w:ind w:left="5040" w:hanging="360"/>
      </w:pPr>
      <w:rPr>
        <w:rFonts w:hint="default"/>
      </w:rPr>
    </w:lvl>
    <w:lvl w:ilvl="6" w:tplc="B7B89D94">
      <w:start w:val="1"/>
      <w:numFmt w:val="bullet"/>
      <w:lvlText w:val="•"/>
      <w:lvlJc w:val="left"/>
      <w:pPr>
        <w:ind w:left="5880" w:hanging="360"/>
      </w:pPr>
      <w:rPr>
        <w:rFonts w:hint="default"/>
      </w:rPr>
    </w:lvl>
    <w:lvl w:ilvl="7" w:tplc="AF26D350">
      <w:start w:val="1"/>
      <w:numFmt w:val="bullet"/>
      <w:lvlText w:val="•"/>
      <w:lvlJc w:val="left"/>
      <w:pPr>
        <w:ind w:left="6720" w:hanging="360"/>
      </w:pPr>
      <w:rPr>
        <w:rFonts w:hint="default"/>
      </w:rPr>
    </w:lvl>
    <w:lvl w:ilvl="8" w:tplc="62B2E0C2">
      <w:start w:val="1"/>
      <w:numFmt w:val="bullet"/>
      <w:lvlText w:val="•"/>
      <w:lvlJc w:val="left"/>
      <w:pPr>
        <w:ind w:left="7560" w:hanging="360"/>
      </w:pPr>
      <w:rPr>
        <w:rFonts w:hint="default"/>
      </w:rPr>
    </w:lvl>
  </w:abstractNum>
  <w:abstractNum w:abstractNumId="22" w15:restartNumberingAfterBreak="0">
    <w:nsid w:val="604454C9"/>
    <w:multiLevelType w:val="hybridMultilevel"/>
    <w:tmpl w:val="EDAA2ED4"/>
    <w:lvl w:ilvl="0" w:tplc="07E2E008">
      <w:start w:val="1"/>
      <w:numFmt w:val="bullet"/>
      <w:lvlText w:val="-"/>
      <w:lvlJc w:val="left"/>
      <w:pPr>
        <w:ind w:left="360" w:hanging="180"/>
      </w:pPr>
      <w:rPr>
        <w:rFonts w:ascii="Arial" w:eastAsia="Arial" w:hAnsi="Arial" w:hint="default"/>
        <w:w w:val="99"/>
        <w:sz w:val="20"/>
        <w:szCs w:val="20"/>
      </w:rPr>
    </w:lvl>
    <w:lvl w:ilvl="1" w:tplc="28F0F068">
      <w:start w:val="1"/>
      <w:numFmt w:val="bullet"/>
      <w:lvlText w:val=""/>
      <w:lvlJc w:val="left"/>
      <w:pPr>
        <w:ind w:left="720" w:hanging="180"/>
      </w:pPr>
      <w:rPr>
        <w:rFonts w:ascii="Wingdings" w:eastAsia="Wingdings" w:hAnsi="Wingdings" w:hint="default"/>
        <w:w w:val="99"/>
        <w:sz w:val="20"/>
        <w:szCs w:val="20"/>
      </w:rPr>
    </w:lvl>
    <w:lvl w:ilvl="2" w:tplc="71C61D64">
      <w:start w:val="1"/>
      <w:numFmt w:val="bullet"/>
      <w:lvlText w:val="•"/>
      <w:lvlJc w:val="left"/>
      <w:pPr>
        <w:ind w:left="1348" w:hanging="180"/>
      </w:pPr>
      <w:rPr>
        <w:rFonts w:hint="default"/>
      </w:rPr>
    </w:lvl>
    <w:lvl w:ilvl="3" w:tplc="C8E6B5D2">
      <w:start w:val="1"/>
      <w:numFmt w:val="bullet"/>
      <w:lvlText w:val="•"/>
      <w:lvlJc w:val="left"/>
      <w:pPr>
        <w:ind w:left="1976" w:hanging="180"/>
      </w:pPr>
      <w:rPr>
        <w:rFonts w:hint="default"/>
      </w:rPr>
    </w:lvl>
    <w:lvl w:ilvl="4" w:tplc="DF487BA8">
      <w:start w:val="1"/>
      <w:numFmt w:val="bullet"/>
      <w:lvlText w:val="•"/>
      <w:lvlJc w:val="left"/>
      <w:pPr>
        <w:ind w:left="2604" w:hanging="180"/>
      </w:pPr>
      <w:rPr>
        <w:rFonts w:hint="default"/>
      </w:rPr>
    </w:lvl>
    <w:lvl w:ilvl="5" w:tplc="3E34C4F8">
      <w:start w:val="1"/>
      <w:numFmt w:val="bullet"/>
      <w:lvlText w:val="•"/>
      <w:lvlJc w:val="left"/>
      <w:pPr>
        <w:ind w:left="3232" w:hanging="180"/>
      </w:pPr>
      <w:rPr>
        <w:rFonts w:hint="default"/>
      </w:rPr>
    </w:lvl>
    <w:lvl w:ilvl="6" w:tplc="D7A0B6A2">
      <w:start w:val="1"/>
      <w:numFmt w:val="bullet"/>
      <w:lvlText w:val="•"/>
      <w:lvlJc w:val="left"/>
      <w:pPr>
        <w:ind w:left="3860" w:hanging="180"/>
      </w:pPr>
      <w:rPr>
        <w:rFonts w:hint="default"/>
      </w:rPr>
    </w:lvl>
    <w:lvl w:ilvl="7" w:tplc="DE8AFC0E">
      <w:start w:val="1"/>
      <w:numFmt w:val="bullet"/>
      <w:lvlText w:val="•"/>
      <w:lvlJc w:val="left"/>
      <w:pPr>
        <w:ind w:left="4488" w:hanging="180"/>
      </w:pPr>
      <w:rPr>
        <w:rFonts w:hint="default"/>
      </w:rPr>
    </w:lvl>
    <w:lvl w:ilvl="8" w:tplc="7212B7C8">
      <w:start w:val="1"/>
      <w:numFmt w:val="bullet"/>
      <w:lvlText w:val="•"/>
      <w:lvlJc w:val="left"/>
      <w:pPr>
        <w:ind w:left="5116" w:hanging="180"/>
      </w:pPr>
      <w:rPr>
        <w:rFonts w:hint="default"/>
      </w:rPr>
    </w:lvl>
  </w:abstractNum>
  <w:abstractNum w:abstractNumId="23" w15:restartNumberingAfterBreak="0">
    <w:nsid w:val="62162978"/>
    <w:multiLevelType w:val="hybridMultilevel"/>
    <w:tmpl w:val="16004EAE"/>
    <w:lvl w:ilvl="0" w:tplc="C5D891BC">
      <w:start w:val="1"/>
      <w:numFmt w:val="decimal"/>
      <w:lvlText w:val="%1."/>
      <w:lvlJc w:val="left"/>
      <w:pPr>
        <w:ind w:left="838" w:hanging="360"/>
      </w:pPr>
      <w:rPr>
        <w:rFonts w:ascii="Calibri" w:eastAsia="Calibri" w:hAnsi="Calibri" w:hint="default"/>
        <w:sz w:val="24"/>
        <w:szCs w:val="24"/>
      </w:rPr>
    </w:lvl>
    <w:lvl w:ilvl="1" w:tplc="44C4A9BE">
      <w:start w:val="1"/>
      <w:numFmt w:val="bullet"/>
      <w:lvlText w:val="•"/>
      <w:lvlJc w:val="left"/>
      <w:pPr>
        <w:ind w:left="1678" w:hanging="360"/>
      </w:pPr>
      <w:rPr>
        <w:rFonts w:hint="default"/>
      </w:rPr>
    </w:lvl>
    <w:lvl w:ilvl="2" w:tplc="643E2AE2">
      <w:start w:val="1"/>
      <w:numFmt w:val="bullet"/>
      <w:lvlText w:val="•"/>
      <w:lvlJc w:val="left"/>
      <w:pPr>
        <w:ind w:left="2518" w:hanging="360"/>
      </w:pPr>
      <w:rPr>
        <w:rFonts w:hint="default"/>
      </w:rPr>
    </w:lvl>
    <w:lvl w:ilvl="3" w:tplc="66BA859E">
      <w:start w:val="1"/>
      <w:numFmt w:val="bullet"/>
      <w:lvlText w:val="•"/>
      <w:lvlJc w:val="left"/>
      <w:pPr>
        <w:ind w:left="3358" w:hanging="360"/>
      </w:pPr>
      <w:rPr>
        <w:rFonts w:hint="default"/>
      </w:rPr>
    </w:lvl>
    <w:lvl w:ilvl="4" w:tplc="989053A0">
      <w:start w:val="1"/>
      <w:numFmt w:val="bullet"/>
      <w:lvlText w:val="•"/>
      <w:lvlJc w:val="left"/>
      <w:pPr>
        <w:ind w:left="4198" w:hanging="360"/>
      </w:pPr>
      <w:rPr>
        <w:rFonts w:hint="default"/>
      </w:rPr>
    </w:lvl>
    <w:lvl w:ilvl="5" w:tplc="7312D728">
      <w:start w:val="1"/>
      <w:numFmt w:val="bullet"/>
      <w:lvlText w:val="•"/>
      <w:lvlJc w:val="left"/>
      <w:pPr>
        <w:ind w:left="5039" w:hanging="360"/>
      </w:pPr>
      <w:rPr>
        <w:rFonts w:hint="default"/>
      </w:rPr>
    </w:lvl>
    <w:lvl w:ilvl="6" w:tplc="A7F88170">
      <w:start w:val="1"/>
      <w:numFmt w:val="bullet"/>
      <w:lvlText w:val="•"/>
      <w:lvlJc w:val="left"/>
      <w:pPr>
        <w:ind w:left="5879" w:hanging="360"/>
      </w:pPr>
      <w:rPr>
        <w:rFonts w:hint="default"/>
      </w:rPr>
    </w:lvl>
    <w:lvl w:ilvl="7" w:tplc="1548E4CA">
      <w:start w:val="1"/>
      <w:numFmt w:val="bullet"/>
      <w:lvlText w:val="•"/>
      <w:lvlJc w:val="left"/>
      <w:pPr>
        <w:ind w:left="6719" w:hanging="360"/>
      </w:pPr>
      <w:rPr>
        <w:rFonts w:hint="default"/>
      </w:rPr>
    </w:lvl>
    <w:lvl w:ilvl="8" w:tplc="CBB0CD1E">
      <w:start w:val="1"/>
      <w:numFmt w:val="bullet"/>
      <w:lvlText w:val="•"/>
      <w:lvlJc w:val="left"/>
      <w:pPr>
        <w:ind w:left="7559" w:hanging="360"/>
      </w:pPr>
      <w:rPr>
        <w:rFonts w:hint="default"/>
      </w:rPr>
    </w:lvl>
  </w:abstractNum>
  <w:abstractNum w:abstractNumId="24" w15:restartNumberingAfterBreak="0">
    <w:nsid w:val="695C4C6C"/>
    <w:multiLevelType w:val="hybridMultilevel"/>
    <w:tmpl w:val="FC1C5112"/>
    <w:lvl w:ilvl="0" w:tplc="9FF6154A">
      <w:start w:val="1"/>
      <w:numFmt w:val="bullet"/>
      <w:lvlText w:val="-"/>
      <w:lvlJc w:val="left"/>
      <w:pPr>
        <w:ind w:left="481" w:hanging="180"/>
      </w:pPr>
      <w:rPr>
        <w:rFonts w:ascii="Arial" w:eastAsia="Arial" w:hAnsi="Arial" w:hint="default"/>
        <w:w w:val="99"/>
        <w:sz w:val="20"/>
        <w:szCs w:val="20"/>
      </w:rPr>
    </w:lvl>
    <w:lvl w:ilvl="1" w:tplc="18A8321E">
      <w:start w:val="1"/>
      <w:numFmt w:val="bullet"/>
      <w:lvlText w:val=""/>
      <w:lvlJc w:val="left"/>
      <w:pPr>
        <w:ind w:left="661" w:hanging="180"/>
      </w:pPr>
      <w:rPr>
        <w:rFonts w:ascii="Wingdings" w:eastAsia="Wingdings" w:hAnsi="Wingdings" w:hint="default"/>
        <w:w w:val="99"/>
        <w:position w:val="1"/>
        <w:sz w:val="20"/>
        <w:szCs w:val="20"/>
      </w:rPr>
    </w:lvl>
    <w:lvl w:ilvl="2" w:tplc="EF0E9522">
      <w:start w:val="1"/>
      <w:numFmt w:val="bullet"/>
      <w:lvlText w:val="•"/>
      <w:lvlJc w:val="left"/>
      <w:pPr>
        <w:ind w:left="1309" w:hanging="180"/>
      </w:pPr>
      <w:rPr>
        <w:rFonts w:hint="default"/>
      </w:rPr>
    </w:lvl>
    <w:lvl w:ilvl="3" w:tplc="D786DECE">
      <w:start w:val="1"/>
      <w:numFmt w:val="bullet"/>
      <w:lvlText w:val="•"/>
      <w:lvlJc w:val="left"/>
      <w:pPr>
        <w:ind w:left="1957" w:hanging="180"/>
      </w:pPr>
      <w:rPr>
        <w:rFonts w:hint="default"/>
      </w:rPr>
    </w:lvl>
    <w:lvl w:ilvl="4" w:tplc="00807A16">
      <w:start w:val="1"/>
      <w:numFmt w:val="bullet"/>
      <w:lvlText w:val="•"/>
      <w:lvlJc w:val="left"/>
      <w:pPr>
        <w:ind w:left="2605" w:hanging="180"/>
      </w:pPr>
      <w:rPr>
        <w:rFonts w:hint="default"/>
      </w:rPr>
    </w:lvl>
    <w:lvl w:ilvl="5" w:tplc="3D0099D8">
      <w:start w:val="1"/>
      <w:numFmt w:val="bullet"/>
      <w:lvlText w:val="•"/>
      <w:lvlJc w:val="left"/>
      <w:pPr>
        <w:ind w:left="3254" w:hanging="180"/>
      </w:pPr>
      <w:rPr>
        <w:rFonts w:hint="default"/>
      </w:rPr>
    </w:lvl>
    <w:lvl w:ilvl="6" w:tplc="8DDE1B26">
      <w:start w:val="1"/>
      <w:numFmt w:val="bullet"/>
      <w:lvlText w:val="•"/>
      <w:lvlJc w:val="left"/>
      <w:pPr>
        <w:ind w:left="3902" w:hanging="180"/>
      </w:pPr>
      <w:rPr>
        <w:rFonts w:hint="default"/>
      </w:rPr>
    </w:lvl>
    <w:lvl w:ilvl="7" w:tplc="D086269E">
      <w:start w:val="1"/>
      <w:numFmt w:val="bullet"/>
      <w:lvlText w:val="•"/>
      <w:lvlJc w:val="left"/>
      <w:pPr>
        <w:ind w:left="4550" w:hanging="180"/>
      </w:pPr>
      <w:rPr>
        <w:rFonts w:hint="default"/>
      </w:rPr>
    </w:lvl>
    <w:lvl w:ilvl="8" w:tplc="D7546FCE">
      <w:start w:val="1"/>
      <w:numFmt w:val="bullet"/>
      <w:lvlText w:val="•"/>
      <w:lvlJc w:val="left"/>
      <w:pPr>
        <w:ind w:left="5198" w:hanging="180"/>
      </w:pPr>
      <w:rPr>
        <w:rFonts w:hint="default"/>
      </w:rPr>
    </w:lvl>
  </w:abstractNum>
  <w:abstractNum w:abstractNumId="25" w15:restartNumberingAfterBreak="0">
    <w:nsid w:val="6EC72777"/>
    <w:multiLevelType w:val="hybridMultilevel"/>
    <w:tmpl w:val="963A9E20"/>
    <w:lvl w:ilvl="0" w:tplc="3ED8632A">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3C22406"/>
    <w:multiLevelType w:val="hybridMultilevel"/>
    <w:tmpl w:val="73145A8E"/>
    <w:lvl w:ilvl="0" w:tplc="723E1BCE">
      <w:start w:val="1"/>
      <w:numFmt w:val="bullet"/>
      <w:lvlText w:val=""/>
      <w:lvlJc w:val="left"/>
      <w:pPr>
        <w:ind w:left="580" w:hanging="360"/>
      </w:pPr>
      <w:rPr>
        <w:rFonts w:ascii="Symbol" w:eastAsia="Symbol" w:hAnsi="Symbol" w:hint="default"/>
        <w:sz w:val="24"/>
        <w:szCs w:val="24"/>
      </w:rPr>
    </w:lvl>
    <w:lvl w:ilvl="1" w:tplc="30D6E734">
      <w:start w:val="1"/>
      <w:numFmt w:val="bullet"/>
      <w:lvlText w:val="•"/>
      <w:lvlJc w:val="left"/>
      <w:pPr>
        <w:ind w:left="1466" w:hanging="360"/>
      </w:pPr>
      <w:rPr>
        <w:rFonts w:hint="default"/>
      </w:rPr>
    </w:lvl>
    <w:lvl w:ilvl="2" w:tplc="64DCAB14">
      <w:start w:val="1"/>
      <w:numFmt w:val="bullet"/>
      <w:lvlText w:val="•"/>
      <w:lvlJc w:val="left"/>
      <w:pPr>
        <w:ind w:left="2352" w:hanging="360"/>
      </w:pPr>
      <w:rPr>
        <w:rFonts w:hint="default"/>
      </w:rPr>
    </w:lvl>
    <w:lvl w:ilvl="3" w:tplc="CC80D188">
      <w:start w:val="1"/>
      <w:numFmt w:val="bullet"/>
      <w:lvlText w:val="•"/>
      <w:lvlJc w:val="left"/>
      <w:pPr>
        <w:ind w:left="3238" w:hanging="360"/>
      </w:pPr>
      <w:rPr>
        <w:rFonts w:hint="default"/>
      </w:rPr>
    </w:lvl>
    <w:lvl w:ilvl="4" w:tplc="D414984A">
      <w:start w:val="1"/>
      <w:numFmt w:val="bullet"/>
      <w:lvlText w:val="•"/>
      <w:lvlJc w:val="left"/>
      <w:pPr>
        <w:ind w:left="4124" w:hanging="360"/>
      </w:pPr>
      <w:rPr>
        <w:rFonts w:hint="default"/>
      </w:rPr>
    </w:lvl>
    <w:lvl w:ilvl="5" w:tplc="C570E1DA">
      <w:start w:val="1"/>
      <w:numFmt w:val="bullet"/>
      <w:lvlText w:val="•"/>
      <w:lvlJc w:val="left"/>
      <w:pPr>
        <w:ind w:left="5010" w:hanging="360"/>
      </w:pPr>
      <w:rPr>
        <w:rFonts w:hint="default"/>
      </w:rPr>
    </w:lvl>
    <w:lvl w:ilvl="6" w:tplc="1F36AC2E">
      <w:start w:val="1"/>
      <w:numFmt w:val="bullet"/>
      <w:lvlText w:val="•"/>
      <w:lvlJc w:val="left"/>
      <w:pPr>
        <w:ind w:left="5896" w:hanging="360"/>
      </w:pPr>
      <w:rPr>
        <w:rFonts w:hint="default"/>
      </w:rPr>
    </w:lvl>
    <w:lvl w:ilvl="7" w:tplc="07BCFCAA">
      <w:start w:val="1"/>
      <w:numFmt w:val="bullet"/>
      <w:lvlText w:val="•"/>
      <w:lvlJc w:val="left"/>
      <w:pPr>
        <w:ind w:left="6782" w:hanging="360"/>
      </w:pPr>
      <w:rPr>
        <w:rFonts w:hint="default"/>
      </w:rPr>
    </w:lvl>
    <w:lvl w:ilvl="8" w:tplc="A40AB700">
      <w:start w:val="1"/>
      <w:numFmt w:val="bullet"/>
      <w:lvlText w:val="•"/>
      <w:lvlJc w:val="left"/>
      <w:pPr>
        <w:ind w:left="7668" w:hanging="360"/>
      </w:pPr>
      <w:rPr>
        <w:rFonts w:hint="default"/>
      </w:rPr>
    </w:lvl>
  </w:abstractNum>
  <w:abstractNum w:abstractNumId="27" w15:restartNumberingAfterBreak="0">
    <w:nsid w:val="760323F0"/>
    <w:multiLevelType w:val="hybridMultilevel"/>
    <w:tmpl w:val="B2DC1C84"/>
    <w:lvl w:ilvl="0" w:tplc="69125BD6">
      <w:start w:val="1"/>
      <w:numFmt w:val="bullet"/>
      <w:lvlText w:val="-"/>
      <w:lvlJc w:val="left"/>
      <w:pPr>
        <w:ind w:left="359" w:hanging="360"/>
      </w:pPr>
      <w:rPr>
        <w:rFonts w:ascii="Arial" w:eastAsia="Arial" w:hAnsi="Arial" w:hint="default"/>
        <w:sz w:val="22"/>
        <w:szCs w:val="22"/>
      </w:rPr>
    </w:lvl>
    <w:lvl w:ilvl="1" w:tplc="8E805A64">
      <w:start w:val="1"/>
      <w:numFmt w:val="bullet"/>
      <w:lvlText w:val="•"/>
      <w:lvlJc w:val="left"/>
      <w:pPr>
        <w:ind w:left="1098" w:hanging="360"/>
      </w:pPr>
      <w:rPr>
        <w:rFonts w:hint="default"/>
      </w:rPr>
    </w:lvl>
    <w:lvl w:ilvl="2" w:tplc="2EA4B0C2">
      <w:start w:val="1"/>
      <w:numFmt w:val="bullet"/>
      <w:lvlText w:val="•"/>
      <w:lvlJc w:val="left"/>
      <w:pPr>
        <w:ind w:left="1837" w:hanging="360"/>
      </w:pPr>
      <w:rPr>
        <w:rFonts w:hint="default"/>
      </w:rPr>
    </w:lvl>
    <w:lvl w:ilvl="3" w:tplc="ADE491DC">
      <w:start w:val="1"/>
      <w:numFmt w:val="bullet"/>
      <w:lvlText w:val="•"/>
      <w:lvlJc w:val="left"/>
      <w:pPr>
        <w:ind w:left="2575" w:hanging="360"/>
      </w:pPr>
      <w:rPr>
        <w:rFonts w:hint="default"/>
      </w:rPr>
    </w:lvl>
    <w:lvl w:ilvl="4" w:tplc="2E942F6C">
      <w:start w:val="1"/>
      <w:numFmt w:val="bullet"/>
      <w:lvlText w:val="•"/>
      <w:lvlJc w:val="left"/>
      <w:pPr>
        <w:ind w:left="3314" w:hanging="360"/>
      </w:pPr>
      <w:rPr>
        <w:rFonts w:hint="default"/>
      </w:rPr>
    </w:lvl>
    <w:lvl w:ilvl="5" w:tplc="93CC96B2">
      <w:start w:val="1"/>
      <w:numFmt w:val="bullet"/>
      <w:lvlText w:val="•"/>
      <w:lvlJc w:val="left"/>
      <w:pPr>
        <w:ind w:left="4052" w:hanging="360"/>
      </w:pPr>
      <w:rPr>
        <w:rFonts w:hint="default"/>
      </w:rPr>
    </w:lvl>
    <w:lvl w:ilvl="6" w:tplc="A6ACC7BA">
      <w:start w:val="1"/>
      <w:numFmt w:val="bullet"/>
      <w:lvlText w:val="•"/>
      <w:lvlJc w:val="left"/>
      <w:pPr>
        <w:ind w:left="4791" w:hanging="360"/>
      </w:pPr>
      <w:rPr>
        <w:rFonts w:hint="default"/>
      </w:rPr>
    </w:lvl>
    <w:lvl w:ilvl="7" w:tplc="A13C00E0">
      <w:start w:val="1"/>
      <w:numFmt w:val="bullet"/>
      <w:lvlText w:val="•"/>
      <w:lvlJc w:val="left"/>
      <w:pPr>
        <w:ind w:left="5530" w:hanging="360"/>
      </w:pPr>
      <w:rPr>
        <w:rFonts w:hint="default"/>
      </w:rPr>
    </w:lvl>
    <w:lvl w:ilvl="8" w:tplc="D5EE8680">
      <w:start w:val="1"/>
      <w:numFmt w:val="bullet"/>
      <w:lvlText w:val="•"/>
      <w:lvlJc w:val="left"/>
      <w:pPr>
        <w:ind w:left="6268" w:hanging="360"/>
      </w:pPr>
      <w:rPr>
        <w:rFonts w:hint="default"/>
      </w:rPr>
    </w:lvl>
  </w:abstractNum>
  <w:abstractNum w:abstractNumId="28" w15:restartNumberingAfterBreak="0">
    <w:nsid w:val="7AB94B5D"/>
    <w:multiLevelType w:val="hybridMultilevel"/>
    <w:tmpl w:val="D11A7BC0"/>
    <w:lvl w:ilvl="0" w:tplc="D2BE843E">
      <w:start w:val="1"/>
      <w:numFmt w:val="bullet"/>
      <w:lvlText w:val="-"/>
      <w:lvlJc w:val="left"/>
      <w:pPr>
        <w:ind w:left="629" w:hanging="360"/>
      </w:pPr>
      <w:rPr>
        <w:rFonts w:ascii="Arial" w:eastAsia="Arial" w:hAnsi="Arial" w:hint="default"/>
        <w:sz w:val="22"/>
        <w:szCs w:val="22"/>
      </w:rPr>
    </w:lvl>
    <w:lvl w:ilvl="1" w:tplc="D8720BEA">
      <w:start w:val="1"/>
      <w:numFmt w:val="bullet"/>
      <w:lvlText w:val="•"/>
      <w:lvlJc w:val="left"/>
      <w:pPr>
        <w:ind w:left="1490" w:hanging="360"/>
      </w:pPr>
      <w:rPr>
        <w:rFonts w:hint="default"/>
      </w:rPr>
    </w:lvl>
    <w:lvl w:ilvl="2" w:tplc="6804F1D8">
      <w:start w:val="1"/>
      <w:numFmt w:val="bullet"/>
      <w:lvlText w:val="•"/>
      <w:lvlJc w:val="left"/>
      <w:pPr>
        <w:ind w:left="2351" w:hanging="360"/>
      </w:pPr>
      <w:rPr>
        <w:rFonts w:hint="default"/>
      </w:rPr>
    </w:lvl>
    <w:lvl w:ilvl="3" w:tplc="A8BEF9CC">
      <w:start w:val="1"/>
      <w:numFmt w:val="bullet"/>
      <w:lvlText w:val="•"/>
      <w:lvlJc w:val="left"/>
      <w:pPr>
        <w:ind w:left="3212" w:hanging="360"/>
      </w:pPr>
      <w:rPr>
        <w:rFonts w:hint="default"/>
      </w:rPr>
    </w:lvl>
    <w:lvl w:ilvl="4" w:tplc="BF082F9E">
      <w:start w:val="1"/>
      <w:numFmt w:val="bullet"/>
      <w:lvlText w:val="•"/>
      <w:lvlJc w:val="left"/>
      <w:pPr>
        <w:ind w:left="4073" w:hanging="360"/>
      </w:pPr>
      <w:rPr>
        <w:rFonts w:hint="default"/>
      </w:rPr>
    </w:lvl>
    <w:lvl w:ilvl="5" w:tplc="13E0D5BA">
      <w:start w:val="1"/>
      <w:numFmt w:val="bullet"/>
      <w:lvlText w:val="•"/>
      <w:lvlJc w:val="left"/>
      <w:pPr>
        <w:ind w:left="4934" w:hanging="360"/>
      </w:pPr>
      <w:rPr>
        <w:rFonts w:hint="default"/>
      </w:rPr>
    </w:lvl>
    <w:lvl w:ilvl="6" w:tplc="F25E90C0">
      <w:start w:val="1"/>
      <w:numFmt w:val="bullet"/>
      <w:lvlText w:val="•"/>
      <w:lvlJc w:val="left"/>
      <w:pPr>
        <w:ind w:left="5795" w:hanging="360"/>
      </w:pPr>
      <w:rPr>
        <w:rFonts w:hint="default"/>
      </w:rPr>
    </w:lvl>
    <w:lvl w:ilvl="7" w:tplc="AD2273C8">
      <w:start w:val="1"/>
      <w:numFmt w:val="bullet"/>
      <w:lvlText w:val="•"/>
      <w:lvlJc w:val="left"/>
      <w:pPr>
        <w:ind w:left="6656" w:hanging="360"/>
      </w:pPr>
      <w:rPr>
        <w:rFonts w:hint="default"/>
      </w:rPr>
    </w:lvl>
    <w:lvl w:ilvl="8" w:tplc="334A1772">
      <w:start w:val="1"/>
      <w:numFmt w:val="bullet"/>
      <w:lvlText w:val="•"/>
      <w:lvlJc w:val="left"/>
      <w:pPr>
        <w:ind w:left="7517" w:hanging="360"/>
      </w:pPr>
      <w:rPr>
        <w:rFonts w:hint="default"/>
      </w:rPr>
    </w:lvl>
  </w:abstractNum>
  <w:abstractNum w:abstractNumId="29" w15:restartNumberingAfterBreak="0">
    <w:nsid w:val="7DBA1176"/>
    <w:multiLevelType w:val="hybridMultilevel"/>
    <w:tmpl w:val="188AA3B6"/>
    <w:lvl w:ilvl="0" w:tplc="E5663CA8">
      <w:start w:val="1"/>
      <w:numFmt w:val="bullet"/>
      <w:lvlText w:val="-"/>
      <w:lvlJc w:val="left"/>
      <w:pPr>
        <w:ind w:left="359" w:hanging="360"/>
      </w:pPr>
      <w:rPr>
        <w:rFonts w:ascii="Arial" w:eastAsia="Arial" w:hAnsi="Arial" w:hint="default"/>
        <w:sz w:val="22"/>
        <w:szCs w:val="22"/>
      </w:rPr>
    </w:lvl>
    <w:lvl w:ilvl="1" w:tplc="5FCA525E">
      <w:start w:val="1"/>
      <w:numFmt w:val="bullet"/>
      <w:lvlText w:val="•"/>
      <w:lvlJc w:val="left"/>
      <w:pPr>
        <w:ind w:left="1178" w:hanging="360"/>
      </w:pPr>
      <w:rPr>
        <w:rFonts w:hint="default"/>
      </w:rPr>
    </w:lvl>
    <w:lvl w:ilvl="2" w:tplc="74601208">
      <w:start w:val="1"/>
      <w:numFmt w:val="bullet"/>
      <w:lvlText w:val="•"/>
      <w:lvlJc w:val="left"/>
      <w:pPr>
        <w:ind w:left="1996" w:hanging="360"/>
      </w:pPr>
      <w:rPr>
        <w:rFonts w:hint="default"/>
      </w:rPr>
    </w:lvl>
    <w:lvl w:ilvl="3" w:tplc="257A37A6">
      <w:start w:val="1"/>
      <w:numFmt w:val="bullet"/>
      <w:lvlText w:val="•"/>
      <w:lvlJc w:val="left"/>
      <w:pPr>
        <w:ind w:left="2814" w:hanging="360"/>
      </w:pPr>
      <w:rPr>
        <w:rFonts w:hint="default"/>
      </w:rPr>
    </w:lvl>
    <w:lvl w:ilvl="4" w:tplc="3C3C489A">
      <w:start w:val="1"/>
      <w:numFmt w:val="bullet"/>
      <w:lvlText w:val="•"/>
      <w:lvlJc w:val="left"/>
      <w:pPr>
        <w:ind w:left="3633" w:hanging="360"/>
      </w:pPr>
      <w:rPr>
        <w:rFonts w:hint="default"/>
      </w:rPr>
    </w:lvl>
    <w:lvl w:ilvl="5" w:tplc="8AAC5D9A">
      <w:start w:val="1"/>
      <w:numFmt w:val="bullet"/>
      <w:lvlText w:val="•"/>
      <w:lvlJc w:val="left"/>
      <w:pPr>
        <w:ind w:left="4451" w:hanging="360"/>
      </w:pPr>
      <w:rPr>
        <w:rFonts w:hint="default"/>
      </w:rPr>
    </w:lvl>
    <w:lvl w:ilvl="6" w:tplc="54DE422E">
      <w:start w:val="1"/>
      <w:numFmt w:val="bullet"/>
      <w:lvlText w:val="•"/>
      <w:lvlJc w:val="left"/>
      <w:pPr>
        <w:ind w:left="5269" w:hanging="360"/>
      </w:pPr>
      <w:rPr>
        <w:rFonts w:hint="default"/>
      </w:rPr>
    </w:lvl>
    <w:lvl w:ilvl="7" w:tplc="2E8C014E">
      <w:start w:val="1"/>
      <w:numFmt w:val="bullet"/>
      <w:lvlText w:val="•"/>
      <w:lvlJc w:val="left"/>
      <w:pPr>
        <w:ind w:left="6088" w:hanging="360"/>
      </w:pPr>
      <w:rPr>
        <w:rFonts w:hint="default"/>
      </w:rPr>
    </w:lvl>
    <w:lvl w:ilvl="8" w:tplc="4A783BDA">
      <w:start w:val="1"/>
      <w:numFmt w:val="bullet"/>
      <w:lvlText w:val="•"/>
      <w:lvlJc w:val="left"/>
      <w:pPr>
        <w:ind w:left="6906" w:hanging="360"/>
      </w:pPr>
      <w:rPr>
        <w:rFonts w:hint="default"/>
      </w:rPr>
    </w:lvl>
  </w:abstractNum>
  <w:abstractNum w:abstractNumId="30" w15:restartNumberingAfterBreak="0">
    <w:nsid w:val="7EFF4279"/>
    <w:multiLevelType w:val="hybridMultilevel"/>
    <w:tmpl w:val="D8D616CC"/>
    <w:lvl w:ilvl="0" w:tplc="E2CEA34A">
      <w:start w:val="1"/>
      <w:numFmt w:val="bullet"/>
      <w:lvlText w:val="-"/>
      <w:lvlJc w:val="left"/>
      <w:pPr>
        <w:ind w:left="629" w:hanging="360"/>
      </w:pPr>
      <w:rPr>
        <w:rFonts w:ascii="Arial" w:eastAsia="Arial" w:hAnsi="Arial" w:hint="default"/>
        <w:sz w:val="22"/>
        <w:szCs w:val="22"/>
      </w:rPr>
    </w:lvl>
    <w:lvl w:ilvl="1" w:tplc="C562EB3A">
      <w:start w:val="1"/>
      <w:numFmt w:val="bullet"/>
      <w:lvlText w:val="•"/>
      <w:lvlJc w:val="left"/>
      <w:pPr>
        <w:ind w:left="1492" w:hanging="360"/>
      </w:pPr>
      <w:rPr>
        <w:rFonts w:hint="default"/>
      </w:rPr>
    </w:lvl>
    <w:lvl w:ilvl="2" w:tplc="A10E3D34">
      <w:start w:val="1"/>
      <w:numFmt w:val="bullet"/>
      <w:lvlText w:val="•"/>
      <w:lvlJc w:val="left"/>
      <w:pPr>
        <w:ind w:left="2355" w:hanging="360"/>
      </w:pPr>
      <w:rPr>
        <w:rFonts w:hint="default"/>
      </w:rPr>
    </w:lvl>
    <w:lvl w:ilvl="3" w:tplc="68B09410">
      <w:start w:val="1"/>
      <w:numFmt w:val="bullet"/>
      <w:lvlText w:val="•"/>
      <w:lvlJc w:val="left"/>
      <w:pPr>
        <w:ind w:left="3218" w:hanging="360"/>
      </w:pPr>
      <w:rPr>
        <w:rFonts w:hint="default"/>
      </w:rPr>
    </w:lvl>
    <w:lvl w:ilvl="4" w:tplc="928EBE9C">
      <w:start w:val="1"/>
      <w:numFmt w:val="bullet"/>
      <w:lvlText w:val="•"/>
      <w:lvlJc w:val="left"/>
      <w:pPr>
        <w:ind w:left="4081" w:hanging="360"/>
      </w:pPr>
      <w:rPr>
        <w:rFonts w:hint="default"/>
      </w:rPr>
    </w:lvl>
    <w:lvl w:ilvl="5" w:tplc="17928D40">
      <w:start w:val="1"/>
      <w:numFmt w:val="bullet"/>
      <w:lvlText w:val="•"/>
      <w:lvlJc w:val="left"/>
      <w:pPr>
        <w:ind w:left="4944" w:hanging="360"/>
      </w:pPr>
      <w:rPr>
        <w:rFonts w:hint="default"/>
      </w:rPr>
    </w:lvl>
    <w:lvl w:ilvl="6" w:tplc="3ACAEBCC">
      <w:start w:val="1"/>
      <w:numFmt w:val="bullet"/>
      <w:lvlText w:val="•"/>
      <w:lvlJc w:val="left"/>
      <w:pPr>
        <w:ind w:left="5807" w:hanging="360"/>
      </w:pPr>
      <w:rPr>
        <w:rFonts w:hint="default"/>
      </w:rPr>
    </w:lvl>
    <w:lvl w:ilvl="7" w:tplc="860031F8">
      <w:start w:val="1"/>
      <w:numFmt w:val="bullet"/>
      <w:lvlText w:val="•"/>
      <w:lvlJc w:val="left"/>
      <w:pPr>
        <w:ind w:left="6670" w:hanging="360"/>
      </w:pPr>
      <w:rPr>
        <w:rFonts w:hint="default"/>
      </w:rPr>
    </w:lvl>
    <w:lvl w:ilvl="8" w:tplc="65945602">
      <w:start w:val="1"/>
      <w:numFmt w:val="bullet"/>
      <w:lvlText w:val="•"/>
      <w:lvlJc w:val="left"/>
      <w:pPr>
        <w:ind w:left="7533" w:hanging="360"/>
      </w:pPr>
      <w:rPr>
        <w:rFonts w:hint="default"/>
      </w:rPr>
    </w:lvl>
  </w:abstractNum>
  <w:abstractNum w:abstractNumId="31" w15:restartNumberingAfterBreak="0">
    <w:nsid w:val="7F385D8D"/>
    <w:multiLevelType w:val="hybridMultilevel"/>
    <w:tmpl w:val="6B724DD2"/>
    <w:lvl w:ilvl="0" w:tplc="0B062C72">
      <w:start w:val="1"/>
      <w:numFmt w:val="bullet"/>
      <w:lvlText w:val=""/>
      <w:lvlJc w:val="left"/>
      <w:pPr>
        <w:ind w:left="820" w:hanging="720"/>
      </w:pPr>
      <w:rPr>
        <w:rFonts w:ascii="Wingdings" w:eastAsia="Wingdings" w:hAnsi="Wingdings" w:hint="default"/>
        <w:position w:val="2"/>
        <w:sz w:val="24"/>
        <w:szCs w:val="24"/>
      </w:rPr>
    </w:lvl>
    <w:lvl w:ilvl="1" w:tplc="6302E1FA">
      <w:start w:val="1"/>
      <w:numFmt w:val="bullet"/>
      <w:lvlText w:val="•"/>
      <w:lvlJc w:val="left"/>
      <w:pPr>
        <w:ind w:left="1660" w:hanging="720"/>
      </w:pPr>
      <w:rPr>
        <w:rFonts w:hint="default"/>
      </w:rPr>
    </w:lvl>
    <w:lvl w:ilvl="2" w:tplc="B60EA926">
      <w:start w:val="1"/>
      <w:numFmt w:val="bullet"/>
      <w:lvlText w:val="•"/>
      <w:lvlJc w:val="left"/>
      <w:pPr>
        <w:ind w:left="2500" w:hanging="720"/>
      </w:pPr>
      <w:rPr>
        <w:rFonts w:hint="default"/>
      </w:rPr>
    </w:lvl>
    <w:lvl w:ilvl="3" w:tplc="81D430F8">
      <w:start w:val="1"/>
      <w:numFmt w:val="bullet"/>
      <w:lvlText w:val="•"/>
      <w:lvlJc w:val="left"/>
      <w:pPr>
        <w:ind w:left="3340" w:hanging="720"/>
      </w:pPr>
      <w:rPr>
        <w:rFonts w:hint="default"/>
      </w:rPr>
    </w:lvl>
    <w:lvl w:ilvl="4" w:tplc="245651CE">
      <w:start w:val="1"/>
      <w:numFmt w:val="bullet"/>
      <w:lvlText w:val="•"/>
      <w:lvlJc w:val="left"/>
      <w:pPr>
        <w:ind w:left="4180" w:hanging="720"/>
      </w:pPr>
      <w:rPr>
        <w:rFonts w:hint="default"/>
      </w:rPr>
    </w:lvl>
    <w:lvl w:ilvl="5" w:tplc="CAAA5F16">
      <w:start w:val="1"/>
      <w:numFmt w:val="bullet"/>
      <w:lvlText w:val="•"/>
      <w:lvlJc w:val="left"/>
      <w:pPr>
        <w:ind w:left="5020" w:hanging="720"/>
      </w:pPr>
      <w:rPr>
        <w:rFonts w:hint="default"/>
      </w:rPr>
    </w:lvl>
    <w:lvl w:ilvl="6" w:tplc="28662262">
      <w:start w:val="1"/>
      <w:numFmt w:val="bullet"/>
      <w:lvlText w:val="•"/>
      <w:lvlJc w:val="left"/>
      <w:pPr>
        <w:ind w:left="5860" w:hanging="720"/>
      </w:pPr>
      <w:rPr>
        <w:rFonts w:hint="default"/>
      </w:rPr>
    </w:lvl>
    <w:lvl w:ilvl="7" w:tplc="811A35C4">
      <w:start w:val="1"/>
      <w:numFmt w:val="bullet"/>
      <w:lvlText w:val="•"/>
      <w:lvlJc w:val="left"/>
      <w:pPr>
        <w:ind w:left="6700" w:hanging="720"/>
      </w:pPr>
      <w:rPr>
        <w:rFonts w:hint="default"/>
      </w:rPr>
    </w:lvl>
    <w:lvl w:ilvl="8" w:tplc="ED9C315C">
      <w:start w:val="1"/>
      <w:numFmt w:val="bullet"/>
      <w:lvlText w:val="•"/>
      <w:lvlJc w:val="left"/>
      <w:pPr>
        <w:ind w:left="7540" w:hanging="720"/>
      </w:pPr>
      <w:rPr>
        <w:rFonts w:hint="default"/>
      </w:rPr>
    </w:lvl>
  </w:abstractNum>
  <w:abstractNum w:abstractNumId="32" w15:restartNumberingAfterBreak="0">
    <w:nsid w:val="7FE70E1A"/>
    <w:multiLevelType w:val="hybridMultilevel"/>
    <w:tmpl w:val="46C41EE2"/>
    <w:lvl w:ilvl="0" w:tplc="08503A62">
      <w:start w:val="1"/>
      <w:numFmt w:val="bullet"/>
      <w:lvlText w:val="-"/>
      <w:lvlJc w:val="left"/>
      <w:pPr>
        <w:ind w:left="99" w:hanging="99"/>
      </w:pPr>
      <w:rPr>
        <w:rFonts w:ascii="Verdana" w:eastAsia="Verdana" w:hAnsi="Verdana" w:hint="default"/>
        <w:b/>
        <w:bCs/>
        <w:color w:val="4D4D4D"/>
        <w:w w:val="99"/>
        <w:sz w:val="12"/>
        <w:szCs w:val="12"/>
      </w:rPr>
    </w:lvl>
    <w:lvl w:ilvl="1" w:tplc="323C9EA2">
      <w:start w:val="1"/>
      <w:numFmt w:val="bullet"/>
      <w:lvlText w:val="•"/>
      <w:lvlJc w:val="left"/>
      <w:pPr>
        <w:ind w:left="280" w:hanging="99"/>
      </w:pPr>
      <w:rPr>
        <w:rFonts w:hint="default"/>
      </w:rPr>
    </w:lvl>
    <w:lvl w:ilvl="2" w:tplc="1C76651E">
      <w:start w:val="1"/>
      <w:numFmt w:val="bullet"/>
      <w:lvlText w:val="•"/>
      <w:lvlJc w:val="left"/>
      <w:pPr>
        <w:ind w:left="461" w:hanging="99"/>
      </w:pPr>
      <w:rPr>
        <w:rFonts w:hint="default"/>
      </w:rPr>
    </w:lvl>
    <w:lvl w:ilvl="3" w:tplc="BFA0E1F0">
      <w:start w:val="1"/>
      <w:numFmt w:val="bullet"/>
      <w:lvlText w:val="•"/>
      <w:lvlJc w:val="left"/>
      <w:pPr>
        <w:ind w:left="641" w:hanging="99"/>
      </w:pPr>
      <w:rPr>
        <w:rFonts w:hint="default"/>
      </w:rPr>
    </w:lvl>
    <w:lvl w:ilvl="4" w:tplc="5B5C3810">
      <w:start w:val="1"/>
      <w:numFmt w:val="bullet"/>
      <w:lvlText w:val="•"/>
      <w:lvlJc w:val="left"/>
      <w:pPr>
        <w:ind w:left="822" w:hanging="99"/>
      </w:pPr>
      <w:rPr>
        <w:rFonts w:hint="default"/>
      </w:rPr>
    </w:lvl>
    <w:lvl w:ilvl="5" w:tplc="0EA64AA8">
      <w:start w:val="1"/>
      <w:numFmt w:val="bullet"/>
      <w:lvlText w:val="•"/>
      <w:lvlJc w:val="left"/>
      <w:pPr>
        <w:ind w:left="1003" w:hanging="99"/>
      </w:pPr>
      <w:rPr>
        <w:rFonts w:hint="default"/>
      </w:rPr>
    </w:lvl>
    <w:lvl w:ilvl="6" w:tplc="7AF0AD34">
      <w:start w:val="1"/>
      <w:numFmt w:val="bullet"/>
      <w:lvlText w:val="•"/>
      <w:lvlJc w:val="left"/>
      <w:pPr>
        <w:ind w:left="1183" w:hanging="99"/>
      </w:pPr>
      <w:rPr>
        <w:rFonts w:hint="default"/>
      </w:rPr>
    </w:lvl>
    <w:lvl w:ilvl="7" w:tplc="4EFE0098">
      <w:start w:val="1"/>
      <w:numFmt w:val="bullet"/>
      <w:lvlText w:val="•"/>
      <w:lvlJc w:val="left"/>
      <w:pPr>
        <w:ind w:left="1364" w:hanging="99"/>
      </w:pPr>
      <w:rPr>
        <w:rFonts w:hint="default"/>
      </w:rPr>
    </w:lvl>
    <w:lvl w:ilvl="8" w:tplc="21F4E7DC">
      <w:start w:val="1"/>
      <w:numFmt w:val="bullet"/>
      <w:lvlText w:val="•"/>
      <w:lvlJc w:val="left"/>
      <w:pPr>
        <w:ind w:left="1545" w:hanging="99"/>
      </w:pPr>
      <w:rPr>
        <w:rFonts w:hint="default"/>
      </w:rPr>
    </w:lvl>
  </w:abstractNum>
  <w:num w:numId="1">
    <w:abstractNumId w:val="28"/>
  </w:num>
  <w:num w:numId="2">
    <w:abstractNumId w:val="27"/>
  </w:num>
  <w:num w:numId="3">
    <w:abstractNumId w:val="6"/>
  </w:num>
  <w:num w:numId="4">
    <w:abstractNumId w:val="30"/>
  </w:num>
  <w:num w:numId="5">
    <w:abstractNumId w:val="29"/>
  </w:num>
  <w:num w:numId="6">
    <w:abstractNumId w:val="13"/>
  </w:num>
  <w:num w:numId="7">
    <w:abstractNumId w:val="18"/>
  </w:num>
  <w:num w:numId="8">
    <w:abstractNumId w:val="23"/>
  </w:num>
  <w:num w:numId="9">
    <w:abstractNumId w:val="11"/>
  </w:num>
  <w:num w:numId="10">
    <w:abstractNumId w:val="1"/>
  </w:num>
  <w:num w:numId="11">
    <w:abstractNumId w:val="17"/>
  </w:num>
  <w:num w:numId="12">
    <w:abstractNumId w:val="10"/>
  </w:num>
  <w:num w:numId="13">
    <w:abstractNumId w:val="21"/>
  </w:num>
  <w:num w:numId="14">
    <w:abstractNumId w:val="31"/>
  </w:num>
  <w:num w:numId="15">
    <w:abstractNumId w:val="5"/>
  </w:num>
  <w:num w:numId="16">
    <w:abstractNumId w:val="20"/>
  </w:num>
  <w:num w:numId="17">
    <w:abstractNumId w:val="32"/>
  </w:num>
  <w:num w:numId="18">
    <w:abstractNumId w:val="8"/>
  </w:num>
  <w:num w:numId="19">
    <w:abstractNumId w:val="26"/>
  </w:num>
  <w:num w:numId="20">
    <w:abstractNumId w:val="2"/>
  </w:num>
  <w:num w:numId="21">
    <w:abstractNumId w:val="24"/>
  </w:num>
  <w:num w:numId="22">
    <w:abstractNumId w:val="22"/>
  </w:num>
  <w:num w:numId="23">
    <w:abstractNumId w:val="0"/>
  </w:num>
  <w:num w:numId="24">
    <w:abstractNumId w:val="15"/>
  </w:num>
  <w:num w:numId="25">
    <w:abstractNumId w:val="12"/>
  </w:num>
  <w:num w:numId="26">
    <w:abstractNumId w:val="9"/>
  </w:num>
  <w:num w:numId="27">
    <w:abstractNumId w:val="25"/>
  </w:num>
  <w:num w:numId="28">
    <w:abstractNumId w:val="19"/>
  </w:num>
  <w:num w:numId="29">
    <w:abstractNumId w:val="14"/>
  </w:num>
  <w:num w:numId="30">
    <w:abstractNumId w:val="7"/>
  </w:num>
  <w:num w:numId="31">
    <w:abstractNumId w:val="3"/>
  </w:num>
  <w:num w:numId="32">
    <w:abstractNumId w:val="16"/>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975D3"/>
    <w:rsid w:val="00063A9A"/>
    <w:rsid w:val="00063F99"/>
    <w:rsid w:val="00064329"/>
    <w:rsid w:val="00071ACB"/>
    <w:rsid w:val="000A02B5"/>
    <w:rsid w:val="000C2AE5"/>
    <w:rsid w:val="000D4CFE"/>
    <w:rsid w:val="001223B1"/>
    <w:rsid w:val="00132B73"/>
    <w:rsid w:val="00136114"/>
    <w:rsid w:val="00152215"/>
    <w:rsid w:val="001E5D99"/>
    <w:rsid w:val="0027691D"/>
    <w:rsid w:val="002C00CD"/>
    <w:rsid w:val="002F6B34"/>
    <w:rsid w:val="003358A3"/>
    <w:rsid w:val="0036402B"/>
    <w:rsid w:val="003D48ED"/>
    <w:rsid w:val="003D7D48"/>
    <w:rsid w:val="003E5112"/>
    <w:rsid w:val="00431937"/>
    <w:rsid w:val="004753AC"/>
    <w:rsid w:val="004B2F25"/>
    <w:rsid w:val="004B5374"/>
    <w:rsid w:val="004C048B"/>
    <w:rsid w:val="004E1727"/>
    <w:rsid w:val="00562FD7"/>
    <w:rsid w:val="00583218"/>
    <w:rsid w:val="00583F3E"/>
    <w:rsid w:val="005B38C1"/>
    <w:rsid w:val="0060488D"/>
    <w:rsid w:val="006C5D99"/>
    <w:rsid w:val="00714CFF"/>
    <w:rsid w:val="00716D72"/>
    <w:rsid w:val="00741DF8"/>
    <w:rsid w:val="00746418"/>
    <w:rsid w:val="00795DBC"/>
    <w:rsid w:val="007D7BDD"/>
    <w:rsid w:val="007F6624"/>
    <w:rsid w:val="00806B85"/>
    <w:rsid w:val="00806C5F"/>
    <w:rsid w:val="00816349"/>
    <w:rsid w:val="008B78E7"/>
    <w:rsid w:val="00923C79"/>
    <w:rsid w:val="009662E7"/>
    <w:rsid w:val="00967587"/>
    <w:rsid w:val="00992B49"/>
    <w:rsid w:val="009B4C20"/>
    <w:rsid w:val="009E2912"/>
    <w:rsid w:val="009E734E"/>
    <w:rsid w:val="00A373AC"/>
    <w:rsid w:val="00A645BA"/>
    <w:rsid w:val="00A91BA3"/>
    <w:rsid w:val="00AA2F35"/>
    <w:rsid w:val="00AE641A"/>
    <w:rsid w:val="00B275FB"/>
    <w:rsid w:val="00B512E0"/>
    <w:rsid w:val="00B72299"/>
    <w:rsid w:val="00B73E3C"/>
    <w:rsid w:val="00B975D3"/>
    <w:rsid w:val="00BA2BAC"/>
    <w:rsid w:val="00BB1979"/>
    <w:rsid w:val="00BD6FBF"/>
    <w:rsid w:val="00C24C0B"/>
    <w:rsid w:val="00C827A3"/>
    <w:rsid w:val="00C94674"/>
    <w:rsid w:val="00CE6C64"/>
    <w:rsid w:val="00D04054"/>
    <w:rsid w:val="00DA3C75"/>
    <w:rsid w:val="00DD6EBD"/>
    <w:rsid w:val="00DF14FC"/>
    <w:rsid w:val="00E24359"/>
    <w:rsid w:val="00E87CFB"/>
    <w:rsid w:val="00EA2CE8"/>
    <w:rsid w:val="00EA7D40"/>
    <w:rsid w:val="00EC6D02"/>
    <w:rsid w:val="00F7697A"/>
    <w:rsid w:val="00F83377"/>
    <w:rsid w:val="00F87517"/>
    <w:rsid w:val="00FA5AF6"/>
    <w:rsid w:val="00FB6E42"/>
    <w:rsid w:val="00FF2B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3,4,5,6,7,8,9,10,11,12,13,14,17,18,19,20"/>
    </o:shapelayout>
  </w:shapeDefaults>
  <w:decimalSymbol w:val="."/>
  <w:listSeparator w:val=","/>
  <w14:docId w14:val="3892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0"/>
      <w:ind w:left="550" w:hanging="432"/>
      <w:outlineLvl w:val="0"/>
    </w:pPr>
    <w:rPr>
      <w:rFonts w:ascii="Calibri" w:eastAsia="Calibri" w:hAnsi="Calibri"/>
      <w:b/>
      <w:bCs/>
      <w:sz w:val="32"/>
      <w:szCs w:val="32"/>
    </w:rPr>
  </w:style>
  <w:style w:type="paragraph" w:styleId="Heading2">
    <w:name w:val="heading 2"/>
    <w:basedOn w:val="Normal"/>
    <w:uiPriority w:val="9"/>
    <w:unhideWhenUsed/>
    <w:qFormat/>
    <w:pPr>
      <w:ind w:left="676" w:hanging="576"/>
      <w:outlineLvl w:val="1"/>
    </w:pPr>
    <w:rPr>
      <w:rFonts w:ascii="Calibri" w:eastAsia="Calibri" w:hAnsi="Calibri"/>
      <w:b/>
      <w:bCs/>
      <w:sz w:val="28"/>
      <w:szCs w:val="28"/>
    </w:rPr>
  </w:style>
  <w:style w:type="paragraph" w:styleId="Heading3">
    <w:name w:val="heading 3"/>
    <w:basedOn w:val="Normal"/>
    <w:uiPriority w:val="9"/>
    <w:unhideWhenUsed/>
    <w:qFormat/>
    <w:pPr>
      <w:ind w:left="120"/>
      <w:outlineLvl w:val="2"/>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ind w:left="580" w:hanging="480"/>
    </w:pPr>
    <w:rPr>
      <w:rFonts w:ascii="Calibri" w:eastAsia="Calibri" w:hAnsi="Calibri"/>
      <w:sz w:val="24"/>
      <w:szCs w:val="24"/>
    </w:rPr>
  </w:style>
  <w:style w:type="paragraph" w:styleId="TOC2">
    <w:name w:val="toc 2"/>
    <w:basedOn w:val="Normal"/>
    <w:uiPriority w:val="39"/>
    <w:qFormat/>
    <w:pPr>
      <w:ind w:left="981" w:hanging="641"/>
    </w:pPr>
    <w:rPr>
      <w:rFonts w:ascii="Calibri" w:eastAsia="Calibri" w:hAnsi="Calibri"/>
      <w:sz w:val="24"/>
      <w:szCs w:val="24"/>
    </w:rPr>
  </w:style>
  <w:style w:type="paragraph" w:styleId="BodyText">
    <w:name w:val="Body Text"/>
    <w:basedOn w:val="Normal"/>
    <w:uiPriority w:val="1"/>
    <w:qFormat/>
    <w:pPr>
      <w:ind w:left="10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31937"/>
    <w:pPr>
      <w:tabs>
        <w:tab w:val="center" w:pos="4153"/>
        <w:tab w:val="right" w:pos="8306"/>
      </w:tabs>
    </w:pPr>
  </w:style>
  <w:style w:type="character" w:customStyle="1" w:styleId="HeaderChar">
    <w:name w:val="Header Char"/>
    <w:basedOn w:val="DefaultParagraphFont"/>
    <w:link w:val="Header"/>
    <w:uiPriority w:val="99"/>
    <w:rsid w:val="00431937"/>
  </w:style>
  <w:style w:type="paragraph" w:styleId="Footer">
    <w:name w:val="footer"/>
    <w:basedOn w:val="Normal"/>
    <w:link w:val="FooterChar"/>
    <w:unhideWhenUsed/>
    <w:rsid w:val="00431937"/>
    <w:pPr>
      <w:tabs>
        <w:tab w:val="center" w:pos="4153"/>
        <w:tab w:val="right" w:pos="8306"/>
      </w:tabs>
    </w:pPr>
  </w:style>
  <w:style w:type="character" w:customStyle="1" w:styleId="FooterChar">
    <w:name w:val="Footer Char"/>
    <w:basedOn w:val="DefaultParagraphFont"/>
    <w:link w:val="Footer"/>
    <w:uiPriority w:val="99"/>
    <w:rsid w:val="00431937"/>
  </w:style>
  <w:style w:type="table" w:styleId="TableGrid">
    <w:name w:val="Table Grid"/>
    <w:basedOn w:val="TableNormal"/>
    <w:uiPriority w:val="39"/>
    <w:rsid w:val="0081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B1979"/>
    <w:rPr>
      <w:sz w:val="20"/>
      <w:szCs w:val="20"/>
    </w:rPr>
  </w:style>
  <w:style w:type="character" w:customStyle="1" w:styleId="FootnoteTextChar">
    <w:name w:val="Footnote Text Char"/>
    <w:basedOn w:val="DefaultParagraphFont"/>
    <w:link w:val="FootnoteText"/>
    <w:uiPriority w:val="99"/>
    <w:semiHidden/>
    <w:rsid w:val="00BB1979"/>
    <w:rPr>
      <w:sz w:val="20"/>
      <w:szCs w:val="20"/>
    </w:rPr>
  </w:style>
  <w:style w:type="character" w:styleId="FootnoteReference">
    <w:name w:val="footnote reference"/>
    <w:basedOn w:val="DefaultParagraphFont"/>
    <w:uiPriority w:val="99"/>
    <w:semiHidden/>
    <w:unhideWhenUsed/>
    <w:rsid w:val="00BB1979"/>
    <w:rPr>
      <w:vertAlign w:val="superscript"/>
    </w:rPr>
  </w:style>
  <w:style w:type="character" w:styleId="PageNumber">
    <w:name w:val="page number"/>
    <w:basedOn w:val="DefaultParagraphFont"/>
    <w:semiHidden/>
    <w:rsid w:val="00FA5AF6"/>
  </w:style>
  <w:style w:type="paragraph" w:styleId="TOCHeading">
    <w:name w:val="TOC Heading"/>
    <w:basedOn w:val="Heading1"/>
    <w:next w:val="Normal"/>
    <w:uiPriority w:val="39"/>
    <w:unhideWhenUsed/>
    <w:qFormat/>
    <w:rsid w:val="00FA5AF6"/>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val="en-US"/>
    </w:rPr>
  </w:style>
  <w:style w:type="paragraph" w:styleId="TOC3">
    <w:name w:val="toc 3"/>
    <w:basedOn w:val="Normal"/>
    <w:next w:val="Normal"/>
    <w:autoRedefine/>
    <w:uiPriority w:val="39"/>
    <w:unhideWhenUsed/>
    <w:rsid w:val="00FA5AF6"/>
    <w:pPr>
      <w:spacing w:after="100"/>
      <w:ind w:left="440"/>
    </w:pPr>
  </w:style>
  <w:style w:type="character" w:styleId="Hyperlink">
    <w:name w:val="Hyperlink"/>
    <w:basedOn w:val="DefaultParagraphFont"/>
    <w:uiPriority w:val="99"/>
    <w:unhideWhenUsed/>
    <w:rsid w:val="00FA5A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7.png"/><Relationship Id="rId39" Type="http://schemas.openxmlformats.org/officeDocument/2006/relationships/footer" Target="footer1.xml"/><Relationship Id="rId21" Type="http://schemas.openxmlformats.org/officeDocument/2006/relationships/oleObject" Target="embeddings/oleObject1.bin"/><Relationship Id="rId34" Type="http://schemas.openxmlformats.org/officeDocument/2006/relationships/image" Target="media/image21.pn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0.png"/><Relationship Id="rId37" Type="http://schemas.openxmlformats.org/officeDocument/2006/relationships/oleObject" Target="embeddings/oleObject8.bin"/><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emf"/><Relationship Id="rId28" Type="http://schemas.openxmlformats.org/officeDocument/2006/relationships/image" Target="media/image18.png"/><Relationship Id="rId36" Type="http://schemas.openxmlformats.org/officeDocument/2006/relationships/image" Target="media/image22.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oleObject" Target="embeddings/oleObject5.bin"/><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oleObject" Target="embeddings/oleObject3.bin"/><Relationship Id="rId30" Type="http://schemas.openxmlformats.org/officeDocument/2006/relationships/image" Target="media/image19.png"/><Relationship Id="rId35" Type="http://schemas.openxmlformats.org/officeDocument/2006/relationships/oleObject" Target="embeddings/oleObject7.bin"/><Relationship Id="rId43" Type="http://schemas.openxmlformats.org/officeDocument/2006/relationships/footer" Target="footer3.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DC520-4B00-4426-ABF7-44674E4A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61100</Words>
  <Characters>34828</Characters>
  <Application>Microsoft Office Word</Application>
  <DocSecurity>0</DocSecurity>
  <Lines>290</Lines>
  <Paragraphs>191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2019-10-17T12:41:00Z</dcterms:created>
  <dcterms:modified xsi:type="dcterms:W3CDTF">2020-05-15T07:09:00Z</dcterms:modified>
</cp:coreProperties>
</file>