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47C8" w:rsidRPr="00227E92" w:rsidRDefault="002F47C8" w:rsidP="00227E92">
      <w:pPr>
        <w:spacing w:after="0" w:line="240" w:lineRule="auto"/>
        <w:jc w:val="both"/>
        <w:rPr>
          <w:rFonts w:ascii="Times New Roman" w:eastAsia="Times New Roman" w:hAnsi="Times New Roman" w:cs="Times New Roman"/>
          <w:b/>
          <w:bCs/>
          <w:noProof/>
          <w:sz w:val="24"/>
          <w:szCs w:val="20"/>
        </w:rPr>
      </w:pPr>
      <w:r w:rsidRPr="00227E92">
        <w:rPr>
          <w:rFonts w:ascii="Times New Roman" w:hAnsi="Times New Roman"/>
          <w:b/>
          <w:noProof/>
          <w:sz w:val="24"/>
        </w:rPr>
        <w:t>Vadlīnijas ieslodzījuma vietām un probācijas dienestiem par radikalizāciju un vardarbīgo ekstrēmismu</w:t>
      </w:r>
    </w:p>
    <w:p w:rsidR="00ED6A38" w:rsidRPr="00227E92" w:rsidRDefault="00ED6A38" w:rsidP="00227E92">
      <w:pPr>
        <w:spacing w:after="0" w:line="240" w:lineRule="auto"/>
        <w:jc w:val="both"/>
        <w:rPr>
          <w:rFonts w:ascii="Times New Roman" w:eastAsia="Times New Roman" w:hAnsi="Times New Roman" w:cs="Times New Roman"/>
          <w:b/>
          <w:bCs/>
          <w:noProof/>
          <w:sz w:val="24"/>
          <w:szCs w:val="20"/>
        </w:rPr>
      </w:pPr>
    </w:p>
    <w:p w:rsidR="002F47C8" w:rsidRPr="00227E92" w:rsidRDefault="002F47C8" w:rsidP="00227E92">
      <w:pPr>
        <w:spacing w:after="0" w:line="240" w:lineRule="auto"/>
        <w:jc w:val="both"/>
        <w:rPr>
          <w:rFonts w:ascii="Times New Roman" w:eastAsia="Times New Roman" w:hAnsi="Times New Roman" w:cs="Times New Roman"/>
          <w:i/>
          <w:iCs/>
          <w:noProof/>
          <w:sz w:val="24"/>
          <w:szCs w:val="24"/>
        </w:rPr>
      </w:pPr>
      <w:r w:rsidRPr="00227E92">
        <w:rPr>
          <w:rFonts w:ascii="Times New Roman" w:hAnsi="Times New Roman"/>
          <w:i/>
          <w:noProof/>
          <w:sz w:val="24"/>
        </w:rPr>
        <w:t>(Pieņēmusi Ministru komiteja 20</w:t>
      </w:r>
      <w:bookmarkStart w:id="0" w:name="_GoBack"/>
      <w:bookmarkEnd w:id="0"/>
      <w:r w:rsidRPr="00227E92">
        <w:rPr>
          <w:rFonts w:ascii="Times New Roman" w:hAnsi="Times New Roman"/>
          <w:i/>
          <w:noProof/>
          <w:sz w:val="24"/>
        </w:rPr>
        <w:t>16. gada 2. martā</w:t>
      </w:r>
    </w:p>
    <w:p w:rsidR="002F47C8" w:rsidRPr="00227E92" w:rsidRDefault="002F47C8" w:rsidP="00227E92">
      <w:pPr>
        <w:spacing w:after="0" w:line="240" w:lineRule="auto"/>
        <w:jc w:val="both"/>
        <w:rPr>
          <w:rFonts w:ascii="Times New Roman" w:eastAsia="Times New Roman" w:hAnsi="Times New Roman" w:cs="Times New Roman"/>
          <w:i/>
          <w:iCs/>
          <w:noProof/>
          <w:sz w:val="24"/>
          <w:szCs w:val="24"/>
        </w:rPr>
      </w:pPr>
      <w:r w:rsidRPr="00227E92">
        <w:rPr>
          <w:rFonts w:ascii="Times New Roman" w:hAnsi="Times New Roman"/>
          <w:i/>
          <w:noProof/>
          <w:sz w:val="24"/>
        </w:rPr>
        <w:t>ministru vietnieku 1249. sanāksmē)</w:t>
      </w:r>
    </w:p>
    <w:p w:rsidR="00ED6A38" w:rsidRPr="00227E92" w:rsidRDefault="00ED6A38" w:rsidP="00227E92">
      <w:pPr>
        <w:spacing w:after="0" w:line="240" w:lineRule="auto"/>
        <w:jc w:val="both"/>
        <w:rPr>
          <w:rFonts w:ascii="Times New Roman" w:eastAsia="Times New Roman" w:hAnsi="Times New Roman" w:cs="Times New Roman"/>
          <w:i/>
          <w:iCs/>
          <w:noProof/>
          <w:sz w:val="24"/>
          <w:szCs w:val="24"/>
        </w:rPr>
      </w:pP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b/>
          <w:caps/>
          <w:noProof/>
          <w:sz w:val="24"/>
        </w:rPr>
        <w:t>I. Šajās vadlīnijās izmantotā terminoloģija</w:t>
      </w:r>
      <w:r w:rsidRPr="00227E92">
        <w:rPr>
          <w:rStyle w:val="FootnoteReference"/>
          <w:rFonts w:ascii="Times New Roman" w:hAnsi="Times New Roman"/>
          <w:b/>
          <w:caps/>
          <w:noProof/>
          <w:sz w:val="24"/>
          <w:vertAlign w:val="superscript"/>
        </w:rPr>
        <w:footnoteReference w:id="1"/>
      </w:r>
    </w:p>
    <w:p w:rsidR="00ED6A38" w:rsidRPr="00227E92" w:rsidRDefault="00ED6A38" w:rsidP="00227E92">
      <w:pPr>
        <w:spacing w:after="0" w:line="240" w:lineRule="auto"/>
        <w:jc w:val="both"/>
        <w:rPr>
          <w:rFonts w:ascii="Times New Roman" w:eastAsia="Times New Roman" w:hAnsi="Times New Roman" w:cs="Times New Roman"/>
          <w:b/>
          <w:bCs/>
          <w:noProof/>
          <w:sz w:val="24"/>
          <w:szCs w:val="24"/>
        </w:rPr>
      </w:pP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b/>
          <w:noProof/>
          <w:sz w:val="24"/>
        </w:rPr>
        <w:t xml:space="preserve">Radikalizācija </w:t>
      </w:r>
      <w:r w:rsidRPr="00227E92">
        <w:rPr>
          <w:rFonts w:ascii="Times New Roman" w:hAnsi="Times New Roman"/>
          <w:noProof/>
          <w:sz w:val="24"/>
        </w:rPr>
        <w:t>ir dinamisks process, kurā persona pakāpeniski pieņem vardarbīgo ekstrēmismu un kļūst par tā atbalstītāju. Šā procesa pamatā var būt ideoloģiska, politiska, reliģiska, sociāla, ekonomiska un personīga rakstura iemesli.</w:t>
      </w: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b/>
          <w:noProof/>
          <w:sz w:val="24"/>
        </w:rPr>
        <w:t xml:space="preserve">Vardarbīgais ekstrēmisms </w:t>
      </w:r>
      <w:r w:rsidRPr="00227E92">
        <w:rPr>
          <w:rFonts w:ascii="Times New Roman" w:hAnsi="Times New Roman"/>
          <w:noProof/>
          <w:sz w:val="24"/>
        </w:rPr>
        <w:t>izpaužas kā tādu darbību popularizēšana, atbalstīšana un veikšana, kuras var novest pie terorisma un kuru mērķis ir aizstāvēt ideoloģiju, kas sludina rases, nacionālo, etnisko vai reliģisko pārākumu vai noliedz demokrātijas pamatprincipus un pamatvērtības.</w:t>
      </w: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b/>
          <w:noProof/>
          <w:sz w:val="24"/>
        </w:rPr>
        <w:t xml:space="preserve">Dinamiskā drošība </w:t>
      </w:r>
      <w:r w:rsidRPr="00227E92">
        <w:rPr>
          <w:rFonts w:ascii="Times New Roman" w:hAnsi="Times New Roman"/>
          <w:noProof/>
          <w:sz w:val="24"/>
        </w:rPr>
        <w:t>ir jēdziens un darba metode, ar kuru personāls izvirza par prioritāti ikdienas saziņas un mijiedarbības ar ieslodzītajiem izveidi un uzturēšanu, pamatojoties uz profesionālo ētiku. Tās mērķis ir labāk saprast ieslodzītos un novērtēt riskus, ko viņi var radīt, kā arī nodrošināt drošumu, drošību un labu pārvaldību, lai veicinātu resocializāciju un sagatavošanos atbrīvošanai. Šis jēdziens jāaplūko plašākā drošības izpratnē, kas ietver arī strukturālo, organizatorisko un statisko drošību (sienas, barjeras, slēdzenes, apgaismojums un aprīkojums, ko vajadzības gadījumā izmanto ieslodzīto savaldīšanai).</w:t>
      </w:r>
    </w:p>
    <w:p w:rsidR="00ED6A38" w:rsidRPr="00227E92" w:rsidRDefault="00ED6A38" w:rsidP="00227E92">
      <w:pPr>
        <w:spacing w:after="0" w:line="240" w:lineRule="auto"/>
        <w:jc w:val="both"/>
        <w:rPr>
          <w:rFonts w:ascii="Times New Roman" w:eastAsia="Times New Roman" w:hAnsi="Times New Roman" w:cs="Times New Roman"/>
          <w:b/>
          <w:bCs/>
          <w:caps/>
          <w:noProof/>
          <w:sz w:val="24"/>
          <w:szCs w:val="24"/>
        </w:rPr>
      </w:pPr>
    </w:p>
    <w:p w:rsidR="002F47C8" w:rsidRPr="00227E92" w:rsidRDefault="002F47C8" w:rsidP="00227E92">
      <w:pPr>
        <w:spacing w:after="0" w:line="240" w:lineRule="auto"/>
        <w:jc w:val="both"/>
        <w:rPr>
          <w:rFonts w:ascii="Times New Roman" w:eastAsia="Times New Roman" w:hAnsi="Times New Roman" w:cs="Times New Roman"/>
          <w:b/>
          <w:bCs/>
          <w:caps/>
          <w:noProof/>
          <w:sz w:val="24"/>
          <w:szCs w:val="24"/>
        </w:rPr>
      </w:pPr>
      <w:r w:rsidRPr="00227E92">
        <w:rPr>
          <w:rFonts w:ascii="Times New Roman" w:hAnsi="Times New Roman"/>
          <w:b/>
          <w:caps/>
          <w:noProof/>
          <w:sz w:val="24"/>
        </w:rPr>
        <w:t>II. Darbības joma</w:t>
      </w:r>
    </w:p>
    <w:p w:rsidR="00ED6A38" w:rsidRPr="00227E92" w:rsidRDefault="00ED6A38" w:rsidP="00227E92">
      <w:pPr>
        <w:spacing w:after="0" w:line="240" w:lineRule="auto"/>
        <w:jc w:val="both"/>
        <w:rPr>
          <w:rFonts w:ascii="Times New Roman" w:eastAsia="Times New Roman" w:hAnsi="Times New Roman" w:cs="Times New Roman"/>
          <w:noProof/>
          <w:sz w:val="24"/>
          <w:szCs w:val="24"/>
        </w:rPr>
      </w:pP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noProof/>
          <w:sz w:val="24"/>
        </w:rPr>
        <w:t>Šajās vadlīnijās ieteikti pasākumi ieslodzījuma vietām un probācijas dienestiem, lai novērstu to atbildībā esošo personu radikalizēšanos un vardarbīgā ekstrēmisma uzskatu pieņemšanu, kas var novest pie terorisma aktiem, kā arī, lai atklātu un pārvaldītu radikalizētās personas un palīdzētu viņām atgriezties normālā dzīvē sabiedrībā.</w:t>
      </w: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noProof/>
          <w:sz w:val="24"/>
        </w:rPr>
        <w:t>Ieteiktie pasākumi galvenokārt paredzēti piemērošanai attiecībā uz ieslodzītajiem, tostarp pirmstiesas apcietinājumā esošām personām, kā arī probācijas klientiem (nosacīti pirms termiņa atbrīvotām personām).</w:t>
      </w: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noProof/>
          <w:sz w:val="24"/>
        </w:rPr>
        <w:t>Ieslodzījuma vietu un probācijas dienestu darbinieki ir galvenie šo pamatprincipu ieviesēji. Šos pamatprincipus var piemērot arī citu iestāžu un reliģisko konfesiju pārstāvji, kas strādā ar ieslodzītajiem un probācijas klientiem, kā arī juridiskie konsultanti, ģimenes locekļi un līdzcilvēki.</w:t>
      </w: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noProof/>
          <w:sz w:val="24"/>
        </w:rPr>
        <w:t>Radikalizācija ir sociāla un politiska problēma, kas skar valsts iestādes kopumā. Ieslodzījuma vietas ir tikai viens iestāžu veids, kurās var notikt radikalizācija, taču efektīvu risinājumu var sniegt vienīgi vispusīga sociāla un politiska pieeja problēmas cēloņiem.</w:t>
      </w: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noProof/>
          <w:sz w:val="24"/>
        </w:rPr>
        <w:t>Lai arī Eiropas Padomes dalībvalstīs ir neliels tādu ieslodzīto un probācijas klientu skaits, kuriem draud radikalizēšanās vai kļūšana par vardarbīgiem ekstrēmistiem, tomēr ir svarīgi veltīt ievērojamus resursus un centienus šīs problēmas efektīvai risināšanai, ņemot vērā bīstamību, ko tā rada sabiedrībai.</w:t>
      </w:r>
    </w:p>
    <w:p w:rsidR="002F47C8" w:rsidRPr="00227E92" w:rsidRDefault="002F47C8" w:rsidP="00227E92">
      <w:pPr>
        <w:spacing w:after="0" w:line="240" w:lineRule="auto"/>
        <w:jc w:val="both"/>
        <w:rPr>
          <w:rFonts w:ascii="Times New Roman" w:eastAsia="Times New Roman" w:hAnsi="Times New Roman" w:cs="Arial"/>
          <w:noProof/>
          <w:sz w:val="24"/>
          <w:szCs w:val="20"/>
        </w:rPr>
      </w:pP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noProof/>
          <w:sz w:val="24"/>
        </w:rPr>
        <w:t>Šīs vadlīnijas piemēro atbilstoši attiecīgajiem starptautisko cilvēktiesību dokumentiem un standartiem, pilnīgi ievērojot Eiropas Cilvēktiesību un pamatbrīvību aizsardzības konvenciju.</w:t>
      </w: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noProof/>
          <w:sz w:val="24"/>
        </w:rPr>
        <w:lastRenderedPageBreak/>
        <w:t>Šīs vadlīnijas uzsver un papildina spēkā esošos Eiropas Padomes standartus, un tās ir jālasa kopā ar noteikumiem, kas ietverti attiecīgajos Eiropas Padomes ieteikumos, jo īpaši Eiropas cietumu noteikumos (Ministru komitejas Ieteikums </w:t>
      </w:r>
      <w:r w:rsidRPr="00227E92">
        <w:rPr>
          <w:rFonts w:ascii="Times New Roman" w:hAnsi="Times New Roman"/>
          <w:noProof/>
          <w:color w:val="0000FF"/>
          <w:sz w:val="24"/>
          <w:u w:val="single"/>
        </w:rPr>
        <w:t>Rec(2006)2</w:t>
      </w:r>
      <w:r w:rsidRPr="00227E92">
        <w:rPr>
          <w:rFonts w:ascii="Times New Roman" w:hAnsi="Times New Roman"/>
          <w:noProof/>
          <w:sz w:val="24"/>
        </w:rPr>
        <w:t>), Eiropas Padomes Probācijas noteikumos (Ministru komitejas Ieteikums </w:t>
      </w:r>
      <w:r w:rsidRPr="00227E92">
        <w:rPr>
          <w:rFonts w:ascii="Times New Roman" w:hAnsi="Times New Roman"/>
          <w:noProof/>
          <w:color w:val="0000FF"/>
          <w:sz w:val="24"/>
          <w:u w:val="single"/>
        </w:rPr>
        <w:t>CM/Rec(2010)1</w:t>
      </w:r>
      <w:r w:rsidRPr="00227E92">
        <w:rPr>
          <w:rFonts w:ascii="Times New Roman" w:hAnsi="Times New Roman"/>
          <w:noProof/>
          <w:sz w:val="24"/>
        </w:rPr>
        <w:t>), Eiropas noteikumos par nepilngadīgajiem likumpārkāpējiem, attiecībā uz kuriem tiek piemēroti sodi vai piespiedu līdzekļi (Ieteikums </w:t>
      </w:r>
      <w:r w:rsidRPr="00227E92">
        <w:rPr>
          <w:rFonts w:ascii="Times New Roman" w:hAnsi="Times New Roman"/>
          <w:noProof/>
          <w:color w:val="0000FF"/>
          <w:sz w:val="24"/>
          <w:u w:val="single"/>
        </w:rPr>
        <w:t>CM/Rec(2008)11</w:t>
      </w:r>
      <w:r w:rsidRPr="00227E92">
        <w:rPr>
          <w:rFonts w:ascii="Times New Roman" w:hAnsi="Times New Roman"/>
          <w:noProof/>
          <w:sz w:val="24"/>
        </w:rPr>
        <w:t>), Ministru komitejas Ieteikumā </w:t>
      </w:r>
      <w:r w:rsidRPr="00227E92">
        <w:rPr>
          <w:rFonts w:ascii="Times New Roman" w:hAnsi="Times New Roman"/>
          <w:noProof/>
          <w:color w:val="0000FF"/>
          <w:sz w:val="24"/>
          <w:u w:val="single"/>
        </w:rPr>
        <w:t>CM/Rec(2012)12</w:t>
      </w:r>
      <w:r w:rsidRPr="00227E92">
        <w:rPr>
          <w:rFonts w:ascii="Times New Roman" w:hAnsi="Times New Roman"/>
          <w:noProof/>
          <w:sz w:val="24"/>
        </w:rPr>
        <w:t xml:space="preserve"> par ārvalstu ieslodzītajiem, Ministru komitejas Ieteikumā </w:t>
      </w:r>
      <w:r w:rsidRPr="00227E92">
        <w:rPr>
          <w:rFonts w:ascii="Times New Roman" w:hAnsi="Times New Roman"/>
          <w:noProof/>
          <w:color w:val="0000FF"/>
          <w:sz w:val="24"/>
          <w:u w:val="single"/>
        </w:rPr>
        <w:t>CM/Rec(2014)3</w:t>
      </w:r>
      <w:r w:rsidRPr="00227E92">
        <w:rPr>
          <w:rFonts w:ascii="Times New Roman" w:hAnsi="Times New Roman"/>
          <w:noProof/>
          <w:sz w:val="24"/>
        </w:rPr>
        <w:t xml:space="preserve"> par bīstamiem likumpārkāpējiem un Ministru komitejas Ieteikumā </w:t>
      </w:r>
      <w:r w:rsidRPr="00227E92">
        <w:rPr>
          <w:rFonts w:ascii="Times New Roman" w:hAnsi="Times New Roman"/>
          <w:noProof/>
          <w:color w:val="0000FF"/>
          <w:sz w:val="24"/>
          <w:u w:val="single"/>
        </w:rPr>
        <w:t>CM/Rec(2014)4</w:t>
      </w:r>
      <w:r w:rsidRPr="00227E92">
        <w:rPr>
          <w:rFonts w:ascii="Times New Roman" w:hAnsi="Times New Roman"/>
          <w:noProof/>
          <w:sz w:val="24"/>
        </w:rPr>
        <w:t xml:space="preserve"> par elektronisko uzraudzību. </w:t>
      </w: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noProof/>
          <w:sz w:val="24"/>
        </w:rPr>
        <w:t>Daži būtiskākie noteikumi un principi, kas iekļauti Eiropas cietumu noteikumos, ir īpaši uzsvērti, iekļaujot tos šo vadlīniju tekstā, lai atgādinātu ieslodzījuma vietām un probācijas dienestiem, ka tie nedrīkst atkāpties no šiem noteikumiem un principiem darbā ar to atbildībā esošajām radikalizētajām personām.</w:t>
      </w:r>
    </w:p>
    <w:p w:rsidR="00ED6A38" w:rsidRPr="00227E92" w:rsidRDefault="00ED6A38" w:rsidP="00227E92">
      <w:pPr>
        <w:spacing w:after="0" w:line="240" w:lineRule="auto"/>
        <w:jc w:val="both"/>
        <w:rPr>
          <w:rFonts w:ascii="Times New Roman" w:eastAsia="Times New Roman" w:hAnsi="Times New Roman" w:cs="Times New Roman"/>
          <w:b/>
          <w:bCs/>
          <w:caps/>
          <w:noProof/>
          <w:sz w:val="24"/>
          <w:szCs w:val="24"/>
        </w:rPr>
      </w:pPr>
    </w:p>
    <w:p w:rsidR="002F47C8" w:rsidRPr="00227E92" w:rsidRDefault="002F47C8" w:rsidP="00227E92">
      <w:pPr>
        <w:spacing w:after="0" w:line="240" w:lineRule="auto"/>
        <w:jc w:val="both"/>
        <w:rPr>
          <w:rFonts w:ascii="Times New Roman" w:eastAsia="Times New Roman" w:hAnsi="Times New Roman" w:cs="Times New Roman"/>
          <w:b/>
          <w:bCs/>
          <w:caps/>
          <w:noProof/>
          <w:sz w:val="24"/>
          <w:szCs w:val="24"/>
        </w:rPr>
      </w:pPr>
      <w:r w:rsidRPr="00227E92">
        <w:rPr>
          <w:rFonts w:ascii="Times New Roman" w:hAnsi="Times New Roman"/>
          <w:b/>
          <w:caps/>
          <w:noProof/>
          <w:sz w:val="24"/>
        </w:rPr>
        <w:t>III. PAMATPRINCIPI UN VISPĀRĪGI APSVĒRUMI</w:t>
      </w:r>
    </w:p>
    <w:p w:rsidR="00ED6A38" w:rsidRPr="00227E92" w:rsidRDefault="00ED6A38" w:rsidP="00227E92">
      <w:pPr>
        <w:spacing w:after="0" w:line="240" w:lineRule="auto"/>
        <w:jc w:val="both"/>
        <w:rPr>
          <w:rFonts w:ascii="Times New Roman" w:eastAsia="Times New Roman" w:hAnsi="Times New Roman" w:cs="Times New Roman"/>
          <w:b/>
          <w:bCs/>
          <w:noProof/>
          <w:sz w:val="24"/>
          <w:szCs w:val="24"/>
        </w:rPr>
      </w:pPr>
    </w:p>
    <w:p w:rsidR="002F47C8" w:rsidRPr="00227E92" w:rsidRDefault="002F47C8" w:rsidP="00227E92">
      <w:pPr>
        <w:spacing w:after="0" w:line="240" w:lineRule="auto"/>
        <w:jc w:val="both"/>
        <w:rPr>
          <w:rFonts w:ascii="Times New Roman" w:eastAsia="Times New Roman" w:hAnsi="Times New Roman" w:cs="Times New Roman"/>
          <w:b/>
          <w:bCs/>
          <w:noProof/>
          <w:sz w:val="24"/>
          <w:szCs w:val="24"/>
        </w:rPr>
      </w:pPr>
      <w:r w:rsidRPr="00227E92">
        <w:rPr>
          <w:rFonts w:ascii="Times New Roman" w:hAnsi="Times New Roman"/>
          <w:b/>
          <w:noProof/>
          <w:sz w:val="24"/>
        </w:rPr>
        <w:t>a. Cilvēktiesību un pamatbrīvību ievērošana</w:t>
      </w:r>
    </w:p>
    <w:p w:rsidR="00ED6A38" w:rsidRPr="00227E92" w:rsidRDefault="00ED6A38" w:rsidP="00227E92">
      <w:pPr>
        <w:spacing w:after="0" w:line="240" w:lineRule="auto"/>
        <w:jc w:val="both"/>
        <w:rPr>
          <w:rFonts w:ascii="Times New Roman" w:eastAsia="Times New Roman" w:hAnsi="Times New Roman" w:cs="Times New Roman"/>
          <w:noProof/>
          <w:sz w:val="24"/>
          <w:szCs w:val="24"/>
        </w:rPr>
      </w:pP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noProof/>
          <w:sz w:val="24"/>
        </w:rPr>
        <w:t>1. Radikalizācijas un vardarbīgā ekstrēmisma novēršanu un apkarošanu vienmēr veic, pamatojoties uz tiesiskuma principu un ievērojot starptautiskos cilvēktiesību standartus, jo cilvēktiesību un tiesiskuma ievērošana ir veiksmīgas radikalizācijas apkarošanas pasākuma būtiska daļa. Cilvēktiesību un tiesiskuma neievērošana ir viens no faktoriem, kas var veicināt radikalizācijas pieaugumu.</w:t>
      </w: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noProof/>
          <w:sz w:val="24"/>
        </w:rPr>
        <w:t>2. Spīdzināšana un necilvēcīga vai pazemojoša izturēšanās vai sods ir aizliegts. Ievēro izpausmes brīvību un reliģiskās pārliecības brīvību.</w:t>
      </w:r>
    </w:p>
    <w:p w:rsidR="00ED6A38" w:rsidRPr="00227E92" w:rsidRDefault="00ED6A38" w:rsidP="00227E92">
      <w:pPr>
        <w:spacing w:after="0" w:line="240" w:lineRule="auto"/>
        <w:jc w:val="both"/>
        <w:rPr>
          <w:rFonts w:ascii="Times New Roman" w:eastAsia="Times New Roman" w:hAnsi="Times New Roman" w:cs="Times New Roman"/>
          <w:b/>
          <w:bCs/>
          <w:noProof/>
          <w:sz w:val="24"/>
          <w:szCs w:val="24"/>
        </w:rPr>
      </w:pPr>
    </w:p>
    <w:p w:rsidR="002F47C8" w:rsidRPr="00227E92" w:rsidRDefault="002F47C8" w:rsidP="00227E92">
      <w:pPr>
        <w:spacing w:after="0" w:line="240" w:lineRule="auto"/>
        <w:jc w:val="both"/>
        <w:rPr>
          <w:rFonts w:ascii="Times New Roman" w:eastAsia="Times New Roman" w:hAnsi="Times New Roman" w:cs="Times New Roman"/>
          <w:b/>
          <w:bCs/>
          <w:noProof/>
          <w:sz w:val="24"/>
          <w:szCs w:val="24"/>
        </w:rPr>
      </w:pPr>
      <w:r w:rsidRPr="00227E92">
        <w:rPr>
          <w:rFonts w:ascii="Times New Roman" w:hAnsi="Times New Roman"/>
          <w:b/>
          <w:noProof/>
          <w:sz w:val="24"/>
        </w:rPr>
        <w:t>b. Datu aizsardzības un privātuma ievērošana</w:t>
      </w:r>
    </w:p>
    <w:p w:rsidR="00ED6A38" w:rsidRPr="00227E92" w:rsidRDefault="00ED6A38" w:rsidP="00227E92">
      <w:pPr>
        <w:spacing w:after="0" w:line="240" w:lineRule="auto"/>
        <w:jc w:val="both"/>
        <w:rPr>
          <w:rFonts w:ascii="Times New Roman" w:eastAsia="Times New Roman" w:hAnsi="Times New Roman" w:cs="Times New Roman"/>
          <w:noProof/>
          <w:sz w:val="24"/>
          <w:szCs w:val="24"/>
        </w:rPr>
      </w:pP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noProof/>
          <w:sz w:val="24"/>
        </w:rPr>
        <w:t>3. Jebkāda ieslodzīto saskarsmes, saziņas un apmeklējumu uzraudzība un ierobežošana, kas tiek veikta, pamatojoties uz bažām par radikalizāciju, ir proporcionāla novērtētajam riskam un tiek īstenota, pilnīgi ievērojot starptautisko cilvēktiesību standartus un valsts tiesību aktus attiecībā uz personām, kurām atņemta brīvība, un atbilst Eiropas cietumu noteikumu 24. punktam par ieslodzīto saskarsmi ar ārpasauli.</w:t>
      </w: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noProof/>
          <w:sz w:val="24"/>
        </w:rPr>
        <w:t>4. Ja pastāv informācijas apmaiņa starp ieslodzījuma vietām un probācijas dienestiem, no vienas puses, un valsts tiesībaizsardzības un izlūkošanas iestādēm, no otras puses, jautājumos, kas saistīti ar radikalizāciju un vardarbīgo ekstrēmismu, vienojas par stingrām un skaidrām procedūrām privātuma un datu aizsardzības jomā un ievēro tās.</w:t>
      </w: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noProof/>
          <w:sz w:val="24"/>
        </w:rPr>
        <w:t>5. Darbiniekiem, kas nodarbojas ar ieslodzīto resocializāciju, jābūt pienācīgai autonomijai un neatkarībai no darbiniekiem, kuri iesaistīti izlūkdatu vākšanā par vardarbīgajiem ekstrēmistiem. Uzticēšanās, kas izriet no šādas autonomijas, ir priekšnoteikums tam, lai resocializācija būtu veiksmīga.</w:t>
      </w:r>
    </w:p>
    <w:p w:rsidR="00ED6A38" w:rsidRPr="00227E92" w:rsidRDefault="00ED6A38" w:rsidP="00227E92">
      <w:pPr>
        <w:spacing w:after="0" w:line="240" w:lineRule="auto"/>
        <w:jc w:val="both"/>
        <w:rPr>
          <w:rFonts w:ascii="Times New Roman" w:eastAsia="Times New Roman" w:hAnsi="Times New Roman" w:cs="Times New Roman"/>
          <w:b/>
          <w:bCs/>
          <w:noProof/>
          <w:sz w:val="24"/>
          <w:szCs w:val="24"/>
        </w:rPr>
      </w:pPr>
    </w:p>
    <w:p w:rsidR="002F47C8" w:rsidRPr="00227E92" w:rsidRDefault="002F47C8" w:rsidP="00227E92">
      <w:pPr>
        <w:spacing w:after="0" w:line="240" w:lineRule="auto"/>
        <w:jc w:val="both"/>
        <w:rPr>
          <w:rFonts w:ascii="Times New Roman" w:eastAsia="Times New Roman" w:hAnsi="Times New Roman" w:cs="Times New Roman"/>
          <w:b/>
          <w:bCs/>
          <w:noProof/>
          <w:sz w:val="24"/>
          <w:szCs w:val="24"/>
        </w:rPr>
      </w:pPr>
      <w:r w:rsidRPr="00227E92">
        <w:rPr>
          <w:rFonts w:ascii="Times New Roman" w:hAnsi="Times New Roman"/>
          <w:b/>
          <w:noProof/>
          <w:sz w:val="24"/>
        </w:rPr>
        <w:t>c. Brīvības atņemšana kā galējais līdzeklis</w:t>
      </w:r>
    </w:p>
    <w:p w:rsidR="00ED6A38" w:rsidRPr="00227E92" w:rsidRDefault="00ED6A38" w:rsidP="00227E92">
      <w:pPr>
        <w:spacing w:after="0" w:line="240" w:lineRule="auto"/>
        <w:jc w:val="both"/>
        <w:rPr>
          <w:rFonts w:ascii="Times New Roman" w:eastAsia="Times New Roman" w:hAnsi="Times New Roman" w:cs="Times New Roman"/>
          <w:noProof/>
          <w:sz w:val="24"/>
          <w:szCs w:val="24"/>
        </w:rPr>
      </w:pP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noProof/>
          <w:sz w:val="24"/>
        </w:rPr>
        <w:t>6. Lai efektīvi piemērotu principu, kas paredz, ka ieslodzījuma vietu izmanto kā galējo līdzekli, vienmēr, kad iespējams, piemēro dažādus konkrētajiem gadījumiem pielāgotus sodus un pasākumus, lai paturētu pārkāpējus sabiedrībā un uzlabotu viņu iespējas dzīvot bez noziegumu izdarīšanas. Sadarbība ar citām iestādēm šajā saistībā var veicināt labās prakses apmaiņu par vispārīgiem preventīviem pasākumiem attiecībā uz radikalizāciju un vardarbīgu ekstrēmismu.</w:t>
      </w: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noProof/>
          <w:sz w:val="24"/>
        </w:rPr>
        <w:t>7. Gados jauni likumpārkāpēji var būt īpaši nenoturīgi pret radikalizāciju. Lai novērstu brīvības atņemšanas nelabvēlīgo ietekmi, vispirms apsver sabiedrībā izciešamo sodu un pasākumu izmantošanu. Darbam ar šiem likumpārkāpējiem velta papildu pūliņus un resursus.</w:t>
      </w:r>
    </w:p>
    <w:p w:rsidR="00343783" w:rsidRPr="00227E92" w:rsidRDefault="00343783" w:rsidP="00227E92">
      <w:pPr>
        <w:spacing w:after="0" w:line="240" w:lineRule="auto"/>
        <w:jc w:val="both"/>
        <w:rPr>
          <w:rFonts w:ascii="Times New Roman" w:eastAsia="Times New Roman" w:hAnsi="Times New Roman" w:cs="Arial"/>
          <w:b/>
          <w:bCs/>
          <w:noProof/>
          <w:sz w:val="24"/>
          <w:szCs w:val="20"/>
        </w:rPr>
      </w:pPr>
    </w:p>
    <w:p w:rsidR="002F47C8" w:rsidRPr="00227E92" w:rsidRDefault="002F47C8" w:rsidP="00227E92">
      <w:pPr>
        <w:spacing w:after="0" w:line="240" w:lineRule="auto"/>
        <w:jc w:val="both"/>
        <w:rPr>
          <w:rFonts w:ascii="Times New Roman" w:eastAsia="Times New Roman" w:hAnsi="Times New Roman" w:cs="Times New Roman"/>
          <w:b/>
          <w:bCs/>
          <w:noProof/>
          <w:sz w:val="24"/>
          <w:szCs w:val="24"/>
        </w:rPr>
      </w:pPr>
      <w:r w:rsidRPr="00227E92">
        <w:rPr>
          <w:rFonts w:ascii="Times New Roman" w:hAnsi="Times New Roman"/>
          <w:b/>
          <w:noProof/>
          <w:sz w:val="24"/>
        </w:rPr>
        <w:t>d. Laba ieslodzījuma vietas pārvaldība</w:t>
      </w:r>
    </w:p>
    <w:p w:rsidR="00343783" w:rsidRPr="00227E92" w:rsidRDefault="00343783" w:rsidP="00227E92">
      <w:pPr>
        <w:spacing w:after="0" w:line="240" w:lineRule="auto"/>
        <w:jc w:val="both"/>
        <w:rPr>
          <w:rFonts w:ascii="Times New Roman" w:eastAsia="Times New Roman" w:hAnsi="Times New Roman" w:cs="Times New Roman"/>
          <w:b/>
          <w:bCs/>
          <w:noProof/>
          <w:sz w:val="24"/>
          <w:szCs w:val="24"/>
        </w:rPr>
      </w:pP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noProof/>
          <w:sz w:val="24"/>
        </w:rPr>
        <w:t>8. Laba ieslodzījuma vietas pārvaldība un laba kārtība ieslodzījuma vietā ietver ieslodzīto un personāla daudzveidības, iecietības un cilvēka cieņas principa ievērošanu, jo tas palīdz novērst situācijas, kas veicina radikalizāciju un vardarbīgu ekstrēmismu.</w:t>
      </w: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noProof/>
          <w:sz w:val="24"/>
        </w:rPr>
        <w:t>9. Lai arī vardarbība, rasisms, islāmofobija un citas diskriminācijas formas var nebūt pietiekams faktors, kas izraisa radikalizāciju, tas tomēr rada aizvainojumu un auglīgu augsni radikalizācijas scenāriju attīstībai. Radikalizācijas risku ieslodzījuma vietā var palielināt arī tādi faktori kā neatbilstoši ieslodzījuma apstākļi un pārblīvētība. Tāpēc šo jautājumu risināšana jāuztver kā radikalizācijas apkarošanas pasākuma neatņemama daļa.</w:t>
      </w: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noProof/>
          <w:sz w:val="24"/>
        </w:rPr>
        <w:t>10. Tāpat arī radikalizācijas procesus var veicināt un pastiprināt tas, ka ieslodzījuma vietas administrācija izmanto nesamērīgus pasākumus. Tāpēc soda pasākumus, spēku un speciālos līdzekļus izmanto proporcionāli tieša un nopietna labas kārtības, drošuma un drošības apdraudējuma līmenim attiecīgajā ieslodzījuma vietā, lai iespējami saglabātu attiecības, kuras raksturo uzticēšanās un atbalsts, lai palīdzētu likumpārkāpējam reintegrēties.</w:t>
      </w: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noProof/>
          <w:sz w:val="24"/>
        </w:rPr>
        <w:t>11. Ieslodzījuma vietu pārvaldībā iekļauj konsultāciju sniegšanu darbiniekiem un, ievērojot labas kārtības, drošuma un drošības vajadzības, ieslodzīto uzklausīšanu jautājumos, kas skar vispārējos ieslodzījuma apstākļus.</w:t>
      </w: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noProof/>
          <w:sz w:val="24"/>
        </w:rPr>
        <w:t>12. Ieslodzīto drošuma sajūta un uzticēšanās darbinieku rīcības likumībai var radīt labvēlīgas izmaiņas un veicināt viņu resocializāciju un atgriešanos sabiedrībā. Tāpēc jādara viss iespējamais, lai saglabātu un pilnveidotu šādas uzticībā balstītas attiecības, tādējādi palīdzot likumpārkāpējiem sākt vai veidot dzīvi bez noziedzības.</w:t>
      </w: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noProof/>
          <w:sz w:val="24"/>
        </w:rPr>
        <w:t>13. Cik vien tas ir iespējams, ieslodzījuma vietas un probācijas dienesti izraugās un pieņem darbā tādus darbiniekus, kuriem ir nepieciešamās valodas prasmes un kultūras izpratne. Darbinieku starpkultūru un dažādu ticību izpratnes uzlabošanu iekļauj izglītībā un apmācībā kā tās neatņemamu daļu, lai veicinātu izpratni par uzskatu un tradīciju daudzveidību un iecietību pret to.</w:t>
      </w: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noProof/>
          <w:sz w:val="24"/>
        </w:rPr>
        <w:t>14. Darbiniekus atlasa, atbalsta un apmāca, lai attīstītu un uzturētu šo darbinieku profesionālo ētiku un noturību pret iespējamo spiedienu, kas noved pie radikalizācijas. </w:t>
      </w: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noProof/>
          <w:sz w:val="24"/>
        </w:rPr>
        <w:t>15. Izglītošanas pasākumi ir būtiski to probācijas klientu un ieslodzīto resocializācijas procesā, kas var būt pieņēmuši vardarbīga ekstrēmisma uzskatus. Tie ne tikai strukturē ikdienu ieslodzījuma laikā, bet arī sniedz iespēju attīstīt jaunas prasmes, kas var atvieglot viņu atgriešanos sabiedrībā.</w:t>
      </w: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noProof/>
          <w:sz w:val="24"/>
        </w:rPr>
        <w:t>16. Lai cīnītos pret radikalizāciju ieslodzījuma vietā, labai ieslodzījuma vietas pārvaldībai ir nepieciešama ne tikai ar augsta profesionālā ētika un attieksme, bet arī ar pietiekami resursi. Tas nozīmē, ka var būt nepieciešami papildu līdzekļi jaunu darbinieku pieņemšanai un apmācībai.</w:t>
      </w:r>
    </w:p>
    <w:p w:rsidR="00343783" w:rsidRPr="00227E92" w:rsidRDefault="00343783" w:rsidP="00227E92">
      <w:pPr>
        <w:spacing w:after="0" w:line="240" w:lineRule="auto"/>
        <w:jc w:val="both"/>
        <w:rPr>
          <w:rFonts w:ascii="Times New Roman" w:eastAsia="Times New Roman" w:hAnsi="Times New Roman" w:cs="Times New Roman"/>
          <w:noProof/>
          <w:sz w:val="24"/>
          <w:szCs w:val="24"/>
        </w:rPr>
      </w:pPr>
    </w:p>
    <w:p w:rsidR="002F47C8" w:rsidRPr="00227E92" w:rsidRDefault="002F47C8" w:rsidP="00227E92">
      <w:pPr>
        <w:spacing w:after="0" w:line="240" w:lineRule="auto"/>
        <w:jc w:val="both"/>
        <w:rPr>
          <w:rFonts w:ascii="Times New Roman" w:eastAsia="Times New Roman" w:hAnsi="Times New Roman" w:cs="Times New Roman"/>
          <w:b/>
          <w:bCs/>
          <w:caps/>
          <w:noProof/>
          <w:sz w:val="24"/>
          <w:szCs w:val="24"/>
        </w:rPr>
      </w:pPr>
      <w:r w:rsidRPr="00227E92">
        <w:rPr>
          <w:rFonts w:ascii="Times New Roman" w:hAnsi="Times New Roman"/>
          <w:b/>
          <w:caps/>
          <w:noProof/>
          <w:sz w:val="24"/>
        </w:rPr>
        <w:t>IV. IESLODZĪJUMA VIETA UN PROBĀCIJAS darbs</w:t>
      </w:r>
    </w:p>
    <w:p w:rsidR="00343783" w:rsidRPr="00227E92" w:rsidRDefault="00343783" w:rsidP="00227E92">
      <w:pPr>
        <w:spacing w:after="0" w:line="240" w:lineRule="auto"/>
        <w:jc w:val="both"/>
        <w:rPr>
          <w:rFonts w:ascii="Times New Roman" w:eastAsia="Times New Roman" w:hAnsi="Times New Roman" w:cs="Times New Roman"/>
          <w:b/>
          <w:bCs/>
          <w:noProof/>
          <w:sz w:val="24"/>
          <w:szCs w:val="24"/>
        </w:rPr>
      </w:pPr>
    </w:p>
    <w:p w:rsidR="00343783" w:rsidRPr="00227E92" w:rsidRDefault="002F47C8" w:rsidP="00227E92">
      <w:pPr>
        <w:spacing w:after="0" w:line="240" w:lineRule="auto"/>
        <w:jc w:val="both"/>
        <w:rPr>
          <w:rFonts w:ascii="Times New Roman" w:eastAsia="Times New Roman" w:hAnsi="Times New Roman" w:cs="Times New Roman"/>
          <w:b/>
          <w:bCs/>
          <w:noProof/>
          <w:sz w:val="24"/>
          <w:szCs w:val="24"/>
        </w:rPr>
      </w:pPr>
      <w:r w:rsidRPr="00227E92">
        <w:rPr>
          <w:rFonts w:ascii="Times New Roman" w:hAnsi="Times New Roman"/>
          <w:b/>
          <w:noProof/>
          <w:sz w:val="24"/>
        </w:rPr>
        <w:t>a. Novērtēšana</w:t>
      </w:r>
    </w:p>
    <w:p w:rsidR="00343783" w:rsidRPr="00227E92" w:rsidRDefault="00343783" w:rsidP="00227E92">
      <w:pPr>
        <w:spacing w:after="0" w:line="240" w:lineRule="auto"/>
        <w:jc w:val="both"/>
        <w:rPr>
          <w:rFonts w:ascii="Times New Roman" w:eastAsia="Times New Roman" w:hAnsi="Times New Roman" w:cs="Times New Roman"/>
          <w:noProof/>
          <w:sz w:val="24"/>
          <w:szCs w:val="24"/>
        </w:rPr>
      </w:pP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noProof/>
          <w:sz w:val="24"/>
        </w:rPr>
        <w:t>17. Starpdisciplinārām grupām jāveic riska un vajadzību novērtēšana. Sākotnējā un turpmākajā likumpārkāpēju riska un vajadzību novērtēšanā īpašu uzmanību pievērš to likumpārkāpēju identificēšanai, kuri var būt nenoturīgi pret radikalizāciju. Ievērojot valsts riska novērtēšanas procedūras, jāreģistrē likumpārkāpēju viedokļi par šo jautājumu un likumpārkāpējiem jādod iespēja apstrīdēt šādus novērtējumus.</w:t>
      </w: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noProof/>
          <w:sz w:val="24"/>
        </w:rPr>
        <w:t xml:space="preserve">18. Lai izveidotu resocializācijas programmas, kuru mērķis ir ieslodzīto un probācijas klientu veiksmīga resocializācija, izstrādā novērtēšanas rīkus, kas īpaši paredzēti radikalizācijas risku identificēšanai, un šos rīkus izmanto no soda vai pasākumu piemērošanas sākuma, periodiski </w:t>
      </w:r>
      <w:r w:rsidRPr="00227E92">
        <w:rPr>
          <w:rFonts w:ascii="Times New Roman" w:hAnsi="Times New Roman"/>
          <w:noProof/>
          <w:sz w:val="24"/>
        </w:rPr>
        <w:lastRenderedPageBreak/>
        <w:t>atkārtojot to piemērošanu , kad nepieciešams, ja pastāv bažas, ka ieslodzītais varētu būt radikalizācijas procesā.</w:t>
      </w:r>
    </w:p>
    <w:p w:rsidR="002F47C8" w:rsidRPr="00227E92" w:rsidRDefault="002F47C8" w:rsidP="00227E92">
      <w:pPr>
        <w:spacing w:after="0" w:line="240" w:lineRule="auto"/>
        <w:jc w:val="both"/>
        <w:rPr>
          <w:rFonts w:ascii="Times New Roman" w:eastAsia="Times New Roman" w:hAnsi="Times New Roman" w:cs="Arial"/>
          <w:b/>
          <w:bCs/>
          <w:noProof/>
          <w:sz w:val="24"/>
          <w:szCs w:val="20"/>
        </w:rPr>
      </w:pPr>
    </w:p>
    <w:p w:rsidR="002F47C8" w:rsidRPr="00227E92" w:rsidRDefault="002F47C8" w:rsidP="00227E92">
      <w:pPr>
        <w:spacing w:after="0" w:line="240" w:lineRule="auto"/>
        <w:jc w:val="both"/>
        <w:rPr>
          <w:rFonts w:ascii="Times New Roman" w:eastAsia="Times New Roman" w:hAnsi="Times New Roman" w:cs="Times New Roman"/>
          <w:b/>
          <w:bCs/>
          <w:noProof/>
          <w:sz w:val="24"/>
          <w:szCs w:val="24"/>
        </w:rPr>
      </w:pPr>
      <w:r w:rsidRPr="00227E92">
        <w:rPr>
          <w:rFonts w:ascii="Times New Roman" w:hAnsi="Times New Roman"/>
          <w:b/>
          <w:noProof/>
          <w:sz w:val="24"/>
        </w:rPr>
        <w:t>b. Uzņemšana ieslodzījuma vietā un izvietošana</w:t>
      </w:r>
    </w:p>
    <w:p w:rsidR="00343783" w:rsidRPr="00227E92" w:rsidRDefault="00343783" w:rsidP="00227E92">
      <w:pPr>
        <w:spacing w:after="0" w:line="240" w:lineRule="auto"/>
        <w:jc w:val="both"/>
        <w:rPr>
          <w:rFonts w:ascii="Times New Roman" w:eastAsia="Times New Roman" w:hAnsi="Times New Roman" w:cs="Times New Roman"/>
          <w:noProof/>
          <w:sz w:val="24"/>
          <w:szCs w:val="24"/>
        </w:rPr>
      </w:pP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noProof/>
          <w:sz w:val="24"/>
        </w:rPr>
        <w:t>19. Īpaša uzmanība jāpievērš visu ieslodzīto uzņemšanas procedūrām, jo šādu procedūru pienācīga īstenošana rada ieslodzītajos uzticēšanās un drošības sajūtu, ļaujot pienācīgi novērtēt viņu veselības stāvokli uzņemšanas laikā un palīdzot veikt labu riska un vajadzību novērtēšanu, soda izpildes pasākumu plānošanu, klasificēšanu, izvietošanu un izmitināšanu.</w:t>
      </w: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noProof/>
          <w:sz w:val="24"/>
        </w:rPr>
        <w:t>20. Neatkarīgi no tā, vai ieslodzītie, kuri sodīti par noziegumiem, kas saistīti ar terorismu, tiek turēti atsevišķās ieslodzījuma vietās vai ieslodzījuma vietu izolētās nodaļās vai turēti izklaidus visā ieslodzījuma vietu sistēmā, katra šāda ieslodzītā radītā riska atsevišķu novērtējumu veic pirms viņu izvietošanas un šo novērtējumu periodiski pārskata.</w:t>
      </w:r>
    </w:p>
    <w:p w:rsidR="00343783" w:rsidRPr="00227E92" w:rsidRDefault="00343783" w:rsidP="00227E92">
      <w:pPr>
        <w:spacing w:after="0" w:line="240" w:lineRule="auto"/>
        <w:jc w:val="both"/>
        <w:rPr>
          <w:rFonts w:ascii="Times New Roman" w:eastAsia="Times New Roman" w:hAnsi="Times New Roman" w:cs="Times New Roman"/>
          <w:b/>
          <w:bCs/>
          <w:noProof/>
          <w:sz w:val="24"/>
          <w:szCs w:val="24"/>
        </w:rPr>
      </w:pPr>
    </w:p>
    <w:p w:rsidR="002F47C8" w:rsidRPr="00227E92" w:rsidRDefault="002F47C8" w:rsidP="00227E92">
      <w:pPr>
        <w:spacing w:after="0" w:line="240" w:lineRule="auto"/>
        <w:jc w:val="both"/>
        <w:rPr>
          <w:rFonts w:ascii="Times New Roman" w:eastAsia="Times New Roman" w:hAnsi="Times New Roman" w:cs="Times New Roman"/>
          <w:b/>
          <w:bCs/>
          <w:noProof/>
          <w:sz w:val="24"/>
          <w:szCs w:val="24"/>
        </w:rPr>
      </w:pPr>
      <w:r w:rsidRPr="00227E92">
        <w:rPr>
          <w:rFonts w:ascii="Times New Roman" w:hAnsi="Times New Roman"/>
          <w:b/>
          <w:noProof/>
          <w:sz w:val="24"/>
        </w:rPr>
        <w:t>c. Paaugstinātas drošības ieslodzījuma vietas vai paaugstinātas drošības sekcijas ieslodzījuma vietā un ieslodzīto pārvietošana</w:t>
      </w:r>
    </w:p>
    <w:p w:rsidR="00343783" w:rsidRPr="00227E92" w:rsidRDefault="00343783" w:rsidP="00227E92">
      <w:pPr>
        <w:spacing w:after="0" w:line="240" w:lineRule="auto"/>
        <w:jc w:val="both"/>
        <w:rPr>
          <w:rFonts w:ascii="Times New Roman" w:eastAsia="Times New Roman" w:hAnsi="Times New Roman" w:cs="Times New Roman"/>
          <w:noProof/>
          <w:sz w:val="24"/>
          <w:szCs w:val="24"/>
        </w:rPr>
      </w:pP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noProof/>
          <w:sz w:val="24"/>
        </w:rPr>
        <w:t>21. Arī nepieciešamību turēt tos ieslodzītos, kuri notiesāti par noziegumiem, kas saistīti ar terorismu, paaugstinātas drošības ieslodzījuma vietās vai paaugstinātā drošības režīmā parastās ieslodzījuma vietās katrā gadījumā novērtē atsevišķi, un šādus lēmumus periodiski pārskata. Šādos gadījumos piemēro Eiropas cietumu noteikumu 53. punktu, kas reglamentē īpašu paaugstinātas drošības pasākumu izmantošanu. Turklāt atbilstoši tam, kā norādīts Eiropas cietumu noteikumu 70. punktā, jebkuram ieslodzītajam, attiecībā uz kuru tiek piemēroti šādi pasākumi, ir tiesības apstrīdēt un pārsūdzēt šādu lēmumu neatkarīgai iestādei.</w:t>
      </w: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noProof/>
          <w:sz w:val="24"/>
        </w:rPr>
        <w:t>22. Tādu ieslodzīto regulāra pārvietošana, kuri ir notiesāti par noziegumiem, kas saistīti ar terorismu, var nelabvēlīgi ietekmēt šo ieslodzīto reintegrācijas izredzes. Tāpēc šādas pārvietošanas nepieciešamība ir uzmanīgi jāizvērtē katrā gadījumā atsevišķi, vērtējot šādu ieslodzīto radīto risku.</w:t>
      </w:r>
    </w:p>
    <w:p w:rsidR="00343783" w:rsidRPr="00227E92" w:rsidRDefault="00343783" w:rsidP="00227E92">
      <w:pPr>
        <w:spacing w:after="0" w:line="240" w:lineRule="auto"/>
        <w:jc w:val="both"/>
        <w:rPr>
          <w:rFonts w:ascii="Times New Roman" w:eastAsia="Times New Roman" w:hAnsi="Times New Roman" w:cs="Times New Roman"/>
          <w:b/>
          <w:bCs/>
          <w:noProof/>
          <w:sz w:val="24"/>
          <w:szCs w:val="24"/>
        </w:rPr>
      </w:pPr>
    </w:p>
    <w:p w:rsidR="002F47C8" w:rsidRPr="00227E92" w:rsidRDefault="002F47C8" w:rsidP="00227E92">
      <w:pPr>
        <w:spacing w:after="0" w:line="240" w:lineRule="auto"/>
        <w:jc w:val="both"/>
        <w:rPr>
          <w:rFonts w:ascii="Times New Roman" w:eastAsia="Times New Roman" w:hAnsi="Times New Roman" w:cs="Times New Roman"/>
          <w:b/>
          <w:bCs/>
          <w:noProof/>
          <w:sz w:val="24"/>
          <w:szCs w:val="24"/>
        </w:rPr>
      </w:pPr>
      <w:r w:rsidRPr="00227E92">
        <w:rPr>
          <w:rFonts w:ascii="Times New Roman" w:hAnsi="Times New Roman"/>
          <w:b/>
          <w:noProof/>
          <w:sz w:val="24"/>
        </w:rPr>
        <w:t>d. Kultūra un reliģija</w:t>
      </w:r>
    </w:p>
    <w:p w:rsidR="00343783" w:rsidRPr="00227E92" w:rsidRDefault="00343783" w:rsidP="00227E92">
      <w:pPr>
        <w:spacing w:after="0" w:line="240" w:lineRule="auto"/>
        <w:jc w:val="both"/>
        <w:rPr>
          <w:rFonts w:ascii="Times New Roman" w:eastAsia="Times New Roman" w:hAnsi="Times New Roman" w:cs="Times New Roman"/>
          <w:noProof/>
          <w:sz w:val="24"/>
          <w:szCs w:val="24"/>
        </w:rPr>
      </w:pP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noProof/>
          <w:sz w:val="24"/>
        </w:rPr>
        <w:t>23. Atbilstoši Eiropas cietumu noteikumu 29. punktam ievēro kultūras un reliģijas tradīcijas attiecībā uz pārtikas uzņemšanu un, ciktāl tas ir praktiski iespējams, arī attiecībā uz apģērbu, lūgšanu iespējām un reliģiskajām brīvdienām. Ja iespējams, ieslodzītajiem ļauj ieturēt maltīti laikos, kas atbilst viņu reliģiskajām prasībām.</w:t>
      </w: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noProof/>
          <w:sz w:val="24"/>
        </w:rPr>
        <w:t>24. Ieslodzījuma vietu pārvaldes ir aicinātas slēgt vienošanās ar reliģiskajām konfesijām, lai nodrošinātu iespēju ieslodzījuma vietās iekļūt noteiktam skaitam apstiprinātu reliģijas pārstāvju proporcionāli to ieslodzīto skaitam, kuri pieder attiecīgajai ticībai. Reliģijas pārstāvjiem jābūt pienācīgi apmācītiem veikt savus pienākumus ieslodzījuma vietās pastāvošajā vidē.</w:t>
      </w: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noProof/>
          <w:sz w:val="24"/>
        </w:rPr>
        <w:t>25. Lai rosinātu pozitīvas izmaiņas ieslodzīto personībās, priekšroku dod tādiem reliģiskajiem pārstāvjiem, kuri ir pieskaņojušies kultūras normām un vērtībām un labi pārvalda valodas, kurās runā ieslodzītie. Apstiprinātajiem reliģijas pārstāvjiem piešķir pietiekamu laiku, telpu un resursus ieslodzīto privātai apraudzīšanai un kolektīvu tikšanos noturēšanai.</w:t>
      </w:r>
    </w:p>
    <w:p w:rsidR="00343783" w:rsidRPr="00227E92" w:rsidRDefault="00343783" w:rsidP="00227E92">
      <w:pPr>
        <w:spacing w:after="0" w:line="240" w:lineRule="auto"/>
        <w:jc w:val="both"/>
        <w:rPr>
          <w:rFonts w:ascii="Times New Roman" w:eastAsia="Times New Roman" w:hAnsi="Times New Roman" w:cs="Times New Roman"/>
          <w:b/>
          <w:bCs/>
          <w:noProof/>
          <w:sz w:val="24"/>
          <w:szCs w:val="24"/>
        </w:rPr>
      </w:pPr>
    </w:p>
    <w:p w:rsidR="00343783" w:rsidRPr="00227E92" w:rsidRDefault="002F47C8" w:rsidP="00227E92">
      <w:pPr>
        <w:spacing w:after="0" w:line="240" w:lineRule="auto"/>
        <w:jc w:val="both"/>
        <w:rPr>
          <w:rFonts w:ascii="Times New Roman" w:eastAsia="Times New Roman" w:hAnsi="Times New Roman" w:cs="Times New Roman"/>
          <w:b/>
          <w:bCs/>
          <w:noProof/>
          <w:sz w:val="24"/>
          <w:szCs w:val="24"/>
        </w:rPr>
      </w:pPr>
      <w:r w:rsidRPr="00227E92">
        <w:rPr>
          <w:rFonts w:ascii="Times New Roman" w:hAnsi="Times New Roman"/>
          <w:b/>
          <w:noProof/>
          <w:sz w:val="24"/>
        </w:rPr>
        <w:t>e. Iestāžu sadarbība</w:t>
      </w:r>
    </w:p>
    <w:p w:rsidR="00343783" w:rsidRPr="00227E92" w:rsidRDefault="00343783" w:rsidP="00227E92">
      <w:pPr>
        <w:spacing w:after="0" w:line="240" w:lineRule="auto"/>
        <w:jc w:val="both"/>
        <w:rPr>
          <w:rFonts w:ascii="Times New Roman" w:eastAsia="Times New Roman" w:hAnsi="Times New Roman" w:cs="Times New Roman"/>
          <w:b/>
          <w:bCs/>
          <w:noProof/>
          <w:sz w:val="24"/>
          <w:szCs w:val="24"/>
        </w:rPr>
      </w:pPr>
    </w:p>
    <w:p w:rsidR="002F47C8" w:rsidRPr="00227E92" w:rsidRDefault="002F47C8" w:rsidP="00227E92">
      <w:pPr>
        <w:spacing w:after="0" w:line="240" w:lineRule="auto"/>
        <w:jc w:val="both"/>
        <w:rPr>
          <w:rFonts w:ascii="Times New Roman" w:eastAsia="Times New Roman" w:hAnsi="Times New Roman" w:cs="Times New Roman"/>
          <w:b/>
          <w:bCs/>
          <w:noProof/>
          <w:sz w:val="24"/>
          <w:szCs w:val="24"/>
        </w:rPr>
      </w:pPr>
      <w:r w:rsidRPr="00227E92">
        <w:rPr>
          <w:rFonts w:ascii="Times New Roman" w:hAnsi="Times New Roman"/>
          <w:noProof/>
          <w:sz w:val="24"/>
        </w:rPr>
        <w:t>26. Ieslodzījuma vietas un probācijas dienesti sadarbojas gan savā starpā, gan ar citām tiesībaizsardzības iestādēm vietējā, valsts un starptautiskajā līmenī, jo, lai apkarotu radikalizāciju un vardarbīgo ekstrēmismu, kas noved pie terorisma aktiem, nepieciešama vispusīga pieeja, kas balstīta profesionālos standartos.</w:t>
      </w: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noProof/>
          <w:sz w:val="24"/>
        </w:rPr>
        <w:t>27. Ieslodzījuma vietas un probācijas dienesti sadarbojas ar citām valsts un privātām iestādēm un plašāku pilsonisko sabiedrību, lai nodrošinātu likumpārkāpēja aprūpi pēc viņa izlaišanas no ieslodzījuma vietas un veicinātu viņa atgriešanos sabiedrībā un reintegrāciju. </w:t>
      </w: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noProof/>
          <w:sz w:val="24"/>
        </w:rPr>
        <w:t>28. Zināšanu un labākās prakses apkopošana un izplatīšana starptautiskā līmenī atbilst ieslodzījuma vietu un probācijas dienestu interesēm.</w:t>
      </w:r>
    </w:p>
    <w:p w:rsidR="002F47C8" w:rsidRPr="00227E92" w:rsidRDefault="002F47C8" w:rsidP="00227E92">
      <w:pPr>
        <w:spacing w:after="0" w:line="240" w:lineRule="auto"/>
        <w:jc w:val="both"/>
        <w:rPr>
          <w:rFonts w:ascii="Times New Roman" w:eastAsia="Times New Roman" w:hAnsi="Times New Roman" w:cs="Arial"/>
          <w:b/>
          <w:bCs/>
          <w:caps/>
          <w:noProof/>
          <w:sz w:val="24"/>
          <w:szCs w:val="20"/>
        </w:rPr>
      </w:pPr>
    </w:p>
    <w:p w:rsidR="002F47C8" w:rsidRPr="00227E92" w:rsidRDefault="002F47C8" w:rsidP="00227E92">
      <w:pPr>
        <w:spacing w:after="0" w:line="240" w:lineRule="auto"/>
        <w:jc w:val="both"/>
        <w:rPr>
          <w:rFonts w:ascii="Times New Roman" w:eastAsia="Times New Roman" w:hAnsi="Times New Roman" w:cs="Times New Roman"/>
          <w:b/>
          <w:bCs/>
          <w:caps/>
          <w:noProof/>
          <w:sz w:val="24"/>
          <w:szCs w:val="24"/>
        </w:rPr>
      </w:pPr>
      <w:r w:rsidRPr="00227E92">
        <w:rPr>
          <w:rFonts w:ascii="Times New Roman" w:hAnsi="Times New Roman"/>
          <w:b/>
          <w:caps/>
          <w:noProof/>
          <w:sz w:val="24"/>
        </w:rPr>
        <w:t>v. Radikalizācijas un vardarbīgā ekstrēmisma atklāšana, novēršana un apkarošana ieslodzījuma vietā</w:t>
      </w:r>
    </w:p>
    <w:p w:rsidR="00343783" w:rsidRPr="00227E92" w:rsidRDefault="00343783" w:rsidP="00227E92">
      <w:pPr>
        <w:spacing w:after="0" w:line="240" w:lineRule="auto"/>
        <w:jc w:val="both"/>
        <w:rPr>
          <w:rFonts w:ascii="Times New Roman" w:eastAsia="Times New Roman" w:hAnsi="Times New Roman" w:cs="Times New Roman"/>
          <w:b/>
          <w:bCs/>
          <w:noProof/>
          <w:sz w:val="24"/>
          <w:szCs w:val="24"/>
        </w:rPr>
      </w:pPr>
    </w:p>
    <w:p w:rsidR="002F47C8" w:rsidRPr="00227E92" w:rsidRDefault="002F47C8" w:rsidP="00227E92">
      <w:pPr>
        <w:spacing w:after="0" w:line="240" w:lineRule="auto"/>
        <w:jc w:val="both"/>
        <w:rPr>
          <w:rFonts w:ascii="Times New Roman" w:eastAsia="Times New Roman" w:hAnsi="Times New Roman" w:cs="Times New Roman"/>
          <w:b/>
          <w:bCs/>
          <w:noProof/>
          <w:sz w:val="24"/>
          <w:szCs w:val="24"/>
        </w:rPr>
      </w:pPr>
      <w:r w:rsidRPr="00227E92">
        <w:rPr>
          <w:rFonts w:ascii="Times New Roman" w:hAnsi="Times New Roman"/>
          <w:b/>
          <w:noProof/>
          <w:sz w:val="24"/>
        </w:rPr>
        <w:t>a. Dinamiskās drošības izmantošana</w:t>
      </w:r>
    </w:p>
    <w:p w:rsidR="00343783" w:rsidRPr="00227E92" w:rsidRDefault="00343783" w:rsidP="00227E92">
      <w:pPr>
        <w:spacing w:after="0" w:line="240" w:lineRule="auto"/>
        <w:jc w:val="both"/>
        <w:rPr>
          <w:rFonts w:ascii="Times New Roman" w:eastAsia="Times New Roman" w:hAnsi="Times New Roman" w:cs="Times New Roman"/>
          <w:noProof/>
          <w:sz w:val="24"/>
          <w:szCs w:val="24"/>
        </w:rPr>
      </w:pP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noProof/>
          <w:sz w:val="24"/>
        </w:rPr>
        <w:t>29. Darbiniekus, kuru tieši saskaras ar ieslodzītajiem, apmāca rīkoties saskaņā ar dinamiskās drošības principiem, lai uzturētu drošumu, drošību un labu kārtību ieslodzījuma vietā un veicinātu ieslodzīto resocializāciju. Jo īpaši šādi darbinieki jāapmāca izmantot starpkultūru starpniecību un dažādus iejaukšanās paņēmienus krīzes vadības gadījumā.</w:t>
      </w:r>
    </w:p>
    <w:p w:rsidR="00343783" w:rsidRPr="00227E92" w:rsidRDefault="00343783" w:rsidP="00227E92">
      <w:pPr>
        <w:spacing w:after="0" w:line="240" w:lineRule="auto"/>
        <w:jc w:val="both"/>
        <w:rPr>
          <w:rFonts w:ascii="Times New Roman" w:eastAsia="Times New Roman" w:hAnsi="Times New Roman" w:cs="Times New Roman"/>
          <w:b/>
          <w:bCs/>
          <w:noProof/>
          <w:sz w:val="24"/>
          <w:szCs w:val="24"/>
        </w:rPr>
      </w:pPr>
    </w:p>
    <w:p w:rsidR="002F47C8" w:rsidRPr="00227E92" w:rsidRDefault="002F47C8" w:rsidP="00227E92">
      <w:pPr>
        <w:spacing w:after="0" w:line="240" w:lineRule="auto"/>
        <w:jc w:val="both"/>
        <w:rPr>
          <w:rFonts w:ascii="Times New Roman" w:eastAsia="Times New Roman" w:hAnsi="Times New Roman" w:cs="Times New Roman"/>
          <w:b/>
          <w:bCs/>
          <w:noProof/>
          <w:sz w:val="24"/>
          <w:szCs w:val="24"/>
        </w:rPr>
      </w:pPr>
      <w:r w:rsidRPr="00227E92">
        <w:rPr>
          <w:rFonts w:ascii="Times New Roman" w:hAnsi="Times New Roman"/>
          <w:b/>
          <w:noProof/>
          <w:sz w:val="24"/>
        </w:rPr>
        <w:t>b. Atklāšanas procedūras</w:t>
      </w:r>
    </w:p>
    <w:p w:rsidR="00343783" w:rsidRPr="00227E92" w:rsidRDefault="00343783" w:rsidP="00227E92">
      <w:pPr>
        <w:spacing w:after="0" w:line="240" w:lineRule="auto"/>
        <w:jc w:val="both"/>
        <w:rPr>
          <w:rFonts w:ascii="Times New Roman" w:eastAsia="Times New Roman" w:hAnsi="Times New Roman" w:cs="Times New Roman"/>
          <w:noProof/>
          <w:sz w:val="24"/>
          <w:szCs w:val="24"/>
        </w:rPr>
      </w:pP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noProof/>
          <w:sz w:val="24"/>
        </w:rPr>
        <w:t>30. Darbiniekiem, kuri tieši saskaras ar ieslodzītajiem, nodrošina apmācību un atbalstu, lai viņi spētu atšķirt reliģisko praksi no vardarbīga ekstrēmista uzvedības, un šos darbiniekus pilnvaro rīkoties ātri un samērīgi gadījumos, kad pastāv reāli un tieši draudi ieslodzīto vai darbinieku dzīvībai, veselībai vai neaizskaramībai. Jo īpaši darbiniekiem piešķir rīkus ziņošanai par bažām attiecībā uz radikalizāciju vardarbīgā ekstrēmisma virzienā, un piemēro atbilstošas procedūras šādu risku ātrai un profesionālai novērtēšanai.</w:t>
      </w: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noProof/>
          <w:sz w:val="24"/>
        </w:rPr>
        <w:t>31. Ja ieslodzījuma vietas un probācijas dienesti izstrādā un izmanto īpašus rīkus un paņēmienus radikalizētu ieslodzīto identificēšanai, lai palīdzētu saviem darbiniekiem, kuri tieši saskaras ar ieslodzītajiem, tas jādara, pamatojoties uz profesionālajiem standartiem un ētikas normām, un šādus rīkus regulāri pārskata un atjaunina.</w:t>
      </w: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noProof/>
          <w:sz w:val="24"/>
        </w:rPr>
        <w:t>32. Kad tiek izstrādāti radikalizācijas indikatori, darbiniekus brīdina par to, ka, lai izvairītos no nepamatotiem spriedumiem, šādus indikatorus nevar apsvērt atrauti no konkrētajā gadījumā pastāvošajām personīgajām iezīmēm un īpašajiem apstākļiem.</w:t>
      </w: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noProof/>
          <w:sz w:val="24"/>
        </w:rPr>
        <w:t>33. Ja attiecīgajā ieslodzījuma vietā vai probācijas vietā pastāv bažas par radikalizāciju, vajadzības gadījumā var norīkot pienācīgi apmācītus ieslodzījuma vietas vai probācijas dienesta darbiniekus, lai nodrošinātu, ka darbinieki zina, pie kā vērsties pēc padoma radikalizācijas jautājumos, un ieslodzītie un probācijas klienti zina, kā ziņot par iespējamu radikalizāciju.</w:t>
      </w:r>
    </w:p>
    <w:p w:rsidR="00343783" w:rsidRPr="00227E92" w:rsidRDefault="00343783" w:rsidP="00227E92">
      <w:pPr>
        <w:spacing w:after="0" w:line="240" w:lineRule="auto"/>
        <w:jc w:val="both"/>
        <w:rPr>
          <w:rFonts w:ascii="Times New Roman" w:eastAsia="Times New Roman" w:hAnsi="Times New Roman" w:cs="Times New Roman"/>
          <w:b/>
          <w:bCs/>
          <w:noProof/>
          <w:sz w:val="24"/>
          <w:szCs w:val="24"/>
        </w:rPr>
      </w:pPr>
    </w:p>
    <w:p w:rsidR="002F47C8" w:rsidRPr="00227E92" w:rsidRDefault="002F47C8" w:rsidP="00227E92">
      <w:pPr>
        <w:spacing w:after="0" w:line="240" w:lineRule="auto"/>
        <w:jc w:val="both"/>
        <w:rPr>
          <w:rFonts w:ascii="Times New Roman" w:eastAsia="Times New Roman" w:hAnsi="Times New Roman" w:cs="Times New Roman"/>
          <w:b/>
          <w:bCs/>
          <w:noProof/>
          <w:sz w:val="24"/>
          <w:szCs w:val="24"/>
        </w:rPr>
      </w:pPr>
      <w:r w:rsidRPr="00227E92">
        <w:rPr>
          <w:rFonts w:ascii="Times New Roman" w:hAnsi="Times New Roman"/>
          <w:b/>
          <w:noProof/>
          <w:sz w:val="24"/>
        </w:rPr>
        <w:t>c. Īpašas programmas</w:t>
      </w:r>
    </w:p>
    <w:p w:rsidR="00343783" w:rsidRPr="00227E92" w:rsidRDefault="00343783" w:rsidP="00227E92">
      <w:pPr>
        <w:spacing w:after="0" w:line="240" w:lineRule="auto"/>
        <w:jc w:val="both"/>
        <w:rPr>
          <w:rFonts w:ascii="Times New Roman" w:eastAsia="Times New Roman" w:hAnsi="Times New Roman" w:cs="Times New Roman"/>
          <w:noProof/>
          <w:sz w:val="24"/>
          <w:szCs w:val="24"/>
        </w:rPr>
      </w:pP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noProof/>
          <w:sz w:val="24"/>
        </w:rPr>
        <w:t>34. Vajadzības gadījumā ieslodzītajiem un probācijas klientiem, jo īpaši personām, kuras tiek uzskatītas par nenoturīgām pret radikalizāciju, izstrādā un piedāvā īpašas programmas, tostarp mentoru izmantošanu, lai palīdzētu šīm personām atrast tādas iespējas dzīvē, kuras nebūtu saistītas ar noziedzību un vardarbīgo ekstrēmismu. Šādu programmu īstenošanā vai uzraudzībā iesaista īpaši apmācītus darbiniekus.</w:t>
      </w: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noProof/>
          <w:sz w:val="24"/>
        </w:rPr>
        <w:t>35. Probācijas klientu un ieslodzīto resocializācijā var iesaistīt bijušos vardarbīgos ekstrēmistus, kuri ir atteikušies no vardarbības.</w:t>
      </w: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noProof/>
          <w:sz w:val="24"/>
        </w:rPr>
        <w:t>36. Katrā atsevišķā gadījumā var apsvērt arī reliģijas pārstāvju, brīvprātīgo, līdzcilvēku un ģimenes locekļu iesaistīšanu, jo tie var ievērojami veicināt likumpārkāpēju efektīvu reintegrāciju.</w:t>
      </w:r>
    </w:p>
    <w:p w:rsidR="0039182F" w:rsidRPr="00227E92" w:rsidRDefault="0039182F" w:rsidP="00227E92">
      <w:pPr>
        <w:spacing w:after="0" w:line="240" w:lineRule="auto"/>
        <w:jc w:val="both"/>
        <w:rPr>
          <w:rFonts w:ascii="Times New Roman" w:eastAsia="Times New Roman" w:hAnsi="Times New Roman" w:cs="Times New Roman"/>
          <w:b/>
          <w:bCs/>
          <w:caps/>
          <w:noProof/>
          <w:sz w:val="24"/>
          <w:szCs w:val="24"/>
        </w:rPr>
      </w:pPr>
    </w:p>
    <w:p w:rsidR="002F47C8" w:rsidRPr="00227E92" w:rsidRDefault="002F47C8" w:rsidP="00227E92">
      <w:pPr>
        <w:spacing w:after="0" w:line="240" w:lineRule="auto"/>
        <w:jc w:val="both"/>
        <w:rPr>
          <w:rFonts w:ascii="Times New Roman" w:eastAsia="Times New Roman" w:hAnsi="Times New Roman" w:cs="Times New Roman"/>
          <w:b/>
          <w:bCs/>
          <w:caps/>
          <w:noProof/>
          <w:sz w:val="24"/>
          <w:szCs w:val="24"/>
        </w:rPr>
      </w:pPr>
      <w:r w:rsidRPr="00227E92">
        <w:rPr>
          <w:rFonts w:ascii="Times New Roman" w:hAnsi="Times New Roman"/>
          <w:b/>
          <w:caps/>
          <w:noProof/>
          <w:sz w:val="24"/>
        </w:rPr>
        <w:t>VI. Darbs pēc personas atbrīvošanas</w:t>
      </w:r>
    </w:p>
    <w:p w:rsidR="0039182F" w:rsidRPr="00227E92" w:rsidRDefault="0039182F" w:rsidP="00227E92">
      <w:pPr>
        <w:spacing w:after="0" w:line="240" w:lineRule="auto"/>
        <w:jc w:val="both"/>
        <w:rPr>
          <w:rFonts w:ascii="Times New Roman" w:eastAsia="Times New Roman" w:hAnsi="Times New Roman" w:cs="Times New Roman"/>
          <w:noProof/>
          <w:sz w:val="24"/>
          <w:szCs w:val="24"/>
        </w:rPr>
      </w:pP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noProof/>
          <w:sz w:val="24"/>
        </w:rPr>
        <w:t>37. Lai panāktu veiksmīgu reintegrāciju, ieslodzījuma vieta un probācijas dienests savā darbībā uztur sakarus un veido saites ar vietējām organizācijām, lai nodrošinātu, ka ieslodzījuma vai probācijas laikā izstrādātās programmas tiek turpinātas arī pēc atbrīvošanas no ieslodzījuma vietas vai pēc tam, kad beidzas probācijas klientu uzraudzība.</w:t>
      </w: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noProof/>
          <w:sz w:val="24"/>
        </w:rPr>
        <w:t>38. Tāpat arī bijušajiem ieslodzītajiem palīdz sazināties ar dažādām atbalsta struktūrām vietējā kopienā. Katrā atsevišķā gadījumā apsver ģimenes locekļu un sociālo tīklu iesaistīšanu, jo tie var labvēlīgi ietekmēt atgriešanos sabiedrībā.</w:t>
      </w: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noProof/>
          <w:sz w:val="24"/>
        </w:rPr>
        <w:t>39. Elektroniskas uzraudzības shēmas un citi kontroles pasākumi ir jāapvieno ar citiem profesionāliem pasākumiem un atbalsta pasākumiem, kuru mērķis ir radikalizētu likumpārkāpēju sociālā reintegrācija.</w:t>
      </w:r>
    </w:p>
    <w:p w:rsidR="002F47C8" w:rsidRPr="00227E92" w:rsidRDefault="002F47C8" w:rsidP="00227E92">
      <w:pPr>
        <w:spacing w:after="0" w:line="240" w:lineRule="auto"/>
        <w:jc w:val="both"/>
        <w:rPr>
          <w:rFonts w:ascii="Times New Roman" w:eastAsia="Times New Roman" w:hAnsi="Times New Roman" w:cs="Arial"/>
          <w:b/>
          <w:bCs/>
          <w:caps/>
          <w:noProof/>
          <w:sz w:val="24"/>
          <w:szCs w:val="20"/>
        </w:rPr>
      </w:pPr>
    </w:p>
    <w:p w:rsidR="002F47C8" w:rsidRPr="00227E92" w:rsidRDefault="002F47C8" w:rsidP="00227E92">
      <w:pPr>
        <w:spacing w:after="0" w:line="240" w:lineRule="auto"/>
        <w:jc w:val="both"/>
        <w:rPr>
          <w:rFonts w:ascii="Times New Roman" w:eastAsia="Times New Roman" w:hAnsi="Times New Roman" w:cs="Times New Roman"/>
          <w:b/>
          <w:bCs/>
          <w:caps/>
          <w:noProof/>
          <w:sz w:val="24"/>
          <w:szCs w:val="24"/>
        </w:rPr>
      </w:pPr>
      <w:r w:rsidRPr="00227E92">
        <w:rPr>
          <w:rFonts w:ascii="Times New Roman" w:hAnsi="Times New Roman"/>
          <w:b/>
          <w:caps/>
          <w:noProof/>
          <w:sz w:val="24"/>
        </w:rPr>
        <w:t>VII. IZPĒTE, NOVĒRTĒŠANA UN INFORMĀCIJAS SNIEGŠANA</w:t>
      </w:r>
    </w:p>
    <w:p w:rsidR="0039182F" w:rsidRPr="00227E92" w:rsidRDefault="0039182F" w:rsidP="00227E92">
      <w:pPr>
        <w:spacing w:after="0" w:line="240" w:lineRule="auto"/>
        <w:jc w:val="both"/>
        <w:rPr>
          <w:rFonts w:ascii="Times New Roman" w:eastAsia="Times New Roman" w:hAnsi="Times New Roman" w:cs="Times New Roman"/>
          <w:noProof/>
          <w:sz w:val="24"/>
          <w:szCs w:val="24"/>
        </w:rPr>
      </w:pP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noProof/>
          <w:sz w:val="24"/>
        </w:rPr>
        <w:t>40. Piešķir pietiekamus resursus radikalizācijas apkarošanai veltītas zinātniskās izpētes īstenošanai un pastāvošo programmu novērtēšanai. Jebkura šāda programma ir balstīta zināšanās un tiek regulāri pārskatīta.</w:t>
      </w:r>
    </w:p>
    <w:p w:rsidR="002F47C8" w:rsidRPr="00227E92" w:rsidRDefault="002F47C8" w:rsidP="00227E92">
      <w:pPr>
        <w:spacing w:after="0" w:line="240" w:lineRule="auto"/>
        <w:jc w:val="both"/>
        <w:rPr>
          <w:rFonts w:ascii="Times New Roman" w:eastAsia="Times New Roman" w:hAnsi="Times New Roman" w:cs="Times New Roman"/>
          <w:noProof/>
          <w:sz w:val="24"/>
          <w:szCs w:val="24"/>
        </w:rPr>
      </w:pPr>
      <w:r w:rsidRPr="00227E92">
        <w:rPr>
          <w:rFonts w:ascii="Times New Roman" w:hAnsi="Times New Roman"/>
          <w:noProof/>
          <w:sz w:val="24"/>
        </w:rPr>
        <w:t>41. Lai mazinātu sabiedrības bažas un panāktu izpratni, nepieciešams regulārs darbs ar plašsaziņas līdzekļiem.</w:t>
      </w:r>
    </w:p>
    <w:sectPr w:rsidR="002F47C8" w:rsidRPr="00227E92" w:rsidSect="00227E92">
      <w:headerReference w:type="default" r:id="rId7"/>
      <w:footerReference w:type="default" r:id="rId8"/>
      <w:headerReference w:type="firs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47C8" w:rsidRPr="002F47C8" w:rsidRDefault="002F47C8" w:rsidP="002F47C8">
      <w:pPr>
        <w:spacing w:after="0" w:line="240" w:lineRule="auto"/>
        <w:rPr>
          <w:noProof/>
          <w:lang w:val="en-US"/>
        </w:rPr>
      </w:pPr>
      <w:r w:rsidRPr="002F47C8">
        <w:rPr>
          <w:noProof/>
          <w:lang w:val="en-US"/>
        </w:rPr>
        <w:separator/>
      </w:r>
    </w:p>
  </w:endnote>
  <w:endnote w:type="continuationSeparator" w:id="0">
    <w:p w:rsidR="002F47C8" w:rsidRPr="002F47C8" w:rsidRDefault="002F47C8" w:rsidP="002F47C8">
      <w:pPr>
        <w:spacing w:after="0" w:line="240" w:lineRule="auto"/>
        <w:rPr>
          <w:noProof/>
          <w:lang w:val="en-US"/>
        </w:rPr>
      </w:pPr>
      <w:r w:rsidRPr="002F47C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7E92" w:rsidRPr="00697A72" w:rsidRDefault="00227E92" w:rsidP="00227E92">
    <w:pPr>
      <w:pStyle w:val="Header"/>
      <w:tabs>
        <w:tab w:val="left" w:pos="9072"/>
      </w:tabs>
      <w:rPr>
        <w:rStyle w:val="PageNumber"/>
        <w:rFonts w:ascii="Times New Roman" w:hAnsi="Times New Roman"/>
        <w:szCs w:val="20"/>
      </w:rPr>
    </w:pPr>
  </w:p>
  <w:p w:rsidR="00227E92" w:rsidRPr="00697A72" w:rsidRDefault="00227E92" w:rsidP="00227E92">
    <w:pPr>
      <w:pStyle w:val="Header"/>
      <w:tabs>
        <w:tab w:val="clear" w:pos="4153"/>
        <w:tab w:val="clear" w:pos="8306"/>
        <w:tab w:val="right" w:leader="underscore" w:pos="9072"/>
      </w:tabs>
      <w:rPr>
        <w:rStyle w:val="PageNumber"/>
        <w:rFonts w:ascii="Times New Roman" w:hAnsi="Times New Roman"/>
        <w:szCs w:val="20"/>
      </w:rPr>
    </w:pPr>
    <w:r w:rsidRPr="00697A72">
      <w:rPr>
        <w:rStyle w:val="PageNumber"/>
        <w:rFonts w:ascii="Times New Roman" w:hAnsi="Times New Roman"/>
        <w:szCs w:val="20"/>
      </w:rPr>
      <w:tab/>
    </w:r>
  </w:p>
  <w:p w:rsidR="00227E92" w:rsidRPr="00697A72" w:rsidRDefault="00227E92" w:rsidP="00227E92">
    <w:pPr>
      <w:pStyle w:val="Header"/>
      <w:tabs>
        <w:tab w:val="right" w:pos="9072"/>
      </w:tabs>
      <w:rPr>
        <w:rStyle w:val="PageNumber"/>
        <w:rFonts w:ascii="Times New Roman" w:hAnsi="Times New Roman"/>
        <w:szCs w:val="20"/>
      </w:rPr>
    </w:pPr>
  </w:p>
  <w:p w:rsidR="00227E92" w:rsidRPr="00697A72" w:rsidRDefault="00227E92" w:rsidP="00227E92">
    <w:pPr>
      <w:pStyle w:val="Footer"/>
      <w:tabs>
        <w:tab w:val="clear" w:pos="4153"/>
        <w:tab w:val="clear" w:pos="8306"/>
        <w:tab w:val="right" w:pos="9072"/>
      </w:tabs>
      <w:rPr>
        <w:rFonts w:ascii="Times New Roman" w:hAnsi="Times New Roman"/>
        <w:sz w:val="20"/>
        <w:szCs w:val="20"/>
      </w:rPr>
    </w:pPr>
    <w:r w:rsidRPr="00697A72">
      <w:rPr>
        <w:rFonts w:ascii="Times New Roman" w:hAnsi="Times New Roman"/>
        <w:noProof/>
        <w:sz w:val="20"/>
        <w:szCs w:val="20"/>
      </w:rPr>
      <w:t xml:space="preserve">Tulkojums </w:t>
    </w:r>
    <w:r w:rsidRPr="00697A72">
      <w:rPr>
        <w:rFonts w:ascii="Times New Roman" w:hAnsi="Times New Roman"/>
        <w:noProof/>
        <w:sz w:val="20"/>
        <w:szCs w:val="20"/>
      </w:rPr>
      <w:fldChar w:fldCharType="begin"/>
    </w:r>
    <w:r w:rsidRPr="00697A72">
      <w:rPr>
        <w:rFonts w:ascii="Times New Roman" w:hAnsi="Times New Roman"/>
        <w:noProof/>
        <w:sz w:val="20"/>
        <w:szCs w:val="20"/>
      </w:rPr>
      <w:instrText>symbol 211 \f "Symbol" \s 9</w:instrText>
    </w:r>
    <w:r w:rsidRPr="00697A72">
      <w:rPr>
        <w:rFonts w:ascii="Times New Roman" w:hAnsi="Times New Roman"/>
        <w:noProof/>
        <w:sz w:val="20"/>
        <w:szCs w:val="20"/>
      </w:rPr>
      <w:fldChar w:fldCharType="separate"/>
    </w:r>
    <w:r w:rsidRPr="00697A72">
      <w:rPr>
        <w:rFonts w:ascii="Times New Roman" w:hAnsi="Times New Roman"/>
        <w:noProof/>
        <w:sz w:val="20"/>
        <w:szCs w:val="20"/>
      </w:rPr>
      <w:t>Ó</w:t>
    </w:r>
    <w:r w:rsidRPr="00697A72">
      <w:rPr>
        <w:rFonts w:ascii="Times New Roman" w:hAnsi="Times New Roman"/>
        <w:noProof/>
        <w:sz w:val="20"/>
        <w:szCs w:val="20"/>
      </w:rPr>
      <w:fldChar w:fldCharType="end"/>
    </w:r>
    <w:r w:rsidRPr="00697A72">
      <w:rPr>
        <w:rFonts w:ascii="Times New Roman" w:hAnsi="Times New Roman"/>
        <w:noProof/>
        <w:sz w:val="20"/>
        <w:szCs w:val="20"/>
      </w:rPr>
      <w:t xml:space="preserve"> Valsts valodas centrs, 2016</w:t>
    </w:r>
    <w:r w:rsidRPr="00697A72">
      <w:rPr>
        <w:rFonts w:ascii="Times New Roman" w:hAnsi="Times New Roman"/>
        <w:sz w:val="20"/>
        <w:szCs w:val="20"/>
      </w:rPr>
      <w:tab/>
    </w:r>
    <w:r w:rsidRPr="00697A72">
      <w:rPr>
        <w:rStyle w:val="PageNumber"/>
        <w:rFonts w:ascii="Times New Roman" w:hAnsi="Times New Roman"/>
        <w:sz w:val="20"/>
        <w:szCs w:val="20"/>
      </w:rPr>
      <w:fldChar w:fldCharType="begin"/>
    </w:r>
    <w:r w:rsidRPr="00697A72">
      <w:rPr>
        <w:rStyle w:val="PageNumber"/>
        <w:rFonts w:ascii="Times New Roman" w:hAnsi="Times New Roman"/>
        <w:sz w:val="20"/>
        <w:szCs w:val="20"/>
      </w:rPr>
      <w:instrText xml:space="preserve">page </w:instrText>
    </w:r>
    <w:r w:rsidRPr="00697A72">
      <w:rPr>
        <w:rStyle w:val="PageNumber"/>
        <w:rFonts w:ascii="Times New Roman" w:hAnsi="Times New Roman"/>
        <w:sz w:val="20"/>
        <w:szCs w:val="20"/>
      </w:rPr>
      <w:fldChar w:fldCharType="separate"/>
    </w:r>
    <w:r>
      <w:rPr>
        <w:rStyle w:val="PageNumber"/>
        <w:rFonts w:ascii="Times New Roman" w:hAnsi="Times New Roman"/>
        <w:noProof/>
        <w:sz w:val="20"/>
        <w:szCs w:val="20"/>
      </w:rPr>
      <w:t>6</w:t>
    </w:r>
    <w:r w:rsidRPr="00697A72">
      <w:rPr>
        <w:rStyle w:val="PageNumbe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7E92" w:rsidRPr="007B2D9B" w:rsidRDefault="00227E92" w:rsidP="00227E92">
    <w:pPr>
      <w:pStyle w:val="Header"/>
      <w:tabs>
        <w:tab w:val="left" w:pos="9072"/>
      </w:tabs>
      <w:rPr>
        <w:rStyle w:val="PageNumber"/>
        <w:rFonts w:ascii="Times New Roman" w:hAnsi="Times New Roman" w:cs="Times New Roman"/>
        <w:szCs w:val="20"/>
      </w:rPr>
    </w:pPr>
  </w:p>
  <w:p w:rsidR="00227E92" w:rsidRPr="007B2D9B" w:rsidRDefault="00227E92" w:rsidP="00227E92">
    <w:pPr>
      <w:pStyle w:val="Header"/>
      <w:tabs>
        <w:tab w:val="clear" w:pos="4153"/>
        <w:tab w:val="clear" w:pos="8306"/>
        <w:tab w:val="left" w:leader="underscore" w:pos="9072"/>
      </w:tabs>
      <w:rPr>
        <w:rStyle w:val="PageNumber"/>
        <w:rFonts w:ascii="Times New Roman" w:hAnsi="Times New Roman" w:cs="Times New Roman"/>
        <w:szCs w:val="20"/>
      </w:rPr>
    </w:pPr>
    <w:r w:rsidRPr="007B2D9B">
      <w:rPr>
        <w:rStyle w:val="PageNumber"/>
        <w:rFonts w:ascii="Times New Roman" w:hAnsi="Times New Roman" w:cs="Times New Roman"/>
        <w:szCs w:val="20"/>
      </w:rPr>
      <w:tab/>
    </w:r>
  </w:p>
  <w:p w:rsidR="00227E92" w:rsidRPr="007B2D9B" w:rsidRDefault="00227E92" w:rsidP="00227E92">
    <w:pPr>
      <w:pStyle w:val="Header"/>
      <w:tabs>
        <w:tab w:val="clear" w:pos="4153"/>
        <w:tab w:val="clear" w:pos="8306"/>
        <w:tab w:val="left" w:pos="9072"/>
      </w:tabs>
      <w:rPr>
        <w:rStyle w:val="PageNumber"/>
        <w:rFonts w:ascii="Times New Roman" w:hAnsi="Times New Roman" w:cs="Times New Roman"/>
        <w:szCs w:val="20"/>
      </w:rPr>
    </w:pPr>
  </w:p>
  <w:p w:rsidR="00227E92" w:rsidRPr="007B2D9B" w:rsidRDefault="00227E92" w:rsidP="00227E92">
    <w:pPr>
      <w:pStyle w:val="Footer"/>
      <w:rPr>
        <w:rFonts w:ascii="Times New Roman" w:hAnsi="Times New Roman" w:cs="Times New Roman"/>
        <w:sz w:val="20"/>
        <w:szCs w:val="20"/>
      </w:rPr>
    </w:pPr>
    <w:r w:rsidRPr="007B2D9B">
      <w:rPr>
        <w:rFonts w:ascii="Times New Roman" w:hAnsi="Times New Roman" w:cs="Times New Roman"/>
        <w:noProof/>
        <w:sz w:val="20"/>
        <w:szCs w:val="20"/>
      </w:rPr>
      <w:t xml:space="preserve">Tulkojums </w:t>
    </w:r>
    <w:r w:rsidRPr="007B2D9B">
      <w:rPr>
        <w:rFonts w:ascii="Times New Roman" w:hAnsi="Times New Roman" w:cs="Times New Roman"/>
        <w:noProof/>
        <w:sz w:val="20"/>
        <w:szCs w:val="20"/>
      </w:rPr>
      <w:fldChar w:fldCharType="begin"/>
    </w:r>
    <w:r w:rsidRPr="007B2D9B">
      <w:rPr>
        <w:rFonts w:ascii="Times New Roman" w:hAnsi="Times New Roman" w:cs="Times New Roman"/>
        <w:noProof/>
        <w:sz w:val="20"/>
        <w:szCs w:val="20"/>
      </w:rPr>
      <w:instrText>symbol 211 \f "Symbol" \s 9</w:instrText>
    </w:r>
    <w:r w:rsidRPr="007B2D9B">
      <w:rPr>
        <w:rFonts w:ascii="Times New Roman" w:hAnsi="Times New Roman" w:cs="Times New Roman"/>
        <w:noProof/>
        <w:sz w:val="20"/>
        <w:szCs w:val="20"/>
      </w:rPr>
      <w:fldChar w:fldCharType="separate"/>
    </w:r>
    <w:r w:rsidRPr="007B2D9B">
      <w:rPr>
        <w:rFonts w:ascii="Times New Roman" w:hAnsi="Times New Roman" w:cs="Times New Roman"/>
        <w:noProof/>
        <w:sz w:val="20"/>
        <w:szCs w:val="20"/>
      </w:rPr>
      <w:t>Ó</w:t>
    </w:r>
    <w:r w:rsidRPr="007B2D9B">
      <w:rPr>
        <w:rFonts w:ascii="Times New Roman" w:hAnsi="Times New Roman" w:cs="Times New Roman"/>
        <w:noProof/>
        <w:sz w:val="20"/>
        <w:szCs w:val="20"/>
      </w:rPr>
      <w:fldChar w:fldCharType="end"/>
    </w:r>
    <w:r w:rsidRPr="007B2D9B">
      <w:rPr>
        <w:rFonts w:ascii="Times New Roman" w:hAnsi="Times New Roman" w:cs="Times New Roman"/>
        <w:noProof/>
        <w:sz w:val="20"/>
        <w:szCs w:val="20"/>
      </w:rPr>
      <w:t xml:space="preserve"> Valsts valodas centrs,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47C8" w:rsidRPr="002F47C8" w:rsidRDefault="002F47C8" w:rsidP="002F47C8">
      <w:pPr>
        <w:spacing w:after="0" w:line="240" w:lineRule="auto"/>
        <w:rPr>
          <w:noProof/>
          <w:lang w:val="en-US"/>
        </w:rPr>
      </w:pPr>
      <w:r w:rsidRPr="002F47C8">
        <w:rPr>
          <w:noProof/>
          <w:lang w:val="en-US"/>
        </w:rPr>
        <w:separator/>
      </w:r>
    </w:p>
  </w:footnote>
  <w:footnote w:type="continuationSeparator" w:id="0">
    <w:p w:rsidR="002F47C8" w:rsidRPr="002F47C8" w:rsidRDefault="002F47C8" w:rsidP="002F47C8">
      <w:pPr>
        <w:spacing w:after="0" w:line="240" w:lineRule="auto"/>
        <w:rPr>
          <w:noProof/>
          <w:lang w:val="en-US"/>
        </w:rPr>
      </w:pPr>
      <w:r w:rsidRPr="002F47C8">
        <w:rPr>
          <w:noProof/>
          <w:lang w:val="en-US"/>
        </w:rPr>
        <w:continuationSeparator/>
      </w:r>
    </w:p>
  </w:footnote>
  <w:footnote w:id="1">
    <w:p w:rsidR="00343783" w:rsidRPr="00343783" w:rsidRDefault="00343783" w:rsidP="00343783">
      <w:pPr>
        <w:pStyle w:val="FootnoteText"/>
        <w:jc w:val="both"/>
        <w:rPr>
          <w:sz w:val="20"/>
          <w:szCs w:val="20"/>
          <w:vertAlign w:val="superscript"/>
        </w:rPr>
      </w:pPr>
      <w:r>
        <w:rPr>
          <w:rStyle w:val="FootnoteReference"/>
          <w:sz w:val="20"/>
          <w:vertAlign w:val="superscript"/>
        </w:rPr>
        <w:footnoteRef/>
      </w:r>
      <w:r>
        <w:rPr>
          <w:sz w:val="20"/>
          <w:vertAlign w:val="superscript"/>
        </w:rPr>
        <w:t xml:space="preserve"> </w:t>
      </w:r>
      <w:r>
        <w:rPr>
          <w:noProof/>
          <w:sz w:val="20"/>
        </w:rPr>
        <w:t>Īstenības izteiksmes izmantošana šajās vadlīnijās atbilst Eiropas Padomes Noziedzības problēmu komitejas (</w:t>
      </w:r>
      <w:r>
        <w:rPr>
          <w:i/>
          <w:noProof/>
          <w:sz w:val="20"/>
        </w:rPr>
        <w:t>CDPC</w:t>
      </w:r>
      <w:r>
        <w:rPr>
          <w:noProof/>
          <w:sz w:val="20"/>
        </w:rPr>
        <w:t xml:space="preserve">) normatīvo aktu izstrādes praksei penitenciārajā jomā. Šī prakse tika ieviesta, pieņemot Eiropas cietumu noteikumus 2006. gadā (Ministru komitejas ieteikums dalībvalstīm </w:t>
      </w:r>
      <w:r>
        <w:rPr>
          <w:noProof/>
          <w:color w:val="0000FF"/>
          <w:sz w:val="20"/>
          <w:u w:val="single"/>
        </w:rPr>
        <w:t>Rec(2006)2</w:t>
      </w:r>
      <w:r>
        <w:rPr>
          <w:noProof/>
          <w:sz w:val="20"/>
        </w:rPr>
        <w:t>). Īstenības izteiksmes izmantošana nekādā veidā nenorāda uz spēkā esošām saistībām, kas noteiktas starptautiskos tiesību aktos, vai uz citu kategorisku vai obligātu noteikumu, kas dalībvalstīm jāievēro.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7E92" w:rsidRPr="007B2D9B" w:rsidRDefault="00227E92" w:rsidP="00227E92">
    <w:pPr>
      <w:pStyle w:val="Header"/>
      <w:rPr>
        <w:rStyle w:val="PageNumber"/>
        <w:rFonts w:ascii="Times New Roman" w:hAnsi="Times New Roman"/>
        <w:sz w:val="20"/>
        <w:szCs w:val="20"/>
      </w:rPr>
    </w:pPr>
  </w:p>
  <w:p w:rsidR="00227E92" w:rsidRPr="007B2D9B" w:rsidRDefault="00227E92" w:rsidP="00227E92">
    <w:pPr>
      <w:pStyle w:val="Header"/>
      <w:tabs>
        <w:tab w:val="clear" w:pos="4153"/>
        <w:tab w:val="clear" w:pos="8306"/>
        <w:tab w:val="right" w:leader="underscore" w:pos="9072"/>
      </w:tabs>
      <w:rPr>
        <w:rStyle w:val="PageNumber"/>
        <w:rFonts w:ascii="Times New Roman" w:hAnsi="Times New Roman"/>
        <w:sz w:val="20"/>
        <w:szCs w:val="20"/>
      </w:rPr>
    </w:pPr>
    <w:r w:rsidRPr="007B2D9B">
      <w:rPr>
        <w:rStyle w:val="PageNumber"/>
        <w:rFonts w:ascii="Times New Roman" w:hAnsi="Times New Roman"/>
        <w:sz w:val="20"/>
        <w:szCs w:val="20"/>
      </w:rPr>
      <w:tab/>
    </w:r>
  </w:p>
  <w:p w:rsidR="00227E92" w:rsidRPr="007B2D9B" w:rsidRDefault="00227E92" w:rsidP="00227E92">
    <w:pPr>
      <w:pStyle w:val="Header"/>
      <w:tabs>
        <w:tab w:val="center" w:pos="4820"/>
        <w:tab w:val="right" w:pos="9639"/>
      </w:tabs>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7E92" w:rsidRPr="007B2D9B" w:rsidRDefault="00227E92" w:rsidP="00227E92">
    <w:pPr>
      <w:pBdr>
        <w:bottom w:val="single" w:sz="12" w:space="5" w:color="auto"/>
      </w:pBdr>
      <w:spacing w:after="0" w:line="240" w:lineRule="auto"/>
      <w:rPr>
        <w:rFonts w:ascii="Times New Roman" w:hAnsi="Times New Roman"/>
        <w:spacing w:val="-2"/>
        <w:sz w:val="20"/>
        <w:szCs w:val="20"/>
      </w:rPr>
    </w:pPr>
  </w:p>
  <w:p w:rsidR="00227E92" w:rsidRPr="007B2D9B" w:rsidRDefault="00227E92" w:rsidP="00227E92">
    <w:pPr>
      <w:pStyle w:val="Header"/>
      <w:tabs>
        <w:tab w:val="center" w:pos="4820"/>
        <w:tab w:val="right" w:pos="9639"/>
      </w:tabs>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7AB"/>
    <w:rsid w:val="000E498E"/>
    <w:rsid w:val="00227E92"/>
    <w:rsid w:val="002F47C8"/>
    <w:rsid w:val="00343783"/>
    <w:rsid w:val="0039182F"/>
    <w:rsid w:val="00C663F0"/>
    <w:rsid w:val="00DD0CA3"/>
    <w:rsid w:val="00ED6A38"/>
    <w:rsid w:val="00F747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subtitle">
    <w:name w:val="cm_subtitle"/>
    <w:basedOn w:val="Normal"/>
    <w:rsid w:val="00F747A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747AB"/>
    <w:rPr>
      <w:b/>
      <w:bCs/>
    </w:rPr>
  </w:style>
  <w:style w:type="character" w:styleId="Emphasis">
    <w:name w:val="Emphasis"/>
    <w:basedOn w:val="DefaultParagraphFont"/>
    <w:uiPriority w:val="20"/>
    <w:qFormat/>
    <w:rsid w:val="00F747AB"/>
    <w:rPr>
      <w:i/>
      <w:iCs/>
    </w:rPr>
  </w:style>
  <w:style w:type="character" w:styleId="Hyperlink">
    <w:name w:val="Hyperlink"/>
    <w:basedOn w:val="DefaultParagraphFont"/>
    <w:uiPriority w:val="99"/>
    <w:semiHidden/>
    <w:unhideWhenUsed/>
    <w:rsid w:val="00F747AB"/>
    <w:rPr>
      <w:color w:val="0000FF"/>
      <w:u w:val="single"/>
    </w:rPr>
  </w:style>
  <w:style w:type="character" w:styleId="FootnoteReference">
    <w:name w:val="footnote reference"/>
    <w:basedOn w:val="DefaultParagraphFont"/>
    <w:uiPriority w:val="99"/>
    <w:semiHidden/>
    <w:unhideWhenUsed/>
    <w:rsid w:val="00F747AB"/>
  </w:style>
  <w:style w:type="paragraph" w:styleId="FootnoteText">
    <w:name w:val="footnote text"/>
    <w:basedOn w:val="Normal"/>
    <w:link w:val="FootnoteTextChar"/>
    <w:uiPriority w:val="99"/>
    <w:semiHidden/>
    <w:unhideWhenUsed/>
    <w:rsid w:val="00F747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uiPriority w:val="99"/>
    <w:semiHidden/>
    <w:rsid w:val="00F747AB"/>
    <w:rPr>
      <w:rFonts w:ascii="Times New Roman" w:eastAsia="Times New Roman" w:hAnsi="Times New Roman" w:cs="Times New Roman"/>
      <w:sz w:val="24"/>
      <w:szCs w:val="24"/>
      <w:lang w:eastAsia="lv-LV"/>
    </w:rPr>
  </w:style>
  <w:style w:type="paragraph" w:styleId="Header">
    <w:name w:val="header"/>
    <w:basedOn w:val="Normal"/>
    <w:link w:val="HeaderChar"/>
    <w:unhideWhenUsed/>
    <w:rsid w:val="002F47C8"/>
    <w:pPr>
      <w:tabs>
        <w:tab w:val="center" w:pos="4153"/>
        <w:tab w:val="right" w:pos="8306"/>
      </w:tabs>
      <w:spacing w:after="0" w:line="240" w:lineRule="auto"/>
    </w:pPr>
  </w:style>
  <w:style w:type="character" w:customStyle="1" w:styleId="HeaderChar">
    <w:name w:val="Header Char"/>
    <w:basedOn w:val="DefaultParagraphFont"/>
    <w:link w:val="Header"/>
    <w:uiPriority w:val="99"/>
    <w:rsid w:val="002F47C8"/>
  </w:style>
  <w:style w:type="paragraph" w:styleId="Footer">
    <w:name w:val="footer"/>
    <w:basedOn w:val="Normal"/>
    <w:link w:val="FooterChar"/>
    <w:unhideWhenUsed/>
    <w:rsid w:val="002F47C8"/>
    <w:pPr>
      <w:tabs>
        <w:tab w:val="center" w:pos="4153"/>
        <w:tab w:val="right" w:pos="8306"/>
      </w:tabs>
      <w:spacing w:after="0" w:line="240" w:lineRule="auto"/>
    </w:pPr>
  </w:style>
  <w:style w:type="character" w:customStyle="1" w:styleId="FooterChar">
    <w:name w:val="Footer Char"/>
    <w:basedOn w:val="DefaultParagraphFont"/>
    <w:link w:val="Footer"/>
    <w:uiPriority w:val="99"/>
    <w:rsid w:val="002F47C8"/>
  </w:style>
  <w:style w:type="character" w:styleId="PageNumber">
    <w:name w:val="page number"/>
    <w:basedOn w:val="DefaultParagraphFont"/>
    <w:rsid w:val="00227E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0896532">
      <w:bodyDiv w:val="1"/>
      <w:marLeft w:val="0"/>
      <w:marRight w:val="0"/>
      <w:marTop w:val="0"/>
      <w:marBottom w:val="0"/>
      <w:divBdr>
        <w:top w:val="none" w:sz="0" w:space="0" w:color="auto"/>
        <w:left w:val="none" w:sz="0" w:space="0" w:color="auto"/>
        <w:bottom w:val="none" w:sz="0" w:space="0" w:color="auto"/>
        <w:right w:val="none" w:sz="0" w:space="0" w:color="auto"/>
      </w:divBdr>
      <w:divsChild>
        <w:div w:id="634529583">
          <w:marLeft w:val="0"/>
          <w:marRight w:val="0"/>
          <w:marTop w:val="0"/>
          <w:marBottom w:val="0"/>
          <w:divBdr>
            <w:top w:val="none" w:sz="0" w:space="0" w:color="auto"/>
            <w:left w:val="none" w:sz="0" w:space="0" w:color="auto"/>
            <w:bottom w:val="none" w:sz="0" w:space="0" w:color="auto"/>
            <w:right w:val="none" w:sz="0" w:space="0" w:color="auto"/>
          </w:divBdr>
        </w:div>
        <w:div w:id="303972876">
          <w:marLeft w:val="0"/>
          <w:marRight w:val="0"/>
          <w:marTop w:val="0"/>
          <w:marBottom w:val="0"/>
          <w:divBdr>
            <w:top w:val="none" w:sz="0" w:space="0" w:color="auto"/>
            <w:left w:val="none" w:sz="0" w:space="0" w:color="auto"/>
            <w:bottom w:val="none" w:sz="0" w:space="0" w:color="auto"/>
            <w:right w:val="none" w:sz="0" w:space="0" w:color="auto"/>
          </w:divBdr>
          <w:divsChild>
            <w:div w:id="116046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34E02-E08D-42F3-AD57-CDDF013E5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11378</Words>
  <Characters>6486</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2016-08-30T13:52:00Z</dcterms:created>
  <dcterms:modified xsi:type="dcterms:W3CDTF">2017-01-04T12:54:00Z</dcterms:modified>
</cp:coreProperties>
</file>