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6051E2" w14:textId="2E3F3768" w:rsidR="008306B3" w:rsidRDefault="008306B3" w:rsidP="002E77E9">
      <w:pPr>
        <w:jc w:val="both"/>
        <w:rPr>
          <w:rFonts w:ascii="Times New Roman" w:eastAsia="Times New Roman" w:hAnsi="Times New Roman" w:cs="Times New Roman"/>
          <w:noProof/>
          <w:sz w:val="24"/>
          <w:szCs w:val="16"/>
        </w:rPr>
      </w:pPr>
    </w:p>
    <w:p w14:paraId="4A3D6A2C" w14:textId="5361C786" w:rsidR="002E77E9" w:rsidRPr="002E77E9" w:rsidRDefault="002E77E9" w:rsidP="002E77E9">
      <w:pPr>
        <w:jc w:val="center"/>
        <w:rPr>
          <w:rFonts w:ascii="Times New Roman" w:eastAsia="Times New Roman" w:hAnsi="Times New Roman" w:cs="Times New Roman"/>
          <w:b/>
          <w:bCs/>
          <w:noProof/>
          <w:sz w:val="24"/>
          <w:szCs w:val="16"/>
        </w:rPr>
      </w:pPr>
      <w:r>
        <w:rPr>
          <w:rFonts w:ascii="Times New Roman" w:hAnsi="Times New Roman"/>
          <w:b/>
          <w:i/>
          <w:iCs/>
          <w:sz w:val="24"/>
        </w:rPr>
        <w:t>WADA</w:t>
      </w:r>
      <w:r>
        <w:rPr>
          <w:rFonts w:ascii="Times New Roman" w:hAnsi="Times New Roman"/>
          <w:b/>
          <w:sz w:val="24"/>
        </w:rPr>
        <w:t xml:space="preserve"> tehniskais dokuments – TD2015IDCR</w:t>
      </w:r>
    </w:p>
    <w:p w14:paraId="09BF2B60" w14:textId="77777777" w:rsidR="002E77E9" w:rsidRPr="002E77E9" w:rsidRDefault="002E77E9" w:rsidP="002E77E9">
      <w:pPr>
        <w:jc w:val="both"/>
        <w:rPr>
          <w:rFonts w:ascii="Times New Roman" w:eastAsia="Times New Roman" w:hAnsi="Times New Roman" w:cs="Times New Roman"/>
          <w:noProof/>
          <w:sz w:val="24"/>
          <w:szCs w:val="16"/>
        </w:rPr>
      </w:pPr>
    </w:p>
    <w:tbl>
      <w:tblPr>
        <w:tblW w:w="5000" w:type="pct"/>
        <w:tblCellMar>
          <w:top w:w="28" w:type="dxa"/>
          <w:left w:w="28" w:type="dxa"/>
          <w:bottom w:w="28" w:type="dxa"/>
          <w:right w:w="28" w:type="dxa"/>
        </w:tblCellMar>
        <w:tblLook w:val="01E0" w:firstRow="1" w:lastRow="1" w:firstColumn="1" w:lastColumn="1" w:noHBand="0" w:noVBand="0"/>
      </w:tblPr>
      <w:tblGrid>
        <w:gridCol w:w="1903"/>
        <w:gridCol w:w="2965"/>
        <w:gridCol w:w="1963"/>
        <w:gridCol w:w="2297"/>
      </w:tblGrid>
      <w:tr w:rsidR="008306B3" w:rsidRPr="00AF1804" w14:paraId="4BEDFD08" w14:textId="77777777" w:rsidTr="00604C0C">
        <w:tc>
          <w:tcPr>
            <w:tcW w:w="1043" w:type="pct"/>
            <w:tcBorders>
              <w:top w:val="single" w:sz="5" w:space="0" w:color="000000"/>
              <w:left w:val="single" w:sz="5" w:space="0" w:color="000000"/>
              <w:bottom w:val="single" w:sz="5" w:space="0" w:color="000000"/>
              <w:right w:val="single" w:sz="5" w:space="0" w:color="000000"/>
            </w:tcBorders>
          </w:tcPr>
          <w:p w14:paraId="0C322BC3"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Dokumenta numurs:</w:t>
            </w:r>
          </w:p>
        </w:tc>
        <w:tc>
          <w:tcPr>
            <w:tcW w:w="1624" w:type="pct"/>
            <w:tcBorders>
              <w:top w:val="single" w:sz="5" w:space="0" w:color="000000"/>
              <w:left w:val="single" w:sz="5" w:space="0" w:color="000000"/>
              <w:bottom w:val="single" w:sz="5" w:space="0" w:color="000000"/>
              <w:right w:val="single" w:sz="5" w:space="0" w:color="000000"/>
            </w:tcBorders>
          </w:tcPr>
          <w:p w14:paraId="7BC59773"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TD2015IDCR</w:t>
            </w:r>
          </w:p>
        </w:tc>
        <w:tc>
          <w:tcPr>
            <w:tcW w:w="1075" w:type="pct"/>
            <w:tcBorders>
              <w:top w:val="single" w:sz="5" w:space="0" w:color="000000"/>
              <w:left w:val="single" w:sz="5" w:space="0" w:color="000000"/>
              <w:bottom w:val="single" w:sz="5" w:space="0" w:color="000000"/>
              <w:right w:val="single" w:sz="5" w:space="0" w:color="000000"/>
            </w:tcBorders>
          </w:tcPr>
          <w:p w14:paraId="66501F25"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Versijas numurs:</w:t>
            </w:r>
          </w:p>
        </w:tc>
        <w:tc>
          <w:tcPr>
            <w:tcW w:w="1258" w:type="pct"/>
            <w:tcBorders>
              <w:top w:val="single" w:sz="5" w:space="0" w:color="000000"/>
              <w:left w:val="single" w:sz="5" w:space="0" w:color="000000"/>
              <w:bottom w:val="single" w:sz="5" w:space="0" w:color="000000"/>
              <w:right w:val="single" w:sz="5" w:space="0" w:color="000000"/>
            </w:tcBorders>
          </w:tcPr>
          <w:p w14:paraId="2AC7BEC3"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1.0</w:t>
            </w:r>
          </w:p>
        </w:tc>
      </w:tr>
      <w:tr w:rsidR="008306B3" w:rsidRPr="00AF1804" w14:paraId="1BC6259E" w14:textId="77777777" w:rsidTr="00604C0C">
        <w:tc>
          <w:tcPr>
            <w:tcW w:w="1043" w:type="pct"/>
            <w:tcBorders>
              <w:top w:val="single" w:sz="5" w:space="0" w:color="000000"/>
              <w:left w:val="single" w:sz="5" w:space="0" w:color="000000"/>
              <w:bottom w:val="single" w:sz="5" w:space="0" w:color="000000"/>
              <w:right w:val="single" w:sz="5" w:space="0" w:color="000000"/>
            </w:tcBorders>
          </w:tcPr>
          <w:p w14:paraId="0410EC9C"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Sarakstījusi:</w:t>
            </w:r>
          </w:p>
        </w:tc>
        <w:tc>
          <w:tcPr>
            <w:tcW w:w="1624" w:type="pct"/>
            <w:tcBorders>
              <w:top w:val="single" w:sz="5" w:space="0" w:color="000000"/>
              <w:left w:val="single" w:sz="5" w:space="0" w:color="000000"/>
              <w:bottom w:val="single" w:sz="5" w:space="0" w:color="000000"/>
              <w:right w:val="single" w:sz="5" w:space="0" w:color="000000"/>
            </w:tcBorders>
          </w:tcPr>
          <w:p w14:paraId="1851C1D7" w14:textId="77777777" w:rsidR="008306B3" w:rsidRPr="00AF1804" w:rsidRDefault="008306B3" w:rsidP="002E77E9">
            <w:pPr>
              <w:pStyle w:val="TableParagraph"/>
              <w:jc w:val="both"/>
              <w:rPr>
                <w:rFonts w:ascii="Times New Roman" w:eastAsia="Verdana" w:hAnsi="Times New Roman" w:cs="Verdana"/>
                <w:noProof/>
                <w:sz w:val="20"/>
                <w:szCs w:val="20"/>
              </w:rPr>
            </w:pPr>
            <w:r>
              <w:rPr>
                <w:rFonts w:ascii="Times New Roman" w:hAnsi="Times New Roman"/>
                <w:i/>
                <w:sz w:val="20"/>
              </w:rPr>
              <w:t>WADA</w:t>
            </w:r>
            <w:r>
              <w:rPr>
                <w:rFonts w:ascii="Times New Roman" w:hAnsi="Times New Roman"/>
                <w:sz w:val="20"/>
              </w:rPr>
              <w:t xml:space="preserve"> Laboratoriju ekspertu grupa</w:t>
            </w:r>
          </w:p>
        </w:tc>
        <w:tc>
          <w:tcPr>
            <w:tcW w:w="1075" w:type="pct"/>
            <w:tcBorders>
              <w:top w:val="single" w:sz="5" w:space="0" w:color="000000"/>
              <w:left w:val="single" w:sz="5" w:space="0" w:color="000000"/>
              <w:bottom w:val="single" w:sz="5" w:space="0" w:color="000000"/>
              <w:right w:val="single" w:sz="5" w:space="0" w:color="000000"/>
            </w:tcBorders>
          </w:tcPr>
          <w:p w14:paraId="13860C2E"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Apstiprinājusi:</w:t>
            </w:r>
          </w:p>
        </w:tc>
        <w:tc>
          <w:tcPr>
            <w:tcW w:w="1258" w:type="pct"/>
            <w:tcBorders>
              <w:top w:val="single" w:sz="5" w:space="0" w:color="000000"/>
              <w:left w:val="single" w:sz="5" w:space="0" w:color="000000"/>
              <w:bottom w:val="single" w:sz="5" w:space="0" w:color="000000"/>
              <w:right w:val="single" w:sz="5" w:space="0" w:color="000000"/>
            </w:tcBorders>
          </w:tcPr>
          <w:p w14:paraId="188E0799" w14:textId="77777777" w:rsidR="008306B3" w:rsidRPr="00AF1804" w:rsidRDefault="008306B3" w:rsidP="002E77E9">
            <w:pPr>
              <w:pStyle w:val="TableParagraph"/>
              <w:jc w:val="both"/>
              <w:rPr>
                <w:rFonts w:ascii="Times New Roman" w:eastAsia="Verdana" w:hAnsi="Times New Roman" w:cs="Verdana"/>
                <w:noProof/>
                <w:sz w:val="20"/>
                <w:szCs w:val="20"/>
              </w:rPr>
            </w:pPr>
            <w:r>
              <w:rPr>
                <w:rFonts w:ascii="Times New Roman" w:hAnsi="Times New Roman"/>
                <w:i/>
                <w:iCs/>
                <w:sz w:val="20"/>
              </w:rPr>
              <w:t>WADA</w:t>
            </w:r>
            <w:r>
              <w:rPr>
                <w:rFonts w:ascii="Times New Roman" w:hAnsi="Times New Roman"/>
                <w:sz w:val="20"/>
              </w:rPr>
              <w:t xml:space="preserve"> izpildkomiteja</w:t>
            </w:r>
          </w:p>
        </w:tc>
      </w:tr>
      <w:tr w:rsidR="008306B3" w:rsidRPr="00AF1804" w14:paraId="0B0548F1" w14:textId="77777777" w:rsidTr="00604C0C">
        <w:tc>
          <w:tcPr>
            <w:tcW w:w="1043" w:type="pct"/>
            <w:tcBorders>
              <w:top w:val="single" w:sz="5" w:space="0" w:color="000000"/>
              <w:left w:val="single" w:sz="5" w:space="0" w:color="000000"/>
              <w:bottom w:val="single" w:sz="5" w:space="0" w:color="000000"/>
              <w:right w:val="single" w:sz="5" w:space="0" w:color="000000"/>
            </w:tcBorders>
          </w:tcPr>
          <w:p w14:paraId="1B9DD83F"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Apstiprināšanas datums:</w:t>
            </w:r>
          </w:p>
        </w:tc>
        <w:tc>
          <w:tcPr>
            <w:tcW w:w="1624" w:type="pct"/>
            <w:tcBorders>
              <w:top w:val="single" w:sz="5" w:space="0" w:color="000000"/>
              <w:left w:val="single" w:sz="5" w:space="0" w:color="000000"/>
              <w:bottom w:val="single" w:sz="5" w:space="0" w:color="000000"/>
              <w:right w:val="single" w:sz="5" w:space="0" w:color="000000"/>
            </w:tcBorders>
          </w:tcPr>
          <w:p w14:paraId="117DA50F"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2015. gada 12. maijs</w:t>
            </w:r>
          </w:p>
        </w:tc>
        <w:tc>
          <w:tcPr>
            <w:tcW w:w="1075" w:type="pct"/>
            <w:tcBorders>
              <w:top w:val="single" w:sz="5" w:space="0" w:color="000000"/>
              <w:left w:val="single" w:sz="5" w:space="0" w:color="000000"/>
              <w:bottom w:val="single" w:sz="5" w:space="0" w:color="000000"/>
              <w:right w:val="single" w:sz="5" w:space="0" w:color="000000"/>
            </w:tcBorders>
          </w:tcPr>
          <w:p w14:paraId="1C31DE75"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Spēkā stāšanās datums:</w:t>
            </w:r>
          </w:p>
        </w:tc>
        <w:tc>
          <w:tcPr>
            <w:tcW w:w="1258" w:type="pct"/>
            <w:tcBorders>
              <w:top w:val="single" w:sz="5" w:space="0" w:color="000000"/>
              <w:left w:val="single" w:sz="5" w:space="0" w:color="000000"/>
              <w:bottom w:val="single" w:sz="5" w:space="0" w:color="000000"/>
              <w:right w:val="single" w:sz="5" w:space="0" w:color="000000"/>
            </w:tcBorders>
          </w:tcPr>
          <w:p w14:paraId="402FF636" w14:textId="77777777" w:rsidR="008306B3" w:rsidRPr="00AF1804" w:rsidRDefault="008306B3" w:rsidP="002E77E9">
            <w:pPr>
              <w:pStyle w:val="TableParagraph"/>
              <w:jc w:val="both"/>
              <w:rPr>
                <w:rFonts w:ascii="Times New Roman" w:hAnsi="Times New Roman"/>
                <w:noProof/>
                <w:sz w:val="20"/>
                <w:szCs w:val="20"/>
              </w:rPr>
            </w:pPr>
            <w:r>
              <w:rPr>
                <w:rFonts w:ascii="Times New Roman" w:hAnsi="Times New Roman"/>
                <w:sz w:val="20"/>
              </w:rPr>
              <w:t>2015. gada 1. septembris</w:t>
            </w:r>
          </w:p>
        </w:tc>
      </w:tr>
    </w:tbl>
    <w:p w14:paraId="64CBF86D" w14:textId="77777777" w:rsidR="008306B3" w:rsidRPr="002E77E9" w:rsidRDefault="008306B3" w:rsidP="002E77E9">
      <w:pPr>
        <w:jc w:val="both"/>
        <w:rPr>
          <w:rFonts w:ascii="Times New Roman" w:eastAsia="Times New Roman" w:hAnsi="Times New Roman" w:cs="Times New Roman"/>
          <w:noProof/>
          <w:sz w:val="24"/>
          <w:szCs w:val="19"/>
        </w:rPr>
      </w:pPr>
    </w:p>
    <w:p w14:paraId="00065441" w14:textId="77777777" w:rsidR="008306B3" w:rsidRPr="002E77E9" w:rsidRDefault="008306B3" w:rsidP="00AF1804">
      <w:pPr>
        <w:pStyle w:val="Heading1"/>
        <w:spacing w:before="0"/>
        <w:ind w:left="0" w:firstLine="0"/>
        <w:jc w:val="center"/>
        <w:rPr>
          <w:rFonts w:ascii="Times New Roman" w:hAnsi="Times New Roman"/>
          <w:noProof/>
        </w:rPr>
      </w:pPr>
      <w:r>
        <w:rPr>
          <w:rFonts w:ascii="Times New Roman" w:hAnsi="Times New Roman"/>
        </w:rPr>
        <w:t>MINIMĀLIE KRITĒRIJI ANALIZĒJAMO VIELU IDENTITĀTES APSTIPRINĀŠANAI AR HROMATOGRĀFIJAS MASSPEKTOMETRIJU DOPINGA KONTROLES VAJADZĪBĀM</w:t>
      </w:r>
    </w:p>
    <w:p w14:paraId="0DDAEF3F" w14:textId="77777777" w:rsidR="008306B3" w:rsidRPr="002E77E9" w:rsidRDefault="008306B3" w:rsidP="002E77E9">
      <w:pPr>
        <w:jc w:val="both"/>
        <w:rPr>
          <w:rFonts w:ascii="Times New Roman" w:eastAsia="Verdana" w:hAnsi="Times New Roman" w:cs="Verdana"/>
          <w:b/>
          <w:bCs/>
          <w:noProof/>
          <w:sz w:val="24"/>
          <w:szCs w:val="23"/>
        </w:rPr>
      </w:pPr>
    </w:p>
    <w:p w14:paraId="23190F1E" w14:textId="77777777" w:rsidR="008306B3" w:rsidRPr="002E77E9" w:rsidRDefault="008306B3" w:rsidP="002E77E9">
      <w:pPr>
        <w:pStyle w:val="BodyText"/>
        <w:spacing w:before="0"/>
        <w:ind w:left="0"/>
        <w:jc w:val="both"/>
        <w:rPr>
          <w:rFonts w:ascii="Times New Roman" w:hAnsi="Times New Roman"/>
          <w:noProof/>
          <w:sz w:val="24"/>
        </w:rPr>
      </w:pPr>
      <w:r>
        <w:rPr>
          <w:rFonts w:ascii="Times New Roman" w:hAnsi="Times New Roman"/>
          <w:sz w:val="24"/>
        </w:rPr>
        <w:t xml:space="preserve">Spēja ar metodi identificēt analizējamo vielu ir visas procedūras funkcija: parauga sagatavošana, hromatogrāfiskā nosķiršana, masas analīze un datu novērtēšana. Jebkurā metodes aprakstā dokumentācijas vajadzībām jāiekļauj visas metodes daļas. Atbilstošos analītiskos raksturlielumus dokumentē attiecībā uz visu identifikācijas metodi, un, izmantojot atbilstīgu metodes validāciju, jābūt pietiekami pierādītam, ka tās ir </w:t>
      </w:r>
      <w:r>
        <w:rPr>
          <w:rFonts w:ascii="Times New Roman" w:hAnsi="Times New Roman"/>
          <w:sz w:val="24"/>
          <w:u w:val="single"/>
        </w:rPr>
        <w:t>nolūkam atbilstīgas</w:t>
      </w:r>
      <w:r>
        <w:rPr>
          <w:rFonts w:ascii="Times New Roman" w:hAnsi="Times New Roman"/>
          <w:sz w:val="24"/>
        </w:rPr>
        <w:t>.</w:t>
      </w:r>
    </w:p>
    <w:p w14:paraId="1365C11F" w14:textId="77777777" w:rsidR="008306B3" w:rsidRPr="002E77E9" w:rsidRDefault="008306B3" w:rsidP="002E77E9">
      <w:pPr>
        <w:jc w:val="both"/>
        <w:rPr>
          <w:rFonts w:ascii="Times New Roman" w:eastAsia="Verdana" w:hAnsi="Times New Roman" w:cs="Verdana"/>
          <w:noProof/>
          <w:sz w:val="24"/>
          <w:szCs w:val="24"/>
        </w:rPr>
      </w:pPr>
    </w:p>
    <w:p w14:paraId="41AE6DA5" w14:textId="77777777" w:rsidR="008306B3" w:rsidRPr="002E77E9" w:rsidRDefault="008306B3" w:rsidP="002E77E9">
      <w:pPr>
        <w:pStyle w:val="BodyText"/>
        <w:spacing w:before="0"/>
        <w:ind w:left="0"/>
        <w:jc w:val="both"/>
        <w:rPr>
          <w:rFonts w:ascii="Times New Roman" w:hAnsi="Times New Roman"/>
          <w:noProof/>
          <w:sz w:val="24"/>
        </w:rPr>
      </w:pPr>
      <w:r>
        <w:rPr>
          <w:rFonts w:ascii="Times New Roman" w:hAnsi="Times New Roman"/>
          <w:sz w:val="24"/>
          <w:u w:val="single"/>
        </w:rPr>
        <w:t>Laboratorijas</w:t>
      </w:r>
      <w:r>
        <w:rPr>
          <w:rFonts w:ascii="Times New Roman" w:hAnsi="Times New Roman"/>
          <w:sz w:val="24"/>
        </w:rPr>
        <w:t xml:space="preserve"> savos analītiskajos protokolos ievēro identifikācijas kritērijus, kas izklāstīti šajā tehniskajā dokumentā, tostarp diferenciāciju starp vienas un tās pašas vielas izomēriem (ja tas ir nepieciešams, lai nepārprotami identificētu </w:t>
      </w:r>
      <w:r>
        <w:rPr>
          <w:rFonts w:ascii="Times New Roman" w:hAnsi="Times New Roman"/>
          <w:i/>
          <w:iCs/>
          <w:sz w:val="24"/>
        </w:rPr>
        <w:t>aizliegto vielu</w:t>
      </w:r>
      <w:r>
        <w:rPr>
          <w:rFonts w:ascii="Times New Roman" w:hAnsi="Times New Roman"/>
          <w:sz w:val="24"/>
        </w:rPr>
        <w:t>).</w:t>
      </w:r>
    </w:p>
    <w:p w14:paraId="5BB1334C" w14:textId="77777777" w:rsidR="008306B3" w:rsidRPr="002E77E9" w:rsidRDefault="008306B3" w:rsidP="002E77E9">
      <w:pPr>
        <w:jc w:val="both"/>
        <w:rPr>
          <w:rFonts w:ascii="Times New Roman" w:eastAsia="Verdana" w:hAnsi="Times New Roman" w:cs="Verdana"/>
          <w:noProof/>
          <w:sz w:val="24"/>
          <w:szCs w:val="29"/>
        </w:rPr>
      </w:pPr>
    </w:p>
    <w:p w14:paraId="3809DB14" w14:textId="255BCEB4" w:rsidR="008306B3" w:rsidRPr="002E77E9" w:rsidRDefault="00AF1804" w:rsidP="00AF1804">
      <w:pPr>
        <w:pStyle w:val="Heading1"/>
        <w:tabs>
          <w:tab w:val="left" w:pos="980"/>
        </w:tabs>
        <w:spacing w:before="0"/>
        <w:ind w:left="0" w:firstLine="0"/>
        <w:jc w:val="both"/>
        <w:rPr>
          <w:rFonts w:ascii="Times New Roman" w:hAnsi="Times New Roman"/>
          <w:noProof/>
        </w:rPr>
      </w:pPr>
      <w:r>
        <w:rPr>
          <w:rFonts w:ascii="Times New Roman" w:hAnsi="Times New Roman"/>
        </w:rPr>
        <w:t>1.0. Hromatogrāfiskie kritēriji</w:t>
      </w:r>
    </w:p>
    <w:p w14:paraId="26027EAB" w14:textId="77777777" w:rsidR="00AF1804" w:rsidRDefault="00AF1804" w:rsidP="00AF1804">
      <w:pPr>
        <w:pStyle w:val="BodyText"/>
        <w:tabs>
          <w:tab w:val="left" w:pos="980"/>
        </w:tabs>
        <w:spacing w:before="0"/>
        <w:ind w:left="0"/>
        <w:jc w:val="both"/>
        <w:rPr>
          <w:rFonts w:ascii="Times New Roman" w:hAnsi="Times New Roman"/>
          <w:noProof/>
          <w:sz w:val="24"/>
        </w:rPr>
      </w:pPr>
    </w:p>
    <w:p w14:paraId="6D265A64" w14:textId="04BEF0FA" w:rsidR="008306B3" w:rsidRPr="002E77E9" w:rsidRDefault="008306B3" w:rsidP="00AF1804">
      <w:pPr>
        <w:pStyle w:val="BodyText"/>
        <w:numPr>
          <w:ilvl w:val="2"/>
          <w:numId w:val="4"/>
        </w:numPr>
        <w:spacing w:before="0"/>
        <w:ind w:left="426" w:hanging="426"/>
        <w:jc w:val="both"/>
        <w:rPr>
          <w:rFonts w:ascii="Times New Roman" w:hAnsi="Times New Roman"/>
          <w:noProof/>
          <w:sz w:val="24"/>
        </w:rPr>
      </w:pPr>
      <w:r>
        <w:rPr>
          <w:rFonts w:ascii="Times New Roman" w:hAnsi="Times New Roman"/>
          <w:sz w:val="24"/>
        </w:rPr>
        <w:t>Analizējamās vielas hromatogrāfiskās smailes aiztures laiks (</w:t>
      </w:r>
      <w:r>
        <w:rPr>
          <w:rFonts w:ascii="Times New Roman" w:hAnsi="Times New Roman"/>
          <w:i/>
          <w:iCs/>
          <w:sz w:val="24"/>
        </w:rPr>
        <w:t>RT</w:t>
      </w:r>
      <w:r>
        <w:rPr>
          <w:rFonts w:ascii="Times New Roman" w:hAnsi="Times New Roman"/>
          <w:sz w:val="24"/>
        </w:rPr>
        <w:t xml:space="preserve">) </w:t>
      </w:r>
      <w:r>
        <w:rPr>
          <w:rFonts w:ascii="Times New Roman" w:hAnsi="Times New Roman"/>
          <w:i/>
          <w:sz w:val="24"/>
        </w:rPr>
        <w:t>paraugā</w:t>
      </w:r>
      <w:r>
        <w:rPr>
          <w:rFonts w:ascii="Times New Roman" w:hAnsi="Times New Roman"/>
          <w:sz w:val="24"/>
        </w:rPr>
        <w:t xml:space="preserve"> neatšķiras (</w:t>
      </w:r>
      <w:r>
        <w:rPr>
          <w:rFonts w:ascii="Times New Roman" w:hAnsi="Times New Roman"/>
          <w:i/>
          <w:iCs/>
          <w:sz w:val="24"/>
        </w:rPr>
        <w:t>∆RT</w:t>
      </w:r>
      <w:r>
        <w:rPr>
          <w:rFonts w:ascii="Times New Roman" w:hAnsi="Times New Roman"/>
          <w:sz w:val="24"/>
        </w:rPr>
        <w:t>) par vairāk nekā vienu (1) procentu (%) vai ± 0,1 minūti (atkarībā no tā, kurš ir lielāks</w:t>
      </w:r>
      <w:r w:rsidR="00AF1804">
        <w:rPr>
          <w:rStyle w:val="FootnoteReference"/>
          <w:rFonts w:ascii="Times New Roman" w:hAnsi="Times New Roman"/>
          <w:noProof/>
          <w:sz w:val="24"/>
        </w:rPr>
        <w:footnoteReference w:id="1"/>
      </w:r>
      <w:r>
        <w:rPr>
          <w:rFonts w:ascii="Times New Roman" w:hAnsi="Times New Roman"/>
          <w:sz w:val="24"/>
        </w:rPr>
        <w:t>, bet nepārsniedz pilna platuma pusintensitātes līmeni (</w:t>
      </w:r>
      <w:r>
        <w:rPr>
          <w:rFonts w:ascii="Times New Roman" w:hAnsi="Times New Roman"/>
          <w:i/>
          <w:iCs/>
          <w:sz w:val="24"/>
        </w:rPr>
        <w:t>FWHM</w:t>
      </w:r>
      <w:r>
        <w:rPr>
          <w:rFonts w:ascii="Times New Roman" w:hAnsi="Times New Roman"/>
          <w:sz w:val="24"/>
        </w:rPr>
        <w:t xml:space="preserve">)) no tās pašas analizējamās vielas kontrolparaugā, </w:t>
      </w:r>
      <w:r>
        <w:rPr>
          <w:rFonts w:ascii="Times New Roman" w:hAnsi="Times New Roman"/>
          <w:sz w:val="24"/>
          <w:u w:val="single"/>
        </w:rPr>
        <w:t>atsauces kolekcijas</w:t>
      </w:r>
      <w:r>
        <w:rPr>
          <w:rFonts w:ascii="Times New Roman" w:hAnsi="Times New Roman"/>
          <w:sz w:val="24"/>
        </w:rPr>
        <w:t xml:space="preserve"> paraugā vai </w:t>
      </w:r>
      <w:r>
        <w:rPr>
          <w:rFonts w:ascii="Times New Roman" w:hAnsi="Times New Roman"/>
          <w:sz w:val="24"/>
          <w:u w:val="single"/>
        </w:rPr>
        <w:t>atsauces materiālā</w:t>
      </w:r>
      <w:r>
        <w:rPr>
          <w:rFonts w:ascii="Times New Roman" w:hAnsi="Times New Roman"/>
          <w:sz w:val="24"/>
        </w:rPr>
        <w:t>, kas analizēts tajā pašā analītiskajā partijā.</w:t>
      </w:r>
    </w:p>
    <w:p w14:paraId="73669D25" w14:textId="1294AD09" w:rsidR="008306B3" w:rsidRDefault="008306B3" w:rsidP="00AF1804">
      <w:pPr>
        <w:pStyle w:val="BodyText"/>
        <w:numPr>
          <w:ilvl w:val="2"/>
          <w:numId w:val="4"/>
        </w:numPr>
        <w:spacing w:before="0"/>
        <w:ind w:left="426" w:hanging="426"/>
        <w:jc w:val="both"/>
        <w:rPr>
          <w:rFonts w:ascii="Times New Roman" w:hAnsi="Times New Roman"/>
          <w:noProof/>
          <w:sz w:val="24"/>
        </w:rPr>
      </w:pPr>
      <w:r>
        <w:rPr>
          <w:rFonts w:ascii="Times New Roman" w:hAnsi="Times New Roman"/>
          <w:sz w:val="24"/>
        </w:rPr>
        <w:t xml:space="preserve">Alternatīvi </w:t>
      </w:r>
      <w:r>
        <w:rPr>
          <w:rFonts w:ascii="Times New Roman" w:hAnsi="Times New Roman"/>
          <w:sz w:val="24"/>
          <w:u w:val="single"/>
        </w:rPr>
        <w:t>laboratorija</w:t>
      </w:r>
      <w:r>
        <w:rPr>
          <w:rFonts w:ascii="Times New Roman" w:hAnsi="Times New Roman"/>
          <w:sz w:val="24"/>
        </w:rPr>
        <w:t xml:space="preserve"> var izvēlēties izmantot relatīvo aiztures laiku (</w:t>
      </w:r>
      <w:r>
        <w:rPr>
          <w:rFonts w:ascii="Times New Roman" w:hAnsi="Times New Roman"/>
          <w:i/>
          <w:iCs/>
          <w:sz w:val="24"/>
        </w:rPr>
        <w:t>RRT</w:t>
      </w:r>
      <w:r>
        <w:rPr>
          <w:rFonts w:ascii="Times New Roman" w:hAnsi="Times New Roman"/>
          <w:sz w:val="24"/>
        </w:rPr>
        <w:t xml:space="preserve">) kā apstiprināšanas kritēriju, kur attiecīgās smailes </w:t>
      </w:r>
      <w:r>
        <w:rPr>
          <w:rFonts w:ascii="Times New Roman" w:hAnsi="Times New Roman"/>
          <w:i/>
          <w:iCs/>
          <w:sz w:val="24"/>
        </w:rPr>
        <w:t>RT</w:t>
      </w:r>
      <w:r>
        <w:rPr>
          <w:rFonts w:ascii="Times New Roman" w:hAnsi="Times New Roman"/>
          <w:sz w:val="24"/>
        </w:rPr>
        <w:t xml:space="preserve"> tiek mērīts attiecībā pret hromatogrāfisko atsauces savienojumu (</w:t>
      </w:r>
      <w:r>
        <w:rPr>
          <w:rFonts w:ascii="Times New Roman" w:hAnsi="Times New Roman"/>
          <w:i/>
          <w:iCs/>
          <w:sz w:val="24"/>
        </w:rPr>
        <w:t>CRC</w:t>
      </w:r>
      <w:r>
        <w:rPr>
          <w:rFonts w:ascii="Times New Roman" w:hAnsi="Times New Roman"/>
          <w:sz w:val="24"/>
        </w:rPr>
        <w:t>).</w:t>
      </w:r>
    </w:p>
    <w:p w14:paraId="6CBEF1F5" w14:textId="77777777" w:rsidR="00AF1804" w:rsidRPr="002E77E9" w:rsidRDefault="00AF1804" w:rsidP="00AF1804">
      <w:pPr>
        <w:pStyle w:val="BodyText"/>
        <w:tabs>
          <w:tab w:val="left" w:pos="980"/>
        </w:tabs>
        <w:spacing w:before="0"/>
        <w:ind w:left="0"/>
        <w:jc w:val="both"/>
        <w:rPr>
          <w:rFonts w:ascii="Times New Roman" w:hAnsi="Times New Roman"/>
          <w:noProof/>
          <w:sz w:val="24"/>
        </w:rPr>
      </w:pPr>
    </w:p>
    <w:p w14:paraId="42A78728" w14:textId="77777777" w:rsidR="008306B3" w:rsidRPr="002E77E9" w:rsidRDefault="008306B3" w:rsidP="00AF1804">
      <w:pPr>
        <w:pStyle w:val="BodyText"/>
        <w:numPr>
          <w:ilvl w:val="3"/>
          <w:numId w:val="4"/>
        </w:numPr>
        <w:spacing w:before="0"/>
        <w:ind w:left="709" w:hanging="283"/>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CRC</w:t>
      </w:r>
      <w:r>
        <w:rPr>
          <w:rFonts w:ascii="Times New Roman" w:hAnsi="Times New Roman"/>
          <w:sz w:val="24"/>
        </w:rPr>
        <w:t xml:space="preserve"> nav stabila ar izotopu iezīmēta analizējamā viela, tad analizējamās vielas </w:t>
      </w:r>
      <w:r>
        <w:rPr>
          <w:rFonts w:ascii="Times New Roman" w:hAnsi="Times New Roman"/>
          <w:i/>
          <w:iCs/>
          <w:sz w:val="24"/>
        </w:rPr>
        <w:t>RRT</w:t>
      </w:r>
      <w:r>
        <w:rPr>
          <w:rFonts w:ascii="Times New Roman" w:hAnsi="Times New Roman"/>
          <w:sz w:val="24"/>
        </w:rPr>
        <w:t xml:space="preserve"> </w:t>
      </w:r>
      <w:r>
        <w:rPr>
          <w:rFonts w:ascii="Times New Roman" w:hAnsi="Times New Roman"/>
          <w:i/>
          <w:iCs/>
          <w:sz w:val="24"/>
        </w:rPr>
        <w:t>paraugā</w:t>
      </w:r>
      <w:r>
        <w:rPr>
          <w:rFonts w:ascii="Times New Roman" w:hAnsi="Times New Roman"/>
          <w:sz w:val="24"/>
        </w:rPr>
        <w:t xml:space="preserve"> neatšķiras vairāk kā par ± 1 % no tās pašas analizējamās vielas kontrolparaugā, </w:t>
      </w:r>
      <w:r>
        <w:rPr>
          <w:rFonts w:ascii="Times New Roman" w:hAnsi="Times New Roman"/>
          <w:sz w:val="24"/>
          <w:u w:val="single"/>
        </w:rPr>
        <w:t>atsauces kolekcijas</w:t>
      </w:r>
      <w:r>
        <w:rPr>
          <w:rFonts w:ascii="Times New Roman" w:hAnsi="Times New Roman"/>
          <w:sz w:val="24"/>
        </w:rPr>
        <w:t xml:space="preserve"> paraugā vai </w:t>
      </w:r>
      <w:r>
        <w:rPr>
          <w:rFonts w:ascii="Times New Roman" w:hAnsi="Times New Roman"/>
          <w:sz w:val="24"/>
          <w:u w:val="single"/>
        </w:rPr>
        <w:t>atsauces materiālā</w:t>
      </w:r>
      <w:r>
        <w:rPr>
          <w:rFonts w:ascii="Times New Roman" w:hAnsi="Times New Roman"/>
          <w:sz w:val="24"/>
        </w:rPr>
        <w:t>, kas analizēts tajā pašā analītiskajā partijā.</w:t>
      </w:r>
    </w:p>
    <w:p w14:paraId="2FF8E6F8" w14:textId="77777777" w:rsidR="008306B3" w:rsidRPr="002E77E9" w:rsidRDefault="008306B3" w:rsidP="00AF1804">
      <w:pPr>
        <w:pStyle w:val="BodyText"/>
        <w:numPr>
          <w:ilvl w:val="3"/>
          <w:numId w:val="4"/>
        </w:numPr>
        <w:spacing w:before="0"/>
        <w:ind w:left="709" w:hanging="283"/>
        <w:jc w:val="both"/>
        <w:rPr>
          <w:rFonts w:ascii="Times New Roman" w:hAnsi="Times New Roman"/>
          <w:noProof/>
          <w:sz w:val="24"/>
        </w:rPr>
      </w:pPr>
      <w:r>
        <w:rPr>
          <w:rFonts w:ascii="Times New Roman" w:hAnsi="Times New Roman"/>
          <w:sz w:val="24"/>
        </w:rPr>
        <w:t xml:space="preserve">Ja </w:t>
      </w:r>
      <w:r>
        <w:rPr>
          <w:rFonts w:ascii="Times New Roman" w:hAnsi="Times New Roman"/>
          <w:i/>
          <w:iCs/>
          <w:sz w:val="24"/>
        </w:rPr>
        <w:t>CRC</w:t>
      </w:r>
      <w:r>
        <w:rPr>
          <w:rFonts w:ascii="Times New Roman" w:hAnsi="Times New Roman"/>
          <w:sz w:val="24"/>
        </w:rPr>
        <w:t xml:space="preserve"> ir stabila ar izotopu iezīmēta analizējamā viela, tad analizējamās vielas </w:t>
      </w:r>
      <w:r>
        <w:rPr>
          <w:rFonts w:ascii="Times New Roman" w:hAnsi="Times New Roman"/>
          <w:i/>
          <w:iCs/>
          <w:sz w:val="24"/>
        </w:rPr>
        <w:t>RRT</w:t>
      </w:r>
      <w:r>
        <w:rPr>
          <w:rFonts w:ascii="Times New Roman" w:hAnsi="Times New Roman"/>
          <w:sz w:val="24"/>
        </w:rPr>
        <w:t xml:space="preserve"> </w:t>
      </w:r>
      <w:r>
        <w:rPr>
          <w:rFonts w:ascii="Times New Roman" w:hAnsi="Times New Roman"/>
          <w:i/>
          <w:iCs/>
          <w:sz w:val="24"/>
        </w:rPr>
        <w:t>paraugā</w:t>
      </w:r>
      <w:r>
        <w:rPr>
          <w:rFonts w:ascii="Times New Roman" w:hAnsi="Times New Roman"/>
          <w:sz w:val="24"/>
        </w:rPr>
        <w:t xml:space="preserve"> neatšķiras vairāk kā par ± 0,5 % no tās pašas analizējamās vielas kontrolparaugā, </w:t>
      </w:r>
      <w:r>
        <w:rPr>
          <w:rFonts w:ascii="Times New Roman" w:hAnsi="Times New Roman"/>
          <w:sz w:val="24"/>
          <w:u w:val="single"/>
        </w:rPr>
        <w:t>atsauces kolekcijas</w:t>
      </w:r>
      <w:r>
        <w:rPr>
          <w:rFonts w:ascii="Times New Roman" w:hAnsi="Times New Roman"/>
          <w:sz w:val="24"/>
        </w:rPr>
        <w:t xml:space="preserve"> paraugā vai </w:t>
      </w:r>
      <w:r>
        <w:rPr>
          <w:rFonts w:ascii="Times New Roman" w:hAnsi="Times New Roman"/>
          <w:sz w:val="24"/>
          <w:u w:val="single"/>
        </w:rPr>
        <w:t>atsauces materiālā</w:t>
      </w:r>
      <w:r>
        <w:rPr>
          <w:rFonts w:ascii="Times New Roman" w:hAnsi="Times New Roman"/>
          <w:sz w:val="24"/>
        </w:rPr>
        <w:t>, kas analizēts tajā pašā analītiskajā partijā.</w:t>
      </w:r>
    </w:p>
    <w:p w14:paraId="6C311037" w14:textId="77777777" w:rsidR="008306B3" w:rsidRPr="002E77E9" w:rsidRDefault="008306B3" w:rsidP="002E77E9">
      <w:pPr>
        <w:jc w:val="both"/>
        <w:rPr>
          <w:rFonts w:ascii="Times New Roman" w:eastAsia="Verdana" w:hAnsi="Times New Roman" w:cs="Verdana"/>
          <w:noProof/>
          <w:sz w:val="24"/>
          <w:szCs w:val="20"/>
        </w:rPr>
      </w:pPr>
    </w:p>
    <w:p w14:paraId="36D18A0A" w14:textId="1CBD66D2" w:rsidR="008306B3" w:rsidRPr="002E77E9" w:rsidRDefault="00AF1804" w:rsidP="00AF1804">
      <w:pPr>
        <w:pStyle w:val="Heading1"/>
        <w:tabs>
          <w:tab w:val="left" w:pos="966"/>
        </w:tabs>
        <w:spacing w:before="0"/>
        <w:ind w:left="0" w:firstLine="0"/>
        <w:jc w:val="both"/>
        <w:rPr>
          <w:rFonts w:ascii="Times New Roman" w:hAnsi="Times New Roman"/>
          <w:noProof/>
        </w:rPr>
      </w:pPr>
      <w:r>
        <w:rPr>
          <w:rFonts w:ascii="Times New Roman" w:hAnsi="Times New Roman"/>
        </w:rPr>
        <w:t>2.0. Masspektrometriskās identifikācijas kritēriji</w:t>
      </w:r>
    </w:p>
    <w:p w14:paraId="34C43391" w14:textId="77777777" w:rsidR="00AF1804" w:rsidRDefault="00AF1804" w:rsidP="002E77E9">
      <w:pPr>
        <w:pStyle w:val="BodyText"/>
        <w:spacing w:before="0"/>
        <w:ind w:left="0"/>
        <w:jc w:val="both"/>
        <w:rPr>
          <w:rFonts w:ascii="Times New Roman" w:hAnsi="Times New Roman"/>
          <w:noProof/>
          <w:sz w:val="24"/>
        </w:rPr>
      </w:pPr>
    </w:p>
    <w:p w14:paraId="1FA9801F" w14:textId="65FB216F" w:rsidR="008306B3" w:rsidRDefault="008306B3" w:rsidP="002E77E9">
      <w:pPr>
        <w:pStyle w:val="BodyText"/>
        <w:spacing w:before="0"/>
        <w:ind w:left="0"/>
        <w:jc w:val="both"/>
        <w:rPr>
          <w:rFonts w:ascii="Times New Roman" w:hAnsi="Times New Roman"/>
          <w:noProof/>
          <w:sz w:val="24"/>
        </w:rPr>
      </w:pPr>
      <w:r>
        <w:rPr>
          <w:rFonts w:ascii="Times New Roman" w:hAnsi="Times New Roman"/>
          <w:sz w:val="24"/>
        </w:rPr>
        <w:t>Parasti analizējamo vielu identifikācijai izmantotās stratēģijas, izmantojot uz masspektrometriju (MS) balstītus paņēmienus, bieži dēvē par “lejupējām” un “augšupējām” pieejām.</w:t>
      </w:r>
    </w:p>
    <w:p w14:paraId="6E3E7E68" w14:textId="77777777" w:rsidR="00AF1804" w:rsidRPr="002E77E9" w:rsidRDefault="00AF1804" w:rsidP="002E77E9">
      <w:pPr>
        <w:pStyle w:val="BodyText"/>
        <w:spacing w:before="0"/>
        <w:ind w:left="0"/>
        <w:jc w:val="both"/>
        <w:rPr>
          <w:rFonts w:ascii="Times New Roman" w:hAnsi="Times New Roman"/>
          <w:noProof/>
          <w:sz w:val="24"/>
        </w:rPr>
      </w:pPr>
    </w:p>
    <w:p w14:paraId="44A4DA9C" w14:textId="77777777" w:rsidR="008306B3" w:rsidRPr="002E77E9" w:rsidRDefault="008306B3" w:rsidP="00AF1804">
      <w:pPr>
        <w:pStyle w:val="BodyText"/>
        <w:numPr>
          <w:ilvl w:val="2"/>
          <w:numId w:val="3"/>
        </w:numPr>
        <w:spacing w:before="0"/>
        <w:ind w:left="426" w:hanging="426"/>
        <w:jc w:val="both"/>
        <w:rPr>
          <w:rFonts w:ascii="Times New Roman" w:hAnsi="Times New Roman"/>
          <w:noProof/>
          <w:sz w:val="24"/>
        </w:rPr>
      </w:pPr>
      <w:r>
        <w:rPr>
          <w:rFonts w:ascii="Times New Roman" w:hAnsi="Times New Roman"/>
          <w:sz w:val="24"/>
        </w:rPr>
        <w:lastRenderedPageBreak/>
        <w:t xml:space="preserve">“Augšupējā” pieeja ietver nebojātās analizējamās vielas </w:t>
      </w:r>
      <w:r>
        <w:rPr>
          <w:rFonts w:ascii="Times New Roman" w:hAnsi="Times New Roman"/>
          <w:i/>
          <w:iCs/>
          <w:sz w:val="24"/>
        </w:rPr>
        <w:t>MS</w:t>
      </w:r>
      <w:r>
        <w:rPr>
          <w:rFonts w:ascii="Times New Roman" w:hAnsi="Times New Roman"/>
          <w:sz w:val="24"/>
        </w:rPr>
        <w:t xml:space="preserve"> analīzi, radot vielai raksturīgos jonus.</w:t>
      </w:r>
    </w:p>
    <w:p w14:paraId="0363791A" w14:textId="77777777" w:rsidR="008306B3" w:rsidRPr="002E77E9" w:rsidRDefault="008306B3" w:rsidP="00AF1804">
      <w:pPr>
        <w:pStyle w:val="BodyText"/>
        <w:numPr>
          <w:ilvl w:val="2"/>
          <w:numId w:val="3"/>
        </w:numPr>
        <w:spacing w:before="0"/>
        <w:ind w:left="426" w:hanging="426"/>
        <w:jc w:val="both"/>
        <w:rPr>
          <w:rFonts w:ascii="Times New Roman" w:hAnsi="Times New Roman"/>
          <w:noProof/>
          <w:sz w:val="24"/>
        </w:rPr>
      </w:pPr>
      <w:r>
        <w:rPr>
          <w:rFonts w:ascii="Times New Roman" w:hAnsi="Times New Roman"/>
          <w:sz w:val="24"/>
        </w:rPr>
        <w:t>“Lejupējā” pieeja ietver fermentatīvi vai ķīmiski iegūtu analizējamās vielas fragmentu mērījumus un šādu fragmentu identificēšanu.</w:t>
      </w:r>
    </w:p>
    <w:p w14:paraId="3E52E3B0" w14:textId="77777777" w:rsidR="00AF1804" w:rsidRDefault="00AF1804" w:rsidP="002E77E9">
      <w:pPr>
        <w:pStyle w:val="BodyText"/>
        <w:spacing w:before="0"/>
        <w:ind w:left="0"/>
        <w:jc w:val="both"/>
        <w:rPr>
          <w:rFonts w:ascii="Times New Roman" w:hAnsi="Times New Roman"/>
          <w:noProof/>
          <w:sz w:val="24"/>
        </w:rPr>
      </w:pPr>
    </w:p>
    <w:p w14:paraId="1A29998A" w14:textId="088A57B1" w:rsidR="008306B3" w:rsidRPr="002E77E9" w:rsidRDefault="008306B3" w:rsidP="002E77E9">
      <w:pPr>
        <w:pStyle w:val="BodyText"/>
        <w:spacing w:before="0"/>
        <w:ind w:left="0"/>
        <w:jc w:val="both"/>
        <w:rPr>
          <w:rFonts w:ascii="Times New Roman" w:hAnsi="Times New Roman"/>
          <w:noProof/>
          <w:sz w:val="24"/>
        </w:rPr>
      </w:pPr>
      <w:r>
        <w:rPr>
          <w:rFonts w:ascii="Times New Roman" w:hAnsi="Times New Roman"/>
          <w:sz w:val="24"/>
        </w:rPr>
        <w:t>Lai gan šie termini ir īpaši izmantoti lielu molekulu (</w:t>
      </w:r>
      <w:r>
        <w:rPr>
          <w:rFonts w:ascii="Times New Roman" w:hAnsi="Times New Roman"/>
          <w:i/>
          <w:iCs/>
          <w:sz w:val="24"/>
        </w:rPr>
        <w:t>piemēram</w:t>
      </w:r>
      <w:r>
        <w:rPr>
          <w:rFonts w:ascii="Times New Roman" w:hAnsi="Times New Roman"/>
          <w:sz w:val="24"/>
        </w:rPr>
        <w:t xml:space="preserve">, proteīnu) analīzei, abas pieejas ir derīgas un piemērojamas uz </w:t>
      </w:r>
      <w:r>
        <w:rPr>
          <w:rFonts w:ascii="Times New Roman" w:hAnsi="Times New Roman"/>
          <w:i/>
          <w:iCs/>
          <w:sz w:val="24"/>
        </w:rPr>
        <w:t>MS</w:t>
      </w:r>
      <w:r>
        <w:rPr>
          <w:rFonts w:ascii="Times New Roman" w:hAnsi="Times New Roman"/>
          <w:sz w:val="24"/>
        </w:rPr>
        <w:t xml:space="preserve"> balstītai jebkuras analizējamās vielas identifikācijai, ja iegūtā informācija atbilst šajā tehniskajā dokumentā noteiktajiem kritērijiem.</w:t>
      </w:r>
    </w:p>
    <w:p w14:paraId="63ECA532" w14:textId="77777777" w:rsidR="00AF1804" w:rsidRDefault="00AF1804" w:rsidP="002E77E9">
      <w:pPr>
        <w:pStyle w:val="BodyText"/>
        <w:spacing w:before="0"/>
        <w:ind w:left="0"/>
        <w:jc w:val="both"/>
        <w:rPr>
          <w:rFonts w:ascii="Times New Roman" w:hAnsi="Times New Roman"/>
          <w:noProof/>
          <w:sz w:val="24"/>
        </w:rPr>
      </w:pPr>
    </w:p>
    <w:p w14:paraId="48F3F45C" w14:textId="06101F59" w:rsidR="008306B3" w:rsidRDefault="008306B3" w:rsidP="002E77E9">
      <w:pPr>
        <w:pStyle w:val="BodyText"/>
        <w:spacing w:before="0"/>
        <w:ind w:left="0"/>
        <w:jc w:val="both"/>
        <w:rPr>
          <w:rFonts w:ascii="Times New Roman" w:hAnsi="Times New Roman"/>
          <w:noProof/>
          <w:sz w:val="24"/>
        </w:rPr>
      </w:pPr>
      <w:r>
        <w:rPr>
          <w:rFonts w:ascii="Times New Roman" w:hAnsi="Times New Roman"/>
          <w:sz w:val="24"/>
        </w:rPr>
        <w:t>Informācijas specifiku, kas iegūta, lai nepārprotami identificētu analizējamo vielu, nosaka kā daļu no metodes validācijas procesa (</w:t>
      </w:r>
      <w:r>
        <w:rPr>
          <w:rFonts w:ascii="Times New Roman" w:hAnsi="Times New Roman"/>
          <w:i/>
          <w:iCs/>
          <w:sz w:val="24"/>
        </w:rPr>
        <w:t>piemēram</w:t>
      </w:r>
      <w:r>
        <w:rPr>
          <w:rFonts w:ascii="Times New Roman" w:hAnsi="Times New Roman"/>
          <w:sz w:val="24"/>
        </w:rPr>
        <w:t>, izmantojot pamata vietējās sastatāmās meklēšanas rīku (</w:t>
      </w:r>
      <w:r>
        <w:rPr>
          <w:rFonts w:ascii="Times New Roman" w:hAnsi="Times New Roman"/>
          <w:i/>
          <w:iCs/>
          <w:sz w:val="24"/>
        </w:rPr>
        <w:t>BLAST</w:t>
      </w:r>
      <w:r>
        <w:rPr>
          <w:rFonts w:ascii="Times New Roman" w:hAnsi="Times New Roman"/>
          <w:sz w:val="24"/>
        </w:rPr>
        <w:t xml:space="preserve">) attiecīgās aminoskābju sekvences analīzei kopā ar piemērotu datu bāzi, piemēram, </w:t>
      </w:r>
      <w:r>
        <w:rPr>
          <w:rFonts w:ascii="Times New Roman" w:hAnsi="Times New Roman"/>
          <w:i/>
          <w:iCs/>
          <w:sz w:val="24"/>
        </w:rPr>
        <w:t>UniProtKB</w:t>
      </w:r>
      <w:r>
        <w:rPr>
          <w:rFonts w:ascii="Times New Roman" w:hAnsi="Times New Roman"/>
          <w:sz w:val="24"/>
        </w:rPr>
        <w:t>), un tā nav šī dokumenta daļa.</w:t>
      </w:r>
    </w:p>
    <w:p w14:paraId="338F5474" w14:textId="77777777" w:rsidR="00AF1804" w:rsidRPr="002E77E9" w:rsidRDefault="00AF1804" w:rsidP="002E77E9">
      <w:pPr>
        <w:pStyle w:val="BodyText"/>
        <w:spacing w:before="0"/>
        <w:ind w:left="0"/>
        <w:jc w:val="both"/>
        <w:rPr>
          <w:rFonts w:ascii="Times New Roman" w:hAnsi="Times New Roman"/>
          <w:noProof/>
          <w:sz w:val="24"/>
        </w:rPr>
      </w:pPr>
    </w:p>
    <w:p w14:paraId="51F25439" w14:textId="1CA7A5AF" w:rsidR="008306B3" w:rsidRDefault="008306B3" w:rsidP="002E77E9">
      <w:pPr>
        <w:pStyle w:val="BodyText"/>
        <w:spacing w:before="0"/>
        <w:ind w:left="0"/>
        <w:jc w:val="both"/>
        <w:rPr>
          <w:rFonts w:ascii="Times New Roman" w:hAnsi="Times New Roman"/>
          <w:noProof/>
          <w:sz w:val="24"/>
        </w:rPr>
      </w:pPr>
      <w:r>
        <w:rPr>
          <w:rFonts w:ascii="Times New Roman" w:hAnsi="Times New Roman"/>
          <w:i/>
          <w:iCs/>
          <w:sz w:val="24"/>
        </w:rPr>
        <w:t>MS</w:t>
      </w:r>
      <w:r>
        <w:rPr>
          <w:rFonts w:ascii="Times New Roman" w:hAnsi="Times New Roman"/>
          <w:sz w:val="24"/>
        </w:rPr>
        <w:t xml:space="preserve"> kritēriji identificēšanai, izmantojot skenēšanas (piemēram, pilnas skenēšanas, produkta jonu skenēšanas) vai neskenēšanas (piemēram, izvēlētu jonu kontroles, izvēlētas reakcijas kontroles) metodes, ir balstīti uz tādu jonu klātbūtni un relatīvo izplatību, kurus </w:t>
      </w:r>
      <w:r>
        <w:rPr>
          <w:rFonts w:ascii="Times New Roman" w:hAnsi="Times New Roman"/>
          <w:sz w:val="24"/>
          <w:u w:val="single"/>
        </w:rPr>
        <w:t>laboratorija</w:t>
      </w:r>
      <w:r>
        <w:rPr>
          <w:rFonts w:ascii="Times New Roman" w:hAnsi="Times New Roman"/>
          <w:sz w:val="24"/>
        </w:rPr>
        <w:t xml:space="preserve"> ir noteikusi kā diagnostiskus attiecībā uz analizējamo vielu. Jebkādu datu apstrādi (</w:t>
      </w:r>
      <w:r>
        <w:rPr>
          <w:rFonts w:ascii="Times New Roman" w:hAnsi="Times New Roman"/>
          <w:i/>
          <w:iCs/>
          <w:sz w:val="24"/>
        </w:rPr>
        <w:t>piemēram</w:t>
      </w:r>
      <w:r>
        <w:rPr>
          <w:rFonts w:ascii="Times New Roman" w:hAnsi="Times New Roman"/>
          <w:sz w:val="24"/>
        </w:rPr>
        <w:t>, integrēšanu, atņemšanu, vidējo rādītāju aprēķināšanu utt.) konsekventi veic visā analītiskajā partijā.</w:t>
      </w:r>
    </w:p>
    <w:p w14:paraId="668BDF3F" w14:textId="77777777" w:rsidR="00AF1804" w:rsidRPr="002E77E9" w:rsidRDefault="00AF1804" w:rsidP="002E77E9">
      <w:pPr>
        <w:pStyle w:val="BodyText"/>
        <w:spacing w:before="0"/>
        <w:ind w:left="0"/>
        <w:jc w:val="both"/>
        <w:rPr>
          <w:rFonts w:ascii="Times New Roman" w:hAnsi="Times New Roman"/>
          <w:noProof/>
          <w:sz w:val="24"/>
        </w:rPr>
      </w:pPr>
    </w:p>
    <w:p w14:paraId="5895F0A3" w14:textId="1F006854" w:rsidR="008306B3" w:rsidRDefault="008306B3" w:rsidP="002E77E9">
      <w:pPr>
        <w:pStyle w:val="BodyText"/>
        <w:spacing w:before="0"/>
        <w:ind w:left="0"/>
        <w:jc w:val="both"/>
        <w:rPr>
          <w:rFonts w:ascii="Times New Roman" w:hAnsi="Times New Roman"/>
          <w:noProof/>
          <w:sz w:val="24"/>
        </w:rPr>
      </w:pPr>
      <w:r>
        <w:rPr>
          <w:rFonts w:ascii="Times New Roman" w:hAnsi="Times New Roman"/>
          <w:i/>
          <w:iCs/>
          <w:sz w:val="24"/>
        </w:rPr>
        <w:t>Aizliegtās vielas</w:t>
      </w:r>
      <w:r>
        <w:rPr>
          <w:rFonts w:ascii="Times New Roman" w:hAnsi="Times New Roman"/>
          <w:sz w:val="24"/>
        </w:rPr>
        <w:t xml:space="preserve"> vai tās </w:t>
      </w:r>
      <w:r>
        <w:rPr>
          <w:rFonts w:ascii="Times New Roman" w:hAnsi="Times New Roman"/>
          <w:i/>
          <w:iCs/>
          <w:sz w:val="24"/>
        </w:rPr>
        <w:t>metabolīta</w:t>
      </w:r>
      <w:r>
        <w:rPr>
          <w:rFonts w:ascii="Times New Roman" w:hAnsi="Times New Roman"/>
          <w:sz w:val="24"/>
        </w:rPr>
        <w:t xml:space="preserve"> vai </w:t>
      </w:r>
      <w:r>
        <w:rPr>
          <w:rFonts w:ascii="Times New Roman" w:hAnsi="Times New Roman"/>
          <w:i/>
          <w:iCs/>
          <w:sz w:val="24"/>
        </w:rPr>
        <w:t>marķiera</w:t>
      </w:r>
      <w:r>
        <w:rPr>
          <w:rFonts w:ascii="Times New Roman" w:hAnsi="Times New Roman"/>
          <w:sz w:val="24"/>
        </w:rPr>
        <w:t xml:space="preserve"> koncentrācija, iespējams, ir jāsalīdzina (</w:t>
      </w:r>
      <w:r>
        <w:rPr>
          <w:rFonts w:ascii="Times New Roman" w:hAnsi="Times New Roman"/>
          <w:i/>
          <w:iCs/>
          <w:sz w:val="24"/>
        </w:rPr>
        <w:t>t. i.</w:t>
      </w:r>
      <w:r>
        <w:rPr>
          <w:rFonts w:ascii="Times New Roman" w:hAnsi="Times New Roman"/>
          <w:sz w:val="24"/>
        </w:rPr>
        <w:t xml:space="preserve">, analizējamās vielas signāls vienas pakāpes robežās) </w:t>
      </w:r>
      <w:r>
        <w:rPr>
          <w:rFonts w:ascii="Times New Roman" w:hAnsi="Times New Roman"/>
          <w:i/>
          <w:iCs/>
          <w:sz w:val="24"/>
        </w:rPr>
        <w:t>paraugā</w:t>
      </w:r>
      <w:r>
        <w:rPr>
          <w:rFonts w:ascii="Times New Roman" w:hAnsi="Times New Roman"/>
          <w:sz w:val="24"/>
        </w:rPr>
        <w:t xml:space="preserve"> un kontroles urīnā, </w:t>
      </w:r>
      <w:r>
        <w:rPr>
          <w:rFonts w:ascii="Times New Roman" w:hAnsi="Times New Roman"/>
          <w:sz w:val="24"/>
          <w:u w:val="single"/>
        </w:rPr>
        <w:t>atsauces kolekcijas</w:t>
      </w:r>
      <w:r>
        <w:rPr>
          <w:rFonts w:ascii="Times New Roman" w:hAnsi="Times New Roman"/>
          <w:sz w:val="24"/>
        </w:rPr>
        <w:t xml:space="preserve"> paraugā vai </w:t>
      </w:r>
      <w:r>
        <w:rPr>
          <w:rFonts w:ascii="Times New Roman" w:hAnsi="Times New Roman"/>
          <w:sz w:val="24"/>
          <w:u w:val="single"/>
        </w:rPr>
        <w:t>atsauces materiālā</w:t>
      </w:r>
      <w:r>
        <w:rPr>
          <w:rFonts w:ascii="Times New Roman" w:hAnsi="Times New Roman"/>
          <w:sz w:val="24"/>
        </w:rPr>
        <w:t>, lai nodrošinātu mērķa analizējamās vielas identificēšanu.</w:t>
      </w:r>
    </w:p>
    <w:p w14:paraId="6DAF1C54" w14:textId="77777777" w:rsidR="00AF1804" w:rsidRPr="002E77E9" w:rsidRDefault="00AF1804" w:rsidP="002E77E9">
      <w:pPr>
        <w:pStyle w:val="BodyText"/>
        <w:spacing w:before="0"/>
        <w:ind w:left="0"/>
        <w:jc w:val="both"/>
        <w:rPr>
          <w:rFonts w:ascii="Times New Roman" w:hAnsi="Times New Roman"/>
          <w:noProof/>
          <w:sz w:val="24"/>
        </w:rPr>
      </w:pPr>
    </w:p>
    <w:p w14:paraId="0B3D8691" w14:textId="71DEBD18" w:rsidR="008306B3" w:rsidRDefault="008306B3" w:rsidP="002E77E9">
      <w:pPr>
        <w:pStyle w:val="BodyText"/>
        <w:spacing w:before="0"/>
        <w:ind w:left="0"/>
        <w:jc w:val="both"/>
        <w:rPr>
          <w:rFonts w:ascii="Times New Roman" w:hAnsi="Times New Roman"/>
          <w:noProof/>
          <w:sz w:val="24"/>
        </w:rPr>
      </w:pPr>
      <w:r>
        <w:rPr>
          <w:rFonts w:ascii="Times New Roman" w:hAnsi="Times New Roman"/>
          <w:sz w:val="24"/>
        </w:rPr>
        <w:t>Piemēro turpmāk norādītos identifikācijas kritērijus.</w:t>
      </w:r>
    </w:p>
    <w:p w14:paraId="09094838" w14:textId="77777777" w:rsidR="00AF1804" w:rsidRPr="002E77E9" w:rsidRDefault="00AF1804" w:rsidP="002E77E9">
      <w:pPr>
        <w:pStyle w:val="BodyText"/>
        <w:spacing w:before="0"/>
        <w:ind w:left="0"/>
        <w:jc w:val="both"/>
        <w:rPr>
          <w:rFonts w:ascii="Times New Roman" w:hAnsi="Times New Roman"/>
          <w:noProof/>
          <w:sz w:val="24"/>
        </w:rPr>
      </w:pPr>
    </w:p>
    <w:p w14:paraId="52602AFD" w14:textId="77777777"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 xml:space="preserve">Katrs identificēšanai izmantotais masas mērījums ir ± 0,5 Da robežās no tā paša jona attiecīgās masas, kas iegūta no kontrolparauga, </w:t>
      </w:r>
      <w:r>
        <w:rPr>
          <w:rFonts w:ascii="Times New Roman" w:hAnsi="Times New Roman"/>
          <w:sz w:val="24"/>
          <w:u w:val="single"/>
        </w:rPr>
        <w:t>atsauces kolekcijas</w:t>
      </w:r>
      <w:r>
        <w:rPr>
          <w:rFonts w:ascii="Times New Roman" w:hAnsi="Times New Roman"/>
          <w:sz w:val="24"/>
        </w:rPr>
        <w:t xml:space="preserve"> parauga vai </w:t>
      </w:r>
      <w:r>
        <w:rPr>
          <w:rFonts w:ascii="Times New Roman" w:hAnsi="Times New Roman"/>
          <w:sz w:val="24"/>
          <w:u w:val="single"/>
        </w:rPr>
        <w:t>atsauces materiāla</w:t>
      </w:r>
      <w:r>
        <w:rPr>
          <w:rFonts w:ascii="Times New Roman" w:hAnsi="Times New Roman"/>
          <w:sz w:val="24"/>
        </w:rPr>
        <w:t>, kas analizēts tajā pašā analītiskajā partijā.</w:t>
      </w:r>
    </w:p>
    <w:p w14:paraId="4E5DFC3C" w14:textId="77777777"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 xml:space="preserve">Izmantojot vienpakāpes </w:t>
      </w:r>
      <w:r>
        <w:rPr>
          <w:rFonts w:ascii="Times New Roman" w:hAnsi="Times New Roman"/>
          <w:i/>
          <w:iCs/>
          <w:sz w:val="24"/>
        </w:rPr>
        <w:t>MS</w:t>
      </w:r>
      <w:r>
        <w:rPr>
          <w:rFonts w:ascii="Times New Roman" w:hAnsi="Times New Roman"/>
          <w:sz w:val="24"/>
        </w:rPr>
        <w:t>, iegūst vismaz trīs (3) diagnostikas jonus.</w:t>
      </w:r>
    </w:p>
    <w:p w14:paraId="5AAB2E9E" w14:textId="0E1B882D" w:rsidR="001B4E7A" w:rsidRPr="00AF1804"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 xml:space="preserve">Izmantojot daudzpakāpju </w:t>
      </w:r>
      <w:r>
        <w:rPr>
          <w:rFonts w:ascii="Times New Roman" w:hAnsi="Times New Roman"/>
          <w:i/>
          <w:iCs/>
          <w:sz w:val="24"/>
        </w:rPr>
        <w:t>MS</w:t>
      </w:r>
      <w:r>
        <w:rPr>
          <w:rFonts w:ascii="Times New Roman" w:hAnsi="Times New Roman"/>
          <w:sz w:val="24"/>
        </w:rPr>
        <w:t xml:space="preserve"> (</w:t>
      </w:r>
      <w:r>
        <w:rPr>
          <w:rFonts w:ascii="Times New Roman" w:hAnsi="Times New Roman"/>
          <w:i/>
          <w:iCs/>
          <w:sz w:val="24"/>
        </w:rPr>
        <w:t>piemēram</w:t>
      </w:r>
      <w:r>
        <w:rPr>
          <w:rFonts w:ascii="Times New Roman" w:hAnsi="Times New Roman"/>
          <w:sz w:val="24"/>
        </w:rPr>
        <w:t xml:space="preserve">, </w:t>
      </w:r>
      <w:r>
        <w:rPr>
          <w:rFonts w:ascii="Times New Roman" w:hAnsi="Times New Roman"/>
          <w:i/>
          <w:iCs/>
          <w:sz w:val="24"/>
        </w:rPr>
        <w:t>MS/MS</w:t>
      </w:r>
      <w:r>
        <w:rPr>
          <w:rFonts w:ascii="Times New Roman" w:hAnsi="Times New Roman"/>
          <w:sz w:val="24"/>
        </w:rPr>
        <w:t>), uzrauga vismaz divas (2) prekursora produkta jonu pārejas (</w:t>
      </w:r>
      <w:r>
        <w:rPr>
          <w:rFonts w:ascii="Times New Roman" w:hAnsi="Times New Roman"/>
          <w:i/>
          <w:iCs/>
          <w:sz w:val="24"/>
        </w:rPr>
        <w:t>t. i.</w:t>
      </w:r>
      <w:r>
        <w:rPr>
          <w:rFonts w:ascii="Times New Roman" w:hAnsi="Times New Roman"/>
          <w:sz w:val="24"/>
        </w:rPr>
        <w:t xml:space="preserve">, divas </w:t>
      </w:r>
      <w:r>
        <w:rPr>
          <w:rFonts w:ascii="Times New Roman" w:hAnsi="Times New Roman"/>
          <w:i/>
          <w:iCs/>
          <w:sz w:val="24"/>
        </w:rPr>
        <w:t>SRM</w:t>
      </w:r>
      <w:r>
        <w:rPr>
          <w:rFonts w:ascii="Times New Roman" w:hAnsi="Times New Roman"/>
          <w:sz w:val="24"/>
        </w:rPr>
        <w:t xml:space="preserve"> pārejas). Prekursora jonu izolācijas platums nepārsniedz 1,3 </w:t>
      </w:r>
      <w:r>
        <w:rPr>
          <w:rFonts w:ascii="Times New Roman" w:hAnsi="Times New Roman"/>
          <w:i/>
          <w:iCs/>
          <w:sz w:val="24"/>
        </w:rPr>
        <w:t>m</w:t>
      </w:r>
      <w:r>
        <w:rPr>
          <w:rFonts w:ascii="Times New Roman" w:hAnsi="Times New Roman"/>
          <w:sz w:val="24"/>
        </w:rPr>
        <w:t>/</w:t>
      </w:r>
      <w:r>
        <w:rPr>
          <w:rFonts w:ascii="Times New Roman" w:hAnsi="Times New Roman"/>
          <w:i/>
          <w:iCs/>
          <w:sz w:val="24"/>
        </w:rPr>
        <w:t>z</w:t>
      </w:r>
      <w:r>
        <w:rPr>
          <w:rFonts w:ascii="Times New Roman" w:hAnsi="Times New Roman"/>
          <w:sz w:val="24"/>
        </w:rPr>
        <w:t>, ja vien to nepieprasa tā molekulārā masa un uzlādes stāvoklis.</w:t>
      </w:r>
    </w:p>
    <w:p w14:paraId="56A206BC" w14:textId="77777777"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Diagnostikas jonu izplatību nosaka no integrēto izvēlēto jonu hromatogrammu smailes laukuma vai augstuma. Tas ir piemērojams arī tad, ja identificēšanai tiek izmantots tikai skenēšanas režīms.</w:t>
      </w:r>
    </w:p>
    <w:p w14:paraId="20E92C92" w14:textId="77777777"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Visu diagnostikas jonu signāla/trokšņa (</w:t>
      </w:r>
      <w:r>
        <w:rPr>
          <w:rFonts w:ascii="Times New Roman" w:hAnsi="Times New Roman"/>
          <w:i/>
          <w:iCs/>
          <w:sz w:val="24"/>
        </w:rPr>
        <w:t>S/T</w:t>
      </w:r>
      <w:r>
        <w:rPr>
          <w:rFonts w:ascii="Times New Roman" w:hAnsi="Times New Roman"/>
          <w:sz w:val="24"/>
        </w:rPr>
        <w:t>) attiecība ir lielāka nekā trīs pret viens (3:1).</w:t>
      </w:r>
    </w:p>
    <w:p w14:paraId="2C5FA173" w14:textId="62E72954"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Relatīvo izplatību aprēķina, dalot katra diagnostikas jona jonu trasējuma laukumu vai augstumu ar laukumu vai augstumu, kas iegūts no jonu trasējuma, par galveno smaili ņemot visizplatītāko diagnostikas jonu.</w:t>
      </w:r>
      <w:r w:rsidR="00AF1804">
        <w:rPr>
          <w:rStyle w:val="FootnoteReference"/>
          <w:rFonts w:ascii="Times New Roman" w:hAnsi="Times New Roman"/>
          <w:noProof/>
          <w:sz w:val="24"/>
        </w:rPr>
        <w:footnoteReference w:id="2"/>
      </w:r>
    </w:p>
    <w:p w14:paraId="6BC18C65" w14:textId="77777777"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 xml:space="preserve">Neviena diagnostikas jona relatīvā intensitāte neatšķiras vairāk kā par 1. tabulā norādīto daudzumu no to pašu jonu attiecīgās relatīvās izplatības, kas iegūti no pozitīva kontroles urīna, </w:t>
      </w:r>
      <w:r>
        <w:rPr>
          <w:rFonts w:ascii="Times New Roman" w:hAnsi="Times New Roman"/>
          <w:sz w:val="24"/>
          <w:u w:val="single"/>
        </w:rPr>
        <w:t>atsauces kolekcijas</w:t>
      </w:r>
      <w:r>
        <w:rPr>
          <w:rFonts w:ascii="Times New Roman" w:hAnsi="Times New Roman"/>
          <w:sz w:val="24"/>
        </w:rPr>
        <w:t xml:space="preserve"> parauga vai </w:t>
      </w:r>
      <w:r>
        <w:rPr>
          <w:rFonts w:ascii="Times New Roman" w:hAnsi="Times New Roman"/>
          <w:sz w:val="24"/>
          <w:u w:val="single"/>
        </w:rPr>
        <w:t>atsauces materiāla</w:t>
      </w:r>
      <w:r>
        <w:rPr>
          <w:rFonts w:ascii="Times New Roman" w:hAnsi="Times New Roman"/>
          <w:sz w:val="24"/>
        </w:rPr>
        <w:t>.</w:t>
      </w:r>
    </w:p>
    <w:p w14:paraId="7B33F3CD" w14:textId="73C96B57"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Ja nav pieejami trīs (3) diagnostikas joni vai divas (2) pārejas, sagatavo otru atvasinājumu vai izmanto otru jonizācijas vai disociācijas metodi.</w:t>
      </w:r>
      <w:r w:rsidR="00AF1804">
        <w:rPr>
          <w:rStyle w:val="FootnoteReference"/>
          <w:rFonts w:ascii="Times New Roman" w:hAnsi="Times New Roman"/>
          <w:noProof/>
          <w:sz w:val="24"/>
        </w:rPr>
        <w:footnoteReference w:id="3"/>
      </w:r>
      <w:r>
        <w:rPr>
          <w:rFonts w:ascii="Times New Roman" w:hAnsi="Times New Roman"/>
          <w:sz w:val="24"/>
        </w:rPr>
        <w:t xml:space="preserve"> Otrās jonizācijas metodes pamatā ir </w:t>
      </w:r>
      <w:r>
        <w:rPr>
          <w:rFonts w:ascii="Times New Roman" w:hAnsi="Times New Roman"/>
          <w:sz w:val="24"/>
        </w:rPr>
        <w:lastRenderedPageBreak/>
        <w:t xml:space="preserve">atšķirīgs fizikālais princips, </w:t>
      </w:r>
      <w:r>
        <w:rPr>
          <w:rFonts w:ascii="Times New Roman" w:hAnsi="Times New Roman"/>
          <w:i/>
          <w:iCs/>
          <w:sz w:val="24"/>
        </w:rPr>
        <w:t>t. i.</w:t>
      </w:r>
      <w:r>
        <w:rPr>
          <w:rFonts w:ascii="Times New Roman" w:hAnsi="Times New Roman"/>
          <w:sz w:val="24"/>
        </w:rPr>
        <w:t>, ķīmiskā jonizācija pret elektronu jonizāciju, un tai atkal jānodrošina dažādi diagnostikas joni. Nav pieļaujams izmantot metodi, kas maina tikai to pašu jonu relatīvo izplatību.</w:t>
      </w:r>
    </w:p>
    <w:p w14:paraId="131CFC15" w14:textId="2BDB890B" w:rsidR="008306B3" w:rsidRPr="002E77E9" w:rsidRDefault="008306B3" w:rsidP="00AF1804">
      <w:pPr>
        <w:pStyle w:val="BodyText"/>
        <w:numPr>
          <w:ilvl w:val="0"/>
          <w:numId w:val="1"/>
        </w:numPr>
        <w:spacing w:before="0"/>
        <w:ind w:left="426" w:hanging="426"/>
        <w:jc w:val="both"/>
        <w:rPr>
          <w:rFonts w:ascii="Times New Roman" w:hAnsi="Times New Roman"/>
          <w:noProof/>
          <w:sz w:val="24"/>
        </w:rPr>
      </w:pPr>
      <w:r>
        <w:rPr>
          <w:rFonts w:ascii="Times New Roman" w:hAnsi="Times New Roman"/>
          <w:sz w:val="24"/>
        </w:rPr>
        <w:t>Bez derīga paskaidrojuma</w:t>
      </w:r>
      <w:r w:rsidR="00AF1804">
        <w:rPr>
          <w:rStyle w:val="FootnoteReference"/>
          <w:rFonts w:ascii="Times New Roman" w:hAnsi="Times New Roman"/>
          <w:noProof/>
          <w:sz w:val="24"/>
        </w:rPr>
        <w:footnoteReference w:id="4"/>
      </w:r>
      <w:r>
        <w:rPr>
          <w:rFonts w:ascii="Times New Roman" w:hAnsi="Times New Roman"/>
          <w:sz w:val="24"/>
        </w:rPr>
        <w:t xml:space="preserve"> nav atļauts savākt vairāk nekā minimālo nepieciešamo jonu vai pāreju skaitu </w:t>
      </w:r>
      <w:r>
        <w:rPr>
          <w:rFonts w:ascii="Times New Roman" w:hAnsi="Times New Roman"/>
          <w:i/>
          <w:iCs/>
          <w:sz w:val="24"/>
        </w:rPr>
        <w:t>SRM</w:t>
      </w:r>
      <w:r>
        <w:rPr>
          <w:rFonts w:ascii="Times New Roman" w:hAnsi="Times New Roman"/>
          <w:sz w:val="24"/>
        </w:rPr>
        <w:t xml:space="preserve"> vai </w:t>
      </w:r>
      <w:r>
        <w:rPr>
          <w:rFonts w:ascii="Times New Roman" w:hAnsi="Times New Roman"/>
          <w:i/>
          <w:iCs/>
          <w:sz w:val="24"/>
        </w:rPr>
        <w:t>SIM</w:t>
      </w:r>
      <w:r>
        <w:rPr>
          <w:rFonts w:ascii="Times New Roman" w:hAnsi="Times New Roman"/>
          <w:sz w:val="24"/>
        </w:rPr>
        <w:t xml:space="preserve"> un atlasīt tos, kuru relatīvā izplatība ietilpst pielaides logu diapazonā, vienlaikus ignorējot citus jonus vai pārejas, kas neatbilst identifikācijas kritērijiem.</w:t>
      </w:r>
    </w:p>
    <w:p w14:paraId="59FF67CD" w14:textId="51EED6B2" w:rsidR="00AF1804" w:rsidRDefault="00AF1804">
      <w:pPr>
        <w:rPr>
          <w:rFonts w:ascii="Times New Roman" w:eastAsia="Verdana" w:hAnsi="Times New Roman" w:cs="Verdana"/>
          <w:noProof/>
          <w:sz w:val="24"/>
          <w:szCs w:val="20"/>
        </w:rPr>
      </w:pPr>
      <w:r>
        <w:br w:type="page"/>
      </w:r>
    </w:p>
    <w:p w14:paraId="7ACB35DA" w14:textId="77777777" w:rsidR="008306B3" w:rsidRPr="002E77E9" w:rsidRDefault="008306B3" w:rsidP="002E77E9">
      <w:pPr>
        <w:jc w:val="both"/>
        <w:rPr>
          <w:rFonts w:ascii="Times New Roman" w:eastAsia="Verdana" w:hAnsi="Times New Roman" w:cs="Verdana"/>
          <w:noProof/>
          <w:sz w:val="24"/>
          <w:szCs w:val="20"/>
        </w:rPr>
      </w:pPr>
    </w:p>
    <w:p w14:paraId="2B49DCC7" w14:textId="3ADB7BE5" w:rsidR="008306B3" w:rsidRPr="002E77E9" w:rsidRDefault="008306B3" w:rsidP="002E77E9">
      <w:pPr>
        <w:pStyle w:val="BodyText"/>
        <w:tabs>
          <w:tab w:val="left" w:pos="1108"/>
          <w:tab w:val="left" w:pos="1551"/>
          <w:tab w:val="left" w:pos="2832"/>
          <w:tab w:val="left" w:pos="4110"/>
          <w:tab w:val="left" w:pos="5300"/>
          <w:tab w:val="left" w:pos="5812"/>
          <w:tab w:val="left" w:pos="6904"/>
          <w:tab w:val="left" w:pos="8444"/>
          <w:tab w:val="left" w:pos="8870"/>
        </w:tabs>
        <w:spacing w:before="0"/>
        <w:ind w:left="0"/>
        <w:jc w:val="both"/>
        <w:rPr>
          <w:rFonts w:ascii="Times New Roman" w:hAnsi="Times New Roman"/>
          <w:noProof/>
          <w:sz w:val="24"/>
        </w:rPr>
      </w:pPr>
      <w:r>
        <w:rPr>
          <w:rFonts w:ascii="Times New Roman" w:hAnsi="Times New Roman"/>
          <w:b/>
          <w:bCs/>
          <w:sz w:val="24"/>
        </w:rPr>
        <w:t>1. tabula.</w:t>
      </w:r>
      <w:r>
        <w:rPr>
          <w:rFonts w:ascii="Times New Roman" w:hAnsi="Times New Roman"/>
          <w:sz w:val="24"/>
        </w:rPr>
        <w:t xml:space="preserve"> Maksimālās pielaides logi relatīvajai izplatībai, lai nodrošinātu attiecīgu ticamību identifikācijai</w:t>
      </w:r>
    </w:p>
    <w:p w14:paraId="4BA7754A" w14:textId="77777777" w:rsidR="008306B3" w:rsidRPr="002E77E9" w:rsidRDefault="008306B3" w:rsidP="002E77E9">
      <w:pPr>
        <w:jc w:val="both"/>
        <w:rPr>
          <w:rFonts w:ascii="Times New Roman" w:hAnsi="Times New Roman"/>
          <w:noProof/>
          <w:sz w:val="24"/>
        </w:rPr>
      </w:pPr>
    </w:p>
    <w:tbl>
      <w:tblPr>
        <w:tblW w:w="0" w:type="auto"/>
        <w:tblCellMar>
          <w:top w:w="28" w:type="dxa"/>
          <w:left w:w="28" w:type="dxa"/>
          <w:bottom w:w="28" w:type="dxa"/>
          <w:right w:w="28" w:type="dxa"/>
        </w:tblCellMar>
        <w:tblLook w:val="01E0" w:firstRow="1" w:lastRow="1" w:firstColumn="1" w:lastColumn="1" w:noHBand="0" w:noVBand="0"/>
      </w:tblPr>
      <w:tblGrid>
        <w:gridCol w:w="2698"/>
        <w:gridCol w:w="2715"/>
        <w:gridCol w:w="1835"/>
        <w:gridCol w:w="1880"/>
      </w:tblGrid>
      <w:tr w:rsidR="008306B3" w:rsidRPr="002E77E9" w14:paraId="72290CF4" w14:textId="77777777" w:rsidTr="00BA38B6">
        <w:tc>
          <w:tcPr>
            <w:tcW w:w="1478" w:type="pct"/>
            <w:vMerge w:val="restart"/>
            <w:tcBorders>
              <w:top w:val="single" w:sz="5" w:space="0" w:color="000000"/>
              <w:left w:val="single" w:sz="5" w:space="0" w:color="000000"/>
              <w:right w:val="single" w:sz="5" w:space="0" w:color="000000"/>
            </w:tcBorders>
            <w:vAlign w:val="center"/>
          </w:tcPr>
          <w:p w14:paraId="5533C269" w14:textId="77777777" w:rsidR="008306B3" w:rsidRPr="002E77E9" w:rsidRDefault="008306B3" w:rsidP="00BA38B6">
            <w:pPr>
              <w:pStyle w:val="TableParagraph"/>
              <w:jc w:val="center"/>
              <w:rPr>
                <w:rFonts w:ascii="Times New Roman" w:eastAsia="Verdana" w:hAnsi="Times New Roman" w:cs="Verdana"/>
                <w:noProof/>
                <w:sz w:val="24"/>
                <w:szCs w:val="13"/>
              </w:rPr>
            </w:pPr>
            <w:r>
              <w:rPr>
                <w:rFonts w:ascii="Times New Roman" w:hAnsi="Times New Roman"/>
                <w:b/>
                <w:bCs/>
                <w:sz w:val="24"/>
              </w:rPr>
              <w:t>Relatīvā izplatība atsauces paraugā</w:t>
            </w:r>
            <w:r>
              <w:rPr>
                <w:rFonts w:ascii="Times New Roman" w:hAnsi="Times New Roman"/>
                <w:sz w:val="24"/>
                <w:vertAlign w:val="superscript"/>
              </w:rPr>
              <w:t>5</w:t>
            </w:r>
          </w:p>
          <w:p w14:paraId="3DB615FA"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 no galvenās smailes)</w:t>
            </w:r>
          </w:p>
        </w:tc>
        <w:tc>
          <w:tcPr>
            <w:tcW w:w="1487" w:type="pct"/>
            <w:vMerge w:val="restart"/>
            <w:tcBorders>
              <w:top w:val="single" w:sz="5" w:space="0" w:color="000000"/>
              <w:left w:val="single" w:sz="5" w:space="0" w:color="000000"/>
              <w:right w:val="single" w:sz="5" w:space="0" w:color="000000"/>
            </w:tcBorders>
            <w:vAlign w:val="center"/>
          </w:tcPr>
          <w:p w14:paraId="02993CFE" w14:textId="77777777" w:rsidR="008306B3" w:rsidRPr="002E77E9" w:rsidRDefault="008306B3" w:rsidP="00BA38B6">
            <w:pPr>
              <w:pStyle w:val="TableParagraph"/>
              <w:jc w:val="center"/>
              <w:rPr>
                <w:rFonts w:ascii="Times New Roman" w:eastAsia="Verdana" w:hAnsi="Times New Roman" w:cs="Verdana"/>
                <w:noProof/>
                <w:sz w:val="24"/>
                <w:szCs w:val="20"/>
              </w:rPr>
            </w:pPr>
            <w:r>
              <w:rPr>
                <w:rFonts w:ascii="Times New Roman" w:hAnsi="Times New Roman"/>
                <w:b/>
                <w:sz w:val="24"/>
              </w:rPr>
              <w:t xml:space="preserve">Maksimālās pielaides logi relatīvajai izplatībai </w:t>
            </w:r>
            <w:r>
              <w:rPr>
                <w:rFonts w:ascii="Times New Roman" w:hAnsi="Times New Roman"/>
                <w:b/>
                <w:i/>
                <w:iCs/>
                <w:sz w:val="24"/>
              </w:rPr>
              <w:t>paraugā</w:t>
            </w:r>
          </w:p>
        </w:tc>
        <w:tc>
          <w:tcPr>
            <w:tcW w:w="2036" w:type="pct"/>
            <w:gridSpan w:val="2"/>
            <w:tcBorders>
              <w:top w:val="single" w:sz="5" w:space="0" w:color="000000"/>
              <w:left w:val="single" w:sz="5" w:space="0" w:color="000000"/>
              <w:bottom w:val="single" w:sz="5" w:space="0" w:color="000000"/>
              <w:right w:val="single" w:sz="5" w:space="0" w:color="000000"/>
            </w:tcBorders>
            <w:vAlign w:val="center"/>
          </w:tcPr>
          <w:p w14:paraId="4BC57BBE" w14:textId="77777777" w:rsidR="008306B3" w:rsidRPr="002E77E9" w:rsidRDefault="008306B3" w:rsidP="00BA38B6">
            <w:pPr>
              <w:pStyle w:val="TableParagraph"/>
              <w:jc w:val="center"/>
              <w:rPr>
                <w:rFonts w:ascii="Times New Roman" w:hAnsi="Times New Roman"/>
                <w:b/>
                <w:noProof/>
                <w:sz w:val="24"/>
              </w:rPr>
            </w:pPr>
            <w:r>
              <w:rPr>
                <w:rFonts w:ascii="Times New Roman" w:hAnsi="Times New Roman"/>
                <w:b/>
                <w:sz w:val="24"/>
              </w:rPr>
              <w:t>Piemēri</w:t>
            </w:r>
          </w:p>
        </w:tc>
      </w:tr>
      <w:tr w:rsidR="008306B3" w:rsidRPr="002E77E9" w14:paraId="79BEF238" w14:textId="77777777" w:rsidTr="00BA38B6">
        <w:tc>
          <w:tcPr>
            <w:tcW w:w="1478" w:type="pct"/>
            <w:vMerge/>
            <w:tcBorders>
              <w:left w:val="single" w:sz="5" w:space="0" w:color="000000"/>
              <w:bottom w:val="single" w:sz="5" w:space="0" w:color="000000"/>
              <w:right w:val="single" w:sz="5" w:space="0" w:color="000000"/>
            </w:tcBorders>
            <w:vAlign w:val="center"/>
          </w:tcPr>
          <w:p w14:paraId="2BE2D0D2" w14:textId="77777777" w:rsidR="008306B3" w:rsidRPr="002E77E9" w:rsidRDefault="008306B3" w:rsidP="00BA38B6">
            <w:pPr>
              <w:jc w:val="center"/>
              <w:rPr>
                <w:rFonts w:ascii="Times New Roman" w:hAnsi="Times New Roman"/>
                <w:noProof/>
                <w:sz w:val="24"/>
              </w:rPr>
            </w:pPr>
          </w:p>
        </w:tc>
        <w:tc>
          <w:tcPr>
            <w:tcW w:w="1487" w:type="pct"/>
            <w:vMerge/>
            <w:tcBorders>
              <w:left w:val="single" w:sz="5" w:space="0" w:color="000000"/>
              <w:bottom w:val="single" w:sz="5" w:space="0" w:color="000000"/>
              <w:right w:val="single" w:sz="5" w:space="0" w:color="000000"/>
            </w:tcBorders>
            <w:vAlign w:val="center"/>
          </w:tcPr>
          <w:p w14:paraId="3771DC96" w14:textId="77777777" w:rsidR="008306B3" w:rsidRPr="002E77E9" w:rsidRDefault="008306B3" w:rsidP="00BA38B6">
            <w:pPr>
              <w:jc w:val="center"/>
              <w:rPr>
                <w:rFonts w:ascii="Times New Roman" w:hAnsi="Times New Roman"/>
                <w:noProof/>
                <w:sz w:val="24"/>
              </w:rPr>
            </w:pPr>
          </w:p>
        </w:tc>
        <w:tc>
          <w:tcPr>
            <w:tcW w:w="1005" w:type="pct"/>
            <w:tcBorders>
              <w:top w:val="single" w:sz="5" w:space="0" w:color="000000"/>
              <w:left w:val="single" w:sz="5" w:space="0" w:color="000000"/>
              <w:bottom w:val="single" w:sz="5" w:space="0" w:color="000000"/>
              <w:right w:val="single" w:sz="5" w:space="0" w:color="000000"/>
            </w:tcBorders>
            <w:vAlign w:val="center"/>
          </w:tcPr>
          <w:p w14:paraId="2628273B" w14:textId="77777777" w:rsidR="008306B3" w:rsidRPr="002E77E9" w:rsidRDefault="008306B3" w:rsidP="00BA38B6">
            <w:pPr>
              <w:pStyle w:val="TableParagraph"/>
              <w:jc w:val="center"/>
              <w:rPr>
                <w:rFonts w:ascii="Times New Roman" w:hAnsi="Times New Roman"/>
                <w:b/>
                <w:noProof/>
                <w:sz w:val="24"/>
              </w:rPr>
            </w:pPr>
            <w:r>
              <w:rPr>
                <w:rFonts w:ascii="Times New Roman" w:hAnsi="Times New Roman"/>
                <w:b/>
                <w:sz w:val="24"/>
              </w:rPr>
              <w:t>Relatīvā izplatība</w:t>
            </w:r>
          </w:p>
          <w:p w14:paraId="6D75D9DF"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 no galvenās smailes)</w:t>
            </w:r>
          </w:p>
        </w:tc>
        <w:tc>
          <w:tcPr>
            <w:tcW w:w="1031" w:type="pct"/>
            <w:tcBorders>
              <w:top w:val="single" w:sz="5" w:space="0" w:color="000000"/>
              <w:left w:val="single" w:sz="5" w:space="0" w:color="000000"/>
              <w:bottom w:val="single" w:sz="5" w:space="0" w:color="000000"/>
              <w:right w:val="single" w:sz="5" w:space="0" w:color="000000"/>
            </w:tcBorders>
            <w:vAlign w:val="center"/>
          </w:tcPr>
          <w:p w14:paraId="5D343F3D" w14:textId="77777777" w:rsidR="008306B3" w:rsidRPr="002E77E9" w:rsidRDefault="008306B3" w:rsidP="00BA38B6">
            <w:pPr>
              <w:pStyle w:val="TableParagraph"/>
              <w:jc w:val="center"/>
              <w:rPr>
                <w:rFonts w:ascii="Times New Roman" w:hAnsi="Times New Roman"/>
                <w:b/>
                <w:noProof/>
                <w:sz w:val="24"/>
              </w:rPr>
            </w:pPr>
            <w:r>
              <w:rPr>
                <w:rFonts w:ascii="Times New Roman" w:hAnsi="Times New Roman"/>
                <w:b/>
                <w:sz w:val="24"/>
              </w:rPr>
              <w:t>Pielaides logs</w:t>
            </w:r>
          </w:p>
          <w:p w14:paraId="386AF17C"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 no galvenās smailes)</w:t>
            </w:r>
          </w:p>
        </w:tc>
      </w:tr>
      <w:tr w:rsidR="008306B3" w:rsidRPr="002E77E9" w14:paraId="7BC3CC3A" w14:textId="77777777" w:rsidTr="00BA38B6">
        <w:tc>
          <w:tcPr>
            <w:tcW w:w="1478" w:type="pct"/>
            <w:tcBorders>
              <w:top w:val="single" w:sz="5" w:space="0" w:color="000000"/>
              <w:left w:val="single" w:sz="5" w:space="0" w:color="000000"/>
              <w:bottom w:val="single" w:sz="5" w:space="0" w:color="000000"/>
              <w:right w:val="single" w:sz="5" w:space="0" w:color="000000"/>
            </w:tcBorders>
            <w:vAlign w:val="center"/>
          </w:tcPr>
          <w:p w14:paraId="38A08D49"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50–100</w:t>
            </w:r>
          </w:p>
        </w:tc>
        <w:tc>
          <w:tcPr>
            <w:tcW w:w="1487" w:type="pct"/>
            <w:tcBorders>
              <w:top w:val="single" w:sz="5" w:space="0" w:color="000000"/>
              <w:left w:val="single" w:sz="5" w:space="0" w:color="000000"/>
              <w:bottom w:val="single" w:sz="5" w:space="0" w:color="000000"/>
              <w:right w:val="single" w:sz="5" w:space="0" w:color="000000"/>
            </w:tcBorders>
            <w:vAlign w:val="center"/>
          </w:tcPr>
          <w:p w14:paraId="29B22B50" w14:textId="77777777" w:rsidR="008306B3" w:rsidRPr="002E77E9" w:rsidRDefault="008306B3" w:rsidP="00BA38B6">
            <w:pPr>
              <w:pStyle w:val="TableParagraph"/>
              <w:jc w:val="center"/>
              <w:rPr>
                <w:rFonts w:ascii="Times New Roman" w:eastAsia="Verdana" w:hAnsi="Times New Roman" w:cs="Verdana"/>
                <w:noProof/>
                <w:sz w:val="24"/>
                <w:szCs w:val="20"/>
              </w:rPr>
            </w:pPr>
            <w:r>
              <w:rPr>
                <w:rFonts w:ascii="Times New Roman" w:hAnsi="Times New Roman"/>
                <w:sz w:val="24"/>
              </w:rPr>
              <w:t>± 10 (absolūts)</w:t>
            </w:r>
          </w:p>
        </w:tc>
        <w:tc>
          <w:tcPr>
            <w:tcW w:w="1005" w:type="pct"/>
            <w:tcBorders>
              <w:top w:val="single" w:sz="5" w:space="0" w:color="000000"/>
              <w:left w:val="single" w:sz="5" w:space="0" w:color="000000"/>
              <w:bottom w:val="single" w:sz="5" w:space="0" w:color="000000"/>
              <w:right w:val="single" w:sz="5" w:space="0" w:color="000000"/>
            </w:tcBorders>
            <w:vAlign w:val="center"/>
          </w:tcPr>
          <w:p w14:paraId="3334736F"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60</w:t>
            </w:r>
          </w:p>
          <w:p w14:paraId="7E3D2BDB"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95</w:t>
            </w:r>
          </w:p>
        </w:tc>
        <w:tc>
          <w:tcPr>
            <w:tcW w:w="1031" w:type="pct"/>
            <w:tcBorders>
              <w:top w:val="single" w:sz="5" w:space="0" w:color="000000"/>
              <w:left w:val="single" w:sz="5" w:space="0" w:color="000000"/>
              <w:bottom w:val="single" w:sz="5" w:space="0" w:color="000000"/>
              <w:right w:val="single" w:sz="5" w:space="0" w:color="000000"/>
            </w:tcBorders>
            <w:vAlign w:val="center"/>
          </w:tcPr>
          <w:p w14:paraId="0BC87C27"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50–70</w:t>
            </w:r>
          </w:p>
          <w:p w14:paraId="254FA6EE"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85–105</w:t>
            </w:r>
          </w:p>
        </w:tc>
      </w:tr>
      <w:tr w:rsidR="008306B3" w:rsidRPr="002E77E9" w14:paraId="42C5572B" w14:textId="77777777" w:rsidTr="00BA38B6">
        <w:tc>
          <w:tcPr>
            <w:tcW w:w="1478" w:type="pct"/>
            <w:tcBorders>
              <w:top w:val="single" w:sz="5" w:space="0" w:color="000000"/>
              <w:left w:val="single" w:sz="5" w:space="0" w:color="000000"/>
              <w:bottom w:val="single" w:sz="5" w:space="0" w:color="000000"/>
              <w:right w:val="single" w:sz="5" w:space="0" w:color="000000"/>
            </w:tcBorders>
            <w:vAlign w:val="center"/>
          </w:tcPr>
          <w:p w14:paraId="19030344"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25–50</w:t>
            </w:r>
          </w:p>
        </w:tc>
        <w:tc>
          <w:tcPr>
            <w:tcW w:w="1487" w:type="pct"/>
            <w:tcBorders>
              <w:top w:val="single" w:sz="5" w:space="0" w:color="000000"/>
              <w:left w:val="single" w:sz="5" w:space="0" w:color="000000"/>
              <w:bottom w:val="single" w:sz="5" w:space="0" w:color="000000"/>
              <w:right w:val="single" w:sz="5" w:space="0" w:color="000000"/>
            </w:tcBorders>
            <w:vAlign w:val="center"/>
          </w:tcPr>
          <w:p w14:paraId="72523F8F" w14:textId="77777777" w:rsidR="008306B3" w:rsidRPr="002E77E9" w:rsidRDefault="008306B3" w:rsidP="00BA38B6">
            <w:pPr>
              <w:pStyle w:val="TableParagraph"/>
              <w:jc w:val="center"/>
              <w:rPr>
                <w:rFonts w:ascii="Times New Roman" w:eastAsia="Verdana" w:hAnsi="Times New Roman" w:cs="Verdana"/>
                <w:noProof/>
                <w:sz w:val="24"/>
                <w:szCs w:val="20"/>
              </w:rPr>
            </w:pPr>
            <w:r>
              <w:rPr>
                <w:rFonts w:ascii="Times New Roman" w:hAnsi="Times New Roman"/>
                <w:sz w:val="24"/>
              </w:rPr>
              <w:t>± 20 % (relatīvs)</w:t>
            </w:r>
          </w:p>
        </w:tc>
        <w:tc>
          <w:tcPr>
            <w:tcW w:w="1005" w:type="pct"/>
            <w:tcBorders>
              <w:top w:val="single" w:sz="5" w:space="0" w:color="000000"/>
              <w:left w:val="single" w:sz="5" w:space="0" w:color="000000"/>
              <w:bottom w:val="single" w:sz="5" w:space="0" w:color="000000"/>
              <w:right w:val="single" w:sz="5" w:space="0" w:color="000000"/>
            </w:tcBorders>
            <w:vAlign w:val="center"/>
          </w:tcPr>
          <w:p w14:paraId="585D5712" w14:textId="77777777" w:rsidR="008306B3" w:rsidRPr="002E77E9" w:rsidRDefault="008306B3" w:rsidP="00BA38B6">
            <w:pPr>
              <w:pStyle w:val="TableParagraph"/>
              <w:jc w:val="center"/>
              <w:rPr>
                <w:rFonts w:ascii="Times New Roman" w:eastAsia="Verdana" w:hAnsi="Times New Roman" w:cs="Verdana"/>
                <w:noProof/>
                <w:sz w:val="24"/>
                <w:szCs w:val="19"/>
              </w:rPr>
            </w:pPr>
          </w:p>
          <w:p w14:paraId="0FE22CC7"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40</w:t>
            </w:r>
          </w:p>
        </w:tc>
        <w:tc>
          <w:tcPr>
            <w:tcW w:w="1031" w:type="pct"/>
            <w:tcBorders>
              <w:top w:val="single" w:sz="5" w:space="0" w:color="000000"/>
              <w:left w:val="single" w:sz="5" w:space="0" w:color="000000"/>
              <w:bottom w:val="single" w:sz="5" w:space="0" w:color="000000"/>
              <w:right w:val="single" w:sz="5" w:space="0" w:color="000000"/>
            </w:tcBorders>
            <w:vAlign w:val="center"/>
          </w:tcPr>
          <w:p w14:paraId="72DC7C99" w14:textId="77777777" w:rsidR="008306B3" w:rsidRPr="002E77E9" w:rsidRDefault="008306B3" w:rsidP="00BA38B6">
            <w:pPr>
              <w:pStyle w:val="TableParagraph"/>
              <w:jc w:val="center"/>
              <w:rPr>
                <w:rFonts w:ascii="Times New Roman" w:eastAsia="Verdana" w:hAnsi="Times New Roman" w:cs="Verdana"/>
                <w:noProof/>
                <w:sz w:val="24"/>
                <w:szCs w:val="19"/>
              </w:rPr>
            </w:pPr>
          </w:p>
          <w:p w14:paraId="0FA4DD2A"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32–48</w:t>
            </w:r>
          </w:p>
        </w:tc>
      </w:tr>
      <w:tr w:rsidR="008306B3" w:rsidRPr="002E77E9" w14:paraId="03FC8569" w14:textId="77777777" w:rsidTr="00BA38B6">
        <w:tc>
          <w:tcPr>
            <w:tcW w:w="1478" w:type="pct"/>
            <w:tcBorders>
              <w:top w:val="single" w:sz="5" w:space="0" w:color="000000"/>
              <w:left w:val="single" w:sz="5" w:space="0" w:color="000000"/>
              <w:bottom w:val="single" w:sz="5" w:space="0" w:color="000000"/>
              <w:right w:val="single" w:sz="5" w:space="0" w:color="000000"/>
            </w:tcBorders>
            <w:vAlign w:val="center"/>
          </w:tcPr>
          <w:p w14:paraId="569CE0F5"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1–25</w:t>
            </w:r>
          </w:p>
        </w:tc>
        <w:tc>
          <w:tcPr>
            <w:tcW w:w="1487" w:type="pct"/>
            <w:tcBorders>
              <w:top w:val="single" w:sz="5" w:space="0" w:color="000000"/>
              <w:left w:val="single" w:sz="5" w:space="0" w:color="000000"/>
              <w:bottom w:val="single" w:sz="5" w:space="0" w:color="000000"/>
              <w:right w:val="single" w:sz="5" w:space="0" w:color="000000"/>
            </w:tcBorders>
            <w:vAlign w:val="center"/>
          </w:tcPr>
          <w:p w14:paraId="4E2DD132" w14:textId="77777777" w:rsidR="008306B3" w:rsidRPr="002E77E9" w:rsidRDefault="008306B3" w:rsidP="00BA38B6">
            <w:pPr>
              <w:pStyle w:val="TableParagraph"/>
              <w:jc w:val="center"/>
              <w:rPr>
                <w:rFonts w:ascii="Times New Roman" w:eastAsia="Verdana" w:hAnsi="Times New Roman" w:cs="Verdana"/>
                <w:noProof/>
                <w:sz w:val="24"/>
                <w:szCs w:val="13"/>
              </w:rPr>
            </w:pPr>
            <w:r>
              <w:rPr>
                <w:rFonts w:ascii="Times New Roman" w:hAnsi="Times New Roman"/>
                <w:sz w:val="24"/>
              </w:rPr>
              <w:t>± 5 (absolūts)</w:t>
            </w:r>
            <w:r>
              <w:rPr>
                <w:rFonts w:ascii="Times New Roman" w:hAnsi="Times New Roman"/>
                <w:sz w:val="24"/>
                <w:vertAlign w:val="superscript"/>
              </w:rPr>
              <w:t>6</w:t>
            </w:r>
          </w:p>
        </w:tc>
        <w:tc>
          <w:tcPr>
            <w:tcW w:w="1005" w:type="pct"/>
            <w:tcBorders>
              <w:top w:val="single" w:sz="5" w:space="0" w:color="000000"/>
              <w:left w:val="single" w:sz="5" w:space="0" w:color="000000"/>
              <w:bottom w:val="single" w:sz="5" w:space="0" w:color="000000"/>
              <w:right w:val="single" w:sz="5" w:space="0" w:color="000000"/>
            </w:tcBorders>
            <w:vAlign w:val="center"/>
          </w:tcPr>
          <w:p w14:paraId="4EBF44C7"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10</w:t>
            </w:r>
          </w:p>
          <w:p w14:paraId="1ABE696D"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3</w:t>
            </w:r>
          </w:p>
        </w:tc>
        <w:tc>
          <w:tcPr>
            <w:tcW w:w="1031" w:type="pct"/>
            <w:tcBorders>
              <w:top w:val="single" w:sz="5" w:space="0" w:color="000000"/>
              <w:left w:val="single" w:sz="5" w:space="0" w:color="000000"/>
              <w:bottom w:val="single" w:sz="5" w:space="0" w:color="000000"/>
              <w:right w:val="single" w:sz="5" w:space="0" w:color="000000"/>
            </w:tcBorders>
            <w:vAlign w:val="center"/>
          </w:tcPr>
          <w:p w14:paraId="15DF39FD" w14:textId="77777777" w:rsidR="008306B3" w:rsidRPr="002E77E9" w:rsidRDefault="008306B3" w:rsidP="00BA38B6">
            <w:pPr>
              <w:pStyle w:val="TableParagraph"/>
              <w:jc w:val="center"/>
              <w:rPr>
                <w:rFonts w:ascii="Times New Roman" w:hAnsi="Times New Roman"/>
                <w:noProof/>
                <w:sz w:val="24"/>
              </w:rPr>
            </w:pPr>
            <w:r>
              <w:rPr>
                <w:rFonts w:ascii="Times New Roman" w:hAnsi="Times New Roman"/>
                <w:sz w:val="24"/>
              </w:rPr>
              <w:t>5–15</w:t>
            </w:r>
          </w:p>
          <w:p w14:paraId="2FC06C03" w14:textId="77777777" w:rsidR="008306B3" w:rsidRPr="002E77E9" w:rsidRDefault="008306B3" w:rsidP="00BA38B6">
            <w:pPr>
              <w:pStyle w:val="TableParagraph"/>
              <w:jc w:val="center"/>
              <w:rPr>
                <w:rFonts w:ascii="Times New Roman" w:eastAsia="Verdana" w:hAnsi="Times New Roman" w:cs="Verdana"/>
                <w:noProof/>
                <w:sz w:val="24"/>
                <w:szCs w:val="20"/>
              </w:rPr>
            </w:pPr>
            <w:r>
              <w:rPr>
                <w:rFonts w:ascii="Times New Roman" w:hAnsi="Times New Roman"/>
                <w:sz w:val="24"/>
              </w:rPr>
              <w:t>&gt; 0</w:t>
            </w:r>
            <w:r>
              <w:rPr>
                <w:rFonts w:ascii="Times New Roman" w:hAnsi="Times New Roman"/>
                <w:sz w:val="24"/>
                <w:vertAlign w:val="superscript"/>
              </w:rPr>
              <w:t>6</w:t>
            </w:r>
            <w:r>
              <w:rPr>
                <w:rFonts w:ascii="Times New Roman" w:hAnsi="Times New Roman"/>
                <w:sz w:val="24"/>
              </w:rPr>
              <w:t>–8</w:t>
            </w:r>
          </w:p>
        </w:tc>
      </w:tr>
    </w:tbl>
    <w:p w14:paraId="0996CA37" w14:textId="77777777" w:rsidR="008306B3" w:rsidRPr="002E77E9" w:rsidRDefault="008306B3" w:rsidP="002E77E9">
      <w:pPr>
        <w:jc w:val="both"/>
        <w:rPr>
          <w:rFonts w:ascii="Times New Roman" w:eastAsia="Verdana" w:hAnsi="Times New Roman" w:cs="Verdana"/>
          <w:noProof/>
          <w:sz w:val="24"/>
          <w:szCs w:val="5"/>
        </w:rPr>
      </w:pPr>
    </w:p>
    <w:p w14:paraId="78D854E0" w14:textId="10C97176" w:rsidR="008306B3" w:rsidRPr="002E77E9" w:rsidRDefault="00BA38B6" w:rsidP="00BA38B6">
      <w:pPr>
        <w:pStyle w:val="BodyText"/>
        <w:tabs>
          <w:tab w:val="left" w:pos="430"/>
        </w:tabs>
        <w:spacing w:before="0"/>
        <w:ind w:left="0"/>
        <w:jc w:val="both"/>
        <w:rPr>
          <w:rFonts w:ascii="Times New Roman" w:eastAsia="Times New Roman" w:hAnsi="Times New Roman" w:cs="Times New Roman"/>
          <w:noProof/>
          <w:sz w:val="24"/>
        </w:rPr>
      </w:pPr>
      <w:r>
        <w:rPr>
          <w:rFonts w:ascii="Times New Roman" w:hAnsi="Times New Roman"/>
          <w:sz w:val="24"/>
          <w:vertAlign w:val="superscript"/>
        </w:rPr>
        <w:t>5</w:t>
      </w:r>
      <w:r>
        <w:rPr>
          <w:rFonts w:ascii="Times New Roman" w:hAnsi="Times New Roman"/>
          <w:sz w:val="24"/>
        </w:rPr>
        <w:t xml:space="preserve"> Kontrolparaugs, </w:t>
      </w:r>
      <w:r>
        <w:rPr>
          <w:rFonts w:ascii="Times New Roman" w:hAnsi="Times New Roman"/>
          <w:sz w:val="24"/>
          <w:u w:val="single"/>
        </w:rPr>
        <w:t>atsauces kolekcijas</w:t>
      </w:r>
      <w:r>
        <w:rPr>
          <w:rFonts w:ascii="Times New Roman" w:hAnsi="Times New Roman"/>
          <w:sz w:val="24"/>
        </w:rPr>
        <w:t xml:space="preserve"> paraugs vai </w:t>
      </w:r>
      <w:r>
        <w:rPr>
          <w:rFonts w:ascii="Times New Roman" w:hAnsi="Times New Roman"/>
          <w:sz w:val="24"/>
          <w:u w:val="single"/>
        </w:rPr>
        <w:t>atsauces materiāls</w:t>
      </w:r>
      <w:r>
        <w:rPr>
          <w:rFonts w:ascii="Times New Roman" w:hAnsi="Times New Roman"/>
          <w:sz w:val="24"/>
        </w:rPr>
        <w:t>, kas analizēts tajā pašā analītiskajā partijā.</w:t>
      </w:r>
    </w:p>
    <w:p w14:paraId="1E3D1EB9" w14:textId="3B89168A" w:rsidR="008306B3" w:rsidRPr="002E77E9" w:rsidRDefault="00BA38B6" w:rsidP="00BA38B6">
      <w:pPr>
        <w:pStyle w:val="BodyText"/>
        <w:tabs>
          <w:tab w:val="left" w:pos="396"/>
        </w:tabs>
        <w:spacing w:before="0"/>
        <w:ind w:left="0"/>
        <w:jc w:val="both"/>
        <w:rPr>
          <w:rFonts w:ascii="Times New Roman" w:eastAsia="Times New Roman" w:hAnsi="Times New Roman" w:cs="Times New Roman"/>
          <w:noProof/>
          <w:sz w:val="24"/>
        </w:rPr>
      </w:pPr>
      <w:r>
        <w:rPr>
          <w:rFonts w:ascii="Times New Roman" w:hAnsi="Times New Roman"/>
          <w:sz w:val="24"/>
          <w:vertAlign w:val="superscript"/>
        </w:rPr>
        <w:t>6</w:t>
      </w:r>
      <w:r>
        <w:rPr>
          <w:rFonts w:ascii="Times New Roman" w:hAnsi="Times New Roman"/>
          <w:sz w:val="24"/>
        </w:rPr>
        <w:t xml:space="preserve"> Diagnostikas joni vienmēr ir jānosaka </w:t>
      </w:r>
      <w:r>
        <w:rPr>
          <w:rFonts w:ascii="Times New Roman" w:hAnsi="Times New Roman"/>
          <w:i/>
          <w:iCs/>
          <w:sz w:val="24"/>
        </w:rPr>
        <w:t>paraugā</w:t>
      </w:r>
      <w:r>
        <w:rPr>
          <w:rFonts w:ascii="Times New Roman" w:hAnsi="Times New Roman"/>
          <w:i/>
          <w:sz w:val="24"/>
        </w:rPr>
        <w:t xml:space="preserve"> </w:t>
      </w:r>
      <w:r>
        <w:rPr>
          <w:rFonts w:ascii="Times New Roman" w:hAnsi="Times New Roman"/>
          <w:sz w:val="24"/>
        </w:rPr>
        <w:t>(</w:t>
      </w:r>
      <w:r>
        <w:rPr>
          <w:rFonts w:ascii="Times New Roman" w:hAnsi="Times New Roman"/>
          <w:i/>
          <w:iCs/>
          <w:sz w:val="24"/>
        </w:rPr>
        <w:t>S/T</w:t>
      </w:r>
      <w:r>
        <w:rPr>
          <w:rFonts w:ascii="Times New Roman" w:hAnsi="Times New Roman"/>
          <w:sz w:val="24"/>
        </w:rPr>
        <w:t xml:space="preserve"> &gt; 3:1).</w:t>
      </w:r>
    </w:p>
    <w:p w14:paraId="49518158" w14:textId="5875E65A" w:rsidR="00BA38B6" w:rsidRDefault="00BA38B6">
      <w:pPr>
        <w:rPr>
          <w:rFonts w:ascii="Times New Roman" w:eastAsia="Times New Roman" w:hAnsi="Times New Roman" w:cs="Times New Roman"/>
          <w:noProof/>
          <w:sz w:val="24"/>
        </w:rPr>
      </w:pPr>
      <w:r>
        <w:br w:type="page"/>
      </w:r>
    </w:p>
    <w:p w14:paraId="3E12EAE7" w14:textId="77777777" w:rsidR="001B4E7A" w:rsidRPr="002E77E9" w:rsidRDefault="001B4E7A" w:rsidP="002E77E9">
      <w:pPr>
        <w:jc w:val="both"/>
        <w:rPr>
          <w:rFonts w:ascii="Times New Roman" w:eastAsia="Times New Roman" w:hAnsi="Times New Roman" w:cs="Times New Roman"/>
          <w:noProof/>
          <w:sz w:val="24"/>
        </w:rPr>
      </w:pPr>
    </w:p>
    <w:p w14:paraId="18D6F964" w14:textId="30585BAA" w:rsidR="008306B3" w:rsidRPr="002E77E9" w:rsidRDefault="008306B3" w:rsidP="002E77E9">
      <w:pPr>
        <w:jc w:val="both"/>
        <w:rPr>
          <w:rFonts w:ascii="Times New Roman" w:eastAsia="Verdana" w:hAnsi="Times New Roman" w:cs="Verdana"/>
          <w:noProof/>
          <w:sz w:val="24"/>
          <w:szCs w:val="24"/>
        </w:rPr>
      </w:pPr>
      <w:r>
        <w:rPr>
          <w:rFonts w:ascii="Times New Roman" w:hAnsi="Times New Roman"/>
          <w:b/>
          <w:sz w:val="24"/>
        </w:rPr>
        <w:t>3.0. Definīcijas</w:t>
      </w:r>
    </w:p>
    <w:p w14:paraId="51FB4A25" w14:textId="77777777" w:rsidR="00BA38B6" w:rsidRDefault="00BA38B6" w:rsidP="002E77E9">
      <w:pPr>
        <w:jc w:val="both"/>
        <w:rPr>
          <w:rFonts w:ascii="Times New Roman" w:hAnsi="Times New Roman"/>
          <w:b/>
          <w:noProof/>
          <w:sz w:val="24"/>
        </w:rPr>
      </w:pPr>
    </w:p>
    <w:p w14:paraId="0A2A20C3" w14:textId="76CA8272" w:rsidR="008306B3" w:rsidRPr="002E77E9" w:rsidRDefault="008306B3" w:rsidP="002E77E9">
      <w:pPr>
        <w:jc w:val="both"/>
        <w:rPr>
          <w:rFonts w:ascii="Times New Roman" w:hAnsi="Times New Roman"/>
          <w:noProof/>
          <w:sz w:val="24"/>
        </w:rPr>
      </w:pPr>
      <w:r>
        <w:rPr>
          <w:rFonts w:ascii="Times New Roman" w:hAnsi="Times New Roman"/>
          <w:b/>
          <w:bCs/>
          <w:sz w:val="24"/>
        </w:rPr>
        <w:t>Diagnostikas jons(-i)</w:t>
      </w:r>
      <w:r>
        <w:rPr>
          <w:rFonts w:ascii="Times New Roman" w:hAnsi="Times New Roman"/>
          <w:sz w:val="24"/>
        </w:rPr>
        <w:t> – molekulārie joni vai fragmentjoni, kuru klātbūtne un izplatība ir raksturīga analizējamai vielai, un tādējādi var palīdzēt to identificēt. Otru jonu, kas pieder tai pašai izotopu kopai, arī var izmantot kā diagnostikas jonu tikai tad, ja to pamato fragmenta atomu sastāva īpatnība (</w:t>
      </w:r>
      <w:r>
        <w:rPr>
          <w:rFonts w:ascii="Times New Roman" w:hAnsi="Times New Roman"/>
          <w:i/>
          <w:iCs/>
          <w:sz w:val="24"/>
        </w:rPr>
        <w:t>piemēram</w:t>
      </w:r>
      <w:r>
        <w:rPr>
          <w:rFonts w:ascii="Times New Roman" w:hAnsi="Times New Roman"/>
          <w:sz w:val="24"/>
        </w:rPr>
        <w:t>, Cl, Br vai citu elementu klātbūtne ar lielu izotopu jonu saturu).</w:t>
      </w:r>
    </w:p>
    <w:p w14:paraId="394D2EAB" w14:textId="77777777" w:rsidR="00BA38B6" w:rsidRDefault="00BA38B6" w:rsidP="002E77E9">
      <w:pPr>
        <w:jc w:val="both"/>
        <w:rPr>
          <w:rFonts w:ascii="Times New Roman" w:hAnsi="Times New Roman"/>
          <w:b/>
          <w:noProof/>
          <w:sz w:val="24"/>
        </w:rPr>
      </w:pPr>
    </w:p>
    <w:p w14:paraId="0D378B7F" w14:textId="48C143A7" w:rsidR="008306B3" w:rsidRPr="002E77E9" w:rsidRDefault="008306B3" w:rsidP="002E77E9">
      <w:pPr>
        <w:jc w:val="both"/>
        <w:rPr>
          <w:rFonts w:ascii="Times New Roman" w:eastAsia="Verdana" w:hAnsi="Times New Roman" w:cs="Verdana"/>
          <w:noProof/>
          <w:sz w:val="24"/>
          <w:szCs w:val="20"/>
        </w:rPr>
      </w:pPr>
      <w:r>
        <w:rPr>
          <w:rFonts w:ascii="Times New Roman" w:hAnsi="Times New Roman"/>
          <w:b/>
          <w:bCs/>
          <w:sz w:val="24"/>
        </w:rPr>
        <w:t>Relatīvā izplatība</w:t>
      </w:r>
      <w:r>
        <w:rPr>
          <w:rFonts w:ascii="Times New Roman" w:hAnsi="Times New Roman"/>
          <w:sz w:val="24"/>
        </w:rPr>
        <w:t> – konkrēta jona izplatība attiecībā pret visvairāk uzraudzītā jona izplatību.</w:t>
      </w:r>
    </w:p>
    <w:p w14:paraId="74F94CD8" w14:textId="77777777" w:rsidR="00BA38B6" w:rsidRDefault="00BA38B6" w:rsidP="002E77E9">
      <w:pPr>
        <w:jc w:val="both"/>
        <w:rPr>
          <w:rFonts w:ascii="Times New Roman" w:hAnsi="Times New Roman"/>
          <w:b/>
          <w:noProof/>
          <w:sz w:val="24"/>
        </w:rPr>
      </w:pPr>
    </w:p>
    <w:p w14:paraId="26EF3286" w14:textId="61041728" w:rsidR="008306B3" w:rsidRPr="002E77E9" w:rsidRDefault="008306B3" w:rsidP="002E77E9">
      <w:pPr>
        <w:jc w:val="both"/>
        <w:rPr>
          <w:rFonts w:ascii="Times New Roman" w:hAnsi="Times New Roman"/>
          <w:noProof/>
          <w:sz w:val="24"/>
        </w:rPr>
      </w:pPr>
      <w:r>
        <w:rPr>
          <w:rFonts w:ascii="Times New Roman" w:hAnsi="Times New Roman"/>
          <w:b/>
          <w:bCs/>
          <w:sz w:val="24"/>
        </w:rPr>
        <w:t>Relatīvās izplatības maksimālās pielaides logs</w:t>
      </w:r>
      <w:r>
        <w:rPr>
          <w:rFonts w:ascii="Times New Roman" w:hAnsi="Times New Roman"/>
          <w:sz w:val="24"/>
        </w:rPr>
        <w:t xml:space="preserve"> – maksimālā pieļaujamā starpība starp konkrēta jona, kas iegūts no </w:t>
      </w:r>
      <w:r>
        <w:rPr>
          <w:rFonts w:ascii="Times New Roman" w:hAnsi="Times New Roman"/>
          <w:i/>
          <w:iCs/>
          <w:sz w:val="24"/>
        </w:rPr>
        <w:t>parauga</w:t>
      </w:r>
      <w:r>
        <w:rPr>
          <w:rFonts w:ascii="Times New Roman" w:hAnsi="Times New Roman"/>
          <w:sz w:val="24"/>
        </w:rPr>
        <w:t>, un tāda jona, kas iegūts no atsauces parauga, relatīvo izplatību. To var izteikt kā ABSOLŪTU vai RELATĪVU.</w:t>
      </w:r>
    </w:p>
    <w:p w14:paraId="4CD0A870" w14:textId="77777777" w:rsidR="00BA38B6" w:rsidRDefault="00BA38B6" w:rsidP="002E77E9">
      <w:pPr>
        <w:jc w:val="both"/>
        <w:rPr>
          <w:rFonts w:ascii="Times New Roman" w:hAnsi="Times New Roman"/>
          <w:b/>
          <w:noProof/>
          <w:sz w:val="24"/>
        </w:rPr>
      </w:pPr>
    </w:p>
    <w:p w14:paraId="4171F8AD" w14:textId="1B05E937" w:rsidR="008306B3" w:rsidRPr="002E77E9" w:rsidRDefault="008306B3" w:rsidP="00BA38B6">
      <w:pPr>
        <w:ind w:left="426"/>
        <w:jc w:val="both"/>
        <w:rPr>
          <w:rFonts w:ascii="Times New Roman" w:eastAsia="Verdana" w:hAnsi="Times New Roman" w:cs="Verdana"/>
          <w:noProof/>
          <w:sz w:val="24"/>
          <w:szCs w:val="20"/>
        </w:rPr>
      </w:pPr>
      <w:r>
        <w:rPr>
          <w:rFonts w:ascii="Times New Roman" w:hAnsi="Times New Roman"/>
          <w:b/>
          <w:bCs/>
          <w:sz w:val="24"/>
        </w:rPr>
        <w:t>Absolūts</w:t>
      </w:r>
      <w:r>
        <w:rPr>
          <w:rFonts w:ascii="Times New Roman" w:hAnsi="Times New Roman"/>
          <w:sz w:val="24"/>
        </w:rPr>
        <w:t> – nosaka, pieskaitot norādīto pielaides vērtību pie relatīvās izplatības, kas noteikta attiecībā uz uzraudzīto jonu atsauces paraugā, vai atņemot norādīto pielaides vērtību no tās.</w:t>
      </w:r>
    </w:p>
    <w:p w14:paraId="4C5DCEF4" w14:textId="77777777" w:rsidR="008306B3" w:rsidRPr="002E77E9" w:rsidRDefault="008306B3" w:rsidP="00BA38B6">
      <w:pPr>
        <w:ind w:left="426"/>
        <w:jc w:val="both"/>
        <w:rPr>
          <w:rFonts w:ascii="Times New Roman" w:eastAsia="Verdana" w:hAnsi="Times New Roman" w:cs="Verdana"/>
          <w:noProof/>
          <w:sz w:val="24"/>
          <w:szCs w:val="20"/>
        </w:rPr>
      </w:pPr>
      <w:r>
        <w:rPr>
          <w:rFonts w:ascii="Times New Roman" w:hAnsi="Times New Roman"/>
          <w:b/>
          <w:bCs/>
          <w:sz w:val="24"/>
        </w:rPr>
        <w:t>Relatīvs</w:t>
      </w:r>
      <w:r>
        <w:rPr>
          <w:rFonts w:ascii="Times New Roman" w:hAnsi="Times New Roman"/>
          <w:sz w:val="24"/>
        </w:rPr>
        <w:t> – nosaka, aprēķinot norādīto pielaides procentu līmeni relatīvajai izplatībai, kas noteikta attiecībā uz uzraudzīto jonu atsauces paraugā, un pēc tam šo vērtību pieskaitot pie relatīvās izplatības vai atņemot no tās.</w:t>
      </w:r>
    </w:p>
    <w:p w14:paraId="10FD5580" w14:textId="77777777" w:rsidR="00BA38B6" w:rsidRDefault="00BA38B6" w:rsidP="002E77E9">
      <w:pPr>
        <w:jc w:val="both"/>
        <w:rPr>
          <w:rFonts w:ascii="Times New Roman" w:hAnsi="Times New Roman"/>
          <w:b/>
          <w:noProof/>
          <w:sz w:val="24"/>
        </w:rPr>
      </w:pPr>
    </w:p>
    <w:p w14:paraId="45D932C5" w14:textId="7BDAB922" w:rsidR="008306B3" w:rsidRPr="002E77E9" w:rsidRDefault="008306B3" w:rsidP="002E77E9">
      <w:pPr>
        <w:jc w:val="both"/>
        <w:rPr>
          <w:rFonts w:ascii="Times New Roman" w:eastAsia="Verdana" w:hAnsi="Times New Roman" w:cs="Verdana"/>
          <w:noProof/>
          <w:sz w:val="24"/>
          <w:szCs w:val="20"/>
        </w:rPr>
      </w:pPr>
      <w:r>
        <w:rPr>
          <w:rFonts w:ascii="Times New Roman" w:hAnsi="Times New Roman"/>
          <w:b/>
          <w:bCs/>
          <w:sz w:val="24"/>
        </w:rPr>
        <w:t>Skenēšana</w:t>
      </w:r>
      <w:r>
        <w:rPr>
          <w:rFonts w:ascii="Times New Roman" w:hAnsi="Times New Roman"/>
          <w:sz w:val="24"/>
        </w:rPr>
        <w:t> –</w:t>
      </w:r>
      <w:r>
        <w:rPr>
          <w:rFonts w:ascii="Times New Roman" w:hAnsi="Times New Roman"/>
          <w:i/>
          <w:sz w:val="24"/>
        </w:rPr>
        <w:t xml:space="preserve"> </w:t>
      </w:r>
      <w:r>
        <w:rPr>
          <w:rFonts w:ascii="Times New Roman" w:hAnsi="Times New Roman"/>
          <w:sz w:val="24"/>
        </w:rPr>
        <w:t xml:space="preserve">nepārtraukta </w:t>
      </w:r>
      <w:r>
        <w:rPr>
          <w:rFonts w:ascii="Times New Roman" w:hAnsi="Times New Roman"/>
          <w:i/>
          <w:iCs/>
          <w:sz w:val="24"/>
        </w:rPr>
        <w:t>m</w:t>
      </w:r>
      <w:r>
        <w:rPr>
          <w:rFonts w:ascii="Times New Roman" w:hAnsi="Times New Roman"/>
          <w:sz w:val="24"/>
        </w:rPr>
        <w:t>/</w:t>
      </w:r>
      <w:r>
        <w:rPr>
          <w:rFonts w:ascii="Times New Roman" w:hAnsi="Times New Roman"/>
          <w:i/>
          <w:iCs/>
          <w:sz w:val="24"/>
        </w:rPr>
        <w:t>z</w:t>
      </w:r>
      <w:r>
        <w:rPr>
          <w:rFonts w:ascii="Times New Roman" w:hAnsi="Times New Roman"/>
          <w:sz w:val="24"/>
        </w:rPr>
        <w:t xml:space="preserve"> vērtību diapazona jonu iegūšana.</w:t>
      </w:r>
    </w:p>
    <w:p w14:paraId="7B14FFA5" w14:textId="77777777" w:rsidR="00BA38B6" w:rsidRDefault="00BA38B6" w:rsidP="002E77E9">
      <w:pPr>
        <w:jc w:val="both"/>
        <w:rPr>
          <w:rFonts w:ascii="Times New Roman" w:hAnsi="Times New Roman"/>
          <w:b/>
          <w:noProof/>
          <w:sz w:val="24"/>
        </w:rPr>
      </w:pPr>
    </w:p>
    <w:p w14:paraId="387D7806" w14:textId="61C5C49F" w:rsidR="008306B3" w:rsidRPr="002E77E9" w:rsidRDefault="008306B3" w:rsidP="002E77E9">
      <w:pPr>
        <w:jc w:val="both"/>
        <w:rPr>
          <w:rFonts w:ascii="Times New Roman" w:eastAsia="Verdana" w:hAnsi="Times New Roman" w:cs="Verdana"/>
          <w:noProof/>
          <w:sz w:val="24"/>
          <w:szCs w:val="20"/>
        </w:rPr>
      </w:pPr>
      <w:r>
        <w:rPr>
          <w:rFonts w:ascii="Times New Roman" w:hAnsi="Times New Roman"/>
          <w:b/>
          <w:bCs/>
          <w:sz w:val="24"/>
        </w:rPr>
        <w:t>Izvēlētu jonu kontrole (</w:t>
      </w:r>
      <w:r>
        <w:rPr>
          <w:rFonts w:ascii="Times New Roman" w:hAnsi="Times New Roman"/>
          <w:b/>
          <w:bCs/>
          <w:i/>
          <w:iCs/>
          <w:sz w:val="24"/>
        </w:rPr>
        <w:t>SIM</w:t>
      </w:r>
      <w:r>
        <w:rPr>
          <w:rFonts w:ascii="Times New Roman" w:hAnsi="Times New Roman"/>
          <w:b/>
          <w:bCs/>
          <w:sz w:val="24"/>
        </w:rPr>
        <w:t>)</w:t>
      </w:r>
      <w:r>
        <w:rPr>
          <w:rFonts w:ascii="Times New Roman" w:hAnsi="Times New Roman"/>
          <w:sz w:val="24"/>
        </w:rPr>
        <w:t xml:space="preserve"> – viena vai vairāku iepriekš noteiktu diskrētu </w:t>
      </w:r>
      <w:r>
        <w:rPr>
          <w:rFonts w:ascii="Times New Roman" w:hAnsi="Times New Roman"/>
          <w:i/>
          <w:iCs/>
          <w:sz w:val="24"/>
        </w:rPr>
        <w:t>m</w:t>
      </w:r>
      <w:r>
        <w:rPr>
          <w:rFonts w:ascii="Times New Roman" w:hAnsi="Times New Roman"/>
          <w:sz w:val="24"/>
        </w:rPr>
        <w:t>/</w:t>
      </w:r>
      <w:r>
        <w:rPr>
          <w:rFonts w:ascii="Times New Roman" w:hAnsi="Times New Roman"/>
          <w:i/>
          <w:iCs/>
          <w:sz w:val="24"/>
        </w:rPr>
        <w:t>z</w:t>
      </w:r>
      <w:r>
        <w:rPr>
          <w:rFonts w:ascii="Times New Roman" w:hAnsi="Times New Roman"/>
          <w:sz w:val="24"/>
        </w:rPr>
        <w:t xml:space="preserve"> vērtību jonu iegūšana noteiktiem aiztures laikiem.</w:t>
      </w:r>
    </w:p>
    <w:p w14:paraId="73FA3F04" w14:textId="77777777" w:rsidR="00BA38B6" w:rsidRDefault="00BA38B6" w:rsidP="002E77E9">
      <w:pPr>
        <w:jc w:val="both"/>
        <w:rPr>
          <w:rFonts w:ascii="Times New Roman" w:hAnsi="Times New Roman"/>
          <w:b/>
          <w:noProof/>
          <w:sz w:val="24"/>
        </w:rPr>
      </w:pPr>
    </w:p>
    <w:p w14:paraId="40724A75" w14:textId="6FA04EC1" w:rsidR="008306B3" w:rsidRPr="002E77E9" w:rsidRDefault="008306B3" w:rsidP="002E77E9">
      <w:pPr>
        <w:jc w:val="both"/>
        <w:rPr>
          <w:rFonts w:ascii="Times New Roman" w:hAnsi="Times New Roman"/>
          <w:noProof/>
          <w:sz w:val="24"/>
        </w:rPr>
      </w:pPr>
      <w:r>
        <w:rPr>
          <w:rFonts w:ascii="Times New Roman" w:hAnsi="Times New Roman"/>
          <w:b/>
          <w:bCs/>
          <w:sz w:val="24"/>
        </w:rPr>
        <w:t>Izvēlētās reakcijas kontrole (</w:t>
      </w:r>
      <w:r>
        <w:rPr>
          <w:rFonts w:ascii="Times New Roman" w:hAnsi="Times New Roman"/>
          <w:b/>
          <w:bCs/>
          <w:i/>
          <w:iCs/>
          <w:sz w:val="24"/>
        </w:rPr>
        <w:t>SRM</w:t>
      </w:r>
      <w:r>
        <w:rPr>
          <w:rFonts w:ascii="Times New Roman" w:hAnsi="Times New Roman"/>
          <w:b/>
          <w:bCs/>
          <w:sz w:val="24"/>
        </w:rPr>
        <w:t>)</w:t>
      </w:r>
      <w:r>
        <w:rPr>
          <w:rFonts w:ascii="Times New Roman" w:hAnsi="Times New Roman"/>
          <w:sz w:val="24"/>
        </w:rPr>
        <w:t xml:space="preserve"> – dati, kas iegūti no konkrētiem produkta joniem, kuri atbilst </w:t>
      </w:r>
      <w:r>
        <w:rPr>
          <w:rFonts w:ascii="Times New Roman" w:hAnsi="Times New Roman"/>
          <w:i/>
          <w:iCs/>
          <w:sz w:val="24"/>
        </w:rPr>
        <w:t>m</w:t>
      </w:r>
      <w:r>
        <w:rPr>
          <w:rFonts w:ascii="Times New Roman" w:hAnsi="Times New Roman"/>
          <w:sz w:val="24"/>
        </w:rPr>
        <w:t>/</w:t>
      </w:r>
      <w:r>
        <w:rPr>
          <w:rFonts w:ascii="Times New Roman" w:hAnsi="Times New Roman"/>
          <w:i/>
          <w:iCs/>
          <w:sz w:val="24"/>
        </w:rPr>
        <w:t>z</w:t>
      </w:r>
      <w:r>
        <w:rPr>
          <w:rFonts w:ascii="Times New Roman" w:hAnsi="Times New Roman"/>
          <w:sz w:val="24"/>
        </w:rPr>
        <w:t xml:space="preserve"> atlasītajiem prekursora joniem, kas reģistrēti divos vai vairākos masspektrometrijas posmos. </w:t>
      </w:r>
      <w:r>
        <w:rPr>
          <w:rFonts w:ascii="Times New Roman" w:hAnsi="Times New Roman"/>
          <w:i/>
          <w:iCs/>
          <w:sz w:val="24"/>
        </w:rPr>
        <w:t>SRM</w:t>
      </w:r>
      <w:r>
        <w:rPr>
          <w:rFonts w:ascii="Times New Roman" w:hAnsi="Times New Roman"/>
          <w:sz w:val="24"/>
        </w:rPr>
        <w:t xml:space="preserve"> var veikt kā tandēma masspektrometriju laikā vai tandēma masspektrometriju telpā.</w:t>
      </w:r>
    </w:p>
    <w:p w14:paraId="672057AD" w14:textId="77777777" w:rsidR="00BA38B6" w:rsidRDefault="00BA38B6" w:rsidP="002E77E9">
      <w:pPr>
        <w:jc w:val="both"/>
        <w:rPr>
          <w:rFonts w:ascii="Times New Roman" w:hAnsi="Times New Roman"/>
          <w:b/>
          <w:noProof/>
          <w:sz w:val="24"/>
        </w:rPr>
      </w:pPr>
    </w:p>
    <w:p w14:paraId="7B9F40E5" w14:textId="78657402" w:rsidR="008306B3" w:rsidRPr="002E77E9" w:rsidRDefault="008306B3" w:rsidP="002E77E9">
      <w:pPr>
        <w:jc w:val="both"/>
        <w:rPr>
          <w:rFonts w:ascii="Times New Roman" w:eastAsia="Verdana" w:hAnsi="Times New Roman" w:cs="Verdana"/>
          <w:noProof/>
          <w:sz w:val="24"/>
          <w:szCs w:val="20"/>
        </w:rPr>
      </w:pPr>
      <w:r>
        <w:rPr>
          <w:rFonts w:ascii="Times New Roman" w:hAnsi="Times New Roman"/>
          <w:b/>
          <w:sz w:val="24"/>
        </w:rPr>
        <w:t>Signāla/trokšņa (</w:t>
      </w:r>
      <w:r>
        <w:rPr>
          <w:rFonts w:ascii="Times New Roman" w:hAnsi="Times New Roman"/>
          <w:b/>
          <w:i/>
          <w:iCs/>
          <w:sz w:val="24"/>
        </w:rPr>
        <w:t>S/T</w:t>
      </w:r>
      <w:r>
        <w:rPr>
          <w:rFonts w:ascii="Times New Roman" w:hAnsi="Times New Roman"/>
          <w:b/>
          <w:sz w:val="24"/>
        </w:rPr>
        <w:t>) attiecība</w:t>
      </w:r>
      <w:r>
        <w:rPr>
          <w:rFonts w:ascii="Times New Roman" w:hAnsi="Times New Roman"/>
          <w:sz w:val="24"/>
        </w:rPr>
        <w:t> – instrumentu atbildes lielums uz analizējamo vielu (signāls) attiecībā pret fona lielumu (troksnis).</w:t>
      </w:r>
    </w:p>
    <w:p w14:paraId="27897B97" w14:textId="77777777" w:rsidR="008306B3" w:rsidRPr="002E77E9" w:rsidRDefault="008306B3" w:rsidP="002E77E9">
      <w:pPr>
        <w:jc w:val="both"/>
        <w:rPr>
          <w:rFonts w:ascii="Times New Roman" w:eastAsia="Verdana" w:hAnsi="Times New Roman" w:cs="Verdana"/>
          <w:noProof/>
          <w:sz w:val="24"/>
          <w:szCs w:val="20"/>
        </w:rPr>
      </w:pPr>
    </w:p>
    <w:p w14:paraId="605726FF" w14:textId="77777777" w:rsidR="008306B3" w:rsidRPr="002E77E9" w:rsidRDefault="008306B3" w:rsidP="002E77E9">
      <w:pPr>
        <w:jc w:val="both"/>
        <w:rPr>
          <w:rFonts w:ascii="Times New Roman" w:eastAsia="Verdana" w:hAnsi="Times New Roman" w:cs="Verdana"/>
          <w:noProof/>
          <w:sz w:val="24"/>
          <w:szCs w:val="20"/>
        </w:rPr>
      </w:pPr>
    </w:p>
    <w:p w14:paraId="0A7FE7FF" w14:textId="77777777" w:rsidR="008306B3" w:rsidRPr="002E77E9" w:rsidRDefault="008306B3" w:rsidP="002E77E9">
      <w:pPr>
        <w:jc w:val="both"/>
        <w:rPr>
          <w:rFonts w:ascii="Times New Roman" w:eastAsia="Verdana" w:hAnsi="Times New Roman" w:cs="Verdana"/>
          <w:noProof/>
          <w:sz w:val="24"/>
          <w:szCs w:val="29"/>
        </w:rPr>
      </w:pPr>
    </w:p>
    <w:p w14:paraId="67F3CF91" w14:textId="77777777" w:rsidR="008306B3" w:rsidRPr="002E77E9" w:rsidRDefault="008306B3" w:rsidP="002E77E9">
      <w:pPr>
        <w:jc w:val="both"/>
        <w:rPr>
          <w:rFonts w:ascii="Times New Roman" w:hAnsi="Times New Roman"/>
          <w:b/>
          <w:noProof/>
          <w:sz w:val="24"/>
        </w:rPr>
      </w:pPr>
      <w:r>
        <w:rPr>
          <w:rFonts w:ascii="Times New Roman" w:hAnsi="Times New Roman"/>
          <w:b/>
          <w:sz w:val="24"/>
        </w:rPr>
        <w:t>Pateicības</w:t>
      </w:r>
    </w:p>
    <w:p w14:paraId="7E934853" w14:textId="77777777" w:rsidR="00BA38B6" w:rsidRDefault="00BA38B6" w:rsidP="002E77E9">
      <w:pPr>
        <w:pStyle w:val="BodyText"/>
        <w:spacing w:before="0"/>
        <w:ind w:left="0"/>
        <w:jc w:val="both"/>
        <w:rPr>
          <w:rFonts w:ascii="Times New Roman" w:hAnsi="Times New Roman"/>
          <w:noProof/>
          <w:sz w:val="24"/>
        </w:rPr>
      </w:pPr>
    </w:p>
    <w:p w14:paraId="0F6ED4C8" w14:textId="5ED077DD" w:rsidR="008306B3" w:rsidRPr="002E77E9" w:rsidRDefault="008306B3" w:rsidP="002E77E9">
      <w:pPr>
        <w:pStyle w:val="BodyText"/>
        <w:spacing w:before="0"/>
        <w:ind w:left="0"/>
        <w:jc w:val="both"/>
        <w:rPr>
          <w:rFonts w:ascii="Times New Roman" w:hAnsi="Times New Roman"/>
          <w:noProof/>
          <w:sz w:val="24"/>
        </w:rPr>
      </w:pPr>
      <w:r>
        <w:rPr>
          <w:rFonts w:ascii="Times New Roman" w:hAnsi="Times New Roman"/>
          <w:i/>
          <w:iCs/>
          <w:sz w:val="24"/>
        </w:rPr>
        <w:t>WADA</w:t>
      </w:r>
      <w:r>
        <w:rPr>
          <w:rFonts w:ascii="Times New Roman" w:hAnsi="Times New Roman"/>
          <w:sz w:val="24"/>
        </w:rPr>
        <w:t xml:space="preserve"> laboratorijas ekspertu grupa vēlas pateikties </w:t>
      </w:r>
      <w:r>
        <w:rPr>
          <w:rFonts w:ascii="Times New Roman" w:hAnsi="Times New Roman"/>
          <w:i/>
          <w:iCs/>
          <w:sz w:val="24"/>
        </w:rPr>
        <w:t>WADA IDCR</w:t>
      </w:r>
      <w:r>
        <w:rPr>
          <w:rFonts w:ascii="Times New Roman" w:hAnsi="Times New Roman"/>
          <w:sz w:val="24"/>
        </w:rPr>
        <w:t xml:space="preserve"> darba grupas ekspertiem par viņu ieguldījumu šī tehniskā dokumenta izstrādē: Dr. Hosē A. Paskvālam [</w:t>
      </w:r>
      <w:r>
        <w:rPr>
          <w:rFonts w:ascii="Times New Roman" w:hAnsi="Times New Roman"/>
          <w:i/>
          <w:iCs/>
          <w:sz w:val="24"/>
        </w:rPr>
        <w:t>José A. Pascual</w:t>
      </w:r>
      <w:r>
        <w:rPr>
          <w:rFonts w:ascii="Times New Roman" w:hAnsi="Times New Roman"/>
          <w:sz w:val="24"/>
        </w:rPr>
        <w:t>], Prof. Mario Tēvisam [</w:t>
      </w:r>
      <w:r>
        <w:rPr>
          <w:rFonts w:ascii="Times New Roman" w:hAnsi="Times New Roman"/>
          <w:i/>
          <w:iCs/>
          <w:sz w:val="24"/>
        </w:rPr>
        <w:t>Mario Thevis</w:t>
      </w:r>
      <w:r>
        <w:rPr>
          <w:rFonts w:ascii="Times New Roman" w:hAnsi="Times New Roman"/>
          <w:sz w:val="24"/>
        </w:rPr>
        <w:t>], Prof. Pēteram van Ēno [</w:t>
      </w:r>
      <w:r>
        <w:rPr>
          <w:rFonts w:ascii="Times New Roman" w:hAnsi="Times New Roman"/>
          <w:i/>
          <w:iCs/>
          <w:sz w:val="24"/>
        </w:rPr>
        <w:t>Peter van Eenoo]</w:t>
      </w:r>
      <w:r>
        <w:rPr>
          <w:rFonts w:ascii="Times New Roman" w:hAnsi="Times New Roman"/>
          <w:sz w:val="24"/>
        </w:rPr>
        <w:t xml:space="preserve"> un Dr. Terensam Vanam [</w:t>
      </w:r>
      <w:r>
        <w:rPr>
          <w:rFonts w:ascii="Times New Roman" w:hAnsi="Times New Roman"/>
          <w:i/>
          <w:iCs/>
          <w:sz w:val="24"/>
        </w:rPr>
        <w:t>Terence Wan</w:t>
      </w:r>
      <w:r>
        <w:rPr>
          <w:rFonts w:ascii="Times New Roman" w:hAnsi="Times New Roman"/>
          <w:sz w:val="24"/>
        </w:rPr>
        <w:t>].</w:t>
      </w:r>
    </w:p>
    <w:sectPr w:rsidR="008306B3" w:rsidRPr="002E77E9" w:rsidSect="002E77E9">
      <w:headerReference w:type="default" r:id="rId8"/>
      <w:footerReference w:type="default" r:id="rId9"/>
      <w:headerReference w:type="first" r:id="rId10"/>
      <w:footerReference w:type="first" r:id="rId11"/>
      <w:pgSz w:w="11907" w:h="16840" w:code="9"/>
      <w:pgMar w:top="1134" w:right="1134" w:bottom="1134" w:left="1701" w:header="567"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F5DEF6" w14:textId="77777777" w:rsidR="006429BA" w:rsidRPr="008306B3" w:rsidRDefault="00BA38B6">
      <w:pPr>
        <w:rPr>
          <w:noProof/>
        </w:rPr>
      </w:pPr>
      <w:r w:rsidRPr="008306B3">
        <w:rPr>
          <w:noProof/>
        </w:rPr>
        <w:separator/>
      </w:r>
    </w:p>
  </w:endnote>
  <w:endnote w:type="continuationSeparator" w:id="0">
    <w:p w14:paraId="181FC1D7" w14:textId="77777777" w:rsidR="006429BA" w:rsidRPr="008306B3" w:rsidRDefault="00BA38B6">
      <w:pPr>
        <w:rPr>
          <w:noProof/>
        </w:rPr>
      </w:pPr>
      <w:r w:rsidRPr="008306B3">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8F462" w14:textId="4A3A4254" w:rsidR="00604C0C" w:rsidRPr="00604C0C" w:rsidRDefault="00604C0C" w:rsidP="00604C0C">
    <w:pPr>
      <w:pStyle w:val="Header"/>
      <w:tabs>
        <w:tab w:val="left" w:pos="9072"/>
      </w:tabs>
      <w:rPr>
        <w:rStyle w:val="PageNumber"/>
        <w:rFonts w:ascii="Times New Roman" w:hAnsi="Times New Roman" w:cs="Times New Roman"/>
        <w:sz w:val="20"/>
        <w:szCs w:val="18"/>
      </w:rPr>
    </w:pPr>
  </w:p>
  <w:p w14:paraId="343436BC" w14:textId="1A0FF3D0" w:rsidR="00604C0C" w:rsidRPr="00604C0C" w:rsidRDefault="00604C0C" w:rsidP="00604C0C">
    <w:pPr>
      <w:pStyle w:val="Header"/>
      <w:tabs>
        <w:tab w:val="clear" w:pos="4513"/>
        <w:tab w:val="clear" w:pos="9026"/>
        <w:tab w:val="right" w:leader="underscore" w:pos="9072"/>
      </w:tabs>
      <w:rPr>
        <w:rStyle w:val="PageNumber"/>
        <w:rFonts w:ascii="Times New Roman" w:hAnsi="Times New Roman" w:cs="Times New Roman"/>
        <w:sz w:val="20"/>
        <w:szCs w:val="18"/>
      </w:rPr>
    </w:pPr>
    <w:r w:rsidRPr="00604C0C">
      <w:rPr>
        <w:rStyle w:val="PageNumber"/>
        <w:rFonts w:ascii="Times New Roman" w:hAnsi="Times New Roman" w:cs="Times New Roman"/>
        <w:sz w:val="20"/>
        <w:szCs w:val="18"/>
      </w:rPr>
      <w:tab/>
    </w:r>
  </w:p>
  <w:p w14:paraId="522489C3" w14:textId="77777777" w:rsidR="00604C0C" w:rsidRPr="00604C0C" w:rsidRDefault="00604C0C" w:rsidP="00604C0C">
    <w:pPr>
      <w:pStyle w:val="Header"/>
      <w:tabs>
        <w:tab w:val="right" w:pos="9072"/>
      </w:tabs>
      <w:rPr>
        <w:rStyle w:val="PageNumber"/>
        <w:rFonts w:ascii="Times New Roman" w:hAnsi="Times New Roman" w:cs="Times New Roman"/>
        <w:sz w:val="20"/>
        <w:szCs w:val="18"/>
      </w:rPr>
    </w:pPr>
  </w:p>
  <w:p w14:paraId="5EC5D1E8" w14:textId="77777777" w:rsidR="00604C0C" w:rsidRPr="00604C0C" w:rsidRDefault="00604C0C" w:rsidP="00604C0C">
    <w:pPr>
      <w:pStyle w:val="Footer"/>
      <w:tabs>
        <w:tab w:val="clear" w:pos="4513"/>
        <w:tab w:val="clear" w:pos="9026"/>
        <w:tab w:val="center" w:pos="9072"/>
      </w:tabs>
      <w:rPr>
        <w:rFonts w:ascii="Times New Roman" w:hAnsi="Times New Roman" w:cs="Times New Roman"/>
        <w:sz w:val="20"/>
        <w:szCs w:val="18"/>
      </w:rPr>
    </w:pPr>
    <w:r w:rsidRPr="00604C0C">
      <w:rPr>
        <w:rFonts w:ascii="Times New Roman" w:hAnsi="Times New Roman" w:cs="Times New Roman"/>
        <w:noProof/>
        <w:sz w:val="20"/>
        <w:szCs w:val="18"/>
      </w:rPr>
      <w:t xml:space="preserve">Tulkojums </w:t>
    </w:r>
    <w:r w:rsidRPr="00604C0C">
      <w:rPr>
        <w:rFonts w:ascii="Times New Roman" w:hAnsi="Times New Roman" w:cs="Times New Roman"/>
        <w:noProof/>
        <w:sz w:val="20"/>
        <w:szCs w:val="18"/>
      </w:rPr>
      <w:fldChar w:fldCharType="begin"/>
    </w:r>
    <w:r w:rsidRPr="00604C0C">
      <w:rPr>
        <w:rFonts w:ascii="Times New Roman" w:hAnsi="Times New Roman" w:cs="Times New Roman"/>
        <w:noProof/>
        <w:sz w:val="20"/>
        <w:szCs w:val="18"/>
      </w:rPr>
      <w:instrText>symbol 211 \f "Symbol" \s 9</w:instrText>
    </w:r>
    <w:r w:rsidRPr="00604C0C">
      <w:rPr>
        <w:rFonts w:ascii="Times New Roman" w:hAnsi="Times New Roman" w:cs="Times New Roman"/>
        <w:noProof/>
        <w:sz w:val="20"/>
        <w:szCs w:val="18"/>
      </w:rPr>
      <w:fldChar w:fldCharType="separate"/>
    </w:r>
    <w:r w:rsidRPr="00604C0C">
      <w:rPr>
        <w:rFonts w:ascii="Times New Roman" w:hAnsi="Times New Roman" w:cs="Times New Roman"/>
        <w:noProof/>
        <w:sz w:val="20"/>
        <w:szCs w:val="18"/>
      </w:rPr>
      <w:t>Ó</w:t>
    </w:r>
    <w:r w:rsidRPr="00604C0C">
      <w:rPr>
        <w:rFonts w:ascii="Times New Roman" w:hAnsi="Times New Roman" w:cs="Times New Roman"/>
        <w:noProof/>
        <w:sz w:val="20"/>
        <w:szCs w:val="18"/>
      </w:rPr>
      <w:fldChar w:fldCharType="end"/>
    </w:r>
    <w:r w:rsidRPr="00604C0C">
      <w:rPr>
        <w:rFonts w:ascii="Times New Roman" w:hAnsi="Times New Roman" w:cs="Times New Roman"/>
        <w:noProof/>
        <w:sz w:val="20"/>
        <w:szCs w:val="18"/>
      </w:rPr>
      <w:t xml:space="preserve"> Valsts valodas centrs, 2020</w:t>
    </w:r>
    <w:r w:rsidRPr="00604C0C">
      <w:rPr>
        <w:rFonts w:ascii="Times New Roman" w:hAnsi="Times New Roman" w:cs="Times New Roman"/>
        <w:sz w:val="20"/>
        <w:szCs w:val="18"/>
      </w:rPr>
      <w:tab/>
    </w:r>
    <w:r w:rsidRPr="00604C0C">
      <w:rPr>
        <w:rStyle w:val="PageNumber"/>
        <w:rFonts w:ascii="Times New Roman" w:hAnsi="Times New Roman" w:cs="Times New Roman"/>
        <w:sz w:val="20"/>
        <w:szCs w:val="18"/>
      </w:rPr>
      <w:fldChar w:fldCharType="begin"/>
    </w:r>
    <w:r w:rsidRPr="00604C0C">
      <w:rPr>
        <w:rStyle w:val="PageNumber"/>
        <w:rFonts w:ascii="Times New Roman" w:hAnsi="Times New Roman" w:cs="Times New Roman"/>
        <w:sz w:val="20"/>
        <w:szCs w:val="18"/>
      </w:rPr>
      <w:instrText xml:space="preserve">page </w:instrText>
    </w:r>
    <w:r w:rsidRPr="00604C0C">
      <w:rPr>
        <w:rStyle w:val="PageNumber"/>
        <w:rFonts w:ascii="Times New Roman" w:hAnsi="Times New Roman" w:cs="Times New Roman"/>
        <w:sz w:val="20"/>
        <w:szCs w:val="18"/>
      </w:rPr>
      <w:fldChar w:fldCharType="separate"/>
    </w:r>
    <w:r w:rsidRPr="00604C0C">
      <w:rPr>
        <w:rStyle w:val="PageNumber"/>
        <w:rFonts w:ascii="Times New Roman" w:hAnsi="Times New Roman" w:cs="Times New Roman"/>
        <w:sz w:val="20"/>
        <w:szCs w:val="18"/>
      </w:rPr>
      <w:t>2</w:t>
    </w:r>
    <w:r w:rsidRPr="00604C0C">
      <w:rPr>
        <w:rStyle w:val="PageNumber"/>
        <w:rFonts w:ascii="Times New Roman" w:hAnsi="Times New Roman" w:cs="Times New Roman"/>
        <w:sz w:val="20"/>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C01BEA" w14:textId="77777777" w:rsidR="00604C0C" w:rsidRPr="00604C0C" w:rsidRDefault="00604C0C" w:rsidP="00604C0C">
    <w:pPr>
      <w:pStyle w:val="Header"/>
      <w:tabs>
        <w:tab w:val="left" w:pos="9072"/>
      </w:tabs>
      <w:rPr>
        <w:rStyle w:val="PageNumber"/>
        <w:rFonts w:ascii="Times New Roman" w:hAnsi="Times New Roman" w:cs="Times New Roman"/>
        <w:sz w:val="20"/>
        <w:szCs w:val="20"/>
      </w:rPr>
    </w:pPr>
    <w:bookmarkStart w:id="14" w:name="_Hlk496261764"/>
    <w:bookmarkStart w:id="15" w:name="_Hlk496261765"/>
    <w:bookmarkStart w:id="16" w:name="_Hlk496261766"/>
    <w:bookmarkStart w:id="17" w:name="_Hlk30491075"/>
    <w:bookmarkStart w:id="18" w:name="_Hlk30491076"/>
  </w:p>
  <w:p w14:paraId="6DFB96B4" w14:textId="550523AF" w:rsidR="00604C0C" w:rsidRPr="00604C0C" w:rsidRDefault="00604C0C" w:rsidP="00604C0C">
    <w:pPr>
      <w:pStyle w:val="Header"/>
      <w:tabs>
        <w:tab w:val="clear" w:pos="4513"/>
        <w:tab w:val="clear" w:pos="9026"/>
        <w:tab w:val="left" w:leader="underscore" w:pos="9072"/>
      </w:tabs>
      <w:rPr>
        <w:rStyle w:val="PageNumber"/>
        <w:rFonts w:ascii="Times New Roman" w:hAnsi="Times New Roman" w:cs="Times New Roman"/>
        <w:sz w:val="20"/>
        <w:szCs w:val="20"/>
      </w:rPr>
    </w:pPr>
    <w:r w:rsidRPr="00604C0C">
      <w:rPr>
        <w:rStyle w:val="PageNumber"/>
        <w:rFonts w:ascii="Times New Roman" w:hAnsi="Times New Roman" w:cs="Times New Roman"/>
        <w:sz w:val="20"/>
        <w:szCs w:val="20"/>
      </w:rPr>
      <w:tab/>
    </w:r>
  </w:p>
  <w:p w14:paraId="67D16828" w14:textId="77777777" w:rsidR="00604C0C" w:rsidRPr="00604C0C" w:rsidRDefault="00604C0C" w:rsidP="00604C0C">
    <w:pPr>
      <w:pStyle w:val="Header"/>
      <w:tabs>
        <w:tab w:val="left" w:pos="9072"/>
      </w:tabs>
      <w:rPr>
        <w:rStyle w:val="PageNumber"/>
        <w:rFonts w:ascii="Times New Roman" w:hAnsi="Times New Roman" w:cs="Times New Roman"/>
        <w:sz w:val="20"/>
        <w:szCs w:val="20"/>
      </w:rPr>
    </w:pPr>
  </w:p>
  <w:p w14:paraId="6795AE9B" w14:textId="77777777" w:rsidR="00604C0C" w:rsidRPr="00604C0C" w:rsidRDefault="00604C0C" w:rsidP="00604C0C">
    <w:pPr>
      <w:pStyle w:val="Footer"/>
      <w:rPr>
        <w:rFonts w:ascii="Times New Roman" w:hAnsi="Times New Roman" w:cs="Times New Roman"/>
        <w:sz w:val="20"/>
        <w:szCs w:val="20"/>
      </w:rPr>
    </w:pPr>
    <w:r w:rsidRPr="00604C0C">
      <w:rPr>
        <w:rFonts w:ascii="Times New Roman" w:hAnsi="Times New Roman" w:cs="Times New Roman"/>
        <w:noProof/>
        <w:sz w:val="20"/>
        <w:szCs w:val="20"/>
      </w:rPr>
      <w:t xml:space="preserve">Tulkojums </w:t>
    </w:r>
    <w:r w:rsidRPr="00604C0C">
      <w:rPr>
        <w:rFonts w:ascii="Times New Roman" w:hAnsi="Times New Roman" w:cs="Times New Roman"/>
        <w:noProof/>
        <w:sz w:val="20"/>
        <w:szCs w:val="20"/>
      </w:rPr>
      <w:fldChar w:fldCharType="begin"/>
    </w:r>
    <w:r w:rsidRPr="00604C0C">
      <w:rPr>
        <w:rFonts w:ascii="Times New Roman" w:hAnsi="Times New Roman" w:cs="Times New Roman"/>
        <w:noProof/>
        <w:sz w:val="20"/>
        <w:szCs w:val="20"/>
      </w:rPr>
      <w:instrText>symbol 211 \f "Symbol" \s 9</w:instrText>
    </w:r>
    <w:r w:rsidRPr="00604C0C">
      <w:rPr>
        <w:rFonts w:ascii="Times New Roman" w:hAnsi="Times New Roman" w:cs="Times New Roman"/>
        <w:noProof/>
        <w:sz w:val="20"/>
        <w:szCs w:val="20"/>
      </w:rPr>
      <w:fldChar w:fldCharType="separate"/>
    </w:r>
    <w:r w:rsidRPr="00604C0C">
      <w:rPr>
        <w:rFonts w:ascii="Times New Roman" w:hAnsi="Times New Roman" w:cs="Times New Roman"/>
        <w:noProof/>
        <w:sz w:val="20"/>
        <w:szCs w:val="20"/>
      </w:rPr>
      <w:t>Ó</w:t>
    </w:r>
    <w:r w:rsidRPr="00604C0C">
      <w:rPr>
        <w:rFonts w:ascii="Times New Roman" w:hAnsi="Times New Roman" w:cs="Times New Roman"/>
        <w:noProof/>
        <w:sz w:val="20"/>
        <w:szCs w:val="20"/>
      </w:rPr>
      <w:fldChar w:fldCharType="end"/>
    </w:r>
    <w:r w:rsidRPr="00604C0C">
      <w:rPr>
        <w:rFonts w:ascii="Times New Roman" w:hAnsi="Times New Roman" w:cs="Times New Roman"/>
        <w:noProof/>
        <w:sz w:val="20"/>
        <w:szCs w:val="20"/>
      </w:rPr>
      <w:t xml:space="preserve"> Valsts valodas centrs, 20</w:t>
    </w:r>
    <w:bookmarkEnd w:id="14"/>
    <w:bookmarkEnd w:id="15"/>
    <w:bookmarkEnd w:id="16"/>
    <w:r w:rsidRPr="00604C0C">
      <w:rPr>
        <w:rFonts w:ascii="Times New Roman" w:hAnsi="Times New Roman" w:cs="Times New Roman"/>
        <w:noProof/>
        <w:sz w:val="20"/>
        <w:szCs w:val="20"/>
      </w:rPr>
      <w:t>20</w:t>
    </w:r>
    <w:bookmarkEnd w:id="17"/>
    <w:bookmarkEnd w:id="1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8BA080" w14:textId="77777777" w:rsidR="006429BA" w:rsidRPr="008306B3" w:rsidRDefault="00BA38B6">
      <w:pPr>
        <w:rPr>
          <w:noProof/>
        </w:rPr>
      </w:pPr>
      <w:r w:rsidRPr="008306B3">
        <w:rPr>
          <w:noProof/>
        </w:rPr>
        <w:separator/>
      </w:r>
    </w:p>
  </w:footnote>
  <w:footnote w:type="continuationSeparator" w:id="0">
    <w:p w14:paraId="56E0478C" w14:textId="77777777" w:rsidR="006429BA" w:rsidRPr="008306B3" w:rsidRDefault="00BA38B6">
      <w:pPr>
        <w:rPr>
          <w:noProof/>
        </w:rPr>
      </w:pPr>
      <w:r w:rsidRPr="008306B3">
        <w:rPr>
          <w:noProof/>
        </w:rPr>
        <w:continuationSeparator/>
      </w:r>
    </w:p>
  </w:footnote>
  <w:footnote w:id="1">
    <w:p w14:paraId="2C2F49F7" w14:textId="5F4D12E1" w:rsidR="00AF1804" w:rsidRPr="00AF1804" w:rsidRDefault="00AF1804" w:rsidP="00AF1804">
      <w:pPr>
        <w:pStyle w:val="FootnoteText"/>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Kritērijs “atkarībā no tā, kurš ir lielāks” var radīt </w:t>
      </w:r>
      <w:r>
        <w:rPr>
          <w:rFonts w:ascii="Times New Roman" w:hAnsi="Times New Roman"/>
          <w:i/>
          <w:iCs/>
        </w:rPr>
        <w:t>RT</w:t>
      </w:r>
      <w:r>
        <w:rPr>
          <w:rFonts w:ascii="Times New Roman" w:hAnsi="Times New Roman"/>
        </w:rPr>
        <w:t xml:space="preserve"> starpību (</w:t>
      </w:r>
      <w:r>
        <w:rPr>
          <w:rFonts w:ascii="Times New Roman" w:hAnsi="Times New Roman"/>
          <w:i/>
          <w:iCs/>
        </w:rPr>
        <w:t>ΔRT</w:t>
      </w:r>
      <w:r>
        <w:rPr>
          <w:rFonts w:ascii="Times New Roman" w:hAnsi="Times New Roman"/>
        </w:rPr>
        <w:t xml:space="preserve">), kas ir nereāli liela šaurām hromatogrāfiskām smailēm (piemēram, </w:t>
      </w:r>
      <w:r>
        <w:rPr>
          <w:rFonts w:ascii="Times New Roman" w:hAnsi="Times New Roman"/>
          <w:i/>
          <w:iCs/>
        </w:rPr>
        <w:t>UHPLC</w:t>
      </w:r>
      <w:r>
        <w:rPr>
          <w:rFonts w:ascii="Times New Roman" w:hAnsi="Times New Roman"/>
        </w:rPr>
        <w:t xml:space="preserve"> ar </w:t>
      </w:r>
      <w:r>
        <w:rPr>
          <w:rFonts w:ascii="Times New Roman" w:hAnsi="Times New Roman"/>
          <w:i/>
          <w:iCs/>
        </w:rPr>
        <w:t>FWHM</w:t>
      </w:r>
      <w:r>
        <w:rPr>
          <w:rFonts w:ascii="Times New Roman" w:hAnsi="Times New Roman"/>
        </w:rPr>
        <w:t xml:space="preserve">, kas vienāds ar 1 s). Tā kā jebkurš </w:t>
      </w:r>
      <w:r>
        <w:rPr>
          <w:rFonts w:ascii="Times New Roman" w:hAnsi="Times New Roman"/>
          <w:i/>
          <w:iCs/>
        </w:rPr>
        <w:t>ΔRT</w:t>
      </w:r>
      <w:r>
        <w:rPr>
          <w:rFonts w:ascii="Times New Roman" w:hAnsi="Times New Roman"/>
        </w:rPr>
        <w:t xml:space="preserve">, kas lielāks par </w:t>
      </w:r>
      <w:r>
        <w:rPr>
          <w:rFonts w:ascii="Times New Roman" w:hAnsi="Times New Roman"/>
          <w:i/>
          <w:iCs/>
        </w:rPr>
        <w:t>FWHM</w:t>
      </w:r>
      <w:r>
        <w:rPr>
          <w:rFonts w:ascii="Times New Roman" w:hAnsi="Times New Roman"/>
        </w:rPr>
        <w:t xml:space="preserve">, parasti netiek uzskatīts par atbilstošu </w:t>
      </w:r>
      <w:r>
        <w:rPr>
          <w:rFonts w:ascii="Times New Roman" w:hAnsi="Times New Roman"/>
          <w:i/>
          <w:iCs/>
        </w:rPr>
        <w:t>RT</w:t>
      </w:r>
      <w:r>
        <w:rPr>
          <w:rFonts w:ascii="Times New Roman" w:hAnsi="Times New Roman"/>
        </w:rPr>
        <w:t xml:space="preserve">, tad maksimālo </w:t>
      </w:r>
      <w:r>
        <w:rPr>
          <w:rFonts w:ascii="Times New Roman" w:hAnsi="Times New Roman"/>
          <w:i/>
          <w:iCs/>
        </w:rPr>
        <w:t>ΔRT</w:t>
      </w:r>
      <w:r>
        <w:rPr>
          <w:rFonts w:ascii="Times New Roman" w:hAnsi="Times New Roman"/>
        </w:rPr>
        <w:t xml:space="preserve"> nosaka atsauces smailes </w:t>
      </w:r>
      <w:r>
        <w:rPr>
          <w:rFonts w:ascii="Times New Roman" w:hAnsi="Times New Roman"/>
          <w:i/>
          <w:iCs/>
        </w:rPr>
        <w:t>FWHM</w:t>
      </w:r>
      <w:r>
        <w:rPr>
          <w:rFonts w:ascii="Times New Roman" w:hAnsi="Times New Roman"/>
        </w:rPr>
        <w:t xml:space="preserve"> kontrolparaugā, </w:t>
      </w:r>
      <w:r>
        <w:rPr>
          <w:rFonts w:ascii="Times New Roman" w:hAnsi="Times New Roman"/>
          <w:u w:val="single"/>
        </w:rPr>
        <w:t>atsauces kolekcijas</w:t>
      </w:r>
      <w:r>
        <w:rPr>
          <w:rFonts w:ascii="Times New Roman" w:hAnsi="Times New Roman"/>
        </w:rPr>
        <w:t xml:space="preserve"> paraugā vai </w:t>
      </w:r>
      <w:r>
        <w:rPr>
          <w:rFonts w:ascii="Times New Roman" w:hAnsi="Times New Roman"/>
          <w:u w:val="single"/>
        </w:rPr>
        <w:t>atsauces materiālā</w:t>
      </w:r>
      <w:r>
        <w:rPr>
          <w:rFonts w:ascii="Times New Roman" w:hAnsi="Times New Roman"/>
        </w:rPr>
        <w:t>.</w:t>
      </w:r>
    </w:p>
  </w:footnote>
  <w:footnote w:id="2">
    <w:p w14:paraId="5929573A" w14:textId="742556E9" w:rsidR="00AF1804" w:rsidRPr="00AF1804" w:rsidRDefault="00AF1804" w:rsidP="00AF1804">
      <w:pPr>
        <w:pStyle w:val="BodyText"/>
        <w:spacing w:before="0"/>
        <w:ind w:left="0"/>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Galvenās smailes jons ir visizplatītākais diagnostikas jons, kas iegūts no pozitīva kontroles urīna, </w:t>
      </w:r>
      <w:r>
        <w:rPr>
          <w:rFonts w:ascii="Times New Roman" w:hAnsi="Times New Roman"/>
          <w:sz w:val="20"/>
          <w:u w:val="single"/>
        </w:rPr>
        <w:t>atsauces kolekcijas</w:t>
      </w:r>
      <w:r>
        <w:rPr>
          <w:rFonts w:ascii="Times New Roman" w:hAnsi="Times New Roman"/>
          <w:sz w:val="20"/>
        </w:rPr>
        <w:t xml:space="preserve"> parauga vai </w:t>
      </w:r>
      <w:r>
        <w:rPr>
          <w:rFonts w:ascii="Times New Roman" w:hAnsi="Times New Roman"/>
          <w:sz w:val="20"/>
          <w:u w:val="single"/>
        </w:rPr>
        <w:t>atsauces materiāla</w:t>
      </w:r>
      <w:r>
        <w:rPr>
          <w:rFonts w:ascii="Times New Roman" w:hAnsi="Times New Roman"/>
          <w:sz w:val="20"/>
        </w:rPr>
        <w:t xml:space="preserve">. Šo atsauces galvenās smailes jonu piemēro arī, lai aprēķinātu relatīvo izplatību, izmantojot </w:t>
      </w:r>
      <w:r>
        <w:rPr>
          <w:rFonts w:ascii="Times New Roman" w:hAnsi="Times New Roman"/>
          <w:i/>
          <w:iCs/>
          <w:sz w:val="20"/>
        </w:rPr>
        <w:t>parauga</w:t>
      </w:r>
      <w:r>
        <w:rPr>
          <w:rFonts w:ascii="Times New Roman" w:hAnsi="Times New Roman"/>
          <w:sz w:val="20"/>
        </w:rPr>
        <w:t xml:space="preserve"> hromatogrammu, pat ja tas neveido galvenās smailes jonu </w:t>
      </w:r>
      <w:r>
        <w:rPr>
          <w:rFonts w:ascii="Times New Roman" w:hAnsi="Times New Roman"/>
          <w:i/>
          <w:iCs/>
          <w:sz w:val="20"/>
        </w:rPr>
        <w:t>paraugā</w:t>
      </w:r>
      <w:r>
        <w:rPr>
          <w:rFonts w:ascii="Times New Roman" w:hAnsi="Times New Roman"/>
          <w:sz w:val="20"/>
        </w:rPr>
        <w:t>.</w:t>
      </w:r>
    </w:p>
  </w:footnote>
  <w:footnote w:id="3">
    <w:p w14:paraId="1127D5C8" w14:textId="07E4849A" w:rsidR="00AF1804" w:rsidRPr="00AF1804" w:rsidRDefault="00AF1804" w:rsidP="00AF1804">
      <w:pPr>
        <w:pStyle w:val="BodyText"/>
        <w:tabs>
          <w:tab w:val="left" w:pos="418"/>
        </w:tabs>
        <w:spacing w:before="0"/>
        <w:ind w:left="0"/>
        <w:jc w:val="both"/>
        <w:rPr>
          <w:rFonts w:ascii="Times New Roman" w:eastAsia="Times New Roman" w:hAnsi="Times New Roman" w:cs="Times New Roman"/>
          <w:noProof/>
          <w:sz w:val="20"/>
          <w:szCs w:val="20"/>
        </w:rPr>
      </w:pPr>
      <w:r>
        <w:rPr>
          <w:rStyle w:val="FootnoteReference"/>
          <w:rFonts w:ascii="Times New Roman" w:hAnsi="Times New Roman" w:cs="Times New Roman"/>
          <w:sz w:val="20"/>
          <w:szCs w:val="20"/>
        </w:rPr>
        <w:footnoteRef/>
      </w:r>
      <w:r>
        <w:rPr>
          <w:rFonts w:ascii="Times New Roman" w:hAnsi="Times New Roman"/>
          <w:sz w:val="20"/>
        </w:rPr>
        <w:t xml:space="preserve"> Cita disociācijas metode var būt, piemēram, MS</w:t>
      </w:r>
      <w:r>
        <w:rPr>
          <w:rFonts w:ascii="Times New Roman" w:hAnsi="Times New Roman"/>
          <w:sz w:val="20"/>
          <w:vertAlign w:val="superscript"/>
        </w:rPr>
        <w:t>3</w:t>
      </w:r>
      <w:r>
        <w:rPr>
          <w:rFonts w:ascii="Times New Roman" w:hAnsi="Times New Roman"/>
          <w:sz w:val="20"/>
        </w:rPr>
        <w:t xml:space="preserve"> izmantošana MS</w:t>
      </w:r>
      <w:r>
        <w:rPr>
          <w:rFonts w:ascii="Times New Roman" w:hAnsi="Times New Roman"/>
          <w:sz w:val="20"/>
          <w:vertAlign w:val="superscript"/>
        </w:rPr>
        <w:t>2</w:t>
      </w:r>
      <w:r>
        <w:rPr>
          <w:rFonts w:ascii="Times New Roman" w:hAnsi="Times New Roman"/>
          <w:sz w:val="20"/>
        </w:rPr>
        <w:t xml:space="preserve"> vietā vai elektronu satveres disociācijas (</w:t>
      </w:r>
      <w:r>
        <w:rPr>
          <w:rFonts w:ascii="Times New Roman" w:hAnsi="Times New Roman"/>
          <w:i/>
          <w:iCs/>
          <w:sz w:val="20"/>
        </w:rPr>
        <w:t>ECD</w:t>
      </w:r>
      <w:r>
        <w:rPr>
          <w:rFonts w:ascii="Times New Roman" w:hAnsi="Times New Roman"/>
          <w:sz w:val="20"/>
        </w:rPr>
        <w:t>) vai elektronu pārneses disociācijas (</w:t>
      </w:r>
      <w:r>
        <w:rPr>
          <w:rFonts w:ascii="Times New Roman" w:hAnsi="Times New Roman"/>
          <w:i/>
          <w:iCs/>
          <w:sz w:val="20"/>
        </w:rPr>
        <w:t>ETD</w:t>
      </w:r>
      <w:r>
        <w:rPr>
          <w:rFonts w:ascii="Times New Roman" w:hAnsi="Times New Roman"/>
          <w:sz w:val="20"/>
        </w:rPr>
        <w:t>) izmantošana sadursmes ierosinātas disociācijas (</w:t>
      </w:r>
      <w:r>
        <w:rPr>
          <w:rFonts w:ascii="Times New Roman" w:hAnsi="Times New Roman"/>
          <w:i/>
          <w:iCs/>
          <w:sz w:val="20"/>
        </w:rPr>
        <w:t>CID</w:t>
      </w:r>
      <w:r>
        <w:rPr>
          <w:rFonts w:ascii="Times New Roman" w:hAnsi="Times New Roman"/>
          <w:sz w:val="20"/>
        </w:rPr>
        <w:t>) vietā.</w:t>
      </w:r>
    </w:p>
  </w:footnote>
  <w:footnote w:id="4">
    <w:p w14:paraId="20252BA9" w14:textId="17A6068F" w:rsidR="00AF1804" w:rsidRPr="00AF1804" w:rsidRDefault="00AF1804" w:rsidP="00AF1804">
      <w:pPr>
        <w:pStyle w:val="BodyText"/>
        <w:tabs>
          <w:tab w:val="left" w:pos="419"/>
        </w:tabs>
        <w:spacing w:before="0"/>
        <w:ind w:left="0"/>
        <w:jc w:val="both"/>
        <w:rPr>
          <w:rFonts w:ascii="Times New Roman" w:hAnsi="Times New Roman"/>
          <w:noProof/>
          <w:sz w:val="24"/>
        </w:rPr>
      </w:pPr>
      <w:r>
        <w:rPr>
          <w:rStyle w:val="FootnoteReference"/>
          <w:rFonts w:ascii="Times New Roman" w:hAnsi="Times New Roman" w:cs="Times New Roman"/>
          <w:sz w:val="20"/>
          <w:szCs w:val="20"/>
        </w:rPr>
        <w:footnoteRef/>
      </w:r>
      <w:r>
        <w:rPr>
          <w:rFonts w:ascii="Times New Roman" w:hAnsi="Times New Roman"/>
          <w:sz w:val="20"/>
        </w:rPr>
        <w:t xml:space="preserve"> Derīgs paskaidrojums varētu būt, piemēram, skaidrs pierādījums, ka vienu no primāri konstatētajiem joniem ietekmē daļēji līdzskalota viela.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57482" w14:textId="77777777" w:rsidR="00604C0C" w:rsidRPr="00604C0C" w:rsidRDefault="00604C0C" w:rsidP="00604C0C">
    <w:pPr>
      <w:pStyle w:val="Header"/>
      <w:rPr>
        <w:rStyle w:val="PageNumber"/>
        <w:rFonts w:ascii="Times New Roman" w:hAnsi="Times New Roman" w:cs="Times New Roman"/>
        <w:sz w:val="20"/>
        <w:szCs w:val="20"/>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70F3485C" w14:textId="4664A373" w:rsidR="00604C0C" w:rsidRPr="00604C0C" w:rsidRDefault="00604C0C" w:rsidP="00604C0C">
    <w:pPr>
      <w:pStyle w:val="Header"/>
      <w:tabs>
        <w:tab w:val="clear" w:pos="4513"/>
        <w:tab w:val="clear" w:pos="9026"/>
        <w:tab w:val="right" w:leader="underscore" w:pos="9072"/>
      </w:tabs>
      <w:rPr>
        <w:rStyle w:val="PageNumber"/>
        <w:rFonts w:ascii="Times New Roman" w:hAnsi="Times New Roman" w:cs="Times New Roman"/>
        <w:sz w:val="20"/>
        <w:szCs w:val="20"/>
      </w:rPr>
    </w:pPr>
    <w:r w:rsidRPr="00604C0C">
      <w:rPr>
        <w:rStyle w:val="PageNumber"/>
        <w:rFonts w:ascii="Times New Roman" w:hAnsi="Times New Roman" w:cs="Times New Roman"/>
        <w:sz w:val="20"/>
        <w:szCs w:val="20"/>
      </w:rPr>
      <w:tab/>
    </w:r>
  </w:p>
  <w:bookmarkEnd w:id="0"/>
  <w:bookmarkEnd w:id="1"/>
  <w:bookmarkEnd w:id="2"/>
  <w:bookmarkEnd w:id="3"/>
  <w:bookmarkEnd w:id="4"/>
  <w:bookmarkEnd w:id="5"/>
  <w:bookmarkEnd w:id="6"/>
  <w:bookmarkEnd w:id="7"/>
  <w:bookmarkEnd w:id="8"/>
  <w:p w14:paraId="402BF269" w14:textId="77777777" w:rsidR="00604C0C" w:rsidRPr="00604C0C" w:rsidRDefault="00604C0C" w:rsidP="00604C0C">
    <w:pPr>
      <w:pStyle w:val="Header"/>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DF5B8" w14:textId="77777777" w:rsidR="00604C0C" w:rsidRPr="00604C0C" w:rsidRDefault="00604C0C" w:rsidP="00604C0C">
    <w:pPr>
      <w:pBdr>
        <w:bottom w:val="single" w:sz="12" w:space="5" w:color="auto"/>
      </w:pBdr>
      <w:rPr>
        <w:rFonts w:ascii="Times New Roman" w:hAnsi="Times New Roman" w:cs="Times New Roman"/>
        <w:spacing w:val="-2"/>
        <w:sz w:val="20"/>
        <w:szCs w:val="20"/>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48584ED0" w14:textId="77777777" w:rsidR="00604C0C" w:rsidRPr="00604C0C" w:rsidRDefault="00604C0C" w:rsidP="00604C0C">
    <w:pPr>
      <w:pStyle w:val="Header"/>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662D2"/>
    <w:multiLevelType w:val="hybridMultilevel"/>
    <w:tmpl w:val="DD70AFCC"/>
    <w:lvl w:ilvl="0" w:tplc="91A00A58">
      <w:start w:val="1"/>
      <w:numFmt w:val="bullet"/>
      <w:lvlText w:val=""/>
      <w:lvlJc w:val="left"/>
      <w:pPr>
        <w:ind w:left="980" w:hanging="360"/>
      </w:pPr>
      <w:rPr>
        <w:rFonts w:ascii="Symbol" w:eastAsia="Symbol" w:hAnsi="Symbol" w:hint="default"/>
        <w:w w:val="99"/>
        <w:sz w:val="22"/>
        <w:szCs w:val="22"/>
      </w:rPr>
    </w:lvl>
    <w:lvl w:ilvl="1" w:tplc="3188BF32">
      <w:start w:val="1"/>
      <w:numFmt w:val="bullet"/>
      <w:lvlText w:val="•"/>
      <w:lvlJc w:val="left"/>
      <w:pPr>
        <w:ind w:left="1866" w:hanging="360"/>
      </w:pPr>
      <w:rPr>
        <w:rFonts w:hint="default"/>
      </w:rPr>
    </w:lvl>
    <w:lvl w:ilvl="2" w:tplc="6158C6F4">
      <w:start w:val="1"/>
      <w:numFmt w:val="bullet"/>
      <w:lvlText w:val="•"/>
      <w:lvlJc w:val="left"/>
      <w:pPr>
        <w:ind w:left="2752" w:hanging="360"/>
      </w:pPr>
      <w:rPr>
        <w:rFonts w:hint="default"/>
      </w:rPr>
    </w:lvl>
    <w:lvl w:ilvl="3" w:tplc="FB2A0922">
      <w:start w:val="1"/>
      <w:numFmt w:val="bullet"/>
      <w:lvlText w:val="•"/>
      <w:lvlJc w:val="left"/>
      <w:pPr>
        <w:ind w:left="3638" w:hanging="360"/>
      </w:pPr>
      <w:rPr>
        <w:rFonts w:hint="default"/>
      </w:rPr>
    </w:lvl>
    <w:lvl w:ilvl="4" w:tplc="A62C6F16">
      <w:start w:val="1"/>
      <w:numFmt w:val="bullet"/>
      <w:lvlText w:val="•"/>
      <w:lvlJc w:val="left"/>
      <w:pPr>
        <w:ind w:left="4524" w:hanging="360"/>
      </w:pPr>
      <w:rPr>
        <w:rFonts w:hint="default"/>
      </w:rPr>
    </w:lvl>
    <w:lvl w:ilvl="5" w:tplc="0F78C73E">
      <w:start w:val="1"/>
      <w:numFmt w:val="bullet"/>
      <w:lvlText w:val="•"/>
      <w:lvlJc w:val="left"/>
      <w:pPr>
        <w:ind w:left="5410" w:hanging="360"/>
      </w:pPr>
      <w:rPr>
        <w:rFonts w:hint="default"/>
      </w:rPr>
    </w:lvl>
    <w:lvl w:ilvl="6" w:tplc="3AC28B68">
      <w:start w:val="1"/>
      <w:numFmt w:val="bullet"/>
      <w:lvlText w:val="•"/>
      <w:lvlJc w:val="left"/>
      <w:pPr>
        <w:ind w:left="6296" w:hanging="360"/>
      </w:pPr>
      <w:rPr>
        <w:rFonts w:hint="default"/>
      </w:rPr>
    </w:lvl>
    <w:lvl w:ilvl="7" w:tplc="A9501632">
      <w:start w:val="1"/>
      <w:numFmt w:val="bullet"/>
      <w:lvlText w:val="•"/>
      <w:lvlJc w:val="left"/>
      <w:pPr>
        <w:ind w:left="7182" w:hanging="360"/>
      </w:pPr>
      <w:rPr>
        <w:rFonts w:hint="default"/>
      </w:rPr>
    </w:lvl>
    <w:lvl w:ilvl="8" w:tplc="D2A8206A">
      <w:start w:val="1"/>
      <w:numFmt w:val="bullet"/>
      <w:lvlText w:val="•"/>
      <w:lvlJc w:val="left"/>
      <w:pPr>
        <w:ind w:left="8068" w:hanging="360"/>
      </w:pPr>
      <w:rPr>
        <w:rFonts w:hint="default"/>
      </w:rPr>
    </w:lvl>
  </w:abstractNum>
  <w:abstractNum w:abstractNumId="1" w15:restartNumberingAfterBreak="0">
    <w:nsid w:val="138E6AAE"/>
    <w:multiLevelType w:val="hybridMultilevel"/>
    <w:tmpl w:val="DC30DAAC"/>
    <w:lvl w:ilvl="0" w:tplc="7E9A6806">
      <w:start w:val="2"/>
      <w:numFmt w:val="decimal"/>
      <w:lvlText w:val="%1"/>
      <w:lvlJc w:val="left"/>
      <w:pPr>
        <w:ind w:left="965" w:hanging="706"/>
      </w:pPr>
      <w:rPr>
        <w:rFonts w:hint="default"/>
      </w:rPr>
    </w:lvl>
    <w:lvl w:ilvl="1" w:tplc="303AA1AC">
      <w:start w:val="1"/>
      <w:numFmt w:val="decimal"/>
      <w:lvlText w:val="%1.%2"/>
      <w:lvlJc w:val="left"/>
      <w:pPr>
        <w:ind w:left="965" w:hanging="706"/>
      </w:pPr>
      <w:rPr>
        <w:rFonts w:ascii="Verdana" w:eastAsia="Verdana" w:hAnsi="Verdana" w:hint="default"/>
        <w:b/>
        <w:bCs/>
        <w:spacing w:val="-1"/>
        <w:sz w:val="24"/>
        <w:szCs w:val="24"/>
      </w:rPr>
    </w:lvl>
    <w:lvl w:ilvl="2" w:tplc="AC5278F2">
      <w:start w:val="1"/>
      <w:numFmt w:val="bullet"/>
      <w:lvlText w:val=""/>
      <w:lvlJc w:val="left"/>
      <w:pPr>
        <w:ind w:left="1264" w:hanging="360"/>
      </w:pPr>
      <w:rPr>
        <w:rFonts w:ascii="Symbol" w:eastAsia="Symbol" w:hAnsi="Symbol" w:hint="default"/>
        <w:w w:val="99"/>
        <w:sz w:val="22"/>
        <w:szCs w:val="22"/>
      </w:rPr>
    </w:lvl>
    <w:lvl w:ilvl="3" w:tplc="636A4B0A">
      <w:start w:val="1"/>
      <w:numFmt w:val="bullet"/>
      <w:lvlText w:val="•"/>
      <w:lvlJc w:val="left"/>
      <w:pPr>
        <w:ind w:left="3170" w:hanging="360"/>
      </w:pPr>
      <w:rPr>
        <w:rFonts w:hint="default"/>
      </w:rPr>
    </w:lvl>
    <w:lvl w:ilvl="4" w:tplc="2EB651D8">
      <w:start w:val="1"/>
      <w:numFmt w:val="bullet"/>
      <w:lvlText w:val="•"/>
      <w:lvlJc w:val="left"/>
      <w:pPr>
        <w:ind w:left="4122" w:hanging="360"/>
      </w:pPr>
      <w:rPr>
        <w:rFonts w:hint="default"/>
      </w:rPr>
    </w:lvl>
    <w:lvl w:ilvl="5" w:tplc="34983878">
      <w:start w:val="1"/>
      <w:numFmt w:val="bullet"/>
      <w:lvlText w:val="•"/>
      <w:lvlJc w:val="left"/>
      <w:pPr>
        <w:ind w:left="5075" w:hanging="360"/>
      </w:pPr>
      <w:rPr>
        <w:rFonts w:hint="default"/>
      </w:rPr>
    </w:lvl>
    <w:lvl w:ilvl="6" w:tplc="A0DC904C">
      <w:start w:val="1"/>
      <w:numFmt w:val="bullet"/>
      <w:lvlText w:val="•"/>
      <w:lvlJc w:val="left"/>
      <w:pPr>
        <w:ind w:left="6028" w:hanging="360"/>
      </w:pPr>
      <w:rPr>
        <w:rFonts w:hint="default"/>
      </w:rPr>
    </w:lvl>
    <w:lvl w:ilvl="7" w:tplc="56B6E3D6">
      <w:start w:val="1"/>
      <w:numFmt w:val="bullet"/>
      <w:lvlText w:val="•"/>
      <w:lvlJc w:val="left"/>
      <w:pPr>
        <w:ind w:left="6981" w:hanging="360"/>
      </w:pPr>
      <w:rPr>
        <w:rFonts w:hint="default"/>
      </w:rPr>
    </w:lvl>
    <w:lvl w:ilvl="8" w:tplc="1C0C72AA">
      <w:start w:val="1"/>
      <w:numFmt w:val="bullet"/>
      <w:lvlText w:val="•"/>
      <w:lvlJc w:val="left"/>
      <w:pPr>
        <w:ind w:left="7934" w:hanging="360"/>
      </w:pPr>
      <w:rPr>
        <w:rFonts w:hint="default"/>
      </w:rPr>
    </w:lvl>
  </w:abstractNum>
  <w:abstractNum w:abstractNumId="2" w15:restartNumberingAfterBreak="0">
    <w:nsid w:val="3FEC7D85"/>
    <w:multiLevelType w:val="hybridMultilevel"/>
    <w:tmpl w:val="3760AB9E"/>
    <w:lvl w:ilvl="0" w:tplc="6C2C737A">
      <w:start w:val="1"/>
      <w:numFmt w:val="decimal"/>
      <w:lvlText w:val="%1"/>
      <w:lvlJc w:val="left"/>
      <w:pPr>
        <w:ind w:left="980" w:hanging="720"/>
      </w:pPr>
      <w:rPr>
        <w:rFonts w:hint="default"/>
      </w:rPr>
    </w:lvl>
    <w:lvl w:ilvl="1" w:tplc="964EA6E8">
      <w:start w:val="1"/>
      <w:numFmt w:val="decimal"/>
      <w:lvlText w:val="%1.%2"/>
      <w:lvlJc w:val="left"/>
      <w:pPr>
        <w:ind w:left="980" w:hanging="720"/>
      </w:pPr>
      <w:rPr>
        <w:rFonts w:ascii="Verdana" w:eastAsia="Verdana" w:hAnsi="Verdana" w:hint="default"/>
        <w:b/>
        <w:bCs/>
        <w:spacing w:val="-1"/>
        <w:w w:val="99"/>
        <w:sz w:val="22"/>
        <w:szCs w:val="22"/>
      </w:rPr>
    </w:lvl>
    <w:lvl w:ilvl="2" w:tplc="A94671E8">
      <w:start w:val="1"/>
      <w:numFmt w:val="bullet"/>
      <w:lvlText w:val=""/>
      <w:lvlJc w:val="left"/>
      <w:pPr>
        <w:ind w:left="980" w:hanging="360"/>
      </w:pPr>
      <w:rPr>
        <w:rFonts w:ascii="Symbol" w:eastAsia="Symbol" w:hAnsi="Symbol" w:hint="default"/>
        <w:w w:val="99"/>
        <w:sz w:val="22"/>
        <w:szCs w:val="22"/>
      </w:rPr>
    </w:lvl>
    <w:lvl w:ilvl="3" w:tplc="4EFC920E">
      <w:start w:val="1"/>
      <w:numFmt w:val="bullet"/>
      <w:lvlText w:val="o"/>
      <w:lvlJc w:val="left"/>
      <w:pPr>
        <w:ind w:left="1700" w:hanging="358"/>
      </w:pPr>
      <w:rPr>
        <w:rFonts w:ascii="Courier New" w:eastAsia="Courier New" w:hAnsi="Courier New" w:hint="default"/>
        <w:w w:val="99"/>
        <w:sz w:val="22"/>
        <w:szCs w:val="22"/>
      </w:rPr>
    </w:lvl>
    <w:lvl w:ilvl="4" w:tplc="B8D692FC">
      <w:start w:val="1"/>
      <w:numFmt w:val="bullet"/>
      <w:lvlText w:val="•"/>
      <w:lvlJc w:val="left"/>
      <w:pPr>
        <w:ind w:left="3735" w:hanging="358"/>
      </w:pPr>
      <w:rPr>
        <w:rFonts w:hint="default"/>
      </w:rPr>
    </w:lvl>
    <w:lvl w:ilvl="5" w:tplc="66621424">
      <w:start w:val="1"/>
      <w:numFmt w:val="bullet"/>
      <w:lvlText w:val="•"/>
      <w:lvlJc w:val="left"/>
      <w:pPr>
        <w:ind w:left="4752" w:hanging="358"/>
      </w:pPr>
      <w:rPr>
        <w:rFonts w:hint="default"/>
      </w:rPr>
    </w:lvl>
    <w:lvl w:ilvl="6" w:tplc="E918EB46">
      <w:start w:val="1"/>
      <w:numFmt w:val="bullet"/>
      <w:lvlText w:val="•"/>
      <w:lvlJc w:val="left"/>
      <w:pPr>
        <w:ind w:left="5770" w:hanging="358"/>
      </w:pPr>
      <w:rPr>
        <w:rFonts w:hint="default"/>
      </w:rPr>
    </w:lvl>
    <w:lvl w:ilvl="7" w:tplc="99BEABEC">
      <w:start w:val="1"/>
      <w:numFmt w:val="bullet"/>
      <w:lvlText w:val="•"/>
      <w:lvlJc w:val="left"/>
      <w:pPr>
        <w:ind w:left="6787" w:hanging="358"/>
      </w:pPr>
      <w:rPr>
        <w:rFonts w:hint="default"/>
      </w:rPr>
    </w:lvl>
    <w:lvl w:ilvl="8" w:tplc="10FCD6C6">
      <w:start w:val="1"/>
      <w:numFmt w:val="bullet"/>
      <w:lvlText w:val="•"/>
      <w:lvlJc w:val="left"/>
      <w:pPr>
        <w:ind w:left="7805" w:hanging="358"/>
      </w:pPr>
      <w:rPr>
        <w:rFonts w:hint="default"/>
      </w:rPr>
    </w:lvl>
  </w:abstractNum>
  <w:abstractNum w:abstractNumId="3" w15:restartNumberingAfterBreak="0">
    <w:nsid w:val="712140EF"/>
    <w:multiLevelType w:val="hybridMultilevel"/>
    <w:tmpl w:val="97900A72"/>
    <w:lvl w:ilvl="0" w:tplc="0CFEEBE2">
      <w:start w:val="3"/>
      <w:numFmt w:val="decimal"/>
      <w:lvlText w:val="%1"/>
      <w:lvlJc w:val="left"/>
      <w:pPr>
        <w:ind w:left="260" w:hanging="158"/>
      </w:pPr>
      <w:rPr>
        <w:rFonts w:ascii="Times New Roman" w:eastAsia="Times New Roman" w:hAnsi="Times New Roman" w:hint="default"/>
        <w:w w:val="99"/>
        <w:position w:val="11"/>
        <w:sz w:val="16"/>
        <w:szCs w:val="16"/>
      </w:rPr>
    </w:lvl>
    <w:lvl w:ilvl="1" w:tplc="F3A0D3F8">
      <w:start w:val="1"/>
      <w:numFmt w:val="bullet"/>
      <w:lvlText w:val="•"/>
      <w:lvlJc w:val="left"/>
      <w:pPr>
        <w:ind w:left="1218" w:hanging="158"/>
      </w:pPr>
      <w:rPr>
        <w:rFonts w:hint="default"/>
      </w:rPr>
    </w:lvl>
    <w:lvl w:ilvl="2" w:tplc="5CCC52AC">
      <w:start w:val="1"/>
      <w:numFmt w:val="bullet"/>
      <w:lvlText w:val="•"/>
      <w:lvlJc w:val="left"/>
      <w:pPr>
        <w:ind w:left="2176" w:hanging="158"/>
      </w:pPr>
      <w:rPr>
        <w:rFonts w:hint="default"/>
      </w:rPr>
    </w:lvl>
    <w:lvl w:ilvl="3" w:tplc="FC0AD1EC">
      <w:start w:val="1"/>
      <w:numFmt w:val="bullet"/>
      <w:lvlText w:val="•"/>
      <w:lvlJc w:val="left"/>
      <w:pPr>
        <w:ind w:left="3134" w:hanging="158"/>
      </w:pPr>
      <w:rPr>
        <w:rFonts w:hint="default"/>
      </w:rPr>
    </w:lvl>
    <w:lvl w:ilvl="4" w:tplc="E91C673A">
      <w:start w:val="1"/>
      <w:numFmt w:val="bullet"/>
      <w:lvlText w:val="•"/>
      <w:lvlJc w:val="left"/>
      <w:pPr>
        <w:ind w:left="4092" w:hanging="158"/>
      </w:pPr>
      <w:rPr>
        <w:rFonts w:hint="default"/>
      </w:rPr>
    </w:lvl>
    <w:lvl w:ilvl="5" w:tplc="8A28994A">
      <w:start w:val="1"/>
      <w:numFmt w:val="bullet"/>
      <w:lvlText w:val="•"/>
      <w:lvlJc w:val="left"/>
      <w:pPr>
        <w:ind w:left="5050" w:hanging="158"/>
      </w:pPr>
      <w:rPr>
        <w:rFonts w:hint="default"/>
      </w:rPr>
    </w:lvl>
    <w:lvl w:ilvl="6" w:tplc="38BE34B4">
      <w:start w:val="1"/>
      <w:numFmt w:val="bullet"/>
      <w:lvlText w:val="•"/>
      <w:lvlJc w:val="left"/>
      <w:pPr>
        <w:ind w:left="6008" w:hanging="158"/>
      </w:pPr>
      <w:rPr>
        <w:rFonts w:hint="default"/>
      </w:rPr>
    </w:lvl>
    <w:lvl w:ilvl="7" w:tplc="4616349A">
      <w:start w:val="1"/>
      <w:numFmt w:val="bullet"/>
      <w:lvlText w:val="•"/>
      <w:lvlJc w:val="left"/>
      <w:pPr>
        <w:ind w:left="6966" w:hanging="158"/>
      </w:pPr>
      <w:rPr>
        <w:rFonts w:hint="default"/>
      </w:rPr>
    </w:lvl>
    <w:lvl w:ilvl="8" w:tplc="56660FCA">
      <w:start w:val="1"/>
      <w:numFmt w:val="bullet"/>
      <w:lvlText w:val="•"/>
      <w:lvlJc w:val="left"/>
      <w:pPr>
        <w:ind w:left="7924" w:hanging="158"/>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EC04FE"/>
    <w:rsid w:val="001B4E7A"/>
    <w:rsid w:val="002E77E9"/>
    <w:rsid w:val="00604C0C"/>
    <w:rsid w:val="006429BA"/>
    <w:rsid w:val="008306B3"/>
    <w:rsid w:val="00AF1804"/>
    <w:rsid w:val="00BA38B6"/>
    <w:rsid w:val="00EC04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485F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spacing w:before="57"/>
      <w:ind w:left="472" w:hanging="720"/>
      <w:outlineLvl w:val="0"/>
    </w:pPr>
    <w:rPr>
      <w:rFonts w:ascii="Verdana" w:eastAsia="Verdana" w:hAnsi="Verdan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260"/>
    </w:pPr>
    <w:rPr>
      <w:rFonts w:ascii="Verdana" w:eastAsia="Verdana" w:hAnsi="Verdan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8306B3"/>
    <w:pPr>
      <w:tabs>
        <w:tab w:val="center" w:pos="4513"/>
        <w:tab w:val="right" w:pos="9026"/>
      </w:tabs>
    </w:pPr>
  </w:style>
  <w:style w:type="character" w:customStyle="1" w:styleId="HeaderChar">
    <w:name w:val="Header Char"/>
    <w:basedOn w:val="DefaultParagraphFont"/>
    <w:link w:val="Header"/>
    <w:uiPriority w:val="99"/>
    <w:rsid w:val="008306B3"/>
  </w:style>
  <w:style w:type="paragraph" w:styleId="Footer">
    <w:name w:val="footer"/>
    <w:basedOn w:val="Normal"/>
    <w:link w:val="FooterChar"/>
    <w:unhideWhenUsed/>
    <w:rsid w:val="008306B3"/>
    <w:pPr>
      <w:tabs>
        <w:tab w:val="center" w:pos="4513"/>
        <w:tab w:val="right" w:pos="9026"/>
      </w:tabs>
    </w:pPr>
  </w:style>
  <w:style w:type="character" w:customStyle="1" w:styleId="FooterChar">
    <w:name w:val="Footer Char"/>
    <w:basedOn w:val="DefaultParagraphFont"/>
    <w:link w:val="Footer"/>
    <w:uiPriority w:val="99"/>
    <w:rsid w:val="008306B3"/>
  </w:style>
  <w:style w:type="paragraph" w:styleId="FootnoteText">
    <w:name w:val="footnote text"/>
    <w:basedOn w:val="Normal"/>
    <w:link w:val="FootnoteTextChar"/>
    <w:uiPriority w:val="99"/>
    <w:semiHidden/>
    <w:unhideWhenUsed/>
    <w:rsid w:val="00AF1804"/>
    <w:rPr>
      <w:sz w:val="20"/>
      <w:szCs w:val="20"/>
    </w:rPr>
  </w:style>
  <w:style w:type="character" w:customStyle="1" w:styleId="FootnoteTextChar">
    <w:name w:val="Footnote Text Char"/>
    <w:basedOn w:val="DefaultParagraphFont"/>
    <w:link w:val="FootnoteText"/>
    <w:uiPriority w:val="99"/>
    <w:semiHidden/>
    <w:rsid w:val="00AF1804"/>
    <w:rPr>
      <w:sz w:val="20"/>
      <w:szCs w:val="20"/>
    </w:rPr>
  </w:style>
  <w:style w:type="character" w:styleId="FootnoteReference">
    <w:name w:val="footnote reference"/>
    <w:basedOn w:val="DefaultParagraphFont"/>
    <w:uiPriority w:val="99"/>
    <w:semiHidden/>
    <w:unhideWhenUsed/>
    <w:rsid w:val="00AF1804"/>
    <w:rPr>
      <w:vertAlign w:val="superscript"/>
    </w:rPr>
  </w:style>
  <w:style w:type="character" w:styleId="PageNumber">
    <w:name w:val="page number"/>
    <w:basedOn w:val="DefaultParagraphFont"/>
    <w:semiHidden/>
    <w:rsid w:val="00604C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2EDE6-E6CB-4EEB-816F-381FEF58F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5619</Words>
  <Characters>3204</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2020-10-13T08:24:00Z</dcterms:created>
  <dcterms:modified xsi:type="dcterms:W3CDTF">2020-12-15T11:59:00Z</dcterms:modified>
</cp:coreProperties>
</file>