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5CFF5" w14:textId="29F344C4" w:rsidR="001601FB" w:rsidRDefault="001601FB" w:rsidP="00D008E3">
      <w:pPr>
        <w:jc w:val="both"/>
        <w:rPr>
          <w:rFonts w:ascii="Times New Roman" w:eastAsia="Times New Roman" w:hAnsi="Times New Roman" w:cs="Times New Roman"/>
          <w:noProof/>
          <w:sz w:val="24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6690"/>
      </w:tblGrid>
      <w:tr w:rsidR="00D008E3" w14:paraId="4E9253E5" w14:textId="77777777" w:rsidTr="00C532A6">
        <w:tc>
          <w:tcPr>
            <w:tcW w:w="2438" w:type="dxa"/>
          </w:tcPr>
          <w:p w14:paraId="5F6527BF" w14:textId="44A55AC3" w:rsidR="00D008E3" w:rsidRDefault="00D008E3" w:rsidP="00D008E3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1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E523A2A" wp14:editId="7DBC8774">
                  <wp:extent cx="1362075" cy="6762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  <w:vAlign w:val="center"/>
          </w:tcPr>
          <w:p w14:paraId="6941A071" w14:textId="77777777" w:rsidR="00D008E3" w:rsidRDefault="00D008E3" w:rsidP="00C53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sz w:val="24"/>
              </w:rPr>
              <w:t>PASAULES ANTIDOPINGA AĢENTŪRA</w:t>
            </w:r>
          </w:p>
          <w:p w14:paraId="46B2A5E0" w14:textId="0782258B" w:rsidR="00D008E3" w:rsidRPr="00D008E3" w:rsidRDefault="00D008E3" w:rsidP="00C532A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Godīga spēle</w:t>
            </w:r>
          </w:p>
        </w:tc>
      </w:tr>
    </w:tbl>
    <w:p w14:paraId="419DA7BB" w14:textId="75864577" w:rsidR="00D008E3" w:rsidRDefault="00D008E3" w:rsidP="00D008E3">
      <w:pPr>
        <w:jc w:val="both"/>
        <w:rPr>
          <w:rFonts w:ascii="Times New Roman" w:eastAsia="Times New Roman" w:hAnsi="Times New Roman" w:cs="Times New Roman"/>
          <w:noProof/>
          <w:sz w:val="24"/>
          <w:szCs w:val="21"/>
        </w:rPr>
      </w:pPr>
    </w:p>
    <w:p w14:paraId="3B23D8B9" w14:textId="164A795A" w:rsidR="00C532A6" w:rsidRPr="001B3E43" w:rsidRDefault="001B3E43" w:rsidP="001B3E43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1"/>
        </w:rPr>
        <w:t xml:space="preserve">WADA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1"/>
          <w:u w:val="single"/>
        </w:rPr>
        <w:t>tehniskais dokuments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1"/>
        </w:rPr>
        <w:t xml:space="preserve"> – TD2019</w:t>
      </w:r>
      <w:r w:rsidR="00C82A6C">
        <w:rPr>
          <w:rFonts w:ascii="Times New Roman" w:eastAsia="Times New Roman" w:hAnsi="Times New Roman" w:cs="Times New Roman"/>
          <w:b/>
          <w:bCs/>
          <w:noProof/>
          <w:sz w:val="24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1"/>
        </w:rPr>
        <w:t>RPL</w:t>
      </w:r>
    </w:p>
    <w:p w14:paraId="099FBB0A" w14:textId="77777777" w:rsidR="00C532A6" w:rsidRPr="00D008E3" w:rsidRDefault="00C532A6" w:rsidP="00D008E3">
      <w:pPr>
        <w:jc w:val="both"/>
        <w:rPr>
          <w:rFonts w:ascii="Times New Roman" w:eastAsia="Times New Roman" w:hAnsi="Times New Roman" w:cs="Times New Roman"/>
          <w:noProof/>
          <w:sz w:val="24"/>
          <w:szCs w:val="21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3118"/>
        <w:gridCol w:w="2127"/>
        <w:gridCol w:w="2012"/>
      </w:tblGrid>
      <w:tr w:rsidR="00D008E3" w:rsidRPr="00D008E3" w14:paraId="2233CC86" w14:textId="77777777" w:rsidTr="00C532A6"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BDDA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Dokumenta numurs: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117D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TD2019MRPL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B238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Versijas numurs: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BE99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</w:tr>
      <w:tr w:rsidR="00D008E3" w:rsidRPr="00D008E3" w14:paraId="38C94F1D" w14:textId="77777777" w:rsidTr="00C532A6"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FB75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Sarakstījusi: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9BFC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Laboratoriju ekspertu grupa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DC47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Apstiprinājusi: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5F72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izpildkomiteja</w:t>
            </w:r>
          </w:p>
        </w:tc>
      </w:tr>
      <w:tr w:rsidR="00D008E3" w:rsidRPr="00D008E3" w14:paraId="6597E40F" w14:textId="77777777" w:rsidTr="00C532A6"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D5F1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Datums: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4031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2019. gada 15. maijs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4FC7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Spēkā stāšanās diena: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2CB4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2019. gada 15. maijs</w:t>
            </w:r>
          </w:p>
        </w:tc>
      </w:tr>
    </w:tbl>
    <w:p w14:paraId="0F15068B" w14:textId="77777777" w:rsidR="001601FB" w:rsidRPr="00D008E3" w:rsidRDefault="001601FB" w:rsidP="00D008E3">
      <w:pPr>
        <w:jc w:val="both"/>
        <w:rPr>
          <w:rFonts w:ascii="Times New Roman" w:eastAsia="Times New Roman" w:hAnsi="Times New Roman" w:cs="Times New Roman"/>
          <w:noProof/>
          <w:sz w:val="24"/>
          <w:szCs w:val="26"/>
        </w:rPr>
      </w:pPr>
    </w:p>
    <w:p w14:paraId="34A8B5F9" w14:textId="77777777" w:rsidR="001601FB" w:rsidRPr="00D008E3" w:rsidRDefault="001601FB" w:rsidP="00D008E3">
      <w:pPr>
        <w:pStyle w:val="Heading1"/>
        <w:ind w:left="0"/>
        <w:jc w:val="center"/>
        <w:rPr>
          <w:rFonts w:ascii="Times New Roman" w:hAnsi="Times New Roman"/>
          <w:b w:val="0"/>
          <w:bCs w:val="0"/>
          <w:noProof/>
          <w:sz w:val="24"/>
          <w:u w:val="none"/>
        </w:rPr>
      </w:pPr>
      <w:r>
        <w:rPr>
          <w:rFonts w:ascii="Times New Roman" w:hAnsi="Times New Roman"/>
          <w:sz w:val="24"/>
          <w:u w:val="thick" w:color="000000"/>
        </w:rPr>
        <w:t>MINIMĀLIE PRASĪTIE VEIKTSPĒJAS LĪMEŅI</w:t>
      </w:r>
      <w:r>
        <w:rPr>
          <w:rFonts w:ascii="Times New Roman" w:hAnsi="Times New Roman"/>
          <w:sz w:val="24"/>
          <w:u w:val="none"/>
        </w:rPr>
        <w:t xml:space="preserve">, KO PIEMĒRO, LAI NOTEIKTU UN IDENTIFICĒTU </w:t>
      </w:r>
      <w:r>
        <w:rPr>
          <w:rFonts w:ascii="Times New Roman" w:hAnsi="Times New Roman"/>
          <w:sz w:val="24"/>
          <w:u w:val="thick" w:color="000000"/>
        </w:rPr>
        <w:t>VIELAS, KAS NAV SLIEKŠŅA VIELAS</w:t>
      </w:r>
    </w:p>
    <w:p w14:paraId="4759E321" w14:textId="77777777" w:rsidR="001601FB" w:rsidRPr="00D008E3" w:rsidRDefault="001601FB" w:rsidP="00D008E3">
      <w:pPr>
        <w:jc w:val="both"/>
        <w:rPr>
          <w:rFonts w:ascii="Times New Roman" w:eastAsia="Arial" w:hAnsi="Times New Roman" w:cs="Arial"/>
          <w:b/>
          <w:bCs/>
          <w:noProof/>
          <w:sz w:val="24"/>
          <w:szCs w:val="14"/>
        </w:rPr>
      </w:pPr>
    </w:p>
    <w:p w14:paraId="5E6B4260" w14:textId="5EB10FFF" w:rsidR="001601FB" w:rsidRPr="00D008E3" w:rsidRDefault="001601FB" w:rsidP="00D008E3">
      <w:pPr>
        <w:pStyle w:val="Heading2"/>
        <w:spacing w:before="0"/>
        <w:ind w:left="0" w:firstLine="0"/>
        <w:jc w:val="both"/>
        <w:rPr>
          <w:rFonts w:ascii="Times New Roman" w:hAnsi="Times New Roman"/>
          <w:noProof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Lai nodrošinātu, ka visas </w:t>
      </w:r>
      <w:r>
        <w:rPr>
          <w:rFonts w:ascii="Times New Roman" w:hAnsi="Times New Roman"/>
          <w:i/>
          <w:sz w:val="24"/>
          <w:u w:val="none"/>
        </w:rPr>
        <w:t>WADA</w:t>
      </w:r>
      <w:r>
        <w:rPr>
          <w:rFonts w:ascii="Times New Roman" w:hAnsi="Times New Roman"/>
          <w:sz w:val="24"/>
          <w:u w:val="none"/>
        </w:rPr>
        <w:t xml:space="preserve"> akreditētās laboratorijas var vienādi ziņot par </w:t>
      </w:r>
      <w:r>
        <w:rPr>
          <w:rFonts w:ascii="Times New Roman" w:hAnsi="Times New Roman"/>
          <w:i/>
          <w:sz w:val="24"/>
          <w:u w:val="none"/>
        </w:rPr>
        <w:t>aizliegto vielu</w:t>
      </w:r>
      <w:r>
        <w:rPr>
          <w:rFonts w:ascii="Times New Roman" w:hAnsi="Times New Roman"/>
          <w:sz w:val="24"/>
          <w:u w:val="none"/>
        </w:rPr>
        <w:t xml:space="preserve">, to </w:t>
      </w:r>
      <w:r>
        <w:rPr>
          <w:rFonts w:ascii="Times New Roman" w:hAnsi="Times New Roman"/>
          <w:i/>
          <w:sz w:val="24"/>
          <w:u w:val="none"/>
        </w:rPr>
        <w:t>metabolīta(-u)</w:t>
      </w:r>
      <w:r>
        <w:rPr>
          <w:rFonts w:ascii="Times New Roman" w:hAnsi="Times New Roman"/>
          <w:sz w:val="24"/>
          <w:u w:val="none"/>
        </w:rPr>
        <w:t xml:space="preserve"> vai </w:t>
      </w:r>
      <w:r>
        <w:rPr>
          <w:rFonts w:ascii="Times New Roman" w:hAnsi="Times New Roman"/>
          <w:i/>
          <w:sz w:val="24"/>
          <w:u w:val="none"/>
        </w:rPr>
        <w:t>marķiera(-u)</w:t>
      </w:r>
      <w:r>
        <w:rPr>
          <w:rFonts w:ascii="Times New Roman" w:hAnsi="Times New Roman"/>
          <w:sz w:val="24"/>
          <w:u w:val="none"/>
        </w:rPr>
        <w:t xml:space="preserve"> klātbūtni, </w:t>
      </w:r>
      <w:r>
        <w:rPr>
          <w:rFonts w:ascii="Times New Roman" w:hAnsi="Times New Roman"/>
          <w:sz w:val="24"/>
          <w:u w:color="000000"/>
        </w:rPr>
        <w:t>pārbaudes metodēm</w:t>
      </w:r>
      <w:r>
        <w:rPr>
          <w:rFonts w:ascii="Times New Roman" w:hAnsi="Times New Roman"/>
          <w:sz w:val="24"/>
          <w:u w:val="none"/>
        </w:rPr>
        <w:t xml:space="preserve"> ir izstrādāta minimālā parastā noteikšanas un identificēšanas spēja. Ir atzīts, ka dažas </w:t>
      </w: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spēs identificēt zemāku </w:t>
      </w:r>
      <w:r>
        <w:rPr>
          <w:rFonts w:ascii="Times New Roman" w:hAnsi="Times New Roman"/>
          <w:i/>
          <w:sz w:val="24"/>
          <w:u w:val="none"/>
        </w:rPr>
        <w:t>aizliegto vielu</w:t>
      </w:r>
      <w:r>
        <w:rPr>
          <w:rFonts w:ascii="Times New Roman" w:hAnsi="Times New Roman"/>
          <w:sz w:val="24"/>
          <w:u w:val="none"/>
        </w:rPr>
        <w:t xml:space="preserve"> koncentrāciju nekā citas </w:t>
      </w: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. Lai gan nolūkā uzlabot sistēmu kopumā šādas atsevišķas spējas tiek atbalstītas, tāpat ir atzīts, ka pastāv </w:t>
      </w:r>
      <w:r>
        <w:rPr>
          <w:rFonts w:ascii="Times New Roman" w:hAnsi="Times New Roman"/>
          <w:sz w:val="24"/>
          <w:u w:color="000000"/>
        </w:rPr>
        <w:t>minimālie prasītie veiktspējas līmeņi</w:t>
      </w:r>
      <w:r>
        <w:rPr>
          <w:rFonts w:ascii="Times New Roman" w:hAnsi="Times New Roman"/>
          <w:sz w:val="24"/>
          <w:u w:val="none"/>
        </w:rPr>
        <w:t xml:space="preserve"> (</w:t>
      </w:r>
      <w:r>
        <w:rPr>
          <w:rFonts w:ascii="Times New Roman" w:hAnsi="Times New Roman"/>
          <w:i/>
          <w:iCs/>
          <w:sz w:val="24"/>
          <w:u w:color="000000"/>
        </w:rPr>
        <w:t>MRPL</w:t>
      </w:r>
      <w:r>
        <w:rPr>
          <w:rFonts w:ascii="Times New Roman" w:hAnsi="Times New Roman"/>
          <w:sz w:val="24"/>
          <w:u w:val="none"/>
        </w:rPr>
        <w:t xml:space="preserve">), kas ir jāievēro visām </w:t>
      </w:r>
      <w:r>
        <w:rPr>
          <w:rFonts w:ascii="Times New Roman" w:hAnsi="Times New Roman"/>
          <w:sz w:val="24"/>
          <w:u w:color="000000"/>
        </w:rPr>
        <w:t>laboratorijām</w:t>
      </w:r>
      <w:r>
        <w:rPr>
          <w:rFonts w:ascii="Times New Roman" w:hAnsi="Times New Roman"/>
          <w:sz w:val="24"/>
          <w:u w:val="none"/>
        </w:rPr>
        <w:t xml:space="preserve"> (1. tabula).</w:t>
      </w:r>
    </w:p>
    <w:p w14:paraId="53DE5176" w14:textId="77777777" w:rsidR="001601FB" w:rsidRPr="00D008E3" w:rsidRDefault="001601FB" w:rsidP="00D008E3">
      <w:pPr>
        <w:jc w:val="both"/>
        <w:rPr>
          <w:rFonts w:ascii="Times New Roman" w:eastAsia="Arial" w:hAnsi="Times New Roman" w:cs="Arial"/>
          <w:noProof/>
          <w:sz w:val="24"/>
          <w:szCs w:val="20"/>
        </w:rPr>
      </w:pPr>
    </w:p>
    <w:p w14:paraId="12E80DFC" w14:textId="4E3F902B" w:rsidR="001601FB" w:rsidRPr="00D008E3" w:rsidRDefault="00D008E3" w:rsidP="00D008E3">
      <w:pPr>
        <w:tabs>
          <w:tab w:val="left" w:pos="488"/>
        </w:tabs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b/>
          <w:sz w:val="24"/>
          <w:u w:color="000000"/>
        </w:rPr>
        <w:t xml:space="preserve">1.0. </w:t>
      </w:r>
      <w:r>
        <w:rPr>
          <w:rFonts w:ascii="Times New Roman" w:hAnsi="Times New Roman"/>
          <w:b/>
          <w:sz w:val="24"/>
          <w:u w:val="thick" w:color="000000"/>
        </w:rPr>
        <w:t xml:space="preserve">Minimālie prasītie veiktspējas līmeņi </w:t>
      </w:r>
      <w:r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i/>
          <w:iCs/>
          <w:sz w:val="24"/>
          <w:u w:val="thick" w:color="000000"/>
        </w:rPr>
        <w:t>MRPL</w:t>
      </w:r>
      <w:r>
        <w:rPr>
          <w:rFonts w:ascii="Times New Roman" w:hAnsi="Times New Roman"/>
          <w:b/>
          <w:sz w:val="24"/>
        </w:rPr>
        <w:t>)</w:t>
      </w:r>
    </w:p>
    <w:p w14:paraId="3C7CBB95" w14:textId="77777777" w:rsidR="00D008E3" w:rsidRDefault="00D008E3" w:rsidP="00D008E3">
      <w:pPr>
        <w:jc w:val="both"/>
        <w:rPr>
          <w:rFonts w:ascii="Times New Roman" w:hAnsi="Times New Roman"/>
          <w:noProof/>
          <w:sz w:val="24"/>
        </w:rPr>
      </w:pPr>
    </w:p>
    <w:p w14:paraId="6B6D4886" w14:textId="56B9D492" w:rsidR="001601FB" w:rsidRDefault="001601FB" w:rsidP="00D008E3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ir izstrādāts, lai saskaņotu tādu metožu analītisko veiktspēju, kuras izmanto, lai noteiktu </w:t>
      </w:r>
      <w:r>
        <w:rPr>
          <w:rFonts w:ascii="Times New Roman" w:hAnsi="Times New Roman"/>
          <w:sz w:val="24"/>
          <w:u w:val="single" w:color="000000"/>
        </w:rPr>
        <w:t>vielas, kas nav sliekšņa vielas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ir obligāts tehniskās veiktspējas analītiskais parametrs, ko izstrādājusi </w:t>
      </w:r>
      <w:r>
        <w:rPr>
          <w:rFonts w:ascii="Times New Roman" w:hAnsi="Times New Roman"/>
          <w:i/>
          <w:sz w:val="24"/>
        </w:rPr>
        <w:t>WADA</w:t>
      </w:r>
      <w:r>
        <w:rPr>
          <w:rFonts w:ascii="Times New Roman" w:hAnsi="Times New Roman"/>
          <w:sz w:val="24"/>
        </w:rPr>
        <w:t xml:space="preserve"> un kas </w:t>
      </w:r>
      <w:r>
        <w:rPr>
          <w:rFonts w:ascii="Times New Roman" w:hAnsi="Times New Roman"/>
          <w:sz w:val="24"/>
          <w:u w:val="single" w:color="000000"/>
        </w:rPr>
        <w:t>laboratorijām</w:t>
      </w:r>
      <w:r>
        <w:rPr>
          <w:rFonts w:ascii="Times New Roman" w:hAnsi="Times New Roman"/>
          <w:sz w:val="24"/>
        </w:rPr>
        <w:t xml:space="preserve"> ir jāievēro, pārbaudot konkrētas </w:t>
      </w:r>
      <w:r>
        <w:rPr>
          <w:rFonts w:ascii="Times New Roman" w:hAnsi="Times New Roman"/>
          <w:i/>
          <w:sz w:val="24"/>
        </w:rPr>
        <w:t>aizliegtās vielas</w:t>
      </w:r>
      <w:r>
        <w:rPr>
          <w:rFonts w:ascii="Times New Roman" w:hAnsi="Times New Roman"/>
          <w:sz w:val="24"/>
        </w:rPr>
        <w:t xml:space="preserve">, tās </w:t>
      </w:r>
      <w:r>
        <w:rPr>
          <w:rFonts w:ascii="Times New Roman" w:hAnsi="Times New Roman"/>
          <w:i/>
          <w:sz w:val="24"/>
        </w:rPr>
        <w:t>metabolīta(-u)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marķiera(-u)</w:t>
      </w:r>
      <w:r>
        <w:rPr>
          <w:rFonts w:ascii="Times New Roman" w:hAnsi="Times New Roman"/>
          <w:sz w:val="24"/>
        </w:rPr>
        <w:t xml:space="preserve"> klātbūtni. </w:t>
      </w: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ir </w:t>
      </w:r>
      <w:r>
        <w:rPr>
          <w:rFonts w:ascii="Times New Roman" w:hAnsi="Times New Roman"/>
          <w:i/>
          <w:sz w:val="24"/>
        </w:rPr>
        <w:t>aizliegtās vielas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aizliegtās vielas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metabolīta</w:t>
      </w:r>
      <w:r>
        <w:rPr>
          <w:rFonts w:ascii="Times New Roman" w:hAnsi="Times New Roman"/>
          <w:sz w:val="24"/>
        </w:rPr>
        <w:t xml:space="preserve">, vai </w:t>
      </w:r>
      <w:r>
        <w:rPr>
          <w:rFonts w:ascii="Times New Roman" w:hAnsi="Times New Roman"/>
          <w:i/>
          <w:sz w:val="24"/>
        </w:rPr>
        <w:t>aizliegtās vielas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marķiera</w:t>
      </w:r>
      <w:r>
        <w:rPr>
          <w:rFonts w:ascii="Times New Roman" w:hAnsi="Times New Roman"/>
          <w:sz w:val="24"/>
        </w:rPr>
        <w:t xml:space="preserve">, vai </w:t>
      </w:r>
      <w:r>
        <w:rPr>
          <w:rFonts w:ascii="Times New Roman" w:hAnsi="Times New Roman"/>
          <w:i/>
          <w:sz w:val="24"/>
        </w:rPr>
        <w:t>aizliegtās metodes</w:t>
      </w:r>
      <w:r>
        <w:rPr>
          <w:rFonts w:ascii="Times New Roman" w:hAnsi="Times New Roman"/>
          <w:sz w:val="24"/>
        </w:rPr>
        <w:t xml:space="preserve"> minimālā koncentrācija, ko </w:t>
      </w:r>
      <w:r>
        <w:rPr>
          <w:rFonts w:ascii="Times New Roman" w:hAnsi="Times New Roman"/>
          <w:sz w:val="24"/>
          <w:u w:val="single" w:color="000000"/>
        </w:rPr>
        <w:t>laboratorijas</w:t>
      </w:r>
      <w:r>
        <w:rPr>
          <w:rFonts w:ascii="Times New Roman" w:hAnsi="Times New Roman"/>
          <w:sz w:val="24"/>
        </w:rPr>
        <w:t xml:space="preserve"> spēj uzticami noteikt un identificēt, veicot kārtējās ikdienas darbības.</w:t>
      </w:r>
    </w:p>
    <w:p w14:paraId="49FB3860" w14:textId="77777777" w:rsidR="00D008E3" w:rsidRPr="00D008E3" w:rsidRDefault="00D008E3" w:rsidP="00D008E3">
      <w:pPr>
        <w:jc w:val="both"/>
        <w:rPr>
          <w:rFonts w:ascii="Times New Roman" w:eastAsia="Arial" w:hAnsi="Times New Roman" w:cs="Arial"/>
          <w:noProof/>
          <w:sz w:val="24"/>
        </w:rPr>
      </w:pPr>
    </w:p>
    <w:p w14:paraId="196EF1E9" w14:textId="4E1B8959" w:rsidR="001601FB" w:rsidRPr="00D008E3" w:rsidRDefault="001601FB" w:rsidP="00D008E3">
      <w:pPr>
        <w:numPr>
          <w:ilvl w:val="2"/>
          <w:numId w:val="5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nav ne </w:t>
      </w:r>
      <w:r>
        <w:rPr>
          <w:rFonts w:ascii="Times New Roman" w:hAnsi="Times New Roman"/>
          <w:sz w:val="24"/>
          <w:u w:val="single" w:color="000000"/>
        </w:rPr>
        <w:t>robežvērtība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u w:val="single" w:color="000000"/>
        </w:rPr>
        <w:t>T</w:t>
      </w:r>
      <w:r>
        <w:rPr>
          <w:rFonts w:ascii="Times New Roman" w:hAnsi="Times New Roman"/>
          <w:sz w:val="24"/>
        </w:rPr>
        <w:t xml:space="preserve">), ne arī </w:t>
      </w:r>
      <w:r>
        <w:rPr>
          <w:rFonts w:ascii="Times New Roman" w:hAnsi="Times New Roman"/>
          <w:sz w:val="24"/>
          <w:u w:val="single" w:color="000000"/>
        </w:rPr>
        <w:t>noteikšanas robeža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u w:val="single" w:color="000000"/>
        </w:rPr>
        <w:t>LOD</w:t>
      </w:r>
      <w:r>
        <w:rPr>
          <w:rFonts w:ascii="Times New Roman" w:hAnsi="Times New Roman"/>
          <w:sz w:val="24"/>
        </w:rPr>
        <w:t xml:space="preserve">). </w:t>
      </w:r>
      <w:r>
        <w:rPr>
          <w:rFonts w:ascii="Times New Roman" w:hAnsi="Times New Roman"/>
          <w:i/>
          <w:sz w:val="24"/>
        </w:rPr>
        <w:t>Nelabvēlīgus analīžu rezultātus</w:t>
      </w:r>
      <w:r>
        <w:rPr>
          <w:rFonts w:ascii="Times New Roman" w:hAnsi="Times New Roman"/>
          <w:sz w:val="24"/>
        </w:rPr>
        <w:t xml:space="preserve"> var iegūt arī tad, ja koncentrācija ir zemāka par noteiktajām </w:t>
      </w:r>
      <w:r>
        <w:rPr>
          <w:rFonts w:ascii="Times New Roman" w:hAnsi="Times New Roman"/>
          <w:i/>
          <w:iCs/>
          <w:sz w:val="24"/>
          <w:u w:color="000000"/>
        </w:rPr>
        <w:t>MRPL</w:t>
      </w:r>
      <w:r>
        <w:rPr>
          <w:rFonts w:ascii="Times New Roman" w:hAnsi="Times New Roman"/>
          <w:sz w:val="24"/>
        </w:rPr>
        <w:t xml:space="preserve"> vērtībām.</w:t>
      </w:r>
    </w:p>
    <w:p w14:paraId="50432DE4" w14:textId="6AE302A3" w:rsidR="001601FB" w:rsidRPr="00D008E3" w:rsidRDefault="001601FB" w:rsidP="00D008E3">
      <w:pPr>
        <w:numPr>
          <w:ilvl w:val="2"/>
          <w:numId w:val="5"/>
        </w:numPr>
        <w:ind w:left="426" w:hanging="426"/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vērtības ir būtiskas </w:t>
      </w:r>
      <w:r>
        <w:rPr>
          <w:rFonts w:ascii="Times New Roman" w:hAnsi="Times New Roman"/>
          <w:sz w:val="24"/>
          <w:u w:val="single" w:color="000000"/>
        </w:rPr>
        <w:t>vielu, kas nav sliekšņa vielas</w:t>
      </w:r>
      <w:r>
        <w:rPr>
          <w:rFonts w:ascii="Times New Roman" w:hAnsi="Times New Roman"/>
          <w:sz w:val="24"/>
        </w:rPr>
        <w:t xml:space="preserve">, noteikšanai un identificēšanai; tās nepiemēro attiecībā uz </w:t>
      </w:r>
      <w:r>
        <w:rPr>
          <w:rFonts w:ascii="Times New Roman" w:hAnsi="Times New Roman"/>
          <w:sz w:val="24"/>
          <w:u w:val="single" w:color="000000"/>
        </w:rPr>
        <w:t>sliekšņa vielām</w:t>
      </w:r>
      <w:r>
        <w:rPr>
          <w:rFonts w:ascii="Times New Roman" w:hAnsi="Times New Roman"/>
          <w:sz w:val="24"/>
        </w:rPr>
        <w:t xml:space="preserve">, kas aplūkotas citos </w:t>
      </w:r>
      <w:r>
        <w:rPr>
          <w:rFonts w:ascii="Times New Roman" w:hAnsi="Times New Roman"/>
          <w:sz w:val="24"/>
          <w:u w:val="single" w:color="000000"/>
        </w:rPr>
        <w:t>tehniskajos dokumentos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piemēram, </w:t>
      </w:r>
      <w:r>
        <w:rPr>
          <w:rFonts w:ascii="Times New Roman" w:hAnsi="Times New Roman"/>
          <w:i/>
          <w:iCs/>
          <w:sz w:val="24"/>
        </w:rPr>
        <w:t>TD DL</w:t>
      </w:r>
      <w:r w:rsidR="00D008E3">
        <w:rPr>
          <w:rStyle w:val="FootnoteReference"/>
          <w:rFonts w:ascii="Times New Roman" w:hAnsi="Times New Roman"/>
          <w:noProof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TD GH</w:t>
      </w:r>
      <w:r w:rsidR="00D008E3"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sz w:val="24"/>
        </w:rPr>
        <w:t>).</w:t>
      </w:r>
    </w:p>
    <w:p w14:paraId="41BC4E29" w14:textId="631A28EE" w:rsidR="001601FB" w:rsidRPr="00D008E3" w:rsidRDefault="001601FB" w:rsidP="00D008E3">
      <w:pPr>
        <w:numPr>
          <w:ilvl w:val="2"/>
          <w:numId w:val="5"/>
        </w:numPr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vērtības ir noteiktas, ņemot vērā </w:t>
      </w:r>
      <w:r>
        <w:rPr>
          <w:rFonts w:ascii="Times New Roman" w:hAnsi="Times New Roman"/>
          <w:i/>
          <w:sz w:val="24"/>
        </w:rPr>
        <w:t>aizliegtās vielas</w:t>
      </w:r>
      <w:r>
        <w:rPr>
          <w:rFonts w:ascii="Times New Roman" w:hAnsi="Times New Roman"/>
          <w:sz w:val="24"/>
        </w:rPr>
        <w:t xml:space="preserve"> metabolismu, noturīgumu, farmakokinētiku un farmakodinamiku. Tāpēc vielām, kurām ir ilgstoša dopinga iedarbība un kuras ir aizliegtas vienmēr (</w:t>
      </w:r>
      <w:r>
        <w:rPr>
          <w:rFonts w:ascii="Times New Roman" w:hAnsi="Times New Roman"/>
          <w:i/>
          <w:sz w:val="24"/>
        </w:rPr>
        <w:t>piemēram,</w:t>
      </w:r>
      <w:r>
        <w:rPr>
          <w:rFonts w:ascii="Times New Roman" w:hAnsi="Times New Roman"/>
          <w:sz w:val="24"/>
        </w:rPr>
        <w:t xml:space="preserve"> anaboliskie steroīdi), būs zemākas </w:t>
      </w: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vērtības nekā vielām, kuras lieto, lai panāktu tūlītēju ergogēnisku iedarbību, un kuras ir aizliegtas tikai </w:t>
      </w:r>
      <w:r>
        <w:rPr>
          <w:rFonts w:ascii="Times New Roman" w:hAnsi="Times New Roman"/>
          <w:i/>
          <w:sz w:val="24"/>
        </w:rPr>
        <w:t>sacensību laikā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piemēram,</w:t>
      </w:r>
      <w:r>
        <w:rPr>
          <w:rFonts w:ascii="Times New Roman" w:hAnsi="Times New Roman"/>
          <w:sz w:val="24"/>
        </w:rPr>
        <w:t xml:space="preserve"> stimulējošie līdzekļi).</w:t>
      </w:r>
    </w:p>
    <w:p w14:paraId="700F582D" w14:textId="77777777" w:rsidR="001601FB" w:rsidRPr="00D008E3" w:rsidRDefault="001601FB" w:rsidP="00D008E3">
      <w:pPr>
        <w:numPr>
          <w:ilvl w:val="2"/>
          <w:numId w:val="5"/>
        </w:numPr>
        <w:ind w:left="426" w:hanging="426"/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ir noteikts tieši </w:t>
      </w:r>
      <w:r>
        <w:rPr>
          <w:rFonts w:ascii="Times New Roman" w:hAnsi="Times New Roman"/>
          <w:i/>
          <w:sz w:val="24"/>
        </w:rPr>
        <w:t>aizliegtajai vielai</w:t>
      </w:r>
      <w:r>
        <w:rPr>
          <w:rFonts w:ascii="Times New Roman" w:hAnsi="Times New Roman"/>
          <w:sz w:val="24"/>
        </w:rPr>
        <w:t xml:space="preserve"> un/vai tās </w:t>
      </w:r>
      <w:r>
        <w:rPr>
          <w:rFonts w:ascii="Times New Roman" w:hAnsi="Times New Roman"/>
          <w:i/>
          <w:sz w:val="24"/>
        </w:rPr>
        <w:t>metabolītam(-iem)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marķierim(-iem)</w:t>
      </w:r>
      <w:r>
        <w:rPr>
          <w:rFonts w:ascii="Times New Roman" w:hAnsi="Times New Roman"/>
          <w:sz w:val="24"/>
        </w:rPr>
        <w:t xml:space="preserve"> vai noārdīšanās produktam(-iem) atkarībā no to metabolisma un/vai noturīguma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matricā.</w:t>
      </w:r>
    </w:p>
    <w:p w14:paraId="17B6BC06" w14:textId="6723F241" w:rsidR="001601FB" w:rsidRPr="00D008E3" w:rsidRDefault="001601FB" w:rsidP="00D008E3">
      <w:pPr>
        <w:pStyle w:val="Heading2"/>
        <w:numPr>
          <w:ilvl w:val="2"/>
          <w:numId w:val="5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Tā kā </w:t>
      </w:r>
      <w:r>
        <w:rPr>
          <w:rFonts w:ascii="Times New Roman" w:hAnsi="Times New Roman"/>
          <w:i/>
          <w:sz w:val="24"/>
          <w:u w:val="none"/>
        </w:rPr>
        <w:t>aizliegto vielu</w:t>
      </w:r>
      <w:r>
        <w:rPr>
          <w:rFonts w:ascii="Times New Roman" w:hAnsi="Times New Roman"/>
          <w:sz w:val="24"/>
          <w:u w:val="none"/>
        </w:rPr>
        <w:t xml:space="preserve"> metabolisma un ekskrēcijas veidi pēc ievadīšanas laika gaitā var ievērojami mainīties, ir svarīgi, ka </w:t>
      </w: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attiecīgās </w:t>
      </w:r>
      <w:r>
        <w:rPr>
          <w:rFonts w:ascii="Times New Roman" w:hAnsi="Times New Roman"/>
          <w:sz w:val="24"/>
          <w:u w:color="000000"/>
        </w:rPr>
        <w:t>analizējamās mērķa vielas</w:t>
      </w:r>
      <w:r>
        <w:rPr>
          <w:rFonts w:ascii="Times New Roman" w:hAnsi="Times New Roman"/>
          <w:sz w:val="24"/>
        </w:rPr>
        <w:t xml:space="preserve"> iekļauj </w:t>
      </w:r>
      <w:r>
        <w:rPr>
          <w:rFonts w:ascii="Times New Roman" w:hAnsi="Times New Roman"/>
          <w:sz w:val="24"/>
          <w:u w:color="000000"/>
        </w:rPr>
        <w:t>analītiskajās pārbaudes procedūrās</w:t>
      </w:r>
      <w:r>
        <w:rPr>
          <w:rFonts w:ascii="Times New Roman" w:hAnsi="Times New Roman"/>
          <w:sz w:val="24"/>
          <w:u w:val="none"/>
        </w:rPr>
        <w:t xml:space="preserve">, lai nodrošinātu visplašākās iespējas </w:t>
      </w:r>
      <w:r>
        <w:rPr>
          <w:rFonts w:ascii="Times New Roman" w:hAnsi="Times New Roman"/>
          <w:i/>
          <w:sz w:val="24"/>
          <w:u w:val="none"/>
        </w:rPr>
        <w:t>aizliegtās vielas</w:t>
      </w:r>
      <w:r>
        <w:rPr>
          <w:rFonts w:ascii="Times New Roman" w:hAnsi="Times New Roman"/>
          <w:sz w:val="24"/>
          <w:u w:val="none"/>
        </w:rPr>
        <w:t xml:space="preserve"> noteikšanai.</w:t>
      </w:r>
    </w:p>
    <w:p w14:paraId="5857E774" w14:textId="77777777" w:rsidR="001601FB" w:rsidRPr="00D008E3" w:rsidRDefault="001601FB" w:rsidP="00D008E3">
      <w:pPr>
        <w:jc w:val="both"/>
        <w:rPr>
          <w:rFonts w:ascii="Times New Roman" w:eastAsia="Arial" w:hAnsi="Times New Roman" w:cs="Arial"/>
          <w:noProof/>
          <w:sz w:val="24"/>
          <w:szCs w:val="31"/>
        </w:rPr>
      </w:pPr>
    </w:p>
    <w:p w14:paraId="3F572C9A" w14:textId="77777777" w:rsidR="001601FB" w:rsidRPr="00D008E3" w:rsidRDefault="001601FB" w:rsidP="00D008E3">
      <w:pPr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b/>
          <w:sz w:val="24"/>
        </w:rPr>
        <w:t xml:space="preserve">1. tabula. </w:t>
      </w:r>
      <w:r>
        <w:rPr>
          <w:rFonts w:ascii="Times New Roman" w:hAnsi="Times New Roman"/>
          <w:b/>
          <w:i/>
          <w:iCs/>
          <w:sz w:val="24"/>
          <w:u w:val="thick" w:color="000000"/>
        </w:rPr>
        <w:t>MRPL</w:t>
      </w:r>
      <w:r>
        <w:rPr>
          <w:rFonts w:ascii="Times New Roman" w:hAnsi="Times New Roman"/>
          <w:b/>
          <w:sz w:val="24"/>
        </w:rPr>
        <w:t xml:space="preserve">, ko piemēro, lai cilvēka urīnā noteiktu </w:t>
      </w:r>
      <w:r>
        <w:rPr>
          <w:rFonts w:ascii="Times New Roman" w:hAnsi="Times New Roman"/>
          <w:b/>
          <w:sz w:val="24"/>
          <w:u w:val="thick" w:color="000000"/>
        </w:rPr>
        <w:t>vielas, kas nav sliekšņa vielas</w:t>
      </w:r>
    </w:p>
    <w:p w14:paraId="0E56D329" w14:textId="77777777" w:rsidR="001601FB" w:rsidRPr="00D008E3" w:rsidRDefault="001601FB" w:rsidP="00D008E3">
      <w:pPr>
        <w:jc w:val="both"/>
        <w:rPr>
          <w:rFonts w:ascii="Times New Roman" w:eastAsia="Arial" w:hAnsi="Times New Roman" w:cs="Arial"/>
          <w:b/>
          <w:bCs/>
          <w:noProof/>
          <w:sz w:val="24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66"/>
        <w:gridCol w:w="4801"/>
        <w:gridCol w:w="1161"/>
      </w:tblGrid>
      <w:tr w:rsidR="001601FB" w:rsidRPr="00D008E3" w14:paraId="713AF95B" w14:textId="77777777" w:rsidTr="00A5477B">
        <w:tc>
          <w:tcPr>
            <w:tcW w:w="1734" w:type="pct"/>
            <w:tcBorders>
              <w:top w:val="single" w:sz="12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  <w:shd w:val="clear" w:color="auto" w:fill="DADADA"/>
          </w:tcPr>
          <w:p w14:paraId="33EF7CC0" w14:textId="77777777" w:rsidR="001601FB" w:rsidRPr="00D008E3" w:rsidRDefault="001601FB" w:rsidP="00D008E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Aizliegto vielu klase</w:t>
            </w:r>
          </w:p>
        </w:tc>
        <w:tc>
          <w:tcPr>
            <w:tcW w:w="2630" w:type="pct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ADADA"/>
          </w:tcPr>
          <w:p w14:paraId="059195B7" w14:textId="77777777" w:rsidR="001601FB" w:rsidRPr="00D008E3" w:rsidRDefault="001601FB" w:rsidP="00D008E3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Konkrēti piemēri/izņēmumi</w:t>
            </w:r>
          </w:p>
        </w:tc>
        <w:tc>
          <w:tcPr>
            <w:tcW w:w="636" w:type="pct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  <w:shd w:val="clear" w:color="auto" w:fill="DADADA"/>
          </w:tcPr>
          <w:p w14:paraId="3D29374A" w14:textId="77777777" w:rsidR="001601FB" w:rsidRPr="00D008E3" w:rsidRDefault="001601FB" w:rsidP="00D008E3">
            <w:pPr>
              <w:pStyle w:val="TableParagraph"/>
              <w:jc w:val="center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u w:val="thick" w:color="000000"/>
              </w:rPr>
              <w:t>MRPL</w:t>
            </w:r>
            <w:r>
              <w:rPr>
                <w:rFonts w:ascii="Times New Roman" w:hAnsi="Times New Roman"/>
                <w:sz w:val="20"/>
                <w:vertAlign w:val="superscript"/>
              </w:rPr>
              <w:t>(a)</w:t>
            </w:r>
          </w:p>
        </w:tc>
      </w:tr>
      <w:tr w:rsidR="001601FB" w:rsidRPr="00D008E3" w14:paraId="28422CC3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7E7D1257" w14:textId="3599024A" w:rsidR="001601FB" w:rsidRPr="00D008E3" w:rsidRDefault="001601FB" w:rsidP="00D008E3">
            <w:pPr>
              <w:pStyle w:val="TableParagraph"/>
              <w:tabs>
                <w:tab w:val="left" w:pos="1006"/>
                <w:tab w:val="left" w:pos="2475"/>
              </w:tabs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S1.1a. Eksogēnie anaboliskie androgēnie steroīdi (AAS)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F357E3B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9" w:space="0" w:color="000000"/>
            </w:tcBorders>
          </w:tcPr>
          <w:p w14:paraId="62386331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 ng/ml</w:t>
            </w:r>
          </w:p>
        </w:tc>
      </w:tr>
      <w:tr w:rsidR="001601FB" w:rsidRPr="00D008E3" w14:paraId="4FBFBDE2" w14:textId="77777777" w:rsidTr="00A5477B">
        <w:tc>
          <w:tcPr>
            <w:tcW w:w="1734" w:type="pc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0DBC0624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14449A1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Dehidrohlormetiltestosterons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9" w:space="0" w:color="000000"/>
            </w:tcBorders>
          </w:tcPr>
          <w:p w14:paraId="33C961F5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3C4F5E84" w14:textId="77777777" w:rsidTr="00A5477B">
        <w:tc>
          <w:tcPr>
            <w:tcW w:w="1734" w:type="pc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09E47031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B0C4F2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Metandienons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9" w:space="0" w:color="000000"/>
            </w:tcBorders>
          </w:tcPr>
          <w:p w14:paraId="678033C8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5D96D61A" w14:textId="77777777" w:rsidTr="00A5477B">
        <w:tc>
          <w:tcPr>
            <w:tcW w:w="1734" w:type="pc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4BE9C625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634B43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17α-metiltestosterons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9" w:space="0" w:color="000000"/>
            </w:tcBorders>
          </w:tcPr>
          <w:p w14:paraId="164B30AB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2DEC59D4" w14:textId="77777777" w:rsidTr="00A5477B">
        <w:tc>
          <w:tcPr>
            <w:tcW w:w="1734" w:type="pct"/>
            <w:tcBorders>
              <w:top w:val="single" w:sz="5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7EA0964F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B33FFE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Stanozolols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04AAF7AD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77ABA495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5F3ED369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S1.1b. Endogēnie AAS, ja tos ievada eksogēni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7746C6" w14:textId="2AE31111" w:rsid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19-norandrosterons (19-NA)</w:t>
            </w:r>
            <w:r>
              <w:rPr>
                <w:rFonts w:ascii="Times New Roman" w:hAnsi="Times New Roman"/>
                <w:sz w:val="20"/>
                <w:vertAlign w:val="superscript"/>
              </w:rPr>
              <w:t>(b)</w:t>
            </w:r>
          </w:p>
          <w:p w14:paraId="64128BD2" w14:textId="77777777" w:rsidR="00D008E3" w:rsidRDefault="00D008E3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841423B" w14:textId="07DE267D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19-noretioholanolons (19-NE)</w:t>
            </w:r>
            <w:r>
              <w:rPr>
                <w:rFonts w:ascii="Times New Roman" w:hAnsi="Times New Roman"/>
                <w:sz w:val="20"/>
                <w:vertAlign w:val="superscript"/>
              </w:rPr>
              <w:t>(b)</w:t>
            </w:r>
          </w:p>
          <w:p w14:paraId="08883984" w14:textId="77777777" w:rsidR="00D008E3" w:rsidRDefault="00D008E3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A96982A" w14:textId="368ADE8B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Boldenons</w:t>
            </w:r>
            <w:r>
              <w:rPr>
                <w:rFonts w:ascii="Times New Roman" w:hAnsi="Times New Roman"/>
                <w:sz w:val="20"/>
                <w:vertAlign w:val="superscript"/>
              </w:rPr>
              <w:t>(c)</w:t>
            </w: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0E586F15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  <w:p w14:paraId="71AA3AB7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2A9B6043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25C8C5D4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225A278A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 ng/ml</w:t>
            </w:r>
          </w:p>
        </w:tc>
      </w:tr>
      <w:tr w:rsidR="001601FB" w:rsidRPr="00D008E3" w14:paraId="000EE7EC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0ED5E4F6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S1.2. Citi anaboliskie līdzekļi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EBD7C85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9" w:space="0" w:color="000000"/>
            </w:tcBorders>
          </w:tcPr>
          <w:p w14:paraId="065EDB47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2221BA9D" w14:textId="77777777" w:rsidTr="00A5477B">
        <w:tc>
          <w:tcPr>
            <w:tcW w:w="1734" w:type="pct"/>
            <w:tcBorders>
              <w:top w:val="single" w:sz="5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56E3F3E4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21063A6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Klenbuterols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49CB950C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0,2 ng/ml</w:t>
            </w:r>
          </w:p>
        </w:tc>
      </w:tr>
      <w:tr w:rsidR="001601FB" w:rsidRPr="00D008E3" w14:paraId="4CCEEB23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55B49595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S2.1.2. 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HIF</w:t>
            </w:r>
            <w:r>
              <w:rPr>
                <w:rFonts w:ascii="Times New Roman" w:hAnsi="Times New Roman"/>
                <w:b/>
                <w:sz w:val="20"/>
              </w:rPr>
              <w:t xml:space="preserve"> aktivatori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BDB51F9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Molidustats</w:t>
            </w:r>
          </w:p>
          <w:p w14:paraId="77E46398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0FCDA985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Roksadustats (FG-4592)</w:t>
            </w: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5FED0AFD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23CB642D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577EAAB8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391F80EC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S2.2.1. Gonadotropīna (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CG/LH</w:t>
            </w:r>
            <w:r>
              <w:rPr>
                <w:rFonts w:ascii="Times New Roman" w:hAnsi="Times New Roman"/>
                <w:b/>
                <w:sz w:val="20"/>
              </w:rPr>
              <w:t>) atbrīvotājfaktori</w:t>
            </w:r>
            <w:r>
              <w:rPr>
                <w:rFonts w:ascii="Times New Roman" w:hAnsi="Times New Roman"/>
                <w:sz w:val="20"/>
                <w:vertAlign w:val="superscript"/>
              </w:rPr>
              <w:t>(d)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8A1A419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Buserelīns, deslorelīns, gonadorelīns, goserelīns, leiprolīns, nafarelīns, triptorelīns</w:t>
            </w: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3C20F5B3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3CD5B71D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dotted" w:sz="6" w:space="0" w:color="000000"/>
              <w:right w:val="single" w:sz="4" w:space="0" w:color="000000"/>
            </w:tcBorders>
          </w:tcPr>
          <w:p w14:paraId="316834C1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S2.2.3. Augšanas hormons (</w:t>
            </w:r>
            <w:r>
              <w:rPr>
                <w:rFonts w:ascii="Times New Roman" w:hAnsi="Times New Roman"/>
                <w:b/>
                <w:i/>
                <w:iCs/>
                <w:sz w:val="20"/>
              </w:rPr>
              <w:t>GH</w:t>
            </w:r>
            <w:r>
              <w:rPr>
                <w:rFonts w:ascii="Times New Roman" w:hAnsi="Times New Roman"/>
                <w:b/>
                <w:sz w:val="20"/>
              </w:rPr>
              <w:t>), tā fragmenti un atbrīvotājfaktori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3BE88C19" w14:textId="77777777" w:rsidR="001601FB" w:rsidRPr="00A5477B" w:rsidRDefault="001601FB" w:rsidP="00A5477B">
            <w:pPr>
              <w:pStyle w:val="ListParagraph"/>
              <w:numPr>
                <w:ilvl w:val="0"/>
                <w:numId w:val="4"/>
              </w:numPr>
              <w:tabs>
                <w:tab w:val="left" w:pos="309"/>
              </w:tabs>
              <w:ind w:hanging="308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GH</w:t>
            </w:r>
            <w:r>
              <w:rPr>
                <w:rFonts w:ascii="Times New Roman" w:hAnsi="Times New Roman"/>
                <w:sz w:val="20"/>
              </w:rPr>
              <w:t xml:space="preserve"> fragmenti;</w:t>
            </w:r>
            <w:r>
              <w:rPr>
                <w:rFonts w:ascii="Times New Roman" w:hAnsi="Times New Roman"/>
                <w:sz w:val="20"/>
                <w:vertAlign w:val="superscript"/>
              </w:rPr>
              <w:t>(d)</w:t>
            </w:r>
          </w:p>
          <w:p w14:paraId="21B4D1EC" w14:textId="77777777" w:rsidR="00A5477B" w:rsidRPr="00A5477B" w:rsidRDefault="00A5477B" w:rsidP="00A5477B">
            <w:pPr>
              <w:pStyle w:val="ListParagraph"/>
              <w:numPr>
                <w:ilvl w:val="0"/>
                <w:numId w:val="4"/>
              </w:numPr>
              <w:tabs>
                <w:tab w:val="left" w:pos="309"/>
              </w:tabs>
              <w:ind w:hanging="308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GH</w:t>
            </w:r>
            <w:r>
              <w:rPr>
                <w:rFonts w:ascii="Times New Roman" w:hAnsi="Times New Roman"/>
                <w:sz w:val="20"/>
              </w:rPr>
              <w:t xml:space="preserve"> atbrīvotājhormons (</w:t>
            </w:r>
            <w:r>
              <w:rPr>
                <w:rFonts w:ascii="Times New Roman" w:hAnsi="Times New Roman"/>
                <w:i/>
                <w:iCs/>
                <w:sz w:val="20"/>
              </w:rPr>
              <w:t>GHRH</w:t>
            </w:r>
            <w:r>
              <w:rPr>
                <w:rFonts w:ascii="Times New Roman" w:hAnsi="Times New Roman"/>
                <w:sz w:val="20"/>
              </w:rPr>
              <w:t>) un tā analogi;</w:t>
            </w:r>
          </w:p>
          <w:p w14:paraId="30E60F98" w14:textId="77777777" w:rsidR="00A5477B" w:rsidRPr="00D008E3" w:rsidRDefault="00A5477B" w:rsidP="00A5477B">
            <w:pPr>
              <w:pStyle w:val="ListParagraph"/>
              <w:numPr>
                <w:ilvl w:val="0"/>
                <w:numId w:val="4"/>
              </w:numPr>
              <w:tabs>
                <w:tab w:val="left" w:pos="309"/>
              </w:tabs>
              <w:ind w:hanging="308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GH</w:t>
            </w:r>
            <w:r>
              <w:rPr>
                <w:rFonts w:ascii="Times New Roman" w:hAnsi="Times New Roman"/>
                <w:sz w:val="20"/>
              </w:rPr>
              <w:t xml:space="preserve"> sekrēcijas stimulatori (</w:t>
            </w:r>
            <w:r>
              <w:rPr>
                <w:rFonts w:ascii="Times New Roman" w:hAnsi="Times New Roman"/>
                <w:i/>
                <w:iCs/>
                <w:sz w:val="20"/>
              </w:rPr>
              <w:t>GHS</w:t>
            </w:r>
            <w:r>
              <w:rPr>
                <w:rFonts w:ascii="Times New Roman" w:hAnsi="Times New Roman"/>
                <w:sz w:val="20"/>
              </w:rPr>
              <w:t>);</w:t>
            </w:r>
            <w:r>
              <w:rPr>
                <w:rFonts w:ascii="Times New Roman" w:hAnsi="Times New Roman"/>
                <w:sz w:val="20"/>
                <w:vertAlign w:val="superscript"/>
              </w:rPr>
              <w:t>(d)</w:t>
            </w:r>
          </w:p>
          <w:p w14:paraId="05BC96C6" w14:textId="04F1114A" w:rsidR="00A5477B" w:rsidRPr="00D008E3" w:rsidRDefault="00A5477B" w:rsidP="00A5477B">
            <w:pPr>
              <w:pStyle w:val="ListParagraph"/>
              <w:numPr>
                <w:ilvl w:val="0"/>
                <w:numId w:val="4"/>
              </w:numPr>
              <w:tabs>
                <w:tab w:val="left" w:pos="309"/>
              </w:tabs>
              <w:ind w:hanging="308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GH</w:t>
            </w:r>
            <w:r>
              <w:rPr>
                <w:rFonts w:ascii="Times New Roman" w:hAnsi="Times New Roman"/>
                <w:sz w:val="20"/>
              </w:rPr>
              <w:t xml:space="preserve"> atbrīvotājpeptīdi (</w:t>
            </w:r>
            <w:r>
              <w:rPr>
                <w:rFonts w:ascii="Times New Roman" w:hAnsi="Times New Roman"/>
                <w:i/>
                <w:iCs/>
                <w:sz w:val="20"/>
              </w:rPr>
              <w:t>GHRP</w:t>
            </w:r>
            <w:r>
              <w:rPr>
                <w:rFonts w:ascii="Times New Roman" w:hAnsi="Times New Roman"/>
                <w:sz w:val="20"/>
              </w:rPr>
              <w:t>).</w:t>
            </w:r>
            <w:r>
              <w:rPr>
                <w:rFonts w:ascii="Times New Roman" w:hAnsi="Times New Roman"/>
                <w:sz w:val="20"/>
                <w:vertAlign w:val="superscript"/>
              </w:rPr>
              <w:t>(d)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dotted" w:sz="6" w:space="0" w:color="000000"/>
              <w:right w:val="single" w:sz="4" w:space="0" w:color="000000"/>
            </w:tcBorders>
          </w:tcPr>
          <w:p w14:paraId="2EF0E86C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0F6EF976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47832ACE" w14:textId="662158E5" w:rsidR="00A5477B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AOD9604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</w:rPr>
              <w:t>hGH 176-191</w:t>
            </w:r>
          </w:p>
          <w:p w14:paraId="2B67235A" w14:textId="77777777" w:rsidR="00A5477B" w:rsidRPr="00D008E3" w:rsidRDefault="00A5477B" w:rsidP="00A5477B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CJC-1295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</w:rPr>
              <w:t>CJC-1293</w:t>
            </w:r>
            <w:r>
              <w:rPr>
                <w:rFonts w:ascii="Times New Roman" w:hAnsi="Times New Roman"/>
                <w:sz w:val="20"/>
              </w:rPr>
              <w:t>, sermorelīns, tesamorelīns</w:t>
            </w:r>
          </w:p>
          <w:p w14:paraId="3208D54A" w14:textId="77777777" w:rsidR="00A5477B" w:rsidRPr="00D008E3" w:rsidRDefault="00A5477B" w:rsidP="00A5477B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35F0A2D1" w14:textId="285C273A" w:rsidR="00A5477B" w:rsidRPr="00A5477B" w:rsidRDefault="00A5477B" w:rsidP="00A5477B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Anamorelīns, ipamorelīns, tabimorelīns</w:t>
            </w:r>
          </w:p>
          <w:p w14:paraId="42093055" w14:textId="77777777" w:rsidR="00C532A6" w:rsidRDefault="00C532A6" w:rsidP="00A5477B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</w:p>
          <w:p w14:paraId="2F64DC70" w14:textId="00792190" w:rsidR="00A5477B" w:rsidRPr="00D008E3" w:rsidRDefault="00A5477B" w:rsidP="00A5477B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Aleksamorelīns, </w:t>
            </w:r>
            <w:r>
              <w:rPr>
                <w:rFonts w:ascii="Times New Roman" w:hAnsi="Times New Roman"/>
                <w:i/>
                <w:iCs/>
                <w:sz w:val="20"/>
              </w:rPr>
              <w:t>GHRP</w:t>
            </w:r>
            <w:r>
              <w:rPr>
                <w:rFonts w:ascii="Times New Roman" w:hAnsi="Times New Roman"/>
                <w:sz w:val="20"/>
              </w:rPr>
              <w:t>-1, -2, -3, -4, -5 un -6; heksarelīns</w:t>
            </w: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dotted" w:sz="6" w:space="0" w:color="000000"/>
              <w:right w:val="single" w:sz="9" w:space="0" w:color="000000"/>
            </w:tcBorders>
          </w:tcPr>
          <w:p w14:paraId="092F7E1C" w14:textId="7C9F98B4" w:rsidR="001601FB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11B2236F" w14:textId="77777777" w:rsidR="00A5477B" w:rsidRPr="00D008E3" w:rsidRDefault="00A5477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2F940A1D" w14:textId="7A061E7B" w:rsidR="00A5477B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  <w:p w14:paraId="61ACD42E" w14:textId="77777777" w:rsidR="00A5477B" w:rsidRPr="00D008E3" w:rsidRDefault="00A5477B" w:rsidP="00A5477B">
            <w:pPr>
              <w:pStyle w:val="ListParagraph"/>
              <w:tabs>
                <w:tab w:val="left" w:pos="431"/>
              </w:tabs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 ng/ml</w:t>
            </w:r>
          </w:p>
          <w:p w14:paraId="3E54D26F" w14:textId="77777777" w:rsidR="00A5477B" w:rsidRPr="00D008E3" w:rsidRDefault="00A5477B" w:rsidP="00A5477B">
            <w:pPr>
              <w:pStyle w:val="TableParagraph"/>
              <w:jc w:val="both"/>
              <w:rPr>
                <w:rFonts w:ascii="Times New Roman" w:eastAsia="Arial" w:hAnsi="Times New Roman" w:cs="Arial"/>
                <w:b/>
                <w:bCs/>
                <w:noProof/>
                <w:sz w:val="20"/>
                <w:szCs w:val="20"/>
              </w:rPr>
            </w:pPr>
          </w:p>
          <w:p w14:paraId="14861768" w14:textId="57CC479F" w:rsidR="00A5477B" w:rsidRPr="00A5477B" w:rsidRDefault="00A5477B" w:rsidP="00A5477B">
            <w:pPr>
              <w:pStyle w:val="ListParagraph"/>
              <w:tabs>
                <w:tab w:val="left" w:pos="431"/>
              </w:tabs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  <w:p w14:paraId="3283D0CA" w14:textId="77777777" w:rsidR="00C532A6" w:rsidRDefault="00C532A6" w:rsidP="00A5477B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</w:p>
          <w:p w14:paraId="7E05BAA1" w14:textId="75900E5C" w:rsidR="00A5477B" w:rsidRPr="00D008E3" w:rsidRDefault="00A5477B" w:rsidP="00A5477B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0A814630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nil"/>
              <w:right w:val="single" w:sz="4" w:space="0" w:color="000000"/>
            </w:tcBorders>
          </w:tcPr>
          <w:p w14:paraId="76D10AB2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S2.3. Augšanas faktori un augšanas faktoru modulatori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960E1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TB-500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0"/>
              </w:rPr>
              <w:t>N-Ac LKKTETQ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  <w:vertAlign w:val="superscript"/>
              </w:rPr>
              <w:t>(d)</w:t>
            </w: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14:paraId="4E040003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4A0C27CB" w14:textId="77777777" w:rsidTr="00A5477B">
        <w:tc>
          <w:tcPr>
            <w:tcW w:w="1734" w:type="pct"/>
            <w:tcBorders>
              <w:top w:val="nil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1C6E63C6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1F66F95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762379FF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601FB" w:rsidRPr="00D008E3" w14:paraId="023C2DDD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3A9428C8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S3. Bēta-2-agonisti</w:t>
            </w:r>
            <w:r>
              <w:rPr>
                <w:rFonts w:ascii="Times New Roman" w:hAnsi="Times New Roman"/>
                <w:sz w:val="20"/>
                <w:vertAlign w:val="superscript"/>
              </w:rPr>
              <w:t>(e)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ED612A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0DB5604D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 ng/ml</w:t>
            </w:r>
          </w:p>
        </w:tc>
      </w:tr>
      <w:tr w:rsidR="001601FB" w:rsidRPr="00D008E3" w14:paraId="022C54B2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18" w:space="0" w:color="000000"/>
              <w:right w:val="nil"/>
            </w:tcBorders>
          </w:tcPr>
          <w:p w14:paraId="59B81A20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6CF293A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546D5A41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1601FB" w:rsidRPr="00D008E3" w14:paraId="663A9C1F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nil"/>
              <w:right w:val="dotted" w:sz="3" w:space="0" w:color="000000"/>
            </w:tcBorders>
          </w:tcPr>
          <w:p w14:paraId="79B9E569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18" w:space="0" w:color="000000"/>
              <w:left w:val="dotted" w:sz="3" w:space="0" w:color="000000"/>
              <w:bottom w:val="dotted" w:sz="5" w:space="0" w:color="000000"/>
              <w:right w:val="single" w:sz="4" w:space="0" w:color="000000"/>
            </w:tcBorders>
          </w:tcPr>
          <w:p w14:paraId="6BA2E88D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Aromatāzes inhibitori, </w:t>
            </w:r>
            <w:r>
              <w:rPr>
                <w:rFonts w:ascii="Times New Roman" w:hAnsi="Times New Roman"/>
                <w:i/>
                <w:iCs/>
                <w:sz w:val="20"/>
              </w:rPr>
              <w:t>SERM</w:t>
            </w:r>
            <w:r>
              <w:rPr>
                <w:rFonts w:ascii="Times New Roman" w:hAnsi="Times New Roman"/>
                <w:sz w:val="20"/>
              </w:rPr>
              <w:t xml:space="preserve"> un citas antiestrogēniskas vielas</w:t>
            </w: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dotted" w:sz="5" w:space="0" w:color="000000"/>
              <w:right w:val="single" w:sz="9" w:space="0" w:color="000000"/>
            </w:tcBorders>
          </w:tcPr>
          <w:p w14:paraId="63C06048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 ng/ml</w:t>
            </w:r>
          </w:p>
        </w:tc>
      </w:tr>
      <w:tr w:rsidR="001601FB" w:rsidRPr="00D008E3" w14:paraId="0A650F7C" w14:textId="77777777" w:rsidTr="00A5477B">
        <w:tc>
          <w:tcPr>
            <w:tcW w:w="1734" w:type="pct"/>
            <w:tcBorders>
              <w:top w:val="nil"/>
              <w:left w:val="single" w:sz="9" w:space="0" w:color="000000"/>
              <w:bottom w:val="single" w:sz="18" w:space="0" w:color="000000"/>
              <w:right w:val="dotted" w:sz="3" w:space="0" w:color="000000"/>
            </w:tcBorders>
          </w:tcPr>
          <w:p w14:paraId="780BA3E1" w14:textId="4AFB26D1" w:rsidR="001601FB" w:rsidRPr="00D008E3" w:rsidRDefault="001601FB" w:rsidP="00A5477B">
            <w:pPr>
              <w:pStyle w:val="TableParagraph"/>
              <w:tabs>
                <w:tab w:val="left" w:pos="654"/>
                <w:tab w:val="left" w:pos="1784"/>
                <w:tab w:val="left" w:pos="2389"/>
              </w:tabs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S4. Hormoni un vielmaiņas modulatori</w:t>
            </w:r>
          </w:p>
        </w:tc>
        <w:tc>
          <w:tcPr>
            <w:tcW w:w="2630" w:type="pct"/>
            <w:tcBorders>
              <w:top w:val="dotted" w:sz="5" w:space="0" w:color="000000"/>
              <w:left w:val="dotted" w:sz="3" w:space="0" w:color="000000"/>
              <w:bottom w:val="single" w:sz="18" w:space="0" w:color="000000"/>
              <w:right w:val="single" w:sz="4" w:space="0" w:color="000000"/>
            </w:tcBorders>
          </w:tcPr>
          <w:p w14:paraId="260CFA04" w14:textId="77777777" w:rsidR="00A5477B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Formestāns</w:t>
            </w:r>
            <w:r>
              <w:rPr>
                <w:rFonts w:ascii="Times New Roman" w:hAnsi="Times New Roman"/>
                <w:sz w:val="20"/>
                <w:vertAlign w:val="superscript"/>
              </w:rPr>
              <w:t>(f)</w:t>
            </w:r>
          </w:p>
          <w:p w14:paraId="1E674DF7" w14:textId="77777777" w:rsidR="00A5477B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Meldonijs</w:t>
            </w:r>
          </w:p>
          <w:p w14:paraId="719AE8F2" w14:textId="67F7899E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Insulīns</w:t>
            </w:r>
          </w:p>
        </w:tc>
        <w:tc>
          <w:tcPr>
            <w:tcW w:w="636" w:type="pct"/>
            <w:tcBorders>
              <w:top w:val="dotted" w:sz="5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6FB2DDC9" w14:textId="7C26AEDB" w:rsidR="001601FB" w:rsidRPr="00A5477B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 ng/ml</w:t>
            </w:r>
          </w:p>
          <w:p w14:paraId="03E3C52E" w14:textId="730EF540" w:rsidR="001601FB" w:rsidRPr="00A5477B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200 ng/ml</w:t>
            </w:r>
          </w:p>
          <w:p w14:paraId="541024EA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 ng/ml</w:t>
            </w:r>
          </w:p>
        </w:tc>
      </w:tr>
      <w:tr w:rsidR="001601FB" w:rsidRPr="00D008E3" w14:paraId="1E6C70C7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nil"/>
              <w:right w:val="dotted" w:sz="3" w:space="0" w:color="000000"/>
            </w:tcBorders>
          </w:tcPr>
          <w:p w14:paraId="620FBFCB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S5. Diurētiskie līdzekļi un maskējošie līdzekļi</w:t>
            </w:r>
          </w:p>
        </w:tc>
        <w:tc>
          <w:tcPr>
            <w:tcW w:w="2630" w:type="pct"/>
            <w:tcBorders>
              <w:top w:val="single" w:sz="18" w:space="0" w:color="000000"/>
              <w:left w:val="dotted" w:sz="3" w:space="0" w:color="000000"/>
              <w:bottom w:val="dotted" w:sz="3" w:space="0" w:color="000000"/>
              <w:right w:val="single" w:sz="4" w:space="0" w:color="000000"/>
            </w:tcBorders>
          </w:tcPr>
          <w:p w14:paraId="113DADFC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dotted" w:sz="3" w:space="0" w:color="000000"/>
              <w:right w:val="single" w:sz="9" w:space="0" w:color="000000"/>
            </w:tcBorders>
          </w:tcPr>
          <w:p w14:paraId="06484ADB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200 ng/ml</w:t>
            </w:r>
          </w:p>
        </w:tc>
      </w:tr>
      <w:tr w:rsidR="001601FB" w:rsidRPr="00D008E3" w14:paraId="2F966A04" w14:textId="77777777" w:rsidTr="00A5477B">
        <w:tc>
          <w:tcPr>
            <w:tcW w:w="1734" w:type="pct"/>
            <w:tcBorders>
              <w:top w:val="nil"/>
              <w:left w:val="single" w:sz="9" w:space="0" w:color="000000"/>
              <w:bottom w:val="single" w:sz="18" w:space="0" w:color="000000"/>
              <w:right w:val="dotted" w:sz="3" w:space="0" w:color="000000"/>
            </w:tcBorders>
          </w:tcPr>
          <w:p w14:paraId="412F4521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dotted" w:sz="3" w:space="0" w:color="000000"/>
              <w:left w:val="dotted" w:sz="3" w:space="0" w:color="000000"/>
              <w:bottom w:val="single" w:sz="18" w:space="0" w:color="000000"/>
              <w:right w:val="single" w:sz="4" w:space="0" w:color="000000"/>
            </w:tcBorders>
          </w:tcPr>
          <w:p w14:paraId="4D7BDDBA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Desmopresīns un tā analogi</w:t>
            </w:r>
            <w:r>
              <w:rPr>
                <w:rFonts w:ascii="Times New Roman" w:hAnsi="Times New Roman"/>
                <w:sz w:val="20"/>
                <w:vertAlign w:val="superscript"/>
              </w:rPr>
              <w:t>(d)</w:t>
            </w:r>
          </w:p>
        </w:tc>
        <w:tc>
          <w:tcPr>
            <w:tcW w:w="636" w:type="pct"/>
            <w:tcBorders>
              <w:top w:val="dotted" w:sz="3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23F60123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4F74DAF4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386DEE2D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S6. Stimulējošie līdzekļi</w:t>
            </w:r>
            <w:r>
              <w:rPr>
                <w:rFonts w:ascii="Times New Roman" w:hAnsi="Times New Roman"/>
                <w:sz w:val="20"/>
                <w:vertAlign w:val="superscript"/>
              </w:rPr>
              <w:t>(g)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C56FC34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9" w:space="0" w:color="000000"/>
            </w:tcBorders>
          </w:tcPr>
          <w:p w14:paraId="60163825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 ng/ml</w:t>
            </w:r>
          </w:p>
        </w:tc>
      </w:tr>
      <w:tr w:rsidR="001601FB" w:rsidRPr="00D008E3" w14:paraId="148F8F9D" w14:textId="77777777" w:rsidTr="00A5477B">
        <w:tc>
          <w:tcPr>
            <w:tcW w:w="1734" w:type="pct"/>
            <w:tcBorders>
              <w:top w:val="single" w:sz="5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5100919D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DDF1F1C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Oktopamīns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4497F49A" w14:textId="78E9710F" w:rsidR="001601FB" w:rsidRPr="00D008E3" w:rsidRDefault="001601FB" w:rsidP="00A5477B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1000 ng/ml</w:t>
            </w:r>
          </w:p>
        </w:tc>
      </w:tr>
      <w:tr w:rsidR="001601FB" w:rsidRPr="00D008E3" w14:paraId="6299CD18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62854171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S7. Narkotiskās vielas</w:t>
            </w:r>
            <w:r>
              <w:rPr>
                <w:rFonts w:ascii="Times New Roman" w:hAnsi="Times New Roman"/>
                <w:sz w:val="20"/>
                <w:vertAlign w:val="superscript"/>
              </w:rPr>
              <w:t>(h)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D2C69DD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9" w:space="0" w:color="000000"/>
            </w:tcBorders>
          </w:tcPr>
          <w:p w14:paraId="1BE606A6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 ng/ml</w:t>
            </w:r>
          </w:p>
        </w:tc>
      </w:tr>
      <w:tr w:rsidR="001601FB" w:rsidRPr="00D008E3" w14:paraId="42B203B3" w14:textId="77777777" w:rsidTr="00A5477B">
        <w:tc>
          <w:tcPr>
            <w:tcW w:w="1734" w:type="pc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415DF3CD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5ED065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Buprenorfīns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9" w:space="0" w:color="000000"/>
            </w:tcBorders>
          </w:tcPr>
          <w:p w14:paraId="6C6D931F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 ng/ml</w:t>
            </w:r>
          </w:p>
        </w:tc>
      </w:tr>
      <w:tr w:rsidR="001601FB" w:rsidRPr="00D008E3" w14:paraId="282A8F16" w14:textId="77777777" w:rsidTr="00A5477B">
        <w:tc>
          <w:tcPr>
            <w:tcW w:w="1734" w:type="pct"/>
            <w:tcBorders>
              <w:top w:val="single" w:sz="5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4244B22F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748BD7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Fentanils (un tā atvasinājumi)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72259DFB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 ng/ml</w:t>
            </w:r>
          </w:p>
        </w:tc>
      </w:tr>
      <w:tr w:rsidR="001601FB" w:rsidRPr="00D008E3" w14:paraId="4C9256D7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03BFFDDC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S8. Kanabimimētiskie līdzekļi</w:t>
            </w:r>
            <w:r>
              <w:rPr>
                <w:rFonts w:ascii="Times New Roman" w:hAnsi="Times New Roman"/>
                <w:sz w:val="20"/>
                <w:vertAlign w:val="superscript"/>
              </w:rPr>
              <w:t>(i)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77AA39B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36E36479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 ng/ml</w:t>
            </w:r>
          </w:p>
        </w:tc>
      </w:tr>
      <w:tr w:rsidR="001601FB" w:rsidRPr="00D008E3" w14:paraId="70719D14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251A4AA0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S9. Glikokortikoīdi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CADB1C4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5" w:space="0" w:color="000000"/>
              <w:right w:val="single" w:sz="9" w:space="0" w:color="000000"/>
            </w:tcBorders>
          </w:tcPr>
          <w:p w14:paraId="2E899DA5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 ng/ml</w:t>
            </w:r>
          </w:p>
        </w:tc>
      </w:tr>
      <w:tr w:rsidR="001601FB" w:rsidRPr="00D008E3" w14:paraId="5739F73C" w14:textId="77777777" w:rsidTr="00A5477B">
        <w:tc>
          <w:tcPr>
            <w:tcW w:w="1734" w:type="pct"/>
            <w:tcBorders>
              <w:top w:val="single" w:sz="5" w:space="0" w:color="000000"/>
              <w:left w:val="single" w:sz="9" w:space="0" w:color="000000"/>
              <w:bottom w:val="single" w:sz="18" w:space="0" w:color="000000"/>
              <w:right w:val="single" w:sz="4" w:space="0" w:color="000000"/>
            </w:tcBorders>
          </w:tcPr>
          <w:p w14:paraId="51A3F5CF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30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A19F59F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eastAsia="Arial" w:hAnsi="Times New Roman" w:cs="Arial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Budesonīds (6β-hidroksi-budesonīds)</w:t>
            </w:r>
            <w:r>
              <w:rPr>
                <w:rFonts w:ascii="Times New Roman" w:hAnsi="Times New Roman"/>
                <w:sz w:val="20"/>
                <w:vertAlign w:val="superscript"/>
              </w:rPr>
              <w:t>(j)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4" w:space="0" w:color="000000"/>
              <w:bottom w:val="single" w:sz="18" w:space="0" w:color="000000"/>
              <w:right w:val="single" w:sz="9" w:space="0" w:color="000000"/>
            </w:tcBorders>
          </w:tcPr>
          <w:p w14:paraId="70F08C0E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 ng/ml</w:t>
            </w:r>
          </w:p>
        </w:tc>
      </w:tr>
      <w:tr w:rsidR="001601FB" w:rsidRPr="00D008E3" w14:paraId="163885E9" w14:textId="77777777" w:rsidTr="00A5477B">
        <w:tc>
          <w:tcPr>
            <w:tcW w:w="1734" w:type="pct"/>
            <w:tcBorders>
              <w:top w:val="single" w:sz="18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65CEA644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P1. Bēta blokatori</w:t>
            </w:r>
          </w:p>
        </w:tc>
        <w:tc>
          <w:tcPr>
            <w:tcW w:w="2630" w:type="pct"/>
            <w:tcBorders>
              <w:top w:val="single" w:sz="18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3CD6701" w14:textId="77777777" w:rsidR="001601FB" w:rsidRPr="00D008E3" w:rsidRDefault="001601FB" w:rsidP="00D008E3">
            <w:pPr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18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14:paraId="39F56535" w14:textId="77777777" w:rsidR="001601FB" w:rsidRPr="00D008E3" w:rsidRDefault="001601FB" w:rsidP="00D008E3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 ng/ml</w:t>
            </w:r>
          </w:p>
        </w:tc>
      </w:tr>
    </w:tbl>
    <w:p w14:paraId="648B182A" w14:textId="77777777" w:rsidR="00D008E3" w:rsidRDefault="00D008E3" w:rsidP="00D008E3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</w:p>
    <w:p w14:paraId="77BBE364" w14:textId="57D49BAD" w:rsidR="001601FB" w:rsidRPr="00A5477B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16"/>
        </w:rPr>
      </w:pPr>
      <w:r>
        <w:rPr>
          <w:rFonts w:ascii="Times New Roman" w:hAnsi="Times New Roman"/>
        </w:rPr>
        <w:t xml:space="preserve">a) Jebkurā gadījumā </w:t>
      </w:r>
      <w:r>
        <w:rPr>
          <w:rFonts w:ascii="Times New Roman" w:hAnsi="Times New Roman"/>
          <w:i/>
          <w:iCs/>
          <w:u w:val="single" w:color="000000"/>
        </w:rPr>
        <w:t>MRPL</w:t>
      </w:r>
      <w:r>
        <w:rPr>
          <w:rFonts w:ascii="Times New Roman" w:hAnsi="Times New Roman"/>
        </w:rPr>
        <w:t xml:space="preserve"> piemēro sākumsavienojumam vai attiecīgajam(-iem) </w:t>
      </w:r>
      <w:r>
        <w:rPr>
          <w:rFonts w:ascii="Times New Roman" w:hAnsi="Times New Roman"/>
          <w:i/>
        </w:rPr>
        <w:t>metabolītam(-iem)</w:t>
      </w:r>
      <w:r>
        <w:rPr>
          <w:rFonts w:ascii="Times New Roman" w:hAnsi="Times New Roman"/>
        </w:rPr>
        <w:t xml:space="preserve"> vai </w:t>
      </w:r>
      <w:r>
        <w:rPr>
          <w:rFonts w:ascii="Times New Roman" w:hAnsi="Times New Roman"/>
          <w:i/>
        </w:rPr>
        <w:t>marķierim(-iem)</w:t>
      </w:r>
      <w:r>
        <w:rPr>
          <w:rFonts w:ascii="Times New Roman" w:hAnsi="Times New Roman"/>
        </w:rPr>
        <w:t xml:space="preserve">, ņemot vērā katras vielas biotransformācijas ceļus, ekskrēcijas profilu un/vai noturīgumu </w:t>
      </w:r>
      <w:r>
        <w:rPr>
          <w:rFonts w:ascii="Times New Roman" w:hAnsi="Times New Roman"/>
          <w:i/>
        </w:rPr>
        <w:t>parauga</w:t>
      </w:r>
      <w:r>
        <w:rPr>
          <w:rFonts w:ascii="Times New Roman" w:hAnsi="Times New Roman"/>
        </w:rPr>
        <w:t xml:space="preserve"> matricā.</w:t>
      </w:r>
    </w:p>
    <w:p w14:paraId="03F3FFE8" w14:textId="129A91EA" w:rsidR="001601FB" w:rsidRPr="00A5477B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16"/>
        </w:rPr>
      </w:pPr>
      <w:r>
        <w:rPr>
          <w:rFonts w:ascii="Times New Roman" w:hAnsi="Times New Roman"/>
        </w:rPr>
        <w:t xml:space="preserve">b) Metodes, ko piemēro, lai noteiktu 19-norsteroīdu atrades un ziņotu par tām, ir aplūkotas </w:t>
      </w:r>
      <w:r>
        <w:rPr>
          <w:rFonts w:ascii="Times New Roman" w:hAnsi="Times New Roman"/>
          <w:u w:val="single" w:color="000000"/>
        </w:rPr>
        <w:t>tehniskajā dokumentā</w:t>
      </w:r>
      <w:r>
        <w:rPr>
          <w:rFonts w:ascii="Times New Roman" w:hAnsi="Times New Roman"/>
        </w:rPr>
        <w:t xml:space="preserve"> par 19-NA (</w:t>
      </w:r>
      <w:r>
        <w:rPr>
          <w:rFonts w:ascii="Times New Roman" w:hAnsi="Times New Roman"/>
          <w:i/>
          <w:iCs/>
        </w:rPr>
        <w:t>TD NA</w:t>
      </w:r>
      <w:r>
        <w:rPr>
          <w:rFonts w:ascii="Times New Roman" w:hAnsi="Times New Roman"/>
        </w:rPr>
        <w:t>).</w:t>
      </w:r>
      <w:r w:rsidR="00A5477B">
        <w:rPr>
          <w:rStyle w:val="FootnoteReference"/>
          <w:rFonts w:ascii="Times New Roman" w:hAnsi="Times New Roman"/>
          <w:noProof/>
          <w:szCs w:val="16"/>
        </w:rPr>
        <w:footnoteReference w:id="3"/>
      </w:r>
    </w:p>
    <w:p w14:paraId="42AD136A" w14:textId="791F384D" w:rsidR="001601FB" w:rsidRPr="00A5477B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16"/>
        </w:rPr>
      </w:pPr>
      <w:r>
        <w:rPr>
          <w:rFonts w:ascii="Times New Roman" w:hAnsi="Times New Roman"/>
        </w:rPr>
        <w:t xml:space="preserve">c)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analīzi veic pirms ziņošanas par </w:t>
      </w:r>
      <w:r>
        <w:rPr>
          <w:rFonts w:ascii="Times New Roman" w:hAnsi="Times New Roman"/>
          <w:i/>
        </w:rPr>
        <w:t>nelabvēlīgiem analīžu rezultātiem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paraugos</w:t>
      </w:r>
      <w:r>
        <w:rPr>
          <w:rFonts w:ascii="Times New Roman" w:hAnsi="Times New Roman"/>
        </w:rPr>
        <w:t xml:space="preserve">, kuros boldenona un/vai tā </w:t>
      </w:r>
      <w:r>
        <w:rPr>
          <w:rFonts w:ascii="Times New Roman" w:hAnsi="Times New Roman"/>
          <w:i/>
        </w:rPr>
        <w:t>metabolīta(-u)</w:t>
      </w:r>
      <w:r>
        <w:rPr>
          <w:rFonts w:ascii="Times New Roman" w:hAnsi="Times New Roman"/>
        </w:rPr>
        <w:t xml:space="preserve"> daudzums ir diapazonā no 5 ng/ml līdz 30 ng/ml (pēc korekcijas atbilstīgi </w:t>
      </w:r>
      <w:r>
        <w:rPr>
          <w:rFonts w:ascii="Times New Roman" w:hAnsi="Times New Roman"/>
          <w:i/>
        </w:rPr>
        <w:t>parauga</w:t>
      </w:r>
      <w:r>
        <w:rPr>
          <w:rFonts w:ascii="Times New Roman" w:hAnsi="Times New Roman"/>
        </w:rPr>
        <w:t xml:space="preserve"> īpatnējam svaram, ja </w:t>
      </w:r>
      <w:r>
        <w:rPr>
          <w:rFonts w:ascii="Times New Roman" w:hAnsi="Times New Roman"/>
          <w:i/>
          <w:iCs/>
        </w:rPr>
        <w:t>SG</w:t>
      </w:r>
      <w:r>
        <w:rPr>
          <w:rFonts w:ascii="Times New Roman" w:hAnsi="Times New Roman"/>
        </w:rPr>
        <w:t xml:space="preserve"> &gt; 1,018). Skat. </w:t>
      </w:r>
      <w:r>
        <w:rPr>
          <w:rFonts w:ascii="Times New Roman" w:hAnsi="Times New Roman"/>
          <w:u w:val="single" w:color="000000"/>
        </w:rPr>
        <w:t>tehnisko dokumentu</w:t>
      </w:r>
      <w:r>
        <w:rPr>
          <w:rFonts w:ascii="Times New Roman" w:hAnsi="Times New Roman"/>
        </w:rPr>
        <w:t xml:space="preserve"> par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>.</w:t>
      </w:r>
      <w:r w:rsidR="00A5477B">
        <w:rPr>
          <w:rStyle w:val="FootnoteReference"/>
          <w:rFonts w:ascii="Times New Roman" w:hAnsi="Times New Roman"/>
          <w:noProof/>
          <w:szCs w:val="16"/>
        </w:rPr>
        <w:footnoteReference w:id="4"/>
      </w:r>
    </w:p>
    <w:p w14:paraId="04CEA2D4" w14:textId="065AA85B" w:rsidR="001601FB" w:rsidRPr="00A5477B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16"/>
        </w:rPr>
      </w:pPr>
      <w:r>
        <w:rPr>
          <w:rFonts w:ascii="Times New Roman" w:hAnsi="Times New Roman"/>
        </w:rPr>
        <w:t xml:space="preserve">d) Visu </w:t>
      </w:r>
      <w:r>
        <w:rPr>
          <w:rFonts w:ascii="Times New Roman" w:hAnsi="Times New Roman"/>
          <w:u w:val="single" w:color="000000"/>
        </w:rPr>
        <w:t>laboratoriju</w:t>
      </w:r>
      <w:r>
        <w:rPr>
          <w:rFonts w:ascii="Times New Roman" w:hAnsi="Times New Roman"/>
        </w:rPr>
        <w:t xml:space="preserve"> analītiskajām spējām ir jābūt tādām, lai noteiktu mazizmēra peptīdus, tostarp </w:t>
      </w:r>
      <w:r>
        <w:rPr>
          <w:rFonts w:ascii="Times New Roman" w:hAnsi="Times New Roman"/>
          <w:i/>
          <w:iCs/>
        </w:rPr>
        <w:t>GHS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GHRP</w:t>
      </w:r>
      <w:r>
        <w:rPr>
          <w:rFonts w:ascii="Times New Roman" w:hAnsi="Times New Roman"/>
        </w:rPr>
        <w:t xml:space="preserve">, gonadotropīna atbrīvotājfaktorus, </w:t>
      </w:r>
      <w:r>
        <w:rPr>
          <w:rFonts w:ascii="Times New Roman" w:hAnsi="Times New Roman"/>
          <w:i/>
          <w:iCs/>
        </w:rPr>
        <w:t>TB-500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AOD9604</w:t>
      </w:r>
      <w:r>
        <w:rPr>
          <w:rFonts w:ascii="Times New Roman" w:hAnsi="Times New Roman"/>
        </w:rPr>
        <w:t xml:space="preserve">, desmopresīnu utt. Tomēr </w:t>
      </w:r>
      <w:r>
        <w:rPr>
          <w:rFonts w:ascii="Times New Roman" w:hAnsi="Times New Roman"/>
          <w:u w:val="single" w:color="000000"/>
        </w:rPr>
        <w:t>pārbaudes iestādēm</w:t>
      </w:r>
      <w:r>
        <w:rPr>
          <w:rFonts w:ascii="Times New Roman" w:hAnsi="Times New Roman"/>
        </w:rPr>
        <w:t xml:space="preserve"> ir jāapzinās, ka šo vielu </w:t>
      </w:r>
      <w:r>
        <w:rPr>
          <w:rFonts w:ascii="Times New Roman" w:hAnsi="Times New Roman"/>
          <w:i/>
        </w:rPr>
        <w:t>pārbaude</w:t>
      </w:r>
      <w:r>
        <w:rPr>
          <w:rFonts w:ascii="Times New Roman" w:hAnsi="Times New Roman"/>
        </w:rPr>
        <w:t xml:space="preserve"> varētu nebūt iekļauta </w:t>
      </w:r>
      <w:r>
        <w:rPr>
          <w:rFonts w:ascii="Times New Roman" w:hAnsi="Times New Roman"/>
          <w:u w:val="single" w:color="000000"/>
        </w:rPr>
        <w:t>laboratorijas</w:t>
      </w:r>
      <w:r>
        <w:rPr>
          <w:rFonts w:ascii="Times New Roman" w:hAnsi="Times New Roman"/>
        </w:rPr>
        <w:t xml:space="preserve"> kārtējās </w:t>
      </w:r>
      <w:r>
        <w:rPr>
          <w:rFonts w:ascii="Times New Roman" w:hAnsi="Times New Roman"/>
          <w:u w:val="single" w:color="000000"/>
        </w:rPr>
        <w:t>analītiskās pārbaudes</w:t>
      </w:r>
      <w:r>
        <w:rPr>
          <w:rFonts w:ascii="Times New Roman" w:hAnsi="Times New Roman"/>
        </w:rPr>
        <w:t xml:space="preserve"> izvēlnē, un tāpēc to analīze vajadzības gadījumā ir jāpieprasa, vai nu izmantojot </w:t>
      </w:r>
      <w:r>
        <w:rPr>
          <w:rFonts w:ascii="Times New Roman" w:hAnsi="Times New Roman"/>
          <w:i/>
        </w:rPr>
        <w:t>parauga</w:t>
      </w:r>
      <w:r>
        <w:rPr>
          <w:rFonts w:ascii="Times New Roman" w:hAnsi="Times New Roman"/>
        </w:rPr>
        <w:t xml:space="preserve"> uzraudzības ķēdes veidlapu, vai tieši sazinoties ar </w:t>
      </w:r>
      <w:r>
        <w:rPr>
          <w:rFonts w:ascii="Times New Roman" w:hAnsi="Times New Roman"/>
          <w:u w:val="single" w:color="000000"/>
        </w:rPr>
        <w:t>laboratoriju</w:t>
      </w:r>
      <w:r>
        <w:rPr>
          <w:rFonts w:ascii="Times New Roman" w:hAnsi="Times New Roman"/>
        </w:rPr>
        <w:t xml:space="preserve">, vai </w:t>
      </w:r>
      <w:r>
        <w:rPr>
          <w:rFonts w:ascii="Times New Roman" w:hAnsi="Times New Roman"/>
          <w:u w:val="single" w:color="000000"/>
        </w:rPr>
        <w:t>laboratorijai</w:t>
      </w:r>
      <w:r>
        <w:rPr>
          <w:rFonts w:ascii="Times New Roman" w:hAnsi="Times New Roman"/>
        </w:rPr>
        <w:t xml:space="preserve"> iepriekš vienojoties ar </w:t>
      </w:r>
      <w:r>
        <w:rPr>
          <w:rFonts w:ascii="Times New Roman" w:hAnsi="Times New Roman"/>
          <w:u w:val="single" w:color="000000"/>
        </w:rPr>
        <w:t>pārbaudes iestādi</w:t>
      </w:r>
      <w:r>
        <w:rPr>
          <w:rFonts w:ascii="Times New Roman" w:hAnsi="Times New Roman"/>
        </w:rPr>
        <w:t xml:space="preserve">. Tomēr </w:t>
      </w:r>
      <w:r>
        <w:rPr>
          <w:rFonts w:ascii="Times New Roman" w:hAnsi="Times New Roman"/>
          <w:u w:val="single" w:color="000000"/>
        </w:rPr>
        <w:t>laboratorijas</w:t>
      </w:r>
      <w:r>
        <w:rPr>
          <w:rFonts w:ascii="Times New Roman" w:hAnsi="Times New Roman"/>
        </w:rPr>
        <w:t xml:space="preserve"> gonadotropīna atbrīvotājfaktoru analīzi veic, izmantojot </w:t>
      </w:r>
      <w:r>
        <w:rPr>
          <w:rFonts w:ascii="Times New Roman" w:hAnsi="Times New Roman"/>
          <w:u w:val="single" w:color="000000"/>
        </w:rPr>
        <w:t>apstiprināšanas procedūru</w:t>
      </w:r>
      <w:r>
        <w:rPr>
          <w:rFonts w:ascii="Times New Roman" w:hAnsi="Times New Roman"/>
        </w:rPr>
        <w:t xml:space="preserve">, ko piemēro paaugstināta </w:t>
      </w:r>
      <w:r>
        <w:rPr>
          <w:rFonts w:ascii="Times New Roman" w:hAnsi="Times New Roman"/>
          <w:i/>
          <w:iCs/>
        </w:rPr>
        <w:t>LH</w:t>
      </w:r>
      <w:r>
        <w:rPr>
          <w:rFonts w:ascii="Times New Roman" w:hAnsi="Times New Roman"/>
        </w:rPr>
        <w:t xml:space="preserve"> atradēm (skat. </w:t>
      </w:r>
      <w:r>
        <w:rPr>
          <w:rFonts w:ascii="Times New Roman" w:hAnsi="Times New Roman"/>
          <w:i/>
          <w:iCs/>
        </w:rPr>
        <w:t>TD CG/LH</w:t>
      </w:r>
      <w:r w:rsidR="00BB2755">
        <w:rPr>
          <w:rStyle w:val="FootnoteReference"/>
          <w:rFonts w:ascii="Times New Roman" w:hAnsi="Times New Roman"/>
          <w:noProof/>
          <w:szCs w:val="16"/>
        </w:rPr>
        <w:footnoteReference w:id="5"/>
      </w:r>
      <w:r>
        <w:rPr>
          <w:rFonts w:ascii="Times New Roman" w:hAnsi="Times New Roman"/>
        </w:rPr>
        <w:t>).</w:t>
      </w:r>
    </w:p>
    <w:p w14:paraId="06493FEA" w14:textId="77777777" w:rsidR="001601FB" w:rsidRPr="00A5477B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16"/>
        </w:rPr>
      </w:pPr>
      <w:r>
        <w:rPr>
          <w:rFonts w:ascii="Times New Roman" w:hAnsi="Times New Roman"/>
        </w:rPr>
        <w:t xml:space="preserve">e) Salbutamols un formoterols ir </w:t>
      </w:r>
      <w:r>
        <w:rPr>
          <w:rFonts w:ascii="Times New Roman" w:hAnsi="Times New Roman"/>
          <w:u w:val="single" w:color="000000"/>
        </w:rPr>
        <w:t>sliekšņa vielas</w:t>
      </w:r>
      <w:r>
        <w:rPr>
          <w:rFonts w:ascii="Times New Roman" w:hAnsi="Times New Roman"/>
        </w:rPr>
        <w:t xml:space="preserve">, tāpēc to noteikšana un ziņošana par tiem ir aplūkota </w:t>
      </w:r>
      <w:r>
        <w:rPr>
          <w:rFonts w:ascii="Times New Roman" w:hAnsi="Times New Roman"/>
          <w:u w:val="single" w:color="000000"/>
        </w:rPr>
        <w:t>tehniskajā dokumentā</w:t>
      </w:r>
      <w:r>
        <w:rPr>
          <w:rFonts w:ascii="Times New Roman" w:hAnsi="Times New Roman"/>
        </w:rPr>
        <w:t xml:space="preserve"> par </w:t>
      </w:r>
      <w:r>
        <w:rPr>
          <w:rFonts w:ascii="Times New Roman" w:hAnsi="Times New Roman"/>
          <w:u w:val="single" w:color="000000"/>
        </w:rPr>
        <w:t>izšķiršanas robežām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  <w:iCs/>
        </w:rPr>
        <w:t>TD DL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Ja šīs vielas ir noteiktas saistībā ar aizliegtu diurētisku līdzekli vai citu maskējošo līdzekli, par jebkuru to koncentrāciju ziņo kā par </w:t>
      </w:r>
      <w:r>
        <w:rPr>
          <w:rFonts w:ascii="Times New Roman" w:hAnsi="Times New Roman"/>
          <w:i/>
        </w:rPr>
        <w:t>nelabvēlīgu analīžu rezultātu</w:t>
      </w:r>
      <w:r>
        <w:rPr>
          <w:rFonts w:ascii="Times New Roman" w:hAnsi="Times New Roman"/>
        </w:rPr>
        <w:t>.</w:t>
      </w:r>
    </w:p>
    <w:p w14:paraId="43259D85" w14:textId="77777777" w:rsidR="001601FB" w:rsidRPr="00A5477B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16"/>
        </w:rPr>
      </w:pPr>
      <w:r>
        <w:rPr>
          <w:rFonts w:ascii="Times New Roman" w:hAnsi="Times New Roman"/>
        </w:rPr>
        <w:t xml:space="preserve">Ziņošana par salmeterolu un higenamīnu ir aprakstīta šā </w:t>
      </w:r>
      <w:r>
        <w:rPr>
          <w:rFonts w:ascii="Times New Roman" w:hAnsi="Times New Roman"/>
          <w:u w:val="single" w:color="000000"/>
        </w:rPr>
        <w:t>tehniskā dokumenta</w:t>
      </w:r>
      <w:r>
        <w:rPr>
          <w:rFonts w:ascii="Times New Roman" w:hAnsi="Times New Roman"/>
        </w:rPr>
        <w:t xml:space="preserve"> 4.0. sadaļā.</w:t>
      </w:r>
    </w:p>
    <w:p w14:paraId="1518C2EC" w14:textId="2905CC22" w:rsidR="001601FB" w:rsidRPr="00A5477B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16"/>
        </w:rPr>
      </w:pPr>
      <w:r>
        <w:rPr>
          <w:rFonts w:ascii="Times New Roman" w:hAnsi="Times New Roman"/>
        </w:rPr>
        <w:t xml:space="preserve">f)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analīzi veic pirms ziņošanas par </w:t>
      </w:r>
      <w:r>
        <w:rPr>
          <w:rFonts w:ascii="Times New Roman" w:hAnsi="Times New Roman"/>
          <w:i/>
        </w:rPr>
        <w:t>nelabvēlīgiem analīžu rezultātiem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paraugos</w:t>
      </w:r>
      <w:r>
        <w:rPr>
          <w:rFonts w:ascii="Times New Roman" w:hAnsi="Times New Roman"/>
        </w:rPr>
        <w:t xml:space="preserve">, kuros formestāna daudzums ir diapazonā no 50 ng/ml līdz 150 ng/ml (pēc korekcijas atbilstīgi </w:t>
      </w:r>
      <w:r>
        <w:rPr>
          <w:rFonts w:ascii="Times New Roman" w:hAnsi="Times New Roman"/>
          <w:i/>
        </w:rPr>
        <w:t>parauga</w:t>
      </w:r>
      <w:r>
        <w:rPr>
          <w:rFonts w:ascii="Times New Roman" w:hAnsi="Times New Roman"/>
        </w:rPr>
        <w:t xml:space="preserve"> īpatnējam svaram, ja </w:t>
      </w:r>
      <w:r>
        <w:rPr>
          <w:rFonts w:ascii="Times New Roman" w:hAnsi="Times New Roman"/>
          <w:i/>
          <w:iCs/>
        </w:rPr>
        <w:t>SG</w:t>
      </w:r>
      <w:r>
        <w:rPr>
          <w:rFonts w:ascii="Times New Roman" w:hAnsi="Times New Roman"/>
        </w:rPr>
        <w:t xml:space="preserve"> &gt; 1,018). Skat. </w:t>
      </w:r>
      <w:r>
        <w:rPr>
          <w:rFonts w:ascii="Times New Roman" w:hAnsi="Times New Roman"/>
          <w:u w:val="single" w:color="000000"/>
        </w:rPr>
        <w:t>tehnisko dokumentu</w:t>
      </w:r>
      <w:r>
        <w:rPr>
          <w:rFonts w:ascii="Times New Roman" w:hAnsi="Times New Roman"/>
        </w:rPr>
        <w:t xml:space="preserve"> par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vertAlign w:val="superscript"/>
        </w:rPr>
        <w:t>4</w:t>
      </w:r>
    </w:p>
    <w:p w14:paraId="71FA95C6" w14:textId="77777777" w:rsidR="001601FB" w:rsidRPr="00A5477B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16"/>
        </w:rPr>
      </w:pPr>
      <w:r>
        <w:rPr>
          <w:rFonts w:ascii="Times New Roman" w:hAnsi="Times New Roman"/>
        </w:rPr>
        <w:t xml:space="preserve">g) Katīns, efedrīns, metilefedrīns un pseidoefedrīns ir </w:t>
      </w:r>
      <w:r>
        <w:rPr>
          <w:rFonts w:ascii="Times New Roman" w:hAnsi="Times New Roman"/>
          <w:u w:val="single" w:color="000000"/>
        </w:rPr>
        <w:t>sliekšņa vielas</w:t>
      </w:r>
      <w:r>
        <w:rPr>
          <w:rFonts w:ascii="Times New Roman" w:hAnsi="Times New Roman"/>
        </w:rPr>
        <w:t xml:space="preserve">, tāpēc to noteikšana un ziņošana par tām ir aplūkota </w:t>
      </w:r>
      <w:r>
        <w:rPr>
          <w:rFonts w:ascii="Times New Roman" w:hAnsi="Times New Roman"/>
          <w:u w:val="single" w:color="000000"/>
        </w:rPr>
        <w:t>tehniskajā dokumentā</w:t>
      </w:r>
      <w:r>
        <w:rPr>
          <w:rFonts w:ascii="Times New Roman" w:hAnsi="Times New Roman"/>
        </w:rPr>
        <w:t xml:space="preserve"> par </w:t>
      </w:r>
      <w:r>
        <w:rPr>
          <w:rFonts w:ascii="Times New Roman" w:hAnsi="Times New Roman"/>
          <w:u w:val="single" w:color="000000"/>
        </w:rPr>
        <w:t>izšķiršanas robežām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  <w:iCs/>
        </w:rPr>
        <w:t>TD DL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Ja šīs vielas ir noteiktas saistībā ar aizliegtu diurētisku līdzekli vai citu maskējošo līdzekli, ir jāpiemēro ziņojamā robeža, kas noteikta stimulējošiem līdzekļiem, </w:t>
      </w:r>
      <w:r>
        <w:rPr>
          <w:rFonts w:ascii="Times New Roman" w:hAnsi="Times New Roman"/>
          <w:i/>
        </w:rPr>
        <w:t>t. i.</w:t>
      </w:r>
      <w:r>
        <w:rPr>
          <w:rFonts w:ascii="Times New Roman" w:hAnsi="Times New Roman"/>
        </w:rPr>
        <w:t xml:space="preserve">, 50 ng/ml; skat. šā </w:t>
      </w:r>
      <w:r>
        <w:rPr>
          <w:rFonts w:ascii="Times New Roman" w:hAnsi="Times New Roman"/>
          <w:u w:val="single" w:color="000000"/>
        </w:rPr>
        <w:t>tehniskā dokumenta</w:t>
      </w:r>
      <w:r>
        <w:rPr>
          <w:rFonts w:ascii="Times New Roman" w:hAnsi="Times New Roman"/>
        </w:rPr>
        <w:t xml:space="preserve"> 4.0. sadaļu.</w:t>
      </w:r>
    </w:p>
    <w:p w14:paraId="2D107F4A" w14:textId="3096ECC3" w:rsidR="00A5477B" w:rsidRPr="00BB2755" w:rsidRDefault="001601FB" w:rsidP="00BB2755">
      <w:pPr>
        <w:pStyle w:val="BodyText"/>
        <w:ind w:left="0"/>
        <w:jc w:val="both"/>
        <w:rPr>
          <w:rFonts w:ascii="Times New Roman" w:hAnsi="Times New Roman"/>
          <w:noProof/>
          <w:szCs w:val="9"/>
        </w:rPr>
      </w:pPr>
      <w:r>
        <w:rPr>
          <w:rFonts w:ascii="Times New Roman" w:hAnsi="Times New Roman"/>
        </w:rPr>
        <w:t xml:space="preserve">h) Morfijs ir </w:t>
      </w:r>
      <w:r>
        <w:rPr>
          <w:rFonts w:ascii="Times New Roman" w:hAnsi="Times New Roman"/>
          <w:u w:val="single" w:color="000000"/>
        </w:rPr>
        <w:t>sliekšņa viela</w:t>
      </w:r>
      <w:r>
        <w:rPr>
          <w:rFonts w:ascii="Times New Roman" w:hAnsi="Times New Roman"/>
        </w:rPr>
        <w:t xml:space="preserve">, tāpēc tā noteikšana un ziņošana par to ir aplūkota </w:t>
      </w:r>
      <w:r>
        <w:rPr>
          <w:rFonts w:ascii="Times New Roman" w:hAnsi="Times New Roman"/>
          <w:u w:val="single" w:color="000000"/>
        </w:rPr>
        <w:t>tehniskajā dokumentā</w:t>
      </w:r>
      <w:r>
        <w:rPr>
          <w:rFonts w:ascii="Times New Roman" w:hAnsi="Times New Roman"/>
        </w:rPr>
        <w:t xml:space="preserve"> par </w:t>
      </w:r>
      <w:r>
        <w:rPr>
          <w:rFonts w:ascii="Times New Roman" w:hAnsi="Times New Roman"/>
          <w:u w:val="single" w:color="000000"/>
        </w:rPr>
        <w:t>izšķiršanas robežām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  <w:iCs/>
        </w:rPr>
        <w:t>TD DL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vertAlign w:val="superscript"/>
        </w:rPr>
        <w:t>1</w:t>
      </w:r>
    </w:p>
    <w:p w14:paraId="1FE31F72" w14:textId="49723935" w:rsidR="001601FB" w:rsidRPr="00BB2755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9"/>
        </w:rPr>
      </w:pPr>
      <w:r>
        <w:rPr>
          <w:rFonts w:ascii="Times New Roman" w:hAnsi="Times New Roman"/>
        </w:rPr>
        <w:t>(i) 11-nor-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</w:rPr>
        <w:t>9-tetrahidrokanabinol-9-karbonskābe (</w:t>
      </w:r>
      <w:r>
        <w:rPr>
          <w:rFonts w:ascii="Times New Roman" w:hAnsi="Times New Roman"/>
          <w:i/>
          <w:iCs/>
        </w:rPr>
        <w:t>THC</w:t>
      </w:r>
      <w:r>
        <w:rPr>
          <w:rFonts w:ascii="Times New Roman" w:hAnsi="Times New Roman"/>
        </w:rPr>
        <w:t xml:space="preserve"> karbonskābe) ir </w:t>
      </w:r>
      <w:r>
        <w:rPr>
          <w:rFonts w:ascii="Times New Roman" w:hAnsi="Times New Roman"/>
          <w:u w:val="single" w:color="000000"/>
        </w:rPr>
        <w:t>sliekšņa viela</w:t>
      </w:r>
      <w:r>
        <w:rPr>
          <w:rFonts w:ascii="Times New Roman" w:hAnsi="Times New Roman"/>
        </w:rPr>
        <w:t xml:space="preserve">, tāpēc tās noteikšana un ziņošana par to ir aplūkota </w:t>
      </w:r>
      <w:r>
        <w:rPr>
          <w:rFonts w:ascii="Times New Roman" w:hAnsi="Times New Roman"/>
          <w:u w:val="single" w:color="000000"/>
        </w:rPr>
        <w:t>tehniskajā dokumentā</w:t>
      </w:r>
      <w:r>
        <w:rPr>
          <w:rFonts w:ascii="Times New Roman" w:hAnsi="Times New Roman"/>
        </w:rPr>
        <w:t xml:space="preserve"> par </w:t>
      </w:r>
      <w:r>
        <w:rPr>
          <w:rFonts w:ascii="Times New Roman" w:hAnsi="Times New Roman"/>
          <w:u w:val="single" w:color="000000"/>
        </w:rPr>
        <w:t>izšķiršanas robežām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  <w:iCs/>
        </w:rPr>
        <w:t>TD DL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vertAlign w:val="superscript"/>
        </w:rPr>
        <w:t>1</w:t>
      </w:r>
    </w:p>
    <w:p w14:paraId="673A1ACC" w14:textId="14F611FD" w:rsidR="001601FB" w:rsidRPr="00BB2755" w:rsidRDefault="001601FB" w:rsidP="00D008E3">
      <w:pPr>
        <w:pStyle w:val="BodyText"/>
        <w:ind w:left="0"/>
        <w:jc w:val="both"/>
        <w:rPr>
          <w:rFonts w:ascii="Times New Roman" w:hAnsi="Times New Roman"/>
          <w:noProof/>
          <w:szCs w:val="16"/>
        </w:rPr>
      </w:pPr>
      <w:r>
        <w:rPr>
          <w:rFonts w:ascii="Times New Roman" w:hAnsi="Times New Roman"/>
        </w:rPr>
        <w:t xml:space="preserve">j) Lai noteiktu budesonīda ievadīšanu, </w:t>
      </w:r>
      <w:r>
        <w:rPr>
          <w:rFonts w:ascii="Times New Roman" w:hAnsi="Times New Roman"/>
          <w:i/>
        </w:rPr>
        <w:t>izmantojot</w:t>
      </w:r>
      <w:r>
        <w:rPr>
          <w:rFonts w:ascii="Times New Roman" w:hAnsi="Times New Roman"/>
        </w:rPr>
        <w:t xml:space="preserve"> sistēmiskus veidus, </w:t>
      </w:r>
      <w:r>
        <w:rPr>
          <w:rFonts w:ascii="Times New Roman" w:hAnsi="Times New Roman"/>
          <w:u w:val="single" w:color="000000"/>
        </w:rPr>
        <w:t>laboratorijas</w:t>
      </w:r>
      <w:r>
        <w:rPr>
          <w:rFonts w:ascii="Times New Roman" w:hAnsi="Times New Roman"/>
        </w:rPr>
        <w:t xml:space="preserve"> veic mērķpārbaudes, lai noteiktu 6β-hidroksilētu </w:t>
      </w:r>
      <w:r>
        <w:rPr>
          <w:rFonts w:ascii="Times New Roman" w:hAnsi="Times New Roman"/>
          <w:i/>
        </w:rPr>
        <w:t>metabolītu.</w:t>
      </w:r>
      <w:r w:rsidR="00BB2755">
        <w:rPr>
          <w:rStyle w:val="FootnoteReference"/>
          <w:rFonts w:ascii="Times New Roman" w:hAnsi="Times New Roman"/>
          <w:i/>
          <w:noProof/>
          <w:szCs w:val="16"/>
        </w:rPr>
        <w:footnoteReference w:id="6"/>
      </w:r>
    </w:p>
    <w:p w14:paraId="3B2301C4" w14:textId="47F78866" w:rsidR="001B3E43" w:rsidRDefault="001B3E43">
      <w:pPr>
        <w:rPr>
          <w:rFonts w:ascii="Times New Roman" w:eastAsia="Arial" w:hAnsi="Times New Roman" w:cs="Arial"/>
          <w:noProof/>
          <w:sz w:val="24"/>
          <w:szCs w:val="31"/>
        </w:rPr>
      </w:pPr>
      <w:r>
        <w:rPr>
          <w:rFonts w:ascii="Times New Roman" w:eastAsia="Arial" w:hAnsi="Times New Roman" w:cs="Arial"/>
          <w:noProof/>
          <w:sz w:val="24"/>
          <w:szCs w:val="31"/>
        </w:rPr>
        <w:br w:type="page"/>
      </w:r>
    </w:p>
    <w:p w14:paraId="7E388139" w14:textId="77777777" w:rsidR="001601FB" w:rsidRPr="00D008E3" w:rsidRDefault="001601FB" w:rsidP="00D008E3">
      <w:pPr>
        <w:jc w:val="both"/>
        <w:rPr>
          <w:rFonts w:ascii="Times New Roman" w:eastAsia="Arial" w:hAnsi="Times New Roman" w:cs="Arial"/>
          <w:noProof/>
          <w:sz w:val="24"/>
          <w:szCs w:val="31"/>
        </w:rPr>
      </w:pPr>
    </w:p>
    <w:p w14:paraId="49078722" w14:textId="77777777" w:rsidR="001601FB" w:rsidRPr="00D008E3" w:rsidRDefault="001601FB" w:rsidP="00D008E3">
      <w:pPr>
        <w:pStyle w:val="Heading1"/>
        <w:ind w:left="0"/>
        <w:jc w:val="both"/>
        <w:rPr>
          <w:rFonts w:ascii="Times New Roman" w:hAnsi="Times New Roman"/>
          <w:b w:val="0"/>
          <w:bCs w:val="0"/>
          <w:noProof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2.0. </w:t>
      </w:r>
      <w:r>
        <w:rPr>
          <w:rFonts w:ascii="Times New Roman" w:hAnsi="Times New Roman"/>
          <w:sz w:val="24"/>
          <w:u w:val="thick" w:color="000000"/>
        </w:rPr>
        <w:t xml:space="preserve">Noteikšanas robeža </w:t>
      </w:r>
      <w:r>
        <w:rPr>
          <w:rFonts w:ascii="Times New Roman" w:hAnsi="Times New Roman"/>
          <w:sz w:val="24"/>
          <w:u w:val="none"/>
        </w:rPr>
        <w:t>(</w:t>
      </w:r>
      <w:r>
        <w:rPr>
          <w:rFonts w:ascii="Times New Roman" w:hAnsi="Times New Roman"/>
          <w:i/>
          <w:iCs/>
          <w:sz w:val="24"/>
          <w:u w:val="thick" w:color="000000"/>
        </w:rPr>
        <w:t>LOD</w:t>
      </w:r>
      <w:r>
        <w:rPr>
          <w:rFonts w:ascii="Times New Roman" w:hAnsi="Times New Roman"/>
          <w:sz w:val="24"/>
          <w:u w:val="none"/>
        </w:rPr>
        <w:t xml:space="preserve">) </w:t>
      </w:r>
      <w:r>
        <w:rPr>
          <w:rFonts w:ascii="Times New Roman" w:hAnsi="Times New Roman"/>
          <w:sz w:val="24"/>
          <w:u w:val="thick" w:color="000000"/>
        </w:rPr>
        <w:t>sākotnējās pārbaudes procedūrai</w:t>
      </w:r>
    </w:p>
    <w:p w14:paraId="39667D4C" w14:textId="77777777" w:rsidR="00BB2755" w:rsidRDefault="00BB2755" w:rsidP="00D008E3">
      <w:pPr>
        <w:pStyle w:val="Heading2"/>
        <w:spacing w:before="0"/>
        <w:ind w:left="0" w:firstLine="0"/>
        <w:jc w:val="both"/>
        <w:rPr>
          <w:rFonts w:ascii="Times New Roman" w:hAnsi="Times New Roman"/>
          <w:noProof/>
          <w:sz w:val="24"/>
          <w:u w:val="none"/>
        </w:rPr>
      </w:pPr>
    </w:p>
    <w:p w14:paraId="40D7EF67" w14:textId="07AD562A" w:rsidR="001601FB" w:rsidRDefault="001601FB" w:rsidP="00D008E3">
      <w:pPr>
        <w:pStyle w:val="Heading2"/>
        <w:spacing w:before="0"/>
        <w:ind w:left="0" w:firstLine="0"/>
        <w:jc w:val="both"/>
        <w:rPr>
          <w:rFonts w:ascii="Times New Roman" w:hAnsi="Times New Roman"/>
          <w:noProof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Metožu validācijas process, ko </w:t>
      </w:r>
      <w:r>
        <w:rPr>
          <w:rFonts w:ascii="Times New Roman" w:hAnsi="Times New Roman"/>
          <w:sz w:val="24"/>
          <w:u w:color="000000"/>
        </w:rPr>
        <w:t>laboratorijas</w:t>
      </w:r>
      <w:r>
        <w:rPr>
          <w:rFonts w:ascii="Times New Roman" w:hAnsi="Times New Roman"/>
          <w:sz w:val="24"/>
          <w:u w:val="none"/>
        </w:rPr>
        <w:t xml:space="preserve"> piemēro </w:t>
      </w:r>
      <w:r>
        <w:rPr>
          <w:rFonts w:ascii="Times New Roman" w:hAnsi="Times New Roman"/>
          <w:sz w:val="24"/>
          <w:u w:color="000000"/>
        </w:rPr>
        <w:t>sākotnējās pārbaudes procedūrai</w:t>
      </w:r>
      <w:r>
        <w:rPr>
          <w:rFonts w:ascii="Times New Roman" w:hAnsi="Times New Roman"/>
          <w:sz w:val="24"/>
          <w:u w:val="none"/>
        </w:rPr>
        <w:t xml:space="preserve">, paredz </w:t>
      </w:r>
      <w:r>
        <w:rPr>
          <w:rFonts w:ascii="Times New Roman" w:hAnsi="Times New Roman"/>
          <w:i/>
          <w:iCs/>
          <w:sz w:val="24"/>
          <w:u w:color="000000"/>
        </w:rPr>
        <w:t>LOD</w:t>
      </w:r>
      <w:r>
        <w:rPr>
          <w:rFonts w:ascii="Times New Roman" w:hAnsi="Times New Roman"/>
          <w:sz w:val="24"/>
          <w:u w:val="none"/>
        </w:rPr>
        <w:t xml:space="preserve"> aprēķināšanu katrai </w:t>
      </w:r>
      <w:r>
        <w:rPr>
          <w:rFonts w:ascii="Times New Roman" w:hAnsi="Times New Roman"/>
          <w:sz w:val="24"/>
          <w:u w:color="000000"/>
        </w:rPr>
        <w:t>vielai, kas nav sliekšņa viela</w:t>
      </w:r>
      <w:r>
        <w:rPr>
          <w:rFonts w:ascii="Times New Roman" w:hAnsi="Times New Roman"/>
          <w:sz w:val="24"/>
          <w:u w:val="none"/>
        </w:rPr>
        <w:t xml:space="preserve">, vai tās reprezentatīvajai vielai, mērķa </w:t>
      </w:r>
      <w:r>
        <w:rPr>
          <w:rFonts w:ascii="Times New Roman" w:hAnsi="Times New Roman"/>
          <w:i/>
          <w:sz w:val="24"/>
          <w:u w:val="none"/>
        </w:rPr>
        <w:t>metabolītam(-iem)</w:t>
      </w:r>
      <w:r>
        <w:rPr>
          <w:rFonts w:ascii="Times New Roman" w:hAnsi="Times New Roman"/>
          <w:sz w:val="24"/>
          <w:u w:val="none"/>
        </w:rPr>
        <w:t xml:space="preserve"> vai </w:t>
      </w:r>
      <w:r>
        <w:rPr>
          <w:rFonts w:ascii="Times New Roman" w:hAnsi="Times New Roman"/>
          <w:i/>
          <w:sz w:val="24"/>
          <w:u w:val="none"/>
        </w:rPr>
        <w:t>marķierim(-iem)</w:t>
      </w:r>
      <w:r>
        <w:rPr>
          <w:rFonts w:ascii="Times New Roman" w:hAnsi="Times New Roman"/>
          <w:sz w:val="24"/>
          <w:u w:val="none"/>
        </w:rPr>
        <w:t xml:space="preserve">, izmantojot attiecīgo </w:t>
      </w:r>
      <w:r>
        <w:rPr>
          <w:rFonts w:ascii="Times New Roman" w:hAnsi="Times New Roman"/>
          <w:sz w:val="24"/>
          <w:u w:color="000000"/>
        </w:rPr>
        <w:t>atsauces materiālu</w:t>
      </w:r>
      <w:r>
        <w:rPr>
          <w:rFonts w:ascii="Times New Roman" w:hAnsi="Times New Roman"/>
          <w:sz w:val="24"/>
          <w:u w:val="none"/>
        </w:rPr>
        <w:t xml:space="preserve">, ja tāds ir pieejams. </w:t>
      </w:r>
      <w:r>
        <w:rPr>
          <w:rFonts w:ascii="Times New Roman" w:hAnsi="Times New Roman"/>
          <w:i/>
          <w:iCs/>
          <w:sz w:val="24"/>
          <w:u w:color="000000"/>
        </w:rPr>
        <w:t>LOD</w:t>
      </w:r>
      <w:r>
        <w:rPr>
          <w:rFonts w:ascii="Times New Roman" w:hAnsi="Times New Roman"/>
          <w:sz w:val="24"/>
          <w:u w:val="none"/>
        </w:rPr>
        <w:t xml:space="preserve"> nav jānosaka visiem attiecīgās </w:t>
      </w:r>
      <w:r>
        <w:rPr>
          <w:rFonts w:ascii="Times New Roman" w:hAnsi="Times New Roman"/>
          <w:sz w:val="24"/>
          <w:u w:color="000000"/>
        </w:rPr>
        <w:t>vielas, kas nav sliekšņa viela</w:t>
      </w:r>
      <w:r>
        <w:rPr>
          <w:rFonts w:ascii="Times New Roman" w:hAnsi="Times New Roman"/>
          <w:sz w:val="24"/>
          <w:u w:val="none"/>
        </w:rPr>
        <w:t xml:space="preserve">, iespējamajiem </w:t>
      </w:r>
      <w:r>
        <w:rPr>
          <w:rFonts w:ascii="Times New Roman" w:hAnsi="Times New Roman"/>
          <w:i/>
          <w:sz w:val="24"/>
          <w:u w:val="none"/>
        </w:rPr>
        <w:t>metabolītiem</w:t>
      </w:r>
      <w:r>
        <w:rPr>
          <w:rFonts w:ascii="Times New Roman" w:hAnsi="Times New Roman"/>
          <w:sz w:val="24"/>
          <w:u w:val="none"/>
        </w:rPr>
        <w:t xml:space="preserve">. Aprēķinātā </w:t>
      </w:r>
      <w:r>
        <w:rPr>
          <w:rFonts w:ascii="Times New Roman" w:hAnsi="Times New Roman"/>
          <w:i/>
          <w:iCs/>
          <w:sz w:val="24"/>
          <w:u w:color="000000"/>
        </w:rPr>
        <w:t>LOD</w:t>
      </w:r>
      <w:r>
        <w:rPr>
          <w:rFonts w:ascii="Times New Roman" w:hAnsi="Times New Roman"/>
          <w:sz w:val="24"/>
          <w:u w:val="none"/>
        </w:rPr>
        <w:t xml:space="preserve"> nedrīkst būt augstāka par 50 % no </w:t>
      </w:r>
      <w:r>
        <w:rPr>
          <w:rFonts w:ascii="Times New Roman" w:hAnsi="Times New Roman"/>
          <w:i/>
          <w:iCs/>
          <w:sz w:val="24"/>
          <w:u w:color="000000"/>
        </w:rPr>
        <w:t>MRPL</w:t>
      </w:r>
      <w:r>
        <w:rPr>
          <w:rFonts w:ascii="Times New Roman" w:hAnsi="Times New Roman"/>
          <w:sz w:val="24"/>
          <w:u w:val="none"/>
        </w:rPr>
        <w:t xml:space="preserve">. Ja nav atbilstīga </w:t>
      </w:r>
      <w:r>
        <w:rPr>
          <w:rFonts w:ascii="Times New Roman" w:hAnsi="Times New Roman"/>
          <w:sz w:val="24"/>
          <w:u w:color="000000"/>
        </w:rPr>
        <w:t>atsauces materiāla</w:t>
      </w:r>
      <w:r>
        <w:rPr>
          <w:rFonts w:ascii="Times New Roman" w:hAnsi="Times New Roman"/>
          <w:sz w:val="24"/>
          <w:u w:val="none"/>
        </w:rPr>
        <w:t xml:space="preserve">, ko izmantot konkrētai </w:t>
      </w:r>
      <w:r>
        <w:rPr>
          <w:rFonts w:ascii="Times New Roman" w:hAnsi="Times New Roman"/>
          <w:sz w:val="24"/>
          <w:u w:color="000000"/>
        </w:rPr>
        <w:t>vielai, kas nav sliekšņa viela</w:t>
      </w:r>
      <w:r>
        <w:rPr>
          <w:rFonts w:ascii="Times New Roman" w:hAnsi="Times New Roman"/>
          <w:sz w:val="24"/>
          <w:u w:val="none"/>
        </w:rPr>
        <w:t xml:space="preserve">, vai tās raksturīgajam(-iem) </w:t>
      </w:r>
      <w:r>
        <w:rPr>
          <w:rFonts w:ascii="Times New Roman" w:hAnsi="Times New Roman"/>
          <w:i/>
          <w:sz w:val="24"/>
          <w:u w:val="none"/>
        </w:rPr>
        <w:t>metabolītam(-iem)</w:t>
      </w:r>
      <w:r>
        <w:rPr>
          <w:rFonts w:ascii="Times New Roman" w:hAnsi="Times New Roman"/>
          <w:sz w:val="24"/>
          <w:u w:val="none"/>
        </w:rPr>
        <w:t xml:space="preserve"> vai </w:t>
      </w:r>
      <w:r>
        <w:rPr>
          <w:rFonts w:ascii="Times New Roman" w:hAnsi="Times New Roman"/>
          <w:i/>
          <w:sz w:val="24"/>
          <w:u w:val="none"/>
        </w:rPr>
        <w:t>marķierim(-iem)</w:t>
      </w:r>
      <w:r>
        <w:rPr>
          <w:rFonts w:ascii="Times New Roman" w:hAnsi="Times New Roman"/>
          <w:sz w:val="24"/>
          <w:u w:val="none"/>
        </w:rPr>
        <w:t xml:space="preserve">, pieņem, ka </w:t>
      </w:r>
      <w:r>
        <w:rPr>
          <w:rFonts w:ascii="Times New Roman" w:hAnsi="Times New Roman"/>
          <w:i/>
          <w:iCs/>
          <w:sz w:val="24"/>
          <w:u w:color="000000"/>
        </w:rPr>
        <w:t>LOD</w:t>
      </w:r>
      <w:r>
        <w:rPr>
          <w:rFonts w:ascii="Times New Roman" w:hAnsi="Times New Roman"/>
          <w:sz w:val="24"/>
          <w:u w:val="none"/>
        </w:rPr>
        <w:t xml:space="preserve"> būs līdzīga robežai, ko piemēro attiecīgajai tās pašas klases </w:t>
      </w:r>
      <w:r>
        <w:rPr>
          <w:rFonts w:ascii="Times New Roman" w:hAnsi="Times New Roman"/>
          <w:i/>
          <w:sz w:val="24"/>
          <w:u w:val="none"/>
        </w:rPr>
        <w:t>aizliegtajai vielai</w:t>
      </w:r>
      <w:r>
        <w:rPr>
          <w:rFonts w:ascii="Times New Roman" w:hAnsi="Times New Roman"/>
          <w:sz w:val="24"/>
          <w:u w:val="none"/>
        </w:rPr>
        <w:t>.</w:t>
      </w:r>
    </w:p>
    <w:p w14:paraId="09E3C527" w14:textId="77777777" w:rsidR="00BB2755" w:rsidRPr="00D008E3" w:rsidRDefault="00BB2755" w:rsidP="00D008E3">
      <w:pPr>
        <w:pStyle w:val="Heading2"/>
        <w:spacing w:before="0"/>
        <w:ind w:left="0" w:firstLine="0"/>
        <w:jc w:val="both"/>
        <w:rPr>
          <w:rFonts w:ascii="Times New Roman" w:hAnsi="Times New Roman"/>
          <w:noProof/>
          <w:sz w:val="24"/>
          <w:u w:val="none"/>
        </w:rPr>
      </w:pPr>
    </w:p>
    <w:p w14:paraId="37082A45" w14:textId="77777777" w:rsidR="001601FB" w:rsidRPr="00D008E3" w:rsidRDefault="001601FB" w:rsidP="00D008E3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  <w:u w:val="single" w:color="000000"/>
        </w:rPr>
        <w:t>vielas, kas nav sliekšņa vielas</w:t>
      </w:r>
      <w:r>
        <w:rPr>
          <w:rFonts w:ascii="Times New Roman" w:hAnsi="Times New Roman"/>
          <w:sz w:val="24"/>
        </w:rPr>
        <w:t xml:space="preserve">, nosaka, izmantojot hromatogrāfijas un masspektrometrijas metodes, </w:t>
      </w:r>
      <w:r>
        <w:rPr>
          <w:rFonts w:ascii="Times New Roman" w:hAnsi="Times New Roman"/>
          <w:i/>
          <w:iCs/>
          <w:sz w:val="24"/>
          <w:u w:val="single" w:color="000000"/>
        </w:rPr>
        <w:t>LOD</w:t>
      </w:r>
      <w:r>
        <w:rPr>
          <w:rFonts w:ascii="Times New Roman" w:hAnsi="Times New Roman"/>
          <w:sz w:val="24"/>
        </w:rPr>
        <w:t xml:space="preserve"> izsaka kā </w:t>
      </w:r>
      <w:r>
        <w:rPr>
          <w:rFonts w:ascii="Times New Roman" w:hAnsi="Times New Roman"/>
          <w:sz w:val="24"/>
          <w:u w:val="single" w:color="000000"/>
        </w:rPr>
        <w:t>analizējamās vielas</w:t>
      </w:r>
      <w:r>
        <w:rPr>
          <w:rFonts w:ascii="Times New Roman" w:hAnsi="Times New Roman"/>
          <w:sz w:val="24"/>
        </w:rPr>
        <w:t xml:space="preserve"> minimālo koncentrāciju, ko urīnā ir iespējams noteikt ar pieņemamu ticamību. </w:t>
      </w:r>
      <w:r>
        <w:rPr>
          <w:rFonts w:ascii="Times New Roman" w:hAnsi="Times New Roman"/>
          <w:i/>
          <w:iCs/>
          <w:sz w:val="24"/>
          <w:u w:val="single" w:color="000000"/>
        </w:rPr>
        <w:t>LOD</w:t>
      </w:r>
      <w:r>
        <w:rPr>
          <w:rFonts w:ascii="Times New Roman" w:hAnsi="Times New Roman"/>
          <w:sz w:val="24"/>
        </w:rPr>
        <w:t xml:space="preserve"> aprēķināšanai var izmantot signāla un trokšņa attiecību (</w:t>
      </w:r>
      <w:r>
        <w:rPr>
          <w:rFonts w:ascii="Times New Roman" w:hAnsi="Times New Roman"/>
          <w:i/>
          <w:iCs/>
          <w:sz w:val="24"/>
        </w:rPr>
        <w:t>S/N</w:t>
      </w:r>
      <w:r>
        <w:rPr>
          <w:rFonts w:ascii="Times New Roman" w:hAnsi="Times New Roman"/>
          <w:sz w:val="24"/>
        </w:rPr>
        <w:t xml:space="preserve">), ko var iegūt, salīdzinot signālus, kas izmērīti paraugos, kuros ir noteikta </w:t>
      </w:r>
      <w:r>
        <w:rPr>
          <w:rFonts w:ascii="Times New Roman" w:hAnsi="Times New Roman"/>
          <w:sz w:val="24"/>
          <w:u w:val="single" w:color="000000"/>
        </w:rPr>
        <w:t>analizējamās vielas</w:t>
      </w:r>
      <w:r>
        <w:rPr>
          <w:rFonts w:ascii="Times New Roman" w:hAnsi="Times New Roman"/>
          <w:sz w:val="24"/>
        </w:rPr>
        <w:t xml:space="preserve"> zema koncentrācija, ar signāliem, kas izmērīti tukšiem paraugiem. Parasti uzskata, ka </w:t>
      </w:r>
      <w:r>
        <w:rPr>
          <w:rFonts w:ascii="Times New Roman" w:hAnsi="Times New Roman"/>
          <w:i/>
          <w:iCs/>
          <w:sz w:val="24"/>
        </w:rPr>
        <w:t>S/N</w:t>
      </w:r>
      <w:r>
        <w:rPr>
          <w:rFonts w:ascii="Times New Roman" w:hAnsi="Times New Roman"/>
          <w:sz w:val="24"/>
        </w:rPr>
        <w:t xml:space="preserve"> attiecība 3 ir pieņemama. Tomēr var piemērot arī citas plaši atzītas procedūras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signāla atkārtojamības datus, ko izmanto, piemērojot </w:t>
      </w:r>
      <w:r>
        <w:rPr>
          <w:rFonts w:ascii="Times New Roman" w:hAnsi="Times New Roman"/>
          <w:i/>
          <w:iCs/>
          <w:sz w:val="24"/>
        </w:rPr>
        <w:t>HRMS</w:t>
      </w:r>
      <w:r>
        <w:rPr>
          <w:rFonts w:ascii="Times New Roman" w:hAnsi="Times New Roman"/>
          <w:sz w:val="24"/>
        </w:rPr>
        <w:t>).</w:t>
      </w:r>
    </w:p>
    <w:p w14:paraId="4F4A6977" w14:textId="77777777" w:rsidR="001601FB" w:rsidRPr="00D008E3" w:rsidRDefault="001601FB" w:rsidP="00D008E3">
      <w:pPr>
        <w:jc w:val="both"/>
        <w:rPr>
          <w:rFonts w:ascii="Times New Roman" w:hAnsi="Times New Roman"/>
          <w:noProof/>
          <w:sz w:val="24"/>
        </w:rPr>
      </w:pPr>
    </w:p>
    <w:p w14:paraId="74BCD03F" w14:textId="77777777" w:rsidR="001601FB" w:rsidRPr="00D008E3" w:rsidRDefault="001601FB" w:rsidP="00D008E3">
      <w:pPr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b/>
          <w:sz w:val="24"/>
        </w:rPr>
        <w:t xml:space="preserve">3.0. </w:t>
      </w:r>
      <w:r>
        <w:rPr>
          <w:rFonts w:ascii="Times New Roman" w:hAnsi="Times New Roman"/>
          <w:b/>
          <w:sz w:val="24"/>
          <w:u w:val="thick" w:color="000000"/>
        </w:rPr>
        <w:t>Apstiprināšanas procedūra</w:t>
      </w:r>
    </w:p>
    <w:p w14:paraId="6D11C1B0" w14:textId="77777777" w:rsidR="00BB2755" w:rsidRDefault="00BB2755" w:rsidP="00D008E3">
      <w:pPr>
        <w:jc w:val="both"/>
        <w:rPr>
          <w:rFonts w:ascii="Times New Roman" w:hAnsi="Times New Roman"/>
          <w:noProof/>
          <w:sz w:val="24"/>
        </w:rPr>
      </w:pPr>
    </w:p>
    <w:p w14:paraId="0A8DEECF" w14:textId="40D5AC9C" w:rsidR="001601FB" w:rsidRPr="00D008E3" w:rsidRDefault="001601FB" w:rsidP="00D008E3">
      <w:pPr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dokumentē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, ko piemēro </w:t>
      </w:r>
      <w:r>
        <w:rPr>
          <w:rFonts w:ascii="Times New Roman" w:hAnsi="Times New Roman"/>
          <w:sz w:val="24"/>
          <w:u w:val="single" w:color="000000"/>
        </w:rPr>
        <w:t>vielām, kas nav sliekšņa vielas</w:t>
      </w:r>
      <w:r>
        <w:rPr>
          <w:rFonts w:ascii="Times New Roman" w:hAnsi="Times New Roman"/>
          <w:sz w:val="24"/>
        </w:rPr>
        <w:t xml:space="preserve">, lai ikvienu </w:t>
      </w:r>
      <w:r>
        <w:rPr>
          <w:rFonts w:ascii="Times New Roman" w:hAnsi="Times New Roman"/>
          <w:sz w:val="24"/>
          <w:u w:val="single" w:color="000000"/>
        </w:rPr>
        <w:t>vielu, kas nav sliekšņa viela</w:t>
      </w:r>
      <w:r>
        <w:rPr>
          <w:rFonts w:ascii="Times New Roman" w:hAnsi="Times New Roman"/>
          <w:sz w:val="24"/>
        </w:rPr>
        <w:t xml:space="preserve">, vai tās reprezentatīvo vielu, mērķa </w:t>
      </w:r>
      <w:r>
        <w:rPr>
          <w:rFonts w:ascii="Times New Roman" w:hAnsi="Times New Roman"/>
          <w:i/>
          <w:sz w:val="24"/>
        </w:rPr>
        <w:t>metabolītu(-us)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marķieri(-us)</w:t>
      </w:r>
      <w:r>
        <w:rPr>
          <w:rFonts w:ascii="Times New Roman" w:hAnsi="Times New Roman"/>
          <w:sz w:val="24"/>
        </w:rPr>
        <w:t xml:space="preserve"> (kā noteikts </w:t>
      </w:r>
      <w:r>
        <w:rPr>
          <w:rFonts w:ascii="Times New Roman" w:hAnsi="Times New Roman"/>
          <w:sz w:val="24"/>
          <w:u w:val="single" w:color="000000"/>
        </w:rPr>
        <w:t>tehniskajā dokumentā</w:t>
      </w:r>
      <w:r>
        <w:rPr>
          <w:rFonts w:ascii="Times New Roman" w:hAnsi="Times New Roman"/>
          <w:sz w:val="24"/>
        </w:rPr>
        <w:t xml:space="preserve"> par minimālajiem kritērijiem </w:t>
      </w:r>
      <w:r>
        <w:rPr>
          <w:rFonts w:ascii="Times New Roman" w:hAnsi="Times New Roman"/>
          <w:sz w:val="24"/>
          <w:u w:val="single" w:color="000000"/>
        </w:rPr>
        <w:t>analizējamo vielu</w:t>
      </w:r>
      <w:r>
        <w:rPr>
          <w:rFonts w:ascii="Times New Roman" w:hAnsi="Times New Roman"/>
          <w:sz w:val="24"/>
        </w:rPr>
        <w:t xml:space="preserve"> identitātes hromatogrāfijas masspektrometrijas apstiprināšanai, </w:t>
      </w:r>
      <w:r>
        <w:rPr>
          <w:rFonts w:ascii="Times New Roman" w:hAnsi="Times New Roman"/>
          <w:i/>
          <w:iCs/>
          <w:sz w:val="24"/>
        </w:rPr>
        <w:t>TD IDCR</w:t>
      </w:r>
      <w:r w:rsidR="00BB2755"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sz w:val="24"/>
        </w:rPr>
        <w:t xml:space="preserve">) būtu iespējams identificēt </w:t>
      </w: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vai zemākā līmenī.</w:t>
      </w:r>
    </w:p>
    <w:p w14:paraId="020F40A9" w14:textId="77777777" w:rsidR="001601FB" w:rsidRPr="00D008E3" w:rsidRDefault="001601FB" w:rsidP="00D008E3">
      <w:pPr>
        <w:jc w:val="both"/>
        <w:rPr>
          <w:rFonts w:ascii="Times New Roman" w:eastAsia="Arial" w:hAnsi="Times New Roman" w:cs="Arial"/>
          <w:noProof/>
          <w:sz w:val="24"/>
          <w:szCs w:val="25"/>
        </w:rPr>
      </w:pPr>
    </w:p>
    <w:p w14:paraId="1E30557C" w14:textId="2106EC73" w:rsidR="001601FB" w:rsidRPr="00D008E3" w:rsidRDefault="00BB2755" w:rsidP="00BB2755">
      <w:pPr>
        <w:tabs>
          <w:tab w:val="left" w:pos="546"/>
        </w:tabs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b/>
          <w:sz w:val="24"/>
        </w:rPr>
        <w:t xml:space="preserve">4.0. Ziņošana par </w:t>
      </w:r>
      <w:r>
        <w:rPr>
          <w:rFonts w:ascii="Times New Roman" w:hAnsi="Times New Roman"/>
          <w:b/>
          <w:sz w:val="24"/>
          <w:u w:val="thick" w:color="000000"/>
        </w:rPr>
        <w:t>vielām, kas nav sliekšņa vielas</w:t>
      </w:r>
    </w:p>
    <w:p w14:paraId="691294A5" w14:textId="519F3472" w:rsidR="001601FB" w:rsidRPr="00D008E3" w:rsidRDefault="001601FB" w:rsidP="00D008E3">
      <w:pPr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sz w:val="24"/>
        </w:rPr>
        <w:t xml:space="preserve">Par jebkuru apstiprinātu identificētas </w:t>
      </w:r>
      <w:r>
        <w:rPr>
          <w:rFonts w:ascii="Times New Roman" w:hAnsi="Times New Roman"/>
          <w:sz w:val="24"/>
          <w:u w:val="single" w:color="000000"/>
        </w:rPr>
        <w:t>vielas, kas nav sliekšņa viela</w:t>
      </w:r>
      <w:r>
        <w:rPr>
          <w:rFonts w:ascii="Times New Roman" w:hAnsi="Times New Roman"/>
          <w:sz w:val="24"/>
        </w:rPr>
        <w:t xml:space="preserve">, koncentrāciju ziņo kā par </w:t>
      </w:r>
      <w:r>
        <w:rPr>
          <w:rFonts w:ascii="Times New Roman" w:hAnsi="Times New Roman"/>
          <w:i/>
          <w:sz w:val="24"/>
        </w:rPr>
        <w:t>nelabvēlīgu analīžu rezultātu</w:t>
      </w:r>
      <w:r>
        <w:rPr>
          <w:rFonts w:ascii="Times New Roman" w:hAnsi="Times New Roman"/>
          <w:sz w:val="24"/>
        </w:rPr>
        <w:t>, izņemot šādus gadījumus:</w:t>
      </w:r>
    </w:p>
    <w:p w14:paraId="1272EAD0" w14:textId="77777777" w:rsidR="001601FB" w:rsidRPr="00D008E3" w:rsidRDefault="001601FB" w:rsidP="00D008E3">
      <w:pPr>
        <w:jc w:val="both"/>
        <w:rPr>
          <w:rFonts w:ascii="Times New Roman" w:eastAsia="Arial" w:hAnsi="Times New Roman" w:cs="Arial"/>
          <w:noProof/>
          <w:sz w:val="24"/>
          <w:szCs w:val="17"/>
        </w:rPr>
      </w:pPr>
    </w:p>
    <w:p w14:paraId="68169727" w14:textId="13BE9A5F" w:rsidR="001601FB" w:rsidRPr="00BB2755" w:rsidRDefault="001601FB" w:rsidP="00BB2755">
      <w:pPr>
        <w:pStyle w:val="Heading2"/>
        <w:numPr>
          <w:ilvl w:val="2"/>
          <w:numId w:val="1"/>
        </w:numPr>
        <w:spacing w:before="0"/>
        <w:ind w:left="426" w:hanging="426"/>
        <w:jc w:val="both"/>
        <w:rPr>
          <w:rFonts w:ascii="Times New Roman" w:hAnsi="Times New Roman" w:cs="Arial"/>
          <w:noProof/>
          <w:sz w:val="24"/>
        </w:rPr>
      </w:pPr>
      <w:r>
        <w:rPr>
          <w:rFonts w:ascii="Times New Roman" w:hAnsi="Times New Roman"/>
          <w:sz w:val="24"/>
        </w:rPr>
        <w:t xml:space="preserve">par </w:t>
      </w:r>
      <w:r>
        <w:rPr>
          <w:rFonts w:ascii="Times New Roman" w:hAnsi="Times New Roman"/>
          <w:sz w:val="24"/>
          <w:u w:color="000000"/>
        </w:rPr>
        <w:t>vielām, kas nav sliekšņa vielas</w:t>
      </w:r>
      <w:r>
        <w:rPr>
          <w:rFonts w:ascii="Times New Roman" w:hAnsi="Times New Roman"/>
          <w:sz w:val="24"/>
          <w:u w:val="none"/>
        </w:rPr>
        <w:t xml:space="preserve">, kuras atbilst vielu klasēm S6, S7, S8 un P1 un kuras ir aizliegtas </w:t>
      </w:r>
      <w:r>
        <w:rPr>
          <w:rFonts w:ascii="Times New Roman" w:hAnsi="Times New Roman"/>
          <w:sz w:val="24"/>
        </w:rPr>
        <w:t>tikai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i/>
          <w:sz w:val="24"/>
          <w:u w:val="none"/>
        </w:rPr>
        <w:t>sacensību laikā</w:t>
      </w:r>
      <w:r>
        <w:rPr>
          <w:rFonts w:ascii="Times New Roman" w:hAnsi="Times New Roman"/>
          <w:sz w:val="24"/>
          <w:u w:val="none"/>
        </w:rPr>
        <w:t xml:space="preserve">, </w:t>
      </w:r>
      <w:r>
        <w:rPr>
          <w:rFonts w:ascii="Times New Roman" w:hAnsi="Times New Roman"/>
          <w:sz w:val="24"/>
        </w:rPr>
        <w:t xml:space="preserve">nav jāziņo, ja to līmenis ir zemāks par 50 % no </w:t>
      </w:r>
      <w:r>
        <w:rPr>
          <w:rFonts w:ascii="Times New Roman" w:hAnsi="Times New Roman"/>
          <w:i/>
          <w:iCs/>
          <w:sz w:val="24"/>
          <w:u w:color="000000"/>
        </w:rPr>
        <w:t>MRPL</w:t>
      </w:r>
      <w:r>
        <w:rPr>
          <w:rFonts w:ascii="Times New Roman" w:hAnsi="Times New Roman"/>
          <w:sz w:val="24"/>
          <w:u w:val="none" w:color="000000"/>
        </w:rPr>
        <w:t>;</w:t>
      </w:r>
      <w:r w:rsidR="00BB2755">
        <w:rPr>
          <w:rStyle w:val="FootnoteReference"/>
          <w:rFonts w:ascii="Times New Roman" w:hAnsi="Times New Roman"/>
          <w:noProof/>
          <w:sz w:val="24"/>
          <w:u w:color="000000"/>
        </w:rPr>
        <w:footnoteReference w:id="8"/>
      </w:r>
    </w:p>
    <w:p w14:paraId="45B1AA27" w14:textId="77777777" w:rsidR="001601FB" w:rsidRPr="00D008E3" w:rsidRDefault="001601FB" w:rsidP="00BB2755">
      <w:pPr>
        <w:numPr>
          <w:ilvl w:val="2"/>
          <w:numId w:val="1"/>
        </w:numPr>
        <w:ind w:left="426" w:hanging="426"/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sz w:val="24"/>
        </w:rPr>
        <w:t xml:space="preserve">par glikokortikoīdiem (S9) nav jāziņo, ja </w:t>
      </w: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ir zemāks par 30 ng/ml;</w:t>
      </w:r>
    </w:p>
    <w:p w14:paraId="4BD98517" w14:textId="487B82FD" w:rsidR="001601FB" w:rsidRPr="00D008E3" w:rsidRDefault="001601FB" w:rsidP="00BB2755">
      <w:pPr>
        <w:numPr>
          <w:ilvl w:val="2"/>
          <w:numId w:val="1"/>
        </w:numPr>
        <w:ind w:left="426" w:hanging="426"/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sz w:val="24"/>
        </w:rPr>
        <w:t>par salmeterolu un higenamīnu nav jāziņo, ja to līmenis ir zemāks par 10 ng/ml (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50 % no </w:t>
      </w: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attiecībā uz bēta-2-agonistiem);</w:t>
      </w:r>
      <w:r w:rsidR="00BB2755">
        <w:rPr>
          <w:rStyle w:val="FootnoteReference"/>
          <w:rFonts w:ascii="Times New Roman" w:hAnsi="Times New Roman"/>
          <w:noProof/>
          <w:sz w:val="24"/>
        </w:rPr>
        <w:footnoteReference w:id="9"/>
      </w:r>
    </w:p>
    <w:p w14:paraId="72D3A4E9" w14:textId="77777777" w:rsidR="001601FB" w:rsidRPr="00D008E3" w:rsidRDefault="001601FB" w:rsidP="00BB2755">
      <w:pPr>
        <w:numPr>
          <w:ilvl w:val="2"/>
          <w:numId w:val="1"/>
        </w:numPr>
        <w:ind w:left="426" w:hanging="426"/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sz w:val="24"/>
        </w:rPr>
        <w:lastRenderedPageBreak/>
        <w:t>par meldoniju nav jāziņo, ja tā līmenis ir zemāks par 100 ng/ml (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50 % no </w:t>
      </w: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>);</w:t>
      </w:r>
    </w:p>
    <w:p w14:paraId="6003F224" w14:textId="5F316CE6" w:rsidR="001601FB" w:rsidRPr="00BB2755" w:rsidRDefault="001601FB" w:rsidP="00BB2755">
      <w:pPr>
        <w:numPr>
          <w:ilvl w:val="2"/>
          <w:numId w:val="1"/>
        </w:numPr>
        <w:ind w:left="426" w:hanging="426"/>
        <w:jc w:val="both"/>
        <w:rPr>
          <w:rFonts w:ascii="Times New Roman" w:eastAsia="Arial" w:hAnsi="Times New Roman" w:cs="Arial"/>
          <w:noProof/>
          <w:sz w:val="24"/>
        </w:rPr>
      </w:pPr>
      <w:r>
        <w:rPr>
          <w:rFonts w:ascii="Times New Roman" w:hAnsi="Times New Roman"/>
          <w:sz w:val="24"/>
        </w:rPr>
        <w:t xml:space="preserve">par oktopamīnu nav jāziņo, ja </w:t>
      </w:r>
      <w:r>
        <w:rPr>
          <w:rFonts w:ascii="Times New Roman" w:hAnsi="Times New Roman"/>
          <w:i/>
          <w:iCs/>
          <w:sz w:val="24"/>
          <w:u w:val="single" w:color="000000"/>
        </w:rPr>
        <w:t>MRPL</w:t>
      </w:r>
      <w:r>
        <w:rPr>
          <w:rFonts w:ascii="Times New Roman" w:hAnsi="Times New Roman"/>
          <w:sz w:val="24"/>
        </w:rPr>
        <w:t xml:space="preserve"> ir zemāks par 1000 ng/ml.</w:t>
      </w:r>
      <w:r w:rsidR="00BB2755">
        <w:rPr>
          <w:rStyle w:val="FootnoteReference"/>
          <w:rFonts w:ascii="Times New Roman" w:hAnsi="Times New Roman"/>
          <w:noProof/>
          <w:sz w:val="24"/>
        </w:rPr>
        <w:footnoteReference w:id="10"/>
      </w:r>
    </w:p>
    <w:sectPr w:rsidR="001601FB" w:rsidRPr="00BB2755" w:rsidSect="00D008E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E5A36" w14:textId="77777777" w:rsidR="00AD2798" w:rsidRPr="001601FB" w:rsidRDefault="00BB2755">
      <w:pPr>
        <w:rPr>
          <w:noProof/>
        </w:rPr>
      </w:pPr>
      <w:r w:rsidRPr="001601FB">
        <w:rPr>
          <w:noProof/>
        </w:rPr>
        <w:separator/>
      </w:r>
    </w:p>
  </w:endnote>
  <w:endnote w:type="continuationSeparator" w:id="0">
    <w:p w14:paraId="3A1F9236" w14:textId="77777777" w:rsidR="00AD2798" w:rsidRPr="001601FB" w:rsidRDefault="00BB2755">
      <w:pPr>
        <w:rPr>
          <w:noProof/>
        </w:rPr>
      </w:pPr>
      <w:r w:rsidRPr="001601FB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4B412" w14:textId="77777777" w:rsidR="00C532A6" w:rsidRPr="00C532A6" w:rsidRDefault="00C532A6" w:rsidP="00C532A6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670D0C19" w14:textId="6B765FD6" w:rsidR="00C532A6" w:rsidRPr="00C532A6" w:rsidRDefault="00C532A6" w:rsidP="00C532A6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C532A6">
      <w:rPr>
        <w:rStyle w:val="PageNumber"/>
        <w:rFonts w:ascii="Times New Roman" w:hAnsi="Times New Roman" w:cs="Times New Roman"/>
        <w:sz w:val="20"/>
        <w:szCs w:val="18"/>
      </w:rPr>
      <w:tab/>
    </w:r>
  </w:p>
  <w:p w14:paraId="7A961B0E" w14:textId="77777777" w:rsidR="00C532A6" w:rsidRPr="00C532A6" w:rsidRDefault="00C532A6" w:rsidP="00C532A6">
    <w:pPr>
      <w:pStyle w:val="Header"/>
      <w:tabs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6B98F194" w14:textId="77777777" w:rsidR="00C532A6" w:rsidRPr="00C532A6" w:rsidRDefault="00C532A6" w:rsidP="00C532A6">
    <w:pPr>
      <w:pStyle w:val="Footer"/>
      <w:tabs>
        <w:tab w:val="clear" w:pos="4513"/>
        <w:tab w:val="clear" w:pos="9026"/>
        <w:tab w:val="center" w:pos="9072"/>
      </w:tabs>
      <w:rPr>
        <w:rFonts w:ascii="Times New Roman" w:hAnsi="Times New Roman" w:cs="Times New Roman"/>
        <w:sz w:val="20"/>
        <w:szCs w:val="18"/>
      </w:rPr>
    </w:pPr>
    <w:r w:rsidRPr="00C532A6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C532A6">
      <w:rPr>
        <w:rFonts w:ascii="Times New Roman" w:hAnsi="Times New Roman" w:cs="Times New Roman"/>
        <w:noProof/>
        <w:sz w:val="20"/>
        <w:szCs w:val="18"/>
      </w:rPr>
      <w:fldChar w:fldCharType="begin"/>
    </w:r>
    <w:r w:rsidRPr="00C532A6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C532A6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C532A6">
      <w:rPr>
        <w:rFonts w:ascii="Times New Roman" w:hAnsi="Times New Roman" w:cs="Times New Roman"/>
        <w:noProof/>
        <w:sz w:val="20"/>
        <w:szCs w:val="18"/>
      </w:rPr>
      <w:t>Ó</w:t>
    </w:r>
    <w:r w:rsidRPr="00C532A6">
      <w:rPr>
        <w:rFonts w:ascii="Times New Roman" w:hAnsi="Times New Roman" w:cs="Times New Roman"/>
        <w:noProof/>
        <w:sz w:val="20"/>
        <w:szCs w:val="18"/>
      </w:rPr>
      <w:fldChar w:fldCharType="end"/>
    </w:r>
    <w:r w:rsidRPr="00C532A6">
      <w:rPr>
        <w:rFonts w:ascii="Times New Roman" w:hAnsi="Times New Roman" w:cs="Times New Roman"/>
        <w:noProof/>
        <w:sz w:val="20"/>
        <w:szCs w:val="18"/>
      </w:rPr>
      <w:t xml:space="preserve"> Valsts valodas centrs, 2020</w:t>
    </w:r>
    <w:r w:rsidRPr="00C532A6">
      <w:rPr>
        <w:rFonts w:ascii="Times New Roman" w:hAnsi="Times New Roman" w:cs="Times New Roman"/>
        <w:sz w:val="20"/>
        <w:szCs w:val="18"/>
      </w:rPr>
      <w:tab/>
    </w:r>
    <w:r w:rsidRPr="00C532A6">
      <w:rPr>
        <w:rStyle w:val="PageNumber"/>
        <w:rFonts w:ascii="Times New Roman" w:hAnsi="Times New Roman" w:cs="Times New Roman"/>
        <w:sz w:val="20"/>
        <w:szCs w:val="18"/>
      </w:rPr>
      <w:fldChar w:fldCharType="begin"/>
    </w:r>
    <w:r w:rsidRPr="00C532A6">
      <w:rPr>
        <w:rStyle w:val="PageNumber"/>
        <w:rFonts w:ascii="Times New Roman" w:hAnsi="Times New Roman" w:cs="Times New Roman"/>
        <w:sz w:val="20"/>
        <w:szCs w:val="18"/>
      </w:rPr>
      <w:instrText xml:space="preserve">page </w:instrText>
    </w:r>
    <w:r w:rsidRPr="00C532A6">
      <w:rPr>
        <w:rStyle w:val="PageNumber"/>
        <w:rFonts w:ascii="Times New Roman" w:hAnsi="Times New Roman" w:cs="Times New Roman"/>
        <w:sz w:val="20"/>
        <w:szCs w:val="18"/>
      </w:rPr>
      <w:fldChar w:fldCharType="separate"/>
    </w:r>
    <w:r w:rsidRPr="00C532A6">
      <w:rPr>
        <w:rStyle w:val="PageNumber"/>
        <w:rFonts w:ascii="Times New Roman" w:hAnsi="Times New Roman" w:cs="Times New Roman"/>
        <w:sz w:val="20"/>
        <w:szCs w:val="18"/>
      </w:rPr>
      <w:t>2</w:t>
    </w:r>
    <w:r w:rsidRPr="00C532A6">
      <w:rPr>
        <w:rStyle w:val="PageNumber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61435" w14:textId="77777777" w:rsidR="00C532A6" w:rsidRPr="00C532A6" w:rsidRDefault="00C532A6" w:rsidP="00C532A6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0ED22E91" w14:textId="2C1B33CA" w:rsidR="00C532A6" w:rsidRPr="00C532A6" w:rsidRDefault="00C532A6" w:rsidP="00C532A6">
    <w:pPr>
      <w:pStyle w:val="Header"/>
      <w:tabs>
        <w:tab w:val="clear" w:pos="4513"/>
        <w:tab w:val="clear" w:pos="902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C532A6">
      <w:rPr>
        <w:rStyle w:val="PageNumber"/>
        <w:rFonts w:ascii="Times New Roman" w:hAnsi="Times New Roman" w:cs="Times New Roman"/>
        <w:sz w:val="20"/>
        <w:szCs w:val="18"/>
      </w:rPr>
      <w:tab/>
    </w:r>
  </w:p>
  <w:p w14:paraId="30512726" w14:textId="77777777" w:rsidR="00C532A6" w:rsidRPr="00C532A6" w:rsidRDefault="00C532A6" w:rsidP="00C532A6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3457B8AB" w14:textId="77777777" w:rsidR="00C532A6" w:rsidRPr="00C532A6" w:rsidRDefault="00C532A6" w:rsidP="00C532A6">
    <w:pPr>
      <w:pStyle w:val="Footer"/>
      <w:rPr>
        <w:rFonts w:ascii="Times New Roman" w:hAnsi="Times New Roman" w:cs="Times New Roman"/>
        <w:sz w:val="20"/>
        <w:szCs w:val="18"/>
      </w:rPr>
    </w:pPr>
    <w:r w:rsidRPr="00C532A6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C532A6">
      <w:rPr>
        <w:rFonts w:ascii="Times New Roman" w:hAnsi="Times New Roman" w:cs="Times New Roman"/>
        <w:noProof/>
        <w:sz w:val="20"/>
        <w:szCs w:val="18"/>
      </w:rPr>
      <w:fldChar w:fldCharType="begin"/>
    </w:r>
    <w:r w:rsidRPr="00C532A6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C532A6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C532A6">
      <w:rPr>
        <w:rFonts w:ascii="Times New Roman" w:hAnsi="Times New Roman" w:cs="Times New Roman"/>
        <w:noProof/>
        <w:sz w:val="20"/>
        <w:szCs w:val="18"/>
      </w:rPr>
      <w:t>Ó</w:t>
    </w:r>
    <w:r w:rsidRPr="00C532A6">
      <w:rPr>
        <w:rFonts w:ascii="Times New Roman" w:hAnsi="Times New Roman" w:cs="Times New Roman"/>
        <w:noProof/>
        <w:sz w:val="20"/>
        <w:szCs w:val="18"/>
      </w:rPr>
      <w:fldChar w:fldCharType="end"/>
    </w:r>
    <w:r w:rsidRPr="00C532A6">
      <w:rPr>
        <w:rFonts w:ascii="Times New Roman" w:hAnsi="Times New Roman" w:cs="Times New Roman"/>
        <w:noProof/>
        <w:sz w:val="20"/>
        <w:szCs w:val="18"/>
      </w:rPr>
      <w:t xml:space="preserve"> Valsts valodas centrs, 20</w:t>
    </w:r>
    <w:bookmarkEnd w:id="14"/>
    <w:bookmarkEnd w:id="15"/>
    <w:bookmarkEnd w:id="16"/>
    <w:r w:rsidRPr="00C532A6">
      <w:rPr>
        <w:rFonts w:ascii="Times New Roman" w:hAnsi="Times New Roman" w:cs="Times New Roman"/>
        <w:noProof/>
        <w:sz w:val="20"/>
        <w:szCs w:val="18"/>
      </w:rPr>
      <w:t>20</w:t>
    </w:r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34CA4" w14:textId="77777777" w:rsidR="00AD2798" w:rsidRPr="001601FB" w:rsidRDefault="00BB2755">
      <w:pPr>
        <w:rPr>
          <w:noProof/>
        </w:rPr>
      </w:pPr>
      <w:r w:rsidRPr="001601FB">
        <w:rPr>
          <w:noProof/>
        </w:rPr>
        <w:separator/>
      </w:r>
    </w:p>
  </w:footnote>
  <w:footnote w:type="continuationSeparator" w:id="0">
    <w:p w14:paraId="6783908A" w14:textId="77777777" w:rsidR="00AD2798" w:rsidRPr="001601FB" w:rsidRDefault="00BB2755">
      <w:pPr>
        <w:rPr>
          <w:noProof/>
        </w:rPr>
      </w:pPr>
      <w:r w:rsidRPr="001601FB">
        <w:rPr>
          <w:noProof/>
        </w:rPr>
        <w:continuationSeparator/>
      </w:r>
    </w:p>
  </w:footnote>
  <w:footnote w:id="1">
    <w:p w14:paraId="6909F449" w14:textId="51DC82DF" w:rsidR="00D008E3" w:rsidRPr="00D008E3" w:rsidRDefault="00D008E3" w:rsidP="00D008E3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WADA</w:t>
      </w:r>
      <w:r>
        <w:rPr>
          <w:rFonts w:ascii="Times New Roman" w:hAnsi="Times New Roman"/>
        </w:rPr>
        <w:t xml:space="preserve"> tehniskais dokuments </w:t>
      </w:r>
      <w:r>
        <w:rPr>
          <w:rFonts w:ascii="Times New Roman" w:hAnsi="Times New Roman"/>
          <w:i/>
          <w:iCs/>
        </w:rPr>
        <w:t>TD DL</w:t>
      </w:r>
      <w:r>
        <w:rPr>
          <w:rFonts w:ascii="Times New Roman" w:hAnsi="Times New Roman"/>
        </w:rPr>
        <w:t xml:space="preserve"> “</w:t>
      </w:r>
      <w:r>
        <w:rPr>
          <w:rFonts w:ascii="Times New Roman" w:hAnsi="Times New Roman"/>
          <w:u w:val="single" w:color="000000"/>
        </w:rPr>
        <w:t xml:space="preserve">Decision Limits </w:t>
      </w:r>
      <w:r>
        <w:rPr>
          <w:rFonts w:ascii="Times New Roman" w:hAnsi="Times New Roman"/>
        </w:rPr>
        <w:t xml:space="preserve">for the Confirmatory Quantification of </w:t>
      </w:r>
      <w:r>
        <w:rPr>
          <w:rFonts w:ascii="Times New Roman" w:hAnsi="Times New Roman"/>
          <w:u w:val="single" w:color="000000"/>
        </w:rPr>
        <w:t>Threshold Substances</w:t>
      </w:r>
      <w:r>
        <w:rPr>
          <w:rFonts w:ascii="Times New Roman" w:hAnsi="Times New Roman"/>
        </w:rPr>
        <w:t>” [</w:t>
      </w:r>
      <w:r>
        <w:rPr>
          <w:rFonts w:ascii="Times New Roman" w:hAnsi="Times New Roman"/>
          <w:u w:val="single" w:color="000000"/>
        </w:rPr>
        <w:t>Izšķiršanas robežas</w:t>
      </w:r>
      <w:r>
        <w:rPr>
          <w:rFonts w:ascii="Times New Roman" w:hAnsi="Times New Roman"/>
        </w:rPr>
        <w:t xml:space="preserve"> apstiprinātā </w:t>
      </w:r>
      <w:r>
        <w:rPr>
          <w:rFonts w:ascii="Times New Roman" w:hAnsi="Times New Roman"/>
          <w:u w:val="single" w:color="000000"/>
        </w:rPr>
        <w:t>sliekšņa vielu</w:t>
      </w:r>
      <w:r>
        <w:rPr>
          <w:rFonts w:ascii="Times New Roman" w:hAnsi="Times New Roman"/>
        </w:rPr>
        <w:t xml:space="preserve"> daudzuma noteikšanai]. </w:t>
      </w:r>
      <w:r>
        <w:rPr>
          <w:rFonts w:ascii="Times New Roman" w:hAnsi="Times New Roman"/>
          <w:color w:val="0000FF"/>
          <w:u w:val="single" w:color="0000FF"/>
        </w:rPr>
        <w:t>https://www.wada-ama.org/en/what-we-do/science-medical/laboratories</w:t>
      </w:r>
    </w:p>
  </w:footnote>
  <w:footnote w:id="2">
    <w:p w14:paraId="584AB7F6" w14:textId="77777777" w:rsidR="00D008E3" w:rsidRPr="00D008E3" w:rsidRDefault="00D008E3" w:rsidP="00D008E3">
      <w:pPr>
        <w:pStyle w:val="BodyText"/>
        <w:ind w:left="0"/>
        <w:jc w:val="both"/>
        <w:rPr>
          <w:rFonts w:ascii="Times New Roman" w:hAnsi="Times New Roman" w:cs="Times New Roman"/>
          <w:noProof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WADA</w:t>
      </w:r>
      <w:r>
        <w:rPr>
          <w:rFonts w:ascii="Times New Roman" w:hAnsi="Times New Roman"/>
        </w:rPr>
        <w:t xml:space="preserve"> tehniskais dokuments </w:t>
      </w:r>
      <w:r>
        <w:rPr>
          <w:rFonts w:ascii="Times New Roman" w:hAnsi="Times New Roman"/>
          <w:i/>
          <w:iCs/>
        </w:rPr>
        <w:t>TD GH</w:t>
      </w:r>
      <w:r>
        <w:rPr>
          <w:rFonts w:ascii="Times New Roman" w:hAnsi="Times New Roman"/>
        </w:rPr>
        <w:t xml:space="preserve"> “Human Growth Hormone (hGH) Isoform Differential Immunoassays for </w:t>
      </w:r>
      <w:r>
        <w:rPr>
          <w:rFonts w:ascii="Times New Roman" w:hAnsi="Times New Roman"/>
          <w:i/>
        </w:rPr>
        <w:t xml:space="preserve">Doping Control </w:t>
      </w:r>
      <w:r>
        <w:rPr>
          <w:rFonts w:ascii="Times New Roman" w:hAnsi="Times New Roman"/>
        </w:rPr>
        <w:t>Analyses” [Cilvēka augšanas hormona (</w:t>
      </w:r>
      <w:r>
        <w:rPr>
          <w:rFonts w:ascii="Times New Roman" w:hAnsi="Times New Roman"/>
          <w:i/>
          <w:iCs/>
        </w:rPr>
        <w:t>hGH</w:t>
      </w:r>
      <w:r>
        <w:rPr>
          <w:rFonts w:ascii="Times New Roman" w:hAnsi="Times New Roman"/>
        </w:rPr>
        <w:t xml:space="preserve">) izoformu diferenciālie imūntesti </w:t>
      </w:r>
      <w:r>
        <w:rPr>
          <w:rFonts w:ascii="Times New Roman" w:hAnsi="Times New Roman"/>
          <w:i/>
        </w:rPr>
        <w:t>dopinga kontroles</w:t>
      </w:r>
      <w:r>
        <w:rPr>
          <w:rFonts w:ascii="Times New Roman" w:hAnsi="Times New Roman"/>
        </w:rPr>
        <w:t xml:space="preserve"> analīzēm].</w:t>
      </w:r>
    </w:p>
    <w:p w14:paraId="21E90BD9" w14:textId="04C7DBC4" w:rsidR="00D008E3" w:rsidRPr="00D008E3" w:rsidRDefault="00D008E3" w:rsidP="00D008E3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color w:val="0000FF"/>
          <w:u w:val="single" w:color="0000FF"/>
        </w:rPr>
        <w:t>https://www.wada-ama.org/en/what-we-do/science-medical/laboratories</w:t>
      </w:r>
    </w:p>
  </w:footnote>
  <w:footnote w:id="3">
    <w:p w14:paraId="700749CA" w14:textId="77777777" w:rsidR="00A5477B" w:rsidRPr="00BB2755" w:rsidRDefault="00A5477B" w:rsidP="00BB2755">
      <w:pPr>
        <w:pStyle w:val="BodyText"/>
        <w:tabs>
          <w:tab w:val="left" w:pos="495"/>
          <w:tab w:val="left" w:pos="1409"/>
          <w:tab w:val="left" w:pos="2569"/>
          <w:tab w:val="left" w:pos="3793"/>
          <w:tab w:val="left" w:pos="4362"/>
          <w:tab w:val="left" w:pos="5002"/>
          <w:tab w:val="left" w:pos="6601"/>
          <w:tab w:val="left" w:pos="7069"/>
          <w:tab w:val="left" w:pos="8113"/>
          <w:tab w:val="left" w:pos="8762"/>
          <w:tab w:val="left" w:pos="9943"/>
        </w:tabs>
        <w:ind w:left="0"/>
        <w:jc w:val="both"/>
        <w:rPr>
          <w:rFonts w:ascii="Times New Roman" w:hAnsi="Times New Roman" w:cs="Times New Roman"/>
          <w:noProof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WADA</w:t>
      </w:r>
      <w:r>
        <w:rPr>
          <w:rFonts w:ascii="Times New Roman" w:hAnsi="Times New Roman"/>
        </w:rPr>
        <w:t xml:space="preserve"> tehniskais dokuments </w:t>
      </w:r>
      <w:r>
        <w:rPr>
          <w:rFonts w:ascii="Times New Roman" w:hAnsi="Times New Roman"/>
          <w:i/>
          <w:iCs/>
        </w:rPr>
        <w:t>TD NA</w:t>
      </w:r>
      <w:r>
        <w:rPr>
          <w:rFonts w:ascii="Times New Roman" w:hAnsi="Times New Roman"/>
        </w:rPr>
        <w:t xml:space="preserve"> “Harmonization of Analysis and Reporting of 19-norsteroids related to Nandrolone” [Ar nandrolonu saistītu 19-norsteroīdu analīzes un ziņošanas saskaņošana].</w:t>
      </w:r>
    </w:p>
    <w:p w14:paraId="4EDC809E" w14:textId="6E87A33C" w:rsidR="00A5477B" w:rsidRPr="00BB2755" w:rsidRDefault="00A5477B" w:rsidP="00BB2755">
      <w:pPr>
        <w:pStyle w:val="BodyText"/>
        <w:ind w:left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color w:val="0000FF"/>
          <w:u w:val="single" w:color="0000FF"/>
        </w:rPr>
        <w:t>https://www.wada-ama.org/en/what-we-do/science-medical/laboratories</w:t>
      </w:r>
    </w:p>
  </w:footnote>
  <w:footnote w:id="4">
    <w:p w14:paraId="311FA1CB" w14:textId="77777777" w:rsidR="00A5477B" w:rsidRPr="00BB2755" w:rsidRDefault="00A5477B" w:rsidP="00BB2755">
      <w:pPr>
        <w:pStyle w:val="BodyText"/>
        <w:ind w:left="0"/>
        <w:jc w:val="both"/>
        <w:rPr>
          <w:rFonts w:ascii="Times New Roman" w:hAnsi="Times New Roman" w:cs="Times New Roman"/>
          <w:noProof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WADA</w:t>
      </w:r>
      <w:r>
        <w:rPr>
          <w:rFonts w:ascii="Times New Roman" w:hAnsi="Times New Roman"/>
        </w:rPr>
        <w:t xml:space="preserve"> tehniskais dokuments </w:t>
      </w:r>
      <w:r>
        <w:rPr>
          <w:rFonts w:ascii="Times New Roman" w:hAnsi="Times New Roman"/>
          <w:i/>
          <w:iCs/>
        </w:rPr>
        <w:t>TD IRMS</w:t>
      </w:r>
      <w:r>
        <w:rPr>
          <w:rFonts w:ascii="Times New Roman" w:hAnsi="Times New Roman"/>
        </w:rPr>
        <w:t xml:space="preserve"> “Detection of synthetic forms of Endogenous Anabolic Androgenic Steroids by GC/C/IRMS” [Endogēno anabolisko androgēno steroīdu sintētisko formu noteikšana, veicot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analīzi].</w:t>
      </w:r>
    </w:p>
    <w:p w14:paraId="3DBFE253" w14:textId="44E99AD1" w:rsidR="00A5477B" w:rsidRPr="00BB2755" w:rsidRDefault="00A5477B" w:rsidP="00BB2755">
      <w:pPr>
        <w:pStyle w:val="BodyText"/>
        <w:ind w:left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color w:val="0000FF"/>
          <w:u w:val="single" w:color="0000FF"/>
        </w:rPr>
        <w:t>https://www.wada-ama.org/en/what-we-do/science-medical/laboratories</w:t>
      </w:r>
    </w:p>
  </w:footnote>
  <w:footnote w:id="5">
    <w:p w14:paraId="5B0258FA" w14:textId="77777777" w:rsidR="00BB2755" w:rsidRPr="00BB2755" w:rsidRDefault="00BB2755" w:rsidP="00BB2755">
      <w:pPr>
        <w:pStyle w:val="BodyText"/>
        <w:ind w:left="0"/>
        <w:jc w:val="both"/>
        <w:rPr>
          <w:rFonts w:ascii="Times New Roman" w:hAnsi="Times New Roman" w:cs="Times New Roman"/>
          <w:noProof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WADA</w:t>
      </w:r>
      <w:r>
        <w:rPr>
          <w:rFonts w:ascii="Times New Roman" w:hAnsi="Times New Roman"/>
        </w:rPr>
        <w:t xml:space="preserve"> tehniskais dokuments </w:t>
      </w:r>
      <w:r>
        <w:rPr>
          <w:rFonts w:ascii="Times New Roman" w:hAnsi="Times New Roman"/>
          <w:i/>
          <w:iCs/>
        </w:rPr>
        <w:t>TD CG/LH</w:t>
      </w:r>
      <w:r>
        <w:rPr>
          <w:rFonts w:ascii="Times New Roman" w:hAnsi="Times New Roman"/>
        </w:rPr>
        <w:t xml:space="preserve"> “Reporting and Management of Urinary Human Chorionic Gonadotrophin (hCG) and Luteinizing Hormone (LH) Findings in Male </w:t>
      </w:r>
      <w:r>
        <w:rPr>
          <w:rFonts w:ascii="Times New Roman" w:hAnsi="Times New Roman"/>
          <w:i/>
        </w:rPr>
        <w:t>Athletes</w:t>
      </w:r>
      <w:r>
        <w:rPr>
          <w:rFonts w:ascii="Times New Roman" w:hAnsi="Times New Roman"/>
        </w:rPr>
        <w:t>” [Ziņošana par cilvēku horionu gonadotropīna (</w:t>
      </w:r>
      <w:r>
        <w:rPr>
          <w:rFonts w:ascii="Times New Roman" w:hAnsi="Times New Roman"/>
          <w:i/>
          <w:iCs/>
        </w:rPr>
        <w:t>hCG</w:t>
      </w:r>
      <w:r>
        <w:rPr>
          <w:rFonts w:ascii="Times New Roman" w:hAnsi="Times New Roman"/>
        </w:rPr>
        <w:t>) un luteinizējošā hormona (</w:t>
      </w:r>
      <w:r>
        <w:rPr>
          <w:rFonts w:ascii="Times New Roman" w:hAnsi="Times New Roman"/>
          <w:i/>
          <w:iCs/>
        </w:rPr>
        <w:t>LH</w:t>
      </w:r>
      <w:r>
        <w:rPr>
          <w:rFonts w:ascii="Times New Roman" w:hAnsi="Times New Roman"/>
        </w:rPr>
        <w:t xml:space="preserve">) atradēm vīriešu dzimuma </w:t>
      </w:r>
      <w:r>
        <w:rPr>
          <w:rFonts w:ascii="Times New Roman" w:hAnsi="Times New Roman"/>
          <w:i/>
        </w:rPr>
        <w:t>sportistu</w:t>
      </w:r>
      <w:r>
        <w:rPr>
          <w:rFonts w:ascii="Times New Roman" w:hAnsi="Times New Roman"/>
        </w:rPr>
        <w:t xml:space="preserve"> urīnā un to pārvaldība].</w:t>
      </w:r>
    </w:p>
    <w:p w14:paraId="5EF95804" w14:textId="3DB1B82C" w:rsidR="00BB2755" w:rsidRPr="00BB2755" w:rsidRDefault="00BB2755" w:rsidP="00BB2755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color w:val="0000FF"/>
          <w:u w:val="single" w:color="0000FF"/>
        </w:rPr>
        <w:t>https://www.wada-ama.org/en/what-we-do/science-medical/laboratories</w:t>
      </w:r>
    </w:p>
  </w:footnote>
  <w:footnote w:id="6">
    <w:p w14:paraId="3F1CDC4B" w14:textId="17B267FF" w:rsidR="00BB2755" w:rsidRPr="00BB2755" w:rsidRDefault="00BB2755" w:rsidP="00BB275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X. Matabosch, O. J. Pozo, C. Pérez-Mña, M. Farré, J. Marcos, J. Segura, R. Ventura. Discrimination of prohibited oral use from authorized inhaled treatment of budesonide in sports. </w:t>
      </w:r>
      <w:r>
        <w:rPr>
          <w:rFonts w:ascii="Times New Roman" w:hAnsi="Times New Roman"/>
          <w:i/>
        </w:rPr>
        <w:t xml:space="preserve">Therapeutic Drug Monitoring </w:t>
      </w:r>
      <w:r>
        <w:rPr>
          <w:rFonts w:ascii="Times New Roman" w:hAnsi="Times New Roman"/>
          <w:b/>
        </w:rPr>
        <w:t>35</w:t>
      </w:r>
      <w:r>
        <w:rPr>
          <w:rFonts w:ascii="Times New Roman" w:hAnsi="Times New Roman"/>
        </w:rPr>
        <w:t>(1):118–128, 2013.</w:t>
      </w:r>
    </w:p>
  </w:footnote>
  <w:footnote w:id="7">
    <w:p w14:paraId="789E089F" w14:textId="77777777" w:rsidR="00BB2755" w:rsidRPr="00BB2755" w:rsidRDefault="00BB2755" w:rsidP="00BB2755">
      <w:pPr>
        <w:pStyle w:val="BodyText"/>
        <w:ind w:left="0"/>
        <w:jc w:val="both"/>
        <w:rPr>
          <w:rFonts w:ascii="Times New Roman" w:hAnsi="Times New Roman" w:cs="Times New Roman"/>
          <w:noProof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WADA</w:t>
      </w:r>
      <w:r>
        <w:rPr>
          <w:rFonts w:ascii="Times New Roman" w:hAnsi="Times New Roman"/>
        </w:rPr>
        <w:t xml:space="preserve"> tehniskais dokuments </w:t>
      </w:r>
      <w:r>
        <w:rPr>
          <w:rFonts w:ascii="Times New Roman" w:hAnsi="Times New Roman"/>
          <w:i/>
          <w:iCs/>
        </w:rPr>
        <w:t>TD IDCR</w:t>
      </w:r>
      <w:r>
        <w:rPr>
          <w:rFonts w:ascii="Times New Roman" w:hAnsi="Times New Roman"/>
        </w:rPr>
        <w:t xml:space="preserve"> “Minimum Criteria for Chromatographic-Mass Spectrometric Confirmation of the Identity of Analytes for Doping Control Purposes” [Minimālie kritēriji analizējamo vielu identitātes apstiprināšanai ar hromatogrāfijas masspektrometriju dopinga kontroles vajadzībām].</w:t>
      </w:r>
    </w:p>
    <w:p w14:paraId="37AD3FAB" w14:textId="29EFAED4" w:rsidR="00BB2755" w:rsidRPr="00BB2755" w:rsidRDefault="00BB2755" w:rsidP="00BB2755">
      <w:pPr>
        <w:pStyle w:val="BodyText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color w:val="954F72"/>
          <w:u w:val="single" w:color="954F72"/>
        </w:rPr>
        <w:t>https://www.wada-ama.org/en/what-we-do/science-medical/laboratories</w:t>
      </w:r>
    </w:p>
  </w:footnote>
  <w:footnote w:id="8">
    <w:p w14:paraId="1234F552" w14:textId="743321DA" w:rsidR="00BB2755" w:rsidRPr="00BB2755" w:rsidRDefault="00BB2755" w:rsidP="00BB275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Ziņojamās robežas, kas norādītas </w:t>
      </w:r>
      <w:r>
        <w:rPr>
          <w:rFonts w:ascii="Times New Roman" w:hAnsi="Times New Roman"/>
          <w:u w:val="single" w:color="000000"/>
        </w:rPr>
        <w:t>vielām, kas nav sliekšņa vielas</w:t>
      </w:r>
      <w:r>
        <w:rPr>
          <w:rFonts w:ascii="Times New Roman" w:hAnsi="Times New Roman"/>
        </w:rPr>
        <w:t xml:space="preserve"> un kas atbilst vielu klasēm S6, S7, S8 un P1, piemēro vai nu sākumsavienojumam, vai attiecīgajam </w:t>
      </w:r>
      <w:r>
        <w:rPr>
          <w:rFonts w:ascii="Times New Roman" w:hAnsi="Times New Roman"/>
          <w:i/>
        </w:rPr>
        <w:t>metabolītam</w:t>
      </w:r>
      <w:r>
        <w:rPr>
          <w:rFonts w:ascii="Times New Roman" w:hAnsi="Times New Roman"/>
        </w:rPr>
        <w:t xml:space="preserve">, ņemot vērā vielas metabolisma un ekskrēcijas veidu (ja vien </w:t>
      </w:r>
      <w:r>
        <w:rPr>
          <w:rFonts w:ascii="Times New Roman" w:hAnsi="Times New Roman"/>
          <w:u w:val="single" w:color="000000"/>
        </w:rPr>
        <w:t>tehniskajā dokumentā</w:t>
      </w:r>
      <w:r>
        <w:rPr>
          <w:rFonts w:ascii="Times New Roman" w:hAnsi="Times New Roman"/>
        </w:rPr>
        <w:t xml:space="preserve"> nav norādīts citādi). Minētās ziņojamās robežas nepiemēro dažādu molekulāro veidu kopējai koncentrācijai [</w:t>
      </w:r>
      <w:r>
        <w:rPr>
          <w:rFonts w:ascii="Times New Roman" w:hAnsi="Times New Roman"/>
          <w:i/>
        </w:rPr>
        <w:t>piemēram</w:t>
      </w:r>
      <w:r>
        <w:rPr>
          <w:rFonts w:ascii="Times New Roman" w:hAnsi="Times New Roman"/>
        </w:rPr>
        <w:t xml:space="preserve">, sākumsavienojumam un I fāzes </w:t>
      </w:r>
      <w:r>
        <w:rPr>
          <w:rFonts w:ascii="Times New Roman" w:hAnsi="Times New Roman"/>
          <w:i/>
        </w:rPr>
        <w:t>metabolītam(-iem)</w:t>
      </w:r>
      <w:r>
        <w:rPr>
          <w:rFonts w:ascii="Times New Roman" w:hAnsi="Times New Roman"/>
        </w:rPr>
        <w:t xml:space="preserve"> vai citam(-iem) I fāzes </w:t>
      </w:r>
      <w:r>
        <w:rPr>
          <w:rFonts w:ascii="Times New Roman" w:hAnsi="Times New Roman"/>
          <w:i/>
        </w:rPr>
        <w:t>metabolītam(-iem)</w:t>
      </w:r>
      <w:r>
        <w:rPr>
          <w:rFonts w:ascii="Times New Roman" w:hAnsi="Times New Roman"/>
        </w:rPr>
        <w:t>]. Tomēr, ja izmantotajā metodē ir paredzēts noteikt konkrētas mērķa vielas (</w:t>
      </w:r>
      <w:r>
        <w:rPr>
          <w:rFonts w:ascii="Times New Roman" w:hAnsi="Times New Roman"/>
          <w:i/>
        </w:rPr>
        <w:t>piemēram</w:t>
      </w:r>
      <w:r>
        <w:rPr>
          <w:rFonts w:ascii="Times New Roman" w:hAnsi="Times New Roman"/>
        </w:rPr>
        <w:t xml:space="preserve">, glikuronīdus, sulfātus) II fāzes </w:t>
      </w:r>
      <w:r>
        <w:rPr>
          <w:rFonts w:ascii="Times New Roman" w:hAnsi="Times New Roman"/>
          <w:i/>
        </w:rPr>
        <w:t>metabolītus</w:t>
      </w:r>
      <w:r>
        <w:rPr>
          <w:rFonts w:ascii="Times New Roman" w:hAnsi="Times New Roman"/>
        </w:rPr>
        <w:t>, ziņojamo robežu piemēro brīvās un konjugētās vielas kopējam saturam (</w:t>
      </w:r>
      <w:r>
        <w:rPr>
          <w:rFonts w:ascii="Times New Roman" w:hAnsi="Times New Roman"/>
          <w:i/>
        </w:rPr>
        <w:t>t. i.</w:t>
      </w:r>
      <w:r>
        <w:rPr>
          <w:rFonts w:ascii="Times New Roman" w:hAnsi="Times New Roman"/>
        </w:rPr>
        <w:t xml:space="preserve">, sākumsavienojumam un tā II fāzes </w:t>
      </w:r>
      <w:r>
        <w:rPr>
          <w:rFonts w:ascii="Times New Roman" w:hAnsi="Times New Roman"/>
          <w:i/>
        </w:rPr>
        <w:t>metabolītiem</w:t>
      </w:r>
      <w:r>
        <w:rPr>
          <w:rFonts w:ascii="Times New Roman" w:hAnsi="Times New Roman"/>
        </w:rPr>
        <w:t>). To iegūst, vai nu atsevišķi nosakot molekulāros veidus (</w:t>
      </w:r>
      <w:r>
        <w:rPr>
          <w:rFonts w:ascii="Times New Roman" w:hAnsi="Times New Roman"/>
          <w:i/>
        </w:rPr>
        <w:t>piemēram</w:t>
      </w:r>
      <w:r>
        <w:rPr>
          <w:rFonts w:ascii="Times New Roman" w:hAnsi="Times New Roman"/>
        </w:rPr>
        <w:t xml:space="preserve">, veicot </w:t>
      </w:r>
      <w:r>
        <w:rPr>
          <w:rFonts w:ascii="Times New Roman" w:hAnsi="Times New Roman"/>
          <w:i/>
          <w:iCs/>
        </w:rPr>
        <w:t>LC-MS</w:t>
      </w:r>
      <w:r>
        <w:rPr>
          <w:rFonts w:ascii="Times New Roman" w:hAnsi="Times New Roman"/>
        </w:rPr>
        <w:t xml:space="preserve"> analīzi), vai pēc II fāzes </w:t>
      </w:r>
      <w:r>
        <w:rPr>
          <w:rFonts w:ascii="Times New Roman" w:hAnsi="Times New Roman"/>
          <w:i/>
        </w:rPr>
        <w:t>metabolīta(-u)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piemēram</w:t>
      </w:r>
      <w:r>
        <w:rPr>
          <w:rFonts w:ascii="Times New Roman" w:hAnsi="Times New Roman"/>
        </w:rPr>
        <w:t xml:space="preserve">, lai veiktu </w:t>
      </w:r>
      <w:r>
        <w:rPr>
          <w:rFonts w:ascii="Times New Roman" w:hAnsi="Times New Roman"/>
          <w:i/>
          <w:iCs/>
        </w:rPr>
        <w:t>GC-MS</w:t>
      </w:r>
      <w:r>
        <w:rPr>
          <w:rFonts w:ascii="Times New Roman" w:hAnsi="Times New Roman"/>
        </w:rPr>
        <w:t xml:space="preserve"> analīzi) hidrolīzes, un izsaka kā ekvivalentu sākumsavienojuma koncentrāciju.</w:t>
      </w:r>
    </w:p>
  </w:footnote>
  <w:footnote w:id="9">
    <w:p w14:paraId="455CF821" w14:textId="0520B126" w:rsidR="00BB2755" w:rsidRPr="00BB2755" w:rsidRDefault="00BB2755" w:rsidP="00BB275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Ziņojamās robežas, kas noteiktas salmeterolam un higenamīnam, piemēro, lai noteiktu tikai brīvo sākumsavienojumu.</w:t>
      </w:r>
    </w:p>
  </w:footnote>
  <w:footnote w:id="10">
    <w:p w14:paraId="390B53C5" w14:textId="2B85EBA5" w:rsidR="00BB2755" w:rsidRPr="00BB2755" w:rsidRDefault="00BB2755" w:rsidP="00BB2755">
      <w:pPr>
        <w:pStyle w:val="FootnoteText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Ziņojamo robežu, kas noteikta oktopamīnam, piemēro sākumsavienojuma un tā II fāzes sulfāta </w:t>
      </w:r>
      <w:r>
        <w:rPr>
          <w:rFonts w:ascii="Times New Roman" w:hAnsi="Times New Roman"/>
          <w:i/>
        </w:rPr>
        <w:t>metabolīta</w:t>
      </w:r>
      <w:r>
        <w:rPr>
          <w:rFonts w:ascii="Times New Roman" w:hAnsi="Times New Roman"/>
        </w:rPr>
        <w:t xml:space="preserve"> kopējam daudzumam (ko izsaka kā ekvivalentu sākumsavienojuma koncentrāciju).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DC54C" w14:textId="77777777" w:rsidR="00C532A6" w:rsidRPr="00C532A6" w:rsidRDefault="00C532A6" w:rsidP="00C532A6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0C66D113" w14:textId="7322FEC4" w:rsidR="00C532A6" w:rsidRPr="00C532A6" w:rsidRDefault="00C532A6" w:rsidP="00C532A6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C532A6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5F6F7EEC" w14:textId="77777777" w:rsidR="00C532A6" w:rsidRPr="00C532A6" w:rsidRDefault="00C532A6" w:rsidP="00C532A6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26374" w14:textId="77777777" w:rsidR="00C532A6" w:rsidRPr="00C532A6" w:rsidRDefault="00C532A6" w:rsidP="00C532A6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549E26C4" w14:textId="77777777" w:rsidR="00C532A6" w:rsidRPr="00C532A6" w:rsidRDefault="00C532A6" w:rsidP="00C532A6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1F71"/>
    <w:multiLevelType w:val="hybridMultilevel"/>
    <w:tmpl w:val="D33E9FD8"/>
    <w:lvl w:ilvl="0" w:tplc="8AB6D590">
      <w:start w:val="1"/>
      <w:numFmt w:val="decimal"/>
      <w:lvlText w:val="%1"/>
      <w:lvlJc w:val="left"/>
      <w:pPr>
        <w:ind w:left="487" w:hanging="375"/>
      </w:pPr>
      <w:rPr>
        <w:rFonts w:hint="default"/>
      </w:rPr>
    </w:lvl>
    <w:lvl w:ilvl="1" w:tplc="7852429E">
      <w:start w:val="1"/>
      <w:numFmt w:val="decimal"/>
      <w:lvlText w:val="%1.%2"/>
      <w:lvlJc w:val="left"/>
      <w:pPr>
        <w:ind w:left="487" w:hanging="375"/>
      </w:pPr>
      <w:rPr>
        <w:rFonts w:ascii="Arial" w:eastAsia="Arial" w:hAnsi="Arial" w:hint="default"/>
        <w:b/>
        <w:bCs/>
        <w:spacing w:val="-2"/>
        <w:w w:val="101"/>
        <w:sz w:val="22"/>
        <w:szCs w:val="22"/>
      </w:rPr>
    </w:lvl>
    <w:lvl w:ilvl="2" w:tplc="1384F2CE">
      <w:start w:val="1"/>
      <w:numFmt w:val="bullet"/>
      <w:lvlText w:val=""/>
      <w:lvlJc w:val="left"/>
      <w:pPr>
        <w:ind w:left="833" w:hanging="361"/>
      </w:pPr>
      <w:rPr>
        <w:rFonts w:ascii="Symbol" w:eastAsia="Symbol" w:hAnsi="Symbol" w:hint="default"/>
        <w:w w:val="101"/>
        <w:sz w:val="22"/>
        <w:szCs w:val="22"/>
      </w:rPr>
    </w:lvl>
    <w:lvl w:ilvl="3" w:tplc="7D466AB4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4" w:tplc="1DA2226A">
      <w:start w:val="1"/>
      <w:numFmt w:val="bullet"/>
      <w:lvlText w:val="•"/>
      <w:lvlJc w:val="left"/>
      <w:pPr>
        <w:ind w:left="3962" w:hanging="361"/>
      </w:pPr>
      <w:rPr>
        <w:rFonts w:hint="default"/>
      </w:rPr>
    </w:lvl>
    <w:lvl w:ilvl="5" w:tplc="B560D1A4">
      <w:start w:val="1"/>
      <w:numFmt w:val="bullet"/>
      <w:lvlText w:val="•"/>
      <w:lvlJc w:val="left"/>
      <w:pPr>
        <w:ind w:left="5005" w:hanging="361"/>
      </w:pPr>
      <w:rPr>
        <w:rFonts w:hint="default"/>
      </w:rPr>
    </w:lvl>
    <w:lvl w:ilvl="6" w:tplc="25245D52">
      <w:start w:val="1"/>
      <w:numFmt w:val="bullet"/>
      <w:lvlText w:val="•"/>
      <w:lvlJc w:val="left"/>
      <w:pPr>
        <w:ind w:left="6048" w:hanging="361"/>
      </w:pPr>
      <w:rPr>
        <w:rFonts w:hint="default"/>
      </w:rPr>
    </w:lvl>
    <w:lvl w:ilvl="7" w:tplc="7436CDD8">
      <w:start w:val="1"/>
      <w:numFmt w:val="bullet"/>
      <w:lvlText w:val="•"/>
      <w:lvlJc w:val="left"/>
      <w:pPr>
        <w:ind w:left="7091" w:hanging="361"/>
      </w:pPr>
      <w:rPr>
        <w:rFonts w:hint="default"/>
      </w:rPr>
    </w:lvl>
    <w:lvl w:ilvl="8" w:tplc="6F1AB9E0">
      <w:start w:val="1"/>
      <w:numFmt w:val="bullet"/>
      <w:lvlText w:val="•"/>
      <w:lvlJc w:val="left"/>
      <w:pPr>
        <w:ind w:left="8134" w:hanging="361"/>
      </w:pPr>
      <w:rPr>
        <w:rFonts w:hint="default"/>
      </w:rPr>
    </w:lvl>
  </w:abstractNum>
  <w:abstractNum w:abstractNumId="1" w15:restartNumberingAfterBreak="0">
    <w:nsid w:val="1B3A48CE"/>
    <w:multiLevelType w:val="hybridMultilevel"/>
    <w:tmpl w:val="B5807EEA"/>
    <w:lvl w:ilvl="0" w:tplc="5CE2AF5E">
      <w:start w:val="1"/>
      <w:numFmt w:val="bullet"/>
      <w:lvlText w:val=""/>
      <w:lvlJc w:val="left"/>
      <w:pPr>
        <w:ind w:left="308" w:hanging="188"/>
      </w:pPr>
      <w:rPr>
        <w:rFonts w:ascii="Symbol" w:eastAsia="Symbol" w:hAnsi="Symbol" w:hint="default"/>
        <w:sz w:val="20"/>
        <w:szCs w:val="20"/>
      </w:rPr>
    </w:lvl>
    <w:lvl w:ilvl="1" w:tplc="2558F02C">
      <w:start w:val="1"/>
      <w:numFmt w:val="bullet"/>
      <w:lvlText w:val="•"/>
      <w:lvlJc w:val="left"/>
      <w:pPr>
        <w:ind w:left="619" w:hanging="188"/>
      </w:pPr>
      <w:rPr>
        <w:rFonts w:hint="default"/>
      </w:rPr>
    </w:lvl>
    <w:lvl w:ilvl="2" w:tplc="7E0E60D6">
      <w:start w:val="1"/>
      <w:numFmt w:val="bullet"/>
      <w:lvlText w:val="•"/>
      <w:lvlJc w:val="left"/>
      <w:pPr>
        <w:ind w:left="930" w:hanging="188"/>
      </w:pPr>
      <w:rPr>
        <w:rFonts w:hint="default"/>
      </w:rPr>
    </w:lvl>
    <w:lvl w:ilvl="3" w:tplc="7CD80B0E">
      <w:start w:val="1"/>
      <w:numFmt w:val="bullet"/>
      <w:lvlText w:val="•"/>
      <w:lvlJc w:val="left"/>
      <w:pPr>
        <w:ind w:left="1241" w:hanging="188"/>
      </w:pPr>
      <w:rPr>
        <w:rFonts w:hint="default"/>
      </w:rPr>
    </w:lvl>
    <w:lvl w:ilvl="4" w:tplc="7592CAD2">
      <w:start w:val="1"/>
      <w:numFmt w:val="bullet"/>
      <w:lvlText w:val="•"/>
      <w:lvlJc w:val="left"/>
      <w:pPr>
        <w:ind w:left="1552" w:hanging="188"/>
      </w:pPr>
      <w:rPr>
        <w:rFonts w:hint="default"/>
      </w:rPr>
    </w:lvl>
    <w:lvl w:ilvl="5" w:tplc="8B8AC7CC">
      <w:start w:val="1"/>
      <w:numFmt w:val="bullet"/>
      <w:lvlText w:val="•"/>
      <w:lvlJc w:val="left"/>
      <w:pPr>
        <w:ind w:left="1863" w:hanging="188"/>
      </w:pPr>
      <w:rPr>
        <w:rFonts w:hint="default"/>
      </w:rPr>
    </w:lvl>
    <w:lvl w:ilvl="6" w:tplc="687A67A4">
      <w:start w:val="1"/>
      <w:numFmt w:val="bullet"/>
      <w:lvlText w:val="•"/>
      <w:lvlJc w:val="left"/>
      <w:pPr>
        <w:ind w:left="2174" w:hanging="188"/>
      </w:pPr>
      <w:rPr>
        <w:rFonts w:hint="default"/>
      </w:rPr>
    </w:lvl>
    <w:lvl w:ilvl="7" w:tplc="6C80E790">
      <w:start w:val="1"/>
      <w:numFmt w:val="bullet"/>
      <w:lvlText w:val="•"/>
      <w:lvlJc w:val="left"/>
      <w:pPr>
        <w:ind w:left="2485" w:hanging="188"/>
      </w:pPr>
      <w:rPr>
        <w:rFonts w:hint="default"/>
      </w:rPr>
    </w:lvl>
    <w:lvl w:ilvl="8" w:tplc="FAD66D20">
      <w:start w:val="1"/>
      <w:numFmt w:val="bullet"/>
      <w:lvlText w:val="•"/>
      <w:lvlJc w:val="left"/>
      <w:pPr>
        <w:ind w:left="2796" w:hanging="188"/>
      </w:pPr>
      <w:rPr>
        <w:rFonts w:hint="default"/>
      </w:rPr>
    </w:lvl>
  </w:abstractNum>
  <w:abstractNum w:abstractNumId="2" w15:restartNumberingAfterBreak="0">
    <w:nsid w:val="1FE70E1B"/>
    <w:multiLevelType w:val="hybridMultilevel"/>
    <w:tmpl w:val="AD923532"/>
    <w:lvl w:ilvl="0" w:tplc="1BE4636E">
      <w:start w:val="1"/>
      <w:numFmt w:val="bullet"/>
      <w:lvlText w:val=""/>
      <w:lvlJc w:val="left"/>
      <w:pPr>
        <w:ind w:left="308" w:hanging="180"/>
      </w:pPr>
      <w:rPr>
        <w:rFonts w:ascii="Symbol" w:eastAsia="Symbol" w:hAnsi="Symbol" w:hint="default"/>
        <w:sz w:val="20"/>
        <w:szCs w:val="20"/>
      </w:rPr>
    </w:lvl>
    <w:lvl w:ilvl="1" w:tplc="E33E5ACE">
      <w:start w:val="1"/>
      <w:numFmt w:val="bullet"/>
      <w:lvlText w:val="•"/>
      <w:lvlJc w:val="left"/>
      <w:pPr>
        <w:ind w:left="619" w:hanging="180"/>
      </w:pPr>
      <w:rPr>
        <w:rFonts w:hint="default"/>
      </w:rPr>
    </w:lvl>
    <w:lvl w:ilvl="2" w:tplc="2856C0EA">
      <w:start w:val="1"/>
      <w:numFmt w:val="bullet"/>
      <w:lvlText w:val="•"/>
      <w:lvlJc w:val="left"/>
      <w:pPr>
        <w:ind w:left="930" w:hanging="180"/>
      </w:pPr>
      <w:rPr>
        <w:rFonts w:hint="default"/>
      </w:rPr>
    </w:lvl>
    <w:lvl w:ilvl="3" w:tplc="4D9CD52E">
      <w:start w:val="1"/>
      <w:numFmt w:val="bullet"/>
      <w:lvlText w:val="•"/>
      <w:lvlJc w:val="left"/>
      <w:pPr>
        <w:ind w:left="1241" w:hanging="180"/>
      </w:pPr>
      <w:rPr>
        <w:rFonts w:hint="default"/>
      </w:rPr>
    </w:lvl>
    <w:lvl w:ilvl="4" w:tplc="E8B89AB0">
      <w:start w:val="1"/>
      <w:numFmt w:val="bullet"/>
      <w:lvlText w:val="•"/>
      <w:lvlJc w:val="left"/>
      <w:pPr>
        <w:ind w:left="1551" w:hanging="180"/>
      </w:pPr>
      <w:rPr>
        <w:rFonts w:hint="default"/>
      </w:rPr>
    </w:lvl>
    <w:lvl w:ilvl="5" w:tplc="B9187F70">
      <w:start w:val="1"/>
      <w:numFmt w:val="bullet"/>
      <w:lvlText w:val="•"/>
      <w:lvlJc w:val="left"/>
      <w:pPr>
        <w:ind w:left="1862" w:hanging="180"/>
      </w:pPr>
      <w:rPr>
        <w:rFonts w:hint="default"/>
      </w:rPr>
    </w:lvl>
    <w:lvl w:ilvl="6" w:tplc="86165AE0">
      <w:start w:val="1"/>
      <w:numFmt w:val="bullet"/>
      <w:lvlText w:val="•"/>
      <w:lvlJc w:val="left"/>
      <w:pPr>
        <w:ind w:left="2173" w:hanging="180"/>
      </w:pPr>
      <w:rPr>
        <w:rFonts w:hint="default"/>
      </w:rPr>
    </w:lvl>
    <w:lvl w:ilvl="7" w:tplc="CBC03492">
      <w:start w:val="1"/>
      <w:numFmt w:val="bullet"/>
      <w:lvlText w:val="•"/>
      <w:lvlJc w:val="left"/>
      <w:pPr>
        <w:ind w:left="2484" w:hanging="180"/>
      </w:pPr>
      <w:rPr>
        <w:rFonts w:hint="default"/>
      </w:rPr>
    </w:lvl>
    <w:lvl w:ilvl="8" w:tplc="4190BF60">
      <w:start w:val="1"/>
      <w:numFmt w:val="bullet"/>
      <w:lvlText w:val="•"/>
      <w:lvlJc w:val="left"/>
      <w:pPr>
        <w:ind w:left="2795" w:hanging="180"/>
      </w:pPr>
      <w:rPr>
        <w:rFonts w:hint="default"/>
      </w:rPr>
    </w:lvl>
  </w:abstractNum>
  <w:abstractNum w:abstractNumId="3" w15:restartNumberingAfterBreak="0">
    <w:nsid w:val="373F33E0"/>
    <w:multiLevelType w:val="hybridMultilevel"/>
    <w:tmpl w:val="B140644E"/>
    <w:lvl w:ilvl="0" w:tplc="9DD8D590">
      <w:start w:val="1"/>
      <w:numFmt w:val="decimal"/>
      <w:lvlText w:val="%1"/>
      <w:lvlJc w:val="left"/>
      <w:pPr>
        <w:ind w:left="430" w:hanging="173"/>
      </w:pPr>
      <w:rPr>
        <w:rFonts w:ascii="Arial" w:eastAsia="Arial" w:hAnsi="Arial" w:hint="default"/>
        <w:sz w:val="20"/>
        <w:szCs w:val="20"/>
      </w:rPr>
    </w:lvl>
    <w:lvl w:ilvl="1" w:tplc="A176B82E">
      <w:start w:val="1"/>
      <w:numFmt w:val="bullet"/>
      <w:lvlText w:val="•"/>
      <w:lvlJc w:val="left"/>
      <w:pPr>
        <w:ind w:left="512" w:hanging="173"/>
      </w:pPr>
      <w:rPr>
        <w:rFonts w:hint="default"/>
      </w:rPr>
    </w:lvl>
    <w:lvl w:ilvl="2" w:tplc="5D0627A8">
      <w:start w:val="1"/>
      <w:numFmt w:val="bullet"/>
      <w:lvlText w:val="•"/>
      <w:lvlJc w:val="left"/>
      <w:pPr>
        <w:ind w:left="593" w:hanging="173"/>
      </w:pPr>
      <w:rPr>
        <w:rFonts w:hint="default"/>
      </w:rPr>
    </w:lvl>
    <w:lvl w:ilvl="3" w:tplc="CE72637A">
      <w:start w:val="1"/>
      <w:numFmt w:val="bullet"/>
      <w:lvlText w:val="•"/>
      <w:lvlJc w:val="left"/>
      <w:pPr>
        <w:ind w:left="674" w:hanging="173"/>
      </w:pPr>
      <w:rPr>
        <w:rFonts w:hint="default"/>
      </w:rPr>
    </w:lvl>
    <w:lvl w:ilvl="4" w:tplc="CA9C74E6">
      <w:start w:val="1"/>
      <w:numFmt w:val="bullet"/>
      <w:lvlText w:val="•"/>
      <w:lvlJc w:val="left"/>
      <w:pPr>
        <w:ind w:left="756" w:hanging="173"/>
      </w:pPr>
      <w:rPr>
        <w:rFonts w:hint="default"/>
      </w:rPr>
    </w:lvl>
    <w:lvl w:ilvl="5" w:tplc="06CCFA56">
      <w:start w:val="1"/>
      <w:numFmt w:val="bullet"/>
      <w:lvlText w:val="•"/>
      <w:lvlJc w:val="left"/>
      <w:pPr>
        <w:ind w:left="837" w:hanging="173"/>
      </w:pPr>
      <w:rPr>
        <w:rFonts w:hint="default"/>
      </w:rPr>
    </w:lvl>
    <w:lvl w:ilvl="6" w:tplc="4578A358">
      <w:start w:val="1"/>
      <w:numFmt w:val="bullet"/>
      <w:lvlText w:val="•"/>
      <w:lvlJc w:val="left"/>
      <w:pPr>
        <w:ind w:left="918" w:hanging="173"/>
      </w:pPr>
      <w:rPr>
        <w:rFonts w:hint="default"/>
      </w:rPr>
    </w:lvl>
    <w:lvl w:ilvl="7" w:tplc="E86C0400">
      <w:start w:val="1"/>
      <w:numFmt w:val="bullet"/>
      <w:lvlText w:val="•"/>
      <w:lvlJc w:val="left"/>
      <w:pPr>
        <w:ind w:left="999" w:hanging="173"/>
      </w:pPr>
      <w:rPr>
        <w:rFonts w:hint="default"/>
      </w:rPr>
    </w:lvl>
    <w:lvl w:ilvl="8" w:tplc="D5524E32">
      <w:start w:val="1"/>
      <w:numFmt w:val="bullet"/>
      <w:lvlText w:val="•"/>
      <w:lvlJc w:val="left"/>
      <w:pPr>
        <w:ind w:left="1081" w:hanging="173"/>
      </w:pPr>
      <w:rPr>
        <w:rFonts w:hint="default"/>
      </w:rPr>
    </w:lvl>
  </w:abstractNum>
  <w:abstractNum w:abstractNumId="4" w15:restartNumberingAfterBreak="0">
    <w:nsid w:val="77DB57B6"/>
    <w:multiLevelType w:val="hybridMultilevel"/>
    <w:tmpl w:val="4AA88D96"/>
    <w:lvl w:ilvl="0" w:tplc="568CC7AA">
      <w:start w:val="4"/>
      <w:numFmt w:val="decimal"/>
      <w:lvlText w:val="%1"/>
      <w:lvlJc w:val="left"/>
      <w:pPr>
        <w:ind w:left="545" w:hanging="432"/>
      </w:pPr>
      <w:rPr>
        <w:rFonts w:hint="default"/>
      </w:rPr>
    </w:lvl>
    <w:lvl w:ilvl="1" w:tplc="3EE2D440">
      <w:start w:val="1"/>
      <w:numFmt w:val="decimal"/>
      <w:lvlText w:val="%1.%2"/>
      <w:lvlJc w:val="left"/>
      <w:pPr>
        <w:ind w:left="545" w:hanging="432"/>
      </w:pPr>
      <w:rPr>
        <w:rFonts w:ascii="Arial" w:eastAsia="Arial" w:hAnsi="Arial" w:hint="default"/>
        <w:b/>
        <w:bCs/>
        <w:spacing w:val="-2"/>
        <w:w w:val="101"/>
        <w:sz w:val="22"/>
        <w:szCs w:val="22"/>
      </w:rPr>
    </w:lvl>
    <w:lvl w:ilvl="2" w:tplc="5CA6B8CC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101"/>
        <w:sz w:val="22"/>
        <w:szCs w:val="22"/>
      </w:rPr>
    </w:lvl>
    <w:lvl w:ilvl="3" w:tplc="0B0E9770">
      <w:start w:val="1"/>
      <w:numFmt w:val="bullet"/>
      <w:lvlText w:val="•"/>
      <w:lvlJc w:val="left"/>
      <w:pPr>
        <w:ind w:left="2919" w:hanging="360"/>
      </w:pPr>
      <w:rPr>
        <w:rFonts w:hint="default"/>
      </w:rPr>
    </w:lvl>
    <w:lvl w:ilvl="4" w:tplc="4D18119C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0F92B108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F99EC8AC">
      <w:start w:val="1"/>
      <w:numFmt w:val="bullet"/>
      <w:lvlText w:val="•"/>
      <w:lvlJc w:val="left"/>
      <w:pPr>
        <w:ind w:left="6048" w:hanging="360"/>
      </w:pPr>
      <w:rPr>
        <w:rFonts w:hint="default"/>
      </w:rPr>
    </w:lvl>
    <w:lvl w:ilvl="7" w:tplc="E3F261F6">
      <w:start w:val="1"/>
      <w:numFmt w:val="bullet"/>
      <w:lvlText w:val="•"/>
      <w:lvlJc w:val="left"/>
      <w:pPr>
        <w:ind w:left="7091" w:hanging="360"/>
      </w:pPr>
      <w:rPr>
        <w:rFonts w:hint="default"/>
      </w:rPr>
    </w:lvl>
    <w:lvl w:ilvl="8" w:tplc="B05C5864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758"/>
    <w:rsid w:val="001601FB"/>
    <w:rsid w:val="001B3E43"/>
    <w:rsid w:val="001E66B3"/>
    <w:rsid w:val="00204758"/>
    <w:rsid w:val="00A5477B"/>
    <w:rsid w:val="00AD2798"/>
    <w:rsid w:val="00BB2755"/>
    <w:rsid w:val="00C532A6"/>
    <w:rsid w:val="00C82A6C"/>
    <w:rsid w:val="00D0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DBB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Arial" w:eastAsia="Arial" w:hAnsi="Arial"/>
      <w:b/>
      <w:bCs/>
      <w:u w:val="single"/>
    </w:rPr>
  </w:style>
  <w:style w:type="paragraph" w:styleId="Heading2">
    <w:name w:val="heading 2"/>
    <w:basedOn w:val="Normal"/>
    <w:uiPriority w:val="9"/>
    <w:unhideWhenUsed/>
    <w:qFormat/>
    <w:pPr>
      <w:spacing w:before="136"/>
      <w:ind w:left="833" w:hanging="360"/>
      <w:outlineLvl w:val="1"/>
    </w:pPr>
    <w:rPr>
      <w:rFonts w:ascii="Arial" w:eastAsia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60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1FB"/>
  </w:style>
  <w:style w:type="paragraph" w:styleId="Footer">
    <w:name w:val="footer"/>
    <w:basedOn w:val="Normal"/>
    <w:link w:val="FooterChar"/>
    <w:unhideWhenUsed/>
    <w:rsid w:val="00160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1FB"/>
  </w:style>
  <w:style w:type="table" w:styleId="TableGrid">
    <w:name w:val="Table Grid"/>
    <w:basedOn w:val="TableNormal"/>
    <w:uiPriority w:val="39"/>
    <w:rsid w:val="00D0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008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8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08E3"/>
    <w:rPr>
      <w:vertAlign w:val="superscript"/>
    </w:rPr>
  </w:style>
  <w:style w:type="character" w:styleId="PageNumber">
    <w:name w:val="page number"/>
    <w:basedOn w:val="DefaultParagraphFont"/>
    <w:semiHidden/>
    <w:rsid w:val="00C5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C569-B6EB-477A-A227-9390AB43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6468</Words>
  <Characters>3687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2020-09-07T13:16:00Z</dcterms:created>
  <dcterms:modified xsi:type="dcterms:W3CDTF">2020-10-29T07:13:00Z</dcterms:modified>
</cp:coreProperties>
</file>