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0842" w:rsidRPr="001B6F3C" w:rsidRDefault="00270842" w:rsidP="004650EF">
      <w:pPr>
        <w:jc w:val="both"/>
        <w:rPr>
          <w:rFonts w:ascii="Times New Roman" w:eastAsia="Calibri" w:hAnsi="Times New Roman" w:cs="Calibri"/>
          <w:noProof/>
          <w:sz w:val="24"/>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35"/>
        <w:gridCol w:w="4493"/>
      </w:tblGrid>
      <w:tr w:rsidR="004650EF" w:rsidRPr="001B6F3C" w:rsidTr="009148C2">
        <w:tc>
          <w:tcPr>
            <w:tcW w:w="4644" w:type="dxa"/>
          </w:tcPr>
          <w:p w:rsidR="004650EF" w:rsidRPr="001B6F3C" w:rsidRDefault="004650EF" w:rsidP="004650EF">
            <w:pPr>
              <w:jc w:val="both"/>
              <w:rPr>
                <w:rFonts w:ascii="Times New Roman" w:eastAsia="Calibri" w:hAnsi="Times New Roman" w:cs="Calibri"/>
                <w:noProof/>
                <w:sz w:val="24"/>
                <w:szCs w:val="20"/>
              </w:rPr>
            </w:pPr>
            <w:r>
              <w:rPr>
                <w:rFonts w:ascii="Times New Roman" w:hAnsi="Times New Roman"/>
                <w:noProof/>
                <w:sz w:val="24"/>
                <w:szCs w:val="20"/>
              </w:rPr>
              <w:drawing>
                <wp:inline distT="0" distB="0" distL="0" distR="0">
                  <wp:extent cx="2771775" cy="6953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695325"/>
                          </a:xfrm>
                          <a:prstGeom prst="rect">
                            <a:avLst/>
                          </a:prstGeom>
                          <a:noFill/>
                          <a:ln>
                            <a:noFill/>
                          </a:ln>
                        </pic:spPr>
                      </pic:pic>
                    </a:graphicData>
                  </a:graphic>
                </wp:inline>
              </w:drawing>
            </w:r>
          </w:p>
        </w:tc>
        <w:tc>
          <w:tcPr>
            <w:tcW w:w="4644" w:type="dxa"/>
            <w:vAlign w:val="center"/>
          </w:tcPr>
          <w:p w:rsidR="004650EF" w:rsidRPr="001B6F3C" w:rsidRDefault="004650EF" w:rsidP="009148C2">
            <w:pPr>
              <w:jc w:val="center"/>
              <w:rPr>
                <w:rFonts w:ascii="Times New Roman" w:eastAsia="Calibri" w:hAnsi="Times New Roman" w:cs="Calibri"/>
                <w:noProof/>
                <w:sz w:val="24"/>
                <w:szCs w:val="20"/>
              </w:rPr>
            </w:pPr>
            <w:r>
              <w:rPr>
                <w:rFonts w:ascii="Times New Roman" w:hAnsi="Times New Roman"/>
                <w:i/>
                <w:iCs/>
                <w:sz w:val="24"/>
                <w:szCs w:val="20"/>
              </w:rPr>
              <w:t>WILEY</w:t>
            </w:r>
          </w:p>
          <w:p w:rsidR="004650EF" w:rsidRPr="001B6F3C" w:rsidRDefault="004650EF" w:rsidP="009148C2">
            <w:pPr>
              <w:jc w:val="center"/>
              <w:rPr>
                <w:rFonts w:ascii="Times New Roman" w:eastAsia="Calibri" w:hAnsi="Times New Roman" w:cs="Calibri"/>
                <w:noProof/>
                <w:sz w:val="24"/>
                <w:szCs w:val="20"/>
              </w:rPr>
            </w:pPr>
            <w:r>
              <w:rPr>
                <w:rFonts w:ascii="Times New Roman" w:hAnsi="Times New Roman"/>
                <w:i/>
                <w:iCs/>
                <w:sz w:val="24"/>
                <w:szCs w:val="20"/>
              </w:rPr>
              <w:t>EFSA JOURNAL</w:t>
            </w:r>
          </w:p>
        </w:tc>
      </w:tr>
    </w:tbl>
    <w:p w:rsidR="00270842" w:rsidRPr="001B6F3C" w:rsidRDefault="00270842" w:rsidP="004650EF">
      <w:pPr>
        <w:jc w:val="both"/>
        <w:rPr>
          <w:rFonts w:ascii="Times New Roman" w:eastAsia="Calibri" w:hAnsi="Times New Roman" w:cs="Calibri"/>
          <w:noProof/>
          <w:sz w:val="24"/>
          <w:szCs w:val="20"/>
        </w:rPr>
      </w:pPr>
    </w:p>
    <w:p w:rsidR="00270842" w:rsidRPr="001B6F3C" w:rsidRDefault="00270842" w:rsidP="004650EF">
      <w:pPr>
        <w:jc w:val="center"/>
        <w:rPr>
          <w:rFonts w:ascii="Times New Roman" w:hAnsi="Times New Roman"/>
          <w:b/>
          <w:noProof/>
          <w:sz w:val="24"/>
        </w:rPr>
      </w:pPr>
      <w:r>
        <w:rPr>
          <w:rFonts w:ascii="Times New Roman" w:hAnsi="Times New Roman"/>
          <w:b/>
          <w:sz w:val="24"/>
        </w:rPr>
        <w:t xml:space="preserve">Steidzama zinātniskā un tehniskā palīdzība, lai sniegtu ieteikumus par to, kā veicama paraugu ņemšana un testēšana saldētu dārzeņu ražotnēs </w:t>
      </w:r>
      <w:r>
        <w:rPr>
          <w:rFonts w:ascii="Times New Roman" w:hAnsi="Times New Roman"/>
          <w:b/>
          <w:i/>
          <w:iCs/>
          <w:sz w:val="24"/>
        </w:rPr>
        <w:t>Listeria monocytogenes</w:t>
      </w:r>
      <w:r>
        <w:rPr>
          <w:rFonts w:ascii="Times New Roman" w:hAnsi="Times New Roman"/>
          <w:b/>
          <w:sz w:val="24"/>
        </w:rPr>
        <w:t xml:space="preserve"> klātbūtnes noteikšanai</w:t>
      </w:r>
    </w:p>
    <w:p w:rsidR="00270842" w:rsidRPr="001B6F3C" w:rsidRDefault="00270842" w:rsidP="004650EF">
      <w:pPr>
        <w:jc w:val="both"/>
        <w:rPr>
          <w:rFonts w:ascii="Times New Roman" w:eastAsia="Verdana" w:hAnsi="Times New Roman" w:cs="Verdana"/>
          <w:b/>
          <w:bCs/>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3289"/>
        <w:gridCol w:w="5839"/>
      </w:tblGrid>
      <w:tr w:rsidR="004650EF" w:rsidRPr="001B6F3C" w:rsidTr="009148C2">
        <w:tc>
          <w:tcPr>
            <w:tcW w:w="3289" w:type="dxa"/>
            <w:shd w:val="clear" w:color="auto" w:fill="D9D9D9" w:themeFill="background1" w:themeFillShade="D9"/>
          </w:tcPr>
          <w:p w:rsidR="004650EF" w:rsidRPr="001B6F3C" w:rsidRDefault="004650EF" w:rsidP="004650EF">
            <w:pPr>
              <w:jc w:val="right"/>
              <w:rPr>
                <w:rFonts w:ascii="Times New Roman" w:eastAsia="Verdana" w:hAnsi="Times New Roman" w:cs="Verdana"/>
                <w:bCs/>
                <w:noProof/>
                <w:sz w:val="24"/>
              </w:rPr>
            </w:pPr>
            <w:r>
              <w:rPr>
                <w:rFonts w:ascii="Times New Roman" w:hAnsi="Times New Roman"/>
                <w:bCs/>
                <w:sz w:val="24"/>
              </w:rPr>
              <w:t>Žurnāls:</w:t>
            </w:r>
          </w:p>
        </w:tc>
        <w:tc>
          <w:tcPr>
            <w:tcW w:w="5839" w:type="dxa"/>
          </w:tcPr>
          <w:p w:rsidR="004650EF" w:rsidRPr="001B6F3C" w:rsidRDefault="004650EF" w:rsidP="004650EF">
            <w:pPr>
              <w:jc w:val="both"/>
              <w:rPr>
                <w:rFonts w:ascii="Times New Roman" w:eastAsia="Verdana" w:hAnsi="Times New Roman" w:cs="Verdana"/>
                <w:bCs/>
                <w:i/>
                <w:noProof/>
                <w:sz w:val="24"/>
              </w:rPr>
            </w:pPr>
            <w:r>
              <w:rPr>
                <w:rFonts w:ascii="Times New Roman" w:hAnsi="Times New Roman"/>
                <w:bCs/>
                <w:i/>
                <w:sz w:val="24"/>
              </w:rPr>
              <w:t>EFSA Journal</w:t>
            </w:r>
          </w:p>
        </w:tc>
      </w:tr>
      <w:tr w:rsidR="004650EF" w:rsidRPr="001B6F3C" w:rsidTr="009148C2">
        <w:tc>
          <w:tcPr>
            <w:tcW w:w="3289" w:type="dxa"/>
            <w:shd w:val="clear" w:color="auto" w:fill="D9D9D9" w:themeFill="background1" w:themeFillShade="D9"/>
          </w:tcPr>
          <w:p w:rsidR="004650EF" w:rsidRPr="001B6F3C" w:rsidRDefault="004650EF" w:rsidP="004650EF">
            <w:pPr>
              <w:jc w:val="right"/>
              <w:rPr>
                <w:rFonts w:ascii="Times New Roman" w:eastAsia="Verdana" w:hAnsi="Times New Roman" w:cs="Verdana"/>
                <w:bCs/>
                <w:noProof/>
                <w:sz w:val="24"/>
              </w:rPr>
            </w:pPr>
            <w:r>
              <w:rPr>
                <w:rFonts w:ascii="Times New Roman" w:hAnsi="Times New Roman"/>
                <w:bCs/>
                <w:sz w:val="24"/>
              </w:rPr>
              <w:t>Manuskripta identifikators:</w:t>
            </w:r>
          </w:p>
        </w:tc>
        <w:tc>
          <w:tcPr>
            <w:tcW w:w="5839" w:type="dxa"/>
          </w:tcPr>
          <w:p w:rsidR="004650EF" w:rsidRPr="001B6F3C" w:rsidRDefault="004650EF" w:rsidP="004650EF">
            <w:pPr>
              <w:jc w:val="both"/>
              <w:rPr>
                <w:rFonts w:ascii="Times New Roman" w:eastAsia="Verdana" w:hAnsi="Times New Roman" w:cs="Verdana"/>
                <w:bCs/>
                <w:noProof/>
                <w:sz w:val="24"/>
              </w:rPr>
            </w:pPr>
            <w:r>
              <w:rPr>
                <w:rFonts w:ascii="Times New Roman" w:hAnsi="Times New Roman"/>
                <w:bCs/>
                <w:i/>
                <w:iCs/>
                <w:sz w:val="24"/>
              </w:rPr>
              <w:t>EFSA</w:t>
            </w:r>
            <w:r>
              <w:rPr>
                <w:rFonts w:ascii="Times New Roman" w:hAnsi="Times New Roman"/>
                <w:bCs/>
                <w:sz w:val="24"/>
              </w:rPr>
              <w:t>-2018-0141</w:t>
            </w:r>
          </w:p>
        </w:tc>
      </w:tr>
      <w:tr w:rsidR="004650EF" w:rsidRPr="001B6F3C" w:rsidTr="009148C2">
        <w:tc>
          <w:tcPr>
            <w:tcW w:w="3289" w:type="dxa"/>
            <w:shd w:val="clear" w:color="auto" w:fill="D9D9D9" w:themeFill="background1" w:themeFillShade="D9"/>
          </w:tcPr>
          <w:p w:rsidR="004650EF" w:rsidRPr="001B6F3C" w:rsidRDefault="004650EF" w:rsidP="004650EF">
            <w:pPr>
              <w:jc w:val="right"/>
              <w:rPr>
                <w:rFonts w:ascii="Times New Roman" w:eastAsia="Verdana" w:hAnsi="Times New Roman" w:cs="Verdana"/>
                <w:bCs/>
                <w:noProof/>
                <w:sz w:val="24"/>
              </w:rPr>
            </w:pPr>
            <w:r>
              <w:rPr>
                <w:rFonts w:ascii="Times New Roman" w:hAnsi="Times New Roman"/>
                <w:bCs/>
                <w:sz w:val="24"/>
              </w:rPr>
              <w:t xml:space="preserve">Uzņēmums </w:t>
            </w:r>
            <w:r>
              <w:rPr>
                <w:rFonts w:ascii="Times New Roman" w:hAnsi="Times New Roman"/>
                <w:bCs/>
                <w:i/>
                <w:iCs/>
                <w:sz w:val="24"/>
              </w:rPr>
              <w:t>Wiley</w:t>
            </w:r>
            <w:r>
              <w:rPr>
                <w:rFonts w:ascii="Times New Roman" w:hAnsi="Times New Roman"/>
                <w:bCs/>
                <w:sz w:val="24"/>
              </w:rPr>
              <w:t xml:space="preserve"> – manuskripta veids:</w:t>
            </w:r>
          </w:p>
        </w:tc>
        <w:tc>
          <w:tcPr>
            <w:tcW w:w="5839" w:type="dxa"/>
          </w:tcPr>
          <w:p w:rsidR="004650EF" w:rsidRPr="001B6F3C" w:rsidRDefault="004650EF" w:rsidP="004650EF">
            <w:pPr>
              <w:jc w:val="both"/>
              <w:rPr>
                <w:rFonts w:ascii="Times New Roman" w:eastAsia="Verdana" w:hAnsi="Times New Roman" w:cs="Verdana"/>
                <w:bCs/>
                <w:noProof/>
                <w:sz w:val="24"/>
              </w:rPr>
            </w:pPr>
            <w:r>
              <w:rPr>
                <w:rFonts w:ascii="Times New Roman" w:hAnsi="Times New Roman"/>
                <w:bCs/>
                <w:sz w:val="24"/>
              </w:rPr>
              <w:t>palīgpublikācija</w:t>
            </w:r>
          </w:p>
        </w:tc>
      </w:tr>
      <w:tr w:rsidR="004650EF" w:rsidRPr="001B6F3C" w:rsidTr="009148C2">
        <w:tc>
          <w:tcPr>
            <w:tcW w:w="3289" w:type="dxa"/>
            <w:shd w:val="clear" w:color="auto" w:fill="D9D9D9" w:themeFill="background1" w:themeFillShade="D9"/>
          </w:tcPr>
          <w:p w:rsidR="004650EF" w:rsidRPr="001B6F3C" w:rsidRDefault="004650EF" w:rsidP="004650EF">
            <w:pPr>
              <w:jc w:val="right"/>
              <w:rPr>
                <w:rFonts w:ascii="Times New Roman" w:eastAsia="Verdana" w:hAnsi="Times New Roman" w:cs="Verdana"/>
                <w:bCs/>
                <w:noProof/>
                <w:sz w:val="24"/>
              </w:rPr>
            </w:pPr>
            <w:r>
              <w:rPr>
                <w:rFonts w:ascii="Times New Roman" w:hAnsi="Times New Roman"/>
                <w:bCs/>
                <w:sz w:val="24"/>
              </w:rPr>
              <w:t>Datums, kurā autors publikāciju iesniedzis:</w:t>
            </w:r>
          </w:p>
        </w:tc>
        <w:tc>
          <w:tcPr>
            <w:tcW w:w="5839" w:type="dxa"/>
          </w:tcPr>
          <w:p w:rsidR="004650EF" w:rsidRPr="001B6F3C" w:rsidRDefault="004650EF" w:rsidP="004650EF">
            <w:pPr>
              <w:jc w:val="both"/>
              <w:rPr>
                <w:rFonts w:ascii="Times New Roman" w:eastAsia="Verdana" w:hAnsi="Times New Roman" w:cs="Verdana"/>
                <w:bCs/>
                <w:noProof/>
                <w:sz w:val="24"/>
              </w:rPr>
            </w:pPr>
            <w:r>
              <w:rPr>
                <w:rFonts w:ascii="Times New Roman" w:hAnsi="Times New Roman"/>
                <w:bCs/>
                <w:sz w:val="24"/>
              </w:rPr>
              <w:t>2018. gada 29. jūnijs</w:t>
            </w:r>
          </w:p>
        </w:tc>
      </w:tr>
      <w:tr w:rsidR="004650EF" w:rsidRPr="001B6F3C" w:rsidTr="009148C2">
        <w:tc>
          <w:tcPr>
            <w:tcW w:w="3289" w:type="dxa"/>
            <w:shd w:val="clear" w:color="auto" w:fill="D9D9D9" w:themeFill="background1" w:themeFillShade="D9"/>
          </w:tcPr>
          <w:p w:rsidR="004650EF" w:rsidRPr="001B6F3C" w:rsidRDefault="004650EF" w:rsidP="004650EF">
            <w:pPr>
              <w:jc w:val="right"/>
              <w:rPr>
                <w:rFonts w:ascii="Times New Roman" w:eastAsia="Verdana" w:hAnsi="Times New Roman" w:cs="Verdana"/>
                <w:bCs/>
                <w:noProof/>
                <w:sz w:val="24"/>
              </w:rPr>
            </w:pPr>
            <w:r>
              <w:rPr>
                <w:rFonts w:ascii="Times New Roman" w:hAnsi="Times New Roman"/>
                <w:bCs/>
                <w:sz w:val="24"/>
              </w:rPr>
              <w:t>Pilns autoru saraksts:</w:t>
            </w:r>
          </w:p>
        </w:tc>
        <w:tc>
          <w:tcPr>
            <w:tcW w:w="5839" w:type="dxa"/>
          </w:tcPr>
          <w:p w:rsidR="004650EF" w:rsidRPr="001B6F3C" w:rsidRDefault="004650EF" w:rsidP="004650EF">
            <w:pPr>
              <w:jc w:val="both"/>
              <w:rPr>
                <w:rFonts w:ascii="Times New Roman" w:eastAsia="Verdana" w:hAnsi="Times New Roman" w:cs="Verdana"/>
                <w:bCs/>
                <w:noProof/>
                <w:sz w:val="24"/>
              </w:rPr>
            </w:pPr>
            <w:r>
              <w:rPr>
                <w:rFonts w:ascii="Times New Roman" w:hAnsi="Times New Roman"/>
                <w:bCs/>
                <w:sz w:val="24"/>
              </w:rPr>
              <w:t xml:space="preserve">autors, </w:t>
            </w:r>
            <w:r>
              <w:rPr>
                <w:rFonts w:ascii="Times New Roman" w:hAnsi="Times New Roman"/>
                <w:bCs/>
                <w:i/>
                <w:iCs/>
                <w:sz w:val="24"/>
              </w:rPr>
              <w:t>EFSA</w:t>
            </w:r>
            <w:r>
              <w:rPr>
                <w:rFonts w:ascii="Times New Roman" w:hAnsi="Times New Roman"/>
                <w:bCs/>
                <w:sz w:val="24"/>
              </w:rPr>
              <w:t>, Eiropas Pārtikas nekaitīguma iestāde, paziņojumi (</w:t>
            </w:r>
            <w:r>
              <w:rPr>
                <w:rFonts w:ascii="Times New Roman" w:hAnsi="Times New Roman"/>
                <w:bCs/>
                <w:i/>
                <w:iCs/>
                <w:sz w:val="24"/>
              </w:rPr>
              <w:t>COMMS</w:t>
            </w:r>
            <w:r>
              <w:rPr>
                <w:rFonts w:ascii="Times New Roman" w:hAnsi="Times New Roman"/>
                <w:bCs/>
                <w:sz w:val="24"/>
              </w:rPr>
              <w:t>)</w:t>
            </w:r>
          </w:p>
        </w:tc>
      </w:tr>
      <w:tr w:rsidR="004650EF" w:rsidRPr="001B6F3C" w:rsidTr="009148C2">
        <w:tc>
          <w:tcPr>
            <w:tcW w:w="3289" w:type="dxa"/>
            <w:tcBorders>
              <w:bottom w:val="single" w:sz="4" w:space="0" w:color="auto"/>
            </w:tcBorders>
            <w:shd w:val="clear" w:color="auto" w:fill="D9D9D9" w:themeFill="background1" w:themeFillShade="D9"/>
          </w:tcPr>
          <w:p w:rsidR="004650EF" w:rsidRPr="001B6F3C" w:rsidRDefault="004650EF" w:rsidP="004650EF">
            <w:pPr>
              <w:jc w:val="right"/>
              <w:rPr>
                <w:rFonts w:ascii="Times New Roman" w:eastAsia="Verdana" w:hAnsi="Times New Roman" w:cs="Verdana"/>
                <w:bCs/>
                <w:noProof/>
                <w:sz w:val="24"/>
              </w:rPr>
            </w:pPr>
            <w:r>
              <w:rPr>
                <w:rFonts w:ascii="Times New Roman" w:hAnsi="Times New Roman"/>
                <w:bCs/>
                <w:i/>
                <w:iCs/>
                <w:sz w:val="24"/>
              </w:rPr>
              <w:t>EFSA</w:t>
            </w:r>
            <w:r>
              <w:rPr>
                <w:rFonts w:ascii="Times New Roman" w:hAnsi="Times New Roman"/>
                <w:bCs/>
                <w:sz w:val="24"/>
              </w:rPr>
              <w:t xml:space="preserve"> vaicājuma numurs:</w:t>
            </w:r>
          </w:p>
        </w:tc>
        <w:tc>
          <w:tcPr>
            <w:tcW w:w="5839" w:type="dxa"/>
          </w:tcPr>
          <w:p w:rsidR="004650EF" w:rsidRPr="001B6F3C" w:rsidRDefault="004650EF" w:rsidP="004650EF">
            <w:pPr>
              <w:jc w:val="both"/>
              <w:rPr>
                <w:rFonts w:ascii="Times New Roman" w:eastAsia="Verdana" w:hAnsi="Times New Roman" w:cs="Verdana"/>
                <w:bCs/>
                <w:noProof/>
                <w:sz w:val="24"/>
              </w:rPr>
            </w:pPr>
            <w:r>
              <w:rPr>
                <w:rFonts w:ascii="Times New Roman" w:hAnsi="Times New Roman"/>
                <w:bCs/>
                <w:i/>
                <w:iCs/>
                <w:sz w:val="24"/>
              </w:rPr>
              <w:t>EFSA-Q</w:t>
            </w:r>
            <w:r>
              <w:rPr>
                <w:rFonts w:ascii="Times New Roman" w:hAnsi="Times New Roman"/>
                <w:bCs/>
                <w:sz w:val="24"/>
              </w:rPr>
              <w:t>-2018-00347</w:t>
            </w:r>
          </w:p>
        </w:tc>
      </w:tr>
      <w:tr w:rsidR="009148C2" w:rsidRPr="001B6F3C" w:rsidTr="009148C2">
        <w:trPr>
          <w:trHeight w:val="765"/>
        </w:trPr>
        <w:tc>
          <w:tcPr>
            <w:tcW w:w="3289" w:type="dxa"/>
            <w:tcBorders>
              <w:bottom w:val="nil"/>
            </w:tcBorders>
            <w:shd w:val="clear" w:color="auto" w:fill="D9D9D9" w:themeFill="background1" w:themeFillShade="D9"/>
          </w:tcPr>
          <w:p w:rsidR="009148C2" w:rsidRPr="001B6F3C" w:rsidRDefault="009148C2" w:rsidP="004650EF">
            <w:pPr>
              <w:jc w:val="right"/>
              <w:rPr>
                <w:rFonts w:ascii="Times New Roman" w:eastAsia="Verdana" w:hAnsi="Times New Roman" w:cs="Verdana"/>
                <w:bCs/>
                <w:noProof/>
                <w:sz w:val="24"/>
              </w:rPr>
            </w:pPr>
            <w:r>
              <w:rPr>
                <w:rFonts w:ascii="Times New Roman" w:hAnsi="Times New Roman"/>
                <w:bCs/>
                <w:sz w:val="24"/>
              </w:rPr>
              <w:t>Atslēgvārdi:</w:t>
            </w:r>
          </w:p>
        </w:tc>
        <w:tc>
          <w:tcPr>
            <w:tcW w:w="5839" w:type="dxa"/>
            <w:vMerge w:val="restart"/>
          </w:tcPr>
          <w:p w:rsidR="009148C2" w:rsidRPr="001B6F3C" w:rsidRDefault="009148C2" w:rsidP="004650EF">
            <w:pPr>
              <w:jc w:val="both"/>
              <w:rPr>
                <w:rFonts w:ascii="Times New Roman" w:eastAsia="Verdana" w:hAnsi="Times New Roman" w:cs="Verdana"/>
                <w:bCs/>
                <w:noProof/>
                <w:sz w:val="24"/>
              </w:rPr>
            </w:pPr>
            <w:r>
              <w:rPr>
                <w:rFonts w:ascii="Times New Roman" w:hAnsi="Times New Roman"/>
                <w:i/>
                <w:iCs/>
              </w:rPr>
              <w:t>L. monocytogenes</w:t>
            </w:r>
            <w:r>
              <w:rPr>
                <w:rFonts w:ascii="Times New Roman" w:hAnsi="Times New Roman"/>
              </w:rPr>
              <w:t>, dārzeņi, augļi, saldētava, pārkraušanas un apstrādes vietas, kritiski svarīga paraugu ņemšanas vieta, mikrobioloģisko avotu izsekošana</w:t>
            </w:r>
          </w:p>
        </w:tc>
      </w:tr>
      <w:tr w:rsidR="009148C2" w:rsidRPr="001B6F3C" w:rsidTr="009148C2">
        <w:tc>
          <w:tcPr>
            <w:tcW w:w="3289" w:type="dxa"/>
            <w:tcBorders>
              <w:top w:val="nil"/>
            </w:tcBorders>
            <w:shd w:val="clear" w:color="auto" w:fill="D9D9D9" w:themeFill="background1" w:themeFillShade="D9"/>
          </w:tcPr>
          <w:p w:rsidR="009148C2" w:rsidRPr="001B6F3C" w:rsidRDefault="009148C2" w:rsidP="004650EF">
            <w:pPr>
              <w:jc w:val="right"/>
              <w:rPr>
                <w:rFonts w:ascii="Times New Roman" w:eastAsia="Verdana" w:hAnsi="Times New Roman" w:cs="Verdana"/>
                <w:bCs/>
                <w:noProof/>
                <w:sz w:val="24"/>
              </w:rPr>
            </w:pPr>
            <w:r>
              <w:rPr>
                <w:rFonts w:ascii="Times New Roman" w:hAnsi="Times New Roman"/>
                <w:bCs/>
                <w:sz w:val="24"/>
              </w:rPr>
              <w:t>Kopsavilkums:</w:t>
            </w:r>
          </w:p>
        </w:tc>
        <w:tc>
          <w:tcPr>
            <w:tcW w:w="5839" w:type="dxa"/>
            <w:vMerge/>
          </w:tcPr>
          <w:p w:rsidR="009148C2" w:rsidRPr="001B6F3C" w:rsidRDefault="009148C2" w:rsidP="004650EF">
            <w:pPr>
              <w:jc w:val="both"/>
              <w:rPr>
                <w:rFonts w:ascii="Times New Roman" w:eastAsia="Verdana" w:hAnsi="Times New Roman" w:cs="Verdana"/>
                <w:bCs/>
                <w:noProof/>
                <w:sz w:val="24"/>
              </w:rPr>
            </w:pPr>
          </w:p>
        </w:tc>
      </w:tr>
      <w:tr w:rsidR="004650EF" w:rsidRPr="001B6F3C" w:rsidTr="004650EF">
        <w:tc>
          <w:tcPr>
            <w:tcW w:w="3289" w:type="dxa"/>
          </w:tcPr>
          <w:p w:rsidR="004650EF" w:rsidRPr="001B6F3C" w:rsidRDefault="004650EF" w:rsidP="004650EF">
            <w:pPr>
              <w:jc w:val="right"/>
              <w:rPr>
                <w:rFonts w:ascii="Times New Roman" w:eastAsia="Verdana" w:hAnsi="Times New Roman" w:cs="Verdana"/>
                <w:bCs/>
                <w:noProof/>
                <w:sz w:val="24"/>
              </w:rPr>
            </w:pPr>
          </w:p>
        </w:tc>
        <w:tc>
          <w:tcPr>
            <w:tcW w:w="5839" w:type="dxa"/>
          </w:tcPr>
          <w:p w:rsidR="004650EF" w:rsidRPr="001B6F3C" w:rsidRDefault="004650EF" w:rsidP="004650EF">
            <w:pPr>
              <w:jc w:val="both"/>
              <w:rPr>
                <w:rFonts w:ascii="Times New Roman" w:eastAsia="Verdana" w:hAnsi="Times New Roman" w:cs="Verdana"/>
                <w:bCs/>
                <w:noProof/>
                <w:sz w:val="24"/>
              </w:rPr>
            </w:pPr>
          </w:p>
        </w:tc>
      </w:tr>
    </w:tbl>
    <w:p w:rsidR="004650EF" w:rsidRPr="001B6F3C" w:rsidRDefault="004650EF" w:rsidP="004650EF">
      <w:pPr>
        <w:jc w:val="both"/>
        <w:rPr>
          <w:rFonts w:ascii="Times New Roman" w:eastAsia="Verdana" w:hAnsi="Times New Roman" w:cs="Verdana"/>
          <w:b/>
          <w:bCs/>
          <w:noProof/>
          <w:sz w:val="24"/>
        </w:rPr>
      </w:pPr>
    </w:p>
    <w:p w:rsidR="004650EF" w:rsidRPr="001B6F3C" w:rsidRDefault="004650EF" w:rsidP="004650EF">
      <w:pPr>
        <w:jc w:val="both"/>
        <w:rPr>
          <w:rFonts w:ascii="Times New Roman" w:eastAsia="Verdana" w:hAnsi="Times New Roman" w:cs="Verdana"/>
          <w:b/>
          <w:bCs/>
          <w:noProof/>
          <w:sz w:val="24"/>
        </w:rPr>
      </w:pPr>
    </w:p>
    <w:p w:rsidR="001B6F3C" w:rsidRPr="001B6F3C" w:rsidRDefault="001B6F3C" w:rsidP="001B6F3C">
      <w:pPr>
        <w:jc w:val="center"/>
        <w:rPr>
          <w:rFonts w:ascii="Times New Roman" w:eastAsia="Verdana" w:hAnsi="Times New Roman" w:cs="Verdana"/>
          <w:b/>
          <w:bCs/>
          <w:noProof/>
          <w:sz w:val="24"/>
        </w:rPr>
      </w:pPr>
      <w:r>
        <w:rPr>
          <w:rFonts w:ascii="Times New Roman" w:hAnsi="Times New Roman"/>
          <w:b/>
          <w:bCs/>
          <w:noProof/>
          <w:sz w:val="24"/>
        </w:rPr>
        <w:drawing>
          <wp:inline distT="0" distB="0" distL="0" distR="0" wp14:anchorId="766D6756" wp14:editId="5E224288">
            <wp:extent cx="1362075" cy="4476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447675"/>
                    </a:xfrm>
                    <a:prstGeom prst="rect">
                      <a:avLst/>
                    </a:prstGeom>
                    <a:noFill/>
                    <a:ln>
                      <a:noFill/>
                    </a:ln>
                  </pic:spPr>
                </pic:pic>
              </a:graphicData>
            </a:graphic>
          </wp:inline>
        </w:drawing>
      </w:r>
    </w:p>
    <w:p w:rsidR="001B6F3C" w:rsidRPr="001B6F3C" w:rsidRDefault="001B6F3C">
      <w:pPr>
        <w:rPr>
          <w:rFonts w:ascii="Times New Roman" w:eastAsia="Verdana" w:hAnsi="Times New Roman" w:cs="Verdana"/>
          <w:b/>
          <w:bCs/>
          <w:noProof/>
          <w:sz w:val="24"/>
        </w:rPr>
      </w:pPr>
      <w:r>
        <w:br w:type="page"/>
      </w:r>
    </w:p>
    <w:p w:rsidR="001B6F3C" w:rsidRPr="001B6F3C" w:rsidRDefault="001B6F3C" w:rsidP="004650EF">
      <w:pPr>
        <w:jc w:val="both"/>
        <w:rPr>
          <w:rFonts w:ascii="Times New Roman" w:eastAsia="Verdana" w:hAnsi="Times New Roman" w:cs="Verdana"/>
          <w:bCs/>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265"/>
        <w:gridCol w:w="2863"/>
      </w:tblGrid>
      <w:tr w:rsidR="001B6F3C" w:rsidRPr="001B6F3C" w:rsidTr="009148C2">
        <w:tc>
          <w:tcPr>
            <w:tcW w:w="6265" w:type="dxa"/>
            <w:vAlign w:val="bottom"/>
          </w:tcPr>
          <w:p w:rsidR="001B6F3C" w:rsidRPr="001B6F3C" w:rsidRDefault="001B6F3C" w:rsidP="009148C2">
            <w:pPr>
              <w:rPr>
                <w:rFonts w:ascii="Times New Roman" w:eastAsia="Verdana" w:hAnsi="Times New Roman" w:cs="Verdana"/>
                <w:bCs/>
                <w:noProof/>
                <w:sz w:val="24"/>
              </w:rPr>
            </w:pPr>
            <w:r>
              <w:rPr>
                <w:rFonts w:ascii="Times New Roman" w:hAnsi="Times New Roman"/>
                <w:bCs/>
                <w:sz w:val="24"/>
              </w:rPr>
              <w:t>TEHNISKAIS ZIŅOJUMS</w:t>
            </w:r>
          </w:p>
        </w:tc>
        <w:tc>
          <w:tcPr>
            <w:tcW w:w="2863" w:type="dxa"/>
          </w:tcPr>
          <w:p w:rsidR="001B6F3C" w:rsidRPr="001B6F3C" w:rsidRDefault="001B6F3C" w:rsidP="001B6F3C">
            <w:pPr>
              <w:jc w:val="right"/>
              <w:rPr>
                <w:rFonts w:ascii="Times New Roman" w:eastAsia="Verdana" w:hAnsi="Times New Roman" w:cs="Verdana"/>
                <w:bCs/>
                <w:noProof/>
                <w:sz w:val="24"/>
              </w:rPr>
            </w:pPr>
            <w:r>
              <w:rPr>
                <w:rFonts w:ascii="Times New Roman" w:hAnsi="Times New Roman"/>
                <w:bCs/>
                <w:noProof/>
                <w:sz w:val="24"/>
              </w:rPr>
              <w:drawing>
                <wp:inline distT="0" distB="0" distL="0" distR="0">
                  <wp:extent cx="1156236" cy="673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9883" cy="687703"/>
                          </a:xfrm>
                          <a:prstGeom prst="rect">
                            <a:avLst/>
                          </a:prstGeom>
                          <a:noFill/>
                          <a:ln>
                            <a:noFill/>
                          </a:ln>
                        </pic:spPr>
                      </pic:pic>
                    </a:graphicData>
                  </a:graphic>
                </wp:inline>
              </w:drawing>
            </w:r>
          </w:p>
        </w:tc>
      </w:tr>
      <w:tr w:rsidR="001B6F3C" w:rsidRPr="001B6F3C" w:rsidTr="009148C2">
        <w:tc>
          <w:tcPr>
            <w:tcW w:w="6265" w:type="dxa"/>
          </w:tcPr>
          <w:p w:rsidR="001B6F3C" w:rsidRPr="001B6F3C" w:rsidRDefault="001B6F3C" w:rsidP="001B6F3C">
            <w:pPr>
              <w:jc w:val="both"/>
              <w:rPr>
                <w:rFonts w:ascii="Times New Roman" w:eastAsia="Calibri" w:hAnsi="Times New Roman" w:cs="Calibri"/>
                <w:noProof/>
                <w:sz w:val="24"/>
                <w:szCs w:val="17"/>
              </w:rPr>
            </w:pPr>
            <w:r>
              <w:rPr>
                <w:rFonts w:ascii="Times New Roman" w:hAnsi="Times New Roman"/>
                <w:sz w:val="24"/>
              </w:rPr>
              <w:t>APSTIPRINĀTS: 2018. gada 29. jūnijā</w:t>
            </w:r>
          </w:p>
          <w:p w:rsidR="001B6F3C" w:rsidRPr="001B6F3C" w:rsidRDefault="001B6F3C" w:rsidP="004650EF">
            <w:pPr>
              <w:jc w:val="both"/>
              <w:rPr>
                <w:rFonts w:ascii="Times New Roman" w:hAnsi="Times New Roman"/>
                <w:noProof/>
                <w:sz w:val="24"/>
              </w:rPr>
            </w:pPr>
            <w:r>
              <w:rPr>
                <w:rFonts w:ascii="Times New Roman" w:hAnsi="Times New Roman"/>
                <w:sz w:val="24"/>
              </w:rPr>
              <w:t>DOI – 10.2903/sp.efsa.2018.EN-1445</w:t>
            </w:r>
          </w:p>
        </w:tc>
        <w:tc>
          <w:tcPr>
            <w:tcW w:w="2863" w:type="dxa"/>
          </w:tcPr>
          <w:p w:rsidR="001B6F3C" w:rsidRPr="001B6F3C" w:rsidRDefault="001B6F3C" w:rsidP="004650EF">
            <w:pPr>
              <w:jc w:val="both"/>
              <w:rPr>
                <w:rFonts w:ascii="Times New Roman" w:eastAsia="Verdana" w:hAnsi="Times New Roman" w:cs="Verdana"/>
                <w:bCs/>
                <w:noProof/>
                <w:sz w:val="24"/>
              </w:rPr>
            </w:pPr>
          </w:p>
        </w:tc>
      </w:tr>
    </w:tbl>
    <w:p w:rsidR="00270842" w:rsidRPr="001B6F3C" w:rsidRDefault="00270842" w:rsidP="004650EF">
      <w:pPr>
        <w:jc w:val="both"/>
        <w:rPr>
          <w:rFonts w:ascii="Times New Roman" w:eastAsia="Calibri" w:hAnsi="Times New Roman" w:cs="Calibri"/>
          <w:noProof/>
          <w:sz w:val="24"/>
          <w:szCs w:val="21"/>
        </w:rPr>
      </w:pPr>
    </w:p>
    <w:p w:rsidR="00270842" w:rsidRPr="001B6F3C" w:rsidRDefault="00270842" w:rsidP="001B6F3C">
      <w:pPr>
        <w:jc w:val="center"/>
        <w:rPr>
          <w:rFonts w:ascii="Times New Roman" w:hAnsi="Times New Roman"/>
          <w:b/>
          <w:i/>
          <w:noProof/>
          <w:sz w:val="24"/>
        </w:rPr>
      </w:pPr>
      <w:r>
        <w:rPr>
          <w:rFonts w:ascii="Times New Roman" w:hAnsi="Times New Roman"/>
          <w:b/>
          <w:sz w:val="24"/>
        </w:rPr>
        <w:t xml:space="preserve">Steidzama zinātniskā un tehniskā palīdzība, lai sniegtu ieteikumus par to, kā veicama paraugu ņemšana un testēšana saldētu dārzeņu ražotnēs </w:t>
      </w:r>
      <w:r>
        <w:rPr>
          <w:rFonts w:ascii="Times New Roman" w:hAnsi="Times New Roman"/>
          <w:b/>
          <w:i/>
          <w:iCs/>
          <w:sz w:val="24"/>
        </w:rPr>
        <w:t xml:space="preserve">Listeria monocytogenes </w:t>
      </w:r>
      <w:r>
        <w:rPr>
          <w:rFonts w:ascii="Times New Roman" w:hAnsi="Times New Roman"/>
          <w:b/>
          <w:sz w:val="24"/>
        </w:rPr>
        <w:t>klātbūtnes noteikšanai</w:t>
      </w:r>
    </w:p>
    <w:p w:rsidR="001B6F3C" w:rsidRPr="001B6F3C" w:rsidRDefault="001B6F3C" w:rsidP="001B6F3C">
      <w:pPr>
        <w:jc w:val="center"/>
        <w:rPr>
          <w:rFonts w:ascii="Times New Roman" w:eastAsia="Tahoma" w:hAnsi="Times New Roman" w:cs="Tahoma"/>
          <w:noProof/>
          <w:sz w:val="24"/>
          <w:szCs w:val="29"/>
        </w:rPr>
      </w:pPr>
    </w:p>
    <w:p w:rsidR="00270842" w:rsidRPr="001B6F3C" w:rsidRDefault="00270842" w:rsidP="001B6F3C">
      <w:pPr>
        <w:jc w:val="center"/>
        <w:rPr>
          <w:rFonts w:ascii="Times New Roman" w:hAnsi="Times New Roman"/>
          <w:noProof/>
          <w:sz w:val="24"/>
        </w:rPr>
      </w:pPr>
      <w:r>
        <w:rPr>
          <w:rFonts w:ascii="Times New Roman" w:hAnsi="Times New Roman"/>
          <w:sz w:val="24"/>
        </w:rPr>
        <w:t>Eiropas Pārtikas nekaitīguma iestāde (</w:t>
      </w:r>
      <w:r>
        <w:rPr>
          <w:rFonts w:ascii="Times New Roman" w:hAnsi="Times New Roman"/>
          <w:i/>
          <w:iCs/>
          <w:sz w:val="24"/>
        </w:rPr>
        <w:t>EFSA</w:t>
      </w:r>
      <w:r>
        <w:rPr>
          <w:rFonts w:ascii="Times New Roman" w:hAnsi="Times New Roman"/>
          <w:sz w:val="24"/>
        </w:rPr>
        <w:t>)</w:t>
      </w:r>
    </w:p>
    <w:p w:rsidR="00270842" w:rsidRPr="001B6F3C" w:rsidRDefault="00270842" w:rsidP="001B6F3C">
      <w:pPr>
        <w:jc w:val="center"/>
        <w:rPr>
          <w:rFonts w:ascii="Times New Roman" w:hAnsi="Times New Roman"/>
          <w:noProof/>
          <w:sz w:val="24"/>
        </w:rPr>
      </w:pPr>
      <w:r>
        <w:rPr>
          <w:rFonts w:ascii="Times New Roman" w:hAnsi="Times New Roman"/>
          <w:sz w:val="24"/>
        </w:rPr>
        <w:t>Ana Aljende [</w:t>
      </w:r>
      <w:r>
        <w:rPr>
          <w:rFonts w:ascii="Times New Roman" w:hAnsi="Times New Roman"/>
          <w:i/>
          <w:iCs/>
          <w:sz w:val="24"/>
        </w:rPr>
        <w:t>Ana Allende</w:t>
      </w:r>
      <w:r>
        <w:rPr>
          <w:rFonts w:ascii="Times New Roman" w:hAnsi="Times New Roman"/>
          <w:sz w:val="24"/>
        </w:rPr>
        <w:t>], Lena Bāra [</w:t>
      </w:r>
      <w:r>
        <w:rPr>
          <w:rFonts w:ascii="Times New Roman" w:hAnsi="Times New Roman"/>
          <w:i/>
          <w:iCs/>
          <w:sz w:val="24"/>
        </w:rPr>
        <w:t>Léna Barre</w:t>
      </w:r>
      <w:r>
        <w:rPr>
          <w:rFonts w:ascii="Times New Roman" w:hAnsi="Times New Roman"/>
          <w:sz w:val="24"/>
        </w:rPr>
        <w:t>], Līzbete Jaksensa [</w:t>
      </w:r>
      <w:r>
        <w:rPr>
          <w:rFonts w:ascii="Times New Roman" w:hAnsi="Times New Roman"/>
          <w:i/>
          <w:iCs/>
          <w:sz w:val="24"/>
        </w:rPr>
        <w:t>Liesbeth Jacxsens</w:t>
      </w:r>
      <w:r>
        <w:rPr>
          <w:rFonts w:ascii="Times New Roman" w:hAnsi="Times New Roman"/>
          <w:sz w:val="24"/>
        </w:rPr>
        <w:t>], Ernesto Liebāna [</w:t>
      </w:r>
      <w:r>
        <w:rPr>
          <w:rFonts w:ascii="Times New Roman" w:hAnsi="Times New Roman"/>
          <w:i/>
          <w:iCs/>
          <w:sz w:val="24"/>
        </w:rPr>
        <w:t>Ernesto Liebana</w:t>
      </w:r>
      <w:r>
        <w:rPr>
          <w:rFonts w:ascii="Times New Roman" w:hAnsi="Times New Roman"/>
          <w:sz w:val="24"/>
        </w:rPr>
        <w:t>], Vinija Mesensa [</w:t>
      </w:r>
      <w:r>
        <w:rPr>
          <w:rFonts w:ascii="Times New Roman" w:hAnsi="Times New Roman"/>
          <w:i/>
          <w:iCs/>
          <w:sz w:val="24"/>
        </w:rPr>
        <w:t>Winy Messens</w:t>
      </w:r>
      <w:r>
        <w:rPr>
          <w:rFonts w:ascii="Times New Roman" w:hAnsi="Times New Roman"/>
          <w:sz w:val="24"/>
        </w:rPr>
        <w:t>], Eleonora Sarno [</w:t>
      </w:r>
      <w:r>
        <w:rPr>
          <w:rFonts w:ascii="Times New Roman" w:hAnsi="Times New Roman"/>
          <w:i/>
          <w:iCs/>
          <w:sz w:val="24"/>
        </w:rPr>
        <w:t>Eleonora Sarno</w:t>
      </w:r>
      <w:r>
        <w:rPr>
          <w:rFonts w:ascii="Times New Roman" w:hAnsi="Times New Roman"/>
          <w:sz w:val="24"/>
        </w:rPr>
        <w:t>], Marija Teresa da Silva Felisio [</w:t>
      </w:r>
      <w:r>
        <w:rPr>
          <w:rFonts w:ascii="Times New Roman" w:hAnsi="Times New Roman"/>
          <w:i/>
          <w:iCs/>
          <w:sz w:val="24"/>
        </w:rPr>
        <w:t>Maria Teresa da Silva Felicio</w:t>
      </w:r>
      <w:r>
        <w:rPr>
          <w:rFonts w:ascii="Times New Roman" w:hAnsi="Times New Roman"/>
          <w:sz w:val="24"/>
        </w:rPr>
        <w:t>]</w:t>
      </w:r>
    </w:p>
    <w:p w:rsidR="00270842" w:rsidRPr="001B6F3C" w:rsidRDefault="00270842" w:rsidP="004650EF">
      <w:pPr>
        <w:jc w:val="both"/>
        <w:rPr>
          <w:rFonts w:ascii="Times New Roman" w:eastAsia="Tahoma" w:hAnsi="Times New Roman" w:cs="Tahoma"/>
          <w:noProof/>
          <w:sz w:val="24"/>
          <w:szCs w:val="18"/>
        </w:rPr>
      </w:pPr>
    </w:p>
    <w:p w:rsidR="00270842" w:rsidRPr="001B6F3C" w:rsidRDefault="00270842" w:rsidP="004650EF">
      <w:pPr>
        <w:pStyle w:val="Heading1"/>
        <w:rPr>
          <w:noProof/>
        </w:rPr>
      </w:pPr>
      <w:bookmarkStart w:id="0" w:name="_TOC_250036"/>
      <w:bookmarkStart w:id="1" w:name="_Toc37931367"/>
      <w:r>
        <w:t>Kopsavilkums</w:t>
      </w:r>
      <w:bookmarkEnd w:id="0"/>
      <w:bookmarkEnd w:id="1"/>
    </w:p>
    <w:p w:rsidR="001B6F3C" w:rsidRPr="001B6F3C" w:rsidRDefault="001B6F3C"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Eiropas Pārtikas nekaitīguma iestādei (</w:t>
      </w:r>
      <w:r>
        <w:rPr>
          <w:rFonts w:ascii="Times New Roman" w:hAnsi="Times New Roman"/>
          <w:i/>
          <w:iCs/>
          <w:sz w:val="24"/>
        </w:rPr>
        <w:t>EFSA</w:t>
      </w:r>
      <w:r>
        <w:rPr>
          <w:rFonts w:ascii="Times New Roman" w:hAnsi="Times New Roman"/>
          <w:sz w:val="24"/>
        </w:rPr>
        <w:t xml:space="preserve">) lūdza sniegt ieteikumus Eiropas Komisijai par paraugu ņemšanas stratēģijām un vispāratzītām mikrobioloģiskām metodēm, kas būtu vispiemērotākās visaugstākā jutīguma nodrošināšanai, nosakot </w:t>
      </w:r>
      <w:r>
        <w:rPr>
          <w:rFonts w:ascii="Times New Roman" w:hAnsi="Times New Roman"/>
          <w:i/>
          <w:iCs/>
          <w:sz w:val="24"/>
        </w:rPr>
        <w:t>L. monocytogenes</w:t>
      </w:r>
      <w:r>
        <w:rPr>
          <w:rFonts w:ascii="Times New Roman" w:hAnsi="Times New Roman"/>
          <w:sz w:val="24"/>
        </w:rPr>
        <w:t xml:space="preserve"> klātbūtni pārstrādei izmantotajā ūdenī un vidē telpās, kur ražo saldētus augļus, dārzeņus vai garšaugus (ADG), kā arī pārtikas galaproduktos; un par kritiski svarīgo paraugu ņemšanas vietu (</w:t>
      </w:r>
      <w:r>
        <w:rPr>
          <w:rFonts w:ascii="Times New Roman" w:hAnsi="Times New Roman"/>
          <w:i/>
          <w:iCs/>
          <w:sz w:val="24"/>
        </w:rPr>
        <w:t>CSS</w:t>
      </w:r>
      <w:r>
        <w:rPr>
          <w:rFonts w:ascii="Times New Roman" w:hAnsi="Times New Roman"/>
          <w:sz w:val="24"/>
        </w:rPr>
        <w:t xml:space="preserve">) noteikšanu </w:t>
      </w:r>
      <w:r>
        <w:rPr>
          <w:rFonts w:ascii="Times New Roman" w:hAnsi="Times New Roman"/>
          <w:i/>
          <w:iCs/>
          <w:sz w:val="24"/>
        </w:rPr>
        <w:t>L. monocytogenes</w:t>
      </w:r>
      <w:r>
        <w:rPr>
          <w:rFonts w:ascii="Times New Roman" w:hAnsi="Times New Roman"/>
          <w:sz w:val="24"/>
        </w:rPr>
        <w:t xml:space="preserve"> monitoringa vajadzībām vidē. Šim mērķim atbilstošajā paraugu ņemšanas stratēģijā, kas varētu palīdzēt kompetentajām iestādēm un pārtikas apritē iesaistītajiem tirgus dalībniekiem veikt pārtikas izraisīto infekciju uzliesmojuma izmeklēšanu saistībā ar aizdomīgiem saldētiem ADG, ir noteikti septiņi soļi. Attiecīgās </w:t>
      </w:r>
      <w:r>
        <w:rPr>
          <w:rFonts w:ascii="Times New Roman" w:hAnsi="Times New Roman"/>
          <w:i/>
          <w:iCs/>
          <w:sz w:val="24"/>
        </w:rPr>
        <w:t>CSS</w:t>
      </w:r>
      <w:r>
        <w:rPr>
          <w:rFonts w:ascii="Times New Roman" w:hAnsi="Times New Roman"/>
          <w:sz w:val="24"/>
        </w:rPr>
        <w:t xml:space="preserve"> var noteikt, kritiski apsekojot saldētavu telpas un ņemot vērā šajā ziņojumā aprakstīto pamatinformāciju. Saldētavās tipiskās virsmas, kas nav saskarē ar pārtiku un kurās var patverties </w:t>
      </w:r>
      <w:r>
        <w:rPr>
          <w:rFonts w:ascii="Times New Roman" w:hAnsi="Times New Roman"/>
          <w:i/>
          <w:iCs/>
          <w:sz w:val="24"/>
        </w:rPr>
        <w:t>L. monocytogenes</w:t>
      </w:r>
      <w:r>
        <w:rPr>
          <w:rFonts w:ascii="Times New Roman" w:hAnsi="Times New Roman"/>
          <w:sz w:val="24"/>
        </w:rPr>
        <w:t xml:space="preserve">, ir šādas: grīda, it īpaši tajā esošās spraugas un plaisas, sienas, notekas, griesti, pie griestiem nostiprinātās konstrukcijas, ejas, mazgāšanas vietas, kondensāts un stāvošs ūdens, mitra izolācija, kas atrodas sienās un ap caurulēm un dzesēšanas agregātiem, gumijas blīves ap durvīm (jo īpaši dzesētavās), metāla savienojumu vietas (jo īpaši, metinātie un bultskrūvju savienojumi) un </w:t>
      </w:r>
      <w:r w:rsidR="003E589A">
        <w:rPr>
          <w:rFonts w:ascii="Times New Roman" w:hAnsi="Times New Roman"/>
          <w:sz w:val="24"/>
        </w:rPr>
        <w:t>vakuuma tīrīšanas ierīču</w:t>
      </w:r>
      <w:r>
        <w:rPr>
          <w:rFonts w:ascii="Times New Roman" w:hAnsi="Times New Roman"/>
          <w:sz w:val="24"/>
        </w:rPr>
        <w:t xml:space="preserve"> saturs. </w:t>
      </w:r>
      <w:r>
        <w:rPr>
          <w:rFonts w:ascii="Times New Roman" w:hAnsi="Times New Roman"/>
          <w:i/>
          <w:iCs/>
          <w:sz w:val="24"/>
        </w:rPr>
        <w:t>L. monocytogenes</w:t>
      </w:r>
      <w:r>
        <w:rPr>
          <w:rFonts w:ascii="Times New Roman" w:hAnsi="Times New Roman"/>
          <w:sz w:val="24"/>
        </w:rPr>
        <w:t xml:space="preserve"> bieži atrod arī uz aprīkojuma, ko izmanto pārtikas apstrādei, sagatavošanai, uzglabāšanai un pārvadāšanai, piemēram, saldēšanas tuneļos, uz veidnēm, rotora asmens, griešanas iekārtām, nažiem, griešanas dēļiem, konveijera lentēm, cimdveida savienojumiem, blīvēm un blīvripām. Kopīgiem spēkiem jācenšas plānot, lai paraugu ņemšana tiktu veikta, ievērojot ražošanas partijas un vides </w:t>
      </w:r>
      <w:r>
        <w:rPr>
          <w:rFonts w:ascii="Times New Roman" w:hAnsi="Times New Roman"/>
          <w:i/>
          <w:iCs/>
          <w:sz w:val="24"/>
        </w:rPr>
        <w:t>CSS</w:t>
      </w:r>
      <w:r>
        <w:rPr>
          <w:rFonts w:ascii="Times New Roman" w:hAnsi="Times New Roman"/>
          <w:sz w:val="24"/>
        </w:rPr>
        <w:t xml:space="preserve">. Paraugu ņemšanas procedūras jāveic pēc iespējas pilnīgāk, aptverot pēc iespējas lielāku </w:t>
      </w:r>
      <w:r>
        <w:rPr>
          <w:rFonts w:ascii="Times New Roman" w:hAnsi="Times New Roman"/>
          <w:i/>
          <w:iCs/>
          <w:sz w:val="24"/>
        </w:rPr>
        <w:t>CSS</w:t>
      </w:r>
      <w:r>
        <w:rPr>
          <w:rFonts w:ascii="Times New Roman" w:hAnsi="Times New Roman"/>
          <w:sz w:val="24"/>
        </w:rPr>
        <w:t xml:space="preserve"> skaitu un paraugu skaitu no vienas </w:t>
      </w:r>
      <w:r>
        <w:rPr>
          <w:rFonts w:ascii="Times New Roman" w:hAnsi="Times New Roman"/>
          <w:i/>
          <w:iCs/>
          <w:sz w:val="24"/>
        </w:rPr>
        <w:t>CSS</w:t>
      </w:r>
      <w:r>
        <w:rPr>
          <w:rFonts w:ascii="Times New Roman" w:hAnsi="Times New Roman"/>
          <w:sz w:val="24"/>
        </w:rPr>
        <w:t xml:space="preserve">, lai gūtu izpratni par piesārņojuma avotu potenciālo dažādību. </w:t>
      </w:r>
      <w:r>
        <w:rPr>
          <w:rFonts w:ascii="Times New Roman" w:hAnsi="Times New Roman"/>
          <w:i/>
          <w:iCs/>
          <w:sz w:val="24"/>
        </w:rPr>
        <w:t>L. monocytogenes</w:t>
      </w:r>
      <w:r>
        <w:rPr>
          <w:rFonts w:ascii="Times New Roman" w:hAnsi="Times New Roman"/>
          <w:sz w:val="24"/>
        </w:rPr>
        <w:t xml:space="preserve"> klātbūtnes noteikšanai iesaka izmantot standartā EN ISO 11290-1 aprakstīto metodi. Lai identificētu celmus pozitīvajos paraugos un noteiktu saiknes starp izolātiem, kas iegūti no cilvēka, un aizdomīgajiem ADG, </w:t>
      </w:r>
      <w:r>
        <w:rPr>
          <w:rFonts w:ascii="Times New Roman" w:hAnsi="Times New Roman"/>
          <w:i/>
          <w:iCs/>
          <w:sz w:val="24"/>
        </w:rPr>
        <w:t>L. monocytogenes</w:t>
      </w:r>
      <w:r>
        <w:rPr>
          <w:rFonts w:ascii="Times New Roman" w:hAnsi="Times New Roman"/>
          <w:sz w:val="24"/>
        </w:rPr>
        <w:t xml:space="preserve"> izolāti jāraksturo, izmantojot vispāratzītas molekulārās metodes.</w:t>
      </w:r>
    </w:p>
    <w:p w:rsidR="001B6F3C" w:rsidRPr="001B6F3C" w:rsidRDefault="001B6F3C"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Eiropas Pārtikas nekaitīguma iestāde, 2018.</w:t>
      </w:r>
    </w:p>
    <w:p w:rsidR="00270842" w:rsidRPr="001B6F3C" w:rsidRDefault="00270842" w:rsidP="004650EF">
      <w:pPr>
        <w:jc w:val="both"/>
        <w:rPr>
          <w:rFonts w:ascii="Times New Roman" w:eastAsia="Tahoma" w:hAnsi="Times New Roman" w:cs="Tahoma"/>
          <w:noProof/>
          <w:sz w:val="24"/>
          <w:szCs w:val="18"/>
        </w:rPr>
      </w:pPr>
    </w:p>
    <w:p w:rsidR="00270842" w:rsidRPr="001B6F3C" w:rsidRDefault="00270842" w:rsidP="004650EF">
      <w:pPr>
        <w:jc w:val="both"/>
        <w:rPr>
          <w:rFonts w:ascii="Times New Roman" w:eastAsia="Tahoma" w:hAnsi="Times New Roman" w:cs="Tahoma"/>
          <w:noProof/>
          <w:sz w:val="24"/>
          <w:szCs w:val="18"/>
        </w:rPr>
      </w:pPr>
    </w:p>
    <w:p w:rsidR="00270842" w:rsidRPr="001B6F3C" w:rsidRDefault="00270842" w:rsidP="004650EF">
      <w:pPr>
        <w:jc w:val="both"/>
        <w:rPr>
          <w:rFonts w:ascii="Times New Roman" w:eastAsia="Tahoma" w:hAnsi="Times New Roman" w:cs="Tahoma"/>
          <w:noProof/>
          <w:sz w:val="24"/>
          <w:szCs w:val="18"/>
        </w:rPr>
      </w:pPr>
      <w:r>
        <w:rPr>
          <w:rFonts w:ascii="Times New Roman" w:hAnsi="Times New Roman"/>
          <w:b/>
          <w:sz w:val="24"/>
        </w:rPr>
        <w:t xml:space="preserve">Atslēgvārdi: </w:t>
      </w:r>
      <w:r>
        <w:rPr>
          <w:rFonts w:ascii="Times New Roman" w:hAnsi="Times New Roman"/>
          <w:i/>
          <w:iCs/>
          <w:sz w:val="24"/>
        </w:rPr>
        <w:t>L. monocytogenes</w:t>
      </w:r>
      <w:r>
        <w:rPr>
          <w:rFonts w:ascii="Times New Roman" w:hAnsi="Times New Roman"/>
          <w:sz w:val="24"/>
        </w:rPr>
        <w:t xml:space="preserve">, dārzeņi, augļi, saldētava, pārkraušanas un apstrādes vietas, </w:t>
      </w:r>
      <w:r>
        <w:rPr>
          <w:rFonts w:ascii="Times New Roman" w:hAnsi="Times New Roman"/>
          <w:sz w:val="24"/>
        </w:rPr>
        <w:lastRenderedPageBreak/>
        <w:t>kritiski svarīga paraugu ņemšanas vieta, mikrobioloģisko avotu izsekošana</w:t>
      </w:r>
    </w:p>
    <w:p w:rsidR="00270842" w:rsidRPr="001B6F3C" w:rsidRDefault="00270842" w:rsidP="004650EF">
      <w:pPr>
        <w:jc w:val="both"/>
        <w:rPr>
          <w:rFonts w:ascii="Times New Roman" w:eastAsia="Tahoma" w:hAnsi="Times New Roman" w:cs="Tahoma"/>
          <w:noProof/>
          <w:sz w:val="24"/>
          <w:szCs w:val="18"/>
        </w:rPr>
      </w:pPr>
    </w:p>
    <w:p w:rsidR="00270842" w:rsidRPr="001B6F3C" w:rsidRDefault="00270842" w:rsidP="004650EF">
      <w:pPr>
        <w:jc w:val="both"/>
        <w:rPr>
          <w:rFonts w:ascii="Times New Roman" w:eastAsia="Tahoma" w:hAnsi="Times New Roman" w:cs="Tahoma"/>
          <w:noProof/>
          <w:sz w:val="24"/>
          <w:szCs w:val="19"/>
        </w:rPr>
      </w:pPr>
    </w:p>
    <w:p w:rsidR="00270842" w:rsidRPr="001B6F3C" w:rsidRDefault="00270842" w:rsidP="004650EF">
      <w:pPr>
        <w:jc w:val="both"/>
        <w:rPr>
          <w:rFonts w:ascii="Times New Roman" w:eastAsia="Tahoma" w:hAnsi="Times New Roman" w:cs="Tahoma"/>
          <w:noProof/>
          <w:sz w:val="24"/>
          <w:szCs w:val="18"/>
        </w:rPr>
      </w:pPr>
      <w:r>
        <w:rPr>
          <w:rFonts w:ascii="Times New Roman" w:hAnsi="Times New Roman"/>
          <w:b/>
          <w:sz w:val="24"/>
        </w:rPr>
        <w:t xml:space="preserve">Pieprasījumu iesniedza: </w:t>
      </w:r>
      <w:r>
        <w:rPr>
          <w:rFonts w:ascii="Times New Roman" w:hAnsi="Times New Roman"/>
          <w:sz w:val="24"/>
        </w:rPr>
        <w:t>Eiropas Komisija</w:t>
      </w:r>
    </w:p>
    <w:p w:rsidR="00270842" w:rsidRPr="001B6F3C" w:rsidRDefault="00270842" w:rsidP="004650EF">
      <w:pPr>
        <w:jc w:val="both"/>
        <w:rPr>
          <w:rFonts w:ascii="Times New Roman" w:eastAsia="Tahoma" w:hAnsi="Times New Roman" w:cs="Tahoma"/>
          <w:noProof/>
          <w:sz w:val="24"/>
          <w:szCs w:val="18"/>
        </w:rPr>
      </w:pPr>
      <w:r>
        <w:rPr>
          <w:rFonts w:ascii="Times New Roman" w:hAnsi="Times New Roman"/>
          <w:b/>
          <w:sz w:val="24"/>
        </w:rPr>
        <w:t xml:space="preserve">Vaicājuma numurs: </w:t>
      </w:r>
      <w:r>
        <w:rPr>
          <w:rFonts w:ascii="Times New Roman" w:hAnsi="Times New Roman"/>
          <w:i/>
          <w:iCs/>
          <w:sz w:val="24"/>
        </w:rPr>
        <w:t>EFSA-Q</w:t>
      </w:r>
      <w:r>
        <w:rPr>
          <w:rFonts w:ascii="Times New Roman" w:hAnsi="Times New Roman"/>
          <w:sz w:val="24"/>
        </w:rPr>
        <w:t>-2018-00347</w:t>
      </w:r>
    </w:p>
    <w:p w:rsidR="00270842" w:rsidRPr="001B6F3C" w:rsidRDefault="00270842" w:rsidP="004650EF">
      <w:pPr>
        <w:jc w:val="both"/>
        <w:rPr>
          <w:rFonts w:ascii="Times New Roman" w:eastAsia="Tahoma" w:hAnsi="Times New Roman" w:cs="Tahoma"/>
          <w:noProof/>
          <w:sz w:val="24"/>
          <w:szCs w:val="18"/>
        </w:rPr>
      </w:pPr>
      <w:r>
        <w:rPr>
          <w:rFonts w:ascii="Times New Roman" w:hAnsi="Times New Roman"/>
          <w:b/>
          <w:bCs/>
          <w:sz w:val="24"/>
        </w:rPr>
        <w:t>E-pasta adrese saziņai:</w:t>
      </w:r>
      <w:r>
        <w:rPr>
          <w:rFonts w:ascii="Times New Roman" w:hAnsi="Times New Roman"/>
          <w:sz w:val="24"/>
        </w:rPr>
        <w:t xml:space="preserve"> biocontam@efsa.europa.eu</w:t>
      </w:r>
    </w:p>
    <w:p w:rsidR="00270842" w:rsidRPr="001B6F3C" w:rsidRDefault="00270842" w:rsidP="004650EF">
      <w:pPr>
        <w:jc w:val="both"/>
        <w:rPr>
          <w:rFonts w:ascii="Times New Roman" w:eastAsia="Calibri" w:hAnsi="Times New Roman" w:cs="Calibri"/>
          <w:noProof/>
          <w:sz w:val="24"/>
          <w:szCs w:val="20"/>
        </w:rPr>
      </w:pPr>
    </w:p>
    <w:p w:rsidR="00270842" w:rsidRDefault="0027084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Default="009148C2" w:rsidP="004650EF">
      <w:pPr>
        <w:jc w:val="both"/>
        <w:rPr>
          <w:rFonts w:ascii="Times New Roman" w:eastAsia="Calibri" w:hAnsi="Times New Roman" w:cs="Calibri"/>
          <w:noProof/>
          <w:sz w:val="24"/>
          <w:szCs w:val="20"/>
        </w:rPr>
      </w:pPr>
    </w:p>
    <w:p w:rsidR="009148C2" w:rsidRPr="001B6F3C" w:rsidRDefault="009148C2" w:rsidP="004650EF">
      <w:pPr>
        <w:jc w:val="both"/>
        <w:rPr>
          <w:rFonts w:ascii="Times New Roman" w:eastAsia="Calibri" w:hAnsi="Times New Roman" w:cs="Calibri"/>
          <w:noProof/>
          <w:sz w:val="24"/>
          <w:szCs w:val="20"/>
        </w:rPr>
      </w:pPr>
    </w:p>
    <w:p w:rsidR="00270842" w:rsidRPr="001B6F3C" w:rsidRDefault="00270842" w:rsidP="004650EF">
      <w:pPr>
        <w:jc w:val="both"/>
        <w:rPr>
          <w:rFonts w:ascii="Times New Roman" w:eastAsia="Calibri" w:hAnsi="Times New Roman" w:cs="Calibri"/>
          <w:noProof/>
          <w:sz w:val="24"/>
          <w:szCs w:val="21"/>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b/>
          <w:sz w:val="24"/>
        </w:rPr>
        <w:t xml:space="preserve">Atsaucēm: </w:t>
      </w:r>
      <w:r>
        <w:rPr>
          <w:rFonts w:ascii="Times New Roman" w:hAnsi="Times New Roman"/>
          <w:i/>
          <w:iCs/>
          <w:sz w:val="24"/>
        </w:rPr>
        <w:t>EFSA</w:t>
      </w:r>
      <w:r>
        <w:rPr>
          <w:rFonts w:ascii="Times New Roman" w:hAnsi="Times New Roman"/>
          <w:sz w:val="24"/>
        </w:rPr>
        <w:t xml:space="preserve"> (Eiropas Pārtikas nekaitīguma iestāde), </w:t>
      </w:r>
      <w:r>
        <w:rPr>
          <w:rFonts w:ascii="Times New Roman" w:hAnsi="Times New Roman"/>
          <w:i/>
          <w:iCs/>
          <w:sz w:val="24"/>
        </w:rPr>
        <w:t>Allende</w:t>
      </w:r>
      <w:r>
        <w:rPr>
          <w:rFonts w:ascii="Times New Roman" w:hAnsi="Times New Roman"/>
          <w:sz w:val="24"/>
        </w:rPr>
        <w:t> </w:t>
      </w:r>
      <w:r>
        <w:rPr>
          <w:rFonts w:ascii="Times New Roman" w:hAnsi="Times New Roman"/>
          <w:i/>
          <w:iCs/>
          <w:sz w:val="24"/>
        </w:rPr>
        <w:t>A</w:t>
      </w:r>
      <w:r>
        <w:rPr>
          <w:rFonts w:ascii="Times New Roman" w:hAnsi="Times New Roman"/>
          <w:sz w:val="24"/>
        </w:rPr>
        <w:t xml:space="preserve">, </w:t>
      </w:r>
      <w:r>
        <w:rPr>
          <w:rFonts w:ascii="Times New Roman" w:hAnsi="Times New Roman"/>
          <w:i/>
          <w:iCs/>
          <w:sz w:val="24"/>
        </w:rPr>
        <w:t>Barre</w:t>
      </w:r>
      <w:r>
        <w:rPr>
          <w:rFonts w:ascii="Times New Roman" w:hAnsi="Times New Roman"/>
          <w:sz w:val="24"/>
        </w:rPr>
        <w:t> </w:t>
      </w:r>
      <w:r>
        <w:rPr>
          <w:rFonts w:ascii="Times New Roman" w:hAnsi="Times New Roman"/>
          <w:i/>
          <w:iCs/>
          <w:sz w:val="24"/>
        </w:rPr>
        <w:t>L</w:t>
      </w:r>
      <w:r>
        <w:rPr>
          <w:rFonts w:ascii="Times New Roman" w:hAnsi="Times New Roman"/>
          <w:sz w:val="24"/>
        </w:rPr>
        <w:t xml:space="preserve">, </w:t>
      </w:r>
      <w:r>
        <w:rPr>
          <w:rFonts w:ascii="Times New Roman" w:hAnsi="Times New Roman"/>
          <w:i/>
          <w:iCs/>
          <w:sz w:val="24"/>
        </w:rPr>
        <w:t>Jacxsens L</w:t>
      </w:r>
      <w:r>
        <w:rPr>
          <w:rFonts w:ascii="Times New Roman" w:hAnsi="Times New Roman"/>
          <w:sz w:val="24"/>
        </w:rPr>
        <w:t xml:space="preserve">, </w:t>
      </w:r>
      <w:r>
        <w:rPr>
          <w:rFonts w:ascii="Times New Roman" w:hAnsi="Times New Roman"/>
          <w:i/>
          <w:iCs/>
          <w:sz w:val="24"/>
        </w:rPr>
        <w:t>Liebana</w:t>
      </w:r>
      <w:r>
        <w:rPr>
          <w:rFonts w:ascii="Times New Roman" w:hAnsi="Times New Roman"/>
          <w:sz w:val="24"/>
        </w:rPr>
        <w:t> </w:t>
      </w:r>
      <w:r>
        <w:rPr>
          <w:rFonts w:ascii="Times New Roman" w:hAnsi="Times New Roman"/>
          <w:i/>
          <w:iCs/>
          <w:sz w:val="24"/>
        </w:rPr>
        <w:t>E</w:t>
      </w:r>
      <w:r>
        <w:rPr>
          <w:rFonts w:ascii="Times New Roman" w:hAnsi="Times New Roman"/>
          <w:sz w:val="24"/>
        </w:rPr>
        <w:t xml:space="preserve">, </w:t>
      </w:r>
      <w:r>
        <w:rPr>
          <w:rFonts w:ascii="Times New Roman" w:hAnsi="Times New Roman"/>
          <w:i/>
          <w:iCs/>
          <w:sz w:val="24"/>
        </w:rPr>
        <w:t>Messens</w:t>
      </w:r>
      <w:r>
        <w:rPr>
          <w:rFonts w:ascii="Times New Roman" w:hAnsi="Times New Roman"/>
          <w:sz w:val="24"/>
        </w:rPr>
        <w:t> </w:t>
      </w:r>
      <w:r>
        <w:rPr>
          <w:rFonts w:ascii="Times New Roman" w:hAnsi="Times New Roman"/>
          <w:i/>
          <w:iCs/>
          <w:sz w:val="24"/>
        </w:rPr>
        <w:t>W</w:t>
      </w:r>
      <w:r>
        <w:rPr>
          <w:rFonts w:ascii="Times New Roman" w:hAnsi="Times New Roman"/>
          <w:sz w:val="24"/>
        </w:rPr>
        <w:t xml:space="preserve">, </w:t>
      </w:r>
      <w:r>
        <w:rPr>
          <w:rFonts w:ascii="Times New Roman" w:hAnsi="Times New Roman"/>
          <w:i/>
          <w:iCs/>
          <w:sz w:val="24"/>
        </w:rPr>
        <w:t>Sarno E</w:t>
      </w:r>
      <w:r>
        <w:rPr>
          <w:rFonts w:ascii="Times New Roman" w:hAnsi="Times New Roman"/>
          <w:sz w:val="24"/>
        </w:rPr>
        <w:t xml:space="preserve">, </w:t>
      </w:r>
      <w:r>
        <w:rPr>
          <w:rFonts w:ascii="Times New Roman" w:hAnsi="Times New Roman"/>
          <w:i/>
          <w:iCs/>
          <w:sz w:val="24"/>
        </w:rPr>
        <w:t>da Silva Felicio MT</w:t>
      </w:r>
      <w:r>
        <w:rPr>
          <w:rFonts w:ascii="Times New Roman" w:hAnsi="Times New Roman"/>
          <w:sz w:val="24"/>
        </w:rPr>
        <w:t xml:space="preserve">, 2018. “Steidzama zinātniskā un tehniskā palīdzība, lai sniegtu ieteikumus par to, kā veicama paraugu ņemšana un testēšana saldētu dārzeņu ražotnēs </w:t>
      </w:r>
      <w:r>
        <w:rPr>
          <w:rFonts w:ascii="Times New Roman" w:hAnsi="Times New Roman"/>
          <w:i/>
          <w:iCs/>
          <w:sz w:val="24"/>
        </w:rPr>
        <w:t>Listeria monocytogenes</w:t>
      </w:r>
      <w:r>
        <w:rPr>
          <w:rFonts w:ascii="Times New Roman" w:hAnsi="Times New Roman"/>
          <w:sz w:val="24"/>
        </w:rPr>
        <w:t xml:space="preserve"> klātbūtnes noteikšanai”. </w:t>
      </w:r>
      <w:r>
        <w:rPr>
          <w:rFonts w:ascii="Times New Roman" w:hAnsi="Times New Roman"/>
          <w:i/>
          <w:iCs/>
          <w:sz w:val="24"/>
        </w:rPr>
        <w:t>EFSA</w:t>
      </w:r>
      <w:r>
        <w:rPr>
          <w:rFonts w:ascii="Times New Roman" w:hAnsi="Times New Roman"/>
          <w:sz w:val="24"/>
        </w:rPr>
        <w:t xml:space="preserve"> palīgpublikācija 2018:EN-1445. 41 lpp. doi – 10.2903/sp.efsa.2018.EN-1445</w:t>
      </w:r>
    </w:p>
    <w:p w:rsidR="001B6F3C" w:rsidRPr="001B6F3C" w:rsidRDefault="001B6F3C" w:rsidP="004650EF">
      <w:pPr>
        <w:pStyle w:val="BodyText"/>
        <w:ind w:left="0"/>
        <w:jc w:val="both"/>
        <w:rPr>
          <w:rFonts w:ascii="Times New Roman" w:hAnsi="Times New Roman"/>
          <w:noProof/>
          <w:sz w:val="24"/>
        </w:rPr>
      </w:pPr>
    </w:p>
    <w:p w:rsidR="00270842" w:rsidRPr="001B6F3C" w:rsidRDefault="00270842" w:rsidP="004650EF">
      <w:pPr>
        <w:jc w:val="both"/>
        <w:rPr>
          <w:rFonts w:ascii="Times New Roman" w:hAnsi="Times New Roman"/>
          <w:noProof/>
          <w:sz w:val="24"/>
        </w:rPr>
      </w:pPr>
      <w:r>
        <w:rPr>
          <w:rFonts w:ascii="Times New Roman" w:hAnsi="Times New Roman"/>
          <w:b/>
          <w:i/>
          <w:iCs/>
          <w:sz w:val="24"/>
        </w:rPr>
        <w:t>ISSN</w:t>
      </w:r>
      <w:r>
        <w:rPr>
          <w:rFonts w:ascii="Times New Roman" w:hAnsi="Times New Roman"/>
          <w:b/>
          <w:sz w:val="24"/>
        </w:rPr>
        <w:t xml:space="preserve">: </w:t>
      </w:r>
      <w:r>
        <w:rPr>
          <w:rFonts w:ascii="Times New Roman" w:hAnsi="Times New Roman"/>
          <w:sz w:val="24"/>
        </w:rPr>
        <w:t>2397-8325</w:t>
      </w:r>
    </w:p>
    <w:p w:rsidR="001B6F3C" w:rsidRPr="001B6F3C" w:rsidRDefault="001B6F3C" w:rsidP="004650EF">
      <w:pPr>
        <w:jc w:val="both"/>
        <w:rPr>
          <w:rFonts w:ascii="Times New Roman" w:eastAsia="Tahoma" w:hAnsi="Times New Roman" w:cs="Tahoma"/>
          <w:noProof/>
          <w:sz w:val="24"/>
          <w:szCs w:val="18"/>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Eiropas Pārtikas nekaitīguma iestāde, 2018.</w:t>
      </w: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Pavairošana ir atļauta, norādot dokumenta izcelsmi.</w:t>
      </w:r>
    </w:p>
    <w:p w:rsidR="001B6F3C" w:rsidRPr="001B6F3C" w:rsidRDefault="001B6F3C">
      <w:pPr>
        <w:rPr>
          <w:rFonts w:ascii="Times New Roman" w:hAnsi="Times New Roman"/>
          <w:noProof/>
          <w:sz w:val="24"/>
        </w:rPr>
      </w:pPr>
      <w:r>
        <w:br w:type="page"/>
      </w:r>
    </w:p>
    <w:p w:rsidR="00270842" w:rsidRPr="001B6F3C" w:rsidRDefault="00270842" w:rsidP="004650EF">
      <w:pPr>
        <w:jc w:val="both"/>
        <w:rPr>
          <w:rFonts w:ascii="Times New Roman" w:eastAsia="Calibri" w:hAnsi="Times New Roman" w:cs="Calibri"/>
          <w:noProof/>
          <w:sz w:val="24"/>
          <w:szCs w:val="27"/>
        </w:rPr>
      </w:pPr>
    </w:p>
    <w:p w:rsidR="00270842" w:rsidRPr="00BE1F35" w:rsidRDefault="00270842" w:rsidP="004650EF">
      <w:pPr>
        <w:jc w:val="both"/>
        <w:rPr>
          <w:rFonts w:ascii="Times New Roman" w:hAnsi="Times New Roman"/>
          <w:b/>
          <w:noProof/>
          <w:sz w:val="28"/>
          <w:szCs w:val="28"/>
        </w:rPr>
      </w:pPr>
      <w:r w:rsidRPr="00BE1F35">
        <w:rPr>
          <w:rFonts w:ascii="Times New Roman" w:hAnsi="Times New Roman"/>
          <w:b/>
          <w:sz w:val="28"/>
          <w:szCs w:val="28"/>
        </w:rPr>
        <w:t>Saturs</w:t>
      </w:r>
    </w:p>
    <w:p w:rsidR="009148C2" w:rsidRPr="00BE1F35" w:rsidRDefault="009148C2" w:rsidP="00BE1F35">
      <w:pPr>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val="lv-LV"/>
        </w:rPr>
        <w:id w:val="684559185"/>
        <w:docPartObj>
          <w:docPartGallery w:val="Table of Contents"/>
          <w:docPartUnique/>
        </w:docPartObj>
      </w:sdtPr>
      <w:sdtEndPr>
        <w:rPr>
          <w:b/>
          <w:bCs/>
          <w:noProof/>
        </w:rPr>
      </w:sdtEndPr>
      <w:sdtContent>
        <w:p w:rsidR="00BE1F35" w:rsidRPr="00531598" w:rsidRDefault="00BE1F35" w:rsidP="00BE1F35">
          <w:pPr>
            <w:pStyle w:val="TOCHeading"/>
            <w:keepNext w:val="0"/>
            <w:keepLines w:val="0"/>
            <w:widowControl w:val="0"/>
            <w:spacing w:before="0" w:line="240" w:lineRule="auto"/>
            <w:rPr>
              <w:rFonts w:ascii="Times New Roman" w:hAnsi="Times New Roman" w:cs="Times New Roman"/>
              <w:color w:val="auto"/>
              <w:sz w:val="24"/>
              <w:szCs w:val="24"/>
            </w:rPr>
          </w:pPr>
        </w:p>
        <w:p w:rsidR="00BE1F35" w:rsidRPr="00BE1F35" w:rsidRDefault="009148C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r w:rsidRPr="00BE1F35">
            <w:rPr>
              <w:rFonts w:ascii="Times New Roman" w:hAnsi="Times New Roman" w:cs="Times New Roman"/>
              <w:sz w:val="24"/>
              <w:szCs w:val="24"/>
            </w:rPr>
            <w:fldChar w:fldCharType="begin"/>
          </w:r>
          <w:r w:rsidRPr="00BE1F35">
            <w:rPr>
              <w:rFonts w:ascii="Times New Roman" w:hAnsi="Times New Roman" w:cs="Times New Roman"/>
              <w:sz w:val="24"/>
              <w:szCs w:val="24"/>
            </w:rPr>
            <w:instrText xml:space="preserve"> TOC \o "1-3" \h \z \u </w:instrText>
          </w:r>
          <w:r w:rsidRPr="00BE1F35">
            <w:rPr>
              <w:rFonts w:ascii="Times New Roman" w:hAnsi="Times New Roman" w:cs="Times New Roman"/>
              <w:sz w:val="24"/>
              <w:szCs w:val="24"/>
            </w:rPr>
            <w:fldChar w:fldCharType="separate"/>
          </w:r>
          <w:hyperlink w:anchor="_Toc37931367" w:history="1">
            <w:r w:rsidR="00BE1F35" w:rsidRPr="00BE1F35">
              <w:rPr>
                <w:rStyle w:val="Hyperlink"/>
                <w:rFonts w:ascii="Times New Roman" w:hAnsi="Times New Roman" w:cs="Times New Roman"/>
                <w:noProof/>
                <w:sz w:val="24"/>
                <w:szCs w:val="24"/>
              </w:rPr>
              <w:t>Kopsavilkums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_Toc37931367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2</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68" w:history="1">
            <w:r w:rsidR="00BE1F35" w:rsidRPr="00BE1F35">
              <w:rPr>
                <w:rStyle w:val="Hyperlink"/>
                <w:rFonts w:ascii="Times New Roman" w:hAnsi="Times New Roman" w:cs="Times New Roman"/>
                <w:noProof/>
                <w:sz w:val="24"/>
                <w:szCs w:val="24"/>
              </w:rPr>
              <w:t>1. Ievads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_Toc37931368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6</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69" w:history="1">
            <w:r w:rsidR="00BE1F35" w:rsidRPr="00BE1F35">
              <w:rPr>
                <w:rStyle w:val="Hyperlink"/>
                <w:rFonts w:ascii="Times New Roman" w:hAnsi="Times New Roman" w:cs="Times New Roman"/>
                <w:noProof/>
                <w:sz w:val="24"/>
                <w:szCs w:val="24"/>
              </w:rPr>
              <w:t>1.1. Pieprasījuma iesniedzēja sniegtā pamatinformācija un darba uzdevums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_Toc37931369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6</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70" w:history="1">
            <w:r w:rsidR="00BE1F35" w:rsidRPr="00BE1F35">
              <w:rPr>
                <w:rStyle w:val="Hyperlink"/>
                <w:rFonts w:ascii="Times New Roman" w:hAnsi="Times New Roman" w:cs="Times New Roman"/>
                <w:noProof/>
                <w:sz w:val="24"/>
                <w:szCs w:val="24"/>
              </w:rPr>
              <w:t>1.2. Darba uzdevuma interpretācija</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_Toc37931370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6</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71" w:history="1">
            <w:r w:rsidR="00BE1F35" w:rsidRPr="00BE1F35">
              <w:rPr>
                <w:rStyle w:val="Hyperlink"/>
                <w:rFonts w:ascii="Times New Roman" w:hAnsi="Times New Roman" w:cs="Times New Roman"/>
                <w:noProof/>
                <w:sz w:val="24"/>
                <w:szCs w:val="24"/>
              </w:rPr>
              <w:t>2. Dati un metodoloģijas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_Toc37931371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7</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72" w:history="1">
            <w:r w:rsidR="00BE1F35" w:rsidRPr="00BE1F35">
              <w:rPr>
                <w:rStyle w:val="Hyperlink"/>
                <w:rFonts w:ascii="Times New Roman" w:hAnsi="Times New Roman" w:cs="Times New Roman"/>
                <w:noProof/>
                <w:sz w:val="24"/>
                <w:szCs w:val="24"/>
              </w:rPr>
              <w:t>2.1. Dati</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_Toc37931372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7</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73" w:history="1">
            <w:r w:rsidR="00BE1F35" w:rsidRPr="00BE1F35">
              <w:rPr>
                <w:rStyle w:val="Hyperlink"/>
                <w:rFonts w:ascii="Times New Roman" w:hAnsi="Times New Roman" w:cs="Times New Roman"/>
                <w:noProof/>
                <w:sz w:val="24"/>
                <w:szCs w:val="24"/>
              </w:rPr>
              <w:t>2.2. Metodoloģija</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_Toc37931373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8</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74" w:history="1">
            <w:r w:rsidR="00BE1F35" w:rsidRPr="00BE1F35">
              <w:rPr>
                <w:rStyle w:val="Hyperlink"/>
                <w:rFonts w:ascii="Times New Roman" w:hAnsi="Times New Roman" w:cs="Times New Roman"/>
                <w:noProof/>
                <w:sz w:val="24"/>
                <w:szCs w:val="24"/>
              </w:rPr>
              <w:t>3. Novērtējums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_Toc37931374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8</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75" w:history="1">
            <w:r w:rsidR="00BE1F35" w:rsidRPr="00BE1F35">
              <w:rPr>
                <w:rStyle w:val="Hyperlink"/>
                <w:rFonts w:ascii="Times New Roman" w:hAnsi="Times New Roman" w:cs="Times New Roman"/>
                <w:noProof/>
                <w:sz w:val="24"/>
                <w:szCs w:val="24"/>
              </w:rPr>
              <w:t>3.1. Saldētu augļu, dārzeņu vai garšaugu (ADG) ražošana</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_Toc37931375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8</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76" w:history="1">
            <w:r w:rsidR="00BE1F35" w:rsidRPr="00BE1F35">
              <w:rPr>
                <w:rStyle w:val="Hyperlink"/>
                <w:rFonts w:ascii="Times New Roman" w:hAnsi="Times New Roman" w:cs="Times New Roman"/>
                <w:noProof/>
                <w:sz w:val="24"/>
                <w:szCs w:val="24"/>
              </w:rPr>
              <w:t>3.2. Saldētu ADG ražošanas posmi</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_Toc37931376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9</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77" w:history="1">
            <w:r w:rsidR="00BE1F35" w:rsidRPr="00BE1F35">
              <w:rPr>
                <w:rStyle w:val="Hyperlink"/>
                <w:rFonts w:ascii="Times New Roman" w:hAnsi="Times New Roman" w:cs="Times New Roman"/>
                <w:noProof/>
                <w:sz w:val="24"/>
                <w:szCs w:val="24"/>
              </w:rPr>
              <w:t>3.2.1. Saņemšanas, šķirošanas un sākotnējās sagatavošanas posmi</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_Toc37931377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12</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78" w:history="1">
            <w:r w:rsidR="00BE1F35" w:rsidRPr="00BE1F35">
              <w:rPr>
                <w:rStyle w:val="Hyperlink"/>
                <w:rFonts w:ascii="Times New Roman" w:hAnsi="Times New Roman" w:cs="Times New Roman"/>
                <w:noProof/>
                <w:sz w:val="24"/>
                <w:szCs w:val="24"/>
              </w:rPr>
              <w:t>3.2.2. Mazgāšana</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_Toc37931378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13</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79" w:history="1">
            <w:r w:rsidR="00BE1F35" w:rsidRPr="00BE1F35">
              <w:rPr>
                <w:rStyle w:val="Hyperlink"/>
                <w:rFonts w:ascii="Times New Roman" w:hAnsi="Times New Roman" w:cs="Times New Roman"/>
                <w:noProof/>
                <w:sz w:val="24"/>
                <w:szCs w:val="24"/>
              </w:rPr>
              <w:t>3.2.3. Blanšēšana</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_Toc37931379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14</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80" w:history="1">
            <w:r w:rsidR="00BE1F35" w:rsidRPr="00BE1F35">
              <w:rPr>
                <w:rStyle w:val="Hyperlink"/>
                <w:rFonts w:ascii="Times New Roman" w:hAnsi="Times New Roman" w:cs="Times New Roman"/>
                <w:noProof/>
                <w:sz w:val="24"/>
                <w:szCs w:val="24"/>
              </w:rPr>
              <w:t>3.2.4. Atdzesēšana</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_Toc37931380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15</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81" w:history="1">
            <w:r w:rsidR="00BE1F35" w:rsidRPr="00BE1F35">
              <w:rPr>
                <w:rStyle w:val="Hyperlink"/>
                <w:rFonts w:ascii="Times New Roman" w:hAnsi="Times New Roman" w:cs="Times New Roman"/>
                <w:noProof/>
                <w:sz w:val="24"/>
                <w:szCs w:val="24"/>
              </w:rPr>
              <w:t>3.2.5. Darbības, kas samazina izmēru, pēc blanšēšanas vai mazgāšanas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_Toc37931381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16</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82" w:history="1">
            <w:r w:rsidR="00BE1F35" w:rsidRPr="00BE1F35">
              <w:rPr>
                <w:rStyle w:val="Hyperlink"/>
                <w:rFonts w:ascii="Times New Roman" w:hAnsi="Times New Roman" w:cs="Times New Roman"/>
                <w:noProof/>
                <w:sz w:val="24"/>
                <w:szCs w:val="24"/>
              </w:rPr>
              <w:t>3.2.6. Sasaldēšana</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_Toc37931382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16</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83" w:history="1">
            <w:r w:rsidR="00BE1F35" w:rsidRPr="00BE1F35">
              <w:rPr>
                <w:rStyle w:val="Hyperlink"/>
                <w:rFonts w:ascii="Times New Roman" w:hAnsi="Times New Roman" w:cs="Times New Roman"/>
                <w:noProof/>
                <w:sz w:val="24"/>
                <w:szCs w:val="24"/>
              </w:rPr>
              <w:t>3.2.7. Iepakošana (vai pārpakošana)</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_Toc37931383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16</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84" w:history="1">
            <w:r w:rsidR="00BE1F35" w:rsidRPr="00BE1F35">
              <w:rPr>
                <w:rStyle w:val="Hyperlink"/>
                <w:rFonts w:ascii="Times New Roman" w:hAnsi="Times New Roman" w:cs="Times New Roman"/>
                <w:noProof/>
                <w:sz w:val="24"/>
                <w:szCs w:val="24"/>
              </w:rPr>
              <w:t>3.2.8. Uzglabāšana sasaldētā stāvoklī un darbības apstrādes un pārkraušanas vietās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_Toc37931384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17</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85" w:history="1">
            <w:r w:rsidR="00BE1F35" w:rsidRPr="00BE1F35">
              <w:rPr>
                <w:rStyle w:val="Hyperlink"/>
                <w:rFonts w:ascii="Times New Roman" w:hAnsi="Times New Roman" w:cs="Times New Roman"/>
                <w:noProof/>
                <w:sz w:val="24"/>
                <w:szCs w:val="24"/>
              </w:rPr>
              <w:t xml:space="preserve">3.3. Riska faktori </w:t>
            </w:r>
            <w:r w:rsidR="00BE1F35" w:rsidRPr="00BE1F35">
              <w:rPr>
                <w:rStyle w:val="Hyperlink"/>
                <w:rFonts w:ascii="Times New Roman" w:hAnsi="Times New Roman" w:cs="Times New Roman"/>
                <w:i/>
                <w:iCs/>
                <w:noProof/>
                <w:sz w:val="24"/>
                <w:szCs w:val="24"/>
              </w:rPr>
              <w:t>L. monocytogenes</w:t>
            </w:r>
            <w:r w:rsidR="00BE1F35" w:rsidRPr="00BE1F35">
              <w:rPr>
                <w:rStyle w:val="Hyperlink"/>
                <w:rFonts w:ascii="Times New Roman" w:hAnsi="Times New Roman" w:cs="Times New Roman"/>
                <w:noProof/>
                <w:sz w:val="24"/>
                <w:szCs w:val="24"/>
              </w:rPr>
              <w:t xml:space="preserve"> piesārņojumam saldētos ADG</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_Toc37931385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17</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86" w:history="1">
            <w:r w:rsidR="00BE1F35" w:rsidRPr="00BE1F35">
              <w:rPr>
                <w:rStyle w:val="Hyperlink"/>
                <w:rFonts w:ascii="Times New Roman" w:hAnsi="Times New Roman" w:cs="Times New Roman"/>
                <w:noProof/>
                <w:sz w:val="24"/>
                <w:szCs w:val="24"/>
              </w:rPr>
              <w:t>3.3.1. Ražošanas veids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_Toc37931386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20</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87" w:history="1">
            <w:r w:rsidR="00BE1F35" w:rsidRPr="00BE1F35">
              <w:rPr>
                <w:rStyle w:val="Hyperlink"/>
                <w:rFonts w:ascii="Times New Roman" w:hAnsi="Times New Roman" w:cs="Times New Roman"/>
                <w:noProof/>
                <w:sz w:val="24"/>
                <w:szCs w:val="24"/>
              </w:rPr>
              <w:t>3.3.2. Svaigi ADG un citas sastāvdaļas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_Toc37931387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21</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88" w:history="1">
            <w:r w:rsidR="00BE1F35" w:rsidRPr="00BE1F35">
              <w:rPr>
                <w:rStyle w:val="Hyperlink"/>
                <w:rFonts w:ascii="Times New Roman" w:hAnsi="Times New Roman" w:cs="Times New Roman"/>
                <w:noProof/>
                <w:sz w:val="24"/>
                <w:szCs w:val="24"/>
              </w:rPr>
              <w:t>3.3.3. Virsmas, kas nonāk saskarē ar pārtiku, un citas kontaktvirsmas saldētavās un apstrādes un pārkraušanas vietās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_Toc37931388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21</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89" w:history="1">
            <w:r w:rsidR="00BE1F35" w:rsidRPr="00BE1F35">
              <w:rPr>
                <w:rStyle w:val="Hyperlink"/>
                <w:rFonts w:ascii="Times New Roman" w:hAnsi="Times New Roman" w:cs="Times New Roman"/>
                <w:noProof/>
                <w:sz w:val="24"/>
                <w:szCs w:val="24"/>
              </w:rPr>
              <w:t>3.3.3.1. Bioplēves un noturīgas šūnas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_Toc37931389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22</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90" w:history="1">
            <w:r w:rsidR="00BE1F35" w:rsidRPr="00BE1F35">
              <w:rPr>
                <w:rStyle w:val="Hyperlink"/>
                <w:rFonts w:ascii="Times New Roman" w:hAnsi="Times New Roman" w:cs="Times New Roman"/>
                <w:noProof/>
                <w:sz w:val="24"/>
                <w:szCs w:val="24"/>
              </w:rPr>
              <w:t>3.3.3.2. Gaiss, mitrums, kondensāts un aerosola daļiņas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_Toc37931390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23</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91" w:history="1">
            <w:r w:rsidR="00BE1F35" w:rsidRPr="00BE1F35">
              <w:rPr>
                <w:rStyle w:val="Hyperlink"/>
                <w:rFonts w:ascii="Times New Roman" w:hAnsi="Times New Roman" w:cs="Times New Roman"/>
                <w:noProof/>
                <w:sz w:val="24"/>
                <w:szCs w:val="24"/>
              </w:rPr>
              <w:t>3.3.4. Saldētavās un apstrādes un pārkraušanas vietās izmantotā ūdens kvalitāte</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_Toc37931391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23</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92" w:history="1">
            <w:r w:rsidR="00BE1F35" w:rsidRPr="00BE1F35">
              <w:rPr>
                <w:rStyle w:val="Hyperlink"/>
                <w:rFonts w:ascii="Times New Roman" w:hAnsi="Times New Roman" w:cs="Times New Roman"/>
                <w:noProof/>
                <w:sz w:val="24"/>
                <w:szCs w:val="24"/>
              </w:rPr>
              <w:t>3.3.5. Darbinieku rīcība</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_Toc37931392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24</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93" w:history="1">
            <w:r w:rsidR="00BE1F35" w:rsidRPr="00BE1F35">
              <w:rPr>
                <w:rStyle w:val="Hyperlink"/>
                <w:rFonts w:ascii="Times New Roman" w:hAnsi="Times New Roman" w:cs="Times New Roman"/>
                <w:noProof/>
                <w:sz w:val="24"/>
                <w:szCs w:val="24"/>
              </w:rPr>
              <w:t>3.3.6. Barjeru neesamība starp svaigajiem un saldētajiem ADG un ražošanas zonām</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_Toc37931393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25</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94" w:history="1">
            <w:r w:rsidR="00BE1F35" w:rsidRPr="00BE1F35">
              <w:rPr>
                <w:rStyle w:val="Hyperlink"/>
                <w:rFonts w:ascii="Times New Roman" w:hAnsi="Times New Roman" w:cs="Times New Roman"/>
                <w:noProof/>
                <w:sz w:val="24"/>
                <w:szCs w:val="24"/>
              </w:rPr>
              <w:t xml:space="preserve">3.4. </w:t>
            </w:r>
            <w:r w:rsidR="00BE1F35" w:rsidRPr="00BE1F35">
              <w:rPr>
                <w:rStyle w:val="Hyperlink"/>
                <w:rFonts w:ascii="Times New Roman" w:hAnsi="Times New Roman" w:cs="Times New Roman"/>
                <w:i/>
                <w:noProof/>
                <w:sz w:val="24"/>
                <w:szCs w:val="24"/>
              </w:rPr>
              <w:t>L. monocytogenes</w:t>
            </w:r>
            <w:r w:rsidR="00BE1F35" w:rsidRPr="00BE1F35">
              <w:rPr>
                <w:rStyle w:val="Hyperlink"/>
                <w:rFonts w:ascii="Times New Roman" w:hAnsi="Times New Roman" w:cs="Times New Roman"/>
                <w:noProof/>
                <w:sz w:val="24"/>
                <w:szCs w:val="24"/>
              </w:rPr>
              <w:t xml:space="preserve"> monitorings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_Toc37931394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25</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95" w:history="1">
            <w:r w:rsidR="00BE1F35" w:rsidRPr="00BE1F35">
              <w:rPr>
                <w:rStyle w:val="Hyperlink"/>
                <w:rFonts w:ascii="Times New Roman" w:hAnsi="Times New Roman" w:cs="Times New Roman"/>
                <w:noProof/>
                <w:sz w:val="24"/>
                <w:szCs w:val="24"/>
              </w:rPr>
              <w:t>3.4.1. Vispārējie apsvērumi bakterioloģiskai testēšanai</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_Toc37931395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30</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96" w:history="1">
            <w:r w:rsidR="00BE1F35" w:rsidRPr="00BE1F35">
              <w:rPr>
                <w:rStyle w:val="Hyperlink"/>
                <w:rFonts w:ascii="Times New Roman" w:hAnsi="Times New Roman" w:cs="Times New Roman"/>
                <w:noProof/>
                <w:sz w:val="24"/>
                <w:szCs w:val="24"/>
              </w:rPr>
              <w:t xml:space="preserve">3.4.2. </w:t>
            </w:r>
            <w:r w:rsidR="00BE1F35" w:rsidRPr="00BE1F35">
              <w:rPr>
                <w:rStyle w:val="Hyperlink"/>
                <w:rFonts w:ascii="Times New Roman" w:hAnsi="Times New Roman" w:cs="Times New Roman"/>
                <w:i/>
                <w:iCs/>
                <w:noProof/>
                <w:sz w:val="24"/>
                <w:szCs w:val="24"/>
              </w:rPr>
              <w:t>L. monocytogenes</w:t>
            </w:r>
            <w:r w:rsidR="00BE1F35" w:rsidRPr="00BE1F35">
              <w:rPr>
                <w:rStyle w:val="Hyperlink"/>
                <w:rFonts w:ascii="Times New Roman" w:hAnsi="Times New Roman" w:cs="Times New Roman"/>
                <w:noProof/>
                <w:sz w:val="24"/>
                <w:szCs w:val="24"/>
              </w:rPr>
              <w:t xml:space="preserve"> noteikšana svaigos un saldētos ADG</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_Toc37931396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30</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97" w:history="1">
            <w:r w:rsidR="00BE1F35" w:rsidRPr="00BE1F35">
              <w:rPr>
                <w:rStyle w:val="Hyperlink"/>
                <w:rFonts w:ascii="Times New Roman" w:hAnsi="Times New Roman" w:cs="Times New Roman"/>
                <w:noProof/>
                <w:sz w:val="24"/>
                <w:szCs w:val="24"/>
              </w:rPr>
              <w:t>3.4.2.1. Pārtikas paraugu ņemšanas procedūra</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_Toc37931397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30</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98" w:history="1">
            <w:r w:rsidR="00BE1F35" w:rsidRPr="00BE1F35">
              <w:rPr>
                <w:rStyle w:val="Hyperlink"/>
                <w:rFonts w:ascii="Times New Roman" w:hAnsi="Times New Roman" w:cs="Times New Roman"/>
                <w:noProof/>
                <w:sz w:val="24"/>
                <w:szCs w:val="24"/>
              </w:rPr>
              <w:t>3.4.2.2. Sākotnējās suspensijas sagatavošana</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_Toc37931398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30</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399" w:history="1">
            <w:r w:rsidR="00BE1F35" w:rsidRPr="00BE1F35">
              <w:rPr>
                <w:rStyle w:val="Hyperlink"/>
                <w:rFonts w:ascii="Times New Roman" w:hAnsi="Times New Roman" w:cs="Times New Roman"/>
                <w:noProof/>
                <w:sz w:val="24"/>
                <w:szCs w:val="24"/>
              </w:rPr>
              <w:t xml:space="preserve">3.4.2.3. Mikrobioloģiskās metodes </w:t>
            </w:r>
            <w:r w:rsidR="00BE1F35" w:rsidRPr="00BE1F35">
              <w:rPr>
                <w:rStyle w:val="Hyperlink"/>
                <w:rFonts w:ascii="Times New Roman" w:hAnsi="Times New Roman" w:cs="Times New Roman"/>
                <w:i/>
                <w:iCs/>
                <w:noProof/>
                <w:sz w:val="24"/>
                <w:szCs w:val="24"/>
              </w:rPr>
              <w:t>L. monocytogenes</w:t>
            </w:r>
            <w:r w:rsidR="00BE1F35" w:rsidRPr="00BE1F35">
              <w:rPr>
                <w:rStyle w:val="Hyperlink"/>
                <w:rFonts w:ascii="Times New Roman" w:hAnsi="Times New Roman" w:cs="Times New Roman"/>
                <w:noProof/>
                <w:sz w:val="24"/>
                <w:szCs w:val="24"/>
              </w:rPr>
              <w:t xml:space="preserve"> klātbūtnes noteikšanai un uzskaitīšanai svaigos ADG un saldētos ADG produktos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_Toc37931399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31</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400" w:history="1">
            <w:r w:rsidR="00BE1F35" w:rsidRPr="00BE1F35">
              <w:rPr>
                <w:rStyle w:val="Hyperlink"/>
                <w:rFonts w:ascii="Times New Roman" w:hAnsi="Times New Roman" w:cs="Times New Roman"/>
                <w:noProof/>
                <w:sz w:val="24"/>
                <w:szCs w:val="24"/>
              </w:rPr>
              <w:t xml:space="preserve">3.4.3. </w:t>
            </w:r>
            <w:r w:rsidR="00BE1F35" w:rsidRPr="00BE1F35">
              <w:rPr>
                <w:rStyle w:val="Hyperlink"/>
                <w:rFonts w:ascii="Times New Roman" w:hAnsi="Times New Roman" w:cs="Times New Roman"/>
                <w:i/>
                <w:noProof/>
                <w:sz w:val="24"/>
                <w:szCs w:val="24"/>
              </w:rPr>
              <w:t>L. monocytogenes</w:t>
            </w:r>
            <w:r w:rsidR="00BE1F35" w:rsidRPr="00BE1F35">
              <w:rPr>
                <w:rStyle w:val="Hyperlink"/>
                <w:rFonts w:ascii="Times New Roman" w:hAnsi="Times New Roman" w:cs="Times New Roman"/>
                <w:noProof/>
                <w:sz w:val="24"/>
                <w:szCs w:val="24"/>
              </w:rPr>
              <w:t xml:space="preserve"> monitorings ADG saldētavu un apstrādes un pārkraušanas vietu vidē (tostarp apstrādei izmantotajā ūdenī)</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_Toc37931400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32</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401" w:history="1">
            <w:r w:rsidR="00BE1F35" w:rsidRPr="00BE1F35">
              <w:rPr>
                <w:rStyle w:val="Hyperlink"/>
                <w:rFonts w:ascii="Times New Roman" w:hAnsi="Times New Roman" w:cs="Times New Roman"/>
                <w:noProof/>
                <w:sz w:val="24"/>
                <w:szCs w:val="24"/>
              </w:rPr>
              <w:t>3.4.3.1. Paraugu ņemšanas procedūra no kontaktvirsmām, kas ir saskarē ar pārtiku, un citām kontaktvirsmām (EN ISO 18593)</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_Toc37931401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32</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402" w:history="1">
            <w:r w:rsidR="00BE1F35" w:rsidRPr="00BE1F35">
              <w:rPr>
                <w:rStyle w:val="Hyperlink"/>
                <w:rFonts w:ascii="Times New Roman" w:hAnsi="Times New Roman" w:cs="Times New Roman"/>
                <w:noProof/>
                <w:sz w:val="24"/>
                <w:szCs w:val="24"/>
              </w:rPr>
              <w:t>3.4.3.2. Paraugu ņemšanas procedūra no apstrādē izmantotā ūdens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_Toc37931402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35</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403" w:history="1">
            <w:r w:rsidR="00BE1F35" w:rsidRPr="00BE1F35">
              <w:rPr>
                <w:rStyle w:val="Hyperlink"/>
                <w:rFonts w:ascii="Times New Roman" w:hAnsi="Times New Roman" w:cs="Times New Roman"/>
                <w:noProof/>
                <w:sz w:val="24"/>
                <w:szCs w:val="24"/>
              </w:rPr>
              <w:t>3.4.3.3. Paraugu uzglabāšana un pārvadāšana</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_Toc37931403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36</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404" w:history="1">
            <w:r w:rsidR="00BE1F35" w:rsidRPr="00BE1F35">
              <w:rPr>
                <w:rStyle w:val="Hyperlink"/>
                <w:rFonts w:ascii="Times New Roman" w:hAnsi="Times New Roman" w:cs="Times New Roman"/>
                <w:noProof/>
                <w:sz w:val="24"/>
                <w:szCs w:val="24"/>
              </w:rPr>
              <w:t>3.4.3.4. Mikrobioloģiskās metodes vides paraugu (ieskaitot apstrādē izmantotā ūdens) analīzei</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_Toc37931404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36</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405" w:history="1">
            <w:r w:rsidR="00BE1F35" w:rsidRPr="00BE1F35">
              <w:rPr>
                <w:rStyle w:val="Hyperlink"/>
                <w:rFonts w:ascii="Times New Roman" w:hAnsi="Times New Roman" w:cs="Times New Roman"/>
                <w:noProof/>
                <w:sz w:val="24"/>
                <w:szCs w:val="24"/>
              </w:rPr>
              <w:t xml:space="preserve">3.4.4. Alternatīvas metodes </w:t>
            </w:r>
            <w:r w:rsidR="00BE1F35" w:rsidRPr="00BE1F35">
              <w:rPr>
                <w:rStyle w:val="Hyperlink"/>
                <w:rFonts w:ascii="Times New Roman" w:hAnsi="Times New Roman" w:cs="Times New Roman"/>
                <w:i/>
                <w:iCs/>
                <w:noProof/>
                <w:sz w:val="24"/>
                <w:szCs w:val="24"/>
              </w:rPr>
              <w:t>L. monocytogenes</w:t>
            </w:r>
            <w:r w:rsidR="00BE1F35" w:rsidRPr="00BE1F35">
              <w:rPr>
                <w:rStyle w:val="Hyperlink"/>
                <w:rFonts w:ascii="Times New Roman" w:hAnsi="Times New Roman" w:cs="Times New Roman"/>
                <w:noProof/>
                <w:sz w:val="24"/>
                <w:szCs w:val="24"/>
              </w:rPr>
              <w:t xml:space="preserve"> klātbūtnes noteikšanai</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_Toc37931405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36</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406" w:history="1">
            <w:r w:rsidR="00BE1F35" w:rsidRPr="00BE1F35">
              <w:rPr>
                <w:rStyle w:val="Hyperlink"/>
                <w:rFonts w:ascii="Times New Roman" w:hAnsi="Times New Roman" w:cs="Times New Roman"/>
                <w:noProof/>
                <w:sz w:val="24"/>
                <w:szCs w:val="24"/>
              </w:rPr>
              <w:t xml:space="preserve">3.4.5. </w:t>
            </w:r>
            <w:r w:rsidR="00BE1F35" w:rsidRPr="00BE1F35">
              <w:rPr>
                <w:rStyle w:val="Hyperlink"/>
                <w:rFonts w:ascii="Times New Roman" w:hAnsi="Times New Roman" w:cs="Times New Roman"/>
                <w:i/>
                <w:iCs/>
                <w:noProof/>
                <w:sz w:val="24"/>
                <w:szCs w:val="24"/>
              </w:rPr>
              <w:t>L. monocytogenes</w:t>
            </w:r>
            <w:r w:rsidR="00BE1F35" w:rsidRPr="00BE1F35">
              <w:rPr>
                <w:rStyle w:val="Hyperlink"/>
                <w:rFonts w:ascii="Times New Roman" w:hAnsi="Times New Roman" w:cs="Times New Roman"/>
                <w:noProof/>
                <w:sz w:val="24"/>
                <w:szCs w:val="24"/>
              </w:rPr>
              <w:t xml:space="preserve"> izolātu raksturojums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_Toc37931406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37</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407" w:history="1">
            <w:r w:rsidR="00BE1F35" w:rsidRPr="00BE1F35">
              <w:rPr>
                <w:rStyle w:val="Hyperlink"/>
                <w:rFonts w:ascii="Times New Roman" w:hAnsi="Times New Roman" w:cs="Times New Roman"/>
                <w:noProof/>
                <w:sz w:val="24"/>
                <w:szCs w:val="24"/>
              </w:rPr>
              <w:t>4. Secinājumi un ieteikumi</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_Toc37931407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38</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408" w:history="1">
            <w:r w:rsidR="00BE1F35" w:rsidRPr="00BE1F35">
              <w:rPr>
                <w:rStyle w:val="Hyperlink"/>
                <w:rFonts w:ascii="Times New Roman" w:hAnsi="Times New Roman" w:cs="Times New Roman"/>
                <w:noProof/>
                <w:sz w:val="24"/>
                <w:szCs w:val="24"/>
              </w:rPr>
              <w:t>Atsauces</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_Toc37931408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41</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409" w:history="1">
            <w:r w:rsidR="00BE1F35" w:rsidRPr="00BE1F35">
              <w:rPr>
                <w:rStyle w:val="Hyperlink"/>
                <w:rFonts w:ascii="Times New Roman" w:hAnsi="Times New Roman" w:cs="Times New Roman"/>
                <w:noProof/>
                <w:sz w:val="24"/>
                <w:szCs w:val="24"/>
              </w:rPr>
              <w:t>Saīsinājumi</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_Toc37931409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48</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410" w:history="1">
            <w:r w:rsidR="00BE1F35" w:rsidRPr="00BE1F35">
              <w:rPr>
                <w:rStyle w:val="Hyperlink"/>
                <w:rFonts w:ascii="Times New Roman" w:hAnsi="Times New Roman" w:cs="Times New Roman"/>
                <w:noProof/>
                <w:sz w:val="24"/>
                <w:szCs w:val="24"/>
              </w:rPr>
              <w:t xml:space="preserve">A pielikums. Pārskats par sertificēšanas iestādes </w:t>
            </w:r>
            <w:r w:rsidR="00BE1F35" w:rsidRPr="00BE1F35">
              <w:rPr>
                <w:rStyle w:val="Hyperlink"/>
                <w:rFonts w:ascii="Times New Roman" w:hAnsi="Times New Roman" w:cs="Times New Roman"/>
                <w:i/>
                <w:iCs/>
                <w:noProof/>
                <w:sz w:val="24"/>
                <w:szCs w:val="24"/>
              </w:rPr>
              <w:t>Afnor Validation</w:t>
            </w:r>
            <w:r w:rsidR="00BE1F35" w:rsidRPr="00BE1F35">
              <w:rPr>
                <w:rStyle w:val="Hyperlink"/>
                <w:rFonts w:ascii="Times New Roman" w:hAnsi="Times New Roman" w:cs="Times New Roman"/>
                <w:noProof/>
                <w:sz w:val="24"/>
                <w:szCs w:val="24"/>
              </w:rPr>
              <w:t xml:space="preserve"> sertificētajām alternatīvajām metodēm </w:t>
            </w:r>
            <w:r w:rsidR="00BE1F35" w:rsidRPr="00BE1F35">
              <w:rPr>
                <w:rStyle w:val="Hyperlink"/>
                <w:rFonts w:ascii="Times New Roman" w:hAnsi="Times New Roman" w:cs="Times New Roman"/>
                <w:i/>
                <w:noProof/>
                <w:sz w:val="24"/>
                <w:szCs w:val="24"/>
              </w:rPr>
              <w:t xml:space="preserve">L. monocytogenes </w:t>
            </w:r>
            <w:r w:rsidR="00BE1F35" w:rsidRPr="00BE1F35">
              <w:rPr>
                <w:rStyle w:val="Hyperlink"/>
                <w:rFonts w:ascii="Times New Roman" w:hAnsi="Times New Roman" w:cs="Times New Roman"/>
                <w:noProof/>
                <w:sz w:val="24"/>
                <w:szCs w:val="24"/>
              </w:rPr>
              <w:t>noteikšanai saldētu ADG saldētavu un apstrādes un pārkraušanas vietu vidē</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_Toc37931410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49</w:t>
            </w:r>
            <w:r w:rsidR="00BE1F35" w:rsidRPr="00BE1F35">
              <w:rPr>
                <w:rFonts w:ascii="Times New Roman" w:hAnsi="Times New Roman" w:cs="Times New Roman"/>
                <w:noProof/>
                <w:webHidden/>
                <w:sz w:val="24"/>
                <w:szCs w:val="24"/>
              </w:rPr>
              <w:fldChar w:fldCharType="end"/>
            </w:r>
          </w:hyperlink>
        </w:p>
        <w:p w:rsidR="00BE1F35" w:rsidRPr="00BE1F35" w:rsidRDefault="00EF22E2" w:rsidP="00BE1F35">
          <w:pPr>
            <w:pStyle w:val="TOC1"/>
            <w:tabs>
              <w:tab w:val="right" w:leader="dot" w:pos="9062"/>
            </w:tabs>
            <w:spacing w:before="0"/>
            <w:ind w:left="0" w:firstLine="0"/>
            <w:jc w:val="both"/>
            <w:rPr>
              <w:rFonts w:ascii="Times New Roman" w:eastAsiaTheme="minorEastAsia" w:hAnsi="Times New Roman" w:cs="Times New Roman"/>
              <w:noProof/>
              <w:sz w:val="24"/>
              <w:szCs w:val="24"/>
              <w:lang w:eastAsia="lv-LV"/>
            </w:rPr>
          </w:pPr>
          <w:hyperlink w:anchor="_Toc37931411" w:history="1">
            <w:r w:rsidR="00BE1F35" w:rsidRPr="00BE1F35">
              <w:rPr>
                <w:rStyle w:val="Hyperlink"/>
                <w:rFonts w:ascii="Times New Roman" w:hAnsi="Times New Roman" w:cs="Times New Roman"/>
                <w:noProof/>
                <w:sz w:val="24"/>
                <w:szCs w:val="24"/>
              </w:rPr>
              <w:t xml:space="preserve">B pielikums. Pārskats par sertificēšanas iestādes </w:t>
            </w:r>
            <w:r w:rsidR="00BE1F35" w:rsidRPr="00BE1F35">
              <w:rPr>
                <w:rStyle w:val="Hyperlink"/>
                <w:rFonts w:ascii="Times New Roman" w:hAnsi="Times New Roman" w:cs="Times New Roman"/>
                <w:i/>
                <w:iCs/>
                <w:noProof/>
                <w:sz w:val="24"/>
                <w:szCs w:val="24"/>
              </w:rPr>
              <w:t>Microval</w:t>
            </w:r>
            <w:r w:rsidR="00BE1F35" w:rsidRPr="00BE1F35">
              <w:rPr>
                <w:rStyle w:val="Hyperlink"/>
                <w:rFonts w:ascii="Times New Roman" w:hAnsi="Times New Roman" w:cs="Times New Roman"/>
                <w:noProof/>
                <w:sz w:val="24"/>
                <w:szCs w:val="24"/>
              </w:rPr>
              <w:t xml:space="preserve"> sertificētajām alternatīvajām metodēm </w:t>
            </w:r>
            <w:r w:rsidR="00BE1F35" w:rsidRPr="00BE1F35">
              <w:rPr>
                <w:rStyle w:val="Hyperlink"/>
                <w:rFonts w:ascii="Times New Roman" w:hAnsi="Times New Roman" w:cs="Times New Roman"/>
                <w:i/>
                <w:noProof/>
                <w:sz w:val="24"/>
                <w:szCs w:val="24"/>
              </w:rPr>
              <w:t xml:space="preserve">L. monocytogenes </w:t>
            </w:r>
            <w:r w:rsidR="00BE1F35" w:rsidRPr="00BE1F35">
              <w:rPr>
                <w:rStyle w:val="Hyperlink"/>
                <w:rFonts w:ascii="Times New Roman" w:hAnsi="Times New Roman" w:cs="Times New Roman"/>
                <w:noProof/>
                <w:sz w:val="24"/>
                <w:szCs w:val="24"/>
              </w:rPr>
              <w:t>noteikšanai saldētu ADG saldētavu un apstrādes un pārkraušanas vietu vidē</w:t>
            </w:r>
            <w:r w:rsidR="00BE1F35" w:rsidRPr="00BE1F35">
              <w:rPr>
                <w:rFonts w:ascii="Times New Roman" w:hAnsi="Times New Roman" w:cs="Times New Roman"/>
                <w:noProof/>
                <w:webHidden/>
                <w:sz w:val="24"/>
                <w:szCs w:val="24"/>
              </w:rPr>
              <w:tab/>
            </w:r>
            <w:r w:rsidR="00BE1F35" w:rsidRPr="00BE1F35">
              <w:rPr>
                <w:rFonts w:ascii="Times New Roman" w:hAnsi="Times New Roman" w:cs="Times New Roman"/>
                <w:noProof/>
                <w:webHidden/>
                <w:sz w:val="24"/>
                <w:szCs w:val="24"/>
              </w:rPr>
              <w:fldChar w:fldCharType="begin"/>
            </w:r>
            <w:r w:rsidR="00BE1F35" w:rsidRPr="00BE1F35">
              <w:rPr>
                <w:rFonts w:ascii="Times New Roman" w:hAnsi="Times New Roman" w:cs="Times New Roman"/>
                <w:noProof/>
                <w:webHidden/>
                <w:sz w:val="24"/>
                <w:szCs w:val="24"/>
              </w:rPr>
              <w:instrText xml:space="preserve"> PAGEREF _Toc37931411 \h </w:instrText>
            </w:r>
            <w:r w:rsidR="00BE1F35" w:rsidRPr="00BE1F35">
              <w:rPr>
                <w:rFonts w:ascii="Times New Roman" w:hAnsi="Times New Roman" w:cs="Times New Roman"/>
                <w:noProof/>
                <w:webHidden/>
                <w:sz w:val="24"/>
                <w:szCs w:val="24"/>
              </w:rPr>
            </w:r>
            <w:r w:rsidR="00BE1F35" w:rsidRPr="00BE1F35">
              <w:rPr>
                <w:rFonts w:ascii="Times New Roman" w:hAnsi="Times New Roman" w:cs="Times New Roman"/>
                <w:noProof/>
                <w:webHidden/>
                <w:sz w:val="24"/>
                <w:szCs w:val="24"/>
              </w:rPr>
              <w:fldChar w:fldCharType="separate"/>
            </w:r>
            <w:r w:rsidR="00B13670">
              <w:rPr>
                <w:rFonts w:ascii="Times New Roman" w:hAnsi="Times New Roman" w:cs="Times New Roman"/>
                <w:noProof/>
                <w:webHidden/>
                <w:sz w:val="24"/>
                <w:szCs w:val="24"/>
              </w:rPr>
              <w:t>53</w:t>
            </w:r>
            <w:r w:rsidR="00BE1F35" w:rsidRPr="00BE1F35">
              <w:rPr>
                <w:rFonts w:ascii="Times New Roman" w:hAnsi="Times New Roman" w:cs="Times New Roman"/>
                <w:noProof/>
                <w:webHidden/>
                <w:sz w:val="24"/>
                <w:szCs w:val="24"/>
              </w:rPr>
              <w:fldChar w:fldCharType="end"/>
            </w:r>
          </w:hyperlink>
        </w:p>
        <w:p w:rsidR="009148C2" w:rsidRPr="00BE1F35" w:rsidRDefault="009148C2" w:rsidP="00BE1F35">
          <w:pPr>
            <w:jc w:val="both"/>
            <w:rPr>
              <w:rFonts w:ascii="Times New Roman" w:hAnsi="Times New Roman" w:cs="Times New Roman"/>
              <w:sz w:val="24"/>
              <w:szCs w:val="24"/>
            </w:rPr>
          </w:pPr>
          <w:r w:rsidRPr="00BE1F35">
            <w:rPr>
              <w:rFonts w:ascii="Times New Roman" w:hAnsi="Times New Roman" w:cs="Times New Roman"/>
              <w:b/>
              <w:bCs/>
              <w:noProof/>
              <w:sz w:val="24"/>
              <w:szCs w:val="24"/>
            </w:rPr>
            <w:fldChar w:fldCharType="end"/>
          </w:r>
        </w:p>
      </w:sdtContent>
    </w:sdt>
    <w:p w:rsidR="009148C2" w:rsidRPr="009148C2" w:rsidRDefault="009148C2" w:rsidP="009148C2">
      <w:pPr>
        <w:jc w:val="both"/>
        <w:rPr>
          <w:rFonts w:ascii="Times New Roman" w:hAnsi="Times New Roman" w:cs="Times New Roman"/>
          <w:sz w:val="24"/>
          <w:szCs w:val="24"/>
        </w:rPr>
      </w:pPr>
    </w:p>
    <w:p w:rsidR="001B6F3C" w:rsidRPr="009148C2" w:rsidRDefault="001B6F3C" w:rsidP="009148C2">
      <w:pPr>
        <w:jc w:val="both"/>
        <w:rPr>
          <w:rFonts w:ascii="Times New Roman" w:eastAsia="Calibri" w:hAnsi="Times New Roman" w:cs="Times New Roman"/>
          <w:noProof/>
          <w:sz w:val="24"/>
          <w:szCs w:val="24"/>
        </w:rPr>
      </w:pPr>
      <w:r w:rsidRPr="009148C2">
        <w:rPr>
          <w:rFonts w:ascii="Times New Roman" w:hAnsi="Times New Roman" w:cs="Times New Roman"/>
          <w:sz w:val="24"/>
          <w:szCs w:val="24"/>
        </w:rPr>
        <w:br w:type="page"/>
      </w:r>
    </w:p>
    <w:p w:rsidR="00270842" w:rsidRPr="001B6F3C" w:rsidRDefault="00270842" w:rsidP="004650EF">
      <w:pPr>
        <w:jc w:val="both"/>
        <w:rPr>
          <w:rFonts w:ascii="Times New Roman" w:eastAsia="Calibri" w:hAnsi="Times New Roman" w:cs="Calibri"/>
          <w:noProof/>
          <w:sz w:val="24"/>
          <w:szCs w:val="17"/>
        </w:rPr>
      </w:pPr>
    </w:p>
    <w:p w:rsidR="00270842" w:rsidRPr="001B6F3C" w:rsidRDefault="001B6F3C" w:rsidP="00061B46">
      <w:pPr>
        <w:pStyle w:val="Heading1"/>
        <w:rPr>
          <w:noProof/>
        </w:rPr>
      </w:pPr>
      <w:bookmarkStart w:id="2" w:name="_Toc37931368"/>
      <w:r>
        <w:t xml:space="preserve">1. </w:t>
      </w:r>
      <w:bookmarkStart w:id="3" w:name="_TOC_250035"/>
      <w:r w:rsidRPr="00061B46">
        <w:t>Ievads</w:t>
      </w:r>
      <w:bookmarkEnd w:id="3"/>
      <w:bookmarkEnd w:id="2"/>
    </w:p>
    <w:p w:rsidR="00270842" w:rsidRPr="001B6F3C" w:rsidRDefault="00270842" w:rsidP="004650EF">
      <w:pPr>
        <w:jc w:val="both"/>
        <w:rPr>
          <w:rFonts w:ascii="Times New Roman" w:eastAsia="Tahoma" w:hAnsi="Times New Roman" w:cs="Tahoma"/>
          <w:b/>
          <w:bCs/>
          <w:noProof/>
          <w:sz w:val="24"/>
          <w:szCs w:val="18"/>
        </w:rPr>
      </w:pPr>
    </w:p>
    <w:p w:rsidR="00270842" w:rsidRPr="001B6F3C" w:rsidRDefault="001B6F3C" w:rsidP="00061B46">
      <w:pPr>
        <w:pStyle w:val="Heading1"/>
        <w:rPr>
          <w:noProof/>
        </w:rPr>
      </w:pPr>
      <w:bookmarkStart w:id="4" w:name="_TOC_250034"/>
      <w:bookmarkStart w:id="5" w:name="_Toc37931369"/>
      <w:r>
        <w:t xml:space="preserve">1.1. </w:t>
      </w:r>
      <w:r w:rsidRPr="00061B46">
        <w:t>Pieprasījuma</w:t>
      </w:r>
      <w:r>
        <w:t xml:space="preserve"> iesniedzēja sniegtā pamatinformācija un darba uzdevums</w:t>
      </w:r>
      <w:bookmarkEnd w:id="4"/>
      <w:bookmarkEnd w:id="5"/>
    </w:p>
    <w:p w:rsidR="001B6F3C" w:rsidRDefault="001B6F3C"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2017. gada novembrī Somija uzsāka steidzamu izmeklēšanu (UI-444) Eiropas Epidemioloģiskās izlūkošanas un informācijas sistēmā pārtikas un piesārņota ūdens izraisītām slimībām un zoonozēm (</w:t>
      </w:r>
      <w:r>
        <w:rPr>
          <w:rFonts w:ascii="Times New Roman" w:hAnsi="Times New Roman"/>
          <w:i/>
          <w:iCs/>
          <w:sz w:val="24"/>
        </w:rPr>
        <w:t>EPIS FWD</w:t>
      </w:r>
      <w:r>
        <w:rPr>
          <w:rFonts w:ascii="Times New Roman" w:hAnsi="Times New Roman"/>
          <w:sz w:val="24"/>
        </w:rPr>
        <w:t xml:space="preserve">), aprakstot </w:t>
      </w:r>
      <w:r>
        <w:rPr>
          <w:rFonts w:ascii="Times New Roman" w:hAnsi="Times New Roman"/>
          <w:i/>
          <w:sz w:val="24"/>
        </w:rPr>
        <w:t>Listeria monocytogenes</w:t>
      </w:r>
      <w:r>
        <w:rPr>
          <w:rFonts w:ascii="Times New Roman" w:hAnsi="Times New Roman"/>
          <w:sz w:val="24"/>
        </w:rPr>
        <w:t xml:space="preserve"> serogrupas IVb klastera (ST) 6 sekvences tipu, kas apstiprināts ar pilna genoma sekvencēšanas metodi, un inficēšanās gadījumus, kas kopš 2016. gada oktobra konstatēti dažādās Somijas vietās. Četras dalībvalstis ziņoja par cilvēku inficēšanās gadījumiem, ko saistīja ar to pašu infekcijas uzliesmojumu, par kuru ziņoja Somija.</w:t>
      </w:r>
    </w:p>
    <w:p w:rsidR="001B6F3C" w:rsidRDefault="001B6F3C"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Kā iespējamo infekciju uzliesmojuma avotu 2018. gada janvārī noteica saldētu kukurūzu. Kaut arī dažās dalībvalstīs konkrētas saldētās kukurūzas partijas izņēma no apgrozības un atsauca, joprojām ir ziņas par inficēšanās gadījumiem, un infekcijas uzliesmojums nemazinās. Drīzāk šķiet, ka tā intensitāte palielinās un pēdējo nedēļu laikā ir sasniegusi maksimumu. Kopš Eiropas Slimību profilakses un kontroles centra (</w:t>
      </w:r>
      <w:r>
        <w:rPr>
          <w:rFonts w:ascii="Times New Roman" w:hAnsi="Times New Roman"/>
          <w:i/>
          <w:iCs/>
          <w:sz w:val="24"/>
        </w:rPr>
        <w:t>ECDC</w:t>
      </w:r>
      <w:r>
        <w:rPr>
          <w:rFonts w:ascii="Times New Roman" w:hAnsi="Times New Roman"/>
          <w:sz w:val="24"/>
        </w:rPr>
        <w:t xml:space="preserve">) un </w:t>
      </w:r>
      <w:r>
        <w:rPr>
          <w:rFonts w:ascii="Times New Roman" w:hAnsi="Times New Roman"/>
          <w:i/>
          <w:iCs/>
          <w:sz w:val="24"/>
        </w:rPr>
        <w:t>EFSA</w:t>
      </w:r>
      <w:r>
        <w:rPr>
          <w:rFonts w:ascii="Times New Roman" w:hAnsi="Times New Roman"/>
          <w:sz w:val="24"/>
        </w:rPr>
        <w:t xml:space="preserve"> kopīgi veiktā ātrā epidemioloģiskā novērtējuma, kas publicēts 2018. gada 22. martā</w:t>
      </w:r>
      <w:r w:rsidR="001B6F3C">
        <w:rPr>
          <w:rStyle w:val="FootnoteReference"/>
          <w:rFonts w:ascii="Times New Roman" w:hAnsi="Times New Roman" w:cs="Tahoma"/>
          <w:noProof/>
          <w:sz w:val="24"/>
        </w:rPr>
        <w:footnoteReference w:id="1"/>
      </w:r>
      <w:r>
        <w:rPr>
          <w:rFonts w:ascii="Times New Roman" w:hAnsi="Times New Roman"/>
          <w:sz w:val="24"/>
        </w:rPr>
        <w:t>, ir ziņots par 10 jauniem gadījumiem. Kopš 2018. gada 18. aprīļa šo uzliesmojumu saista ar 42 inficēšanās gadījumiem un sešiem identificētiem nāves gadījumiem. Kamēr piesārņojuma avots netiks pienācīgi kontrolēts, saglabājas risks, ka saistībā ar šo uzliesmojumu būs arī turpmāki inficēšanās gadījumi.</w:t>
      </w:r>
    </w:p>
    <w:p w:rsidR="001B6F3C" w:rsidRPr="001B6F3C" w:rsidRDefault="001B6F3C"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i/>
          <w:sz w:val="24"/>
        </w:rPr>
        <w:t xml:space="preserve">L. monocytogenes </w:t>
      </w:r>
      <w:r>
        <w:rPr>
          <w:rFonts w:ascii="Times New Roman" w:hAnsi="Times New Roman"/>
          <w:sz w:val="24"/>
        </w:rPr>
        <w:t>patogēns ir plaši sastopams vidē (piemēram, mitrās vietās, augsnē un pūstošā augājā). Patogēnās baktērijas spēj saglabāties pārtikas pārstrādes vidē un radīt lielāku savstarpējas piesārņošanās risku starp dažādām pārtikas ražošanas līnijām. Viens no mehānismiem, kas veicina šādu noturību, ir bioplēves veidošanās.</w:t>
      </w:r>
    </w:p>
    <w:p w:rsidR="001B6F3C" w:rsidRPr="001B6F3C" w:rsidRDefault="001B6F3C"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Ņemot vērā iepriekš minēto un pēc diskusijām mūsu kolēģu vidū, </w:t>
      </w:r>
      <w:r>
        <w:rPr>
          <w:rFonts w:ascii="Times New Roman" w:hAnsi="Times New Roman"/>
          <w:i/>
          <w:iCs/>
          <w:sz w:val="24"/>
        </w:rPr>
        <w:t>EFSA</w:t>
      </w:r>
      <w:r>
        <w:rPr>
          <w:rFonts w:ascii="Times New Roman" w:hAnsi="Times New Roman"/>
          <w:sz w:val="24"/>
        </w:rPr>
        <w:t xml:space="preserve"> saņēma lūgumu saskaņā ar Regulas 178/2002</w:t>
      </w:r>
      <w:r w:rsidR="001B6F3C">
        <w:rPr>
          <w:rStyle w:val="FootnoteReference"/>
          <w:rFonts w:ascii="Times New Roman" w:hAnsi="Times New Roman" w:cs="Tahoma"/>
          <w:noProof/>
          <w:sz w:val="24"/>
        </w:rPr>
        <w:footnoteReference w:id="2"/>
      </w:r>
      <w:r>
        <w:rPr>
          <w:rFonts w:ascii="Times New Roman" w:hAnsi="Times New Roman"/>
          <w:sz w:val="24"/>
        </w:rPr>
        <w:t xml:space="preserve"> 31. pantu sniegt zinātnisku un tehnisku palīdzību paraugu ņemšanas un testēšanas stratēģiju izstrādē </w:t>
      </w:r>
      <w:r>
        <w:rPr>
          <w:rFonts w:ascii="Times New Roman" w:hAnsi="Times New Roman"/>
          <w:i/>
          <w:sz w:val="24"/>
        </w:rPr>
        <w:t>L. monocytogenes</w:t>
      </w:r>
      <w:r>
        <w:rPr>
          <w:rFonts w:ascii="Times New Roman" w:hAnsi="Times New Roman"/>
          <w:sz w:val="24"/>
        </w:rPr>
        <w:t xml:space="preserve"> klātbūtnes noteikšanai saldēto dārzeņu ražotnēs. Paredzams, ka tas palīdzēs kompetentajām iestādēm un pārtikas apritē iesaistītajiem tirgus dalībniekiem piedalīties infekcijas uzliesmojuma izmeklēšanā, kas pašlaik notiek vairākās valstīs. </w:t>
      </w:r>
      <w:r>
        <w:rPr>
          <w:rFonts w:ascii="Times New Roman" w:hAnsi="Times New Roman"/>
          <w:i/>
          <w:iCs/>
          <w:sz w:val="24"/>
        </w:rPr>
        <w:t>EFSA</w:t>
      </w:r>
      <w:r>
        <w:rPr>
          <w:rFonts w:ascii="Times New Roman" w:hAnsi="Times New Roman"/>
          <w:sz w:val="24"/>
        </w:rPr>
        <w:t xml:space="preserve"> ir saņēmusi lūgumu sniegt ieteikumus jo īpaši par:</w:t>
      </w:r>
    </w:p>
    <w:p w:rsidR="00270842" w:rsidRPr="001B6F3C" w:rsidRDefault="001B6F3C" w:rsidP="001B6F3C">
      <w:pPr>
        <w:pStyle w:val="BodyText"/>
        <w:tabs>
          <w:tab w:val="left" w:pos="932"/>
        </w:tabs>
        <w:ind w:left="0"/>
        <w:jc w:val="both"/>
        <w:rPr>
          <w:rFonts w:ascii="Times New Roman" w:hAnsi="Times New Roman"/>
          <w:noProof/>
          <w:sz w:val="24"/>
        </w:rPr>
      </w:pPr>
      <w:r>
        <w:rPr>
          <w:rFonts w:ascii="Times New Roman" w:hAnsi="Times New Roman"/>
          <w:sz w:val="24"/>
        </w:rPr>
        <w:t xml:space="preserve">1) paraugu ņemšanas stratēģijām un vispāratzītām mikrobioloģiskām metodēm, kas būtu vispiemērotākās visaugstākā jutīguma nodrošināšanai, nosakot </w:t>
      </w:r>
      <w:r>
        <w:rPr>
          <w:rFonts w:ascii="Times New Roman" w:hAnsi="Times New Roman"/>
          <w:i/>
          <w:iCs/>
          <w:sz w:val="24"/>
        </w:rPr>
        <w:t>L. monocytogenes</w:t>
      </w:r>
      <w:r>
        <w:rPr>
          <w:rFonts w:ascii="Times New Roman" w:hAnsi="Times New Roman"/>
          <w:sz w:val="24"/>
        </w:rPr>
        <w:t xml:space="preserve"> klātbūtni pārstrādei izmantotajā ūdenī un saldēto dārzeņu ražošanas vietu vidē, kā arī uz pārtikas galaproduktiem;</w:t>
      </w:r>
    </w:p>
    <w:p w:rsidR="00270842" w:rsidRPr="001B6F3C" w:rsidRDefault="001B6F3C" w:rsidP="001B6F3C">
      <w:pPr>
        <w:pStyle w:val="BodyText"/>
        <w:tabs>
          <w:tab w:val="left" w:pos="932"/>
        </w:tabs>
        <w:ind w:left="0"/>
        <w:jc w:val="both"/>
        <w:rPr>
          <w:rFonts w:ascii="Times New Roman" w:hAnsi="Times New Roman"/>
          <w:noProof/>
          <w:sz w:val="24"/>
        </w:rPr>
      </w:pPr>
      <w:r>
        <w:rPr>
          <w:rFonts w:ascii="Times New Roman" w:hAnsi="Times New Roman"/>
          <w:sz w:val="24"/>
        </w:rPr>
        <w:t xml:space="preserve">2) kritiski svarīgo paraugu ņemšanas vietu noteikšanu </w:t>
      </w:r>
      <w:r>
        <w:rPr>
          <w:rFonts w:ascii="Times New Roman" w:hAnsi="Times New Roman"/>
          <w:i/>
          <w:iCs/>
          <w:sz w:val="24"/>
        </w:rPr>
        <w:t>L. monocytogenes</w:t>
      </w:r>
      <w:r>
        <w:rPr>
          <w:rFonts w:ascii="Times New Roman" w:hAnsi="Times New Roman"/>
          <w:sz w:val="24"/>
        </w:rPr>
        <w:t xml:space="preserve"> vides monitoringam saldēto dārzeņu ražotnēs. Jāņem vērā aspekti, kas saistīti ar nišām, kurās </w:t>
      </w:r>
      <w:r>
        <w:rPr>
          <w:rFonts w:ascii="Times New Roman" w:hAnsi="Times New Roman"/>
          <w:i/>
          <w:iCs/>
          <w:sz w:val="24"/>
        </w:rPr>
        <w:t>L. monocytogenes</w:t>
      </w:r>
      <w:r>
        <w:rPr>
          <w:rFonts w:ascii="Times New Roman" w:hAnsi="Times New Roman"/>
          <w:sz w:val="24"/>
        </w:rPr>
        <w:t xml:space="preserve"> noturīgi saglabājas un vairojas.</w:t>
      </w:r>
    </w:p>
    <w:p w:rsidR="00270842" w:rsidRPr="001B6F3C" w:rsidRDefault="00270842" w:rsidP="004650EF">
      <w:pPr>
        <w:jc w:val="both"/>
        <w:rPr>
          <w:rFonts w:ascii="Times New Roman" w:eastAsia="Tahoma" w:hAnsi="Times New Roman" w:cs="Tahoma"/>
          <w:noProof/>
          <w:sz w:val="24"/>
          <w:szCs w:val="18"/>
        </w:rPr>
      </w:pPr>
    </w:p>
    <w:p w:rsidR="00270842" w:rsidRPr="001B6F3C" w:rsidRDefault="001B6F3C" w:rsidP="00061B46">
      <w:pPr>
        <w:pStyle w:val="Heading1"/>
        <w:rPr>
          <w:noProof/>
        </w:rPr>
      </w:pPr>
      <w:bookmarkStart w:id="6" w:name="_TOC_250033"/>
      <w:bookmarkStart w:id="7" w:name="_Toc37931370"/>
      <w:r>
        <w:t xml:space="preserve">1.2. Darba uzdevuma </w:t>
      </w:r>
      <w:r w:rsidRPr="00061B46">
        <w:t>interpretācija</w:t>
      </w:r>
      <w:bookmarkEnd w:id="6"/>
      <w:bookmarkEnd w:id="7"/>
    </w:p>
    <w:p w:rsidR="00061B46" w:rsidRDefault="00061B46" w:rsidP="004650EF">
      <w:pPr>
        <w:pStyle w:val="BodyText"/>
        <w:ind w:left="0"/>
        <w:jc w:val="both"/>
        <w:rPr>
          <w:rFonts w:ascii="Times New Roman" w:hAnsi="Times New Roman"/>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Pieprasījuma iesniedzējs precizēja, ka šajā tehniskajā ziņojumā papildus saldētiem dārzeņiem </w:t>
      </w:r>
      <w:r>
        <w:rPr>
          <w:rFonts w:ascii="Times New Roman" w:hAnsi="Times New Roman"/>
          <w:sz w:val="24"/>
        </w:rPr>
        <w:lastRenderedPageBreak/>
        <w:t>jāņem vērā arī saldēti augļi un saldēti garšaugi. Tādi augļi, dārzeņi vai garšaugi (ADG), kas ir termiski apstrādāti (piemēram, vārot vai žāvējot) vai kuriem veikta jebkāda cita veida apstrāde (piemēram, augstspiediena apstrāde), tā rezultātā iegūstot ilgi glabājamu produktu (piemēram, ievārījumu, konservus un termiski apstrādātas dārzeņu sulas), šai ziņojumā netiks aplūkoti.</w:t>
      </w:r>
    </w:p>
    <w:p w:rsidR="001B6F3C" w:rsidRPr="001B6F3C" w:rsidRDefault="001B6F3C"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Galvenā uzmanība šajā novērtējumā būs veltīta pārstrādes videi saldēto ADG ražošanas uzņēmumos Eiropas Savienībā/Eiropas Ekonomikas zonā (ES/EEZ). Šajā ziņojumā tos dēvē par saldētavām. Tā kā saldētus produktus lielapjoma iepakojumos var izplatīt tālāk uz citām vietām, kur saldētos ADG var turpināt pārstrādāt, gatavot maisījumus ar citiem saldētiem ADG vai citām saldētām sastāvdaļām un iepakot, tiks ņemta vērā arī vide, kurā notiek šo produktu pārkraušana un apstrāde. Šajā ziņojumā mēs šīs vietas sauksim par pārkraušanas un apstrādes vietām. Šajā ziņojumā nav ņemti vērā iepriekšējie posmi (t. i., pirms ražas novākšanas piekoptā prakse un ražas novākšanas vide), kā arī vēlākie posmi (t. i., mazumtirdzniecība un ēdināšana, ieskaitot sadzīves un komerciālo vidi).</w:t>
      </w:r>
    </w:p>
    <w:p w:rsidR="001B6F3C" w:rsidRPr="001B6F3C" w:rsidRDefault="001B6F3C" w:rsidP="004650EF">
      <w:pPr>
        <w:jc w:val="both"/>
        <w:rPr>
          <w:rFonts w:ascii="Times New Roman" w:eastAsia="Calibri" w:hAnsi="Times New Roman" w:cs="Calibri"/>
          <w:noProof/>
          <w:sz w:val="24"/>
          <w:szCs w:val="28"/>
        </w:rPr>
      </w:pPr>
    </w:p>
    <w:p w:rsidR="00270842" w:rsidRPr="001B6F3C" w:rsidRDefault="00270842" w:rsidP="001B6F3C">
      <w:pPr>
        <w:pStyle w:val="BodyText"/>
        <w:ind w:left="0"/>
        <w:jc w:val="both"/>
        <w:rPr>
          <w:rFonts w:ascii="Times New Roman" w:hAnsi="Times New Roman"/>
          <w:noProof/>
          <w:sz w:val="24"/>
        </w:rPr>
      </w:pPr>
      <w:r>
        <w:rPr>
          <w:rFonts w:ascii="Times New Roman" w:hAnsi="Times New Roman"/>
          <w:sz w:val="24"/>
        </w:rPr>
        <w:t>Nosakot kritiskās paraugu ņemšanas vietas (</w:t>
      </w:r>
      <w:r>
        <w:rPr>
          <w:rFonts w:ascii="Times New Roman" w:hAnsi="Times New Roman"/>
          <w:i/>
          <w:iCs/>
          <w:sz w:val="24"/>
        </w:rPr>
        <w:t>CSS</w:t>
      </w:r>
      <w:r>
        <w:rPr>
          <w:rFonts w:ascii="Times New Roman" w:hAnsi="Times New Roman"/>
          <w:sz w:val="24"/>
        </w:rPr>
        <w:t xml:space="preserve">) </w:t>
      </w:r>
      <w:r>
        <w:rPr>
          <w:rFonts w:ascii="Times New Roman" w:hAnsi="Times New Roman"/>
          <w:i/>
          <w:iCs/>
          <w:sz w:val="24"/>
        </w:rPr>
        <w:t>L. monocytogenes</w:t>
      </w:r>
      <w:r>
        <w:rPr>
          <w:rFonts w:ascii="Times New Roman" w:hAnsi="Times New Roman"/>
          <w:sz w:val="24"/>
        </w:rPr>
        <w:t xml:space="preserve"> vides monitoringa vajadzībām šo saldēto pārtikas produktu ražotnēs, ņem vērā:</w:t>
      </w:r>
    </w:p>
    <w:p w:rsidR="00270842" w:rsidRPr="001B6F3C" w:rsidRDefault="00270842" w:rsidP="001B6F3C">
      <w:pPr>
        <w:pStyle w:val="BodyText"/>
        <w:numPr>
          <w:ilvl w:val="1"/>
          <w:numId w:val="20"/>
        </w:numPr>
        <w:tabs>
          <w:tab w:val="left" w:pos="2470"/>
        </w:tabs>
        <w:ind w:left="709" w:hanging="283"/>
        <w:jc w:val="both"/>
        <w:rPr>
          <w:rFonts w:ascii="Times New Roman" w:hAnsi="Times New Roman"/>
          <w:noProof/>
          <w:sz w:val="24"/>
        </w:rPr>
      </w:pPr>
      <w:r>
        <w:rPr>
          <w:rFonts w:ascii="Times New Roman" w:hAnsi="Times New Roman"/>
          <w:sz w:val="24"/>
        </w:rPr>
        <w:t>gan blanšētus, gan neblanšētus produktus;</w:t>
      </w:r>
    </w:p>
    <w:p w:rsidR="00270842" w:rsidRPr="001B6F3C" w:rsidRDefault="00270842" w:rsidP="001B6F3C">
      <w:pPr>
        <w:pStyle w:val="BodyText"/>
        <w:numPr>
          <w:ilvl w:val="1"/>
          <w:numId w:val="20"/>
        </w:numPr>
        <w:tabs>
          <w:tab w:val="left" w:pos="2470"/>
        </w:tabs>
        <w:ind w:left="709" w:hanging="283"/>
        <w:jc w:val="both"/>
        <w:rPr>
          <w:rFonts w:ascii="Times New Roman" w:hAnsi="Times New Roman"/>
          <w:noProof/>
          <w:sz w:val="24"/>
        </w:rPr>
      </w:pPr>
      <w:r>
        <w:rPr>
          <w:rFonts w:ascii="Times New Roman" w:hAnsi="Times New Roman"/>
          <w:sz w:val="24"/>
        </w:rPr>
        <w:t>produktus, kuru izmēri noteiktu darbību rezultātā ir samazināti, kā arī produktus, ar kuriem šādas darbības nav veiktas, un</w:t>
      </w:r>
    </w:p>
    <w:p w:rsidR="00270842" w:rsidRPr="001B6F3C" w:rsidRDefault="00270842" w:rsidP="001B6F3C">
      <w:pPr>
        <w:pStyle w:val="BodyText"/>
        <w:numPr>
          <w:ilvl w:val="1"/>
          <w:numId w:val="20"/>
        </w:numPr>
        <w:tabs>
          <w:tab w:val="left" w:pos="2470"/>
        </w:tabs>
        <w:ind w:left="709" w:hanging="283"/>
        <w:jc w:val="both"/>
        <w:rPr>
          <w:rFonts w:ascii="Times New Roman" w:hAnsi="Times New Roman"/>
          <w:noProof/>
          <w:sz w:val="24"/>
        </w:rPr>
      </w:pPr>
      <w:r>
        <w:rPr>
          <w:rFonts w:ascii="Times New Roman" w:hAnsi="Times New Roman"/>
          <w:sz w:val="24"/>
        </w:rPr>
        <w:t>fizisko vidi un saldētavās un pārkraušanas un apstrādes vietās izmantoto aprīkojumu, ieskaitot gan tās kontaktvirsmas, kas ir saskarē ar pārtiku, gan tās kontaktvirsmas, kas nav šādā saskarē, kā arī pārstrādē izmantoto ūdeni.</w:t>
      </w:r>
    </w:p>
    <w:p w:rsidR="001B6F3C" w:rsidRDefault="001B6F3C" w:rsidP="004650EF">
      <w:pPr>
        <w:pStyle w:val="BodyText"/>
        <w:ind w:left="0"/>
        <w:jc w:val="both"/>
        <w:rPr>
          <w:rFonts w:ascii="Times New Roman" w:hAnsi="Times New Roman"/>
          <w:noProof/>
          <w:sz w:val="24"/>
        </w:rPr>
      </w:pPr>
    </w:p>
    <w:p w:rsidR="00270842" w:rsidRPr="001B6F3C" w:rsidRDefault="00270842" w:rsidP="002974C6">
      <w:pPr>
        <w:pStyle w:val="BodyText"/>
        <w:ind w:left="0"/>
        <w:jc w:val="both"/>
        <w:rPr>
          <w:rFonts w:ascii="Times New Roman" w:hAnsi="Times New Roman"/>
          <w:noProof/>
          <w:sz w:val="24"/>
        </w:rPr>
      </w:pPr>
      <w:r>
        <w:rPr>
          <w:rFonts w:ascii="Times New Roman" w:hAnsi="Times New Roman"/>
          <w:sz w:val="24"/>
        </w:rPr>
        <w:t>Paraugu ņemšanai un uzraudzībai pārtikas piegādes ķēdē var būt dažādi nolūki, tostarp: i) produktu paraugu ņemšana partijas kontrolei/laišanai apgrozībā; ii) produktu paraugu ņemšana sākotnējā stāvokļa izpētes, monitoringa vai uzraudzības vajadzībām, lai noteiktu izplatību pārtikas produktā/pārtikas ķēdē; iii) produktu un/vai vides paraugu ņemšana saistībā ar pārtikas apritē iesaistīto tirgus dalībnieku (</w:t>
      </w:r>
      <w:r>
        <w:rPr>
          <w:rFonts w:ascii="Times New Roman" w:hAnsi="Times New Roman"/>
          <w:i/>
          <w:iCs/>
          <w:sz w:val="24"/>
        </w:rPr>
        <w:t>FBO</w:t>
      </w:r>
      <w:r>
        <w:rPr>
          <w:rFonts w:ascii="Times New Roman" w:hAnsi="Times New Roman"/>
          <w:sz w:val="24"/>
        </w:rPr>
        <w:t>) ieviesto kvalitātes vai pārtikas nekaitīguma pārvaldības sistēmu (</w:t>
      </w:r>
      <w:r>
        <w:rPr>
          <w:rFonts w:ascii="Times New Roman" w:hAnsi="Times New Roman"/>
          <w:i/>
          <w:iCs/>
          <w:sz w:val="24"/>
        </w:rPr>
        <w:t>QMS</w:t>
      </w:r>
      <w:r>
        <w:rPr>
          <w:rFonts w:ascii="Times New Roman" w:hAnsi="Times New Roman"/>
          <w:sz w:val="24"/>
        </w:rPr>
        <w:t>/</w:t>
      </w:r>
      <w:r>
        <w:rPr>
          <w:rFonts w:ascii="Times New Roman" w:hAnsi="Times New Roman"/>
          <w:i/>
          <w:iCs/>
          <w:sz w:val="24"/>
        </w:rPr>
        <w:t>FSMS</w:t>
      </w:r>
      <w:r>
        <w:rPr>
          <w:rFonts w:ascii="Times New Roman" w:hAnsi="Times New Roman"/>
          <w:sz w:val="24"/>
        </w:rPr>
        <w:t>) validāciju vai verifikāciju un iv) produktu un/vai vides paraugu ņemšana mikrobioloģiskā piesārņojuma avotu izsekošanai (</w:t>
      </w:r>
      <w:r>
        <w:rPr>
          <w:rFonts w:ascii="Times New Roman" w:hAnsi="Times New Roman"/>
          <w:i/>
          <w:iCs/>
          <w:sz w:val="24"/>
        </w:rPr>
        <w:t>MST</w:t>
      </w:r>
      <w:r>
        <w:rPr>
          <w:rFonts w:ascii="Times New Roman" w:hAnsi="Times New Roman"/>
          <w:sz w:val="24"/>
        </w:rPr>
        <w:t xml:space="preserve">), lai noteiktu mikrobioloģiskā piesārņojuma izcelsmes vietu pārtikas pārstrādes vidē (PPV). Šajā ziņojumā aprakstītie ieteikumi par to, kā veikt paraugu ņemšanu un uzraudzību, atbilst pēdējam no uzskaitītajiem nolūkiem, jo mērķis ir noteikt tās paraugu ņemšanas stratēģijas un mikrobioloģiskās metodes, kas būtu vispiemērotākās visaugstākā jutīguma nodrošināšanai, nosakot </w:t>
      </w:r>
      <w:r>
        <w:rPr>
          <w:rFonts w:ascii="Times New Roman" w:hAnsi="Times New Roman"/>
          <w:i/>
          <w:iCs/>
          <w:sz w:val="24"/>
        </w:rPr>
        <w:t>L. monocytogenes</w:t>
      </w:r>
      <w:r>
        <w:rPr>
          <w:rFonts w:ascii="Times New Roman" w:hAnsi="Times New Roman"/>
          <w:sz w:val="24"/>
        </w:rPr>
        <w:t xml:space="preserve"> klātbūtni vidē telpās, kur ražo saldētus ADG, lai identificētu mikrobioloģiskā piesārņojuma avotus un tā izplatīšanās ceļus šajās ražotnēs.</w:t>
      </w:r>
    </w:p>
    <w:p w:rsidR="00270842" w:rsidRPr="001B6F3C" w:rsidRDefault="00270842" w:rsidP="004650EF">
      <w:pPr>
        <w:jc w:val="both"/>
        <w:rPr>
          <w:rFonts w:ascii="Times New Roman" w:eastAsia="Tahoma" w:hAnsi="Times New Roman" w:cs="Tahoma"/>
          <w:noProof/>
          <w:sz w:val="24"/>
          <w:szCs w:val="18"/>
        </w:rPr>
      </w:pPr>
    </w:p>
    <w:p w:rsidR="00270842" w:rsidRPr="001B6F3C" w:rsidRDefault="002974C6" w:rsidP="00061B46">
      <w:pPr>
        <w:pStyle w:val="Heading1"/>
        <w:rPr>
          <w:noProof/>
        </w:rPr>
      </w:pPr>
      <w:bookmarkStart w:id="8" w:name="_TOC_250032"/>
      <w:bookmarkStart w:id="9" w:name="_Toc37931371"/>
      <w:r>
        <w:t>2. Dati un metodoloģijas</w:t>
      </w:r>
      <w:bookmarkEnd w:id="8"/>
      <w:bookmarkEnd w:id="9"/>
    </w:p>
    <w:p w:rsidR="00270842" w:rsidRPr="001B6F3C" w:rsidRDefault="00270842" w:rsidP="004650EF">
      <w:pPr>
        <w:jc w:val="both"/>
        <w:rPr>
          <w:rFonts w:ascii="Times New Roman" w:eastAsia="Tahoma" w:hAnsi="Times New Roman" w:cs="Tahoma"/>
          <w:b/>
          <w:bCs/>
          <w:noProof/>
          <w:sz w:val="24"/>
          <w:szCs w:val="19"/>
        </w:rPr>
      </w:pPr>
    </w:p>
    <w:p w:rsidR="00270842" w:rsidRPr="001B6F3C" w:rsidRDefault="002974C6" w:rsidP="00061B46">
      <w:pPr>
        <w:pStyle w:val="Heading1"/>
        <w:rPr>
          <w:noProof/>
        </w:rPr>
      </w:pPr>
      <w:bookmarkStart w:id="10" w:name="_TOC_250031"/>
      <w:bookmarkStart w:id="11" w:name="_Toc37931372"/>
      <w:r>
        <w:t xml:space="preserve">2.1. </w:t>
      </w:r>
      <w:r w:rsidRPr="00061B46">
        <w:t>Dati</w:t>
      </w:r>
      <w:bookmarkEnd w:id="10"/>
      <w:bookmarkEnd w:id="11"/>
    </w:p>
    <w:p w:rsidR="007964EC" w:rsidRDefault="007964EC"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Darba grupas eksperti noteica un caurlūkoja attiecīgos dokumentus. Šo būtiski svarīgo dokumentu vidū bija </w:t>
      </w:r>
      <w:r>
        <w:rPr>
          <w:rFonts w:ascii="Times New Roman" w:hAnsi="Times New Roman"/>
          <w:i/>
          <w:iCs/>
          <w:sz w:val="24"/>
        </w:rPr>
        <w:t>EFSA</w:t>
      </w:r>
      <w:r>
        <w:rPr>
          <w:rFonts w:ascii="Times New Roman" w:hAnsi="Times New Roman"/>
          <w:sz w:val="24"/>
        </w:rPr>
        <w:t xml:space="preserve"> zinātniskie atzinumi un ziņojumi, pamatnostādņu dokumenti, </w:t>
      </w:r>
      <w:r>
        <w:rPr>
          <w:rFonts w:ascii="Times New Roman" w:hAnsi="Times New Roman"/>
          <w:i/>
          <w:iCs/>
          <w:sz w:val="24"/>
        </w:rPr>
        <w:t>ISO</w:t>
      </w:r>
      <w:r>
        <w:rPr>
          <w:rFonts w:ascii="Times New Roman" w:hAnsi="Times New Roman"/>
          <w:sz w:val="24"/>
        </w:rPr>
        <w:t xml:space="preserve"> standarti, zinātniskie raksti, ieskaitot zinātniskos pārskatus, grāmatu nodaļas, nerecenzēti raksti, par kuriem bija zināms ekspertiem pašiem vai kas bija iegūti nesistemātisku meklējumu rezultātā. Turklāt eksperti manuāli veica meklēšanu dokumentiem pievienoto atsauču sarakstos, lai noteiktu būtiski svarīgu papildu informāciju, kā arī iegūtu speciālas zināšanas par tēmām, kas nav aplūkotas publicētajos materiālos (piemēram, ražošanas procesu apraksti).</w:t>
      </w:r>
    </w:p>
    <w:p w:rsidR="00270842" w:rsidRPr="001B6F3C" w:rsidRDefault="00270842" w:rsidP="004650EF">
      <w:pPr>
        <w:jc w:val="both"/>
        <w:rPr>
          <w:rFonts w:ascii="Times New Roman" w:eastAsia="Tahoma" w:hAnsi="Times New Roman" w:cs="Tahoma"/>
          <w:noProof/>
          <w:sz w:val="24"/>
          <w:szCs w:val="18"/>
        </w:rPr>
      </w:pPr>
    </w:p>
    <w:p w:rsidR="00270842" w:rsidRPr="001B6F3C" w:rsidRDefault="007964EC" w:rsidP="007F775F">
      <w:pPr>
        <w:pStyle w:val="Heading1"/>
        <w:rPr>
          <w:noProof/>
        </w:rPr>
      </w:pPr>
      <w:bookmarkStart w:id="12" w:name="_TOC_250030"/>
      <w:bookmarkStart w:id="13" w:name="_Toc37931373"/>
      <w:r>
        <w:lastRenderedPageBreak/>
        <w:t xml:space="preserve">2.2. </w:t>
      </w:r>
      <w:r w:rsidRPr="007F775F">
        <w:t>Metodoloģija</w:t>
      </w:r>
      <w:bookmarkEnd w:id="12"/>
      <w:bookmarkEnd w:id="13"/>
    </w:p>
    <w:p w:rsidR="007964EC" w:rsidRDefault="007964EC"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Informācijas, datu un zinātniskās literatūras vākšana, pamatojoties uz </w:t>
      </w:r>
      <w:r>
        <w:rPr>
          <w:rFonts w:ascii="Times New Roman" w:hAnsi="Times New Roman"/>
          <w:i/>
          <w:iCs/>
          <w:sz w:val="24"/>
        </w:rPr>
        <w:t>EFSA</w:t>
      </w:r>
      <w:r>
        <w:rPr>
          <w:rFonts w:ascii="Times New Roman" w:hAnsi="Times New Roman"/>
          <w:sz w:val="24"/>
        </w:rPr>
        <w:t xml:space="preserve"> darbinieku un darba grupas zināšanām un kompetenci, uzskatāma par atbilstošu darba uzdevumam (DU), ko bijām pilnvaroti veikt.</w:t>
      </w:r>
    </w:p>
    <w:p w:rsidR="00270842" w:rsidRPr="001B6F3C" w:rsidRDefault="00270842" w:rsidP="004650EF">
      <w:pPr>
        <w:jc w:val="both"/>
        <w:rPr>
          <w:rFonts w:ascii="Times New Roman" w:eastAsia="Tahoma" w:hAnsi="Times New Roman" w:cs="Tahoma"/>
          <w:noProof/>
          <w:sz w:val="24"/>
          <w:szCs w:val="18"/>
        </w:rPr>
      </w:pPr>
    </w:p>
    <w:p w:rsidR="00270842" w:rsidRPr="001B6F3C" w:rsidRDefault="00BB29A1" w:rsidP="007F775F">
      <w:pPr>
        <w:pStyle w:val="Heading1"/>
        <w:rPr>
          <w:noProof/>
        </w:rPr>
      </w:pPr>
      <w:bookmarkStart w:id="14" w:name="_TOC_250029"/>
      <w:bookmarkStart w:id="15" w:name="_Toc37931374"/>
      <w:r>
        <w:t xml:space="preserve">3. </w:t>
      </w:r>
      <w:r w:rsidRPr="007F775F">
        <w:t>Novērtējums</w:t>
      </w:r>
      <w:bookmarkEnd w:id="14"/>
      <w:bookmarkEnd w:id="15"/>
    </w:p>
    <w:p w:rsidR="00270842" w:rsidRPr="001B6F3C" w:rsidRDefault="00270842" w:rsidP="004650EF">
      <w:pPr>
        <w:jc w:val="both"/>
        <w:rPr>
          <w:rFonts w:ascii="Times New Roman" w:eastAsia="Tahoma" w:hAnsi="Times New Roman" w:cs="Tahoma"/>
          <w:b/>
          <w:bCs/>
          <w:noProof/>
          <w:sz w:val="24"/>
          <w:szCs w:val="19"/>
        </w:rPr>
      </w:pPr>
    </w:p>
    <w:p w:rsidR="00270842" w:rsidRPr="001B6F3C" w:rsidRDefault="00BB29A1" w:rsidP="007F775F">
      <w:pPr>
        <w:pStyle w:val="Heading1"/>
        <w:rPr>
          <w:noProof/>
        </w:rPr>
      </w:pPr>
      <w:bookmarkStart w:id="16" w:name="_TOC_250028"/>
      <w:bookmarkStart w:id="17" w:name="_Toc37931375"/>
      <w:r>
        <w:t>3.1. Saldētu augļu, dārzeņu vai garšaugu (ADG) ražošana</w:t>
      </w:r>
      <w:bookmarkEnd w:id="16"/>
      <w:bookmarkEnd w:id="17"/>
    </w:p>
    <w:p w:rsidR="00BB29A1" w:rsidRDefault="00BB29A1"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Šajā sadaļā aprakstītie ražošanas procesi raksturo pašreizējo situāciju visās ES dalībvalstīs (ES DV). Tā kā procesu veido sarežģīta ķēde, ražošanas posmi un darbības var noritēt dažādos apstākļos. Turklāt daudzus saldētos ADG Eiropas Savienībā importē no trešām valstīm, kurās var būt ieviesti citi ražošanas posmi.</w:t>
      </w:r>
    </w:p>
    <w:p w:rsidR="00BB29A1" w:rsidRPr="001B6F3C" w:rsidRDefault="00BB29A1"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Saldētus ADG ražo no svaigiem lauksaimniecības produktiem. Svaigus ADG audzē visdažādākajās vidēs atkarībā no produkta, reģiona un attiecīgā produkta audzēšanas sezonas (</w:t>
      </w:r>
      <w:r>
        <w:rPr>
          <w:rFonts w:ascii="Times New Roman" w:hAnsi="Times New Roman"/>
          <w:i/>
          <w:iCs/>
          <w:sz w:val="24"/>
        </w:rPr>
        <w:t>FAO</w:t>
      </w:r>
      <w:r>
        <w:rPr>
          <w:rFonts w:ascii="Times New Roman" w:hAnsi="Times New Roman"/>
          <w:sz w:val="24"/>
        </w:rPr>
        <w:t>/</w:t>
      </w:r>
      <w:r>
        <w:rPr>
          <w:rFonts w:ascii="Times New Roman" w:hAnsi="Times New Roman"/>
          <w:i/>
          <w:iCs/>
          <w:sz w:val="24"/>
        </w:rPr>
        <w:t>WHO</w:t>
      </w:r>
      <w:r>
        <w:rPr>
          <w:rFonts w:ascii="Times New Roman" w:hAnsi="Times New Roman"/>
          <w:sz w:val="24"/>
        </w:rPr>
        <w:t>, 2008). Vairumā gadījumu pēc ražas novākšanas ADG savāc beramkravas konteineros un pārved uz saldētavām. Beramkravas konteinera lielums ir atkarīgs no produkta veida, jo jāizvairās no mehāniskiem bojājumiem. Pēc novākšanas ADG bez kavēšanās nogādā uz saldētavām turpmākai pārstrādei. Lauksaimnieki vai tirdzniecības starpniekorganizācijas var nodrošināt pagaidu uzglabāšanu tikai dažiem produktiem (piemēram, precēm ar cietu konsistenci, tostarp kartupeļiem, āboliem, selerijām), kad ilgstoša uzglabāšana atbilstošos uzglabāšanas apstākļos neietekmē produkta nekaitīgumu un/vai kvalitāti. Vairumā gadījumu veic svaigo ADG kvalitātes pārbaudes. Audzētājiem un ražotājiem ieteicams izveidot efektīvu kvalitātes nodrošināšanas sistēmu visos posmos no ražas novākšanas līdz tās izplatīšanai, paredzot vajadzīgās kvalitātes pārbaudes. Drošības garantēšana var būt daļa no kvalitātes nodrošināšanas sistēmas, un pats galvenais tajā ir ķīmiskā un mikrobioloģiskā piesārņojuma mazināšana ADG audzēšanas, novākšanas un ražas pēcapstrādes posmos. Kvalitātes kontroles sistēmas paredz ne vien svaigo ADG kvalitātes pārbaudi (vizuāli, pēc kvalitātes īpašībām), bet var iekļaut arī cita veida analīzes, piemēram, analīzi patogēnu vai indikatormikroorganismu, pesticīdu atlieku vai citu piesārņotāju (piemēram, nitrātu vai smago metālu) noteikšanai, ko veic retāk. Nepieciešama arī informācija par primārās ražošanas apstākļiem (piemēram, lauka pētījuma anketas), kas ļauj veikt izsekošanu. Visbiežāk starp saldētavām un svaigo ADG piegādātājiem ir cieša sadarbība, piemēram, audzēšanu veic, pamatojoties uz līgumiem.</w:t>
      </w:r>
    </w:p>
    <w:p w:rsidR="00BB29A1" w:rsidRPr="001B6F3C" w:rsidRDefault="00BB29A1"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Saldētavās ražo daudzus dažādus saldēto ADG veidus. Visizplatītākie saldēto ADG veidi ir lapu un bezlapu dārzeņi (piemēram, burkāni, brokoļi, pipari, sīpoli, kukurūza un baklažāni), ogas (piemēram, avenes, zemenes un mellenes), kauleņi (piemēram, aprikozes un persiki) un lapu garšaugi (piemēram, baziliks, piparmētra, lielloku sīpoli). Tajā pašā laikā saldētie ADG var būt gan veseli produkti (nesagriezti vai nesasmalcināti), gan arī tādi, kas noteiktu darbību rezultātā ir samazināti pēc izmēra. Tie var būt atsevišķi produkti vai produktu maisījumi, kuros dažādi ADG atrodas atsevišķi vai kopā ar citām sastāvdaļām, piemēram, mērci, rīsiem, dzīvnieku izcelsmes pārtiku (piemēram, zivju vai gaļas gabaliņiem), veidojot maltīti, kas gatava uzsildīšanai. Reaģējot uz patērētāju pieprasījumu, nozare attīstās ātri pagatavojamu saldētu pusfabrikātu virzienā.</w:t>
      </w:r>
    </w:p>
    <w:p w:rsidR="00BB29A1" w:rsidRPr="001B6F3C" w:rsidRDefault="00BB29A1"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Sīks dažādu ražošanas posmu apraksts ir sniegts 3. sadaļas 2. punktā.</w:t>
      </w:r>
    </w:p>
    <w:p w:rsidR="00270842" w:rsidRPr="001B6F3C" w:rsidRDefault="00270842" w:rsidP="004650EF">
      <w:pPr>
        <w:jc w:val="both"/>
        <w:rPr>
          <w:rFonts w:ascii="Times New Roman" w:eastAsia="Tahoma" w:hAnsi="Times New Roman" w:cs="Tahoma"/>
          <w:noProof/>
          <w:sz w:val="24"/>
          <w:szCs w:val="19"/>
        </w:rPr>
      </w:pPr>
    </w:p>
    <w:p w:rsidR="00270842" w:rsidRPr="001B6F3C" w:rsidRDefault="00BB29A1" w:rsidP="00C03080">
      <w:pPr>
        <w:pStyle w:val="Heading1"/>
        <w:keepNext/>
        <w:rPr>
          <w:noProof/>
        </w:rPr>
      </w:pPr>
      <w:bookmarkStart w:id="18" w:name="_TOC_250027"/>
      <w:bookmarkStart w:id="19" w:name="_Toc37931376"/>
      <w:r>
        <w:lastRenderedPageBreak/>
        <w:t xml:space="preserve">3.2. Saldētu </w:t>
      </w:r>
      <w:r w:rsidRPr="007F775F">
        <w:t>ADG</w:t>
      </w:r>
      <w:r>
        <w:t xml:space="preserve"> ražošanas posmi</w:t>
      </w:r>
      <w:bookmarkEnd w:id="18"/>
      <w:bookmarkEnd w:id="19"/>
    </w:p>
    <w:p w:rsidR="00BB29A1" w:rsidRDefault="00BB29A1" w:rsidP="00C03080">
      <w:pPr>
        <w:pStyle w:val="BodyText"/>
        <w:keepNext/>
        <w:ind w:left="0"/>
        <w:jc w:val="both"/>
        <w:rPr>
          <w:rFonts w:ascii="Times New Roman" w:hAnsi="Times New Roman"/>
          <w:noProof/>
          <w:sz w:val="24"/>
        </w:rPr>
      </w:pPr>
    </w:p>
    <w:p w:rsidR="00270842" w:rsidRPr="001B6F3C" w:rsidRDefault="00270842" w:rsidP="00C03080">
      <w:pPr>
        <w:pStyle w:val="BodyText"/>
        <w:keepNext/>
        <w:ind w:left="0"/>
        <w:jc w:val="both"/>
        <w:rPr>
          <w:rFonts w:ascii="Times New Roman" w:hAnsi="Times New Roman"/>
          <w:noProof/>
          <w:sz w:val="24"/>
        </w:rPr>
      </w:pPr>
      <w:r>
        <w:rPr>
          <w:rFonts w:ascii="Times New Roman" w:hAnsi="Times New Roman"/>
          <w:sz w:val="24"/>
        </w:rPr>
        <w:t>Frati [</w:t>
      </w:r>
      <w:r>
        <w:rPr>
          <w:rFonts w:ascii="Times New Roman" w:hAnsi="Times New Roman"/>
          <w:i/>
          <w:iCs/>
          <w:sz w:val="24"/>
        </w:rPr>
        <w:t>Frati</w:t>
      </w:r>
      <w:r>
        <w:rPr>
          <w:rFonts w:ascii="Times New Roman" w:hAnsi="Times New Roman"/>
          <w:sz w:val="24"/>
        </w:rPr>
        <w:t>] </w:t>
      </w:r>
      <w:r>
        <w:rPr>
          <w:rFonts w:ascii="Times New Roman" w:hAnsi="Times New Roman"/>
          <w:i/>
          <w:iCs/>
          <w:sz w:val="24"/>
        </w:rPr>
        <w:t>et al. </w:t>
      </w:r>
      <w:r>
        <w:rPr>
          <w:rFonts w:ascii="Times New Roman" w:hAnsi="Times New Roman"/>
          <w:sz w:val="24"/>
        </w:rPr>
        <w:t xml:space="preserve">(2016) aplūko saldēto dārzeņu ražošanas posmus. Kā jau minēts iepriekš, saldēto produktu ražošanas nozare parasti kontrolē visus saldēto dārzeņu ražošanas ķēdes aspektus. ADG šķirnes izvēlas, pamatojoties uz dažādiem kvalitātes parametriem, ieskaitot izturību pret mehānisko </w:t>
      </w:r>
      <w:r w:rsidR="00EF22E2">
        <w:rPr>
          <w:rFonts w:ascii="Times New Roman" w:hAnsi="Times New Roman"/>
          <w:sz w:val="24"/>
        </w:rPr>
        <w:t>iedarbību</w:t>
      </w:r>
      <w:r>
        <w:rPr>
          <w:rFonts w:ascii="Times New Roman" w:hAnsi="Times New Roman"/>
          <w:sz w:val="24"/>
        </w:rPr>
        <w:t xml:space="preserve"> (Kader, 1999). Pēc novākšanas ražu uzglabā un pārved uz saldētavu pēc iespējas īsākā laika posmā, lai dārzeņi pēc iespējas mazāk bojātos un nenotiktu fermentācija (Frati et al., 2016). Ražošanas procesa pārskats ir sniegts 1.–3. attēlā, un kopsavilkums ir šajā sadaļā.</w:t>
      </w:r>
    </w:p>
    <w:p w:rsidR="00BB29A1" w:rsidRDefault="00BB29A1"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Jāņem vērā arī tas, ka dažos gadījumos saldētie ADG, kas iepriekš kādu laiku uzglabāti, var atkārtoti nonākt ražošanā, kur tos vēlreiz pārstrādā. Parasti tas notiek tajā pašā vietā, kur tos sasaldēja. Tomēr nefasētus saldētos ADG var pārvietot arī uz pārkraušanas un apstrādes vietām vienkāršāku procedūru veikšanai, piemēram, maisījumu veidošanai ar citām saldētām sastāvdaļām, saiņošanai un uzglabāšanai.</w:t>
      </w:r>
    </w:p>
    <w:p w:rsidR="004650EF" w:rsidRPr="001B6F3C" w:rsidRDefault="004650EF" w:rsidP="004650EF">
      <w:pPr>
        <w:jc w:val="both"/>
        <w:rPr>
          <w:rFonts w:ascii="Times New Roman" w:hAnsi="Times New Roman"/>
          <w:noProof/>
          <w:sz w:val="24"/>
        </w:rPr>
      </w:pPr>
    </w:p>
    <w:p w:rsidR="00270842" w:rsidRPr="001B6F3C" w:rsidRDefault="00082E13" w:rsidP="00BB29A1">
      <w:pPr>
        <w:jc w:val="center"/>
        <w:rPr>
          <w:rFonts w:ascii="Times New Roman" w:eastAsia="Calibri" w:hAnsi="Times New Roman" w:cs="Calibri"/>
          <w:noProof/>
          <w:sz w:val="24"/>
          <w:szCs w:val="20"/>
        </w:rPr>
      </w:pPr>
      <w:r w:rsidRPr="00082E13">
        <w:rPr>
          <w:rFonts w:ascii="Times New Roman" w:eastAsia="Calibri" w:hAnsi="Times New Roman" w:cs="Calibri"/>
          <w:noProof/>
          <w:sz w:val="24"/>
          <w:szCs w:val="20"/>
        </w:rPr>
        <w:lastRenderedPageBreak/>
        <w:drawing>
          <wp:inline distT="0" distB="0" distL="0" distR="0">
            <wp:extent cx="5760720" cy="790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902575"/>
                    </a:xfrm>
                    <a:prstGeom prst="rect">
                      <a:avLst/>
                    </a:prstGeom>
                    <a:noFill/>
                    <a:ln>
                      <a:noFill/>
                    </a:ln>
                  </pic:spPr>
                </pic:pic>
              </a:graphicData>
            </a:graphic>
          </wp:inline>
        </w:drawing>
      </w:r>
    </w:p>
    <w:p w:rsidR="00BB29A1" w:rsidRDefault="00BB29A1" w:rsidP="004650EF">
      <w:pPr>
        <w:jc w:val="both"/>
        <w:rPr>
          <w:rFonts w:ascii="Times New Roman" w:eastAsia="Calibri" w:hAnsi="Times New Roman" w:cs="Calibri"/>
          <w:noProof/>
          <w:sz w:val="24"/>
          <w:szCs w:val="15"/>
        </w:rPr>
      </w:pPr>
    </w:p>
    <w:p w:rsidR="00270842" w:rsidRPr="0052293E" w:rsidRDefault="00270842" w:rsidP="004650EF">
      <w:pPr>
        <w:jc w:val="both"/>
        <w:rPr>
          <w:rFonts w:ascii="Times New Roman" w:hAnsi="Times New Roman"/>
          <w:noProof/>
          <w:sz w:val="20"/>
        </w:rPr>
      </w:pPr>
      <w:r>
        <w:rPr>
          <w:rFonts w:ascii="Times New Roman" w:hAnsi="Times New Roman"/>
          <w:sz w:val="20"/>
        </w:rPr>
        <w:t>* Darbības, kas samazina izmēru, var veikt dažādos ražošanas posmos, un ADG izmēru var samazināt kā vairāk, tā arī mazāk, piemēram, griežot dārzeņus, tos apgriežot, rīvējot, rīvējot smalkos salmiņos, sagriežot šķēlēs vai gabalos, sakapājot vai sasmalcinot.</w:t>
      </w:r>
    </w:p>
    <w:p w:rsidR="00270842" w:rsidRPr="001B6F3C" w:rsidRDefault="00270842" w:rsidP="004650EF">
      <w:pPr>
        <w:jc w:val="both"/>
        <w:rPr>
          <w:rFonts w:ascii="Times New Roman" w:eastAsia="Tahoma" w:hAnsi="Times New Roman" w:cs="Tahoma"/>
          <w:noProof/>
          <w:sz w:val="24"/>
          <w:szCs w:val="19"/>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b/>
          <w:sz w:val="24"/>
        </w:rPr>
        <w:t xml:space="preserve">1. attēls. </w:t>
      </w:r>
      <w:r>
        <w:rPr>
          <w:rFonts w:ascii="Times New Roman" w:hAnsi="Times New Roman"/>
          <w:sz w:val="24"/>
        </w:rPr>
        <w:t>Saldētu augļu, dārzeņu vai garšaugu (ADG) ražošanas vispārējā plū</w:t>
      </w:r>
      <w:r w:rsidR="00EF22E2">
        <w:rPr>
          <w:rFonts w:ascii="Times New Roman" w:hAnsi="Times New Roman"/>
          <w:sz w:val="24"/>
        </w:rPr>
        <w:t xml:space="preserve">smas </w:t>
      </w:r>
      <w:r w:rsidR="00EF22E2">
        <w:rPr>
          <w:rFonts w:ascii="Times New Roman" w:hAnsi="Times New Roman"/>
          <w:sz w:val="24"/>
        </w:rPr>
        <w:lastRenderedPageBreak/>
        <w:t>diagramma</w:t>
      </w:r>
      <w:r>
        <w:rPr>
          <w:rFonts w:ascii="Times New Roman" w:hAnsi="Times New Roman"/>
          <w:sz w:val="24"/>
        </w:rPr>
        <w:t>, sākot no svaigo ADG saņemšanas brīža saldētavā (šī plū</w:t>
      </w:r>
      <w:r w:rsidR="00EF22E2">
        <w:rPr>
          <w:rFonts w:ascii="Times New Roman" w:hAnsi="Times New Roman"/>
          <w:sz w:val="24"/>
        </w:rPr>
        <w:t>smas diagramma</w:t>
      </w:r>
      <w:r>
        <w:rPr>
          <w:rFonts w:ascii="Times New Roman" w:hAnsi="Times New Roman"/>
          <w:sz w:val="24"/>
        </w:rPr>
        <w:t xml:space="preserve"> dažādiem uzņēmumiem var būt atšķirīga un ir tikai procesa vispārējs apraksts)</w:t>
      </w:r>
    </w:p>
    <w:p w:rsidR="00270842" w:rsidRDefault="00270842" w:rsidP="004650EF">
      <w:pPr>
        <w:jc w:val="both"/>
        <w:rPr>
          <w:rFonts w:ascii="Times New Roman" w:eastAsia="Calibri" w:hAnsi="Times New Roman" w:cs="Calibri"/>
          <w:noProof/>
          <w:sz w:val="24"/>
          <w:szCs w:val="14"/>
        </w:rPr>
      </w:pPr>
    </w:p>
    <w:p w:rsidR="0052293E" w:rsidRDefault="0077627A" w:rsidP="0052293E">
      <w:pPr>
        <w:jc w:val="center"/>
        <w:rPr>
          <w:rFonts w:ascii="Times New Roman" w:eastAsia="Calibri" w:hAnsi="Times New Roman" w:cs="Calibri"/>
          <w:noProof/>
          <w:sz w:val="24"/>
          <w:szCs w:val="14"/>
        </w:rPr>
      </w:pPr>
      <w:r w:rsidRPr="0077627A">
        <w:rPr>
          <w:rFonts w:ascii="Times New Roman" w:eastAsia="Calibri" w:hAnsi="Times New Roman" w:cs="Calibri"/>
          <w:noProof/>
          <w:sz w:val="24"/>
          <w:szCs w:val="14"/>
        </w:rPr>
        <w:drawing>
          <wp:inline distT="0" distB="0" distL="0" distR="0">
            <wp:extent cx="3657600" cy="49614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4458" cy="4984334"/>
                    </a:xfrm>
                    <a:prstGeom prst="rect">
                      <a:avLst/>
                    </a:prstGeom>
                    <a:noFill/>
                    <a:ln>
                      <a:noFill/>
                    </a:ln>
                  </pic:spPr>
                </pic:pic>
              </a:graphicData>
            </a:graphic>
          </wp:inline>
        </w:drawing>
      </w:r>
    </w:p>
    <w:p w:rsidR="0052293E" w:rsidRPr="001B6F3C" w:rsidRDefault="0052293E" w:rsidP="004650EF">
      <w:pPr>
        <w:jc w:val="both"/>
        <w:rPr>
          <w:rFonts w:ascii="Times New Roman" w:eastAsia="Calibri" w:hAnsi="Times New Roman" w:cs="Calibri"/>
          <w:noProof/>
          <w:sz w:val="24"/>
          <w:szCs w:val="1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b/>
          <w:sz w:val="24"/>
        </w:rPr>
        <w:t xml:space="preserve">2. attēls. </w:t>
      </w:r>
      <w:r>
        <w:rPr>
          <w:rFonts w:ascii="Times New Roman" w:hAnsi="Times New Roman"/>
          <w:sz w:val="24"/>
        </w:rPr>
        <w:t>Augļu, dārzeņu un garšaugu (ADG) ražošanas vispārējā plūsm</w:t>
      </w:r>
      <w:r w:rsidR="00EF22E2">
        <w:rPr>
          <w:rFonts w:ascii="Times New Roman" w:hAnsi="Times New Roman"/>
          <w:sz w:val="24"/>
        </w:rPr>
        <w:t>as diagramma</w:t>
      </w:r>
      <w:r>
        <w:rPr>
          <w:rFonts w:ascii="Times New Roman" w:hAnsi="Times New Roman"/>
          <w:sz w:val="24"/>
        </w:rPr>
        <w:t>, sākot no svaigo ADG saņemšanas brīža saldētavā (šī plūsm</w:t>
      </w:r>
      <w:r w:rsidR="00EF22E2">
        <w:rPr>
          <w:rFonts w:ascii="Times New Roman" w:hAnsi="Times New Roman"/>
          <w:sz w:val="24"/>
        </w:rPr>
        <w:t>as diagramma</w:t>
      </w:r>
      <w:r>
        <w:rPr>
          <w:rFonts w:ascii="Times New Roman" w:hAnsi="Times New Roman"/>
          <w:sz w:val="24"/>
        </w:rPr>
        <w:t xml:space="preserve"> dažādiem uzņēmumiem var būt atšķirīga un ir tikai procesa vispārējs apraksts)</w:t>
      </w:r>
    </w:p>
    <w:p w:rsidR="00270842" w:rsidRPr="001B6F3C" w:rsidRDefault="00270842" w:rsidP="004650EF">
      <w:pPr>
        <w:jc w:val="both"/>
        <w:rPr>
          <w:rFonts w:ascii="Times New Roman" w:eastAsia="Tahoma" w:hAnsi="Times New Roman" w:cs="Tahoma"/>
          <w:noProof/>
          <w:sz w:val="24"/>
          <w:szCs w:val="20"/>
        </w:rPr>
      </w:pPr>
    </w:p>
    <w:p w:rsidR="00270842" w:rsidRDefault="0077627A" w:rsidP="0052293E">
      <w:pPr>
        <w:jc w:val="center"/>
        <w:rPr>
          <w:rFonts w:ascii="Times New Roman" w:eastAsia="Tahoma" w:hAnsi="Times New Roman" w:cs="Tahoma"/>
          <w:noProof/>
          <w:sz w:val="24"/>
          <w:szCs w:val="16"/>
        </w:rPr>
      </w:pPr>
      <w:r w:rsidRPr="0077627A">
        <w:rPr>
          <w:rFonts w:ascii="Times New Roman" w:eastAsia="Tahoma" w:hAnsi="Times New Roman" w:cs="Tahoma"/>
          <w:noProof/>
          <w:sz w:val="24"/>
          <w:szCs w:val="16"/>
        </w:rPr>
        <w:lastRenderedPageBreak/>
        <w:drawing>
          <wp:inline distT="0" distB="0" distL="0" distR="0">
            <wp:extent cx="5760720" cy="3900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900805"/>
                    </a:xfrm>
                    <a:prstGeom prst="rect">
                      <a:avLst/>
                    </a:prstGeom>
                    <a:noFill/>
                    <a:ln>
                      <a:noFill/>
                    </a:ln>
                  </pic:spPr>
                </pic:pic>
              </a:graphicData>
            </a:graphic>
          </wp:inline>
        </w:drawing>
      </w:r>
    </w:p>
    <w:p w:rsidR="00270842" w:rsidRPr="001B6F3C" w:rsidRDefault="00270842" w:rsidP="004650EF">
      <w:pPr>
        <w:jc w:val="both"/>
        <w:rPr>
          <w:rFonts w:ascii="Times New Roman" w:eastAsia="Calibri" w:hAnsi="Times New Roman" w:cs="Calibri"/>
          <w:noProof/>
          <w:sz w:val="24"/>
          <w:szCs w:val="15"/>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b/>
          <w:sz w:val="24"/>
        </w:rPr>
        <w:t xml:space="preserve">3. attēls. </w:t>
      </w:r>
      <w:r>
        <w:rPr>
          <w:rFonts w:ascii="Times New Roman" w:hAnsi="Times New Roman"/>
          <w:sz w:val="24"/>
        </w:rPr>
        <w:t>Saldētu ADG pārkraušanas un apstrādes vietās veikto darbību vispārējā plūs</w:t>
      </w:r>
      <w:r w:rsidR="00EF22E2">
        <w:rPr>
          <w:rFonts w:ascii="Times New Roman" w:hAnsi="Times New Roman"/>
          <w:sz w:val="24"/>
        </w:rPr>
        <w:t>mas diagramma</w:t>
      </w:r>
      <w:r>
        <w:rPr>
          <w:rFonts w:ascii="Times New Roman" w:hAnsi="Times New Roman"/>
          <w:sz w:val="24"/>
        </w:rPr>
        <w:t xml:space="preserve"> (šī plūsm</w:t>
      </w:r>
      <w:r w:rsidR="00EF22E2">
        <w:rPr>
          <w:rFonts w:ascii="Times New Roman" w:hAnsi="Times New Roman"/>
          <w:sz w:val="24"/>
        </w:rPr>
        <w:t>as diagramma</w:t>
      </w:r>
      <w:r>
        <w:rPr>
          <w:rFonts w:ascii="Times New Roman" w:hAnsi="Times New Roman"/>
          <w:sz w:val="24"/>
        </w:rPr>
        <w:t xml:space="preserve"> dažādiem uzņēmumiem var būt atšķirīga un ir tikai procesa vispārējs apraksts)</w:t>
      </w:r>
    </w:p>
    <w:p w:rsidR="00270842" w:rsidRPr="001B6F3C" w:rsidRDefault="00270842" w:rsidP="004650EF">
      <w:pPr>
        <w:jc w:val="both"/>
        <w:rPr>
          <w:rFonts w:ascii="Times New Roman" w:eastAsia="Calibri" w:hAnsi="Times New Roman" w:cs="Calibri"/>
          <w:noProof/>
          <w:sz w:val="24"/>
          <w:szCs w:val="16"/>
        </w:rPr>
      </w:pPr>
    </w:p>
    <w:p w:rsidR="00270842" w:rsidRPr="001B6F3C" w:rsidRDefault="00564A55" w:rsidP="0077627A">
      <w:pPr>
        <w:pStyle w:val="Heading1"/>
        <w:rPr>
          <w:noProof/>
        </w:rPr>
      </w:pPr>
      <w:bookmarkStart w:id="20" w:name="_TOC_250026"/>
      <w:bookmarkStart w:id="21" w:name="_Toc37931377"/>
      <w:r>
        <w:t xml:space="preserve">3.2.1. </w:t>
      </w:r>
      <w:r w:rsidRPr="0077627A">
        <w:t>Saņemšanas</w:t>
      </w:r>
      <w:r>
        <w:t>, šķirošanas un sākotnējās sagatavošanas posmi</w:t>
      </w:r>
      <w:bookmarkEnd w:id="20"/>
      <w:bookmarkEnd w:id="21"/>
    </w:p>
    <w:p w:rsidR="00270842" w:rsidRPr="001B6F3C" w:rsidRDefault="00270842" w:rsidP="004650EF">
      <w:pPr>
        <w:jc w:val="both"/>
        <w:rPr>
          <w:rFonts w:ascii="Times New Roman" w:eastAsia="Tahoma" w:hAnsi="Times New Roman" w:cs="Tahoma"/>
          <w:b/>
          <w:bCs/>
          <w:noProof/>
          <w:sz w:val="24"/>
          <w:szCs w:val="19"/>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Drīz vien pēc ražas novākšanas nefasētos svaigos ADG produktus pārved uz saldētavu, kas Eiropas Savienībā lielākoties atrodas netālu no lauksaimnieciskās ražošanas vietām, lai samazinātu pārvadāšanas laiku. Pārvadāšanu parasti veic apkārtējās vides apstākļos, lai gan dažos gadījumos atdzesēšanu mēdz veikt tūlīt pēc ražas novākšanas un pārvadāšanas laikā. Saldētavā svaigus ADG pieņem, pārbauda un šķiro atbilstoši kvalitātes standartiem un uzņēmuma vajadzībām (piemēram, pēc lieluma, gatavības).</w:t>
      </w:r>
    </w:p>
    <w:p w:rsidR="00564A55" w:rsidRPr="001B6F3C" w:rsidRDefault="00564A55"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Lielāko daļu svaigo ADG audzē saskaņā ar līgumiem par lauksaimniecības produktu piegādi, kuros parasti ir vienošanās par lauksaimniecības praksi un kvalitātes standartiem. Šajos gadījumos lauksaimnieki parasti ievēro pārstrādes uzņēmumu agronomu noteikto lauksaimniecības praksi (piemēram, par pesticīdu lietošanu, apūdeņošanu), kā arī piemērotāko ražas novākšanas laiku. Dažos gadījumos saldēšanas uzņēmumi paši piegādā arī sēklas vai stādus. Tāpēc starp primārajiem ražotājiem un pārstrādātājiem ir cieša sadarbība. Retāk saldētavas iegādājas svaigos ADG brīvajā tirgū.</w:t>
      </w:r>
    </w:p>
    <w:p w:rsidR="00564A55" w:rsidRPr="001B6F3C" w:rsidRDefault="00564A55"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Dažos gadījumos uzņēmumi no dažādiem pārstrādātājiem saņem svaigus produktus, kam veikta pirmapstrāde. Tas attiecas uz svaigiem ADG, kam ir veikta pirmapstrāde, atbrīvojot produktu no daļām, ko nelieto pārtikā, un pielāgojot tā izmērus galavajadzībām (piemēram, apgriežot neēdamās daļas, mizojot, griežot), kas citkārt definētas kā darbības, kas samazina produkta izmēru. Šos pirmapstrādes posmus var veikt citās ražotnēs vai saimniecībā uz vietas (piemēram, puravus notīra uz lauka, attīrot tos no virslapām un saknēm).</w:t>
      </w:r>
    </w:p>
    <w:p w:rsidR="00564A55" w:rsidRPr="001B6F3C" w:rsidRDefault="00564A55"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Saldētavā saņem vēl citas preces, piemēram, tehniskos palīglīdzekļus ražošanas procesa nodrošināšanai (piemēram, dezinfekcijas līdzekļus ūdens apstrādei), piedevas (piemēram, askorbīnskābi/citronskābi, lai izvairītos no fermentatīvās brūnēšanas), kā arī saldētajiem ADG paredzētos iepakojuma materiālus. No citām vietām var iegādāties nefasētus saldētus ADG, saldētu gaļu/zivis, mērces tālākai pārstrādei galaproduktā utt. Šīs citas sastāvdaļas arī pieņem/pārbauda un uzglabā piemērotos apstākļos (piemēram, sausā veidā apkārtējās vides apstākļos vai saldēšanas kamerās).</w:t>
      </w:r>
    </w:p>
    <w:p w:rsidR="00564A55" w:rsidRPr="001B6F3C" w:rsidRDefault="00564A55"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Kad ADG ir saņemti un pārbaudīti, tos līdz apstrādes sākumam var īslaicīgi uzglabāt. Šajā uzglabāšanas laikā tie var atrasties vai nu saldētavā, vai ārpus tās. Tomēr, tā kā paredzamais starpposms ir īss, produkti lielākoties atrodas apkārtējās vides temperatūrā. Uzglabāšana dzesēšanas temperatūrā ir vajadzīga tikai iepriekš apstrādātiem svaigiem produktiem.</w:t>
      </w:r>
    </w:p>
    <w:p w:rsidR="00564A55" w:rsidRPr="001B6F3C" w:rsidRDefault="00564A55"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Pirmie apstrādes posmi (= pirmapstrādes posmi) ir ļoti atkarīgi no ADG produktu veida, un cita starpā tie ir norādīti turpmāk (1. attēls).</w:t>
      </w:r>
    </w:p>
    <w:p w:rsidR="00564A55" w:rsidRPr="001B6F3C" w:rsidRDefault="00564A55" w:rsidP="004650EF">
      <w:pPr>
        <w:pStyle w:val="BodyText"/>
        <w:ind w:left="0"/>
        <w:jc w:val="both"/>
        <w:rPr>
          <w:rFonts w:ascii="Times New Roman" w:hAnsi="Times New Roman"/>
          <w:noProof/>
          <w:sz w:val="24"/>
        </w:rPr>
      </w:pPr>
    </w:p>
    <w:p w:rsidR="00270842" w:rsidRPr="001B6F3C" w:rsidRDefault="00270842" w:rsidP="00564A55">
      <w:pPr>
        <w:pStyle w:val="BodyText"/>
        <w:numPr>
          <w:ilvl w:val="0"/>
          <w:numId w:val="18"/>
        </w:numPr>
        <w:ind w:left="709" w:hanging="283"/>
        <w:jc w:val="both"/>
        <w:rPr>
          <w:rFonts w:ascii="Times New Roman" w:hAnsi="Times New Roman"/>
          <w:noProof/>
          <w:sz w:val="24"/>
        </w:rPr>
      </w:pPr>
      <w:r>
        <w:rPr>
          <w:rFonts w:ascii="Times New Roman" w:hAnsi="Times New Roman"/>
          <w:b/>
          <w:bCs/>
          <w:sz w:val="24"/>
        </w:rPr>
        <w:t>Attīrīšana no kukaiņiem</w:t>
      </w:r>
      <w:r>
        <w:rPr>
          <w:rFonts w:ascii="Times New Roman" w:hAnsi="Times New Roman"/>
          <w:sz w:val="24"/>
        </w:rPr>
        <w:t>, ko zaļo lapu dārzeņu vai pupiņu/zirņu gadījumā galvenokārt veic ar rotējošu cilindru palīdzību.</w:t>
      </w:r>
    </w:p>
    <w:p w:rsidR="00270842" w:rsidRPr="001B6F3C" w:rsidRDefault="00270842" w:rsidP="00564A55">
      <w:pPr>
        <w:pStyle w:val="BodyText"/>
        <w:numPr>
          <w:ilvl w:val="0"/>
          <w:numId w:val="18"/>
        </w:numPr>
        <w:ind w:left="709" w:hanging="283"/>
        <w:jc w:val="both"/>
        <w:rPr>
          <w:rFonts w:ascii="Times New Roman" w:hAnsi="Times New Roman"/>
          <w:noProof/>
          <w:sz w:val="24"/>
        </w:rPr>
      </w:pPr>
      <w:r>
        <w:rPr>
          <w:rFonts w:ascii="Times New Roman" w:hAnsi="Times New Roman"/>
          <w:b/>
          <w:bCs/>
          <w:sz w:val="24"/>
        </w:rPr>
        <w:t>Pirmsmazgāšana</w:t>
      </w:r>
      <w:r>
        <w:rPr>
          <w:rFonts w:ascii="Times New Roman" w:hAnsi="Times New Roman"/>
          <w:sz w:val="24"/>
        </w:rPr>
        <w:t xml:space="preserve"> augsnes palieku vai svešķermeņu, piemēram, nezāļu, sēklu utt., atdalīšanai.</w:t>
      </w:r>
    </w:p>
    <w:p w:rsidR="00270842" w:rsidRPr="001B6F3C" w:rsidRDefault="00270842" w:rsidP="00564A55">
      <w:pPr>
        <w:pStyle w:val="BodyText"/>
        <w:numPr>
          <w:ilvl w:val="0"/>
          <w:numId w:val="18"/>
        </w:numPr>
        <w:ind w:left="709" w:hanging="283"/>
        <w:jc w:val="both"/>
        <w:rPr>
          <w:rFonts w:ascii="Times New Roman" w:hAnsi="Times New Roman"/>
          <w:noProof/>
          <w:sz w:val="24"/>
        </w:rPr>
      </w:pPr>
      <w:r>
        <w:rPr>
          <w:rFonts w:ascii="Times New Roman" w:hAnsi="Times New Roman"/>
          <w:b/>
          <w:bCs/>
          <w:sz w:val="24"/>
        </w:rPr>
        <w:t xml:space="preserve">Akmeņu atsijāšana, </w:t>
      </w:r>
      <w:r>
        <w:rPr>
          <w:rFonts w:ascii="Times New Roman" w:hAnsi="Times New Roman"/>
          <w:sz w:val="24"/>
        </w:rPr>
        <w:t>lai attīrītu nefasētus svaigos produktus, piemēram, kartupeļus un burkānus, no akmentiņiem vai citiem priekšmetiem, kas rada fizisku apdraudējumu (ūdens peldē vai mehānisku darbību rezultātā).</w:t>
      </w:r>
    </w:p>
    <w:p w:rsidR="00270842" w:rsidRPr="001B6F3C" w:rsidRDefault="00270842" w:rsidP="00564A55">
      <w:pPr>
        <w:numPr>
          <w:ilvl w:val="0"/>
          <w:numId w:val="18"/>
        </w:numPr>
        <w:tabs>
          <w:tab w:val="left" w:pos="2616"/>
        </w:tabs>
        <w:ind w:left="709" w:hanging="283"/>
        <w:jc w:val="both"/>
        <w:rPr>
          <w:rFonts w:ascii="Times New Roman" w:hAnsi="Times New Roman"/>
          <w:noProof/>
          <w:sz w:val="24"/>
        </w:rPr>
      </w:pPr>
      <w:r>
        <w:rPr>
          <w:rFonts w:ascii="Times New Roman" w:hAnsi="Times New Roman"/>
          <w:b/>
          <w:bCs/>
          <w:sz w:val="24"/>
        </w:rPr>
        <w:t>Iepriekšēja sagriešana, ieskaitot virslapu noņemšanu un galu apgriešanu</w:t>
      </w:r>
      <w:r>
        <w:rPr>
          <w:rFonts w:ascii="Times New Roman" w:hAnsi="Times New Roman"/>
          <w:sz w:val="24"/>
        </w:rPr>
        <w:t>, lai mehāniski vai manuāli atbrīvotu svaigos ADG no tām daļām, ko neizmanto galaproduktā, tostarp lapu garšaugu kātiem (piemēram, baziliku), pupiņu galiem, puravu virslapām utt.</w:t>
      </w:r>
    </w:p>
    <w:p w:rsidR="00270842" w:rsidRPr="001B6F3C" w:rsidRDefault="00270842" w:rsidP="00564A55">
      <w:pPr>
        <w:pStyle w:val="BodyText"/>
        <w:numPr>
          <w:ilvl w:val="0"/>
          <w:numId w:val="18"/>
        </w:numPr>
        <w:tabs>
          <w:tab w:val="left" w:pos="2657"/>
        </w:tabs>
        <w:ind w:left="709" w:hanging="283"/>
        <w:jc w:val="both"/>
        <w:rPr>
          <w:rFonts w:ascii="Times New Roman" w:hAnsi="Times New Roman"/>
          <w:noProof/>
          <w:sz w:val="24"/>
        </w:rPr>
      </w:pPr>
      <w:r>
        <w:rPr>
          <w:rFonts w:ascii="Times New Roman" w:hAnsi="Times New Roman"/>
          <w:b/>
          <w:bCs/>
          <w:sz w:val="24"/>
        </w:rPr>
        <w:t>Mizošana</w:t>
      </w:r>
      <w:r>
        <w:rPr>
          <w:rFonts w:ascii="Times New Roman" w:hAnsi="Times New Roman"/>
          <w:sz w:val="24"/>
        </w:rPr>
        <w:t xml:space="preserve"> (atbrīvošanai no mizas) izskalojot (izmantojot fermentus (piemēram, attīrot ābolus)), tvaicējot (piemēram, attīrot kartupeļus) vai iedarbojoties mehāniski (abrazīvi vai ar karborundu)) (piemēram, attīrot burkānus).</w:t>
      </w:r>
    </w:p>
    <w:p w:rsidR="00270842" w:rsidRPr="00564A55" w:rsidRDefault="00270842" w:rsidP="00564A55">
      <w:pPr>
        <w:pStyle w:val="BodyText"/>
        <w:numPr>
          <w:ilvl w:val="0"/>
          <w:numId w:val="18"/>
        </w:numPr>
        <w:ind w:left="709" w:hanging="283"/>
        <w:jc w:val="both"/>
        <w:rPr>
          <w:rFonts w:ascii="Times New Roman" w:hAnsi="Times New Roman"/>
          <w:noProof/>
          <w:sz w:val="24"/>
        </w:rPr>
      </w:pPr>
      <w:r>
        <w:rPr>
          <w:rFonts w:ascii="Times New Roman" w:hAnsi="Times New Roman"/>
          <w:b/>
          <w:bCs/>
          <w:sz w:val="24"/>
        </w:rPr>
        <w:t>Darbības, kas samazina izmēru</w:t>
      </w:r>
      <w:r>
        <w:rPr>
          <w:rFonts w:ascii="Times New Roman" w:hAnsi="Times New Roman"/>
          <w:sz w:val="24"/>
        </w:rPr>
        <w:t>, lai darītu ADG mazākus un pēc izmēra un formas atbilstošus saldētajiem galaproduktiem (piemēram, spinātus var atstāt veselās lapās vai arī sasmalcināt, galaproduktā iegūstot saldētu sasmalcinātu spinātu gabaliņus). Ja veic darbības izmēra samazināšanai, svaigajiem vai saldētajiem ADG jābūt pēc iespējas vienāda izmēra. Šo ražošanas posmu var veikt ar daudzām dažādām metodēm un aprīkojumu, piemēram, griežot, apgriežot, rīvējot smalkos salmiņos, rīvējot, sakapājot, sagriežot šķēlēs vai gabalos vai sasmalcinot, atkarībā no produkta veida un vēlamā izmēra/formas. Jo lielāka mehāniskā darbība un mazāki gabaliņi, kuros sadalīti ADG, jo vairāk ir no šūnām izdalītā eksudāta un lielāks organisko vielu daudzums pārstrādes ūdeņos. Daudzos gadījumos ADG sagriež pēc blanšēšanas, lai izvairītos no fermentatīvās brūnēšanas vai pārmērīga uzturvielu zuduma.</w:t>
      </w:r>
    </w:p>
    <w:p w:rsidR="00270842" w:rsidRPr="001B6F3C" w:rsidRDefault="00270842" w:rsidP="00564A55">
      <w:pPr>
        <w:pStyle w:val="BodyText"/>
        <w:numPr>
          <w:ilvl w:val="0"/>
          <w:numId w:val="18"/>
        </w:numPr>
        <w:ind w:left="709" w:hanging="283"/>
        <w:jc w:val="both"/>
        <w:rPr>
          <w:rFonts w:ascii="Times New Roman" w:hAnsi="Times New Roman"/>
          <w:noProof/>
          <w:sz w:val="24"/>
        </w:rPr>
      </w:pPr>
      <w:r>
        <w:rPr>
          <w:rFonts w:ascii="Times New Roman" w:hAnsi="Times New Roman"/>
          <w:b/>
          <w:bCs/>
          <w:sz w:val="24"/>
        </w:rPr>
        <w:t>Optisko šķirošanu</w:t>
      </w:r>
      <w:r>
        <w:rPr>
          <w:rFonts w:ascii="Times New Roman" w:hAnsi="Times New Roman"/>
          <w:sz w:val="24"/>
        </w:rPr>
        <w:t xml:space="preserve"> var veikt vizuāli (ar cilvēka aci), tomēr bieži vien šķirošanai pēc krāsas vai formas izmanto sarežģītākas šķirošanas iekārtas.</w:t>
      </w:r>
    </w:p>
    <w:p w:rsidR="00564A55" w:rsidRDefault="00564A55" w:rsidP="00564A55">
      <w:pPr>
        <w:tabs>
          <w:tab w:val="left" w:pos="1091"/>
        </w:tabs>
        <w:rPr>
          <w:rFonts w:ascii="Times New Roman" w:hAnsi="Times New Roman"/>
          <w:b/>
          <w:noProof/>
          <w:sz w:val="24"/>
        </w:rPr>
      </w:pPr>
      <w:bookmarkStart w:id="22" w:name="_TOC_250025"/>
    </w:p>
    <w:p w:rsidR="00270842" w:rsidRPr="001B6F3C" w:rsidRDefault="00564A55" w:rsidP="0077627A">
      <w:pPr>
        <w:pStyle w:val="Heading1"/>
        <w:rPr>
          <w:noProof/>
        </w:rPr>
      </w:pPr>
      <w:bookmarkStart w:id="23" w:name="_Toc37931378"/>
      <w:r>
        <w:t xml:space="preserve">3.2.2. </w:t>
      </w:r>
      <w:r w:rsidRPr="0077627A">
        <w:t>Mazgāšana</w:t>
      </w:r>
      <w:bookmarkEnd w:id="22"/>
      <w:bookmarkEnd w:id="23"/>
    </w:p>
    <w:p w:rsidR="00270842" w:rsidRPr="001B6F3C" w:rsidRDefault="00270842" w:rsidP="004650EF">
      <w:pPr>
        <w:jc w:val="both"/>
        <w:rPr>
          <w:rFonts w:ascii="Times New Roman" w:eastAsia="Tahoma" w:hAnsi="Times New Roman" w:cs="Tahoma"/>
          <w:b/>
          <w:bCs/>
          <w:noProof/>
          <w:sz w:val="24"/>
          <w:szCs w:val="19"/>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Mazgāšanu veic dažādos procesa posmos, un tai var izmantot dažādas kvalitātes ūdeni. Mazgāšanas posmā mērķis ir attīrīt produktu no dažādiem lauka netīrumiem un gružiem, un augsnes/putekļiem. Mazgāšana ietekmē arī svaigo ADG mikrobioloģisko slodzi. ADG var mazgāt, tos vienkārši apsmidzinot ar ūdeni, tomēr parasti produktu iegremdē atdzesētā ūdenī </w:t>
      </w:r>
      <w:r>
        <w:rPr>
          <w:rFonts w:ascii="Times New Roman" w:hAnsi="Times New Roman"/>
          <w:sz w:val="24"/>
        </w:rPr>
        <w:lastRenderedPageBreak/>
        <w:t>(no 1 līdz 10° C) un vienu vai vairākas reizes mazgā, lai tas kļūtu tīrāks. Mazgāšanai izmantotās tvertnes var būt vienkāršas ūdens tvertnes ar lāpstiņām vai rotējošiem cilindriem produkta iegremdēšanai ūdenī (lai ADG nepeldētu pa ūdens virsmu) vai arī modernas “džakuzi” mazgāšanas sistēmas, kurās ievada gaisu, lai panāktu turbulenci. Mazgāšanas posmu var izmantot arī ADG dzesēšanai, lai samazinātu produkta temperatūru (Gil et al., 2015).</w:t>
      </w:r>
    </w:p>
    <w:p w:rsidR="00564A55" w:rsidRDefault="00564A55" w:rsidP="00564A55">
      <w:pPr>
        <w:tabs>
          <w:tab w:val="left" w:pos="1091"/>
        </w:tabs>
        <w:rPr>
          <w:rFonts w:ascii="Times New Roman" w:hAnsi="Times New Roman"/>
          <w:b/>
          <w:noProof/>
          <w:sz w:val="24"/>
        </w:rPr>
      </w:pPr>
      <w:bookmarkStart w:id="24" w:name="_TOC_250024"/>
    </w:p>
    <w:p w:rsidR="00270842" w:rsidRPr="001B6F3C" w:rsidRDefault="00564A55" w:rsidP="0077627A">
      <w:pPr>
        <w:pStyle w:val="Heading1"/>
        <w:rPr>
          <w:noProof/>
        </w:rPr>
      </w:pPr>
      <w:bookmarkStart w:id="25" w:name="_Toc37931379"/>
      <w:r>
        <w:t xml:space="preserve">3.2.3. </w:t>
      </w:r>
      <w:r w:rsidRPr="0077627A">
        <w:t>Blanšēšana</w:t>
      </w:r>
      <w:bookmarkEnd w:id="24"/>
      <w:bookmarkEnd w:id="25"/>
    </w:p>
    <w:p w:rsidR="00270842" w:rsidRPr="001B6F3C" w:rsidRDefault="00270842" w:rsidP="004650EF">
      <w:pPr>
        <w:jc w:val="both"/>
        <w:rPr>
          <w:rFonts w:ascii="Times New Roman" w:eastAsia="Tahoma" w:hAnsi="Times New Roman" w:cs="Tahoma"/>
          <w:b/>
          <w:bCs/>
          <w:noProof/>
          <w:sz w:val="24"/>
          <w:szCs w:val="19"/>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Blanšēšana ir termiska apstrāde, ko galvenokārt izmanto, lai izvairītos no fermentatīvās brūnēšanas. Parasti to veic pirms pārtikas pārstrādes, piemēram, sasaldēšanas. Blanšēšana ne vien veicina ar brūnēšanu saistīto fermentu, piemēram, polifenola oksidāzes (PFO) un peroksidāzes (PFPO), deaktivāciju, bet ietekmē arī citas produkta kvalitatīvās īpašības (Xiao et al., 2017). Ja dārzeņi nav pareizi blanšēti, šie fermenti turpina darboties saldēšanas iekārtās dārzeņu uzglabāšanas laikā, bojājot to krāsu, aromātu un darot tos cietus (De Corcuera et al., 2007; Rickman et al., 2007; Frati et al., 2016).</w:t>
      </w:r>
    </w:p>
    <w:p w:rsidR="00564A55" w:rsidRPr="001B6F3C" w:rsidRDefault="00564A55"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Rūpnieciskās ražošanas procesā dažus ADG produktus, piemēram, artišokus, selerijas, kukurūzu, brokoļus, puķkāpostus, kabačus, romiešu puķkāpostus, piparus, pupas un zirņus, ķirbjus, burkānus, spinātus, selerijas un cigoriņu salātus, blanšē vienmēr. Saldēti blanšētie produkti ir stabili (ilgstošas uzglabāšanas laikā saldēšanas iekārtā fermenti pārstāj būt aktīvi) (Lin un Schyvens, 1995). Ja iespējams, pirms sasaldēšanas blanšē visus ADG, jo tas pagarina saldētā produkta glabāšanas laiku. Tomēr daži dārzeņi nav piemēroti blanšēšanai, galvenokārt tāpēc, ka šī procedūra negatīvi ietekmē produkta kvalitāti. Tas attiecas uz daudziem augļiem, garšaugiem, sīpoliem, olīvām, kaperiem un gurķiem, un citiem ADG. Neblanšētajos ADG to sasaldēšanas laikā fermenti turpina darboties, un līdz ar to uzglabāšanas laiks samazinās (Frati et al., 2016).</w:t>
      </w:r>
    </w:p>
    <w:p w:rsidR="00564A55" w:rsidRPr="001B6F3C" w:rsidRDefault="00564A55"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Kā norādīts 1. attēlā, ja ADG neblanšē, tos mazgā papildus. Iemesls ir tāds, ka abos gadījumos (gan tad, kad blanšēšanu veic, gan arī tad, kad to neveic) ražošanas līnija ir viena un tā pati un tie ADG, kurus neblanšē, arī nonāk blanšēšanas iekārtā. Vienīgā atšķirība ir ūdens temperatūrā –blanšēšanai izmanto karstu ūdeni, turpretim produktus, ko neblanšē, iegremdē aukstā ūdenī. Ja blanšēšanu neveic un it īpaši ja augļiem, piemēram, āboliem, ir raksturīga fermentatīvā brūnēšana, mazgāšanas ūdenim mēdz pievienot antioksidantu šķīdumus, piemēram, askorbīnskābi/citronskābi vai sīrupus, lai fermentatīvā brūnēšana nenotiktu (Reid, 1996).</w:t>
      </w:r>
    </w:p>
    <w:p w:rsidR="00564A55" w:rsidRPr="001B6F3C" w:rsidRDefault="00564A55"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Veicot blanšēšanu, ADG ātri uzkarsē līdz iepriekš noteiktai temperatūrai, kas var būt no 65 līdz 110° C, un noteiktu laiku tajā tur; parasti atkarībā no produkta šis laiks ir no 1 minūtes līdz 10 minūtēm. Parastā blanšēšanas temperatūra svārstās no 70 līdz 100º C, un produktus šajā temperatūrā tur dažas minūtes, turpretim, veicot blanšēšanu ar tvaiku, apstrādei ir vajadzīgs ilgāks laiks (Ceylan et al., 2017). Piemēram, kukurūzu parasti blanšē 100 sekundes 96º C temperatūrā, turpretim pētersīļus blanšē 80 sekundes 85º C temperatūrā. Blanšēšanas laikā ievērotajai laika/temperatūras kombinācijai ir kritiski svarīga nozīme, un tā ir atkarīga no laika, kas vajadzīgs POD un PFPO deaktivācijai, kas savukārt ir atkarīgs no ADG veida un sasaldējamo gabaliņu lieluma. Blanšēto produktu vai nu ātri atdzesē, vai arī tas nekavējoties nonāk nākamajā ražošanas posmā (Xiao et al., 2017). Dažādās saldētavās var būt arī atšķirības laika/temperatūras kombinācijās, ko nodrošina sākotnējās atdzesēšanas posmā, bet parasti produkta temperatūru 1 minūtes vai ne vairāk kā 2 minūšu laikā pazemina zem 10º C robežas.</w:t>
      </w:r>
    </w:p>
    <w:p w:rsidR="00564A55" w:rsidRPr="001B6F3C" w:rsidRDefault="00564A55"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Pamatojoties uz Frati </w:t>
      </w:r>
      <w:r>
        <w:rPr>
          <w:rFonts w:ascii="Times New Roman" w:hAnsi="Times New Roman"/>
          <w:i/>
          <w:iCs/>
          <w:sz w:val="24"/>
        </w:rPr>
        <w:t>et al.</w:t>
      </w:r>
      <w:r>
        <w:rPr>
          <w:rFonts w:ascii="Times New Roman" w:hAnsi="Times New Roman"/>
          <w:sz w:val="24"/>
        </w:rPr>
        <w:t xml:space="preserve"> (2016) apkopotajām ziņām, blanšēšanas posms ir jākontrolē bieži, </w:t>
      </w:r>
      <w:r>
        <w:rPr>
          <w:rFonts w:ascii="Times New Roman" w:hAnsi="Times New Roman"/>
          <w:sz w:val="24"/>
        </w:rPr>
        <w:lastRenderedPageBreak/>
        <w:t>kā arī jāseko līdzi organoleptiskajām īpašībām un mikroorganismu koncentrācijai, lai noteiktu defektus (Williams et al., 1986; Rickman et al., 2007). Nozarē blanšēšanai izmanto vairākas tehnoloģijas. Visvairāk izplatīta ir termiskā blanšēšana, jo īpaši blanšēšana karstā ūdenī, tomēr izmanto arī citas tehnoloģijas, piemēram, blanšēšanu ar tvaiku. Blanšēšana ar mikroviļņiem vai infrasarkano starojumu ir jaunas tehnoloģijas, kas nozarē nav plaši ieviestas (Xiao et al., 2017).</w:t>
      </w:r>
    </w:p>
    <w:p w:rsidR="00564A55" w:rsidRPr="001B6F3C" w:rsidRDefault="00564A55"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Kā minēts iepriekš, blanšēšanu galvenokārt veic fermentu deaktivācijai, taču tā rada arī cita veida ietekmi, piemēram, mazina mikrobioloģisko slodzi vai atbrīvo produktu no pesticīdu un toksisku vielu atliekām. Sjao [</w:t>
      </w:r>
      <w:r>
        <w:rPr>
          <w:rFonts w:ascii="Times New Roman" w:hAnsi="Times New Roman"/>
          <w:i/>
          <w:iCs/>
          <w:sz w:val="24"/>
        </w:rPr>
        <w:t>Xiao</w:t>
      </w:r>
      <w:r>
        <w:rPr>
          <w:rFonts w:ascii="Times New Roman" w:hAnsi="Times New Roman"/>
          <w:sz w:val="24"/>
        </w:rPr>
        <w:t xml:space="preserve">] </w:t>
      </w:r>
      <w:r>
        <w:rPr>
          <w:rFonts w:ascii="Times New Roman" w:hAnsi="Times New Roman"/>
          <w:i/>
          <w:iCs/>
          <w:sz w:val="24"/>
        </w:rPr>
        <w:t>et al</w:t>
      </w:r>
      <w:r>
        <w:rPr>
          <w:rFonts w:ascii="Times New Roman" w:hAnsi="Times New Roman"/>
          <w:sz w:val="24"/>
        </w:rPr>
        <w:t>. (2017) apkopo dažādos nolūkus, kuros veic blanšēšanu; tie parādīti 4. attēlā. Jāatzīmē, ka ES valstu saldētavās parasti izmanto blanšēšanu ar karstu ūdeni vai tvaiku.</w:t>
      </w:r>
    </w:p>
    <w:p w:rsidR="00270842" w:rsidRPr="001B6F3C" w:rsidRDefault="00270842" w:rsidP="004650EF">
      <w:pPr>
        <w:jc w:val="both"/>
        <w:rPr>
          <w:rFonts w:ascii="Times New Roman" w:eastAsia="Tahoma" w:hAnsi="Times New Roman" w:cs="Tahoma"/>
          <w:noProof/>
          <w:sz w:val="24"/>
          <w:szCs w:val="11"/>
        </w:rPr>
      </w:pPr>
    </w:p>
    <w:p w:rsidR="00270842" w:rsidRDefault="00150B9E" w:rsidP="00564A55">
      <w:pPr>
        <w:jc w:val="center"/>
        <w:rPr>
          <w:rFonts w:ascii="Times New Roman" w:eastAsia="Tahoma" w:hAnsi="Times New Roman" w:cs="Tahoma"/>
          <w:noProof/>
          <w:sz w:val="24"/>
          <w:szCs w:val="25"/>
        </w:rPr>
      </w:pPr>
      <w:r w:rsidRPr="00150B9E">
        <w:rPr>
          <w:rFonts w:ascii="Times New Roman" w:eastAsia="Tahoma" w:hAnsi="Times New Roman" w:cs="Tahoma"/>
          <w:noProof/>
          <w:sz w:val="24"/>
          <w:szCs w:val="25"/>
        </w:rPr>
        <w:drawing>
          <wp:inline distT="0" distB="0" distL="0" distR="0">
            <wp:extent cx="5760720" cy="2053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053590"/>
                    </a:xfrm>
                    <a:prstGeom prst="rect">
                      <a:avLst/>
                    </a:prstGeom>
                    <a:noFill/>
                    <a:ln>
                      <a:noFill/>
                    </a:ln>
                  </pic:spPr>
                </pic:pic>
              </a:graphicData>
            </a:graphic>
          </wp:inline>
        </w:drawing>
      </w:r>
    </w:p>
    <w:p w:rsidR="00564A55" w:rsidRPr="001B6F3C" w:rsidRDefault="00564A55" w:rsidP="004650EF">
      <w:pPr>
        <w:jc w:val="both"/>
        <w:rPr>
          <w:rFonts w:ascii="Times New Roman" w:eastAsia="Tahoma" w:hAnsi="Times New Roman" w:cs="Tahoma"/>
          <w:noProof/>
          <w:sz w:val="24"/>
          <w:szCs w:val="25"/>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b/>
          <w:sz w:val="24"/>
        </w:rPr>
        <w:t xml:space="preserve">4. attēls. </w:t>
      </w:r>
      <w:r>
        <w:rPr>
          <w:rFonts w:ascii="Times New Roman" w:hAnsi="Times New Roman"/>
          <w:sz w:val="24"/>
        </w:rPr>
        <w:t>Blanšēšanai izmantoto tehnoloģiju veidi un blanšēšanas mērķi (pielāgots no avota Xiao et al., 2017)</w:t>
      </w:r>
    </w:p>
    <w:p w:rsidR="00270842" w:rsidRPr="001B6F3C" w:rsidRDefault="00270842" w:rsidP="004650EF">
      <w:pPr>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Blanšēšanai var būt ietekme uz ADG esošajiem mikroorganismiem, samazinot pārtikas patogēnus, piemēram, baktēriju </w:t>
      </w:r>
      <w:r>
        <w:rPr>
          <w:rFonts w:ascii="Times New Roman" w:hAnsi="Times New Roman"/>
          <w:i/>
          <w:iCs/>
          <w:sz w:val="24"/>
        </w:rPr>
        <w:t>L. monocytogenes</w:t>
      </w:r>
      <w:r>
        <w:rPr>
          <w:rFonts w:ascii="Times New Roman" w:hAnsi="Times New Roman"/>
          <w:sz w:val="24"/>
        </w:rPr>
        <w:t xml:space="preserve">, ko saista ar ADG (Bozkurt et al., 2015; Ceylan et al., 2017). Nesen veiktā pētījumā dažādus dārzeņus (t. i., zirņus, spinātus, brokoļus, kartupeļus un burkānus) attiecīgi inokulēja ar baktērijām </w:t>
      </w:r>
      <w:r>
        <w:rPr>
          <w:rFonts w:ascii="Times New Roman" w:hAnsi="Times New Roman"/>
          <w:i/>
          <w:iCs/>
          <w:sz w:val="24"/>
        </w:rPr>
        <w:t>L. monocytogenes</w:t>
      </w:r>
      <w:r>
        <w:rPr>
          <w:rFonts w:ascii="Times New Roman" w:hAnsi="Times New Roman"/>
          <w:sz w:val="24"/>
        </w:rPr>
        <w:t xml:space="preserve"> un </w:t>
      </w:r>
      <w:r>
        <w:rPr>
          <w:rFonts w:ascii="Times New Roman" w:hAnsi="Times New Roman"/>
          <w:i/>
          <w:iCs/>
          <w:sz w:val="24"/>
        </w:rPr>
        <w:t>Salmonella</w:t>
      </w:r>
      <w:r>
        <w:rPr>
          <w:rFonts w:ascii="Times New Roman" w:hAnsi="Times New Roman"/>
          <w:sz w:val="24"/>
        </w:rPr>
        <w:t xml:space="preserve">, ievadot apmēram 108–109 KVV/g, un līdz 3,5 minūtēm ilgi apstrādāja ar 85° C un 87,8° C karstu ūdeni un 58° C un 96,7º C karstu tvaiku. Visiem dārzeņiem pusminūtes laikā pēc apstrādes ar 85 un 87,8 ºC karstu ūdeni novēroja patogēnu daudzuma samazināšanos par 5 log vienībām. Salīdzinot ar blanšēšanu karstā ūdenī, blanšēšanai ar tvaiku bija vajadzīgs ilgāks apstrādes laiks un augstāka temperatūra (Ceylan et al., 2017). Kaut arī blanšēšanu nevar uzskatīt par termisko apstrādi, kas nodrošina patogēno veģetatīvo mikroorganismu, piemēram, </w:t>
      </w:r>
      <w:r>
        <w:rPr>
          <w:rFonts w:ascii="Times New Roman" w:hAnsi="Times New Roman"/>
          <w:i/>
          <w:sz w:val="24"/>
        </w:rPr>
        <w:t>L. monocytogenes</w:t>
      </w:r>
      <w:r>
        <w:rPr>
          <w:rFonts w:ascii="Times New Roman" w:hAnsi="Times New Roman"/>
          <w:sz w:val="24"/>
        </w:rPr>
        <w:t>, pilnīgu deaktivāciju, blanšēšanas laikā izmantotās laika/temperatūras kombinācijas iznīcina lielu skaitu mikroorganismu svaigajos ADG. Attiecīgi ziņots, ka blanšēšana var samazināt sporas neveidojošos pārtikas patogēnus par vairākiem log</w:t>
      </w:r>
      <w:r>
        <w:rPr>
          <w:rFonts w:ascii="Times New Roman" w:hAnsi="Times New Roman"/>
          <w:sz w:val="24"/>
          <w:vertAlign w:val="subscript"/>
        </w:rPr>
        <w:t>10</w:t>
      </w:r>
      <w:r>
        <w:rPr>
          <w:rFonts w:ascii="Times New Roman" w:hAnsi="Times New Roman"/>
          <w:sz w:val="24"/>
        </w:rPr>
        <w:t xml:space="preserve"> cikliem (Xiao et al., 2017).</w:t>
      </w:r>
    </w:p>
    <w:p w:rsidR="00564A55" w:rsidRPr="001B6F3C" w:rsidRDefault="00564A55" w:rsidP="004650EF">
      <w:pPr>
        <w:pStyle w:val="BodyText"/>
        <w:ind w:left="0"/>
        <w:jc w:val="both"/>
        <w:rPr>
          <w:rFonts w:ascii="Times New Roman" w:hAnsi="Times New Roman"/>
          <w:noProof/>
          <w:sz w:val="24"/>
        </w:rPr>
      </w:pPr>
    </w:p>
    <w:p w:rsidR="00270842" w:rsidRPr="001B6F3C" w:rsidRDefault="00564A55" w:rsidP="00150B9E">
      <w:pPr>
        <w:pStyle w:val="Heading1"/>
        <w:rPr>
          <w:noProof/>
        </w:rPr>
      </w:pPr>
      <w:bookmarkStart w:id="26" w:name="_TOC_250023"/>
      <w:bookmarkStart w:id="27" w:name="_Toc37931380"/>
      <w:r>
        <w:t xml:space="preserve">3.2.4. </w:t>
      </w:r>
      <w:r w:rsidRPr="00150B9E">
        <w:t>Atdzesēšana</w:t>
      </w:r>
      <w:bookmarkEnd w:id="26"/>
      <w:bookmarkEnd w:id="27"/>
    </w:p>
    <w:p w:rsidR="00270842" w:rsidRPr="001B6F3C" w:rsidRDefault="00270842" w:rsidP="004650EF">
      <w:pPr>
        <w:jc w:val="both"/>
        <w:rPr>
          <w:rFonts w:ascii="Times New Roman" w:eastAsia="Tahoma" w:hAnsi="Times New Roman" w:cs="Tahoma"/>
          <w:b/>
          <w:bCs/>
          <w:noProof/>
          <w:sz w:val="24"/>
          <w:szCs w:val="19"/>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Pēc blanšēšanas produkts mikrobioloģisku un organoleptisku apsvērumu dēļ (piemēram, kraukšķīguma vai krāsas saglabāšanai) strauji jāatdzesē. Strauja atdzesēšana novērš mikroorganismu (t. i., blanšēšanu izturējušo veģetatīvo šūnu un/vai sporu veidojošo baktēriju, piemēram, </w:t>
      </w:r>
      <w:r>
        <w:rPr>
          <w:rFonts w:ascii="Times New Roman" w:hAnsi="Times New Roman"/>
          <w:i/>
          <w:iCs/>
          <w:sz w:val="24"/>
        </w:rPr>
        <w:t>Bacillus cereus</w:t>
      </w:r>
      <w:r>
        <w:rPr>
          <w:rFonts w:ascii="Times New Roman" w:hAnsi="Times New Roman"/>
          <w:sz w:val="24"/>
        </w:rPr>
        <w:t>) proliferāciju. Aukstu ūdeni parasti izmanto ne tikai blanšēto ADG atdzesēšanai, bet arī produkta tālākai pārvietošanai procesā pa cauruļveida blanšētājiem.</w:t>
      </w:r>
    </w:p>
    <w:p w:rsidR="00564A55" w:rsidRPr="001B6F3C" w:rsidRDefault="00564A55"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Pēc blanšēšanas rūpīgi jākontrolē pārstrādes ūdens kvalitāte, lai izvairītos no organisko vielu un mikroorganismu uzkrāšanās un ar to saistītā savstarpējā piesārņojuma riska. Dzeramajam ūdenim bieži pievieno dezinfekcijas līdzekli kā tehnoloģisku palīglīdzekli ūdens kvalitātes saglabāšanai. Kā aprakstīts 3. sadaļas 3. punkta 4. apakšpunktā, dezinfekcijas līdzekļu lietošanu regulē ES valstu iestādes.</w:t>
      </w:r>
    </w:p>
    <w:p w:rsidR="001529C6" w:rsidRPr="001B6F3C" w:rsidRDefault="001529C6" w:rsidP="004650EF">
      <w:pPr>
        <w:pStyle w:val="BodyText"/>
        <w:ind w:left="0"/>
        <w:jc w:val="both"/>
        <w:rPr>
          <w:rFonts w:ascii="Times New Roman" w:hAnsi="Times New Roman"/>
          <w:noProof/>
          <w:sz w:val="24"/>
        </w:rPr>
      </w:pPr>
    </w:p>
    <w:p w:rsidR="00270842" w:rsidRPr="001B6F3C" w:rsidRDefault="001529C6" w:rsidP="00150B9E">
      <w:pPr>
        <w:pStyle w:val="Heading1"/>
        <w:rPr>
          <w:noProof/>
        </w:rPr>
      </w:pPr>
      <w:bookmarkStart w:id="28" w:name="_TOC_250022"/>
      <w:bookmarkStart w:id="29" w:name="_Toc37931381"/>
      <w:r>
        <w:t xml:space="preserve">3.2.5. </w:t>
      </w:r>
      <w:r w:rsidRPr="00150B9E">
        <w:t>Darbības</w:t>
      </w:r>
      <w:r>
        <w:t>, kas samazina izmēru, pēc blanšēšanas vai mazgāšanas</w:t>
      </w:r>
      <w:bookmarkEnd w:id="28"/>
      <w:bookmarkEnd w:id="29"/>
    </w:p>
    <w:p w:rsidR="00270842" w:rsidRPr="001B6F3C" w:rsidRDefault="00270842" w:rsidP="004650EF">
      <w:pPr>
        <w:jc w:val="both"/>
        <w:rPr>
          <w:rFonts w:ascii="Times New Roman" w:eastAsia="Tahoma" w:hAnsi="Times New Roman" w:cs="Tahoma"/>
          <w:b/>
          <w:bCs/>
          <w:noProof/>
          <w:sz w:val="24"/>
          <w:szCs w:val="19"/>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Posmi, kas paredzēti saldēšanas procesa līnijās, var būt dažādi. Dažos gadījumos darbības, kas samazina produkta izmērus, piemēram, griešanu/samalšanu vai sakapāšanu, veic pirms mazgāšanas un/vai blanšēšanas, savukārt citos gadījumos produktu sagriež pēc mazgāšanas un blanšēšanas, lai izvairītos no griezto virsmu brūnēšanas; jo īpaši tas attiecas uz produktiem, piemēram, baklažāniem, kas ātri kļūst brūni. Arī spinātus sakapā pēc tam, kad blanšētas veselas lapas; tad no sakapātajiem un blanšētajiem spinātiem izveido mazus kubiņus, kas gatavi sasaldēšanai nākamajā posmā.</w:t>
      </w:r>
    </w:p>
    <w:p w:rsidR="00270842" w:rsidRPr="001B6F3C" w:rsidRDefault="00270842" w:rsidP="004650EF">
      <w:pPr>
        <w:jc w:val="both"/>
        <w:rPr>
          <w:rFonts w:ascii="Times New Roman" w:eastAsia="Tahoma" w:hAnsi="Times New Roman" w:cs="Tahoma"/>
          <w:noProof/>
          <w:sz w:val="24"/>
          <w:szCs w:val="15"/>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Svaigu ADG griešanai, rīvēšanai, sakapāšanai, rīvēšanai smalkos salmiņos, sagriešanai šķēlēs vai gabalos, smalcināšanai vai samalšanai dažādu formu un izmēru gabalos var izmantot vairākas metodes. Kad produkts ir sakapāts vai ļoti smalki samalts, to var sadalīt mazās porcijās vai saveidot, piemēram, samaltu spinātu vai kartupeļu biezeņa kubiņos. Šādā veidā sīki sasmalcinātos produktus sadala porcijās/saveido, lai iegūtu vēlamās formas galaproduktu, piemēram, mazus sasmalcinātu spinātu kubiņus.</w:t>
      </w:r>
    </w:p>
    <w:p w:rsidR="00270842" w:rsidRPr="001B6F3C" w:rsidRDefault="00270842" w:rsidP="004650EF">
      <w:pPr>
        <w:jc w:val="both"/>
        <w:rPr>
          <w:rFonts w:ascii="Times New Roman" w:eastAsia="Tahoma" w:hAnsi="Times New Roman" w:cs="Tahoma"/>
          <w:noProof/>
          <w:sz w:val="24"/>
          <w:szCs w:val="16"/>
        </w:rPr>
      </w:pPr>
    </w:p>
    <w:p w:rsidR="00270842" w:rsidRPr="001B6F3C" w:rsidRDefault="001529C6" w:rsidP="00150B9E">
      <w:pPr>
        <w:pStyle w:val="Heading1"/>
        <w:rPr>
          <w:noProof/>
        </w:rPr>
      </w:pPr>
      <w:bookmarkStart w:id="30" w:name="_TOC_250021"/>
      <w:bookmarkStart w:id="31" w:name="_Toc37931382"/>
      <w:r>
        <w:t xml:space="preserve">3.2.6. </w:t>
      </w:r>
      <w:r w:rsidRPr="00150B9E">
        <w:t>Sasaldēšana</w:t>
      </w:r>
      <w:bookmarkEnd w:id="30"/>
      <w:bookmarkEnd w:id="31"/>
    </w:p>
    <w:p w:rsidR="00270842" w:rsidRPr="001B6F3C" w:rsidRDefault="00270842" w:rsidP="004650EF">
      <w:pPr>
        <w:jc w:val="both"/>
        <w:rPr>
          <w:rFonts w:ascii="Times New Roman" w:eastAsia="Tahoma" w:hAnsi="Times New Roman" w:cs="Tahoma"/>
          <w:b/>
          <w:bCs/>
          <w:noProof/>
          <w:sz w:val="24"/>
          <w:szCs w:val="19"/>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ADG sasaldēšanu var veikt gaisa strūklā vai kriogēnās saldētavās. Sīkāku informāciju par izmantotajiem paņēmieniem un apstākļiem sniedz Rīds [</w:t>
      </w:r>
      <w:r>
        <w:rPr>
          <w:rFonts w:ascii="Times New Roman" w:hAnsi="Times New Roman"/>
          <w:i/>
          <w:iCs/>
          <w:sz w:val="24"/>
        </w:rPr>
        <w:t>Reid</w:t>
      </w:r>
      <w:r>
        <w:rPr>
          <w:rFonts w:ascii="Times New Roman" w:hAnsi="Times New Roman"/>
          <w:sz w:val="24"/>
        </w:rPr>
        <w:t>] (1996). Produkta temperatūra strauji pazeminās līdz -18° C, lai stabilizētu produktus un nepieļautu mikrobioloģisko aktivitāti. Lai iegūtu individuāli ātri sasaldētus produktus (</w:t>
      </w:r>
      <w:r>
        <w:rPr>
          <w:rFonts w:ascii="Times New Roman" w:hAnsi="Times New Roman"/>
          <w:i/>
          <w:iCs/>
          <w:sz w:val="24"/>
        </w:rPr>
        <w:t>IQF</w:t>
      </w:r>
      <w:r>
        <w:rPr>
          <w:rFonts w:ascii="Times New Roman" w:hAnsi="Times New Roman"/>
          <w:sz w:val="24"/>
        </w:rPr>
        <w:t>), izmanto konveijeru ar viļņotu lenti, pa kuru ADG nonāk sasaldēšanas tunelī. Sasaldēšana sagrauj šūnu membrānu struktūru, dislocējot fermentus. Tas var izraisīt fermentatīvas reakcijas, kas nav atkarīgas no temperatūras saldētās produkcijas glabāšanas iekārtās, un radīt produkta organoleptisko īpašību pasliktināšanos, piemēram, krāsas maiņu vai nepatīkama aromāta veidošanos. Sasaldēšanas tuneļos atkarībā no izmantotās tehnoloģijas (piemēram, gaisa strūklas vai kriogēnās saldētavas) un konkrētā ADG produkta sasaldēšanas cikla sākumā temperatūra var būt no -30 līdz -40° C, kam seko ļoti īss augstas temperatūras cikls (piemēram, 35–40° C), lai izvairītos no pārmērīgas ledus kristālu veidošanās saldēšanas tunelī.</w:t>
      </w:r>
    </w:p>
    <w:p w:rsidR="001529C6" w:rsidRPr="001B6F3C" w:rsidRDefault="001529C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Dažos gadījumos ADG pirms dziļās sasaldēšanas glazē. Glazēšana ir paņēmiens, ar kuru uz sasaldēta ADG produkta virsmas veido plānu ledus aizsargslāni, to apsmidzinot vai iemērcot dzeramūdenī vai tīrā ūdenī ar temperatūru no 1 līdz 10° C. Temperatūras starpība starp ADG un ūdeni uzreiz pārvērš ūdeni plānā ledus slānī. Glazējums pasargā sasaldēto ADG no dehidratācijas un/vai oksidēšanās laikā, kad to ilgstoši glabā sasaldētu. Glazēšanu vienmēr veic pirms dziļās sasaldēšanas; tāpēc glazējums veidojas saldētavās apstrādes laikā. Tomēr pēc noteikta uzglabāšanas laika saldētos ADG var pārstrādāt atkārtoti. Šajā gadījumā saldētos ADG var glazēt arī pirms to atkārtotās pārstrādes.</w:t>
      </w:r>
    </w:p>
    <w:p w:rsidR="001529C6" w:rsidRPr="001B6F3C" w:rsidRDefault="001529C6" w:rsidP="004650EF">
      <w:pPr>
        <w:pStyle w:val="BodyText"/>
        <w:ind w:left="0"/>
        <w:jc w:val="both"/>
        <w:rPr>
          <w:rFonts w:ascii="Times New Roman" w:hAnsi="Times New Roman"/>
          <w:noProof/>
          <w:sz w:val="24"/>
        </w:rPr>
      </w:pPr>
    </w:p>
    <w:p w:rsidR="00270842" w:rsidRPr="001B6F3C" w:rsidRDefault="001529C6" w:rsidP="00150B9E">
      <w:pPr>
        <w:pStyle w:val="Heading1"/>
        <w:rPr>
          <w:noProof/>
        </w:rPr>
      </w:pPr>
      <w:bookmarkStart w:id="32" w:name="_TOC_250020"/>
      <w:bookmarkStart w:id="33" w:name="_Toc37931383"/>
      <w:r>
        <w:t xml:space="preserve">3.2.7. </w:t>
      </w:r>
      <w:r w:rsidRPr="00150B9E">
        <w:t>Iepakošana</w:t>
      </w:r>
      <w:r>
        <w:t xml:space="preserve"> (vai pārpakošana)</w:t>
      </w:r>
      <w:bookmarkEnd w:id="32"/>
      <w:bookmarkEnd w:id="33"/>
    </w:p>
    <w:p w:rsidR="00270842" w:rsidRPr="001B6F3C" w:rsidRDefault="00270842" w:rsidP="004650EF">
      <w:pPr>
        <w:jc w:val="both"/>
        <w:rPr>
          <w:rFonts w:ascii="Times New Roman" w:eastAsia="Tahoma" w:hAnsi="Times New Roman" w:cs="Tahoma"/>
          <w:b/>
          <w:bCs/>
          <w:noProof/>
          <w:sz w:val="24"/>
          <w:szCs w:val="19"/>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Saldētos ADG iepako tūlīt pēc sasaldēšanas. Mehāniskais iepakojums pasargā saldēto </w:t>
      </w:r>
      <w:r>
        <w:rPr>
          <w:rFonts w:ascii="Times New Roman" w:hAnsi="Times New Roman"/>
          <w:sz w:val="24"/>
        </w:rPr>
        <w:lastRenderedPageBreak/>
        <w:t>produktu no skābekļa un tādējādi novērš oksidēšanos ilgstošas uzglabāšanas laikā.</w:t>
      </w:r>
    </w:p>
    <w:p w:rsidR="001529C6" w:rsidRPr="001B6F3C" w:rsidRDefault="001529C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Saldētos produktus var iepakot dažāda lieluma iepakojumos – no lielapjoma iepakojumiem (lieliem apjomiem) līdz mazumtirdzniecības iepakojumiem. Lielapjoma iepakojumus izmanto uzņēmumu savstarpējos darījumos, piemēram, apstrādes un pārkraušanas vietās, turpretim lielās pakas izmanto uzņēmumu savstarpējos darījumos, piemēram, ēdināšanas uzņēmumiem un restorāniem. Mazumtirdzniecības iepakojumi paredzēti uzņēmumu darījumiem ar patērētājiem.</w:t>
      </w:r>
    </w:p>
    <w:p w:rsidR="001529C6" w:rsidRPr="001B6F3C" w:rsidRDefault="001529C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Izmantotie iepakojuma materiāli ir ļoti dažādi, piemēram, mīksta plastmasas folija vai kartona kastes ar pārklājumu. Daudzviet izmanto vertikālās uzpildes un noslēgšanas tehnoloģiju iepakošanai, un produkts tad nonāk vienkāršā zema blīvuma polietilēna plastmasas plēvē. Dažreiz iepakojuma materiālā ir iestrādātas skābekļa barjeras, piemēram, poliamīds, produkta pasargāšanai no oksidācijas ilgstošas uzglabāšanas laikā -18° C temperatūrā.</w:t>
      </w:r>
    </w:p>
    <w:p w:rsidR="001529C6" w:rsidRPr="001B6F3C" w:rsidRDefault="001529C6" w:rsidP="004650EF">
      <w:pPr>
        <w:pStyle w:val="BodyText"/>
        <w:ind w:left="0"/>
        <w:jc w:val="both"/>
        <w:rPr>
          <w:rFonts w:ascii="Times New Roman" w:hAnsi="Times New Roman"/>
          <w:noProof/>
          <w:sz w:val="24"/>
        </w:rPr>
      </w:pPr>
    </w:p>
    <w:p w:rsidR="00270842" w:rsidRPr="001B6F3C" w:rsidRDefault="001529C6" w:rsidP="00150B9E">
      <w:pPr>
        <w:pStyle w:val="Heading1"/>
        <w:rPr>
          <w:noProof/>
        </w:rPr>
      </w:pPr>
      <w:bookmarkStart w:id="34" w:name="_TOC_250019"/>
      <w:bookmarkStart w:id="35" w:name="_Toc37931384"/>
      <w:r>
        <w:t xml:space="preserve">3.2.8. </w:t>
      </w:r>
      <w:r w:rsidRPr="00150B9E">
        <w:t>Uzglabāšana</w:t>
      </w:r>
      <w:r>
        <w:t xml:space="preserve"> sasaldētā stāvoklī un darbības apstrādes un pārkraušanas vietās</w:t>
      </w:r>
      <w:bookmarkEnd w:id="34"/>
      <w:bookmarkEnd w:id="35"/>
    </w:p>
    <w:p w:rsidR="00270842" w:rsidRPr="001B6F3C" w:rsidRDefault="00270842" w:rsidP="004650EF">
      <w:pPr>
        <w:jc w:val="both"/>
        <w:rPr>
          <w:rFonts w:ascii="Times New Roman" w:eastAsia="Tahoma" w:hAnsi="Times New Roman" w:cs="Tahoma"/>
          <w:b/>
          <w:bCs/>
          <w:noProof/>
          <w:sz w:val="24"/>
          <w:szCs w:val="19"/>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Pēc sasaldēšanas saldētos ADG, kas paredzēti lielajiem saņēmējiem, kā arī galapatērētājiem, savāc lielapjoma uzglabāšanas vietās, un tos var nosūtīt tālāk uz nākamo posmu pārtikas ķēdē (piemēram, izplatīšanas centriem). Alternatīvi saldētos ADG var īslaicīgi uzglabāt saldēšanas telpās, pirms tos nosūta tālāk uz nākamo piegādes ķēdes posmu, kā paskaidrots 3. sadaļas 2. punkta 7. apakšpunktā. Vēl viena iespēja paredz saldētā ADG galaprodukta nonākšanu apstrādes un pārkraušanas vietās, kur to tālāk apstrādā, tostarp izmanto maisījumu veidošanai vai iepako, kā norādīts 3. attēlā. Tipiskā gadījumā saldētos ADG apstrādes un pārkraušanas vietā izmanto maisījumu veidošanai ar citiem pusfabrikātiem, piemēram, gaļas vai zivs gabaliņiem, vai citiem ADG, lai iegūtais galaprodukts būtu plašāk izmantojams. Iepakojumu izmēri arī var būt atšķirīgi – no mazumtirdzniecībai domātiem iepakojumiem līdz lielākiem apjomiem, kas paredzēti turpmākiem uzņēmumu savstarpējiem darījumiem.</w:t>
      </w:r>
    </w:p>
    <w:p w:rsidR="00270842" w:rsidRPr="001B6F3C" w:rsidRDefault="00270842" w:rsidP="004650EF">
      <w:pPr>
        <w:jc w:val="both"/>
        <w:rPr>
          <w:rFonts w:ascii="Times New Roman" w:eastAsia="Calibri" w:hAnsi="Times New Roman" w:cs="Calibri"/>
          <w:noProof/>
          <w:sz w:val="24"/>
          <w:szCs w:val="28"/>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Visbeidzot veic uzglabāšanas, izplatīšanas un pārvadāšanas darbības, kurās jāievēro saldēšanas temperatūra, kas nav augstāka par -18° C. Parasti ADG uzglabāšanas laiks mēdz ilgt no vairākiem mēnešiem līdz 2 gadiem saldētā veidā (&lt; -18°C).</w:t>
      </w:r>
    </w:p>
    <w:p w:rsidR="00270842" w:rsidRPr="001B6F3C" w:rsidRDefault="00270842" w:rsidP="004650EF">
      <w:pPr>
        <w:jc w:val="both"/>
        <w:rPr>
          <w:rFonts w:ascii="Times New Roman" w:eastAsia="Tahoma" w:hAnsi="Times New Roman" w:cs="Tahoma"/>
          <w:noProof/>
          <w:sz w:val="24"/>
          <w:szCs w:val="16"/>
        </w:rPr>
      </w:pPr>
    </w:p>
    <w:p w:rsidR="00270842" w:rsidRPr="001B6F3C" w:rsidRDefault="00270842" w:rsidP="00150B9E">
      <w:pPr>
        <w:pStyle w:val="Heading1"/>
        <w:rPr>
          <w:rFonts w:cs="Tahoma"/>
          <w:noProof/>
        </w:rPr>
      </w:pPr>
      <w:bookmarkStart w:id="36" w:name="_Toc37931385"/>
      <w:r>
        <w:t xml:space="preserve">3.3. Riska faktori </w:t>
      </w:r>
      <w:r>
        <w:rPr>
          <w:i/>
          <w:iCs/>
        </w:rPr>
        <w:t>L. monocytogenes</w:t>
      </w:r>
      <w:r>
        <w:t xml:space="preserve"> piesārņojumam </w:t>
      </w:r>
      <w:r w:rsidRPr="00150B9E">
        <w:t>saldētos</w:t>
      </w:r>
      <w:r>
        <w:t xml:space="preserve"> ADG</w:t>
      </w:r>
      <w:bookmarkEnd w:id="36"/>
    </w:p>
    <w:p w:rsidR="001529C6" w:rsidRDefault="001529C6" w:rsidP="004650EF">
      <w:pPr>
        <w:pStyle w:val="BodyText"/>
        <w:ind w:left="0"/>
        <w:jc w:val="both"/>
        <w:rPr>
          <w:rFonts w:ascii="Times New Roman" w:hAnsi="Times New Roman"/>
          <w:i/>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i/>
          <w:iCs/>
          <w:sz w:val="24"/>
        </w:rPr>
        <w:t>L. monocytogenes</w:t>
      </w:r>
      <w:r>
        <w:rPr>
          <w:rFonts w:ascii="Times New Roman" w:hAnsi="Times New Roman"/>
          <w:sz w:val="24"/>
        </w:rPr>
        <w:t xml:space="preserve"> patogēni ir plaši izplatīti vidē, un tos var atrast augsnē, ūdenī, notekūdeņos un pūstošā augājā (EFSA BIOHAZ Panel, 2018). Izolātus var viegli iegūt no cilvēkiem, mājdzīvniekiem, svaigiem lauksaimniecības produktiem, pārtikas iepakojumiem un vides, kurā notiek pārstrāde (īpaši vēsās, mitrās vietās) (Beuchat, 1996; Hellström, 2011; USFDA, 2017). Vairākos pētījumos ir uzsvērts, ka </w:t>
      </w:r>
      <w:r>
        <w:rPr>
          <w:rFonts w:ascii="Times New Roman" w:hAnsi="Times New Roman"/>
          <w:i/>
          <w:iCs/>
          <w:sz w:val="24"/>
        </w:rPr>
        <w:t>L. monocytogenes</w:t>
      </w:r>
      <w:r>
        <w:rPr>
          <w:rFonts w:ascii="Times New Roman" w:hAnsi="Times New Roman"/>
          <w:sz w:val="24"/>
        </w:rPr>
        <w:t xml:space="preserve"> noturīgi saglabājas ražošanas iekārtās un mitrās vietās ražošanas vidē, kuras var kļūt par patogēna patvēruma nišu (Carpentier un Cerf, 2011; Ceylan et al., 2017).</w:t>
      </w:r>
    </w:p>
    <w:p w:rsidR="001529C6" w:rsidRPr="001B6F3C" w:rsidRDefault="001529C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Praktiskās zināšanas par patogēnu potenciālajiem avotiem un pārtikas piesārņojuma ceļiem ar </w:t>
      </w:r>
      <w:r>
        <w:rPr>
          <w:rFonts w:ascii="Times New Roman" w:hAnsi="Times New Roman"/>
          <w:i/>
          <w:iCs/>
          <w:sz w:val="24"/>
        </w:rPr>
        <w:t>L. monocytogenes</w:t>
      </w:r>
      <w:r>
        <w:rPr>
          <w:rFonts w:ascii="Times New Roman" w:hAnsi="Times New Roman"/>
          <w:sz w:val="24"/>
        </w:rPr>
        <w:t xml:space="preserve"> var lieti noderēt, ne vien izstrādājot un piemērojot efektīvus kontroles pasākumus visā pārtikas ķēdē (Lakicevic un Nastasijevic, 2017), bet arī veicot infekcijas uzliesmojumu izmeklēšanu. </w:t>
      </w:r>
      <w:r>
        <w:rPr>
          <w:rFonts w:ascii="Times New Roman" w:hAnsi="Times New Roman"/>
          <w:i/>
          <w:iCs/>
          <w:sz w:val="24"/>
        </w:rPr>
        <w:t>L. monocytogenes</w:t>
      </w:r>
      <w:r>
        <w:rPr>
          <w:rFonts w:ascii="Times New Roman" w:hAnsi="Times New Roman"/>
          <w:sz w:val="24"/>
        </w:rPr>
        <w:t xml:space="preserve"> potenciālo avotu ir daudz, un izejvielas, kas nonāk procesā no primārās ražošanas, uzskata par ļoti svarīgu faktoru patogēna klātbūtnei gatavajā produktā (EFSA BIOHAZ Panel, 2018). Galvenais </w:t>
      </w:r>
      <w:r>
        <w:rPr>
          <w:rFonts w:ascii="Times New Roman" w:hAnsi="Times New Roman"/>
          <w:i/>
          <w:iCs/>
          <w:sz w:val="24"/>
        </w:rPr>
        <w:t>L. monocytogenes</w:t>
      </w:r>
      <w:r>
        <w:rPr>
          <w:rFonts w:ascii="Times New Roman" w:hAnsi="Times New Roman"/>
          <w:sz w:val="24"/>
        </w:rPr>
        <w:t xml:space="preserve"> rezervuārs ir augsne, un šo mikroorganismu bieži sastop augājā, lopbarībā, ūdenī, notekūdeņos un lauksaimniecību vidē. </w:t>
      </w:r>
      <w:r>
        <w:rPr>
          <w:rFonts w:ascii="Times New Roman" w:hAnsi="Times New Roman"/>
          <w:i/>
          <w:iCs/>
          <w:sz w:val="24"/>
        </w:rPr>
        <w:t>L. monocytogenes</w:t>
      </w:r>
      <w:r>
        <w:rPr>
          <w:rFonts w:ascii="Times New Roman" w:hAnsi="Times New Roman"/>
          <w:sz w:val="24"/>
        </w:rPr>
        <w:t xml:space="preserve"> var atrast arī uz iekārtām, ko izmanto pārtikas </w:t>
      </w:r>
      <w:r>
        <w:rPr>
          <w:rFonts w:ascii="Times New Roman" w:hAnsi="Times New Roman"/>
          <w:sz w:val="24"/>
        </w:rPr>
        <w:lastRenderedPageBreak/>
        <w:t xml:space="preserve">produktu pārstrādei, sagatavošanai, uzglabāšanai un pārvadāšanai (Thimothe et al., 2004; FSIS, 2014). Nonākot pārtikas pārstrādes uzņēmumā, </w:t>
      </w:r>
      <w:r>
        <w:rPr>
          <w:rFonts w:ascii="Times New Roman" w:hAnsi="Times New Roman"/>
          <w:i/>
          <w:iCs/>
          <w:sz w:val="24"/>
        </w:rPr>
        <w:t>L. monocytogenes</w:t>
      </w:r>
      <w:r>
        <w:rPr>
          <w:rFonts w:ascii="Times New Roman" w:hAnsi="Times New Roman"/>
          <w:sz w:val="24"/>
        </w:rPr>
        <w:t xml:space="preserve"> vienmēr atrod piemērotas nišas, it īpaši mitrās vietās, kur šis mikroorganisms var netraucēti uzturēties un arī vairoties; šīs kritiski svarīgās vietas var būt arī slēptas vai nepieejamas virsmas (MAF, 2011).</w:t>
      </w:r>
    </w:p>
    <w:p w:rsidR="001529C6" w:rsidRPr="001B6F3C" w:rsidRDefault="001529C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Lielākajā pieejamo pamatnostādņu daļā ir norādīts, ka </w:t>
      </w:r>
      <w:r>
        <w:rPr>
          <w:rFonts w:ascii="Times New Roman" w:hAnsi="Times New Roman"/>
          <w:i/>
          <w:iCs/>
          <w:sz w:val="24"/>
        </w:rPr>
        <w:t>L. monocytogenes</w:t>
      </w:r>
      <w:r>
        <w:rPr>
          <w:rFonts w:ascii="Times New Roman" w:hAnsi="Times New Roman"/>
          <w:sz w:val="24"/>
        </w:rPr>
        <w:t xml:space="preserve"> var atrasties ne vien grūti piekļūstamās vietās uz kontaktvirsmām, kas nonāk saskarē ar pārtiku, bet arī uz citām kontaktvirsmām, kas šādā saskarē nenonāk un lielākoties ir grūti tīrāmas. Īpaša uzmanība jāpievērš veidņu iekšpusei, rotora asmenim un citām grūti tīrāmām kontaktvietām, kas ir saskarē ar pārtiku, piemēram, griešanas iekārtām, nažiem, griešanas dēļiem, konveijera lentēm (galvenokārt konveijeros, ko izmanto pēc blanšēšanas/vibrācijas konveijeros), cimdveida savienojumiem, blīvēm un blīvripām, kas cita starpā var būt potenciāli baktērijas </w:t>
      </w:r>
      <w:r>
        <w:rPr>
          <w:rFonts w:ascii="Times New Roman" w:hAnsi="Times New Roman"/>
          <w:i/>
          <w:iCs/>
          <w:sz w:val="24"/>
        </w:rPr>
        <w:t>L. monocytogenes</w:t>
      </w:r>
      <w:r>
        <w:rPr>
          <w:rFonts w:ascii="Times New Roman" w:hAnsi="Times New Roman"/>
          <w:sz w:val="24"/>
        </w:rPr>
        <w:t xml:space="preserve"> avoti (Lakicevic un Nastasijevic, 2017). Saldēšanas sistēmas, ieskaitot no tām pilošos šķidrumus, un sasaldēšanas tuneļi ir mitra vide, kas parasti veicina baktērijas </w:t>
      </w:r>
      <w:r>
        <w:rPr>
          <w:rFonts w:ascii="Times New Roman" w:hAnsi="Times New Roman"/>
          <w:i/>
          <w:iCs/>
          <w:sz w:val="24"/>
        </w:rPr>
        <w:t>L. monocytogenes</w:t>
      </w:r>
      <w:r>
        <w:rPr>
          <w:rFonts w:ascii="Times New Roman" w:hAnsi="Times New Roman"/>
          <w:sz w:val="24"/>
        </w:rPr>
        <w:t xml:space="preserve"> izdzīvošanu. Sasaldēšanas/atkausēšanas zonas, kur vienā pusē ir apkārtējās vides temperatūra un šo zonu regulāri tīra un otrā pusē ir saldētava/zona, kurā tīrīšanu regulāri neveic, uzskata par paaugstināta riska zonām. Sasaldēšanas tuneļus parasti atkausē ik pēc 12–48 stundām atkarībā no modeļa, tomēr “jaunās paaudzes” tuneļus pilnībā atkausēt nav iespējams, tāpēc piesārņošanās gadījumā baktērijas un produktu paliekas nevar pilnībā iznīcināt. Izolēti paneļi, ja tie ir piesūkušies ar ūdeni, parasti rada lielu problēmu, kas ir raksturīga sasaldēšanas tuneļiem, jo izolācijas paneļi lielākoties ir no ekstrudēta materiāla, nevis materiāla ar slēgtu šūnu struktūru. Problēmas rada arī grīdas, it īpaši, kad tās izgatavotas no porainiem betona blokiem, ja tos nesedz necaurlaidīga hidroizolācija.</w:t>
      </w:r>
    </w:p>
    <w:p w:rsidR="001529C6" w:rsidRPr="001B6F3C" w:rsidRDefault="001529C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Notekas klasificē kā būtiski svarīgu </w:t>
      </w:r>
      <w:r>
        <w:rPr>
          <w:rFonts w:ascii="Times New Roman" w:hAnsi="Times New Roman"/>
          <w:i/>
          <w:iCs/>
          <w:sz w:val="24"/>
        </w:rPr>
        <w:t>L. monocytogenes</w:t>
      </w:r>
      <w:r>
        <w:rPr>
          <w:rFonts w:ascii="Times New Roman" w:hAnsi="Times New Roman"/>
          <w:sz w:val="24"/>
        </w:rPr>
        <w:t xml:space="preserve"> potenciālo nišu saldētavās. ASV Lauksaimniecības departaments (</w:t>
      </w:r>
      <w:r>
        <w:rPr>
          <w:rFonts w:ascii="Times New Roman" w:hAnsi="Times New Roman"/>
          <w:i/>
          <w:iCs/>
          <w:sz w:val="24"/>
        </w:rPr>
        <w:t>USDA</w:t>
      </w:r>
      <w:r>
        <w:rPr>
          <w:rFonts w:ascii="Times New Roman" w:hAnsi="Times New Roman"/>
          <w:sz w:val="24"/>
        </w:rPr>
        <w:t xml:space="preserve">) (2017) norāda, ka tipiskas vietas pārstrādes uzņēmumos, kur var patverties </w:t>
      </w:r>
      <w:r>
        <w:rPr>
          <w:rFonts w:ascii="Times New Roman" w:hAnsi="Times New Roman"/>
          <w:i/>
          <w:iCs/>
          <w:sz w:val="24"/>
        </w:rPr>
        <w:t>Listeria spp</w:t>
      </w:r>
      <w:r>
        <w:rPr>
          <w:rFonts w:ascii="Times New Roman" w:hAnsi="Times New Roman"/>
          <w:sz w:val="24"/>
        </w:rPr>
        <w:t xml:space="preserve">., ir grīdas, it īpaši tajās esošās spraugas un plaisas, sienas, notekas, griesti, pie griestiem nostiprinātas konstrukcijas, ejas, mazgāšanas vietas, kondensāts un stāvošs ūdens, mitra izolācija, kas atrodas sienās un ap caurulēm un dzesēšanas agregātiem, gumijas blīves ap durvīm (jo īpaši dzesētavās), metāla savienojumu vietas (jo īpaši, metinātie un bultskrūvju savienojumi) un </w:t>
      </w:r>
      <w:r w:rsidR="00EF22E2">
        <w:rPr>
          <w:rFonts w:ascii="Times New Roman" w:hAnsi="Times New Roman"/>
          <w:sz w:val="24"/>
        </w:rPr>
        <w:t>vakuuma tīrīšanas ierīču</w:t>
      </w:r>
      <w:r>
        <w:rPr>
          <w:rFonts w:ascii="Times New Roman" w:hAnsi="Times New Roman"/>
          <w:sz w:val="24"/>
        </w:rPr>
        <w:t xml:space="preserve"> saturs. Šīs netiešās kontaktvietas var piesārņot produktu ar izplūstoša ūdens, mitruma un kondensāta starpniecību.</w:t>
      </w:r>
    </w:p>
    <w:p w:rsidR="001529C6" w:rsidRPr="001B6F3C" w:rsidRDefault="001529C6"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1. tabulā ir kopsavilkums par saldēto ADG iespējamā piesārņojuma avotiem, ņemot vērā dažādos ražošanas posmus un darbības, ko veic saldētavās un apstrādes un pārkraušanas vietās.</w:t>
      </w:r>
    </w:p>
    <w:p w:rsidR="00270842" w:rsidRPr="001B6F3C" w:rsidRDefault="00270842" w:rsidP="004650EF">
      <w:pPr>
        <w:jc w:val="both"/>
        <w:rPr>
          <w:rFonts w:ascii="Times New Roman" w:eastAsia="Calibri" w:hAnsi="Times New Roman" w:cs="Calibri"/>
          <w:noProof/>
          <w:sz w:val="24"/>
          <w:szCs w:val="27"/>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b/>
          <w:sz w:val="24"/>
        </w:rPr>
        <w:t xml:space="preserve">1. tabula. </w:t>
      </w:r>
      <w:r>
        <w:rPr>
          <w:rFonts w:ascii="Times New Roman" w:hAnsi="Times New Roman"/>
          <w:sz w:val="24"/>
        </w:rPr>
        <w:t xml:space="preserve">Saldēto ADG potenciālie baktērijas </w:t>
      </w:r>
      <w:r>
        <w:rPr>
          <w:rFonts w:ascii="Times New Roman" w:hAnsi="Times New Roman"/>
          <w:i/>
          <w:iCs/>
          <w:sz w:val="24"/>
        </w:rPr>
        <w:t>L. monocytogenes</w:t>
      </w:r>
      <w:r>
        <w:rPr>
          <w:rFonts w:ascii="Times New Roman" w:hAnsi="Times New Roman"/>
          <w:sz w:val="24"/>
        </w:rPr>
        <w:t xml:space="preserve"> piesārņojuma avoti, ņemot vērā dažādās darbības, ko veic saldētavās un apstrādes un pārkraušanas vietās (arvien papildināms saraksts, kas pielāgots no standarta EN ISO 18593 un ASV Pārtikas un zāļu pārvaldes (</w:t>
      </w:r>
      <w:r>
        <w:rPr>
          <w:rFonts w:ascii="Times New Roman" w:hAnsi="Times New Roman"/>
          <w:i/>
          <w:iCs/>
          <w:sz w:val="24"/>
        </w:rPr>
        <w:t>USFDA</w:t>
      </w:r>
      <w:r>
        <w:rPr>
          <w:rFonts w:ascii="Times New Roman" w:hAnsi="Times New Roman"/>
          <w:sz w:val="24"/>
        </w:rPr>
        <w:t>) (2017) materiāliem un sastādīts, pamatojoties uz ekspertu apspriežu atzinumiem)</w:t>
      </w:r>
    </w:p>
    <w:p w:rsidR="00270842" w:rsidRPr="001B6F3C" w:rsidRDefault="00270842" w:rsidP="004650EF">
      <w:pPr>
        <w:jc w:val="both"/>
        <w:rPr>
          <w:rFonts w:ascii="Times New Roman" w:eastAsia="Tahoma" w:hAnsi="Times New Roman" w:cs="Tahoma"/>
          <w:noProof/>
          <w:sz w:val="2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88"/>
        <w:gridCol w:w="11"/>
        <w:gridCol w:w="2614"/>
        <w:gridCol w:w="7"/>
        <w:gridCol w:w="4962"/>
      </w:tblGrid>
      <w:tr w:rsidR="001529C6" w:rsidRPr="001529C6" w:rsidTr="001529C6">
        <w:tc>
          <w:tcPr>
            <w:tcW w:w="819" w:type="pct"/>
          </w:tcPr>
          <w:p w:rsidR="00270842" w:rsidRPr="001529C6" w:rsidRDefault="00270842" w:rsidP="004650EF">
            <w:pPr>
              <w:pStyle w:val="TableParagraph"/>
              <w:jc w:val="both"/>
              <w:rPr>
                <w:rFonts w:ascii="Times New Roman" w:hAnsi="Times New Roman" w:cs="Times New Roman"/>
                <w:b/>
                <w:noProof/>
                <w:sz w:val="20"/>
                <w:szCs w:val="20"/>
              </w:rPr>
            </w:pPr>
            <w:r>
              <w:rPr>
                <w:rFonts w:ascii="Times New Roman" w:hAnsi="Times New Roman"/>
                <w:b/>
                <w:sz w:val="20"/>
                <w:szCs w:val="20"/>
              </w:rPr>
              <w:t>Ražošanas darbības</w:t>
            </w:r>
          </w:p>
        </w:tc>
        <w:tc>
          <w:tcPr>
            <w:tcW w:w="1445" w:type="pct"/>
            <w:gridSpan w:val="2"/>
          </w:tcPr>
          <w:p w:rsidR="00270842" w:rsidRPr="001529C6" w:rsidRDefault="00270842" w:rsidP="004650EF">
            <w:pPr>
              <w:pStyle w:val="TableParagraph"/>
              <w:jc w:val="both"/>
              <w:rPr>
                <w:rFonts w:ascii="Times New Roman" w:hAnsi="Times New Roman" w:cs="Times New Roman"/>
                <w:b/>
                <w:noProof/>
                <w:sz w:val="20"/>
                <w:szCs w:val="20"/>
              </w:rPr>
            </w:pPr>
            <w:r>
              <w:rPr>
                <w:rFonts w:ascii="Times New Roman" w:hAnsi="Times New Roman"/>
                <w:b/>
                <w:sz w:val="20"/>
                <w:szCs w:val="20"/>
              </w:rPr>
              <w:t>Kategorijas apraksts</w:t>
            </w:r>
          </w:p>
        </w:tc>
        <w:tc>
          <w:tcPr>
            <w:tcW w:w="2736" w:type="pct"/>
            <w:gridSpan w:val="2"/>
          </w:tcPr>
          <w:p w:rsidR="00270842" w:rsidRPr="001529C6" w:rsidRDefault="00270842" w:rsidP="004650EF">
            <w:pPr>
              <w:pStyle w:val="TableParagraph"/>
              <w:jc w:val="both"/>
              <w:rPr>
                <w:rFonts w:ascii="Times New Roman" w:hAnsi="Times New Roman" w:cs="Times New Roman"/>
                <w:b/>
                <w:i/>
                <w:noProof/>
                <w:sz w:val="20"/>
                <w:szCs w:val="20"/>
              </w:rPr>
            </w:pPr>
            <w:r>
              <w:rPr>
                <w:rFonts w:ascii="Times New Roman" w:hAnsi="Times New Roman"/>
                <w:b/>
                <w:sz w:val="20"/>
                <w:szCs w:val="20"/>
              </w:rPr>
              <w:t xml:space="preserve">Baktērijas </w:t>
            </w:r>
            <w:r>
              <w:rPr>
                <w:rFonts w:ascii="Times New Roman" w:hAnsi="Times New Roman"/>
                <w:b/>
                <w:i/>
                <w:sz w:val="20"/>
                <w:szCs w:val="20"/>
              </w:rPr>
              <w:t xml:space="preserve">L. monocytogenes </w:t>
            </w:r>
            <w:r>
              <w:rPr>
                <w:rFonts w:ascii="Times New Roman" w:hAnsi="Times New Roman"/>
                <w:b/>
                <w:sz w:val="20"/>
                <w:szCs w:val="20"/>
              </w:rPr>
              <w:t>potenciālais avots</w:t>
            </w:r>
          </w:p>
        </w:tc>
      </w:tr>
      <w:tr w:rsidR="001529C6" w:rsidRPr="001529C6" w:rsidTr="001529C6">
        <w:tc>
          <w:tcPr>
            <w:tcW w:w="819" w:type="pct"/>
            <w:vMerge w:val="restart"/>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Saņemšana</w:t>
            </w:r>
          </w:p>
        </w:tc>
        <w:tc>
          <w:tcPr>
            <w:tcW w:w="1445"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Svaigi ADG</w:t>
            </w:r>
          </w:p>
        </w:tc>
        <w:tc>
          <w:tcPr>
            <w:tcW w:w="2736" w:type="pct"/>
            <w:gridSpan w:val="2"/>
          </w:tcPr>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Augļi</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Dārzeņi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Garšaugi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ADG, kam veikta pirmapstrāde</w:t>
            </w:r>
          </w:p>
        </w:tc>
      </w:tr>
      <w:tr w:rsidR="001529C6" w:rsidRPr="001529C6" w:rsidTr="001529C6">
        <w:tc>
          <w:tcPr>
            <w:tcW w:w="819" w:type="pct"/>
            <w:vMerge/>
          </w:tcPr>
          <w:p w:rsidR="00270842" w:rsidRPr="001529C6" w:rsidRDefault="00270842" w:rsidP="004650EF">
            <w:pPr>
              <w:jc w:val="both"/>
              <w:rPr>
                <w:rFonts w:ascii="Times New Roman" w:hAnsi="Times New Roman" w:cs="Times New Roman"/>
                <w:noProof/>
                <w:sz w:val="20"/>
                <w:szCs w:val="20"/>
              </w:rPr>
            </w:pPr>
          </w:p>
        </w:tc>
        <w:tc>
          <w:tcPr>
            <w:tcW w:w="1445"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Citas sastāvdaļas, kas nav ADG</w:t>
            </w:r>
          </w:p>
        </w:tc>
        <w:tc>
          <w:tcPr>
            <w:tcW w:w="2736" w:type="pct"/>
            <w:gridSpan w:val="2"/>
          </w:tcPr>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Gaļa vai gaļas produkti</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Zivis vai zivju produkti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Mērces</w:t>
            </w:r>
          </w:p>
        </w:tc>
      </w:tr>
      <w:tr w:rsidR="001529C6" w:rsidRPr="001529C6" w:rsidTr="001529C6">
        <w:tc>
          <w:tcPr>
            <w:tcW w:w="819" w:type="pct"/>
            <w:vMerge/>
          </w:tcPr>
          <w:p w:rsidR="00270842" w:rsidRPr="001529C6" w:rsidRDefault="00270842" w:rsidP="004650EF">
            <w:pPr>
              <w:jc w:val="both"/>
              <w:rPr>
                <w:rFonts w:ascii="Times New Roman" w:hAnsi="Times New Roman" w:cs="Times New Roman"/>
                <w:noProof/>
                <w:sz w:val="20"/>
                <w:szCs w:val="20"/>
              </w:rPr>
            </w:pPr>
          </w:p>
        </w:tc>
        <w:tc>
          <w:tcPr>
            <w:tcW w:w="1445"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Ūdens avoti</w:t>
            </w:r>
          </w:p>
        </w:tc>
        <w:tc>
          <w:tcPr>
            <w:tcW w:w="2736" w:type="pct"/>
            <w:gridSpan w:val="2"/>
          </w:tcPr>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Atgriezes ūdens</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Otrreizēji pārstrādāts ūdens</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Tīrs ūdens</w:t>
            </w:r>
          </w:p>
        </w:tc>
      </w:tr>
      <w:tr w:rsidR="001529C6" w:rsidRPr="001529C6" w:rsidTr="001529C6">
        <w:tc>
          <w:tcPr>
            <w:tcW w:w="819" w:type="pct"/>
            <w:vMerge w:val="restart"/>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Vispārējas pārstrādes darbības</w:t>
            </w:r>
          </w:p>
        </w:tc>
        <w:tc>
          <w:tcPr>
            <w:tcW w:w="1445"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Kontaktvirsmas, kas nav saskarē ar pārtiku</w:t>
            </w:r>
          </w:p>
        </w:tc>
        <w:tc>
          <w:tcPr>
            <w:tcW w:w="2736"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Sasaldēšanas tuneļa sasaldēšanas/atkausēšanas zonas (sasaldēšanas tuneļa ieeja un izeja (apkārtējās vides temperatūrā))</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Konveijera lentes (galvenokārt konveijeros, ko izmanto pēc blanšēšanas/vibrācijas konveijeros)</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Aprīkojums izmēra samazināšanai un mizošanai (piemēram, griešanas iekārtas, homogenizatori, mizotāji)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Maisītāji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Uzpildīšanas un iepakošanas aprīkojums</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Svari (uzpildīšanas aparāti ar elektroniskām iekārtām, kas nav nodrošinātas pret mazgāšanu)</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Gumijas blīves aprīkojumā (aprīkojums bez higiēniska dizaina ar slāņainiem savienojumiem)</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Tvertnes saldēto ADG savākšanai</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Darba piederumi (galdi, soli, naži, griešanas dēļi)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Produktu savstarpējā piesārņošanās</w:t>
            </w:r>
          </w:p>
        </w:tc>
      </w:tr>
      <w:tr w:rsidR="001529C6" w:rsidRPr="001529C6" w:rsidTr="001529C6">
        <w:tc>
          <w:tcPr>
            <w:tcW w:w="819" w:type="pct"/>
            <w:vMerge/>
          </w:tcPr>
          <w:p w:rsidR="00270842" w:rsidRPr="001529C6" w:rsidRDefault="00270842" w:rsidP="004650EF">
            <w:pPr>
              <w:jc w:val="both"/>
              <w:rPr>
                <w:rFonts w:ascii="Times New Roman" w:hAnsi="Times New Roman" w:cs="Times New Roman"/>
                <w:noProof/>
                <w:sz w:val="20"/>
                <w:szCs w:val="20"/>
              </w:rPr>
            </w:pPr>
          </w:p>
        </w:tc>
        <w:tc>
          <w:tcPr>
            <w:tcW w:w="1445"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Kontaktvirsmas, kas nav saskarē ar pārtiku</w:t>
            </w:r>
          </w:p>
        </w:tc>
        <w:tc>
          <w:tcPr>
            <w:tcW w:w="2736"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Dobi konveijera veltņi</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Datoraprīkojums (skārienjūtīgi ekrāni, datora paneļi)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Pūtējventilatori sasaldēšanas tuneļos</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Jebkura vieta, kurā var uzkrāties kondensāts (piemēram, kondensāta savācējtrauki)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Jebkuras bojāta aprīkojuma vietas, kas nav saskarē ar pārtiku vai grīdu</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Aprīkojuma iekšējie paneļi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Durvju rokturi</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Grīda; īpaši tajā esošās spraugas</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Ūdens peļķes uz grīdas</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Sienas un sienu savienojumi ar grīdu</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Griesti</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Pie griestiem nostiprinātas konstrukcijas</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Ejas</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Gumijas blīves ap durvīm</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Grīdā iestrādāti svari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Pacēlāji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Ratiņu/atkritumu tvertņu riteņi</w:t>
            </w:r>
          </w:p>
        </w:tc>
      </w:tr>
      <w:tr w:rsidR="001529C6" w:rsidRPr="001529C6" w:rsidTr="001529C6">
        <w:tc>
          <w:tcPr>
            <w:tcW w:w="819" w:type="pct"/>
            <w:vMerge/>
          </w:tcPr>
          <w:p w:rsidR="00270842" w:rsidRPr="001529C6" w:rsidRDefault="00270842" w:rsidP="004650EF">
            <w:pPr>
              <w:jc w:val="both"/>
              <w:rPr>
                <w:rFonts w:ascii="Times New Roman" w:hAnsi="Times New Roman" w:cs="Times New Roman"/>
                <w:noProof/>
                <w:sz w:val="20"/>
                <w:szCs w:val="20"/>
              </w:rPr>
            </w:pPr>
          </w:p>
        </w:tc>
        <w:tc>
          <w:tcPr>
            <w:tcW w:w="1445"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Darbinieki</w:t>
            </w:r>
          </w:p>
        </w:tc>
        <w:tc>
          <w:tcPr>
            <w:tcW w:w="2736"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Formastērpi</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Darbinieku uzvedība</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Cimdi, priekšauti, apavi</w:t>
            </w:r>
          </w:p>
        </w:tc>
      </w:tr>
      <w:tr w:rsidR="001529C6" w:rsidRPr="001529C6" w:rsidTr="001529C6">
        <w:tc>
          <w:tcPr>
            <w:tcW w:w="819" w:type="pct"/>
            <w:vMerge w:val="restart"/>
          </w:tcPr>
          <w:p w:rsidR="00270842" w:rsidRPr="001529C6" w:rsidRDefault="00270842" w:rsidP="004650EF">
            <w:pPr>
              <w:pStyle w:val="TableParagraph"/>
              <w:jc w:val="both"/>
              <w:rPr>
                <w:rFonts w:ascii="Times New Roman" w:eastAsia="Tahoma" w:hAnsi="Times New Roman" w:cs="Times New Roman"/>
                <w:noProof/>
                <w:sz w:val="20"/>
                <w:szCs w:val="20"/>
              </w:rPr>
            </w:pPr>
            <w:r>
              <w:rPr>
                <w:rFonts w:ascii="Times New Roman" w:hAnsi="Times New Roman"/>
                <w:sz w:val="20"/>
                <w:szCs w:val="20"/>
              </w:rPr>
              <w:t>Pārstrādes darbības, kurās izmanto ūdeni (piemēram, mazgāšana, pārvadāšana, blanšēšana, atdzesēšana) a)</w:t>
            </w:r>
          </w:p>
        </w:tc>
        <w:tc>
          <w:tcPr>
            <w:tcW w:w="1445"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Virsmas, kas nonāk saskarē ar pārtiku</w:t>
            </w:r>
          </w:p>
        </w:tc>
        <w:tc>
          <w:tcPr>
            <w:tcW w:w="2736"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Mazgāšanai izmantotais aprīkojums (smidzinātāji, tvertnes, lāpstiņas, rotējošie cilindri)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Blanšēšanai izmantotais aprīkojums</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Atdzesēšanai (ūdens dzesēšanai) izmantotais aprīkojums</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Aprīkojums produkta pārvadāšanai ūdenī (piemēram, cauruļveida blanšētāji)</w:t>
            </w:r>
          </w:p>
        </w:tc>
      </w:tr>
      <w:tr w:rsidR="001529C6" w:rsidRPr="001529C6" w:rsidTr="001529C6">
        <w:tc>
          <w:tcPr>
            <w:tcW w:w="819" w:type="pct"/>
            <w:vMerge/>
          </w:tcPr>
          <w:p w:rsidR="00270842" w:rsidRPr="001529C6" w:rsidRDefault="00270842" w:rsidP="004650EF">
            <w:pPr>
              <w:jc w:val="both"/>
              <w:rPr>
                <w:rFonts w:ascii="Times New Roman" w:hAnsi="Times New Roman" w:cs="Times New Roman"/>
                <w:noProof/>
                <w:sz w:val="20"/>
                <w:szCs w:val="20"/>
              </w:rPr>
            </w:pPr>
          </w:p>
        </w:tc>
        <w:tc>
          <w:tcPr>
            <w:tcW w:w="1445"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Kontaktvirsmas, kas nav saskarē ar pārtiku</w:t>
            </w:r>
          </w:p>
        </w:tc>
        <w:tc>
          <w:tcPr>
            <w:tcW w:w="2736" w:type="pct"/>
            <w:gridSpan w:val="2"/>
          </w:tcPr>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Ūdens peļķes uz grīdas</w:t>
            </w:r>
          </w:p>
          <w:p w:rsid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Cauruļvadi (ūdens piegādei vai aizvadīšanai)</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Notekas</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Saplaisājušas šļūtenes</w:t>
            </w:r>
          </w:p>
          <w:p w:rsidR="00270842" w:rsidRPr="001529C6" w:rsidRDefault="00270842" w:rsidP="004650EF">
            <w:pPr>
              <w:pStyle w:val="TableParagraph"/>
              <w:jc w:val="both"/>
              <w:rPr>
                <w:rFonts w:ascii="Times New Roman" w:hAnsi="Times New Roman" w:cs="Times New Roman"/>
                <w:noProof/>
                <w:sz w:val="20"/>
                <w:szCs w:val="20"/>
              </w:rPr>
            </w:pPr>
            <w:r>
              <w:rPr>
                <w:rFonts w:ascii="Times New Roman" w:hAnsi="Times New Roman"/>
                <w:sz w:val="20"/>
                <w:szCs w:val="20"/>
              </w:rPr>
              <w:t>Ierīces gaisa ievadīšanai (mazgāšanas) aprīkojumā</w:t>
            </w:r>
          </w:p>
        </w:tc>
      </w:tr>
      <w:tr w:rsidR="001529C6" w:rsidRPr="001529C6" w:rsidTr="001529C6">
        <w:tc>
          <w:tcPr>
            <w:tcW w:w="825" w:type="pct"/>
            <w:gridSpan w:val="2"/>
            <w:vMerge w:val="restart"/>
          </w:tcPr>
          <w:p w:rsidR="00270842" w:rsidRPr="001529C6" w:rsidRDefault="00270842" w:rsidP="004650EF">
            <w:pPr>
              <w:jc w:val="both"/>
              <w:rPr>
                <w:rFonts w:ascii="Times New Roman" w:hAnsi="Times New Roman"/>
                <w:noProof/>
                <w:sz w:val="20"/>
                <w:szCs w:val="20"/>
              </w:rPr>
            </w:pPr>
          </w:p>
        </w:tc>
        <w:tc>
          <w:tcPr>
            <w:tcW w:w="1443" w:type="pct"/>
            <w:gridSpan w:val="2"/>
          </w:tcPr>
          <w:p w:rsidR="00270842" w:rsidRPr="001529C6" w:rsidRDefault="00270842" w:rsidP="004650EF">
            <w:pPr>
              <w:jc w:val="both"/>
              <w:rPr>
                <w:rFonts w:ascii="Times New Roman" w:hAnsi="Times New Roman"/>
                <w:noProof/>
                <w:sz w:val="20"/>
                <w:szCs w:val="20"/>
              </w:rPr>
            </w:pPr>
          </w:p>
        </w:tc>
        <w:tc>
          <w:tcPr>
            <w:tcW w:w="2732" w:type="pct"/>
          </w:tcPr>
          <w:p w:rsid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Aprīkojums ūdens attīrīšanai un filtri</w:t>
            </w:r>
          </w:p>
          <w:p w:rsid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Aprīkojums, ko izmanto ūdens glabāšanai</w:t>
            </w:r>
          </w:p>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Aprīkojums, ko izmanto ūdens dzesēšanai</w:t>
            </w:r>
          </w:p>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Izšļakstīts ūdens, mitrums un aerosola daļiņas</w:t>
            </w:r>
          </w:p>
          <w:p w:rsidR="00270842" w:rsidRPr="001529C6" w:rsidRDefault="00270842" w:rsidP="004650EF">
            <w:pPr>
              <w:pStyle w:val="TableParagraph"/>
              <w:jc w:val="both"/>
              <w:rPr>
                <w:rFonts w:ascii="Times New Roman" w:eastAsia="Tahoma" w:hAnsi="Times New Roman" w:cs="Tahoma"/>
                <w:noProof/>
                <w:sz w:val="20"/>
                <w:szCs w:val="20"/>
              </w:rPr>
            </w:pPr>
            <w:r>
              <w:rPr>
                <w:rFonts w:ascii="Times New Roman" w:hAnsi="Times New Roman"/>
                <w:sz w:val="20"/>
                <w:szCs w:val="20"/>
              </w:rPr>
              <w:t>Jebkurš aprīkojums, ko nevar tīrīt bez demontāžas (</w:t>
            </w:r>
            <w:r>
              <w:rPr>
                <w:rFonts w:ascii="Times New Roman" w:hAnsi="Times New Roman"/>
                <w:i/>
                <w:iCs/>
                <w:sz w:val="20"/>
                <w:szCs w:val="20"/>
              </w:rPr>
              <w:t>CIP</w:t>
            </w:r>
            <w:r>
              <w:rPr>
                <w:rFonts w:ascii="Times New Roman" w:hAnsi="Times New Roman"/>
                <w:sz w:val="20"/>
                <w:szCs w:val="20"/>
              </w:rPr>
              <w:t xml:space="preserve"> = tīrīšana bez demontāžas)</w:t>
            </w:r>
          </w:p>
        </w:tc>
      </w:tr>
      <w:tr w:rsidR="001529C6" w:rsidRPr="001529C6" w:rsidTr="001529C6">
        <w:tc>
          <w:tcPr>
            <w:tcW w:w="825" w:type="pct"/>
            <w:gridSpan w:val="2"/>
            <w:vMerge/>
          </w:tcPr>
          <w:p w:rsidR="00270842" w:rsidRPr="001529C6" w:rsidRDefault="00270842" w:rsidP="004650EF">
            <w:pPr>
              <w:jc w:val="both"/>
              <w:rPr>
                <w:rFonts w:ascii="Times New Roman" w:hAnsi="Times New Roman"/>
                <w:noProof/>
                <w:sz w:val="20"/>
                <w:szCs w:val="20"/>
              </w:rPr>
            </w:pPr>
          </w:p>
        </w:tc>
        <w:tc>
          <w:tcPr>
            <w:tcW w:w="1443" w:type="pct"/>
            <w:gridSpan w:val="2"/>
          </w:tcPr>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Ūdens avoti</w:t>
            </w:r>
          </w:p>
        </w:tc>
        <w:tc>
          <w:tcPr>
            <w:tcW w:w="2732" w:type="pct"/>
          </w:tcPr>
          <w:p w:rsidR="00333E26" w:rsidRDefault="00270842" w:rsidP="004650EF">
            <w:pPr>
              <w:pStyle w:val="TableParagraph"/>
              <w:jc w:val="both"/>
              <w:rPr>
                <w:rFonts w:ascii="Times New Roman" w:hAnsi="Times New Roman"/>
                <w:noProof/>
                <w:sz w:val="20"/>
                <w:szCs w:val="20"/>
              </w:rPr>
            </w:pPr>
            <w:r>
              <w:rPr>
                <w:rFonts w:ascii="Times New Roman" w:hAnsi="Times New Roman"/>
                <w:sz w:val="20"/>
                <w:szCs w:val="20"/>
              </w:rPr>
              <w:t>Atgriezes ūdens</w:t>
            </w:r>
          </w:p>
          <w:p w:rsidR="00333E26" w:rsidRDefault="00270842" w:rsidP="004650EF">
            <w:pPr>
              <w:pStyle w:val="TableParagraph"/>
              <w:jc w:val="both"/>
              <w:rPr>
                <w:rFonts w:ascii="Times New Roman" w:hAnsi="Times New Roman"/>
                <w:noProof/>
                <w:sz w:val="20"/>
                <w:szCs w:val="20"/>
              </w:rPr>
            </w:pPr>
            <w:r>
              <w:rPr>
                <w:rFonts w:ascii="Times New Roman" w:hAnsi="Times New Roman"/>
                <w:sz w:val="20"/>
                <w:szCs w:val="20"/>
              </w:rPr>
              <w:t>Otrreizēji pārstrādāts ūdens</w:t>
            </w:r>
          </w:p>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lastRenderedPageBreak/>
              <w:t>Tīrs ūdens</w:t>
            </w:r>
          </w:p>
        </w:tc>
      </w:tr>
      <w:tr w:rsidR="001529C6" w:rsidRPr="001529C6" w:rsidTr="001529C6">
        <w:tc>
          <w:tcPr>
            <w:tcW w:w="825" w:type="pct"/>
            <w:gridSpan w:val="2"/>
            <w:vMerge w:val="restart"/>
          </w:tcPr>
          <w:p w:rsidR="00270842" w:rsidRPr="001529C6" w:rsidRDefault="00270842" w:rsidP="004650EF">
            <w:pPr>
              <w:pStyle w:val="TableParagraph"/>
              <w:jc w:val="both"/>
              <w:rPr>
                <w:rFonts w:ascii="Times New Roman" w:eastAsia="Tahoma" w:hAnsi="Times New Roman" w:cs="Tahoma"/>
                <w:noProof/>
                <w:sz w:val="20"/>
                <w:szCs w:val="20"/>
              </w:rPr>
            </w:pPr>
            <w:r>
              <w:rPr>
                <w:rFonts w:ascii="Times New Roman" w:hAnsi="Times New Roman"/>
                <w:sz w:val="20"/>
                <w:szCs w:val="20"/>
              </w:rPr>
              <w:lastRenderedPageBreak/>
              <w:t>Telpu tīrīšana un dezinfekcija a)</w:t>
            </w:r>
          </w:p>
        </w:tc>
        <w:tc>
          <w:tcPr>
            <w:tcW w:w="1443" w:type="pct"/>
            <w:gridSpan w:val="2"/>
          </w:tcPr>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Kontaktvirsmas, kas nav saskarē ar pārtiku</w:t>
            </w:r>
          </w:p>
        </w:tc>
        <w:tc>
          <w:tcPr>
            <w:tcW w:w="2732" w:type="pct"/>
          </w:tcPr>
          <w:p w:rsidR="00333E26" w:rsidRDefault="00EF22E2" w:rsidP="004650EF">
            <w:pPr>
              <w:pStyle w:val="TableParagraph"/>
              <w:jc w:val="both"/>
              <w:rPr>
                <w:rFonts w:ascii="Times New Roman" w:hAnsi="Times New Roman"/>
                <w:noProof/>
                <w:sz w:val="20"/>
                <w:szCs w:val="20"/>
              </w:rPr>
            </w:pPr>
            <w:r>
              <w:rPr>
                <w:rFonts w:ascii="Times New Roman" w:hAnsi="Times New Roman"/>
                <w:noProof/>
                <w:sz w:val="20"/>
                <w:szCs w:val="20"/>
              </w:rPr>
              <w:t>Vakuuma tīrīšanas ierīces</w:t>
            </w:r>
          </w:p>
          <w:p w:rsidR="00333E26" w:rsidRDefault="00270842" w:rsidP="004650EF">
            <w:pPr>
              <w:pStyle w:val="TableParagraph"/>
              <w:jc w:val="both"/>
              <w:rPr>
                <w:rFonts w:ascii="Times New Roman" w:hAnsi="Times New Roman"/>
                <w:noProof/>
                <w:sz w:val="20"/>
                <w:szCs w:val="20"/>
              </w:rPr>
            </w:pPr>
            <w:r>
              <w:rPr>
                <w:rFonts w:ascii="Times New Roman" w:hAnsi="Times New Roman"/>
                <w:sz w:val="20"/>
                <w:szCs w:val="20"/>
              </w:rPr>
              <w:t>Grīdas skruberi</w:t>
            </w:r>
          </w:p>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Tīrīšanas rīki</w:t>
            </w:r>
          </w:p>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Augstspiediena ierīces, piemēram, cauruļvadu sistēmas</w:t>
            </w:r>
          </w:p>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Izšļakstīts ūdens, mitrums un aerosola daļiņas augsta spiediena rezultātā</w:t>
            </w:r>
          </w:p>
        </w:tc>
      </w:tr>
      <w:tr w:rsidR="001529C6" w:rsidRPr="001529C6" w:rsidTr="001529C6">
        <w:tc>
          <w:tcPr>
            <w:tcW w:w="825" w:type="pct"/>
            <w:gridSpan w:val="2"/>
            <w:vMerge/>
          </w:tcPr>
          <w:p w:rsidR="00270842" w:rsidRPr="001529C6" w:rsidRDefault="00270842" w:rsidP="004650EF">
            <w:pPr>
              <w:jc w:val="both"/>
              <w:rPr>
                <w:rFonts w:ascii="Times New Roman" w:hAnsi="Times New Roman"/>
                <w:noProof/>
                <w:sz w:val="20"/>
                <w:szCs w:val="20"/>
              </w:rPr>
            </w:pPr>
          </w:p>
        </w:tc>
        <w:tc>
          <w:tcPr>
            <w:tcW w:w="1443" w:type="pct"/>
            <w:gridSpan w:val="2"/>
          </w:tcPr>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Tīrīšanai izmantotais ūdens</w:t>
            </w:r>
          </w:p>
        </w:tc>
        <w:tc>
          <w:tcPr>
            <w:tcW w:w="2732" w:type="pct"/>
          </w:tcPr>
          <w:p w:rsidR="00333E26" w:rsidRDefault="00270842" w:rsidP="004650EF">
            <w:pPr>
              <w:pStyle w:val="TableParagraph"/>
              <w:jc w:val="both"/>
              <w:rPr>
                <w:rFonts w:ascii="Times New Roman" w:hAnsi="Times New Roman"/>
                <w:noProof/>
                <w:sz w:val="20"/>
                <w:szCs w:val="20"/>
              </w:rPr>
            </w:pPr>
            <w:r>
              <w:rPr>
                <w:rFonts w:ascii="Times New Roman" w:hAnsi="Times New Roman"/>
                <w:sz w:val="20"/>
                <w:szCs w:val="20"/>
              </w:rPr>
              <w:t>Atgriezes ūdens</w:t>
            </w:r>
          </w:p>
          <w:p w:rsidR="00333E26" w:rsidRDefault="00270842" w:rsidP="004650EF">
            <w:pPr>
              <w:pStyle w:val="TableParagraph"/>
              <w:jc w:val="both"/>
              <w:rPr>
                <w:rFonts w:ascii="Times New Roman" w:hAnsi="Times New Roman"/>
                <w:noProof/>
                <w:sz w:val="20"/>
                <w:szCs w:val="20"/>
              </w:rPr>
            </w:pPr>
            <w:r>
              <w:rPr>
                <w:rFonts w:ascii="Times New Roman" w:hAnsi="Times New Roman"/>
                <w:sz w:val="20"/>
                <w:szCs w:val="20"/>
              </w:rPr>
              <w:t>Otrreizēji pārstrādāts ūdens</w:t>
            </w:r>
          </w:p>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Tīrs ūdens</w:t>
            </w:r>
          </w:p>
        </w:tc>
      </w:tr>
      <w:tr w:rsidR="001529C6" w:rsidRPr="001529C6" w:rsidTr="001529C6">
        <w:tc>
          <w:tcPr>
            <w:tcW w:w="825" w:type="pct"/>
            <w:gridSpan w:val="2"/>
          </w:tcPr>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Uzglabāšana</w:t>
            </w:r>
          </w:p>
        </w:tc>
        <w:tc>
          <w:tcPr>
            <w:tcW w:w="1443" w:type="pct"/>
            <w:gridSpan w:val="2"/>
          </w:tcPr>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Kontaktvirsmas, kas nav saskarē ar pārtiku</w:t>
            </w:r>
          </w:p>
        </w:tc>
        <w:tc>
          <w:tcPr>
            <w:tcW w:w="2732" w:type="pct"/>
          </w:tcPr>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Sasaldēšanas iekārtas</w:t>
            </w:r>
          </w:p>
          <w:p w:rsidR="00333E26" w:rsidRDefault="00270842" w:rsidP="004650EF">
            <w:pPr>
              <w:pStyle w:val="TableParagraph"/>
              <w:jc w:val="both"/>
              <w:rPr>
                <w:rFonts w:ascii="Times New Roman" w:hAnsi="Times New Roman"/>
                <w:noProof/>
                <w:sz w:val="20"/>
                <w:szCs w:val="20"/>
              </w:rPr>
            </w:pPr>
            <w:r>
              <w:rPr>
                <w:rFonts w:ascii="Times New Roman" w:hAnsi="Times New Roman"/>
                <w:sz w:val="20"/>
                <w:szCs w:val="20"/>
              </w:rPr>
              <w:t>Dzesēšanas/saldēšanas ventilatori kondensatoros</w:t>
            </w:r>
          </w:p>
          <w:p w:rsidR="00333E26" w:rsidRDefault="00270842" w:rsidP="004650EF">
            <w:pPr>
              <w:pStyle w:val="TableParagraph"/>
              <w:jc w:val="both"/>
              <w:rPr>
                <w:rFonts w:ascii="Times New Roman" w:hAnsi="Times New Roman"/>
                <w:noProof/>
                <w:sz w:val="20"/>
                <w:szCs w:val="20"/>
              </w:rPr>
            </w:pPr>
            <w:r>
              <w:rPr>
                <w:rFonts w:ascii="Times New Roman" w:hAnsi="Times New Roman"/>
                <w:sz w:val="20"/>
                <w:szCs w:val="20"/>
              </w:rPr>
              <w:t>Aukstuma punkti, kur veidojas ūdens kondensāts</w:t>
            </w:r>
          </w:p>
          <w:p w:rsidR="00333E26" w:rsidRDefault="00270842" w:rsidP="004650EF">
            <w:pPr>
              <w:pStyle w:val="TableParagraph"/>
              <w:jc w:val="both"/>
              <w:rPr>
                <w:rFonts w:ascii="Times New Roman" w:hAnsi="Times New Roman"/>
                <w:noProof/>
                <w:sz w:val="20"/>
                <w:szCs w:val="20"/>
              </w:rPr>
            </w:pPr>
            <w:r>
              <w:rPr>
                <w:rFonts w:ascii="Times New Roman" w:hAnsi="Times New Roman"/>
                <w:sz w:val="20"/>
                <w:szCs w:val="20"/>
              </w:rPr>
              <w:t>Iztvaicētāji, ieskaitot iztvaicētāja notekcauruli</w:t>
            </w:r>
          </w:p>
          <w:p w:rsidR="00270842" w:rsidRPr="001529C6" w:rsidRDefault="00270842" w:rsidP="004650EF">
            <w:pPr>
              <w:pStyle w:val="TableParagraph"/>
              <w:jc w:val="both"/>
              <w:rPr>
                <w:rFonts w:ascii="Times New Roman" w:hAnsi="Times New Roman"/>
                <w:noProof/>
                <w:sz w:val="20"/>
                <w:szCs w:val="20"/>
              </w:rPr>
            </w:pPr>
            <w:r>
              <w:rPr>
                <w:rFonts w:ascii="Times New Roman" w:hAnsi="Times New Roman"/>
                <w:sz w:val="20"/>
                <w:szCs w:val="20"/>
              </w:rPr>
              <w:t>Gumijas blīves ap durvīm</w:t>
            </w:r>
          </w:p>
        </w:tc>
      </w:tr>
    </w:tbl>
    <w:p w:rsidR="00270842" w:rsidRPr="00333E26" w:rsidRDefault="00270842" w:rsidP="004650EF">
      <w:pPr>
        <w:jc w:val="both"/>
        <w:rPr>
          <w:rFonts w:ascii="Times New Roman" w:hAnsi="Times New Roman"/>
          <w:noProof/>
          <w:sz w:val="20"/>
          <w:szCs w:val="20"/>
        </w:rPr>
      </w:pPr>
      <w:r>
        <w:rPr>
          <w:rFonts w:ascii="Times New Roman" w:hAnsi="Times New Roman"/>
          <w:sz w:val="20"/>
          <w:szCs w:val="20"/>
        </w:rPr>
        <w:t>a) Jāņem vērā arī visi riska faktori, kas minēti saistībā ar vispārējām pārstrādes darbībām.</w:t>
      </w:r>
    </w:p>
    <w:p w:rsidR="00333E26"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Trešās sadaļas 3. punkta 1. līdz 6. apakšpunktā norādīti baktērijas </w:t>
      </w:r>
      <w:r>
        <w:rPr>
          <w:rFonts w:ascii="Times New Roman" w:hAnsi="Times New Roman"/>
          <w:i/>
          <w:sz w:val="24"/>
        </w:rPr>
        <w:t>L. monocytogenes</w:t>
      </w:r>
      <w:r>
        <w:rPr>
          <w:rFonts w:ascii="Times New Roman" w:hAnsi="Times New Roman"/>
          <w:sz w:val="24"/>
        </w:rPr>
        <w:t xml:space="preserve"> piesārņojuma riska faktori saistībā ar vidi, darbiniekiem, aprīkojumu, svaigiem ADG un citām sastāvdaļām, kas nav ADG, kā arī ražošanas posmiem.</w:t>
      </w:r>
    </w:p>
    <w:p w:rsidR="00333E26" w:rsidRPr="001B6F3C" w:rsidRDefault="00333E26" w:rsidP="004650EF">
      <w:pPr>
        <w:pStyle w:val="BodyText"/>
        <w:ind w:left="0"/>
        <w:jc w:val="both"/>
        <w:rPr>
          <w:rFonts w:ascii="Times New Roman" w:hAnsi="Times New Roman"/>
          <w:noProof/>
          <w:sz w:val="24"/>
        </w:rPr>
      </w:pPr>
    </w:p>
    <w:p w:rsidR="00270842" w:rsidRPr="001B6F3C" w:rsidRDefault="00333E26" w:rsidP="00150B9E">
      <w:pPr>
        <w:pStyle w:val="Heading1"/>
        <w:rPr>
          <w:noProof/>
        </w:rPr>
      </w:pPr>
      <w:bookmarkStart w:id="37" w:name="_TOC_250018"/>
      <w:bookmarkStart w:id="38" w:name="_Toc37931386"/>
      <w:r>
        <w:t xml:space="preserve">3.3.1. </w:t>
      </w:r>
      <w:r w:rsidRPr="00150B9E">
        <w:t>Ražošanas</w:t>
      </w:r>
      <w:r>
        <w:t xml:space="preserve"> veids</w:t>
      </w:r>
      <w:bookmarkEnd w:id="37"/>
      <w:bookmarkEnd w:id="38"/>
    </w:p>
    <w:p w:rsidR="00270842" w:rsidRPr="001B6F3C" w:rsidRDefault="00270842" w:rsidP="004650EF">
      <w:pPr>
        <w:jc w:val="both"/>
        <w:rPr>
          <w:rFonts w:ascii="Times New Roman" w:eastAsia="Tahoma" w:hAnsi="Times New Roman" w:cs="Tahoma"/>
          <w:b/>
          <w:bCs/>
          <w:noProof/>
          <w:sz w:val="24"/>
          <w:szCs w:val="19"/>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Saldētu ADG ražošana ir ļoti atkarīga no saldētavā ražotajiem preču veidiem un attiecīgo preču audzēšanas sezonas ilguma vai intensitātes. Līdz ar to atkarībā no produkta un reģiona, kurā to audzē, maksimālā ražošanas intensitāte var būt pavasarī/vasarā vai rudenī/ziemā. Rūpnīcas ir organizētas tā, lai noteiktā laika periodā varētu ražot lielus nefasētu produktu apjomus. Ražošanā lielāka nozīme ir laikam (kad vairākas viena un tā paša produkta partijas apstrādā vienu pēc otras, nepārtraucot ražošanas procesu), nevis partijām (kad partijas var skaidri nošķirt vienu no otras). Uzsākot jaunas preces ražošanu, aprīkojums un iekārtas bieži vien ir jāpārkārto un dažos gadījumos atkārtoti jāuzstāda (jo īpašu ražošanas posmu veikšanai var būt vajadzīgas citas iekārtas).</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Saldētavas ir rūpnīcas ar pilnu noslodzi, kur tīrīšanu/apkopes darbus veic pēc tam, kad ir pabeigta viena noteikta produkta ražošana, vai arī pa noteiktiem laika posmiem. Intervāli starp tīrīšanas darbiem var ilgt no dažām stundām līdz vairākām dienām atkarībā no saldētavas vai produkta veida. Dažreiz vairākas ražošanas līnijas strādā paralēli, apstrādājot vai nu līdzīgus, vai dažādus produktus, tāpēc savstarpēju piesārņošanos nevar pilnībā izslēgt. Tas, ka vairākus sasaldētus ADG produktus ražo, izmantojot vienu un to pašu aprīkojumu un/vai vienā un tajā pašā ražošanas vidē, var veicināt produktu savstarpējo piesārņošanos.</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Pēc standarta tīrīšanas un dezinfekcijas procedūru veikšanas, ja līniju pēc tam nedarbina, noturīgi </w:t>
      </w:r>
      <w:r>
        <w:rPr>
          <w:rFonts w:ascii="Times New Roman" w:hAnsi="Times New Roman"/>
          <w:i/>
          <w:iCs/>
          <w:sz w:val="24"/>
        </w:rPr>
        <w:t>L. monocytogenes</w:t>
      </w:r>
      <w:r>
        <w:rPr>
          <w:rFonts w:ascii="Times New Roman" w:hAnsi="Times New Roman"/>
          <w:sz w:val="24"/>
        </w:rPr>
        <w:t xml:space="preserve"> organismi joprojām var saglabāties ražošanas vidē un/vai iekārtās un piesārņot turpmākās ražošanas partijas. Ja neveic ikdienas tīrīšanas darbības ar regulāriem starplaikiem, </w:t>
      </w:r>
      <w:r>
        <w:rPr>
          <w:rFonts w:ascii="Times New Roman" w:hAnsi="Times New Roman"/>
          <w:i/>
          <w:iCs/>
          <w:sz w:val="24"/>
        </w:rPr>
        <w:t xml:space="preserve">L. monocytogenes </w:t>
      </w:r>
      <w:r>
        <w:rPr>
          <w:rFonts w:ascii="Times New Roman" w:hAnsi="Times New Roman"/>
          <w:sz w:val="24"/>
        </w:rPr>
        <w:t>izraisīta piesārņojuma risks var pieaugt, organismiem patveroties nišās vai veidojoties bioplēvēm.</w:t>
      </w:r>
    </w:p>
    <w:p w:rsidR="00333E26" w:rsidRPr="001B6F3C" w:rsidRDefault="00333E26" w:rsidP="004650EF">
      <w:pPr>
        <w:pStyle w:val="BodyText"/>
        <w:ind w:left="0"/>
        <w:jc w:val="both"/>
        <w:rPr>
          <w:rFonts w:ascii="Times New Roman" w:hAnsi="Times New Roman"/>
          <w:noProof/>
          <w:sz w:val="24"/>
        </w:rPr>
      </w:pPr>
    </w:p>
    <w:p w:rsidR="00270842" w:rsidRDefault="00270842" w:rsidP="00333E26">
      <w:pPr>
        <w:pStyle w:val="BodyText"/>
        <w:ind w:left="0"/>
        <w:jc w:val="both"/>
        <w:rPr>
          <w:rFonts w:ascii="Times New Roman" w:hAnsi="Times New Roman"/>
          <w:noProof/>
          <w:sz w:val="24"/>
        </w:rPr>
      </w:pPr>
      <w:r>
        <w:rPr>
          <w:rFonts w:ascii="Times New Roman" w:hAnsi="Times New Roman"/>
          <w:sz w:val="24"/>
        </w:rPr>
        <w:t xml:space="preserve">Parasti saldētu ADG ražošanas telpas neatdzesē, un atkarībā no gadalaika tajās var būt relatīvi augsta temperatūra, kas arī varētu veicināt </w:t>
      </w:r>
      <w:r>
        <w:rPr>
          <w:rFonts w:ascii="Times New Roman" w:hAnsi="Times New Roman"/>
          <w:i/>
          <w:iCs/>
          <w:sz w:val="24"/>
        </w:rPr>
        <w:t>L. monocytogenes</w:t>
      </w:r>
      <w:r>
        <w:rPr>
          <w:rFonts w:ascii="Times New Roman" w:hAnsi="Times New Roman"/>
          <w:sz w:val="24"/>
        </w:rPr>
        <w:t xml:space="preserve"> proliferācijas risku vidē.</w:t>
      </w:r>
    </w:p>
    <w:p w:rsidR="00333E26" w:rsidRPr="001B6F3C" w:rsidRDefault="00333E26" w:rsidP="00333E26">
      <w:pPr>
        <w:pStyle w:val="BodyText"/>
        <w:ind w:left="0"/>
        <w:jc w:val="both"/>
        <w:rPr>
          <w:rFonts w:ascii="Times New Roman" w:hAnsi="Times New Roman" w:cs="Tahoma"/>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Sausā pārstrādes vidē ir ierobežota iespēja, ka baktēriju </w:t>
      </w:r>
      <w:r>
        <w:rPr>
          <w:rFonts w:ascii="Times New Roman" w:hAnsi="Times New Roman"/>
          <w:i/>
          <w:iCs/>
          <w:sz w:val="24"/>
        </w:rPr>
        <w:t>L. monocytogenes</w:t>
      </w:r>
      <w:r>
        <w:rPr>
          <w:rFonts w:ascii="Times New Roman" w:hAnsi="Times New Roman"/>
          <w:sz w:val="24"/>
        </w:rPr>
        <w:t xml:space="preserve"> skaits palielināsies, bet mitrums rada iespēju baktērijām ieviesties. Saldētu ADG ražošana notiek mitrā vidē, radot ideālus apstākļus baktēriju </w:t>
      </w:r>
      <w:r>
        <w:rPr>
          <w:rFonts w:ascii="Times New Roman" w:hAnsi="Times New Roman"/>
          <w:i/>
          <w:iCs/>
          <w:sz w:val="24"/>
        </w:rPr>
        <w:t>L. monocytogenes</w:t>
      </w:r>
      <w:r>
        <w:rPr>
          <w:rFonts w:ascii="Times New Roman" w:hAnsi="Times New Roman"/>
          <w:sz w:val="24"/>
        </w:rPr>
        <w:t xml:space="preserve"> proliferācijai vides patogēna veidā. Dzesēšanas </w:t>
      </w:r>
      <w:r>
        <w:rPr>
          <w:rFonts w:ascii="Times New Roman" w:hAnsi="Times New Roman"/>
          <w:sz w:val="24"/>
        </w:rPr>
        <w:lastRenderedPageBreak/>
        <w:t xml:space="preserve">sistēmas saldētavās neaptver visu ražotni; tātad saldētavas vienā pusē apstrādes darbības notiek apkārtējās vides temperatūrā (un tur regulāri veic tīrīšanu), turpretim saldētavas otrā pusē ir saldēšanas iekārta, kurā uztur ļoti zemu temperatūru (un tīrīšanas darbus tajā regulāri neveic). Saldētavās ir liels temperatūras kritums starp apkārtējās vides temperatūru un saldēšanas temperatūru sasaldēšanas tuneļos un saldēto produktu uzglabāšanas vietās. Šis temperatūras kritums var izraisīt kondensāta un ūdens pilienu veidošanos, kas var būt potenciāls piesārņojuma faktors un veicināt </w:t>
      </w:r>
      <w:r>
        <w:rPr>
          <w:rFonts w:ascii="Times New Roman" w:hAnsi="Times New Roman"/>
          <w:i/>
          <w:iCs/>
          <w:sz w:val="24"/>
        </w:rPr>
        <w:t>L. monocytogenes</w:t>
      </w:r>
      <w:r>
        <w:rPr>
          <w:rFonts w:ascii="Times New Roman" w:hAnsi="Times New Roman"/>
          <w:sz w:val="24"/>
        </w:rPr>
        <w:t xml:space="preserve"> vairošanos.</w:t>
      </w:r>
      <w:r>
        <w:rPr>
          <w:rFonts w:ascii="Times New Roman" w:hAnsi="Times New Roman"/>
          <w:i/>
          <w:sz w:val="24"/>
        </w:rPr>
        <w:t xml:space="preserve"> </w:t>
      </w:r>
      <w:r>
        <w:rPr>
          <w:rFonts w:ascii="Times New Roman" w:hAnsi="Times New Roman"/>
          <w:sz w:val="24"/>
        </w:rPr>
        <w:t>Šis faktors ir mazāk būtisks apstrādes un pārkraušanas vietās, kur visi produkti atrodas jau sasaldētā veidā un tos apstrādā kā saldētus produktus.</w:t>
      </w:r>
    </w:p>
    <w:p w:rsidR="00333E26" w:rsidRPr="001B6F3C" w:rsidRDefault="00333E26" w:rsidP="004650EF">
      <w:pPr>
        <w:pStyle w:val="BodyText"/>
        <w:ind w:left="0"/>
        <w:jc w:val="both"/>
        <w:rPr>
          <w:rFonts w:ascii="Times New Roman" w:hAnsi="Times New Roman"/>
          <w:noProof/>
          <w:sz w:val="24"/>
        </w:rPr>
      </w:pPr>
    </w:p>
    <w:p w:rsidR="00270842" w:rsidRPr="001B6F3C" w:rsidRDefault="00333E26" w:rsidP="00150B9E">
      <w:pPr>
        <w:pStyle w:val="Heading1"/>
        <w:rPr>
          <w:noProof/>
        </w:rPr>
      </w:pPr>
      <w:bookmarkStart w:id="39" w:name="_TOC_250017"/>
      <w:bookmarkStart w:id="40" w:name="_Toc37931387"/>
      <w:r>
        <w:t>3.3.2. Svaigi ADG un citas sastāvdaļas</w:t>
      </w:r>
      <w:bookmarkEnd w:id="39"/>
      <w:bookmarkEnd w:id="40"/>
    </w:p>
    <w:p w:rsidR="00270842" w:rsidRPr="001B6F3C" w:rsidRDefault="00270842" w:rsidP="004650EF">
      <w:pPr>
        <w:jc w:val="both"/>
        <w:rPr>
          <w:rFonts w:ascii="Times New Roman" w:eastAsia="Tahoma" w:hAnsi="Times New Roman" w:cs="Tahoma"/>
          <w:b/>
          <w:bCs/>
          <w:noProof/>
          <w:sz w:val="24"/>
          <w:szCs w:val="19"/>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Svarīgi ir pārliecināties, ka saņemtie svaigie ADG un citas sastāvdaļas nav piesārņotas ar </w:t>
      </w:r>
      <w:r>
        <w:rPr>
          <w:rFonts w:ascii="Times New Roman" w:hAnsi="Times New Roman"/>
          <w:i/>
          <w:iCs/>
          <w:sz w:val="24"/>
        </w:rPr>
        <w:t>L. monocytogenes</w:t>
      </w:r>
      <w:r>
        <w:rPr>
          <w:rFonts w:ascii="Times New Roman" w:hAnsi="Times New Roman"/>
          <w:sz w:val="24"/>
        </w:rPr>
        <w:t xml:space="preserve">. Reizēm piesārņojums nonāk svaigajos ADG jau primārās ražošanas laikā. Ja saņemtajiem produktiem ir veikta pirmapstrāde, to attīrīšana no neēdamajām daļām notiek uz lauka vai citās pārstrādes rūpnīcās, samazinot atkritumus saldētavās, kā arī potenciālos piesārņojuma avotus, piemēram, augsni un augu ārējās daļas, kas var būt inficētas ar patogēniem mikroorganismiem, ieskaitot </w:t>
      </w:r>
      <w:r>
        <w:rPr>
          <w:rFonts w:ascii="Times New Roman" w:hAnsi="Times New Roman"/>
          <w:i/>
          <w:iCs/>
          <w:sz w:val="24"/>
        </w:rPr>
        <w:t>L. monocytogenes</w:t>
      </w:r>
      <w:r>
        <w:rPr>
          <w:rFonts w:ascii="Times New Roman" w:hAnsi="Times New Roman"/>
          <w:sz w:val="24"/>
        </w:rPr>
        <w:t xml:space="preserve">. Tādēļ uzskata, ka šāda prakse risku potenciāli samazina. Tomēr šīs pirmapstrādes darbības var izraisīt arī </w:t>
      </w:r>
      <w:r>
        <w:rPr>
          <w:rFonts w:ascii="Times New Roman" w:hAnsi="Times New Roman"/>
          <w:i/>
          <w:iCs/>
          <w:sz w:val="24"/>
        </w:rPr>
        <w:t>L. monocytogenes</w:t>
      </w:r>
      <w:r>
        <w:rPr>
          <w:rFonts w:ascii="Times New Roman" w:hAnsi="Times New Roman"/>
          <w:sz w:val="24"/>
        </w:rPr>
        <w:t xml:space="preserve"> piesārņojuma papildrisku izmantoto iekārtu vai pārstrādes vides dēļ. Tādējādi </w:t>
      </w:r>
      <w:r>
        <w:rPr>
          <w:rFonts w:ascii="Times New Roman" w:hAnsi="Times New Roman"/>
          <w:i/>
          <w:iCs/>
          <w:sz w:val="24"/>
        </w:rPr>
        <w:t>L. monocytogenes</w:t>
      </w:r>
      <w:r>
        <w:rPr>
          <w:rFonts w:ascii="Times New Roman" w:hAnsi="Times New Roman"/>
          <w:sz w:val="24"/>
        </w:rPr>
        <w:t xml:space="preserve"> potenciālā izplatība ADG, kam veikta pirmapstrāde, var būt lielāka nekā svaigos neapstrādātos ADG (Gil et al., 2015).</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Jāņem vērā, ka saldētavās veiktajos ražošanas posmos ADG esošos </w:t>
      </w:r>
      <w:r>
        <w:rPr>
          <w:rFonts w:ascii="Times New Roman" w:hAnsi="Times New Roman"/>
          <w:i/>
          <w:iCs/>
          <w:sz w:val="24"/>
        </w:rPr>
        <w:t>L. monocytogenes</w:t>
      </w:r>
      <w:r>
        <w:rPr>
          <w:rFonts w:ascii="Times New Roman" w:hAnsi="Times New Roman"/>
          <w:sz w:val="24"/>
        </w:rPr>
        <w:t xml:space="preserve"> patogēnus ne vienmēr var iznīcināt, jo ražošanas procesā nemēdz piemērot pilno stratēģiju riska mazināšanai.</w:t>
      </w:r>
    </w:p>
    <w:p w:rsidR="00333E26" w:rsidRPr="001B6F3C" w:rsidRDefault="00333E26" w:rsidP="004650EF">
      <w:pPr>
        <w:pStyle w:val="BodyText"/>
        <w:ind w:left="0"/>
        <w:jc w:val="both"/>
        <w:rPr>
          <w:rFonts w:ascii="Times New Roman" w:hAnsi="Times New Roman"/>
          <w:noProof/>
          <w:sz w:val="24"/>
        </w:rPr>
      </w:pPr>
    </w:p>
    <w:p w:rsidR="00270842" w:rsidRPr="001B6F3C" w:rsidRDefault="00333E26" w:rsidP="00150B9E">
      <w:pPr>
        <w:pStyle w:val="Heading1"/>
        <w:rPr>
          <w:noProof/>
        </w:rPr>
      </w:pPr>
      <w:bookmarkStart w:id="41" w:name="_TOC_250016"/>
      <w:bookmarkStart w:id="42" w:name="_Toc37931388"/>
      <w:r>
        <w:t xml:space="preserve">3.3.3. </w:t>
      </w:r>
      <w:r w:rsidRPr="00150B9E">
        <w:t>Virsmas</w:t>
      </w:r>
      <w:r>
        <w:t>, kas nonāk saskarē ar pārtiku, un citas kontaktvirsmas saldētavās un apstrādes un pārkraušanas vietās</w:t>
      </w:r>
      <w:bookmarkEnd w:id="41"/>
      <w:bookmarkEnd w:id="42"/>
    </w:p>
    <w:p w:rsidR="00270842" w:rsidRPr="001B6F3C" w:rsidRDefault="00270842" w:rsidP="004650EF">
      <w:pPr>
        <w:jc w:val="both"/>
        <w:rPr>
          <w:rFonts w:ascii="Times New Roman" w:eastAsia="Tahoma" w:hAnsi="Times New Roman" w:cs="Tahoma"/>
          <w:b/>
          <w:bCs/>
          <w:noProof/>
          <w:sz w:val="24"/>
          <w:szCs w:val="15"/>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Apstrādes vide, kurā ir virsmas, kas nonāk saskarē ar pārtiku, un citas kontaktvirsmas, var būt primārais </w:t>
      </w:r>
      <w:r>
        <w:rPr>
          <w:rFonts w:ascii="Times New Roman" w:hAnsi="Times New Roman"/>
          <w:i/>
          <w:iCs/>
          <w:sz w:val="24"/>
        </w:rPr>
        <w:t>L. monocytogenes</w:t>
      </w:r>
      <w:r>
        <w:rPr>
          <w:rFonts w:ascii="Times New Roman" w:hAnsi="Times New Roman"/>
          <w:sz w:val="24"/>
        </w:rPr>
        <w:t xml:space="preserve"> avots (1. tabula). Sarežģītas darbības, kurās izmanto daudzas dažādas sastāvdaļas un vairākas pārstrādes līnijas, kurās var ietilpt dažādi ražošanas posmi, rada lielākas piesārņojuma iespējas. Piesārņojumam uz kontaktvirsmām, kas ir saskarē ar pārtiku, un citām kontaktvirsmām var būt daudzi izcelsmes avoti, tostarp svaigi ADG, darbinieki, iepakojuma materiāls utt., un tajos var būt gan nenoturīgi, gan noturīgi </w:t>
      </w:r>
      <w:r>
        <w:rPr>
          <w:rFonts w:ascii="Times New Roman" w:hAnsi="Times New Roman"/>
          <w:i/>
          <w:iCs/>
          <w:sz w:val="24"/>
        </w:rPr>
        <w:t>L. monocytogenes</w:t>
      </w:r>
      <w:r>
        <w:rPr>
          <w:rFonts w:ascii="Times New Roman" w:hAnsi="Times New Roman"/>
          <w:sz w:val="24"/>
        </w:rPr>
        <w:t xml:space="preserve"> celmi (Thimothe et al., 2004).</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Iepriekš 1. tabulā tika apkopoti iespējamie saldēto ADG </w:t>
      </w:r>
      <w:r>
        <w:rPr>
          <w:rFonts w:ascii="Times New Roman" w:hAnsi="Times New Roman"/>
          <w:i/>
          <w:iCs/>
          <w:sz w:val="24"/>
        </w:rPr>
        <w:t xml:space="preserve">L. monocytogenes </w:t>
      </w:r>
      <w:r>
        <w:rPr>
          <w:rFonts w:ascii="Times New Roman" w:hAnsi="Times New Roman"/>
          <w:sz w:val="24"/>
        </w:rPr>
        <w:t>piesārņojuma avoti, tostarp daudzas kontaktvirsmas, kas, nebūdamas saskarē ar pārtiku, var piesārņot produktu ar izšļakstīta ūdens, mitruma, kondensāta un aerosola daļiņu starpniecību. Pirms kontaktvirsmas, kas nav saskarē ar pārtiku, var atmest kā potenciālu piesārņojuma avotu, no tām intensīvi jāņem paraugi.</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Svarīgi saprast, ka </w:t>
      </w:r>
      <w:r>
        <w:rPr>
          <w:rFonts w:ascii="Times New Roman" w:hAnsi="Times New Roman"/>
          <w:i/>
          <w:iCs/>
          <w:sz w:val="24"/>
        </w:rPr>
        <w:t>L. monocytogenes</w:t>
      </w:r>
      <w:r>
        <w:rPr>
          <w:rFonts w:ascii="Times New Roman" w:hAnsi="Times New Roman"/>
          <w:sz w:val="24"/>
        </w:rPr>
        <w:t xml:space="preserve"> izplatību ADG paraugos ļoti ietekmē paraugu ņemšanas vieta, apstrādes laiks un pārstrādātās pārtikas veids (Hellström, 2011). Lai gan ir ziņots, ka pēc tīrīšanas </w:t>
      </w:r>
      <w:r>
        <w:rPr>
          <w:rFonts w:ascii="Times New Roman" w:hAnsi="Times New Roman"/>
          <w:i/>
          <w:iCs/>
          <w:sz w:val="24"/>
        </w:rPr>
        <w:t>L. monocytogenes</w:t>
      </w:r>
      <w:r>
        <w:rPr>
          <w:rFonts w:ascii="Times New Roman" w:hAnsi="Times New Roman"/>
          <w:sz w:val="24"/>
        </w:rPr>
        <w:t xml:space="preserve"> izplatība samazinās, baktēriju var atrast pat pēc sanitārās apstrādes (dezinfekcijas), un tas norāda uz tās noturību un ieviesto tīrīšanas un dezinfekcijas sistēmu nepietiekamo efektivitāti (Norton et al., 2001; Hellström, 2011). Maz ticams, ka </w:t>
      </w:r>
      <w:r>
        <w:rPr>
          <w:rFonts w:ascii="Times New Roman" w:hAnsi="Times New Roman"/>
          <w:i/>
          <w:iCs/>
          <w:sz w:val="24"/>
        </w:rPr>
        <w:t>L. monocytogenes</w:t>
      </w:r>
      <w:r>
        <w:rPr>
          <w:rFonts w:ascii="Times New Roman" w:hAnsi="Times New Roman"/>
          <w:sz w:val="24"/>
        </w:rPr>
        <w:t xml:space="preserve"> var pilnībā izskaust no pārtikas ražošanas, un šīs baktērijas – visticamāk – ik pa laikam var atrast jebkurā pārstrādes uzņēmumā, kur izmanto termiski neapstrādātus </w:t>
      </w:r>
      <w:r>
        <w:rPr>
          <w:rFonts w:ascii="Times New Roman" w:hAnsi="Times New Roman"/>
          <w:sz w:val="24"/>
        </w:rPr>
        <w:lastRenderedPageBreak/>
        <w:t>materiālus, ja monitorings ir pietiekami plašs (Tompkin, 2002). Protams, lielākajai daļai aprīkojuma, piemēram, lielizmēra mašīnām (tostarp blanšēšanas iekārtām), iekārtām, ko lieto izmēra samazināšanai (tostarp, sasmalcinātājiem, griešanas ierīcēm), vai iekārtām, kuras katru dienu/regulāri netīra (piemēram, sasaldēšanas tuneļiem, uzglabāšanas iekārtām, ūdens sūknēšanas caurulēm utt.), pienācīgai tīrīšanai un dezinfekcijai var būt nepieciešama demontāža.</w:t>
      </w:r>
    </w:p>
    <w:p w:rsidR="00333E26" w:rsidRPr="001B6F3C" w:rsidRDefault="00333E26" w:rsidP="004650EF">
      <w:pPr>
        <w:pStyle w:val="BodyText"/>
        <w:ind w:left="0"/>
        <w:jc w:val="both"/>
        <w:rPr>
          <w:rFonts w:ascii="Times New Roman" w:hAnsi="Times New Roman"/>
          <w:noProof/>
          <w:sz w:val="24"/>
        </w:rPr>
      </w:pPr>
    </w:p>
    <w:p w:rsidR="00270842" w:rsidRPr="00333E26" w:rsidRDefault="00270842" w:rsidP="00333E26">
      <w:pPr>
        <w:pStyle w:val="BodyText"/>
        <w:ind w:left="0"/>
        <w:jc w:val="both"/>
        <w:rPr>
          <w:rFonts w:ascii="Times New Roman" w:hAnsi="Times New Roman"/>
          <w:noProof/>
          <w:sz w:val="24"/>
        </w:rPr>
      </w:pPr>
      <w:r>
        <w:rPr>
          <w:rFonts w:ascii="Times New Roman" w:hAnsi="Times New Roman"/>
          <w:sz w:val="24"/>
        </w:rPr>
        <w:t xml:space="preserve">Tāpēc, lai samazinātu ADG piesārņošanās risku ar </w:t>
      </w:r>
      <w:r>
        <w:rPr>
          <w:rFonts w:ascii="Times New Roman" w:hAnsi="Times New Roman"/>
          <w:i/>
          <w:iCs/>
          <w:sz w:val="24"/>
        </w:rPr>
        <w:t>L. monocytogenes</w:t>
      </w:r>
      <w:r>
        <w:rPr>
          <w:rFonts w:ascii="Times New Roman" w:hAnsi="Times New Roman"/>
          <w:sz w:val="24"/>
        </w:rPr>
        <w:t xml:space="preserve">, ir kritiski svarīgi izvairīties no savstarpējā piesārņojuma starp pārtiku un virsmām, kas atrodas ar to saskarē (Crandall et al., 2012; Lakicevic un Nastasijevic, 2017). Īpaša uzmanība jāpievērš zonām, kurās </w:t>
      </w:r>
      <w:r>
        <w:rPr>
          <w:rFonts w:ascii="Times New Roman" w:hAnsi="Times New Roman"/>
          <w:i/>
          <w:iCs/>
          <w:sz w:val="24"/>
        </w:rPr>
        <w:t>L. monocytogenes</w:t>
      </w:r>
      <w:r>
        <w:rPr>
          <w:rFonts w:ascii="Times New Roman" w:hAnsi="Times New Roman"/>
          <w:sz w:val="24"/>
        </w:rPr>
        <w:t xml:space="preserve"> mēdz saglabāties pēc parastās sanitārās apstrādes, piemēram, dobajiem konveijera lentes veltņiem. Lai novērtētu iespējamo </w:t>
      </w:r>
      <w:r>
        <w:rPr>
          <w:rFonts w:ascii="Times New Roman" w:hAnsi="Times New Roman"/>
          <w:i/>
          <w:iCs/>
          <w:sz w:val="24"/>
        </w:rPr>
        <w:t>L. monocytogenes</w:t>
      </w:r>
      <w:r>
        <w:rPr>
          <w:rFonts w:ascii="Times New Roman" w:hAnsi="Times New Roman"/>
          <w:sz w:val="24"/>
        </w:rPr>
        <w:t xml:space="preserve"> klātbūtni, jāņem vērā arī rūpnīcas un aprīkojuma dizains. Ja aprīkojumam nav higiēniska dizaina un tajā ir slāņaini savienojumi, potenciāla </w:t>
      </w:r>
      <w:r>
        <w:rPr>
          <w:rFonts w:ascii="Times New Roman" w:hAnsi="Times New Roman"/>
          <w:i/>
          <w:iCs/>
          <w:sz w:val="24"/>
        </w:rPr>
        <w:t>L. monocytogenes</w:t>
      </w:r>
      <w:r>
        <w:rPr>
          <w:rFonts w:ascii="Times New Roman" w:hAnsi="Times New Roman"/>
          <w:sz w:val="24"/>
        </w:rPr>
        <w:t xml:space="preserve"> uzkrāšanās vieta ir gumijas savienojumi.</w:t>
      </w:r>
    </w:p>
    <w:p w:rsidR="00270842" w:rsidRPr="001B6F3C" w:rsidRDefault="00270842" w:rsidP="004650EF">
      <w:pPr>
        <w:jc w:val="both"/>
        <w:rPr>
          <w:rFonts w:ascii="Times New Roman" w:eastAsia="Tahoma" w:hAnsi="Times New Roman" w:cs="Tahoma"/>
          <w:noProof/>
          <w:sz w:val="24"/>
          <w:szCs w:val="18"/>
        </w:rPr>
      </w:pPr>
    </w:p>
    <w:p w:rsidR="00270842" w:rsidRPr="001B6F3C" w:rsidRDefault="00333E26" w:rsidP="00150B9E">
      <w:pPr>
        <w:pStyle w:val="Heading1"/>
        <w:rPr>
          <w:noProof/>
        </w:rPr>
      </w:pPr>
      <w:bookmarkStart w:id="43" w:name="_TOC_250015"/>
      <w:bookmarkStart w:id="44" w:name="_Toc37931389"/>
      <w:r>
        <w:t xml:space="preserve">3.3.3.1. </w:t>
      </w:r>
      <w:r w:rsidRPr="00150B9E">
        <w:t>Bioplēves</w:t>
      </w:r>
      <w:r>
        <w:t xml:space="preserve"> un noturīgas šūnas</w:t>
      </w:r>
      <w:bookmarkEnd w:id="43"/>
      <w:bookmarkEnd w:id="44"/>
    </w:p>
    <w:p w:rsidR="00333E26" w:rsidRDefault="00333E26" w:rsidP="004650EF">
      <w:pPr>
        <w:pStyle w:val="BodyText"/>
        <w:ind w:left="0"/>
        <w:jc w:val="both"/>
        <w:rPr>
          <w:rFonts w:ascii="Times New Roman" w:hAnsi="Times New Roman"/>
          <w:noProof/>
          <w:sz w:val="24"/>
        </w:rPr>
      </w:pPr>
    </w:p>
    <w:p w:rsidR="00270842" w:rsidRPr="00333E26" w:rsidRDefault="00270842" w:rsidP="004650EF">
      <w:pPr>
        <w:pStyle w:val="BodyText"/>
        <w:ind w:left="0"/>
        <w:jc w:val="both"/>
        <w:rPr>
          <w:rFonts w:ascii="Times New Roman" w:hAnsi="Times New Roman"/>
          <w:noProof/>
          <w:sz w:val="24"/>
          <w:szCs w:val="12"/>
        </w:rPr>
      </w:pPr>
      <w:r>
        <w:rPr>
          <w:rFonts w:ascii="Times New Roman" w:hAnsi="Times New Roman"/>
          <w:i/>
          <w:iCs/>
          <w:sz w:val="24"/>
        </w:rPr>
        <w:t>L. monocytogenes</w:t>
      </w:r>
      <w:r>
        <w:rPr>
          <w:rFonts w:ascii="Times New Roman" w:hAnsi="Times New Roman"/>
          <w:sz w:val="24"/>
        </w:rPr>
        <w:t xml:space="preserve"> spēja ilgstoši saglabāties pārtikas pārstrādes aprīkojumā un rūpnieciskajā vidē, jo īpaši nelabvēlīgos apstākļos, var būt saistīta ar bioplēves veidošanos (EFSA BIOHAZ Panel, 2018). Būdama saprofīta baktērija, </w:t>
      </w:r>
      <w:r>
        <w:rPr>
          <w:rFonts w:ascii="Times New Roman" w:hAnsi="Times New Roman"/>
          <w:i/>
          <w:iCs/>
          <w:sz w:val="24"/>
        </w:rPr>
        <w:t>L. monocytogenes</w:t>
      </w:r>
      <w:r>
        <w:rPr>
          <w:rFonts w:ascii="Times New Roman" w:hAnsi="Times New Roman"/>
          <w:sz w:val="24"/>
        </w:rPr>
        <w:t xml:space="preserve"> efektīvi kolonizē materiālus, kas nonāk saskarē ar pārtiku, un citas nišas pārtikas pārstrādes vidē (PPV). Kad </w:t>
      </w:r>
      <w:r>
        <w:rPr>
          <w:rFonts w:ascii="Times New Roman" w:hAnsi="Times New Roman"/>
          <w:i/>
          <w:iCs/>
          <w:sz w:val="24"/>
        </w:rPr>
        <w:t>L. monocytogenes</w:t>
      </w:r>
      <w:r>
        <w:rPr>
          <w:rFonts w:ascii="Times New Roman" w:hAnsi="Times New Roman"/>
          <w:sz w:val="24"/>
        </w:rPr>
        <w:t xml:space="preserve"> patogēns ir ieņēmis nišu, to ir grūti izskaust. </w:t>
      </w:r>
      <w:r>
        <w:rPr>
          <w:rFonts w:ascii="Times New Roman" w:hAnsi="Times New Roman"/>
          <w:i/>
          <w:iCs/>
          <w:sz w:val="24"/>
        </w:rPr>
        <w:t>L. monocytogenes</w:t>
      </w:r>
      <w:r>
        <w:rPr>
          <w:rFonts w:ascii="Times New Roman" w:hAnsi="Times New Roman"/>
          <w:sz w:val="24"/>
        </w:rPr>
        <w:t xml:space="preserve"> pieķeras pie dažādām kontaktvirsmām, kas nonāk saskarē ar pārtiku, tostarp virsmām no polistirola, polipropilēna, stikla, nerūsējošā tērauda, kvarca, marmora un granīta (Silva et al., 2008). Tomēr </w:t>
      </w:r>
      <w:r>
        <w:rPr>
          <w:rFonts w:ascii="Times New Roman" w:hAnsi="Times New Roman"/>
          <w:i/>
          <w:iCs/>
          <w:sz w:val="24"/>
        </w:rPr>
        <w:t>L. monocytogenes</w:t>
      </w:r>
      <w:r>
        <w:rPr>
          <w:rFonts w:ascii="Times New Roman" w:hAnsi="Times New Roman"/>
          <w:sz w:val="24"/>
        </w:rPr>
        <w:t xml:space="preserve"> nespēj veidot biezas daudzslāņu bioplēves ar populāciju 10</w:t>
      </w:r>
      <w:r>
        <w:rPr>
          <w:rFonts w:ascii="Times New Roman" w:hAnsi="Times New Roman"/>
          <w:sz w:val="24"/>
          <w:szCs w:val="12"/>
          <w:vertAlign w:val="superscript"/>
        </w:rPr>
        <w:t>9</w:t>
      </w:r>
      <w:r>
        <w:rPr>
          <w:rFonts w:ascii="Times New Roman" w:hAnsi="Times New Roman"/>
          <w:sz w:val="24"/>
        </w:rPr>
        <w:t>–10</w:t>
      </w:r>
      <w:r>
        <w:rPr>
          <w:rFonts w:ascii="Times New Roman" w:hAnsi="Times New Roman"/>
          <w:sz w:val="24"/>
          <w:szCs w:val="12"/>
          <w:vertAlign w:val="superscript"/>
        </w:rPr>
        <w:t>12</w:t>
      </w:r>
      <w:r>
        <w:rPr>
          <w:rFonts w:ascii="Times New Roman" w:hAnsi="Times New Roman"/>
          <w:sz w:val="24"/>
        </w:rPr>
        <w:t>KVV/cm</w:t>
      </w:r>
      <w:r>
        <w:rPr>
          <w:rFonts w:ascii="Times New Roman" w:hAnsi="Times New Roman"/>
          <w:sz w:val="24"/>
          <w:szCs w:val="12"/>
          <w:vertAlign w:val="superscript"/>
        </w:rPr>
        <w:t>2</w:t>
      </w:r>
      <w:r>
        <w:rPr>
          <w:rFonts w:ascii="Times New Roman" w:hAnsi="Times New Roman"/>
          <w:sz w:val="24"/>
        </w:rPr>
        <w:t xml:space="preserve"> kā citām baktērijām, ko parasti sastop bioplēvēs, bet gan pieķeras virsmām populācijās līdz 10</w:t>
      </w:r>
      <w:r>
        <w:rPr>
          <w:rFonts w:ascii="Times New Roman" w:hAnsi="Times New Roman"/>
          <w:sz w:val="24"/>
          <w:szCs w:val="12"/>
          <w:vertAlign w:val="superscript"/>
        </w:rPr>
        <w:t>4</w:t>
      </w:r>
      <w:r>
        <w:rPr>
          <w:rFonts w:ascii="Times New Roman" w:hAnsi="Times New Roman"/>
          <w:sz w:val="24"/>
        </w:rPr>
        <w:t>–10</w:t>
      </w:r>
      <w:r>
        <w:rPr>
          <w:rFonts w:ascii="Times New Roman" w:hAnsi="Times New Roman"/>
          <w:sz w:val="24"/>
          <w:szCs w:val="12"/>
          <w:vertAlign w:val="superscript"/>
        </w:rPr>
        <w:t>7</w:t>
      </w:r>
      <w:r>
        <w:rPr>
          <w:rFonts w:ascii="Times New Roman" w:hAnsi="Times New Roman"/>
          <w:sz w:val="24"/>
        </w:rPr>
        <w:t>KVV/cm</w:t>
      </w:r>
      <w:r>
        <w:rPr>
          <w:rFonts w:ascii="Times New Roman" w:hAnsi="Times New Roman"/>
          <w:sz w:val="24"/>
          <w:szCs w:val="12"/>
          <w:vertAlign w:val="superscript"/>
        </w:rPr>
        <w:t>2</w:t>
      </w:r>
      <w:r>
        <w:rPr>
          <w:rFonts w:ascii="Times New Roman" w:hAnsi="Times New Roman"/>
          <w:sz w:val="24"/>
        </w:rPr>
        <w:t xml:space="preserve"> (Gram et al., 2007).</w:t>
      </w:r>
    </w:p>
    <w:p w:rsidR="00333E26"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Visticamāk bioplēves veidojas tādās vietās ražošanas vidē, ko grūti aizsniegt un sanitāri apstrādāt, un kur ilgstoši uzkrājas pārtikas atliekas un ūdens (Chmielewski un Frank 2004; Verghese et al., 2011).</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Bioplēvēs </w:t>
      </w:r>
      <w:r>
        <w:rPr>
          <w:rFonts w:ascii="Times New Roman" w:hAnsi="Times New Roman"/>
          <w:i/>
          <w:iCs/>
          <w:sz w:val="24"/>
        </w:rPr>
        <w:t>L. monocytogenes</w:t>
      </w:r>
      <w:r>
        <w:rPr>
          <w:rFonts w:ascii="Times New Roman" w:hAnsi="Times New Roman"/>
          <w:sz w:val="24"/>
        </w:rPr>
        <w:t xml:space="preserve"> ir pasargātas no dažādiem vides faktoriem, piemēram, ultravioletajiem stariem, toksiskiem metāliem, skābēm, izžūšanas, salinitātes un antibakteriālajiem līdzekļiem, un tās labāk panes augstākas dezinficējošo un tīrīšanas līdzekļu koncentrācijas, apgrūtinot virsmu dekontamināciju (Carpentier un Cerf, 2011).</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i/>
          <w:iCs/>
          <w:sz w:val="24"/>
        </w:rPr>
        <w:t>EFSA</w:t>
      </w:r>
      <w:r>
        <w:rPr>
          <w:rFonts w:ascii="Times New Roman" w:hAnsi="Times New Roman"/>
          <w:sz w:val="24"/>
        </w:rPr>
        <w:t xml:space="preserve"> Bioloģiskā apdraudējuma ekspertu grupa (2018) secināja, ka PPV lielākoties laika gaitā var konstatēt </w:t>
      </w:r>
      <w:r>
        <w:rPr>
          <w:rFonts w:ascii="Times New Roman" w:hAnsi="Times New Roman"/>
          <w:i/>
          <w:iCs/>
          <w:sz w:val="24"/>
        </w:rPr>
        <w:t>L. monocytogenes</w:t>
      </w:r>
      <w:r>
        <w:rPr>
          <w:rFonts w:ascii="Times New Roman" w:hAnsi="Times New Roman"/>
          <w:sz w:val="24"/>
        </w:rPr>
        <w:t xml:space="preserve"> dažādos apmēros, un nav sagaidāms, ka </w:t>
      </w:r>
      <w:r>
        <w:rPr>
          <w:rFonts w:ascii="Times New Roman" w:hAnsi="Times New Roman"/>
          <w:i/>
          <w:iCs/>
          <w:sz w:val="24"/>
        </w:rPr>
        <w:t>L. monocytogenes</w:t>
      </w:r>
      <w:r>
        <w:rPr>
          <w:rFonts w:ascii="Times New Roman" w:hAnsi="Times New Roman"/>
          <w:sz w:val="24"/>
        </w:rPr>
        <w:t xml:space="preserve"> tur varētu nebūt nemaz. Tas norāda uz vajadzību pēc atbilstošām paraugu ņemšanas programmām un korekcijas pasākumiem, lai novērstu </w:t>
      </w:r>
      <w:r>
        <w:rPr>
          <w:rFonts w:ascii="Times New Roman" w:hAnsi="Times New Roman"/>
          <w:i/>
          <w:iCs/>
          <w:sz w:val="24"/>
        </w:rPr>
        <w:t>L. monocytogenes</w:t>
      </w:r>
      <w:r>
        <w:rPr>
          <w:rFonts w:ascii="Times New Roman" w:hAnsi="Times New Roman"/>
          <w:sz w:val="24"/>
        </w:rPr>
        <w:t xml:space="preserve"> pārnešanu no ražotnes uz produktu. Viena metode, kas paredzēta </w:t>
      </w:r>
      <w:r>
        <w:rPr>
          <w:rFonts w:ascii="Times New Roman" w:hAnsi="Times New Roman"/>
          <w:i/>
          <w:iCs/>
          <w:sz w:val="24"/>
        </w:rPr>
        <w:t>L. monocytogenes</w:t>
      </w:r>
      <w:r>
        <w:rPr>
          <w:rFonts w:ascii="Times New Roman" w:hAnsi="Times New Roman"/>
          <w:sz w:val="24"/>
        </w:rPr>
        <w:t xml:space="preserve"> kontrolei ASV, pamatojas uz koncepciju “meklēt un iznīcināt” (Malley et al., 2015).</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i/>
          <w:iCs/>
          <w:sz w:val="24"/>
        </w:rPr>
        <w:t>L. monocytogenes</w:t>
      </w:r>
      <w:r>
        <w:rPr>
          <w:rFonts w:ascii="Times New Roman" w:hAnsi="Times New Roman"/>
          <w:sz w:val="24"/>
        </w:rPr>
        <w:t xml:space="preserve"> var mēnešiem vai pat gadiem ilgi saglabāties dažādās vides nišās, ieskaitot atdzesētos pārtikā lietojamos augos (Lundén, 2004; Møretrø un Langsrud, 2004; Keto-Timonen et al., 2007; Schmitz-Esser et al., 2015). Noturība varētu būt saistīta ar augsto pielāgošanās spēju fizikāliem un ķīmiskiem faktoriem un citiem ģenētiskiem faktoriem, kas palielina baktēriju izdzīvošanas spēju.</w:t>
      </w:r>
    </w:p>
    <w:p w:rsidR="00333E26" w:rsidRPr="001B6F3C" w:rsidRDefault="00333E26"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Jāuzsver, ka lielākā daļa pētījumu par </w:t>
      </w:r>
      <w:r>
        <w:rPr>
          <w:rFonts w:ascii="Times New Roman" w:hAnsi="Times New Roman"/>
          <w:i/>
          <w:iCs/>
          <w:sz w:val="24"/>
        </w:rPr>
        <w:t>L. monocytogenes</w:t>
      </w:r>
      <w:r>
        <w:rPr>
          <w:rFonts w:ascii="Times New Roman" w:hAnsi="Times New Roman"/>
          <w:sz w:val="24"/>
        </w:rPr>
        <w:t xml:space="preserve"> bioplēves veidošanos un noturību </w:t>
      </w:r>
      <w:r>
        <w:rPr>
          <w:rFonts w:ascii="Times New Roman" w:hAnsi="Times New Roman"/>
          <w:sz w:val="24"/>
        </w:rPr>
        <w:lastRenderedPageBreak/>
        <w:t xml:space="preserve">PPV ir veikti zivju, gaļas un piena pārstrādes rūpnīcās. Svaigo ADG pārstrādes rūpnīcas ir bijušas tikai dažu pētījumu objekts, un pētījumi jāturpina, lai izprastu specifisko </w:t>
      </w:r>
      <w:r>
        <w:rPr>
          <w:rFonts w:ascii="Times New Roman" w:hAnsi="Times New Roman"/>
          <w:i/>
          <w:iCs/>
          <w:sz w:val="24"/>
        </w:rPr>
        <w:t>L. monocytogenes</w:t>
      </w:r>
      <w:r>
        <w:rPr>
          <w:rFonts w:ascii="Times New Roman" w:hAnsi="Times New Roman"/>
          <w:sz w:val="24"/>
        </w:rPr>
        <w:t xml:space="preserve"> apakštipu izplatību un noturību svaigo ADG saimniecību un saldētavu vidē. Divos pētījumos (Sant’Ana et al., 2012; Abeysundra et al., 2017) gūtie pierādījumi liecina, ka </w:t>
      </w:r>
      <w:r>
        <w:rPr>
          <w:rFonts w:ascii="Times New Roman" w:hAnsi="Times New Roman"/>
          <w:i/>
          <w:iCs/>
          <w:sz w:val="24"/>
        </w:rPr>
        <w:t>L. monocytogenes</w:t>
      </w:r>
      <w:r>
        <w:rPr>
          <w:rFonts w:ascii="Times New Roman" w:hAnsi="Times New Roman"/>
          <w:sz w:val="24"/>
        </w:rPr>
        <w:t xml:space="preserve"> celmi, kas izolēti no augļiem un dārzeņiem, laboratorijas apstākļos spēja veidot bioplēvi uz (nerūsējošā tērauda) kontaktvirsmām saskarē ar pārtiku. Vienā no diviem veiktajiem pētījumiem 1/2b serotipi demonstrēja ievērojami lielāku adhēzijas spēju, salīdzinot ar 4b serotipiem (Sant’Ana et al., 2012). Kopumā šķiet, ka lielākā daļa celmu, kas izolēti no saldētiem dārzeņiem (galaprodukta) pārstrādes uzņēmumos, pieder pie 1/2a serotipiem, tiem seko 1/2b, 1/2c un 4b serotipu celmi (Ballesteros et al., 2011). Duvenāža [</w:t>
      </w:r>
      <w:r>
        <w:rPr>
          <w:rFonts w:ascii="Times New Roman" w:hAnsi="Times New Roman"/>
          <w:i/>
          <w:iCs/>
          <w:sz w:val="24"/>
        </w:rPr>
        <w:t>Duvenage</w:t>
      </w:r>
      <w:r>
        <w:rPr>
          <w:rFonts w:ascii="Times New Roman" w:hAnsi="Times New Roman"/>
          <w:sz w:val="24"/>
        </w:rPr>
        <w:t>] un Korstena [</w:t>
      </w:r>
      <w:r>
        <w:rPr>
          <w:rFonts w:ascii="Times New Roman" w:hAnsi="Times New Roman"/>
          <w:i/>
          <w:iCs/>
          <w:sz w:val="24"/>
        </w:rPr>
        <w:t>Korsten</w:t>
      </w:r>
      <w:r>
        <w:rPr>
          <w:rFonts w:ascii="Times New Roman" w:hAnsi="Times New Roman"/>
          <w:sz w:val="24"/>
        </w:rPr>
        <w:t xml:space="preserve">] (2016) arī parādīja, ka </w:t>
      </w:r>
      <w:r>
        <w:rPr>
          <w:rFonts w:ascii="Times New Roman" w:hAnsi="Times New Roman"/>
          <w:i/>
          <w:iCs/>
          <w:sz w:val="24"/>
        </w:rPr>
        <w:t>L. monocytogenes</w:t>
      </w:r>
      <w:r>
        <w:rPr>
          <w:rFonts w:ascii="Times New Roman" w:hAnsi="Times New Roman"/>
          <w:sz w:val="24"/>
        </w:rPr>
        <w:t xml:space="preserve"> pat zemā barības vielu koncentrācijā un dažādos temperatūras apstākļos spēj vairoties uz virsmām (vinila plāksnēm), kas ir saskarē ar pārtiku.</w:t>
      </w:r>
    </w:p>
    <w:p w:rsidR="00270842" w:rsidRPr="001B6F3C" w:rsidRDefault="00270842" w:rsidP="004650EF">
      <w:pPr>
        <w:jc w:val="both"/>
        <w:rPr>
          <w:rFonts w:ascii="Times New Roman" w:eastAsia="Tahoma" w:hAnsi="Times New Roman" w:cs="Tahoma"/>
          <w:noProof/>
          <w:sz w:val="24"/>
          <w:szCs w:val="18"/>
        </w:rPr>
      </w:pPr>
    </w:p>
    <w:p w:rsidR="00270842" w:rsidRPr="001B6F3C" w:rsidRDefault="00333E26" w:rsidP="00150B9E">
      <w:pPr>
        <w:pStyle w:val="Heading1"/>
        <w:rPr>
          <w:noProof/>
        </w:rPr>
      </w:pPr>
      <w:bookmarkStart w:id="45" w:name="_TOC_250014"/>
      <w:bookmarkStart w:id="46" w:name="_Toc37931390"/>
      <w:r>
        <w:t xml:space="preserve">3.3.3.2. Gaiss, </w:t>
      </w:r>
      <w:r w:rsidRPr="00150B9E">
        <w:t>mitrums</w:t>
      </w:r>
      <w:r>
        <w:t>, kondensāts un aerosola daļiņas</w:t>
      </w:r>
      <w:bookmarkEnd w:id="45"/>
      <w:bookmarkEnd w:id="46"/>
    </w:p>
    <w:p w:rsidR="00333E26"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No bioplēves/nišas/kontaktvirsmām, kas nav saskarē ar pārtiku, </w:t>
      </w:r>
      <w:r>
        <w:rPr>
          <w:rFonts w:ascii="Times New Roman" w:hAnsi="Times New Roman"/>
          <w:i/>
          <w:iCs/>
          <w:sz w:val="24"/>
        </w:rPr>
        <w:t>L. monocytogenes</w:t>
      </w:r>
      <w:r>
        <w:rPr>
          <w:rFonts w:ascii="Times New Roman" w:hAnsi="Times New Roman"/>
          <w:sz w:val="24"/>
        </w:rPr>
        <w:t xml:space="preserve"> var nokļūt pārtikas produktos ar mitrumu, izšļakstītu šķidrumu, aerosola daļiņām, kondensātu un gaisu. Tāpēc ir svarīgi kontrolēt gaisa kustību un ventilācijas sistēmas.</w:t>
      </w:r>
    </w:p>
    <w:p w:rsidR="00333E26" w:rsidRPr="001B6F3C" w:rsidRDefault="00333E26"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ADG mazgāšanas, blanšēšanas un pārvadāšanas laikā izmantotā ūdens un tā intensīvās kustības dēļ ražošanas līnijās var veidoties aerosoli, kas var potenciāli pārnest piesārņojumu no kontaktvirsmām, kuras nav saskarē ar pārtiku, uz kontaktvirsmām, kuras ir saskarē ar pārtiku, galarezultātā piesārņojot pašu pārtiku. Tieša ūdens izšļakstīšanās no kontaktvirsmām, kas nav saskarē ar pārtiku, uz kontaktvirsmām, kas ir saskarē ar pārtiku, piemēram, tīrīšanas laikā (ar spiedienu izsmidzinot ūdeni no grīdas), arī var izraisīt </w:t>
      </w:r>
      <w:r>
        <w:rPr>
          <w:rFonts w:ascii="Times New Roman" w:hAnsi="Times New Roman"/>
          <w:i/>
          <w:iCs/>
          <w:sz w:val="24"/>
        </w:rPr>
        <w:t>L. monocytogenes</w:t>
      </w:r>
      <w:r>
        <w:rPr>
          <w:rFonts w:ascii="Times New Roman" w:hAnsi="Times New Roman"/>
          <w:sz w:val="24"/>
        </w:rPr>
        <w:t xml:space="preserve"> recirkulāciju.</w:t>
      </w:r>
    </w:p>
    <w:p w:rsidR="00333E26" w:rsidRDefault="00333E26" w:rsidP="00333E26">
      <w:pPr>
        <w:tabs>
          <w:tab w:val="left" w:pos="1091"/>
        </w:tabs>
        <w:jc w:val="both"/>
        <w:rPr>
          <w:rFonts w:ascii="Times New Roman" w:hAnsi="Times New Roman"/>
          <w:b/>
          <w:noProof/>
          <w:sz w:val="24"/>
        </w:rPr>
      </w:pPr>
      <w:bookmarkStart w:id="47" w:name="_TOC_250013"/>
    </w:p>
    <w:p w:rsidR="00270842" w:rsidRPr="001B6F3C" w:rsidRDefault="00333E26" w:rsidP="00150B9E">
      <w:pPr>
        <w:pStyle w:val="Heading1"/>
        <w:rPr>
          <w:noProof/>
        </w:rPr>
      </w:pPr>
      <w:bookmarkStart w:id="48" w:name="_Toc37931391"/>
      <w:r>
        <w:t xml:space="preserve">3.3.4. </w:t>
      </w:r>
      <w:r w:rsidRPr="00150B9E">
        <w:t>Saldētavās</w:t>
      </w:r>
      <w:r>
        <w:t xml:space="preserve"> un apstrādes un pārkraušanas vietās izmantotā ūdens kvalitāte</w:t>
      </w:r>
      <w:bookmarkEnd w:id="47"/>
      <w:bookmarkEnd w:id="48"/>
    </w:p>
    <w:p w:rsidR="00270842" w:rsidRPr="001B6F3C" w:rsidRDefault="00270842" w:rsidP="004650EF">
      <w:pPr>
        <w:jc w:val="both"/>
        <w:rPr>
          <w:rFonts w:ascii="Times New Roman" w:eastAsia="Tahoma" w:hAnsi="Times New Roman" w:cs="Tahoma"/>
          <w:b/>
          <w:bCs/>
          <w:noProof/>
          <w:sz w:val="24"/>
          <w:szCs w:val="19"/>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Saldētavās parasti izmanto ūdeni, jo lielāko daļu produktu mazgā, blanšē, glazē, atdzesē vai pārvieto, izmantojot ūdeni. Ūdenim, kas nonāk tiešā saskarē ar pārtikas produktiem, jābūt dzeramam ūdenim gadījumos, kas minēti ES Higiēnas regulā (EK) 852/2004</w:t>
      </w:r>
      <w:r w:rsidR="00333E26">
        <w:rPr>
          <w:rStyle w:val="FootnoteReference"/>
          <w:rFonts w:ascii="Times New Roman" w:hAnsi="Times New Roman" w:cs="Tahoma"/>
          <w:noProof/>
          <w:sz w:val="24"/>
        </w:rPr>
        <w:footnoteReference w:id="3"/>
      </w:r>
      <w:r>
        <w:rPr>
          <w:rFonts w:ascii="Times New Roman" w:hAnsi="Times New Roman"/>
          <w:sz w:val="24"/>
        </w:rPr>
        <w:t>, ierobežojot pārtikas nekaitīguma potenciālos apdraudējumu avotus. Tomēr saldētavās izmantotā ūdens kvalitāte var ļoti ātri pasliktināties atkarībā no ražošanas posma.</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Apstrādē izmantotajam ūdenim mazgāšanas tvertnēs vai cauruļvadu blanšēšanas sistēmās ir raksturīga liela organisko vielu slodze, ko cita starpā veido gruži, augsne, eksudāti un mikroorganismi (Gil un Allende, 2018). Pat tad, ja mazgāšanas tvertni pastāvīgi uzpilda ar aukstu dzeramo ūdeni, nav iespējams izvairīties no organisko vielu un mikroorganismu uzkrāšanās mazgāšanas tvertnē. Apstrādes ūdens parasti noteiktu laiku cirkulē, un tas nozīmē, ka vienu un to pašu ūdeni var izmantot liela produktu daudzuma mazgāšanai vienā un tajā pašā mazgāšanas sistēmā. Jārūpējas par atgriezes ūdens mikrobioloģisko kvalitāti, izmantojot optimālu dezinfekcijas sistēmu, lai izvairītos no savstarpējas piesārņošanās. Savstarpējā piesārņošanās veidojas mazgāšanas laikā, kad piesārņotus ADG mazgā apstrādē izmantotajā ūdenī, to piesārņojot, un, ja pēc tam šai pašā ūdenī mazgā nepiesārņotus ADG, rodas augsts piesārņojuma risks. Tāpēc ūdens, ko izmanto apstrādei, var būt mikrobioloģiskā piesārņojuma avots vai šo piesārņojumu izplatīt, ja ūdens kvalitātei visu laiku neseko un/vai neizmanto </w:t>
      </w:r>
      <w:r>
        <w:rPr>
          <w:rFonts w:ascii="Times New Roman" w:hAnsi="Times New Roman"/>
          <w:sz w:val="24"/>
        </w:rPr>
        <w:lastRenderedPageBreak/>
        <w:t>dezinfekcijas līdzekļus.</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Dažās saldētavās ūdens un enerģijas taupīšanai varētu izmantot otrreizēji pārstrādātu ūdeni. Ar terminu “otrreizēji pārstrādāts ūdens” apzīmē ūdeni, ko atgūst no ražošanas procesa un parasti apstrādā pirms atkārtotas izmantošanas jebkurā citā ražošanas sistēmas apstrādes posmā. Ja otrreizējo ūdeni pareizi neapstrādā, garantējot tā mikrobioloģisko kvalitāti, tas arī ir potenciāls piesārņojuma avots.</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Kā minēts iepriekš, ūdens kvalitātei ir kritiska nozīme mikrobioloģiskā un ķīmiskā riska novēršanai visās pārstrādes darbībās, kurās saldētie ADG nonāk saskarē ar apstrādē izmantoto ūdeni. Vairumā gadījumu apstrādē izmantotā ūdens mikrobioloģisko kvalitāti var uzturēt, izmantojot dezinfekcijas līdzekli. Dezinfekcijas līdzekļu lietošanu nosaka valsts politika to apstiprināšanai (EFSA BIOHAZ Panel, 2014). Ja dezinfekcijas līdzekli neizmanto, ADG mazgāšanas tvertnē ūdeni pastāvīgi papildina un atjauno, pievienojot lielu daudzumu dzeramā ūdens – līdz 40 litriem uz vienu svaigo ADG kilogramu, lai mazinātu mikroorganismu uzkrāšanos ūdenī un to pārnešanu no ūdens uz produktiem. Dažos gadījumos pirmsmazgāšanu veic ar ūdens strūklu, lai izvairītos no organisko vielu un mikroorganismu uzkrāšanās apstrādei izmantotajā ūdenī. Organisko vielu uzkrāšanās ūdenī, ko izmanto apstrādei, ir ļoti atkarīga no tā, kādu produktu mazgā. Augsta organisko vielu koncentrācija var ietekmēt izmantotā dezinfekcijas līdzekļa efektivitāti, jo tas tiks ātri izlietots.</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Galvenā nozīme ir notekas dizainam un konstrukcijai. Notekām vajadzētu pienācīgi darboties, un tām jābūt pietiekami pieejamām, lai veiktu tīrīšanu. Vietās, kur apstrādā ADG, nedrīkst uzstādīt notekrenes. Esošās notekrenes ieteicams aizstāt ar slēgtu santehnisko aprīkojumu. Pētījumā, ko kūpinātu zivju ražošanas rūpnīcā veica Timota [</w:t>
      </w:r>
      <w:r>
        <w:rPr>
          <w:rFonts w:ascii="Times New Roman" w:hAnsi="Times New Roman"/>
          <w:i/>
          <w:iCs/>
          <w:sz w:val="24"/>
        </w:rPr>
        <w:t>Thimothe</w:t>
      </w:r>
      <w:r>
        <w:rPr>
          <w:rFonts w:ascii="Times New Roman" w:hAnsi="Times New Roman"/>
          <w:sz w:val="24"/>
        </w:rPr>
        <w:t xml:space="preserve">] </w:t>
      </w:r>
      <w:r>
        <w:rPr>
          <w:rFonts w:ascii="Times New Roman" w:hAnsi="Times New Roman"/>
          <w:i/>
          <w:iCs/>
          <w:sz w:val="24"/>
        </w:rPr>
        <w:t xml:space="preserve">et al. </w:t>
      </w:r>
      <w:r>
        <w:rPr>
          <w:rFonts w:ascii="Times New Roman" w:hAnsi="Times New Roman"/>
          <w:sz w:val="24"/>
        </w:rPr>
        <w:t xml:space="preserve">(2004), 23,7 procentos no notekās ņemtajiem paraugiem atrada </w:t>
      </w:r>
      <w:r>
        <w:rPr>
          <w:rFonts w:ascii="Times New Roman" w:hAnsi="Times New Roman"/>
          <w:i/>
          <w:iCs/>
          <w:sz w:val="24"/>
        </w:rPr>
        <w:t>L. monocytogenes</w:t>
      </w:r>
      <w:r>
        <w:rPr>
          <w:rFonts w:ascii="Times New Roman" w:hAnsi="Times New Roman"/>
          <w:sz w:val="24"/>
        </w:rPr>
        <w:t xml:space="preserve">, kaut arī grīdas un notekas tur tīrīja katru dienu un noteku tīrīšanai augstspiediena iekārtas neizmantoja. Pētnieki arī konstatēja, ka </w:t>
      </w:r>
      <w:r>
        <w:rPr>
          <w:rFonts w:ascii="Times New Roman" w:hAnsi="Times New Roman"/>
          <w:i/>
          <w:iCs/>
          <w:sz w:val="24"/>
        </w:rPr>
        <w:t>L. monocytogenes</w:t>
      </w:r>
      <w:r>
        <w:rPr>
          <w:rFonts w:ascii="Times New Roman" w:hAnsi="Times New Roman"/>
          <w:sz w:val="24"/>
        </w:rPr>
        <w:t xml:space="preserve"> reti izolē no kontaktvirsmām, kas ir saskarē ar pārtiku, pat tajās ražotnēs, kur notekās un citās ar pārtiku nesaistītās vietās bija salīdzinoši liels pozitīvo paraugu skaits. Ūdens, ko lieto mazgāšanai un tīrīšanai, jo īpaši izmantojot augstspiediena šļūtenes, veicinās baktēriju izplatīšanos ap apstrādes zonu (MAF, 2011).</w:t>
      </w:r>
    </w:p>
    <w:p w:rsidR="00333E26" w:rsidRDefault="00333E26" w:rsidP="00333E26">
      <w:pPr>
        <w:tabs>
          <w:tab w:val="left" w:pos="1091"/>
        </w:tabs>
        <w:jc w:val="both"/>
        <w:rPr>
          <w:rFonts w:ascii="Times New Roman" w:hAnsi="Times New Roman"/>
          <w:b/>
          <w:noProof/>
          <w:sz w:val="24"/>
        </w:rPr>
      </w:pPr>
      <w:bookmarkStart w:id="49" w:name="_TOC_250012"/>
    </w:p>
    <w:p w:rsidR="00270842" w:rsidRPr="001B6F3C" w:rsidRDefault="00333E26" w:rsidP="00150B9E">
      <w:pPr>
        <w:pStyle w:val="Heading1"/>
        <w:rPr>
          <w:noProof/>
        </w:rPr>
      </w:pPr>
      <w:bookmarkStart w:id="50" w:name="_Toc37931392"/>
      <w:r>
        <w:t xml:space="preserve">3.3.5. </w:t>
      </w:r>
      <w:r w:rsidRPr="00150B9E">
        <w:t>Darbinieku</w:t>
      </w:r>
      <w:r>
        <w:t xml:space="preserve"> rīcība</w:t>
      </w:r>
      <w:bookmarkEnd w:id="49"/>
      <w:bookmarkEnd w:id="50"/>
    </w:p>
    <w:p w:rsidR="00270842" w:rsidRPr="001B6F3C" w:rsidRDefault="00270842" w:rsidP="004650EF">
      <w:pPr>
        <w:jc w:val="both"/>
        <w:rPr>
          <w:rFonts w:ascii="Times New Roman" w:eastAsia="Tahoma" w:hAnsi="Times New Roman" w:cs="Tahoma"/>
          <w:b/>
          <w:bCs/>
          <w:noProof/>
          <w:sz w:val="24"/>
          <w:szCs w:val="19"/>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Piesārņojuma avotu var radīt darbinieki, kas dodas iekšā saldēto ADG apstrādes zonā vai zonā, kur atrodas ADG. Īpaša uzmanība jāpievērš rokām, cimdiem un formas tērpiem, kā arī formas tērpu lietošanai parasto un paaugstināto sanitāro prasību zonās. Apavi ar radžotām zolēm arī var radīt risku, jo pie šāda veida apaviem var pieķerties netīrumi vai citu atkritumu daļiņas ražotnē vai ārpus tās (USFDA, 2017).</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Liela nozīme ir cilvēka rīcībai, piemēram, kad darbinieki pārvietojas no parasto sanitāro prasību zonām uz zonām ar paaugstinātām sanitārajām prasībām bez aizsardzības pasākumu veikšanas, tā rezultātā potenciāli izraisot savstarpēju piesārņošanos. Lai samazinātu piesārņojumu, ir ieteicams izvietot putotājus vai kāju vannas ar antibakteriālajiem līdzekļiem. Putotājs automātiski izsmidzina dezinficējošas putas uz grīdas pie darbiniekiem paredzētās ieejas tīrajā zonā. Kāju vanna parasti ir ar piemērotu antibakteriālo līdzekli piepildīta zema plakana tvertne vai hidroizolēta iedobe grīdā ar neslīdošu virsmu (USFDA, 2017).</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Personālam, kas izmanto piederumus, piemēram, lāpstiņas vai knaibles, vai valkā cimdus, jāizvairās no saldēto ADG potenciālas piesārņošanas. Pat ja visdažādākajos apstākļos var rasties nepieciešamība ar rokām aiztikt pārtiku vai iepakojuma materiālu, īpaša uzmanība </w:t>
      </w:r>
      <w:r>
        <w:rPr>
          <w:rFonts w:ascii="Times New Roman" w:hAnsi="Times New Roman"/>
          <w:sz w:val="24"/>
        </w:rPr>
        <w:lastRenderedPageBreak/>
        <w:t>jāpievērš tam, lai izvairītos no jebkāda piesārņojuma radīšanas (USFDA, 2017).</w:t>
      </w:r>
    </w:p>
    <w:p w:rsidR="00333E26" w:rsidRPr="001B6F3C" w:rsidRDefault="00333E26" w:rsidP="004650EF">
      <w:pPr>
        <w:pStyle w:val="BodyText"/>
        <w:ind w:left="0"/>
        <w:jc w:val="both"/>
        <w:rPr>
          <w:rFonts w:ascii="Times New Roman" w:hAnsi="Times New Roman"/>
          <w:noProof/>
          <w:sz w:val="24"/>
        </w:rPr>
      </w:pPr>
    </w:p>
    <w:p w:rsidR="00270842" w:rsidRPr="001B6F3C" w:rsidRDefault="00333E26" w:rsidP="00150B9E">
      <w:pPr>
        <w:pStyle w:val="Heading1"/>
        <w:rPr>
          <w:noProof/>
        </w:rPr>
      </w:pPr>
      <w:bookmarkStart w:id="51" w:name="_TOC_250011"/>
      <w:bookmarkStart w:id="52" w:name="_Toc37931393"/>
      <w:r>
        <w:t xml:space="preserve">3.3.6. Barjeru </w:t>
      </w:r>
      <w:r w:rsidRPr="00150B9E">
        <w:t>neesamība</w:t>
      </w:r>
      <w:r>
        <w:t xml:space="preserve"> starp svaigajiem un saldētajiem ADG un ražošanas zonām</w:t>
      </w:r>
      <w:bookmarkEnd w:id="51"/>
      <w:bookmarkEnd w:id="52"/>
    </w:p>
    <w:p w:rsidR="00270842" w:rsidRPr="001B6F3C" w:rsidRDefault="00270842" w:rsidP="004650EF">
      <w:pPr>
        <w:jc w:val="both"/>
        <w:rPr>
          <w:rFonts w:ascii="Times New Roman" w:eastAsia="Tahoma" w:hAnsi="Times New Roman" w:cs="Tahoma"/>
          <w:b/>
          <w:bCs/>
          <w:noProof/>
          <w:sz w:val="24"/>
          <w:szCs w:val="15"/>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Saldētu ADG ražošana ir vienlaidu process, kas notiek uz ražošanas līnijas. Tāpēc produktu pārvietošanas princips uz nākamo ražošanas posmu nevarētu radīt problēmu. Tomēr, tā kā vairāki produkti un ražošanas līnijas var darboties vienlaicīgi vienā un tajā pašā ēkā vai ražošanas telpā, nevar izslēgt savstarpējo piesārņošanos starp ražošanas līnijām ar ūdens, gaisa, aerosola daļiņu, darbinieku un pārvietojamo iekārtu, utt. starpniecību. Saldētavā ir zonas ar zemām sanitārajām prasībām vietās, kur svaigos ADG pieņem, uzglabā un sagatavo tālākai pārstrādei. Pēc mazgāšanas, blanšēšanas, atdzesēšanas un pēdējiem sagatavošanas posmiem ir vajadzīgas zonas ar augstākām sanitārajām prasībām, lai izvairītos no (tieša vai netieša) piesārņojuma produktā. Faktiski blanšēšanas antibakteriālā iedarbība var būt riska faktors savstarpējam piesārņojumam produktos pēc to blanšēšanas, jo samazinās produktu dabiskā mikrobiota, potenciāli veicinot </w:t>
      </w:r>
      <w:r>
        <w:rPr>
          <w:rFonts w:ascii="Times New Roman" w:hAnsi="Times New Roman"/>
          <w:i/>
          <w:iCs/>
          <w:sz w:val="24"/>
        </w:rPr>
        <w:t>L. monocytogenes</w:t>
      </w:r>
      <w:r>
        <w:rPr>
          <w:rFonts w:ascii="Times New Roman" w:hAnsi="Times New Roman"/>
          <w:sz w:val="24"/>
        </w:rPr>
        <w:t xml:space="preserve"> ieviešanos un proliferāciju galvenokārt konkurējošo antagonistu samazināšanās dēļ. Daudzi pētījumi ir apliecinājuši, ka </w:t>
      </w:r>
      <w:r>
        <w:rPr>
          <w:rFonts w:ascii="Times New Roman" w:hAnsi="Times New Roman"/>
          <w:i/>
          <w:iCs/>
          <w:sz w:val="24"/>
        </w:rPr>
        <w:t>L. monocytogenes</w:t>
      </w:r>
      <w:r>
        <w:rPr>
          <w:rFonts w:ascii="Times New Roman" w:hAnsi="Times New Roman"/>
          <w:sz w:val="24"/>
        </w:rPr>
        <w:t xml:space="preserve"> uzvedību nosaka apkārtējie mikroorganismi (Zilelidou un Skandamis, 2018). Ljana [</w:t>
      </w:r>
      <w:r>
        <w:rPr>
          <w:rFonts w:ascii="Times New Roman" w:hAnsi="Times New Roman"/>
          <w:i/>
          <w:iCs/>
          <w:sz w:val="24"/>
        </w:rPr>
        <w:t>Lianou</w:t>
      </w:r>
      <w:r>
        <w:rPr>
          <w:rFonts w:ascii="Times New Roman" w:hAnsi="Times New Roman"/>
          <w:sz w:val="24"/>
        </w:rPr>
        <w:t>] un Sofs [</w:t>
      </w:r>
      <w:r>
        <w:rPr>
          <w:rFonts w:ascii="Times New Roman" w:hAnsi="Times New Roman"/>
          <w:i/>
          <w:iCs/>
          <w:sz w:val="24"/>
        </w:rPr>
        <w:t>Sofos</w:t>
      </w:r>
      <w:r>
        <w:rPr>
          <w:rFonts w:ascii="Times New Roman" w:hAnsi="Times New Roman"/>
          <w:sz w:val="24"/>
        </w:rPr>
        <w:t xml:space="preserve">] (2007) ziņo, ka pārtikas mikrobiotas neesamība izraisa strauju </w:t>
      </w:r>
      <w:r>
        <w:rPr>
          <w:rFonts w:ascii="Times New Roman" w:hAnsi="Times New Roman"/>
          <w:i/>
          <w:iCs/>
          <w:sz w:val="24"/>
        </w:rPr>
        <w:t>L. monocytogenes</w:t>
      </w:r>
      <w:r>
        <w:rPr>
          <w:rFonts w:ascii="Times New Roman" w:hAnsi="Times New Roman"/>
          <w:sz w:val="24"/>
        </w:rPr>
        <w:t xml:space="preserve"> proliferāciju karsti kūpināto zivju izstrādājumos. Tāpēc pēc blanšēšanas savstarpējā piesārņošanās ražošanas vidē kļūst par nozīmīgāku faktoru, jo ir traucēta produktu dabiskā ekoloģija.</w:t>
      </w:r>
    </w:p>
    <w:p w:rsidR="00333E26" w:rsidRPr="001B6F3C" w:rsidRDefault="00333E26"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Ņemot vērā ūdens aizvades svarīgo ietekmi uz noturīgu </w:t>
      </w:r>
      <w:r>
        <w:rPr>
          <w:rFonts w:ascii="Times New Roman" w:hAnsi="Times New Roman"/>
          <w:i/>
          <w:iCs/>
          <w:sz w:val="24"/>
        </w:rPr>
        <w:t>L. monocytogenes</w:t>
      </w:r>
      <w:r>
        <w:rPr>
          <w:rFonts w:ascii="Times New Roman" w:hAnsi="Times New Roman"/>
          <w:sz w:val="24"/>
        </w:rPr>
        <w:t xml:space="preserve"> klātbūtni, cauruļvadiem un izvadiem jābūt izvietotiem virzienā no zonām ar augstākām sanitārajām prasībām uz zonām ar zemākām sanitārajām prasībām, lai novērstu notekūdeņu radīto savstarpējo piesārņošanos. Rīki uz riteņiem, piemēram, atkritumu tvertnes, vai iekārtas, arī dažkārt var pārvietot no zonām ar zemākām sanitārajām prasībām uz augstāku sanitāro prasību zonām, iznēsājot vidē esošo </w:t>
      </w:r>
      <w:r>
        <w:rPr>
          <w:rFonts w:ascii="Times New Roman" w:hAnsi="Times New Roman"/>
          <w:i/>
          <w:iCs/>
          <w:sz w:val="24"/>
        </w:rPr>
        <w:t>L. monocytogenes</w:t>
      </w:r>
      <w:r>
        <w:rPr>
          <w:rFonts w:ascii="Times New Roman" w:hAnsi="Times New Roman"/>
          <w:sz w:val="24"/>
        </w:rPr>
        <w:t xml:space="preserve"> piesārņojumu. Tas pats attiecas uz gaisa un ventilācijas sistēmām, kurām vajadzētu raidīt gaisa plūsmu no zonām ar augstām sanitārajām prasībām virzienā uz zonām ar zemākām sanitārajām prasībām, lai nenotiktu piesārņojuma atkārtota iznēsāšana.</w:t>
      </w:r>
    </w:p>
    <w:p w:rsidR="00270842" w:rsidRPr="001B6F3C" w:rsidRDefault="00270842" w:rsidP="004650EF">
      <w:pPr>
        <w:jc w:val="both"/>
        <w:rPr>
          <w:rFonts w:ascii="Times New Roman" w:hAnsi="Times New Roman"/>
          <w:noProof/>
          <w:sz w:val="24"/>
        </w:rPr>
      </w:pPr>
    </w:p>
    <w:p w:rsidR="00270842" w:rsidRPr="001B6F3C" w:rsidRDefault="00333E26" w:rsidP="00150B9E">
      <w:pPr>
        <w:pStyle w:val="Heading1"/>
        <w:rPr>
          <w:noProof/>
        </w:rPr>
      </w:pPr>
      <w:bookmarkStart w:id="53" w:name="_Toc37931394"/>
      <w:r>
        <w:t xml:space="preserve">3.4. </w:t>
      </w:r>
      <w:r w:rsidRPr="007F775F">
        <w:rPr>
          <w:i/>
        </w:rPr>
        <w:t>L. monocytogenes</w:t>
      </w:r>
      <w:r>
        <w:t xml:space="preserve"> </w:t>
      </w:r>
      <w:r w:rsidRPr="00150B9E">
        <w:t>monitorings</w:t>
      </w:r>
      <w:bookmarkEnd w:id="53"/>
    </w:p>
    <w:p w:rsidR="00333E26"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Monitoringam un paraugu ņemšanai, lai noteiktu </w:t>
      </w:r>
      <w:r>
        <w:rPr>
          <w:rFonts w:ascii="Times New Roman" w:hAnsi="Times New Roman"/>
          <w:i/>
          <w:iCs/>
          <w:sz w:val="24"/>
        </w:rPr>
        <w:t>L. monocytogenes</w:t>
      </w:r>
      <w:r>
        <w:rPr>
          <w:rFonts w:ascii="Times New Roman" w:hAnsi="Times New Roman"/>
          <w:sz w:val="24"/>
        </w:rPr>
        <w:t xml:space="preserve"> saldēto ADG saldētavā vai apstrādes un pārkraušanas vietā, var būt vairāki mērķi, piemēram, tie, ko aprakstījusi Eitendāle [</w:t>
      </w:r>
      <w:r>
        <w:rPr>
          <w:rFonts w:ascii="Times New Roman" w:hAnsi="Times New Roman"/>
          <w:i/>
          <w:iCs/>
          <w:sz w:val="24"/>
        </w:rPr>
        <w:t>Uyttendaele</w:t>
      </w:r>
      <w:r>
        <w:rPr>
          <w:rFonts w:ascii="Times New Roman" w:hAnsi="Times New Roman"/>
          <w:sz w:val="24"/>
        </w:rPr>
        <w:t xml:space="preserve">] </w:t>
      </w:r>
      <w:r>
        <w:rPr>
          <w:rFonts w:ascii="Times New Roman" w:hAnsi="Times New Roman"/>
          <w:i/>
          <w:iCs/>
          <w:sz w:val="24"/>
        </w:rPr>
        <w:t>et al.</w:t>
      </w:r>
      <w:r>
        <w:rPr>
          <w:rFonts w:ascii="Times New Roman" w:hAnsi="Times New Roman"/>
          <w:sz w:val="24"/>
        </w:rPr>
        <w:t xml:space="preserve"> (2018):</w:t>
      </w:r>
    </w:p>
    <w:p w:rsidR="00333E26" w:rsidRPr="001B6F3C" w:rsidRDefault="00333E26" w:rsidP="004650EF">
      <w:pPr>
        <w:pStyle w:val="BodyText"/>
        <w:ind w:left="0"/>
        <w:jc w:val="both"/>
        <w:rPr>
          <w:rFonts w:ascii="Times New Roman" w:hAnsi="Times New Roman"/>
          <w:noProof/>
          <w:sz w:val="24"/>
        </w:rPr>
      </w:pPr>
    </w:p>
    <w:p w:rsidR="00270842" w:rsidRPr="001B6F3C" w:rsidRDefault="00270842" w:rsidP="00333E26">
      <w:pPr>
        <w:pStyle w:val="BodyText"/>
        <w:numPr>
          <w:ilvl w:val="2"/>
          <w:numId w:val="12"/>
        </w:numPr>
        <w:ind w:left="709" w:hanging="283"/>
        <w:jc w:val="both"/>
        <w:rPr>
          <w:rFonts w:ascii="Times New Roman" w:hAnsi="Times New Roman"/>
          <w:noProof/>
          <w:sz w:val="24"/>
        </w:rPr>
      </w:pPr>
      <w:r>
        <w:rPr>
          <w:rFonts w:ascii="Times New Roman" w:hAnsi="Times New Roman"/>
          <w:sz w:val="24"/>
        </w:rPr>
        <w:t>no partijām var ņemt paraugus (produktu paraugus), lai spriestu par svaigo ADG un/vai gatavās produkcijas partijas pieņemšanu vai noraidīšanu;</w:t>
      </w:r>
    </w:p>
    <w:p w:rsidR="00270842" w:rsidRPr="001B6F3C" w:rsidRDefault="00270842" w:rsidP="00333E26">
      <w:pPr>
        <w:pStyle w:val="BodyText"/>
        <w:numPr>
          <w:ilvl w:val="2"/>
          <w:numId w:val="12"/>
        </w:numPr>
        <w:ind w:left="709" w:hanging="283"/>
        <w:jc w:val="both"/>
        <w:rPr>
          <w:rFonts w:ascii="Times New Roman" w:hAnsi="Times New Roman"/>
          <w:noProof/>
          <w:sz w:val="24"/>
        </w:rPr>
      </w:pPr>
      <w:r>
        <w:rPr>
          <w:rFonts w:ascii="Times New Roman" w:hAnsi="Times New Roman"/>
          <w:sz w:val="24"/>
        </w:rPr>
        <w:t>paraugus uzraudzības vajadzībām (produktu paraugus) ņem ar mērķi noteikt patogēno mikroorganismu izplatību (piemēram, kompetentajām iestādēm veicot valsts kontroles pasākumus, kontrolējot tirgū esošos pārtikas produktus);</w:t>
      </w:r>
    </w:p>
    <w:p w:rsidR="00270842" w:rsidRPr="001B6F3C" w:rsidRDefault="00270842" w:rsidP="00333E26">
      <w:pPr>
        <w:pStyle w:val="BodyText"/>
        <w:numPr>
          <w:ilvl w:val="2"/>
          <w:numId w:val="12"/>
        </w:numPr>
        <w:ind w:left="709" w:hanging="283"/>
        <w:jc w:val="both"/>
        <w:rPr>
          <w:rFonts w:ascii="Times New Roman" w:hAnsi="Times New Roman"/>
          <w:noProof/>
          <w:sz w:val="24"/>
        </w:rPr>
      </w:pPr>
      <w:r>
        <w:rPr>
          <w:rFonts w:ascii="Times New Roman" w:hAnsi="Times New Roman"/>
          <w:sz w:val="24"/>
        </w:rPr>
        <w:t>vides paraugu ņemšanu (no kontaktvirsmām, kas ir saskarē ar pārtiku) var organizēt, lai pārbaudītu ikdienā veiktos tīrīšanas un dezinfekcijas darbus, un</w:t>
      </w:r>
    </w:p>
    <w:p w:rsidR="00270842" w:rsidRPr="001B6F3C" w:rsidRDefault="00270842" w:rsidP="00333E26">
      <w:pPr>
        <w:pStyle w:val="BodyText"/>
        <w:numPr>
          <w:ilvl w:val="2"/>
          <w:numId w:val="12"/>
        </w:numPr>
        <w:ind w:left="709" w:hanging="283"/>
        <w:jc w:val="both"/>
        <w:rPr>
          <w:rFonts w:ascii="Times New Roman" w:hAnsi="Times New Roman"/>
          <w:noProof/>
          <w:sz w:val="24"/>
        </w:rPr>
      </w:pPr>
      <w:r>
        <w:rPr>
          <w:rFonts w:ascii="Times New Roman" w:hAnsi="Times New Roman"/>
          <w:sz w:val="24"/>
        </w:rPr>
        <w:t>riska izvērtējumā balstītu paraugu ņemšanu no produktiem un vides var veikt, lai pārbaudītu, kā tiek ievērotas obligātās programmas, riska analīze un kritisko punktu kontroles sistēma (</w:t>
      </w:r>
      <w:r>
        <w:rPr>
          <w:rFonts w:ascii="Times New Roman" w:hAnsi="Times New Roman"/>
          <w:i/>
          <w:iCs/>
          <w:sz w:val="24"/>
        </w:rPr>
        <w:t>HACCP</w:t>
      </w:r>
      <w:r>
        <w:rPr>
          <w:rFonts w:ascii="Times New Roman" w:hAnsi="Times New Roman"/>
          <w:sz w:val="24"/>
        </w:rPr>
        <w:t>), un pārtikas nekaitīguma pārvaldības sistēma plašākā nozīmē.</w:t>
      </w:r>
    </w:p>
    <w:p w:rsidR="00333E26"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Šī dokumenta mērķis ir piedāvāt monitoringu un paraugu ņemšanu saistībā ar </w:t>
      </w:r>
      <w:r>
        <w:rPr>
          <w:rFonts w:ascii="Times New Roman" w:hAnsi="Times New Roman"/>
          <w:sz w:val="24"/>
        </w:rPr>
        <w:lastRenderedPageBreak/>
        <w:t>mikrobioloģisko avotu izsekošanu (</w:t>
      </w:r>
      <w:r>
        <w:rPr>
          <w:rFonts w:ascii="Times New Roman" w:hAnsi="Times New Roman"/>
          <w:i/>
          <w:iCs/>
          <w:sz w:val="24"/>
        </w:rPr>
        <w:t>MST</w:t>
      </w:r>
      <w:r>
        <w:rPr>
          <w:rFonts w:ascii="Times New Roman" w:hAnsi="Times New Roman"/>
          <w:sz w:val="24"/>
        </w:rPr>
        <w:t xml:space="preserve">), lai identificētu piesārņojuma punktus pārstrādes uzņēmumā (saldētavā vai apstrādes un pārkraušanas vietā), kur var atrasties </w:t>
      </w:r>
      <w:r>
        <w:rPr>
          <w:rFonts w:ascii="Times New Roman" w:hAnsi="Times New Roman"/>
          <w:i/>
          <w:iCs/>
          <w:sz w:val="24"/>
        </w:rPr>
        <w:t>L. monocytogenes</w:t>
      </w:r>
      <w:r>
        <w:rPr>
          <w:rFonts w:ascii="Times New Roman" w:hAnsi="Times New Roman"/>
          <w:sz w:val="24"/>
        </w:rPr>
        <w:t xml:space="preserve">, potenciāli piesārņojot pārtikas produktus. </w:t>
      </w:r>
      <w:r>
        <w:rPr>
          <w:rFonts w:ascii="Times New Roman" w:hAnsi="Times New Roman"/>
          <w:i/>
          <w:iCs/>
          <w:sz w:val="24"/>
        </w:rPr>
        <w:t>MST</w:t>
      </w:r>
      <w:r>
        <w:rPr>
          <w:rFonts w:ascii="Times New Roman" w:hAnsi="Times New Roman"/>
          <w:sz w:val="24"/>
        </w:rPr>
        <w:t xml:space="preserve"> ir paņēmienu kopums, ko izmanto bakteriālo avotu (izcelsmes vietu) noteikšanai. </w:t>
      </w:r>
      <w:r>
        <w:rPr>
          <w:rFonts w:ascii="Times New Roman" w:hAnsi="Times New Roman"/>
          <w:i/>
          <w:iCs/>
          <w:sz w:val="24"/>
        </w:rPr>
        <w:t>MST</w:t>
      </w:r>
      <w:r>
        <w:rPr>
          <w:rFonts w:ascii="Times New Roman" w:hAnsi="Times New Roman"/>
          <w:sz w:val="24"/>
        </w:rPr>
        <w:t xml:space="preserve"> mēdz dēvēt arī par fekālo avotu izsekošanu, jo šo principu sākotnēji izstrādāja (un joprojām plaši izmanto) fekālo baktēriju izcelsmes noteikšanai piesārņotos ūdensceļos. Laika gaitā </w:t>
      </w:r>
      <w:r>
        <w:rPr>
          <w:rFonts w:ascii="Times New Roman" w:hAnsi="Times New Roman"/>
          <w:i/>
          <w:iCs/>
          <w:sz w:val="24"/>
        </w:rPr>
        <w:t xml:space="preserve">MST </w:t>
      </w:r>
      <w:r>
        <w:rPr>
          <w:rFonts w:ascii="Times New Roman" w:hAnsi="Times New Roman"/>
          <w:sz w:val="24"/>
        </w:rPr>
        <w:t>princips ir attiecināts arī uz citām nozarēm, tostarp pārtikas un dzērienu, biotehnoloģijas, medicīnas un farmācijas nozari (Uyttendaele et al., 2018).</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Kā aplūkots 1. tabulā, saldētavās un/vai apstrādes un pārkraušanas vietās ir noteikti daudzi punkti, kuros potenciāli var atrasties </w:t>
      </w:r>
      <w:r>
        <w:rPr>
          <w:rFonts w:ascii="Times New Roman" w:hAnsi="Times New Roman"/>
          <w:i/>
          <w:iCs/>
          <w:sz w:val="24"/>
        </w:rPr>
        <w:t>L. monocytogenes</w:t>
      </w:r>
      <w:r>
        <w:rPr>
          <w:rFonts w:ascii="Times New Roman" w:hAnsi="Times New Roman"/>
          <w:sz w:val="24"/>
        </w:rPr>
        <w:t>.</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Efektīvas </w:t>
      </w:r>
      <w:r>
        <w:rPr>
          <w:rFonts w:ascii="Times New Roman" w:hAnsi="Times New Roman"/>
          <w:i/>
          <w:iCs/>
          <w:sz w:val="24"/>
        </w:rPr>
        <w:t>MST</w:t>
      </w:r>
      <w:r>
        <w:rPr>
          <w:rFonts w:ascii="Times New Roman" w:hAnsi="Times New Roman"/>
          <w:sz w:val="24"/>
        </w:rPr>
        <w:t xml:space="preserve"> analīzes veikšanai vajadzīgs saskaņots darbs paraugu ņemšanas plānošanai no ražošanas partijām un kritiski svarīgajām vietām </w:t>
      </w:r>
      <w:r>
        <w:rPr>
          <w:rFonts w:ascii="Times New Roman" w:hAnsi="Times New Roman"/>
          <w:i/>
          <w:iCs/>
          <w:sz w:val="24"/>
        </w:rPr>
        <w:t>CSS</w:t>
      </w:r>
      <w:r>
        <w:rPr>
          <w:rFonts w:ascii="Times New Roman" w:hAnsi="Times New Roman"/>
          <w:sz w:val="24"/>
        </w:rPr>
        <w:t xml:space="preserve"> vidē, t. i., jāņem paraugi no vienas ražošanas partijas, sākot no svaigajiem ADG vai citām katrā partijā izmantotajām sastāvdaļām, starpproduktiem un beidzot ar iepakotajiem produktiem, kas no šīm partijām saražoti. Šiem produktu paraugiem jābūt saistītiem ar vides paraugiem no kontaktvirsmām, kas ir saskarē ar pārtiku, un citām kontaktvirsmām, kur šādas saskares nav (skatīt 1. tabulu), un ūdens paraugiem (vajadzības gadījumā skatīt 1. tabulu). Kā norādīts 3. sadaļas 3. punkta 1. apakšpunktā, šajā nozarē ražošana parasti nenotiek pa partijām, skaidri nodalot attiecīgās izejvielu partijas, bet gan ir nepārtraukta. Tāpēc produktu nošķiršanas vajadzībām nozarei ražošanas partija ir jādefinē, piemēram, nosakot to kā vienu vai divas ražošanas dienas, kurās nav paredzēts pārtraukums produktu diferencēšanai (lielākoties šajā laikā ietverot arī starpposmos veikto tīrīšanu). No </w:t>
      </w:r>
      <w:r>
        <w:rPr>
          <w:rFonts w:ascii="Times New Roman" w:hAnsi="Times New Roman"/>
          <w:i/>
          <w:iCs/>
          <w:sz w:val="24"/>
        </w:rPr>
        <w:t>L. monocytogenes</w:t>
      </w:r>
      <w:r>
        <w:rPr>
          <w:rFonts w:ascii="Times New Roman" w:hAnsi="Times New Roman"/>
          <w:sz w:val="24"/>
        </w:rPr>
        <w:t xml:space="preserve"> potenciālo avotu garā saraksta (1. tabulā) jāizveido īsais </w:t>
      </w:r>
      <w:r>
        <w:rPr>
          <w:rFonts w:ascii="Times New Roman" w:hAnsi="Times New Roman"/>
          <w:i/>
          <w:iCs/>
          <w:sz w:val="24"/>
        </w:rPr>
        <w:t>CSS</w:t>
      </w:r>
      <w:r>
        <w:rPr>
          <w:rFonts w:ascii="Times New Roman" w:hAnsi="Times New Roman"/>
          <w:sz w:val="24"/>
        </w:rPr>
        <w:t xml:space="preserve"> saraksts. Attiecīgās </w:t>
      </w:r>
      <w:r>
        <w:rPr>
          <w:rFonts w:ascii="Times New Roman" w:hAnsi="Times New Roman"/>
          <w:i/>
          <w:iCs/>
          <w:sz w:val="24"/>
        </w:rPr>
        <w:t>CSS</w:t>
      </w:r>
      <w:r>
        <w:rPr>
          <w:rFonts w:ascii="Times New Roman" w:hAnsi="Times New Roman"/>
          <w:sz w:val="24"/>
        </w:rPr>
        <w:t xml:space="preserve"> var noteikt, kritiski apsekojot saldētavas telpas vai apstrādes un pārkraušanas vietu, lai noteiktu, piemēram, kā tiek organizēts ražošanas process, kādu aprīkojumu izmanto, kā virzās ūdens plūsmas, kādā stāvoklī ir iekārtas/grīda un kur veidojas kondensāts. Parasti iesaka izvēlēties no 15 līdz 20 </w:t>
      </w:r>
      <w:r>
        <w:rPr>
          <w:rFonts w:ascii="Times New Roman" w:hAnsi="Times New Roman"/>
          <w:i/>
          <w:iCs/>
          <w:sz w:val="24"/>
        </w:rPr>
        <w:t>CSS</w:t>
      </w:r>
      <w:r>
        <w:rPr>
          <w:rFonts w:ascii="Times New Roman" w:hAnsi="Times New Roman"/>
          <w:sz w:val="24"/>
        </w:rPr>
        <w:t xml:space="preserve"> no ražošanas procesa sākuma līdz beigu posmam. Piemēram, pirmā </w:t>
      </w:r>
      <w:r>
        <w:rPr>
          <w:rFonts w:ascii="Times New Roman" w:hAnsi="Times New Roman"/>
          <w:i/>
          <w:iCs/>
          <w:sz w:val="24"/>
        </w:rPr>
        <w:t>CSS</w:t>
      </w:r>
      <w:r>
        <w:rPr>
          <w:rFonts w:ascii="Times New Roman" w:hAnsi="Times New Roman"/>
          <w:sz w:val="24"/>
        </w:rPr>
        <w:t xml:space="preserve"> var būt svaigie ADG, otrā </w:t>
      </w:r>
      <w:r>
        <w:rPr>
          <w:rFonts w:ascii="Times New Roman" w:hAnsi="Times New Roman"/>
          <w:i/>
          <w:iCs/>
          <w:sz w:val="24"/>
        </w:rPr>
        <w:t>CSS</w:t>
      </w:r>
      <w:r>
        <w:rPr>
          <w:rFonts w:ascii="Times New Roman" w:hAnsi="Times New Roman"/>
          <w:sz w:val="24"/>
        </w:rPr>
        <w:t xml:space="preserve"> var būt konveijera lente, kas nogādā svaigos ADG uz nākamo mazgāšanas posmu, un trešā </w:t>
      </w:r>
      <w:r>
        <w:rPr>
          <w:rFonts w:ascii="Times New Roman" w:hAnsi="Times New Roman"/>
          <w:i/>
          <w:iCs/>
          <w:sz w:val="24"/>
        </w:rPr>
        <w:t>CSS</w:t>
      </w:r>
      <w:r>
        <w:rPr>
          <w:rFonts w:ascii="Times New Roman" w:hAnsi="Times New Roman"/>
          <w:sz w:val="24"/>
        </w:rPr>
        <w:t xml:space="preserve"> var būt vide, kurā atrodas mazgāšanas tvertņu ūdensapgādes cauruļvadi, utt. Sistemātiski jāapseko ražošanas process un jānosaka produkti un/vai vides </w:t>
      </w:r>
      <w:r>
        <w:rPr>
          <w:rFonts w:ascii="Times New Roman" w:hAnsi="Times New Roman"/>
          <w:i/>
          <w:iCs/>
          <w:sz w:val="24"/>
        </w:rPr>
        <w:t>CSS</w:t>
      </w:r>
      <w:r>
        <w:rPr>
          <w:rFonts w:ascii="Times New Roman" w:hAnsi="Times New Roman"/>
          <w:sz w:val="24"/>
        </w:rPr>
        <w:t xml:space="preserve">. Paraugu ņemšanas plāna standartforma </w:t>
      </w:r>
      <w:r>
        <w:rPr>
          <w:rFonts w:ascii="Times New Roman" w:hAnsi="Times New Roman"/>
          <w:i/>
          <w:iCs/>
          <w:sz w:val="24"/>
        </w:rPr>
        <w:t>L. monocytogenes</w:t>
      </w:r>
      <w:r>
        <w:rPr>
          <w:rFonts w:ascii="Times New Roman" w:hAnsi="Times New Roman"/>
          <w:sz w:val="24"/>
        </w:rPr>
        <w:t xml:space="preserve"> potenciālo avotu noteikšanai saldēto ADG saldētavās/apstrādes un pārkraušanas vietās ir sniegta 2. tabulā.</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Ja ražošanas laikā no ražošanas līnijas ņem gan produkta, gan arī vides paraugus un dara to atkārtoti vairākas dienas ražošanas laikā, var precīzāk noteikt to ražošanas līnijas vietu, kurā mērķorganismi, piemēram, </w:t>
      </w:r>
      <w:r>
        <w:rPr>
          <w:rFonts w:ascii="Times New Roman" w:hAnsi="Times New Roman"/>
          <w:i/>
          <w:iCs/>
          <w:sz w:val="24"/>
        </w:rPr>
        <w:t>L. monocytogenes</w:t>
      </w:r>
      <w:r>
        <w:rPr>
          <w:rFonts w:ascii="Times New Roman" w:hAnsi="Times New Roman"/>
          <w:sz w:val="24"/>
        </w:rPr>
        <w:t xml:space="preserve">, nonāk produktā vai uz tā virsmas, un kas ar tiem notiek turpmākajos ražošanas posmos. Ieteicams katrā </w:t>
      </w:r>
      <w:r>
        <w:rPr>
          <w:rFonts w:ascii="Times New Roman" w:hAnsi="Times New Roman"/>
          <w:i/>
          <w:iCs/>
          <w:sz w:val="24"/>
        </w:rPr>
        <w:t>CSS</w:t>
      </w:r>
      <w:r>
        <w:rPr>
          <w:rFonts w:ascii="Times New Roman" w:hAnsi="Times New Roman"/>
          <w:sz w:val="24"/>
        </w:rPr>
        <w:t xml:space="preserve"> pēc iespējas (un ja to var finansiāli atļauties) ņemt </w:t>
      </w:r>
      <w:r w:rsidR="00EF22E2">
        <w:rPr>
          <w:rFonts w:ascii="Times New Roman" w:hAnsi="Times New Roman"/>
          <w:sz w:val="24"/>
        </w:rPr>
        <w:t>divus identiskus paraugus</w:t>
      </w:r>
      <w:r>
        <w:rPr>
          <w:rFonts w:ascii="Times New Roman" w:hAnsi="Times New Roman"/>
          <w:sz w:val="24"/>
        </w:rPr>
        <w:t>.</w:t>
      </w:r>
    </w:p>
    <w:p w:rsidR="00333E26" w:rsidRPr="001B6F3C" w:rsidRDefault="00333E26"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Potenciālais piesārņojums ar </w:t>
      </w:r>
      <w:r>
        <w:rPr>
          <w:rFonts w:ascii="Times New Roman" w:hAnsi="Times New Roman"/>
          <w:i/>
          <w:iCs/>
          <w:sz w:val="24"/>
        </w:rPr>
        <w:t>L. monocytogenes</w:t>
      </w:r>
      <w:r>
        <w:rPr>
          <w:rFonts w:ascii="Times New Roman" w:hAnsi="Times New Roman"/>
          <w:sz w:val="24"/>
        </w:rPr>
        <w:t xml:space="preserve"> dārzeņu pārstrādes vietu vidē ir vērtēts vairākos pētījumos (Holvoet et al., 2012; Castro-Ibañez et al., 2016). Šajos pētījumos pārstrādes uzņēmumus apmeklēja vismaz trīs dažādās dienās un paraugus ņēma trīs paraugu ņemšanas reizēs vienā un tajā pašā darba dienā, tostarp darba dienas sākumā, vidū un beigās. Katrā paraugu ņemšanas laikā analīzēm ņēma svaigo ADG un galaprodukta paraugus, ūdens paraugus (no pirmsmazgāšanas, mazgāšanas, skalošanas un centrifugēšanas notekūdeņiem) un paraugus no kontaktvirsmām saskarē ar pārtiku (darbinieku plastmasas cimdiem, konveijeru lentēm, centrifūgas un svēršanas virsmām). Katrā paraugu ņemšanas vietā ar nejaušās izlases metodi savāca vismaz 9 paraugus no pārtikas produktiem vai virsmām (pa 100 g). Citus pētījumus veic ēdināšanas uzņēmumos (Lahou et al., 2012), gaļas pārstrādes uzņēmumos </w:t>
      </w:r>
      <w:r>
        <w:rPr>
          <w:rFonts w:ascii="Times New Roman" w:hAnsi="Times New Roman"/>
          <w:sz w:val="24"/>
        </w:rPr>
        <w:lastRenderedPageBreak/>
        <w:t>(Jacxsens et al., 2009; Oses et al., 2012), zivju pārstrādes uzņēmumos (Noseda et al., 2013; Thi et al., 2014), un ar pārskatu par šādas paraugu ņemšanas stratēģijas lietderību gaļas un piena nozarē var iepazīties Jaksensas [</w:t>
      </w:r>
      <w:r>
        <w:rPr>
          <w:rFonts w:ascii="Times New Roman" w:hAnsi="Times New Roman"/>
          <w:i/>
          <w:iCs/>
          <w:sz w:val="24"/>
        </w:rPr>
        <w:t>Jacksens</w:t>
      </w:r>
      <w:r>
        <w:rPr>
          <w:rFonts w:ascii="Times New Roman" w:hAnsi="Times New Roman"/>
          <w:sz w:val="24"/>
        </w:rPr>
        <w:t xml:space="preserve">] </w:t>
      </w:r>
      <w:r>
        <w:rPr>
          <w:rFonts w:ascii="Times New Roman" w:hAnsi="Times New Roman"/>
          <w:i/>
          <w:iCs/>
          <w:sz w:val="24"/>
        </w:rPr>
        <w:t>et al.</w:t>
      </w:r>
      <w:r>
        <w:rPr>
          <w:rFonts w:ascii="Times New Roman" w:hAnsi="Times New Roman"/>
          <w:sz w:val="24"/>
        </w:rPr>
        <w:t xml:space="preserve"> (2011) rakstā.</w:t>
      </w:r>
    </w:p>
    <w:p w:rsidR="00333E26" w:rsidRPr="001B6F3C" w:rsidRDefault="00333E26"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i/>
          <w:iCs/>
          <w:sz w:val="24"/>
        </w:rPr>
        <w:t>MST</w:t>
      </w:r>
      <w:r>
        <w:rPr>
          <w:rFonts w:ascii="Times New Roman" w:hAnsi="Times New Roman"/>
          <w:sz w:val="24"/>
        </w:rPr>
        <w:t xml:space="preserve"> vajadzībām paraugu ņemšanas plāni parasti aptver trīs līdz četras ražošanas partijas, no kurām paraugus ņem vairākās dienās, lai gūtu izpratni par piesārņojuma mainīgumu un baktēriju iespējamo uzkrāšanos noteiktā paraugu ņemšanas vietā (gan pārtikas produktu, gan vides paraugos) (Uyttendaele et al., 2018). Paraugu ņemšanas plānā paraugus parasti paredz ņemt trīs reizes dienā, parasti ik pēc 3–4 stundām vai atkarībā no caurlaidspējas, lai noteiktu piesārņojuma uzkrāšanos.</w:t>
      </w:r>
    </w:p>
    <w:p w:rsidR="004650EF" w:rsidRPr="001B6F3C" w:rsidRDefault="004650EF" w:rsidP="004650EF">
      <w:pPr>
        <w:jc w:val="both"/>
        <w:rPr>
          <w:rFonts w:ascii="Times New Roman" w:hAnsi="Times New Roman"/>
          <w:noProof/>
          <w:sz w:val="24"/>
        </w:rPr>
      </w:pPr>
    </w:p>
    <w:p w:rsidR="00270842" w:rsidRPr="001B6F3C" w:rsidRDefault="00270842" w:rsidP="00333E26">
      <w:pPr>
        <w:tabs>
          <w:tab w:val="left" w:pos="2750"/>
        </w:tabs>
        <w:jc w:val="both"/>
        <w:rPr>
          <w:rFonts w:ascii="Times New Roman" w:hAnsi="Times New Roman"/>
          <w:noProof/>
          <w:sz w:val="24"/>
        </w:rPr>
      </w:pPr>
      <w:r>
        <w:rPr>
          <w:rFonts w:ascii="Times New Roman" w:hAnsi="Times New Roman"/>
          <w:b/>
          <w:sz w:val="24"/>
        </w:rPr>
        <w:t xml:space="preserve">2. tabula. </w:t>
      </w:r>
      <w:r>
        <w:rPr>
          <w:rFonts w:ascii="Times New Roman" w:hAnsi="Times New Roman"/>
          <w:sz w:val="24"/>
        </w:rPr>
        <w:t xml:space="preserve">Priekšlikumi paraugu ņemšanas plāna sastādīšanai potenciālo </w:t>
      </w:r>
      <w:r>
        <w:rPr>
          <w:rFonts w:ascii="Times New Roman" w:hAnsi="Times New Roman"/>
          <w:i/>
          <w:sz w:val="24"/>
        </w:rPr>
        <w:t xml:space="preserve">L. monocytogenes </w:t>
      </w:r>
      <w:r>
        <w:rPr>
          <w:rFonts w:ascii="Times New Roman" w:hAnsi="Times New Roman"/>
          <w:sz w:val="24"/>
        </w:rPr>
        <w:t>piesārņojuma avotu noteikšanai saldētu ADG saldētavās/apstrādes un pārkraušanas vietās</w:t>
      </w:r>
    </w:p>
    <w:p w:rsidR="00270842" w:rsidRPr="001B6F3C" w:rsidRDefault="00270842" w:rsidP="004650EF">
      <w:pPr>
        <w:jc w:val="both"/>
        <w:rPr>
          <w:rFonts w:ascii="Times New Roman" w:eastAsia="Tahoma" w:hAnsi="Times New Roman" w:cs="Tahoma"/>
          <w:noProof/>
          <w:sz w:val="24"/>
          <w:szCs w:val="18"/>
        </w:rPr>
      </w:pPr>
    </w:p>
    <w:tbl>
      <w:tblPr>
        <w:tblW w:w="5000" w:type="pct"/>
        <w:tblCellMar>
          <w:top w:w="28" w:type="dxa"/>
          <w:left w:w="28" w:type="dxa"/>
          <w:bottom w:w="28" w:type="dxa"/>
          <w:right w:w="28" w:type="dxa"/>
        </w:tblCellMar>
        <w:tblLook w:val="01E0" w:firstRow="1" w:lastRow="1" w:firstColumn="1" w:lastColumn="1" w:noHBand="0" w:noVBand="0"/>
      </w:tblPr>
      <w:tblGrid>
        <w:gridCol w:w="2438"/>
        <w:gridCol w:w="1120"/>
        <w:gridCol w:w="924"/>
        <w:gridCol w:w="842"/>
        <w:gridCol w:w="2030"/>
        <w:gridCol w:w="1774"/>
      </w:tblGrid>
      <w:tr w:rsidR="00333E26" w:rsidRPr="00287963" w:rsidTr="00531598">
        <w:tc>
          <w:tcPr>
            <w:tcW w:w="1335" w:type="pct"/>
            <w:vMerge w:val="restart"/>
            <w:tcBorders>
              <w:top w:val="single" w:sz="11" w:space="0" w:color="000000"/>
              <w:left w:val="nil"/>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Ražošanas diena</w:t>
            </w:r>
          </w:p>
        </w:tc>
        <w:tc>
          <w:tcPr>
            <w:tcW w:w="613" w:type="pct"/>
            <w:vMerge w:val="restart"/>
            <w:tcBorders>
              <w:top w:val="single" w:sz="11" w:space="0" w:color="000000"/>
              <w:left w:val="single" w:sz="5" w:space="0" w:color="D9D9D9"/>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Paraugu ņemšanas laiks</w:t>
            </w:r>
          </w:p>
        </w:tc>
        <w:tc>
          <w:tcPr>
            <w:tcW w:w="3051" w:type="pct"/>
            <w:gridSpan w:val="4"/>
            <w:tcBorders>
              <w:top w:val="single" w:sz="11" w:space="0" w:color="000000"/>
              <w:left w:val="single" w:sz="5" w:space="0" w:color="D9D9D9"/>
              <w:bottom w:val="single" w:sz="5" w:space="0" w:color="D9D9D9"/>
              <w:right w:val="nil"/>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Kritiskās paraugu ņemšanas vietas (</w:t>
            </w:r>
            <w:r>
              <w:rPr>
                <w:rFonts w:ascii="Times New Roman" w:hAnsi="Times New Roman"/>
                <w:i/>
                <w:iCs/>
                <w:sz w:val="20"/>
                <w:szCs w:val="20"/>
              </w:rPr>
              <w:t>CSS</w:t>
            </w:r>
            <w:r>
              <w:rPr>
                <w:rFonts w:ascii="Times New Roman" w:hAnsi="Times New Roman"/>
                <w:sz w:val="20"/>
                <w:szCs w:val="20"/>
              </w:rPr>
              <w:t xml:space="preserve">) jānosaka, pamatojoties uz saldētavas/apstrādes un pārkraušanas vietas kritisku apsekojumu, kā arī ņemot vērā saldēto ADG potenciālos </w:t>
            </w:r>
            <w:r>
              <w:rPr>
                <w:rFonts w:ascii="Times New Roman" w:hAnsi="Times New Roman"/>
                <w:i/>
                <w:sz w:val="20"/>
                <w:szCs w:val="20"/>
              </w:rPr>
              <w:t>L. monocytogenes</w:t>
            </w:r>
            <w:r>
              <w:rPr>
                <w:rFonts w:ascii="Times New Roman" w:hAnsi="Times New Roman"/>
                <w:sz w:val="20"/>
                <w:szCs w:val="20"/>
              </w:rPr>
              <w:t xml:space="preserve"> piesārņojuma avotus, kas uzskaitīti 1. tabulā.</w:t>
            </w:r>
          </w:p>
          <w:p w:rsidR="00287963" w:rsidRPr="00287963" w:rsidRDefault="00287963" w:rsidP="004650EF">
            <w:pPr>
              <w:pStyle w:val="TableParagraph"/>
              <w:jc w:val="both"/>
              <w:rPr>
                <w:rFonts w:ascii="Times New Roman" w:eastAsia="Tahoma" w:hAnsi="Times New Roman" w:cs="Tahoma"/>
                <w:noProof/>
                <w:sz w:val="20"/>
                <w:szCs w:val="20"/>
              </w:rPr>
            </w:pPr>
          </w:p>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Paraugu ņemšana no produktiem un vides (piemēram, no kontaktvirsmām, kas ir saskarē ar pārtiku, un citām kontaktvirsmām, ūdens)</w:t>
            </w:r>
          </w:p>
        </w:tc>
      </w:tr>
      <w:tr w:rsidR="00333E26" w:rsidRPr="00287963" w:rsidTr="00531598">
        <w:tc>
          <w:tcPr>
            <w:tcW w:w="1335" w:type="pct"/>
            <w:vMerge/>
            <w:tcBorders>
              <w:left w:val="nil"/>
              <w:bottom w:val="single" w:sz="11" w:space="0" w:color="000000"/>
              <w:right w:val="single" w:sz="5" w:space="0" w:color="D9D9D9"/>
            </w:tcBorders>
          </w:tcPr>
          <w:p w:rsidR="00270842" w:rsidRPr="00287963" w:rsidRDefault="00270842" w:rsidP="004650EF">
            <w:pPr>
              <w:jc w:val="both"/>
              <w:rPr>
                <w:rFonts w:ascii="Times New Roman" w:hAnsi="Times New Roman"/>
                <w:noProof/>
                <w:sz w:val="20"/>
                <w:szCs w:val="20"/>
              </w:rPr>
            </w:pPr>
          </w:p>
        </w:tc>
        <w:tc>
          <w:tcPr>
            <w:tcW w:w="613" w:type="pct"/>
            <w:vMerge/>
            <w:tcBorders>
              <w:left w:val="single" w:sz="5" w:space="0" w:color="D9D9D9"/>
              <w:bottom w:val="single" w:sz="11" w:space="0" w:color="000000"/>
              <w:right w:val="single" w:sz="5" w:space="0" w:color="D9D9D9"/>
            </w:tcBorders>
          </w:tcPr>
          <w:p w:rsidR="00270842" w:rsidRPr="00287963" w:rsidRDefault="00270842" w:rsidP="004650EF">
            <w:pPr>
              <w:jc w:val="both"/>
              <w:rPr>
                <w:rFonts w:ascii="Times New Roman" w:hAnsi="Times New Roman"/>
                <w:noProof/>
                <w:sz w:val="20"/>
                <w:szCs w:val="20"/>
              </w:rPr>
            </w:pPr>
          </w:p>
        </w:tc>
        <w:tc>
          <w:tcPr>
            <w:tcW w:w="506" w:type="pct"/>
            <w:tcBorders>
              <w:top w:val="single" w:sz="5" w:space="0" w:color="D9D9D9"/>
              <w:left w:val="single" w:sz="5" w:space="0" w:color="D9D9D9"/>
              <w:bottom w:val="single" w:sz="11" w:space="0" w:color="000000"/>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i/>
                <w:iCs/>
                <w:sz w:val="20"/>
                <w:szCs w:val="20"/>
              </w:rPr>
              <w:t>CSS</w:t>
            </w:r>
            <w:r>
              <w:rPr>
                <w:rFonts w:ascii="Times New Roman" w:hAnsi="Times New Roman"/>
                <w:sz w:val="20"/>
                <w:szCs w:val="20"/>
              </w:rPr>
              <w:t>1</w:t>
            </w:r>
          </w:p>
        </w:tc>
        <w:tc>
          <w:tcPr>
            <w:tcW w:w="461" w:type="pct"/>
            <w:tcBorders>
              <w:top w:val="single" w:sz="5" w:space="0" w:color="D9D9D9"/>
              <w:left w:val="single" w:sz="5" w:space="0" w:color="D9D9D9"/>
              <w:bottom w:val="single" w:sz="11" w:space="0" w:color="000000"/>
              <w:right w:val="single" w:sz="4"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i/>
                <w:iCs/>
                <w:sz w:val="20"/>
                <w:szCs w:val="20"/>
              </w:rPr>
              <w:t>CSS</w:t>
            </w:r>
            <w:r>
              <w:rPr>
                <w:rFonts w:ascii="Times New Roman" w:hAnsi="Times New Roman"/>
                <w:sz w:val="20"/>
                <w:szCs w:val="20"/>
              </w:rPr>
              <w:t>2</w:t>
            </w:r>
          </w:p>
        </w:tc>
        <w:tc>
          <w:tcPr>
            <w:tcW w:w="1112" w:type="pct"/>
            <w:tcBorders>
              <w:top w:val="single" w:sz="5" w:space="0" w:color="D9D9D9"/>
              <w:left w:val="single" w:sz="4" w:space="0" w:color="D9D9D9"/>
              <w:bottom w:val="single" w:sz="11" w:space="0" w:color="000000"/>
              <w:right w:val="single" w:sz="5" w:space="0" w:color="D9D9D9"/>
            </w:tcBorders>
          </w:tcPr>
          <w:p w:rsidR="00270842" w:rsidRPr="00287963" w:rsidRDefault="00270842" w:rsidP="004650EF">
            <w:pPr>
              <w:pStyle w:val="TableParagraph"/>
              <w:jc w:val="both"/>
              <w:rPr>
                <w:rFonts w:ascii="Times New Roman" w:eastAsia="Tahoma" w:hAnsi="Times New Roman" w:cs="Tahoma"/>
                <w:noProof/>
                <w:sz w:val="20"/>
                <w:szCs w:val="20"/>
              </w:rPr>
            </w:pPr>
            <w:r>
              <w:rPr>
                <w:rFonts w:ascii="Times New Roman" w:hAnsi="Times New Roman"/>
                <w:sz w:val="20"/>
                <w:szCs w:val="20"/>
              </w:rPr>
              <w:t>(..)</w:t>
            </w:r>
          </w:p>
        </w:tc>
        <w:tc>
          <w:tcPr>
            <w:tcW w:w="972" w:type="pct"/>
            <w:tcBorders>
              <w:top w:val="single" w:sz="5" w:space="0" w:color="D9D9D9"/>
              <w:left w:val="single" w:sz="5" w:space="0" w:color="D9D9D9"/>
              <w:bottom w:val="single" w:sz="11" w:space="0" w:color="000000"/>
              <w:right w:val="nil"/>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i/>
                <w:iCs/>
                <w:sz w:val="20"/>
                <w:szCs w:val="20"/>
              </w:rPr>
              <w:t>CSS</w:t>
            </w:r>
            <w:r>
              <w:rPr>
                <w:rFonts w:ascii="Times New Roman" w:hAnsi="Times New Roman"/>
                <w:sz w:val="20"/>
                <w:szCs w:val="20"/>
              </w:rPr>
              <w:t>15-20</w:t>
            </w:r>
          </w:p>
        </w:tc>
      </w:tr>
      <w:tr w:rsidR="00333E26" w:rsidRPr="00287963" w:rsidTr="00531598">
        <w:tc>
          <w:tcPr>
            <w:tcW w:w="1335" w:type="pct"/>
            <w:tcBorders>
              <w:top w:val="single" w:sz="11" w:space="0" w:color="000000"/>
              <w:left w:val="nil"/>
              <w:bottom w:val="single" w:sz="5" w:space="0" w:color="D9D9D9"/>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1. ražošanas diena (x diena)</w:t>
            </w:r>
          </w:p>
        </w:tc>
        <w:tc>
          <w:tcPr>
            <w:tcW w:w="613" w:type="pct"/>
            <w:tcBorders>
              <w:top w:val="single" w:sz="11" w:space="0" w:color="000000"/>
              <w:left w:val="single" w:sz="5" w:space="0" w:color="D9D9D9"/>
              <w:bottom w:val="single" w:sz="5" w:space="0" w:color="D9D9D9"/>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1. laiks</w:t>
            </w:r>
          </w:p>
        </w:tc>
        <w:tc>
          <w:tcPr>
            <w:tcW w:w="506" w:type="pct"/>
            <w:tcBorders>
              <w:top w:val="single" w:sz="11" w:space="0" w:color="000000"/>
              <w:left w:val="single" w:sz="5"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461" w:type="pct"/>
            <w:tcBorders>
              <w:top w:val="single" w:sz="11" w:space="0" w:color="000000"/>
              <w:left w:val="single" w:sz="5" w:space="0" w:color="D9D9D9"/>
              <w:bottom w:val="single" w:sz="5" w:space="0" w:color="D9D9D9"/>
              <w:right w:val="single" w:sz="4" w:space="0" w:color="D9D9D9"/>
            </w:tcBorders>
          </w:tcPr>
          <w:p w:rsidR="00270842" w:rsidRPr="00287963" w:rsidRDefault="00270842" w:rsidP="004650EF">
            <w:pPr>
              <w:jc w:val="both"/>
              <w:rPr>
                <w:rFonts w:ascii="Times New Roman" w:hAnsi="Times New Roman"/>
                <w:noProof/>
                <w:sz w:val="20"/>
                <w:szCs w:val="20"/>
              </w:rPr>
            </w:pPr>
          </w:p>
        </w:tc>
        <w:tc>
          <w:tcPr>
            <w:tcW w:w="1112" w:type="pct"/>
            <w:tcBorders>
              <w:top w:val="single" w:sz="11" w:space="0" w:color="000000"/>
              <w:left w:val="single" w:sz="4"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972" w:type="pct"/>
            <w:tcBorders>
              <w:top w:val="single" w:sz="11" w:space="0" w:color="000000"/>
              <w:left w:val="single" w:sz="5" w:space="0" w:color="D9D9D9"/>
              <w:bottom w:val="single" w:sz="5" w:space="0" w:color="D9D9D9"/>
              <w:right w:val="nil"/>
            </w:tcBorders>
          </w:tcPr>
          <w:p w:rsidR="00270842" w:rsidRPr="00287963" w:rsidRDefault="00270842" w:rsidP="004650EF">
            <w:pPr>
              <w:jc w:val="both"/>
              <w:rPr>
                <w:rFonts w:ascii="Times New Roman" w:hAnsi="Times New Roman"/>
                <w:noProof/>
                <w:sz w:val="20"/>
                <w:szCs w:val="20"/>
              </w:rPr>
            </w:pPr>
          </w:p>
        </w:tc>
      </w:tr>
      <w:tr w:rsidR="00333E26" w:rsidRPr="00287963" w:rsidTr="00531598">
        <w:tc>
          <w:tcPr>
            <w:tcW w:w="1335" w:type="pct"/>
            <w:tcBorders>
              <w:top w:val="single" w:sz="5" w:space="0" w:color="D9D9D9"/>
              <w:left w:val="nil"/>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613" w:type="pct"/>
            <w:tcBorders>
              <w:top w:val="single" w:sz="5" w:space="0" w:color="D9D9D9"/>
              <w:left w:val="single" w:sz="5" w:space="0" w:color="D9D9D9"/>
              <w:bottom w:val="single" w:sz="5" w:space="0" w:color="D9D9D9"/>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2. laiks</w:t>
            </w:r>
          </w:p>
        </w:tc>
        <w:tc>
          <w:tcPr>
            <w:tcW w:w="506" w:type="pct"/>
            <w:tcBorders>
              <w:top w:val="single" w:sz="5" w:space="0" w:color="D9D9D9"/>
              <w:left w:val="single" w:sz="5"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461" w:type="pct"/>
            <w:tcBorders>
              <w:top w:val="single" w:sz="5" w:space="0" w:color="D9D9D9"/>
              <w:left w:val="single" w:sz="5" w:space="0" w:color="D9D9D9"/>
              <w:bottom w:val="single" w:sz="5" w:space="0" w:color="D9D9D9"/>
              <w:right w:val="single" w:sz="4" w:space="0" w:color="D9D9D9"/>
            </w:tcBorders>
          </w:tcPr>
          <w:p w:rsidR="00270842" w:rsidRPr="00287963" w:rsidRDefault="00270842" w:rsidP="004650EF">
            <w:pPr>
              <w:jc w:val="both"/>
              <w:rPr>
                <w:rFonts w:ascii="Times New Roman" w:hAnsi="Times New Roman"/>
                <w:noProof/>
                <w:sz w:val="20"/>
                <w:szCs w:val="20"/>
              </w:rPr>
            </w:pPr>
          </w:p>
        </w:tc>
        <w:tc>
          <w:tcPr>
            <w:tcW w:w="1112" w:type="pct"/>
            <w:tcBorders>
              <w:top w:val="single" w:sz="5" w:space="0" w:color="D9D9D9"/>
              <w:left w:val="single" w:sz="4"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972" w:type="pct"/>
            <w:tcBorders>
              <w:top w:val="single" w:sz="5" w:space="0" w:color="D9D9D9"/>
              <w:left w:val="single" w:sz="5" w:space="0" w:color="D9D9D9"/>
              <w:bottom w:val="single" w:sz="5" w:space="0" w:color="D9D9D9"/>
              <w:right w:val="nil"/>
            </w:tcBorders>
          </w:tcPr>
          <w:p w:rsidR="00270842" w:rsidRPr="00287963" w:rsidRDefault="00270842" w:rsidP="004650EF">
            <w:pPr>
              <w:jc w:val="both"/>
              <w:rPr>
                <w:rFonts w:ascii="Times New Roman" w:hAnsi="Times New Roman"/>
                <w:noProof/>
                <w:sz w:val="20"/>
                <w:szCs w:val="20"/>
              </w:rPr>
            </w:pPr>
          </w:p>
        </w:tc>
      </w:tr>
      <w:tr w:rsidR="00333E26" w:rsidRPr="00287963" w:rsidTr="00531598">
        <w:tc>
          <w:tcPr>
            <w:tcW w:w="1335" w:type="pct"/>
            <w:tcBorders>
              <w:top w:val="single" w:sz="5" w:space="0" w:color="D9D9D9"/>
              <w:left w:val="nil"/>
              <w:bottom w:val="single" w:sz="4"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613" w:type="pct"/>
            <w:tcBorders>
              <w:top w:val="single" w:sz="5" w:space="0" w:color="D9D9D9"/>
              <w:left w:val="single" w:sz="5" w:space="0" w:color="D9D9D9"/>
              <w:bottom w:val="single" w:sz="4" w:space="0" w:color="D9D9D9"/>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3. laiks</w:t>
            </w:r>
          </w:p>
        </w:tc>
        <w:tc>
          <w:tcPr>
            <w:tcW w:w="506" w:type="pct"/>
            <w:tcBorders>
              <w:top w:val="single" w:sz="5" w:space="0" w:color="D9D9D9"/>
              <w:left w:val="single" w:sz="5" w:space="0" w:color="D9D9D9"/>
              <w:bottom w:val="single" w:sz="4"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461" w:type="pct"/>
            <w:tcBorders>
              <w:top w:val="single" w:sz="5" w:space="0" w:color="D9D9D9"/>
              <w:left w:val="single" w:sz="5" w:space="0" w:color="D9D9D9"/>
              <w:bottom w:val="single" w:sz="4" w:space="0" w:color="D9D9D9"/>
              <w:right w:val="single" w:sz="4" w:space="0" w:color="D9D9D9"/>
            </w:tcBorders>
          </w:tcPr>
          <w:p w:rsidR="00270842" w:rsidRPr="00287963" w:rsidRDefault="00270842" w:rsidP="004650EF">
            <w:pPr>
              <w:jc w:val="both"/>
              <w:rPr>
                <w:rFonts w:ascii="Times New Roman" w:hAnsi="Times New Roman"/>
                <w:noProof/>
                <w:sz w:val="20"/>
                <w:szCs w:val="20"/>
              </w:rPr>
            </w:pPr>
          </w:p>
        </w:tc>
        <w:tc>
          <w:tcPr>
            <w:tcW w:w="1112" w:type="pct"/>
            <w:tcBorders>
              <w:top w:val="single" w:sz="5" w:space="0" w:color="D9D9D9"/>
              <w:left w:val="single" w:sz="4" w:space="0" w:color="D9D9D9"/>
              <w:bottom w:val="single" w:sz="4"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972" w:type="pct"/>
            <w:tcBorders>
              <w:top w:val="single" w:sz="5" w:space="0" w:color="D9D9D9"/>
              <w:left w:val="single" w:sz="5" w:space="0" w:color="D9D9D9"/>
              <w:bottom w:val="single" w:sz="4" w:space="0" w:color="D9D9D9"/>
              <w:right w:val="nil"/>
            </w:tcBorders>
          </w:tcPr>
          <w:p w:rsidR="00270842" w:rsidRPr="00287963" w:rsidRDefault="00270842" w:rsidP="004650EF">
            <w:pPr>
              <w:jc w:val="both"/>
              <w:rPr>
                <w:rFonts w:ascii="Times New Roman" w:hAnsi="Times New Roman"/>
                <w:noProof/>
                <w:sz w:val="20"/>
                <w:szCs w:val="20"/>
              </w:rPr>
            </w:pPr>
          </w:p>
        </w:tc>
      </w:tr>
      <w:tr w:rsidR="00333E26" w:rsidRPr="00287963" w:rsidTr="00531598">
        <w:tc>
          <w:tcPr>
            <w:tcW w:w="1335" w:type="pct"/>
            <w:tcBorders>
              <w:top w:val="single" w:sz="4" w:space="0" w:color="D9D9D9"/>
              <w:left w:val="nil"/>
              <w:bottom w:val="single" w:sz="5" w:space="0" w:color="D9D9D9"/>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2. ražošanas diena (y diena)</w:t>
            </w:r>
          </w:p>
        </w:tc>
        <w:tc>
          <w:tcPr>
            <w:tcW w:w="613" w:type="pct"/>
            <w:tcBorders>
              <w:top w:val="single" w:sz="4" w:space="0" w:color="D9D9D9"/>
              <w:left w:val="single" w:sz="5" w:space="0" w:color="D9D9D9"/>
              <w:bottom w:val="single" w:sz="5" w:space="0" w:color="D9D9D9"/>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1. laiks</w:t>
            </w:r>
          </w:p>
        </w:tc>
        <w:tc>
          <w:tcPr>
            <w:tcW w:w="506" w:type="pct"/>
            <w:tcBorders>
              <w:top w:val="single" w:sz="4" w:space="0" w:color="D9D9D9"/>
              <w:left w:val="single" w:sz="5"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461" w:type="pct"/>
            <w:tcBorders>
              <w:top w:val="single" w:sz="4" w:space="0" w:color="D9D9D9"/>
              <w:left w:val="single" w:sz="5" w:space="0" w:color="D9D9D9"/>
              <w:bottom w:val="single" w:sz="5" w:space="0" w:color="D9D9D9"/>
              <w:right w:val="single" w:sz="4" w:space="0" w:color="D9D9D9"/>
            </w:tcBorders>
          </w:tcPr>
          <w:p w:rsidR="00270842" w:rsidRPr="00287963" w:rsidRDefault="00270842" w:rsidP="004650EF">
            <w:pPr>
              <w:jc w:val="both"/>
              <w:rPr>
                <w:rFonts w:ascii="Times New Roman" w:hAnsi="Times New Roman"/>
                <w:noProof/>
                <w:sz w:val="20"/>
                <w:szCs w:val="20"/>
              </w:rPr>
            </w:pPr>
          </w:p>
        </w:tc>
        <w:tc>
          <w:tcPr>
            <w:tcW w:w="1112" w:type="pct"/>
            <w:tcBorders>
              <w:top w:val="single" w:sz="4" w:space="0" w:color="D9D9D9"/>
              <w:left w:val="single" w:sz="4"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972" w:type="pct"/>
            <w:tcBorders>
              <w:top w:val="single" w:sz="4" w:space="0" w:color="D9D9D9"/>
              <w:left w:val="single" w:sz="5" w:space="0" w:color="D9D9D9"/>
              <w:bottom w:val="single" w:sz="5" w:space="0" w:color="D9D9D9"/>
              <w:right w:val="nil"/>
            </w:tcBorders>
          </w:tcPr>
          <w:p w:rsidR="00270842" w:rsidRPr="00287963" w:rsidRDefault="00270842" w:rsidP="004650EF">
            <w:pPr>
              <w:jc w:val="both"/>
              <w:rPr>
                <w:rFonts w:ascii="Times New Roman" w:hAnsi="Times New Roman"/>
                <w:noProof/>
                <w:sz w:val="20"/>
                <w:szCs w:val="20"/>
              </w:rPr>
            </w:pPr>
          </w:p>
        </w:tc>
      </w:tr>
      <w:tr w:rsidR="00333E26" w:rsidRPr="00287963" w:rsidTr="00531598">
        <w:tc>
          <w:tcPr>
            <w:tcW w:w="1335" w:type="pct"/>
            <w:tcBorders>
              <w:top w:val="single" w:sz="5" w:space="0" w:color="D9D9D9"/>
              <w:left w:val="nil"/>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613" w:type="pct"/>
            <w:tcBorders>
              <w:top w:val="single" w:sz="5" w:space="0" w:color="D9D9D9"/>
              <w:left w:val="single" w:sz="5" w:space="0" w:color="D9D9D9"/>
              <w:bottom w:val="single" w:sz="5" w:space="0" w:color="D9D9D9"/>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2. laiks</w:t>
            </w:r>
          </w:p>
        </w:tc>
        <w:tc>
          <w:tcPr>
            <w:tcW w:w="506" w:type="pct"/>
            <w:tcBorders>
              <w:top w:val="single" w:sz="5" w:space="0" w:color="D9D9D9"/>
              <w:left w:val="single" w:sz="5"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461" w:type="pct"/>
            <w:tcBorders>
              <w:top w:val="single" w:sz="5" w:space="0" w:color="D9D9D9"/>
              <w:left w:val="single" w:sz="5" w:space="0" w:color="D9D9D9"/>
              <w:bottom w:val="single" w:sz="5" w:space="0" w:color="D9D9D9"/>
              <w:right w:val="single" w:sz="4" w:space="0" w:color="D9D9D9"/>
            </w:tcBorders>
          </w:tcPr>
          <w:p w:rsidR="00270842" w:rsidRPr="00287963" w:rsidRDefault="00270842" w:rsidP="004650EF">
            <w:pPr>
              <w:jc w:val="both"/>
              <w:rPr>
                <w:rFonts w:ascii="Times New Roman" w:hAnsi="Times New Roman"/>
                <w:noProof/>
                <w:sz w:val="20"/>
                <w:szCs w:val="20"/>
              </w:rPr>
            </w:pPr>
          </w:p>
        </w:tc>
        <w:tc>
          <w:tcPr>
            <w:tcW w:w="1112" w:type="pct"/>
            <w:tcBorders>
              <w:top w:val="single" w:sz="5" w:space="0" w:color="D9D9D9"/>
              <w:left w:val="single" w:sz="4"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972" w:type="pct"/>
            <w:tcBorders>
              <w:top w:val="single" w:sz="5" w:space="0" w:color="D9D9D9"/>
              <w:left w:val="single" w:sz="5" w:space="0" w:color="D9D9D9"/>
              <w:bottom w:val="single" w:sz="5" w:space="0" w:color="D9D9D9"/>
              <w:right w:val="nil"/>
            </w:tcBorders>
          </w:tcPr>
          <w:p w:rsidR="00270842" w:rsidRPr="00287963" w:rsidRDefault="00270842" w:rsidP="004650EF">
            <w:pPr>
              <w:jc w:val="both"/>
              <w:rPr>
                <w:rFonts w:ascii="Times New Roman" w:hAnsi="Times New Roman"/>
                <w:noProof/>
                <w:sz w:val="20"/>
                <w:szCs w:val="20"/>
              </w:rPr>
            </w:pPr>
          </w:p>
        </w:tc>
      </w:tr>
      <w:tr w:rsidR="00333E26" w:rsidRPr="00287963" w:rsidTr="00531598">
        <w:tc>
          <w:tcPr>
            <w:tcW w:w="1335" w:type="pct"/>
            <w:tcBorders>
              <w:top w:val="single" w:sz="5" w:space="0" w:color="D9D9D9"/>
              <w:left w:val="nil"/>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613" w:type="pct"/>
            <w:tcBorders>
              <w:top w:val="single" w:sz="5" w:space="0" w:color="D9D9D9"/>
              <w:left w:val="single" w:sz="5" w:space="0" w:color="D9D9D9"/>
              <w:bottom w:val="single" w:sz="5" w:space="0" w:color="D9D9D9"/>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3. laiks</w:t>
            </w:r>
          </w:p>
        </w:tc>
        <w:tc>
          <w:tcPr>
            <w:tcW w:w="506" w:type="pct"/>
            <w:tcBorders>
              <w:top w:val="single" w:sz="5" w:space="0" w:color="D9D9D9"/>
              <w:left w:val="single" w:sz="5"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461" w:type="pct"/>
            <w:tcBorders>
              <w:top w:val="single" w:sz="5" w:space="0" w:color="D9D9D9"/>
              <w:left w:val="single" w:sz="5" w:space="0" w:color="D9D9D9"/>
              <w:bottom w:val="single" w:sz="5" w:space="0" w:color="D9D9D9"/>
              <w:right w:val="single" w:sz="4" w:space="0" w:color="D9D9D9"/>
            </w:tcBorders>
          </w:tcPr>
          <w:p w:rsidR="00270842" w:rsidRPr="00287963" w:rsidRDefault="00270842" w:rsidP="004650EF">
            <w:pPr>
              <w:jc w:val="both"/>
              <w:rPr>
                <w:rFonts w:ascii="Times New Roman" w:hAnsi="Times New Roman"/>
                <w:noProof/>
                <w:sz w:val="20"/>
                <w:szCs w:val="20"/>
              </w:rPr>
            </w:pPr>
          </w:p>
        </w:tc>
        <w:tc>
          <w:tcPr>
            <w:tcW w:w="1112" w:type="pct"/>
            <w:tcBorders>
              <w:top w:val="single" w:sz="5" w:space="0" w:color="D9D9D9"/>
              <w:left w:val="single" w:sz="4"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972" w:type="pct"/>
            <w:tcBorders>
              <w:top w:val="single" w:sz="5" w:space="0" w:color="D9D9D9"/>
              <w:left w:val="single" w:sz="5" w:space="0" w:color="D9D9D9"/>
              <w:bottom w:val="single" w:sz="5" w:space="0" w:color="D9D9D9"/>
              <w:right w:val="nil"/>
            </w:tcBorders>
          </w:tcPr>
          <w:p w:rsidR="00270842" w:rsidRPr="00287963" w:rsidRDefault="00270842" w:rsidP="004650EF">
            <w:pPr>
              <w:jc w:val="both"/>
              <w:rPr>
                <w:rFonts w:ascii="Times New Roman" w:hAnsi="Times New Roman"/>
                <w:noProof/>
                <w:sz w:val="20"/>
                <w:szCs w:val="20"/>
              </w:rPr>
            </w:pPr>
          </w:p>
        </w:tc>
      </w:tr>
      <w:tr w:rsidR="00333E26" w:rsidRPr="00287963" w:rsidTr="00531598">
        <w:tc>
          <w:tcPr>
            <w:tcW w:w="1335" w:type="pct"/>
            <w:tcBorders>
              <w:top w:val="single" w:sz="5" w:space="0" w:color="D9D9D9"/>
              <w:left w:val="nil"/>
              <w:bottom w:val="single" w:sz="5" w:space="0" w:color="D9D9D9"/>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3. ražošanas diena (z diena)</w:t>
            </w:r>
          </w:p>
        </w:tc>
        <w:tc>
          <w:tcPr>
            <w:tcW w:w="613" w:type="pct"/>
            <w:tcBorders>
              <w:top w:val="single" w:sz="5" w:space="0" w:color="D9D9D9"/>
              <w:left w:val="single" w:sz="5" w:space="0" w:color="D9D9D9"/>
              <w:bottom w:val="single" w:sz="5" w:space="0" w:color="D9D9D9"/>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1. laiks</w:t>
            </w:r>
          </w:p>
        </w:tc>
        <w:tc>
          <w:tcPr>
            <w:tcW w:w="506" w:type="pct"/>
            <w:tcBorders>
              <w:top w:val="single" w:sz="5" w:space="0" w:color="D9D9D9"/>
              <w:left w:val="single" w:sz="5"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461" w:type="pct"/>
            <w:tcBorders>
              <w:top w:val="single" w:sz="5" w:space="0" w:color="D9D9D9"/>
              <w:left w:val="single" w:sz="5" w:space="0" w:color="D9D9D9"/>
              <w:bottom w:val="single" w:sz="5" w:space="0" w:color="D9D9D9"/>
              <w:right w:val="single" w:sz="4" w:space="0" w:color="D9D9D9"/>
            </w:tcBorders>
          </w:tcPr>
          <w:p w:rsidR="00270842" w:rsidRPr="00287963" w:rsidRDefault="00270842" w:rsidP="004650EF">
            <w:pPr>
              <w:jc w:val="both"/>
              <w:rPr>
                <w:rFonts w:ascii="Times New Roman" w:hAnsi="Times New Roman"/>
                <w:noProof/>
                <w:sz w:val="20"/>
                <w:szCs w:val="20"/>
              </w:rPr>
            </w:pPr>
          </w:p>
        </w:tc>
        <w:tc>
          <w:tcPr>
            <w:tcW w:w="1112" w:type="pct"/>
            <w:tcBorders>
              <w:top w:val="single" w:sz="5" w:space="0" w:color="D9D9D9"/>
              <w:left w:val="single" w:sz="4"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972" w:type="pct"/>
            <w:tcBorders>
              <w:top w:val="single" w:sz="5" w:space="0" w:color="D9D9D9"/>
              <w:left w:val="single" w:sz="5" w:space="0" w:color="D9D9D9"/>
              <w:bottom w:val="single" w:sz="5" w:space="0" w:color="D9D9D9"/>
              <w:right w:val="nil"/>
            </w:tcBorders>
          </w:tcPr>
          <w:p w:rsidR="00270842" w:rsidRPr="00287963" w:rsidRDefault="00270842" w:rsidP="004650EF">
            <w:pPr>
              <w:jc w:val="both"/>
              <w:rPr>
                <w:rFonts w:ascii="Times New Roman" w:hAnsi="Times New Roman"/>
                <w:noProof/>
                <w:sz w:val="20"/>
                <w:szCs w:val="20"/>
              </w:rPr>
            </w:pPr>
          </w:p>
        </w:tc>
      </w:tr>
      <w:tr w:rsidR="00333E26" w:rsidRPr="00287963" w:rsidTr="00531598">
        <w:tc>
          <w:tcPr>
            <w:tcW w:w="1335" w:type="pct"/>
            <w:tcBorders>
              <w:top w:val="single" w:sz="5" w:space="0" w:color="D9D9D9"/>
              <w:left w:val="nil"/>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613" w:type="pct"/>
            <w:tcBorders>
              <w:top w:val="single" w:sz="5" w:space="0" w:color="D9D9D9"/>
              <w:left w:val="single" w:sz="5" w:space="0" w:color="D9D9D9"/>
              <w:bottom w:val="single" w:sz="5" w:space="0" w:color="D9D9D9"/>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2. laiks</w:t>
            </w:r>
          </w:p>
        </w:tc>
        <w:tc>
          <w:tcPr>
            <w:tcW w:w="506" w:type="pct"/>
            <w:tcBorders>
              <w:top w:val="single" w:sz="5" w:space="0" w:color="D9D9D9"/>
              <w:left w:val="single" w:sz="5"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461" w:type="pct"/>
            <w:tcBorders>
              <w:top w:val="single" w:sz="5" w:space="0" w:color="D9D9D9"/>
              <w:left w:val="single" w:sz="5" w:space="0" w:color="D9D9D9"/>
              <w:bottom w:val="single" w:sz="5" w:space="0" w:color="D9D9D9"/>
              <w:right w:val="single" w:sz="4" w:space="0" w:color="D9D9D9"/>
            </w:tcBorders>
          </w:tcPr>
          <w:p w:rsidR="00270842" w:rsidRPr="00287963" w:rsidRDefault="00270842" w:rsidP="004650EF">
            <w:pPr>
              <w:jc w:val="both"/>
              <w:rPr>
                <w:rFonts w:ascii="Times New Roman" w:hAnsi="Times New Roman"/>
                <w:noProof/>
                <w:sz w:val="20"/>
                <w:szCs w:val="20"/>
              </w:rPr>
            </w:pPr>
          </w:p>
        </w:tc>
        <w:tc>
          <w:tcPr>
            <w:tcW w:w="1112" w:type="pct"/>
            <w:tcBorders>
              <w:top w:val="single" w:sz="5" w:space="0" w:color="D9D9D9"/>
              <w:left w:val="single" w:sz="4" w:space="0" w:color="D9D9D9"/>
              <w:bottom w:val="single" w:sz="5" w:space="0" w:color="D9D9D9"/>
              <w:right w:val="single" w:sz="5" w:space="0" w:color="D9D9D9"/>
            </w:tcBorders>
          </w:tcPr>
          <w:p w:rsidR="00270842" w:rsidRPr="00287963" w:rsidRDefault="00270842" w:rsidP="004650EF">
            <w:pPr>
              <w:jc w:val="both"/>
              <w:rPr>
                <w:rFonts w:ascii="Times New Roman" w:hAnsi="Times New Roman"/>
                <w:noProof/>
                <w:sz w:val="20"/>
                <w:szCs w:val="20"/>
              </w:rPr>
            </w:pPr>
          </w:p>
        </w:tc>
        <w:tc>
          <w:tcPr>
            <w:tcW w:w="972" w:type="pct"/>
            <w:tcBorders>
              <w:top w:val="single" w:sz="5" w:space="0" w:color="D9D9D9"/>
              <w:left w:val="single" w:sz="5" w:space="0" w:color="D9D9D9"/>
              <w:bottom w:val="single" w:sz="5" w:space="0" w:color="D9D9D9"/>
              <w:right w:val="nil"/>
            </w:tcBorders>
          </w:tcPr>
          <w:p w:rsidR="00270842" w:rsidRPr="00287963" w:rsidRDefault="00270842" w:rsidP="004650EF">
            <w:pPr>
              <w:jc w:val="both"/>
              <w:rPr>
                <w:rFonts w:ascii="Times New Roman" w:hAnsi="Times New Roman"/>
                <w:noProof/>
                <w:sz w:val="20"/>
                <w:szCs w:val="20"/>
              </w:rPr>
            </w:pPr>
          </w:p>
        </w:tc>
      </w:tr>
      <w:tr w:rsidR="00333E26" w:rsidRPr="00287963" w:rsidTr="00531598">
        <w:tc>
          <w:tcPr>
            <w:tcW w:w="1335" w:type="pct"/>
            <w:tcBorders>
              <w:top w:val="single" w:sz="5" w:space="0" w:color="D9D9D9"/>
              <w:left w:val="nil"/>
              <w:bottom w:val="single" w:sz="12" w:space="0" w:color="000000"/>
              <w:right w:val="single" w:sz="5" w:space="0" w:color="D9D9D9"/>
            </w:tcBorders>
          </w:tcPr>
          <w:p w:rsidR="00270842" w:rsidRPr="00287963" w:rsidRDefault="00270842" w:rsidP="004650EF">
            <w:pPr>
              <w:jc w:val="both"/>
              <w:rPr>
                <w:rFonts w:ascii="Times New Roman" w:hAnsi="Times New Roman"/>
                <w:noProof/>
                <w:sz w:val="20"/>
                <w:szCs w:val="20"/>
              </w:rPr>
            </w:pPr>
          </w:p>
        </w:tc>
        <w:tc>
          <w:tcPr>
            <w:tcW w:w="613" w:type="pct"/>
            <w:tcBorders>
              <w:top w:val="single" w:sz="5" w:space="0" w:color="D9D9D9"/>
              <w:left w:val="single" w:sz="5" w:space="0" w:color="D9D9D9"/>
              <w:bottom w:val="single" w:sz="12" w:space="0" w:color="000000"/>
              <w:right w:val="single" w:sz="5" w:space="0" w:color="D9D9D9"/>
            </w:tcBorders>
          </w:tcPr>
          <w:p w:rsidR="00270842" w:rsidRPr="00287963" w:rsidRDefault="00270842" w:rsidP="004650EF">
            <w:pPr>
              <w:pStyle w:val="TableParagraph"/>
              <w:jc w:val="both"/>
              <w:rPr>
                <w:rFonts w:ascii="Times New Roman" w:hAnsi="Times New Roman"/>
                <w:noProof/>
                <w:sz w:val="20"/>
                <w:szCs w:val="20"/>
              </w:rPr>
            </w:pPr>
            <w:r>
              <w:rPr>
                <w:rFonts w:ascii="Times New Roman" w:hAnsi="Times New Roman"/>
                <w:sz w:val="20"/>
                <w:szCs w:val="20"/>
              </w:rPr>
              <w:t>3. laiks</w:t>
            </w:r>
          </w:p>
        </w:tc>
        <w:tc>
          <w:tcPr>
            <w:tcW w:w="506" w:type="pct"/>
            <w:tcBorders>
              <w:top w:val="single" w:sz="5" w:space="0" w:color="D9D9D9"/>
              <w:left w:val="single" w:sz="5" w:space="0" w:color="D9D9D9"/>
              <w:bottom w:val="single" w:sz="12" w:space="0" w:color="000000"/>
              <w:right w:val="single" w:sz="5" w:space="0" w:color="D9D9D9"/>
            </w:tcBorders>
          </w:tcPr>
          <w:p w:rsidR="00270842" w:rsidRPr="00287963" w:rsidRDefault="00270842" w:rsidP="004650EF">
            <w:pPr>
              <w:jc w:val="both"/>
              <w:rPr>
                <w:rFonts w:ascii="Times New Roman" w:hAnsi="Times New Roman"/>
                <w:noProof/>
                <w:sz w:val="20"/>
                <w:szCs w:val="20"/>
              </w:rPr>
            </w:pPr>
          </w:p>
        </w:tc>
        <w:tc>
          <w:tcPr>
            <w:tcW w:w="461" w:type="pct"/>
            <w:tcBorders>
              <w:top w:val="single" w:sz="5" w:space="0" w:color="D9D9D9"/>
              <w:left w:val="single" w:sz="5" w:space="0" w:color="D9D9D9"/>
              <w:bottom w:val="single" w:sz="12" w:space="0" w:color="000000"/>
              <w:right w:val="single" w:sz="4" w:space="0" w:color="D9D9D9"/>
            </w:tcBorders>
          </w:tcPr>
          <w:p w:rsidR="00270842" w:rsidRPr="00287963" w:rsidRDefault="00270842" w:rsidP="004650EF">
            <w:pPr>
              <w:jc w:val="both"/>
              <w:rPr>
                <w:rFonts w:ascii="Times New Roman" w:hAnsi="Times New Roman"/>
                <w:noProof/>
                <w:sz w:val="20"/>
                <w:szCs w:val="20"/>
              </w:rPr>
            </w:pPr>
          </w:p>
        </w:tc>
        <w:tc>
          <w:tcPr>
            <w:tcW w:w="1112" w:type="pct"/>
            <w:tcBorders>
              <w:top w:val="single" w:sz="5" w:space="0" w:color="D9D9D9"/>
              <w:left w:val="single" w:sz="4" w:space="0" w:color="D9D9D9"/>
              <w:bottom w:val="single" w:sz="12" w:space="0" w:color="000000"/>
              <w:right w:val="single" w:sz="5" w:space="0" w:color="D9D9D9"/>
            </w:tcBorders>
          </w:tcPr>
          <w:p w:rsidR="00270842" w:rsidRPr="00287963" w:rsidRDefault="00270842" w:rsidP="004650EF">
            <w:pPr>
              <w:jc w:val="both"/>
              <w:rPr>
                <w:rFonts w:ascii="Times New Roman" w:hAnsi="Times New Roman"/>
                <w:noProof/>
                <w:sz w:val="20"/>
                <w:szCs w:val="20"/>
              </w:rPr>
            </w:pPr>
          </w:p>
        </w:tc>
        <w:tc>
          <w:tcPr>
            <w:tcW w:w="972" w:type="pct"/>
            <w:tcBorders>
              <w:top w:val="single" w:sz="5" w:space="0" w:color="D9D9D9"/>
              <w:left w:val="single" w:sz="5" w:space="0" w:color="D9D9D9"/>
              <w:bottom w:val="single" w:sz="12" w:space="0" w:color="000000"/>
              <w:right w:val="nil"/>
            </w:tcBorders>
          </w:tcPr>
          <w:p w:rsidR="00270842" w:rsidRPr="00287963" w:rsidRDefault="00270842" w:rsidP="004650EF">
            <w:pPr>
              <w:jc w:val="both"/>
              <w:rPr>
                <w:rFonts w:ascii="Times New Roman" w:hAnsi="Times New Roman"/>
                <w:noProof/>
                <w:sz w:val="20"/>
                <w:szCs w:val="20"/>
              </w:rPr>
            </w:pPr>
          </w:p>
        </w:tc>
      </w:tr>
    </w:tbl>
    <w:p w:rsidR="00270842" w:rsidRPr="001B6F3C" w:rsidRDefault="00270842" w:rsidP="004650EF">
      <w:pPr>
        <w:jc w:val="both"/>
        <w:rPr>
          <w:rFonts w:ascii="Times New Roman" w:eastAsia="Tahoma" w:hAnsi="Times New Roman" w:cs="Tahoma"/>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Šis paraugu ņemšanas plāns ļauj iegūt maksimāli daudz informācijas, kā arī ieskatu piesārņojuma avotu potenciālajā dažādībā. Tas ļauj savākt lielu skaitu paraugu. Piemērs varētu būt ražošanas līnija, kuru apsekojot un ņemot </w:t>
      </w:r>
      <w:r w:rsidR="00EF22E2">
        <w:rPr>
          <w:rFonts w:ascii="Times New Roman" w:hAnsi="Times New Roman"/>
          <w:sz w:val="24"/>
        </w:rPr>
        <w:t>divus identiskus paraugus</w:t>
      </w:r>
      <w:r>
        <w:rPr>
          <w:rFonts w:ascii="Times New Roman" w:hAnsi="Times New Roman"/>
          <w:sz w:val="24"/>
        </w:rPr>
        <w:t xml:space="preserve"> 20 </w:t>
      </w:r>
      <w:r>
        <w:rPr>
          <w:rFonts w:ascii="Times New Roman" w:hAnsi="Times New Roman"/>
          <w:i/>
          <w:iCs/>
          <w:sz w:val="24"/>
        </w:rPr>
        <w:t>CSS</w:t>
      </w:r>
      <w:r>
        <w:rPr>
          <w:rFonts w:ascii="Times New Roman" w:hAnsi="Times New Roman"/>
          <w:sz w:val="24"/>
        </w:rPr>
        <w:t xml:space="preserve"> trīs ražošanas dienas trijos paraugu ņemšanas laikos katrā no dienām iegūst 360 paraugus. Ja apsekojumu veiktu trijās ražošanas līnijās, iegūto paraugu skaits būtu, piemēram, 1080 paraugi. Tomēr dažos gadījumos, lai kopējais paraugu skaits būtu lielāks, var nākties noteikt lielāku </w:t>
      </w:r>
      <w:r>
        <w:rPr>
          <w:rFonts w:ascii="Times New Roman" w:hAnsi="Times New Roman"/>
          <w:i/>
          <w:iCs/>
          <w:sz w:val="24"/>
        </w:rPr>
        <w:t>CSS</w:t>
      </w:r>
      <w:r>
        <w:rPr>
          <w:rFonts w:ascii="Times New Roman" w:hAnsi="Times New Roman"/>
          <w:sz w:val="24"/>
        </w:rPr>
        <w:t xml:space="preserve"> skaitu. Ir svarīgi iegūt informāciju par piesārņojuma iespējamu uzkrāšanos, kā arī par tā iespējamo dažādību.</w:t>
      </w:r>
    </w:p>
    <w:p w:rsidR="00287963" w:rsidRPr="001B6F3C" w:rsidRDefault="00287963" w:rsidP="004650EF">
      <w:pPr>
        <w:pStyle w:val="BodyText"/>
        <w:ind w:left="0"/>
        <w:jc w:val="both"/>
        <w:rPr>
          <w:rFonts w:ascii="Times New Roman" w:hAnsi="Times New Roman"/>
          <w:noProof/>
          <w:sz w:val="24"/>
        </w:rPr>
      </w:pPr>
    </w:p>
    <w:p w:rsidR="00270842" w:rsidRDefault="00270842" w:rsidP="00287963">
      <w:pPr>
        <w:pStyle w:val="BodyText"/>
        <w:ind w:left="0"/>
        <w:jc w:val="both"/>
        <w:rPr>
          <w:rFonts w:ascii="Times New Roman" w:hAnsi="Times New Roman"/>
          <w:noProof/>
          <w:sz w:val="24"/>
        </w:rPr>
      </w:pPr>
      <w:r>
        <w:rPr>
          <w:rFonts w:ascii="Times New Roman" w:hAnsi="Times New Roman"/>
          <w:sz w:val="24"/>
        </w:rPr>
        <w:t>Pārtikas produktu un pārtikas produktu ražošanas vides vērtēšanai var izmantot divas analītiskas metodes (</w:t>
      </w:r>
      <w:r>
        <w:rPr>
          <w:rFonts w:ascii="Times New Roman" w:hAnsi="Times New Roman"/>
          <w:i/>
          <w:sz w:val="24"/>
        </w:rPr>
        <w:t>L. monocytogenes</w:t>
      </w:r>
      <w:r>
        <w:rPr>
          <w:rFonts w:ascii="Times New Roman" w:hAnsi="Times New Roman"/>
          <w:sz w:val="24"/>
        </w:rPr>
        <w:t xml:space="preserve"> klātbūtnes noteikšanu un uzskaitīšanu), lai identificētu iespējamos riska faktorus, kas ļauj noteikt </w:t>
      </w:r>
      <w:r>
        <w:rPr>
          <w:rFonts w:ascii="Times New Roman" w:hAnsi="Times New Roman"/>
          <w:i/>
          <w:sz w:val="24"/>
        </w:rPr>
        <w:t>L. monocytogenes</w:t>
      </w:r>
      <w:r>
        <w:rPr>
          <w:rFonts w:ascii="Times New Roman" w:hAnsi="Times New Roman"/>
          <w:sz w:val="24"/>
        </w:rPr>
        <w:t xml:space="preserve"> savstarpējās piesārņošanās vietas, no kurām šis piesārņojums tālāk nonāk pārtikas produktos. </w:t>
      </w:r>
      <w:r>
        <w:rPr>
          <w:rFonts w:ascii="Times New Roman" w:hAnsi="Times New Roman"/>
          <w:i/>
          <w:sz w:val="24"/>
        </w:rPr>
        <w:t>L. monocytogenes</w:t>
      </w:r>
      <w:r>
        <w:rPr>
          <w:rFonts w:ascii="Times New Roman" w:hAnsi="Times New Roman"/>
          <w:sz w:val="24"/>
        </w:rPr>
        <w:t xml:space="preserve"> klātbūtnes noteikšanu un uzskaitīšanu pārtikā veic ar divām Eiropas un starptautisko standartu metodēm, t. i., EN ISO 11290-1 un EN ISO 11290-2. Ir svarīgi atzīmēt, ka </w:t>
      </w:r>
      <w:r>
        <w:rPr>
          <w:rFonts w:ascii="Times New Roman" w:hAnsi="Times New Roman"/>
          <w:i/>
          <w:sz w:val="24"/>
        </w:rPr>
        <w:t>L. monocytogenes</w:t>
      </w:r>
      <w:r>
        <w:rPr>
          <w:rFonts w:ascii="Times New Roman" w:hAnsi="Times New Roman"/>
          <w:sz w:val="24"/>
        </w:rPr>
        <w:t xml:space="preserve"> noteikšanai pārtikas produktos un vides paraugos vispirms ir jāpiemēro metode klātbūtnes noteikšanai (ar visaugstāko jutību). Pozitīva rezultāta gadījumā jāturpina darbs pie </w:t>
      </w:r>
      <w:r>
        <w:rPr>
          <w:rFonts w:ascii="Times New Roman" w:hAnsi="Times New Roman"/>
          <w:i/>
          <w:sz w:val="24"/>
        </w:rPr>
        <w:t xml:space="preserve">L. monocytogenes </w:t>
      </w:r>
      <w:r>
        <w:rPr>
          <w:rFonts w:ascii="Times New Roman" w:hAnsi="Times New Roman"/>
          <w:sz w:val="24"/>
        </w:rPr>
        <w:t xml:space="preserve">celmu raksturošanas, un uzskaitīšanas metodi var izmantot tikai vai nu </w:t>
      </w:r>
      <w:r>
        <w:rPr>
          <w:rFonts w:ascii="Times New Roman" w:hAnsi="Times New Roman"/>
          <w:sz w:val="24"/>
        </w:rPr>
        <w:lastRenderedPageBreak/>
        <w:t xml:space="preserve">svaigiem, vai saldētiem ADG. Lai turpinātu salīdzināt izolātus no pozitīvajiem paraugiem un/vai tiem, kas atrasti cilvēku klīniskajos paraugos, celmi jāraksturo pēc apakštipiem. Uzskaitīšanas metodi var piemērot, lai novērtētu piesārņojuma līmeni vai nu svaigajos, vai saldētajos ADG. Vides paraugu analīzei </w:t>
      </w:r>
      <w:r>
        <w:rPr>
          <w:rFonts w:ascii="Times New Roman" w:hAnsi="Times New Roman"/>
          <w:i/>
          <w:sz w:val="24"/>
        </w:rPr>
        <w:t>L. monocytogenes</w:t>
      </w:r>
      <w:r>
        <w:rPr>
          <w:rFonts w:ascii="Times New Roman" w:hAnsi="Times New Roman"/>
          <w:sz w:val="24"/>
        </w:rPr>
        <w:t xml:space="preserve"> uzskaitīšanas metodi neiesaka izmantot, jo ar uztriepi nevar atdalīt visas bakteriālās šūnas un atdalīto šūnu daļa nav zināma un var būt dažāda. Turklāt </w:t>
      </w:r>
      <w:r>
        <w:rPr>
          <w:rFonts w:ascii="Times New Roman" w:hAnsi="Times New Roman"/>
          <w:i/>
          <w:sz w:val="24"/>
        </w:rPr>
        <w:t>L. monocytogenes</w:t>
      </w:r>
      <w:r>
        <w:rPr>
          <w:rFonts w:ascii="Times New Roman" w:hAnsi="Times New Roman"/>
          <w:sz w:val="24"/>
        </w:rPr>
        <w:t xml:space="preserve"> šūnas nav vienmērīgi sadalītas pa virsmu, un no lielāka un mazāka laukuma savāktos rezultātus nevar salīdzināt (EURL </w:t>
      </w:r>
      <w:r>
        <w:rPr>
          <w:rFonts w:ascii="Times New Roman" w:hAnsi="Times New Roman"/>
          <w:i/>
          <w:iCs/>
          <w:sz w:val="24"/>
        </w:rPr>
        <w:t>L. monocytogenes</w:t>
      </w:r>
      <w:r>
        <w:rPr>
          <w:rFonts w:ascii="Times New Roman" w:hAnsi="Times New Roman"/>
          <w:sz w:val="24"/>
        </w:rPr>
        <w:t>, 2012).</w:t>
      </w:r>
    </w:p>
    <w:p w:rsidR="00287963" w:rsidRPr="001B6F3C" w:rsidRDefault="00287963" w:rsidP="00287963">
      <w:pPr>
        <w:pStyle w:val="BodyText"/>
        <w:ind w:left="0"/>
        <w:jc w:val="both"/>
        <w:rPr>
          <w:rFonts w:ascii="Times New Roman" w:hAnsi="Times New Roman" w:cs="Tahoma"/>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Standartā EN ISO 11290-2 </w:t>
      </w:r>
      <w:r>
        <w:rPr>
          <w:rFonts w:ascii="Times New Roman" w:hAnsi="Times New Roman"/>
          <w:i/>
          <w:sz w:val="24"/>
        </w:rPr>
        <w:t>L. monocytogenes</w:t>
      </w:r>
      <w:r>
        <w:rPr>
          <w:rFonts w:ascii="Times New Roman" w:hAnsi="Times New Roman"/>
          <w:sz w:val="24"/>
        </w:rPr>
        <w:t xml:space="preserve"> uzskaitīšanai pārtikas produktā zemākā robeža ir 10 KVV/g (1 ml inokulāta no izmantotās sākotnējās suspensijas) vai 100 KVV/g (0,1 ml inokulāta no sākotnējās izmantotās suspensijas). Standartā EN ISO 11290-1 zemākā robeža klātbūtnes noteikšanai ir 1 KVV/25 g vai 1 KVV/no uztriepes vai izmantotās ierīces. Apstrādē izmantotā ūdens paraugos zemākā robeža uzskaitīšanai ir atkarīga no filtrētā tilpuma, bet standarts ir 1 KVV/100 ml. Lai uzlabotu </w:t>
      </w:r>
      <w:r>
        <w:rPr>
          <w:rFonts w:ascii="Times New Roman" w:hAnsi="Times New Roman"/>
          <w:i/>
          <w:sz w:val="24"/>
        </w:rPr>
        <w:t>L. monocytogenes</w:t>
      </w:r>
      <w:r>
        <w:rPr>
          <w:rFonts w:ascii="Times New Roman" w:hAnsi="Times New Roman"/>
          <w:sz w:val="24"/>
        </w:rPr>
        <w:t xml:space="preserve"> noteikšanas jutīgumu dažāda veida paraugos (pārtikā, apstrādei izmantotajā ūdenī un vidē), jo īpaši laikā, kad notiek listeriozes uzliesmojumu izmeklēšana, no abām metodēm priekšroka dodama klātbūtnes noteikšanas metodei. Turklāt klātbūtnes noteikšanas metodei ir īpaša nozīme, ja </w:t>
      </w:r>
      <w:r>
        <w:rPr>
          <w:rFonts w:ascii="Times New Roman" w:hAnsi="Times New Roman"/>
          <w:i/>
          <w:sz w:val="24"/>
        </w:rPr>
        <w:t>L. monocytogenes</w:t>
      </w:r>
      <w:r>
        <w:rPr>
          <w:rFonts w:ascii="Times New Roman" w:hAnsi="Times New Roman"/>
          <w:sz w:val="24"/>
        </w:rPr>
        <w:t xml:space="preserve"> ir nelielā skaitā vai stresa apstākļos, vai ja tās atrodas kopā ar ievērojami lielāku skaitu citu mikroorganismu, jo noteikšanas metode ietver iepriekšēju bagātināšanu un bagātināšanu, kas veicina </w:t>
      </w:r>
      <w:r>
        <w:rPr>
          <w:rFonts w:ascii="Times New Roman" w:hAnsi="Times New Roman"/>
          <w:i/>
          <w:sz w:val="24"/>
        </w:rPr>
        <w:t>L. monocytogenes</w:t>
      </w:r>
      <w:r>
        <w:rPr>
          <w:rFonts w:ascii="Times New Roman" w:hAnsi="Times New Roman"/>
          <w:sz w:val="24"/>
        </w:rPr>
        <w:t xml:space="preserve"> vairošanos un atdzīvošanos.</w:t>
      </w:r>
    </w:p>
    <w:p w:rsidR="00287963" w:rsidRPr="001B6F3C" w:rsidRDefault="00287963" w:rsidP="004650EF">
      <w:pPr>
        <w:pStyle w:val="BodyText"/>
        <w:ind w:left="0"/>
        <w:jc w:val="both"/>
        <w:rPr>
          <w:rFonts w:ascii="Times New Roman" w:hAnsi="Times New Roman"/>
          <w:noProof/>
          <w:sz w:val="24"/>
        </w:rPr>
      </w:pPr>
    </w:p>
    <w:p w:rsidR="00270842" w:rsidRDefault="00270842" w:rsidP="00287963">
      <w:pPr>
        <w:pStyle w:val="BodyText"/>
        <w:ind w:left="0"/>
        <w:jc w:val="both"/>
        <w:rPr>
          <w:rFonts w:ascii="Times New Roman" w:hAnsi="Times New Roman"/>
          <w:noProof/>
          <w:sz w:val="24"/>
        </w:rPr>
      </w:pPr>
      <w:r>
        <w:rPr>
          <w:rFonts w:ascii="Times New Roman" w:hAnsi="Times New Roman"/>
          <w:sz w:val="24"/>
        </w:rPr>
        <w:t xml:space="preserve">Kā rosināts Pārtikas kodeksā, vides monitoringa vajadzībām “efektīva monitoringa programma var arī paredzēt testus </w:t>
      </w:r>
      <w:r>
        <w:rPr>
          <w:rFonts w:ascii="Times New Roman" w:hAnsi="Times New Roman"/>
          <w:i/>
          <w:iCs/>
          <w:sz w:val="24"/>
        </w:rPr>
        <w:t>Listeria spp.</w:t>
      </w:r>
      <w:r>
        <w:rPr>
          <w:rFonts w:ascii="Times New Roman" w:hAnsi="Times New Roman"/>
          <w:sz w:val="24"/>
        </w:rPr>
        <w:t xml:space="preserve"> klātbūtnes noteikšanai, jo to klātbūtne ir labs rādītājs </w:t>
      </w:r>
      <w:r>
        <w:rPr>
          <w:rFonts w:ascii="Times New Roman" w:hAnsi="Times New Roman"/>
          <w:i/>
          <w:iCs/>
          <w:sz w:val="24"/>
        </w:rPr>
        <w:t>L. monocytogenes</w:t>
      </w:r>
      <w:r>
        <w:rPr>
          <w:rFonts w:ascii="Times New Roman" w:hAnsi="Times New Roman"/>
          <w:sz w:val="24"/>
        </w:rPr>
        <w:t xml:space="preserve"> iespējamās klātbūtnes apstākļiem” (CAC, 2007). Tomēr, ja </w:t>
      </w:r>
      <w:r>
        <w:rPr>
          <w:rFonts w:ascii="Times New Roman" w:hAnsi="Times New Roman"/>
          <w:i/>
          <w:iCs/>
          <w:sz w:val="24"/>
        </w:rPr>
        <w:t xml:space="preserve">L. monocytogenes </w:t>
      </w:r>
      <w:r>
        <w:rPr>
          <w:rFonts w:ascii="Times New Roman" w:hAnsi="Times New Roman"/>
          <w:sz w:val="24"/>
        </w:rPr>
        <w:t xml:space="preserve">monitoringu veic saistībā ar listeriozes uzliesmojuma izmeklēšanu ar mērķi izsekot </w:t>
      </w:r>
      <w:r>
        <w:rPr>
          <w:rFonts w:ascii="Times New Roman" w:hAnsi="Times New Roman"/>
          <w:i/>
          <w:sz w:val="24"/>
        </w:rPr>
        <w:t>L. monocytogenes</w:t>
      </w:r>
      <w:r>
        <w:rPr>
          <w:rFonts w:ascii="Times New Roman" w:hAnsi="Times New Roman"/>
          <w:sz w:val="24"/>
        </w:rPr>
        <w:t xml:space="preserve"> avotu PPV, ieteicams veikt testus </w:t>
      </w:r>
      <w:r>
        <w:rPr>
          <w:rFonts w:ascii="Times New Roman" w:hAnsi="Times New Roman"/>
          <w:i/>
          <w:iCs/>
          <w:sz w:val="24"/>
        </w:rPr>
        <w:t>L. monocytogenes</w:t>
      </w:r>
      <w:r>
        <w:rPr>
          <w:rFonts w:ascii="Times New Roman" w:hAnsi="Times New Roman"/>
          <w:sz w:val="24"/>
        </w:rPr>
        <w:t xml:space="preserve"> klātbūtnes noteikšanai.</w:t>
      </w:r>
    </w:p>
    <w:p w:rsidR="00287963" w:rsidRPr="001B6F3C" w:rsidRDefault="00287963" w:rsidP="00287963">
      <w:pPr>
        <w:pStyle w:val="BodyText"/>
        <w:ind w:left="0"/>
        <w:jc w:val="both"/>
        <w:rPr>
          <w:rFonts w:ascii="Times New Roman" w:hAnsi="Times New Roman" w:cs="Tahoma"/>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Piedāvātās pieejas konceptuālais pamats ir ilustrēts 5. attēlā, kurā parādīta noteiktam mērķim paredzēta paraugu ņemšanas stratēģija, lai uzliesmojuma izmeklēšanas laikā palīdzētu saldētu ADG saldētavām un/vai apstrādes un pārkraušanas vietām identificēt, kur tieši attiecīgajā uzņēmumā notiek piesārņošanās ar </w:t>
      </w:r>
      <w:r>
        <w:rPr>
          <w:rFonts w:ascii="Times New Roman" w:hAnsi="Times New Roman"/>
          <w:i/>
          <w:sz w:val="24"/>
        </w:rPr>
        <w:t>L. monocytogenes</w:t>
      </w:r>
      <w:r>
        <w:rPr>
          <w:rFonts w:ascii="Times New Roman" w:hAnsi="Times New Roman"/>
          <w:sz w:val="24"/>
        </w:rPr>
        <w:t>, un noteikt saistību starp cilvēku klīniskajiem izolātiem, izolātiem no aizdomīgā ADG un PPV.</w:t>
      </w:r>
    </w:p>
    <w:p w:rsidR="00287963" w:rsidRDefault="00287963">
      <w:pPr>
        <w:rPr>
          <w:rFonts w:ascii="Times New Roman" w:hAnsi="Times New Roman"/>
          <w:noProof/>
          <w:sz w:val="24"/>
        </w:rPr>
      </w:pPr>
      <w:r>
        <w:br w:type="page"/>
      </w:r>
    </w:p>
    <w:p w:rsidR="00287963" w:rsidRDefault="00287963" w:rsidP="004650EF">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97"/>
        <w:gridCol w:w="1418"/>
        <w:gridCol w:w="3713"/>
      </w:tblGrid>
      <w:tr w:rsidR="00287963" w:rsidTr="00531598">
        <w:tc>
          <w:tcPr>
            <w:tcW w:w="9128" w:type="dxa"/>
            <w:gridSpan w:val="3"/>
            <w:tcBorders>
              <w:top w:val="single" w:sz="4" w:space="0" w:color="auto"/>
              <w:left w:val="single" w:sz="4" w:space="0" w:color="auto"/>
              <w:bottom w:val="single" w:sz="4" w:space="0" w:color="auto"/>
              <w:right w:val="single" w:sz="4" w:space="0" w:color="auto"/>
            </w:tcBorders>
          </w:tcPr>
          <w:p w:rsidR="00287963" w:rsidRPr="00287963" w:rsidRDefault="00287963" w:rsidP="00531598">
            <w:pPr>
              <w:jc w:val="center"/>
              <w:rPr>
                <w:rFonts w:ascii="Times New Roman" w:eastAsia="Calibri" w:hAnsi="Times New Roman" w:cs="Calibri"/>
                <w:noProof/>
                <w:sz w:val="24"/>
                <w:szCs w:val="20"/>
              </w:rPr>
            </w:pPr>
            <w:r>
              <w:rPr>
                <w:rFonts w:ascii="Times New Roman" w:hAnsi="Times New Roman"/>
                <w:b/>
                <w:sz w:val="24"/>
                <w:szCs w:val="20"/>
              </w:rPr>
              <w:t xml:space="preserve">1. SOLIS. </w:t>
            </w:r>
            <w:r>
              <w:rPr>
                <w:rFonts w:ascii="Times New Roman" w:hAnsi="Times New Roman"/>
                <w:sz w:val="24"/>
                <w:szCs w:val="20"/>
              </w:rPr>
              <w:t xml:space="preserve">Veikt </w:t>
            </w:r>
            <w:r>
              <w:rPr>
                <w:rFonts w:ascii="Times New Roman" w:hAnsi="Times New Roman"/>
                <w:b/>
                <w:bCs/>
                <w:sz w:val="24"/>
                <w:szCs w:val="20"/>
              </w:rPr>
              <w:t>saldētavu/apstrādes un pārkraušanas vietu</w:t>
            </w:r>
            <w:r>
              <w:rPr>
                <w:rFonts w:ascii="Times New Roman" w:hAnsi="Times New Roman"/>
                <w:sz w:val="24"/>
                <w:szCs w:val="20"/>
              </w:rPr>
              <w:t xml:space="preserve"> (infrastruktūras, iekārtu, ražošanas posmu, ar barjerām nenodalītu ražošanas zonu utt.) </w:t>
            </w:r>
            <w:r>
              <w:rPr>
                <w:rFonts w:ascii="Times New Roman" w:hAnsi="Times New Roman"/>
                <w:b/>
                <w:bCs/>
                <w:sz w:val="24"/>
                <w:szCs w:val="20"/>
              </w:rPr>
              <w:t>kritisku pārbaudi</w:t>
            </w:r>
            <w:r>
              <w:rPr>
                <w:rFonts w:ascii="Times New Roman" w:hAnsi="Times New Roman"/>
                <w:sz w:val="24"/>
                <w:szCs w:val="20"/>
              </w:rPr>
              <w:t xml:space="preserve">, ņemot vērā 1. tabulu par iespējamiem </w:t>
            </w:r>
            <w:r>
              <w:rPr>
                <w:rFonts w:ascii="Times New Roman" w:hAnsi="Times New Roman"/>
                <w:i/>
                <w:sz w:val="24"/>
                <w:szCs w:val="20"/>
              </w:rPr>
              <w:t>L. monocytogenes</w:t>
            </w:r>
            <w:r>
              <w:rPr>
                <w:rFonts w:ascii="Times New Roman" w:hAnsi="Times New Roman"/>
                <w:sz w:val="24"/>
                <w:szCs w:val="20"/>
              </w:rPr>
              <w:t xml:space="preserve"> piesārņojuma avotiem un 3. sadaļas 3. punktu par pamatinformāciju attiecībā uz riska faktoriem.</w:t>
            </w:r>
          </w:p>
        </w:tc>
      </w:tr>
      <w:tr w:rsidR="00287963" w:rsidTr="00531598">
        <w:tc>
          <w:tcPr>
            <w:tcW w:w="3997" w:type="dxa"/>
            <w:tcBorders>
              <w:top w:val="single" w:sz="4" w:space="0" w:color="auto"/>
              <w:bottom w:val="single" w:sz="4" w:space="0" w:color="auto"/>
            </w:tcBorders>
          </w:tcPr>
          <w:p w:rsidR="00287963" w:rsidRDefault="00287963" w:rsidP="00531598">
            <w:pPr>
              <w:jc w:val="center"/>
              <w:rPr>
                <w:rFonts w:ascii="Times New Roman" w:eastAsia="Calibri" w:hAnsi="Times New Roman" w:cs="Calibri"/>
                <w:noProof/>
                <w:sz w:val="24"/>
                <w:szCs w:val="20"/>
              </w:rPr>
            </w:pPr>
          </w:p>
        </w:tc>
        <w:tc>
          <w:tcPr>
            <w:tcW w:w="1418" w:type="dxa"/>
            <w:tcBorders>
              <w:top w:val="single" w:sz="4" w:space="0" w:color="auto"/>
              <w:bottom w:val="single" w:sz="4" w:space="0" w:color="auto"/>
            </w:tcBorders>
          </w:tcPr>
          <w:p w:rsidR="00287963" w:rsidRDefault="00132A13" w:rsidP="00531598">
            <w:pPr>
              <w:jc w:val="center"/>
              <w:rPr>
                <w:rFonts w:ascii="Times New Roman" w:eastAsia="Calibri" w:hAnsi="Times New Roman" w:cs="Calibri"/>
                <w:noProof/>
                <w:sz w:val="24"/>
                <w:szCs w:val="20"/>
              </w:rPr>
            </w:pPr>
            <w:r>
              <w:rPr>
                <w:rFonts w:ascii="Times New Roman" w:hAnsi="Times New Roman"/>
                <w:noProof/>
                <w:sz w:val="24"/>
                <w:szCs w:val="20"/>
              </w:rPr>
              <w:drawing>
                <wp:inline distT="0" distB="0" distL="0" distR="0">
                  <wp:extent cx="714375" cy="552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tc>
        <w:tc>
          <w:tcPr>
            <w:tcW w:w="3713" w:type="dxa"/>
            <w:tcBorders>
              <w:top w:val="single" w:sz="4" w:space="0" w:color="auto"/>
              <w:bottom w:val="single" w:sz="4" w:space="0" w:color="auto"/>
            </w:tcBorders>
          </w:tcPr>
          <w:p w:rsidR="00287963" w:rsidRDefault="00287963" w:rsidP="00531598">
            <w:pPr>
              <w:jc w:val="center"/>
              <w:rPr>
                <w:rFonts w:ascii="Times New Roman" w:eastAsia="Calibri" w:hAnsi="Times New Roman" w:cs="Calibri"/>
                <w:noProof/>
                <w:sz w:val="24"/>
                <w:szCs w:val="20"/>
              </w:rPr>
            </w:pPr>
          </w:p>
        </w:tc>
      </w:tr>
      <w:tr w:rsidR="00287963" w:rsidTr="00531598">
        <w:tc>
          <w:tcPr>
            <w:tcW w:w="9128" w:type="dxa"/>
            <w:gridSpan w:val="3"/>
            <w:tcBorders>
              <w:top w:val="single" w:sz="4" w:space="0" w:color="auto"/>
              <w:left w:val="single" w:sz="4" w:space="0" w:color="auto"/>
              <w:bottom w:val="single" w:sz="4" w:space="0" w:color="auto"/>
              <w:right w:val="single" w:sz="4" w:space="0" w:color="auto"/>
            </w:tcBorders>
          </w:tcPr>
          <w:p w:rsidR="00287963" w:rsidRPr="00287963" w:rsidRDefault="00287963" w:rsidP="00531598">
            <w:pPr>
              <w:jc w:val="center"/>
              <w:rPr>
                <w:rFonts w:ascii="Times New Roman" w:eastAsia="Calibri" w:hAnsi="Times New Roman" w:cs="Calibri"/>
                <w:noProof/>
                <w:sz w:val="24"/>
                <w:szCs w:val="20"/>
              </w:rPr>
            </w:pPr>
            <w:r>
              <w:rPr>
                <w:rFonts w:ascii="Times New Roman" w:hAnsi="Times New Roman"/>
                <w:b/>
                <w:sz w:val="24"/>
                <w:szCs w:val="20"/>
              </w:rPr>
              <w:t xml:space="preserve">2. SOLIS. </w:t>
            </w:r>
            <w:r>
              <w:rPr>
                <w:rFonts w:ascii="Times New Roman" w:hAnsi="Times New Roman"/>
                <w:b/>
                <w:bCs/>
                <w:sz w:val="24"/>
                <w:szCs w:val="20"/>
              </w:rPr>
              <w:t>Identificēt kritiski svarīgās paraugu ņemšanas vietas (</w:t>
            </w:r>
            <w:r>
              <w:rPr>
                <w:rFonts w:ascii="Times New Roman" w:hAnsi="Times New Roman"/>
                <w:b/>
                <w:bCs/>
                <w:i/>
                <w:iCs/>
                <w:sz w:val="24"/>
                <w:szCs w:val="20"/>
              </w:rPr>
              <w:t>CSS</w:t>
            </w:r>
            <w:r>
              <w:rPr>
                <w:rFonts w:ascii="Times New Roman" w:hAnsi="Times New Roman"/>
                <w:b/>
                <w:bCs/>
                <w:sz w:val="24"/>
                <w:szCs w:val="20"/>
              </w:rPr>
              <w:t>)</w:t>
            </w:r>
            <w:r>
              <w:rPr>
                <w:rFonts w:ascii="Times New Roman" w:hAnsi="Times New Roman"/>
                <w:sz w:val="24"/>
                <w:szCs w:val="20"/>
              </w:rPr>
              <w:t xml:space="preserve"> augļiem, dārzeņiem un garšaugiem un saldētavu/apstrādes un pārkraušanas vietu vidē (no kontaktvirsmām, kas ir saskarē ar pārtiku, un citām kontaktvirsmām, no apstrādē izmantotā ūdens), ņemot vērā 1. tabulu par potenciālajiem piesārņojuma avotiem ar </w:t>
            </w:r>
            <w:r>
              <w:rPr>
                <w:rFonts w:ascii="Times New Roman" w:hAnsi="Times New Roman"/>
                <w:i/>
                <w:sz w:val="24"/>
                <w:szCs w:val="20"/>
              </w:rPr>
              <w:t>L. monocytogenes</w:t>
            </w:r>
            <w:r>
              <w:rPr>
                <w:rFonts w:ascii="Times New Roman" w:hAnsi="Times New Roman"/>
                <w:sz w:val="24"/>
                <w:szCs w:val="20"/>
              </w:rPr>
              <w:t>).</w:t>
            </w:r>
          </w:p>
        </w:tc>
      </w:tr>
      <w:tr w:rsidR="00287963" w:rsidTr="00531598">
        <w:tc>
          <w:tcPr>
            <w:tcW w:w="3997" w:type="dxa"/>
            <w:tcBorders>
              <w:top w:val="single" w:sz="4" w:space="0" w:color="auto"/>
              <w:bottom w:val="single" w:sz="4" w:space="0" w:color="auto"/>
            </w:tcBorders>
          </w:tcPr>
          <w:p w:rsidR="00287963" w:rsidRDefault="00287963" w:rsidP="00531598">
            <w:pPr>
              <w:jc w:val="center"/>
              <w:rPr>
                <w:rFonts w:ascii="Times New Roman" w:eastAsia="Calibri" w:hAnsi="Times New Roman" w:cs="Calibri"/>
                <w:noProof/>
                <w:sz w:val="24"/>
                <w:szCs w:val="20"/>
              </w:rPr>
            </w:pPr>
          </w:p>
        </w:tc>
        <w:tc>
          <w:tcPr>
            <w:tcW w:w="1418" w:type="dxa"/>
            <w:tcBorders>
              <w:top w:val="single" w:sz="4" w:space="0" w:color="auto"/>
              <w:bottom w:val="single" w:sz="4" w:space="0" w:color="auto"/>
            </w:tcBorders>
          </w:tcPr>
          <w:p w:rsidR="00287963" w:rsidRDefault="00132A13" w:rsidP="00531598">
            <w:pPr>
              <w:jc w:val="center"/>
              <w:rPr>
                <w:rFonts w:ascii="Times New Roman" w:eastAsia="Calibri" w:hAnsi="Times New Roman" w:cs="Calibri"/>
                <w:noProof/>
                <w:sz w:val="24"/>
                <w:szCs w:val="20"/>
              </w:rPr>
            </w:pPr>
            <w:r>
              <w:rPr>
                <w:rFonts w:ascii="Times New Roman" w:hAnsi="Times New Roman"/>
                <w:noProof/>
                <w:sz w:val="24"/>
                <w:szCs w:val="20"/>
              </w:rPr>
              <w:drawing>
                <wp:inline distT="0" distB="0" distL="0" distR="0">
                  <wp:extent cx="714375" cy="552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tc>
        <w:tc>
          <w:tcPr>
            <w:tcW w:w="3713" w:type="dxa"/>
            <w:tcBorders>
              <w:top w:val="single" w:sz="4" w:space="0" w:color="auto"/>
              <w:bottom w:val="single" w:sz="4" w:space="0" w:color="auto"/>
            </w:tcBorders>
          </w:tcPr>
          <w:p w:rsidR="00287963" w:rsidRDefault="00287963" w:rsidP="00531598">
            <w:pPr>
              <w:jc w:val="center"/>
              <w:rPr>
                <w:rFonts w:ascii="Times New Roman" w:eastAsia="Calibri" w:hAnsi="Times New Roman" w:cs="Calibri"/>
                <w:noProof/>
                <w:sz w:val="24"/>
                <w:szCs w:val="20"/>
              </w:rPr>
            </w:pPr>
          </w:p>
        </w:tc>
      </w:tr>
      <w:tr w:rsidR="00287963" w:rsidTr="00531598">
        <w:tc>
          <w:tcPr>
            <w:tcW w:w="9128" w:type="dxa"/>
            <w:gridSpan w:val="3"/>
            <w:tcBorders>
              <w:top w:val="single" w:sz="4" w:space="0" w:color="auto"/>
              <w:left w:val="single" w:sz="4" w:space="0" w:color="auto"/>
              <w:bottom w:val="single" w:sz="4" w:space="0" w:color="auto"/>
              <w:right w:val="single" w:sz="4" w:space="0" w:color="auto"/>
            </w:tcBorders>
          </w:tcPr>
          <w:p w:rsidR="00287963" w:rsidRPr="00287963" w:rsidRDefault="00287963" w:rsidP="00531598">
            <w:pPr>
              <w:jc w:val="center"/>
              <w:rPr>
                <w:rFonts w:ascii="Times New Roman" w:eastAsia="Calibri" w:hAnsi="Times New Roman" w:cs="Calibri"/>
                <w:noProof/>
                <w:sz w:val="24"/>
                <w:szCs w:val="20"/>
              </w:rPr>
            </w:pPr>
            <w:r>
              <w:rPr>
                <w:rFonts w:ascii="Times New Roman" w:hAnsi="Times New Roman"/>
                <w:b/>
                <w:sz w:val="24"/>
                <w:szCs w:val="20"/>
              </w:rPr>
              <w:t xml:space="preserve">3. SOLIS. </w:t>
            </w:r>
            <w:r>
              <w:rPr>
                <w:rFonts w:ascii="Times New Roman" w:hAnsi="Times New Roman"/>
                <w:b/>
                <w:bCs/>
                <w:sz w:val="24"/>
                <w:szCs w:val="20"/>
              </w:rPr>
              <w:t>Noteikt paraugu ņemšanas plānu</w:t>
            </w:r>
            <w:r>
              <w:rPr>
                <w:rFonts w:ascii="Times New Roman" w:hAnsi="Times New Roman"/>
                <w:sz w:val="24"/>
                <w:szCs w:val="20"/>
              </w:rPr>
              <w:t xml:space="preserve">, tostarp </w:t>
            </w:r>
            <w:r>
              <w:rPr>
                <w:rFonts w:ascii="Times New Roman" w:hAnsi="Times New Roman"/>
                <w:i/>
                <w:iCs/>
                <w:sz w:val="24"/>
                <w:szCs w:val="20"/>
              </w:rPr>
              <w:t>CSS</w:t>
            </w:r>
            <w:r>
              <w:rPr>
                <w:rFonts w:ascii="Times New Roman" w:hAnsi="Times New Roman"/>
                <w:sz w:val="24"/>
                <w:szCs w:val="20"/>
              </w:rPr>
              <w:t>, ražošanas dienas un paraugu ņemšanas laiku (2. tabula).</w:t>
            </w:r>
          </w:p>
        </w:tc>
      </w:tr>
      <w:tr w:rsidR="00287963" w:rsidTr="00531598">
        <w:tc>
          <w:tcPr>
            <w:tcW w:w="3997" w:type="dxa"/>
            <w:tcBorders>
              <w:top w:val="single" w:sz="4" w:space="0" w:color="auto"/>
              <w:bottom w:val="single" w:sz="4" w:space="0" w:color="auto"/>
            </w:tcBorders>
          </w:tcPr>
          <w:p w:rsidR="00287963" w:rsidRDefault="00287963" w:rsidP="00531598">
            <w:pPr>
              <w:jc w:val="center"/>
              <w:rPr>
                <w:rFonts w:ascii="Times New Roman" w:eastAsia="Calibri" w:hAnsi="Times New Roman" w:cs="Calibri"/>
                <w:noProof/>
                <w:sz w:val="24"/>
                <w:szCs w:val="20"/>
              </w:rPr>
            </w:pPr>
          </w:p>
        </w:tc>
        <w:tc>
          <w:tcPr>
            <w:tcW w:w="1418" w:type="dxa"/>
            <w:tcBorders>
              <w:top w:val="single" w:sz="4" w:space="0" w:color="auto"/>
              <w:bottom w:val="single" w:sz="4" w:space="0" w:color="auto"/>
            </w:tcBorders>
          </w:tcPr>
          <w:p w:rsidR="00287963" w:rsidRDefault="00132A13" w:rsidP="00531598">
            <w:pPr>
              <w:jc w:val="center"/>
              <w:rPr>
                <w:rFonts w:ascii="Times New Roman" w:eastAsia="Calibri" w:hAnsi="Times New Roman" w:cs="Calibri"/>
                <w:noProof/>
                <w:sz w:val="24"/>
                <w:szCs w:val="20"/>
              </w:rPr>
            </w:pPr>
            <w:r>
              <w:rPr>
                <w:rFonts w:ascii="Times New Roman" w:hAnsi="Times New Roman"/>
                <w:noProof/>
                <w:sz w:val="24"/>
                <w:szCs w:val="20"/>
              </w:rPr>
              <w:drawing>
                <wp:inline distT="0" distB="0" distL="0" distR="0">
                  <wp:extent cx="714375" cy="552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tc>
        <w:tc>
          <w:tcPr>
            <w:tcW w:w="3713" w:type="dxa"/>
            <w:tcBorders>
              <w:top w:val="single" w:sz="4" w:space="0" w:color="auto"/>
              <w:bottom w:val="single" w:sz="4" w:space="0" w:color="auto"/>
            </w:tcBorders>
          </w:tcPr>
          <w:p w:rsidR="00287963" w:rsidRDefault="00287963" w:rsidP="00531598">
            <w:pPr>
              <w:jc w:val="center"/>
              <w:rPr>
                <w:rFonts w:ascii="Times New Roman" w:eastAsia="Calibri" w:hAnsi="Times New Roman" w:cs="Calibri"/>
                <w:noProof/>
                <w:sz w:val="24"/>
                <w:szCs w:val="20"/>
              </w:rPr>
            </w:pPr>
          </w:p>
        </w:tc>
      </w:tr>
      <w:tr w:rsidR="00287963" w:rsidTr="00531598">
        <w:tc>
          <w:tcPr>
            <w:tcW w:w="9128" w:type="dxa"/>
            <w:gridSpan w:val="3"/>
            <w:tcBorders>
              <w:top w:val="single" w:sz="4" w:space="0" w:color="auto"/>
              <w:left w:val="single" w:sz="4" w:space="0" w:color="auto"/>
              <w:bottom w:val="single" w:sz="4" w:space="0" w:color="auto"/>
              <w:right w:val="single" w:sz="4" w:space="0" w:color="auto"/>
            </w:tcBorders>
          </w:tcPr>
          <w:p w:rsidR="00287963" w:rsidRPr="00287963" w:rsidRDefault="00287963" w:rsidP="00531598">
            <w:pPr>
              <w:jc w:val="center"/>
              <w:rPr>
                <w:rFonts w:ascii="Times New Roman" w:eastAsia="Calibri" w:hAnsi="Times New Roman" w:cs="Calibri"/>
                <w:b/>
                <w:noProof/>
                <w:sz w:val="24"/>
                <w:szCs w:val="20"/>
              </w:rPr>
            </w:pPr>
            <w:r>
              <w:rPr>
                <w:rFonts w:ascii="Times New Roman" w:hAnsi="Times New Roman"/>
                <w:b/>
                <w:sz w:val="24"/>
                <w:szCs w:val="20"/>
              </w:rPr>
              <w:t xml:space="preserve">4. SOLIS. </w:t>
            </w:r>
            <w:r>
              <w:rPr>
                <w:rFonts w:ascii="Times New Roman" w:hAnsi="Times New Roman"/>
                <w:b/>
                <w:bCs/>
                <w:sz w:val="24"/>
                <w:szCs w:val="20"/>
              </w:rPr>
              <w:t>Izvēlēties paraugu ņemšanas procedūru no svaigajiem un/vai saldētajiem ADG, kontaktvirsmām, kas ir saskarē ar pārtiku, un citām kontaktvirsmām un apstrādē izmantotā ūdens.</w:t>
            </w:r>
          </w:p>
        </w:tc>
      </w:tr>
      <w:tr w:rsidR="00287963" w:rsidTr="00531598">
        <w:tc>
          <w:tcPr>
            <w:tcW w:w="3997" w:type="dxa"/>
            <w:tcBorders>
              <w:top w:val="single" w:sz="4" w:space="0" w:color="auto"/>
              <w:bottom w:val="single" w:sz="4" w:space="0" w:color="auto"/>
            </w:tcBorders>
          </w:tcPr>
          <w:p w:rsidR="00287963" w:rsidRDefault="00287963" w:rsidP="00531598">
            <w:pPr>
              <w:jc w:val="center"/>
              <w:rPr>
                <w:rFonts w:ascii="Times New Roman" w:eastAsia="Calibri" w:hAnsi="Times New Roman" w:cs="Calibri"/>
                <w:noProof/>
                <w:sz w:val="24"/>
                <w:szCs w:val="20"/>
              </w:rPr>
            </w:pPr>
          </w:p>
        </w:tc>
        <w:tc>
          <w:tcPr>
            <w:tcW w:w="1418" w:type="dxa"/>
            <w:tcBorders>
              <w:top w:val="single" w:sz="4" w:space="0" w:color="auto"/>
              <w:bottom w:val="single" w:sz="4" w:space="0" w:color="auto"/>
            </w:tcBorders>
          </w:tcPr>
          <w:p w:rsidR="00287963" w:rsidRDefault="00132A13" w:rsidP="00531598">
            <w:pPr>
              <w:jc w:val="center"/>
              <w:rPr>
                <w:rFonts w:ascii="Times New Roman" w:eastAsia="Calibri" w:hAnsi="Times New Roman" w:cs="Calibri"/>
                <w:noProof/>
                <w:sz w:val="24"/>
                <w:szCs w:val="20"/>
              </w:rPr>
            </w:pPr>
            <w:r>
              <w:rPr>
                <w:rFonts w:ascii="Times New Roman" w:hAnsi="Times New Roman"/>
                <w:noProof/>
                <w:sz w:val="24"/>
                <w:szCs w:val="20"/>
              </w:rPr>
              <w:drawing>
                <wp:inline distT="0" distB="0" distL="0" distR="0">
                  <wp:extent cx="714375" cy="552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tc>
        <w:tc>
          <w:tcPr>
            <w:tcW w:w="3713" w:type="dxa"/>
            <w:tcBorders>
              <w:top w:val="single" w:sz="4" w:space="0" w:color="auto"/>
              <w:bottom w:val="single" w:sz="4" w:space="0" w:color="auto"/>
            </w:tcBorders>
          </w:tcPr>
          <w:p w:rsidR="00287963" w:rsidRDefault="00287963" w:rsidP="00531598">
            <w:pPr>
              <w:jc w:val="center"/>
              <w:rPr>
                <w:rFonts w:ascii="Times New Roman" w:eastAsia="Calibri" w:hAnsi="Times New Roman" w:cs="Calibri"/>
                <w:noProof/>
                <w:sz w:val="24"/>
                <w:szCs w:val="20"/>
              </w:rPr>
            </w:pPr>
          </w:p>
        </w:tc>
      </w:tr>
      <w:tr w:rsidR="00287963" w:rsidTr="00531598">
        <w:tc>
          <w:tcPr>
            <w:tcW w:w="9128" w:type="dxa"/>
            <w:gridSpan w:val="3"/>
            <w:tcBorders>
              <w:top w:val="single" w:sz="4" w:space="0" w:color="auto"/>
              <w:left w:val="single" w:sz="4" w:space="0" w:color="auto"/>
              <w:bottom w:val="single" w:sz="4" w:space="0" w:color="auto"/>
              <w:right w:val="single" w:sz="4" w:space="0" w:color="auto"/>
            </w:tcBorders>
          </w:tcPr>
          <w:p w:rsidR="00287963" w:rsidRPr="00287963" w:rsidRDefault="00287963" w:rsidP="00531598">
            <w:pPr>
              <w:jc w:val="center"/>
              <w:rPr>
                <w:rFonts w:ascii="Times New Roman" w:eastAsia="Calibri" w:hAnsi="Times New Roman" w:cs="Calibri"/>
                <w:b/>
                <w:noProof/>
                <w:sz w:val="24"/>
                <w:szCs w:val="20"/>
              </w:rPr>
            </w:pPr>
            <w:r>
              <w:rPr>
                <w:rFonts w:ascii="Times New Roman" w:hAnsi="Times New Roman"/>
                <w:b/>
                <w:sz w:val="24"/>
                <w:szCs w:val="20"/>
              </w:rPr>
              <w:t xml:space="preserve">5. SOLIS. </w:t>
            </w:r>
            <w:r>
              <w:rPr>
                <w:rFonts w:ascii="Times New Roman" w:hAnsi="Times New Roman"/>
                <w:b/>
                <w:bCs/>
                <w:sz w:val="24"/>
                <w:szCs w:val="20"/>
              </w:rPr>
              <w:t xml:space="preserve">Izvēlēties mikrobioloģisko metodi </w:t>
            </w:r>
            <w:r>
              <w:rPr>
                <w:rFonts w:ascii="Times New Roman" w:hAnsi="Times New Roman"/>
                <w:b/>
                <w:bCs/>
                <w:i/>
                <w:sz w:val="24"/>
                <w:szCs w:val="20"/>
              </w:rPr>
              <w:t>L. monocytogenes</w:t>
            </w:r>
            <w:r>
              <w:rPr>
                <w:rFonts w:ascii="Times New Roman" w:hAnsi="Times New Roman"/>
                <w:b/>
                <w:bCs/>
                <w:sz w:val="24"/>
                <w:szCs w:val="20"/>
              </w:rPr>
              <w:t xml:space="preserve"> klātbūtnes noteikšanai svaigajos un/vai saldētajos ADG, uz kontaktvirsmām, kas ir saskarē ar pārtiku, un citām kontaktvirsmām, apstrādē izmantotajā ūdenī.</w:t>
            </w:r>
          </w:p>
        </w:tc>
      </w:tr>
      <w:tr w:rsidR="00287963" w:rsidTr="00531598">
        <w:tc>
          <w:tcPr>
            <w:tcW w:w="3997" w:type="dxa"/>
            <w:tcBorders>
              <w:top w:val="single" w:sz="4" w:space="0" w:color="auto"/>
              <w:bottom w:val="single" w:sz="4" w:space="0" w:color="auto"/>
            </w:tcBorders>
          </w:tcPr>
          <w:p w:rsidR="00287963" w:rsidRDefault="00287963" w:rsidP="00531598">
            <w:pPr>
              <w:jc w:val="center"/>
              <w:rPr>
                <w:rFonts w:ascii="Times New Roman" w:eastAsia="Calibri" w:hAnsi="Times New Roman" w:cs="Calibri"/>
                <w:noProof/>
                <w:sz w:val="24"/>
                <w:szCs w:val="20"/>
              </w:rPr>
            </w:pPr>
          </w:p>
        </w:tc>
        <w:tc>
          <w:tcPr>
            <w:tcW w:w="1418" w:type="dxa"/>
            <w:tcBorders>
              <w:top w:val="single" w:sz="4" w:space="0" w:color="auto"/>
            </w:tcBorders>
          </w:tcPr>
          <w:p w:rsidR="00287963" w:rsidRDefault="00132A13" w:rsidP="00531598">
            <w:pPr>
              <w:jc w:val="center"/>
              <w:rPr>
                <w:rFonts w:ascii="Times New Roman" w:eastAsia="Calibri" w:hAnsi="Times New Roman" w:cs="Calibri"/>
                <w:noProof/>
                <w:sz w:val="24"/>
                <w:szCs w:val="20"/>
              </w:rPr>
            </w:pPr>
            <w:r>
              <w:rPr>
                <w:rFonts w:ascii="Times New Roman" w:hAnsi="Times New Roman"/>
                <w:noProof/>
                <w:sz w:val="24"/>
                <w:szCs w:val="20"/>
              </w:rPr>
              <w:drawing>
                <wp:inline distT="0" distB="0" distL="0" distR="0">
                  <wp:extent cx="714375" cy="552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tc>
        <w:tc>
          <w:tcPr>
            <w:tcW w:w="3713" w:type="dxa"/>
            <w:tcBorders>
              <w:top w:val="single" w:sz="4" w:space="0" w:color="auto"/>
              <w:bottom w:val="single" w:sz="4" w:space="0" w:color="auto"/>
            </w:tcBorders>
          </w:tcPr>
          <w:p w:rsidR="00287963" w:rsidRDefault="00287963" w:rsidP="00531598">
            <w:pPr>
              <w:jc w:val="center"/>
              <w:rPr>
                <w:rFonts w:ascii="Times New Roman" w:eastAsia="Calibri" w:hAnsi="Times New Roman" w:cs="Calibri"/>
                <w:noProof/>
                <w:sz w:val="24"/>
                <w:szCs w:val="20"/>
              </w:rPr>
            </w:pPr>
          </w:p>
        </w:tc>
      </w:tr>
      <w:tr w:rsidR="00287963" w:rsidTr="00531598">
        <w:tc>
          <w:tcPr>
            <w:tcW w:w="3997" w:type="dxa"/>
            <w:tcBorders>
              <w:top w:val="single" w:sz="4" w:space="0" w:color="auto"/>
              <w:left w:val="single" w:sz="4" w:space="0" w:color="auto"/>
              <w:bottom w:val="single" w:sz="4" w:space="0" w:color="auto"/>
              <w:right w:val="single" w:sz="4" w:space="0" w:color="auto"/>
            </w:tcBorders>
          </w:tcPr>
          <w:p w:rsidR="00BE6BA7" w:rsidRDefault="00287963" w:rsidP="00531598">
            <w:pPr>
              <w:jc w:val="center"/>
              <w:rPr>
                <w:rFonts w:ascii="Times New Roman" w:eastAsia="Calibri" w:hAnsi="Times New Roman" w:cs="Calibri"/>
                <w:b/>
                <w:noProof/>
                <w:sz w:val="24"/>
                <w:szCs w:val="20"/>
              </w:rPr>
            </w:pPr>
            <w:r>
              <w:rPr>
                <w:rFonts w:ascii="Times New Roman" w:hAnsi="Times New Roman"/>
                <w:b/>
                <w:sz w:val="24"/>
                <w:szCs w:val="20"/>
              </w:rPr>
              <w:t xml:space="preserve">6.A SOLIS. Visu pozitīvo rezultātu gadījumā, izmantojot </w:t>
            </w:r>
            <w:r>
              <w:rPr>
                <w:rFonts w:ascii="Times New Roman" w:hAnsi="Times New Roman"/>
                <w:b/>
                <w:i/>
                <w:iCs/>
                <w:sz w:val="24"/>
                <w:szCs w:val="20"/>
              </w:rPr>
              <w:t>L. monocytogenes</w:t>
            </w:r>
            <w:r>
              <w:rPr>
                <w:rFonts w:ascii="Times New Roman" w:hAnsi="Times New Roman"/>
                <w:b/>
                <w:sz w:val="24"/>
                <w:szCs w:val="20"/>
              </w:rPr>
              <w:t xml:space="preserve"> klātbūtnes noteikšanas metodi</w:t>
            </w:r>
          </w:p>
          <w:p w:rsidR="00287963" w:rsidRPr="00287963" w:rsidRDefault="00287963" w:rsidP="00531598">
            <w:pPr>
              <w:jc w:val="center"/>
              <w:rPr>
                <w:rFonts w:ascii="Times New Roman" w:eastAsia="Calibri" w:hAnsi="Times New Roman" w:cs="Calibri"/>
                <w:b/>
                <w:noProof/>
                <w:sz w:val="24"/>
                <w:szCs w:val="20"/>
              </w:rPr>
            </w:pPr>
            <w:r>
              <w:rPr>
                <w:rFonts w:ascii="Times New Roman" w:hAnsi="Times New Roman"/>
                <w:sz w:val="24"/>
                <w:szCs w:val="20"/>
              </w:rPr>
              <w:t xml:space="preserve">(svaigajos un/vai saldētajos ADG, no kontaktvirsmām, kas ir saskarē ar pārtiku, un citām kontaktvirsmām un apstrādē izmantotajā ūdenī), uzsākt </w:t>
            </w:r>
            <w:r>
              <w:rPr>
                <w:rFonts w:ascii="Times New Roman" w:hAnsi="Times New Roman"/>
                <w:b/>
                <w:bCs/>
                <w:i/>
                <w:iCs/>
                <w:sz w:val="24"/>
                <w:szCs w:val="20"/>
              </w:rPr>
              <w:t xml:space="preserve">L. monocytogenes </w:t>
            </w:r>
            <w:r>
              <w:rPr>
                <w:rFonts w:ascii="Times New Roman" w:hAnsi="Times New Roman"/>
                <w:b/>
                <w:bCs/>
                <w:sz w:val="24"/>
                <w:szCs w:val="20"/>
              </w:rPr>
              <w:t>izolātu raksturošanu.</w:t>
            </w:r>
          </w:p>
        </w:tc>
        <w:tc>
          <w:tcPr>
            <w:tcW w:w="1418" w:type="dxa"/>
            <w:tcBorders>
              <w:left w:val="single" w:sz="4" w:space="0" w:color="auto"/>
              <w:right w:val="single" w:sz="4" w:space="0" w:color="auto"/>
            </w:tcBorders>
          </w:tcPr>
          <w:p w:rsidR="00287963" w:rsidRDefault="00287963" w:rsidP="00531598">
            <w:pPr>
              <w:jc w:val="center"/>
              <w:rPr>
                <w:rFonts w:ascii="Times New Roman" w:eastAsia="Calibri" w:hAnsi="Times New Roman" w:cs="Calibri"/>
                <w:noProof/>
                <w:sz w:val="24"/>
                <w:szCs w:val="20"/>
              </w:rPr>
            </w:pPr>
          </w:p>
        </w:tc>
        <w:tc>
          <w:tcPr>
            <w:tcW w:w="3713" w:type="dxa"/>
            <w:tcBorders>
              <w:top w:val="single" w:sz="4" w:space="0" w:color="auto"/>
              <w:left w:val="single" w:sz="4" w:space="0" w:color="auto"/>
              <w:bottom w:val="single" w:sz="4" w:space="0" w:color="auto"/>
              <w:right w:val="single" w:sz="4" w:space="0" w:color="auto"/>
            </w:tcBorders>
          </w:tcPr>
          <w:p w:rsidR="00BE6BA7" w:rsidRDefault="00BE6BA7" w:rsidP="00531598">
            <w:pPr>
              <w:jc w:val="center"/>
              <w:rPr>
                <w:rFonts w:ascii="Times New Roman" w:eastAsia="Calibri" w:hAnsi="Times New Roman" w:cs="Calibri"/>
                <w:b/>
                <w:noProof/>
                <w:sz w:val="24"/>
                <w:szCs w:val="20"/>
              </w:rPr>
            </w:pPr>
            <w:r>
              <w:rPr>
                <w:rFonts w:ascii="Times New Roman" w:hAnsi="Times New Roman"/>
                <w:b/>
                <w:sz w:val="24"/>
                <w:szCs w:val="20"/>
              </w:rPr>
              <w:t xml:space="preserve">6.B SOLIS. Pozitīvu rezultātu gadījumā, izmantojot </w:t>
            </w:r>
            <w:r>
              <w:rPr>
                <w:rFonts w:ascii="Times New Roman" w:hAnsi="Times New Roman"/>
                <w:b/>
                <w:i/>
                <w:iCs/>
                <w:sz w:val="24"/>
                <w:szCs w:val="20"/>
              </w:rPr>
              <w:t>L. monocytogenes</w:t>
            </w:r>
            <w:r>
              <w:rPr>
                <w:rFonts w:ascii="Times New Roman" w:hAnsi="Times New Roman"/>
                <w:b/>
                <w:sz w:val="24"/>
                <w:szCs w:val="20"/>
              </w:rPr>
              <w:t xml:space="preserve"> klātbūtnes noteikšanas metodi</w:t>
            </w:r>
          </w:p>
          <w:p w:rsidR="00287963" w:rsidRPr="00BE6BA7" w:rsidRDefault="00BE6BA7" w:rsidP="00531598">
            <w:pPr>
              <w:jc w:val="center"/>
              <w:rPr>
                <w:rFonts w:ascii="Times New Roman" w:eastAsia="Calibri" w:hAnsi="Times New Roman" w:cs="Calibri"/>
                <w:b/>
                <w:noProof/>
                <w:sz w:val="24"/>
                <w:szCs w:val="20"/>
              </w:rPr>
            </w:pPr>
            <w:r>
              <w:rPr>
                <w:rFonts w:ascii="Times New Roman" w:hAnsi="Times New Roman"/>
                <w:sz w:val="24"/>
                <w:szCs w:val="20"/>
              </w:rPr>
              <w:t xml:space="preserve">(tikai svaigajos un/vai saldētajos ADG), vajadzības gadījumā veikt </w:t>
            </w:r>
            <w:r>
              <w:rPr>
                <w:rFonts w:ascii="Times New Roman" w:hAnsi="Times New Roman"/>
                <w:b/>
                <w:bCs/>
                <w:i/>
                <w:iCs/>
                <w:sz w:val="24"/>
                <w:szCs w:val="20"/>
              </w:rPr>
              <w:t>L. monocytogenes</w:t>
            </w:r>
            <w:r>
              <w:rPr>
                <w:rFonts w:ascii="Times New Roman" w:hAnsi="Times New Roman"/>
                <w:i/>
                <w:iCs/>
                <w:sz w:val="24"/>
                <w:szCs w:val="20"/>
              </w:rPr>
              <w:t xml:space="preserve"> </w:t>
            </w:r>
            <w:r>
              <w:rPr>
                <w:rFonts w:ascii="Times New Roman" w:hAnsi="Times New Roman"/>
                <w:b/>
                <w:bCs/>
                <w:sz w:val="24"/>
                <w:szCs w:val="20"/>
              </w:rPr>
              <w:t>uzskaitīšanu</w:t>
            </w:r>
            <w:r>
              <w:rPr>
                <w:rFonts w:ascii="Times New Roman" w:hAnsi="Times New Roman"/>
                <w:sz w:val="24"/>
                <w:szCs w:val="20"/>
              </w:rPr>
              <w:t>.</w:t>
            </w:r>
          </w:p>
        </w:tc>
      </w:tr>
      <w:tr w:rsidR="00287963" w:rsidTr="00531598">
        <w:tc>
          <w:tcPr>
            <w:tcW w:w="3997" w:type="dxa"/>
            <w:tcBorders>
              <w:top w:val="single" w:sz="4" w:space="0" w:color="auto"/>
              <w:bottom w:val="single" w:sz="4" w:space="0" w:color="auto"/>
            </w:tcBorders>
          </w:tcPr>
          <w:p w:rsidR="00287963" w:rsidRDefault="00287963" w:rsidP="00531598">
            <w:pPr>
              <w:jc w:val="center"/>
              <w:rPr>
                <w:rFonts w:ascii="Times New Roman" w:eastAsia="Calibri" w:hAnsi="Times New Roman" w:cs="Calibri"/>
                <w:noProof/>
                <w:sz w:val="24"/>
                <w:szCs w:val="20"/>
              </w:rPr>
            </w:pPr>
          </w:p>
        </w:tc>
        <w:tc>
          <w:tcPr>
            <w:tcW w:w="1418" w:type="dxa"/>
          </w:tcPr>
          <w:p w:rsidR="00287963" w:rsidRDefault="00132A13" w:rsidP="00531598">
            <w:pPr>
              <w:jc w:val="center"/>
              <w:rPr>
                <w:rFonts w:ascii="Times New Roman" w:eastAsia="Calibri" w:hAnsi="Times New Roman" w:cs="Calibri"/>
                <w:noProof/>
                <w:sz w:val="24"/>
                <w:szCs w:val="20"/>
              </w:rPr>
            </w:pPr>
            <w:r>
              <w:rPr>
                <w:rFonts w:ascii="Times New Roman" w:hAnsi="Times New Roman"/>
                <w:noProof/>
                <w:sz w:val="24"/>
                <w:szCs w:val="20"/>
              </w:rPr>
              <w:drawing>
                <wp:inline distT="0" distB="0" distL="0" distR="0">
                  <wp:extent cx="714375" cy="552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tc>
        <w:tc>
          <w:tcPr>
            <w:tcW w:w="3713" w:type="dxa"/>
            <w:tcBorders>
              <w:top w:val="single" w:sz="4" w:space="0" w:color="auto"/>
              <w:bottom w:val="single" w:sz="4" w:space="0" w:color="auto"/>
            </w:tcBorders>
          </w:tcPr>
          <w:p w:rsidR="00287963" w:rsidRDefault="00287963" w:rsidP="00531598">
            <w:pPr>
              <w:jc w:val="center"/>
              <w:rPr>
                <w:rFonts w:ascii="Times New Roman" w:eastAsia="Calibri" w:hAnsi="Times New Roman" w:cs="Calibri"/>
                <w:noProof/>
                <w:sz w:val="24"/>
                <w:szCs w:val="20"/>
              </w:rPr>
            </w:pPr>
          </w:p>
        </w:tc>
      </w:tr>
      <w:tr w:rsidR="00287963" w:rsidTr="00531598">
        <w:tc>
          <w:tcPr>
            <w:tcW w:w="3997" w:type="dxa"/>
            <w:tcBorders>
              <w:top w:val="single" w:sz="4" w:space="0" w:color="auto"/>
              <w:left w:val="single" w:sz="4" w:space="0" w:color="auto"/>
              <w:bottom w:val="single" w:sz="4" w:space="0" w:color="auto"/>
              <w:right w:val="single" w:sz="4" w:space="0" w:color="auto"/>
            </w:tcBorders>
          </w:tcPr>
          <w:p w:rsidR="00287963" w:rsidRDefault="00BE6BA7" w:rsidP="00531598">
            <w:pPr>
              <w:jc w:val="center"/>
              <w:rPr>
                <w:rFonts w:ascii="Times New Roman" w:eastAsia="Calibri" w:hAnsi="Times New Roman" w:cs="Calibri"/>
                <w:b/>
                <w:noProof/>
                <w:sz w:val="24"/>
                <w:szCs w:val="20"/>
              </w:rPr>
            </w:pPr>
            <w:r>
              <w:rPr>
                <w:rFonts w:ascii="Times New Roman" w:hAnsi="Times New Roman"/>
                <w:b/>
                <w:sz w:val="24"/>
                <w:szCs w:val="20"/>
              </w:rPr>
              <w:t>7.A SOLIS. Rezultātu interpretācija,</w:t>
            </w:r>
          </w:p>
          <w:p w:rsidR="00BE6BA7" w:rsidRDefault="00BE6BA7" w:rsidP="00531598">
            <w:pPr>
              <w:jc w:val="center"/>
              <w:rPr>
                <w:rFonts w:ascii="Times New Roman" w:eastAsia="Calibri" w:hAnsi="Times New Roman" w:cs="Calibri"/>
                <w:b/>
                <w:noProof/>
                <w:sz w:val="24"/>
                <w:szCs w:val="20"/>
              </w:rPr>
            </w:pPr>
          </w:p>
          <w:p w:rsidR="00BE6BA7" w:rsidRPr="00BE6BA7" w:rsidRDefault="00BE6BA7" w:rsidP="00531598">
            <w:pPr>
              <w:jc w:val="center"/>
              <w:rPr>
                <w:rFonts w:ascii="Times New Roman" w:eastAsia="Calibri" w:hAnsi="Times New Roman" w:cs="Calibri"/>
                <w:noProof/>
                <w:sz w:val="24"/>
                <w:szCs w:val="20"/>
              </w:rPr>
            </w:pPr>
            <w:r>
              <w:rPr>
                <w:rFonts w:ascii="Times New Roman" w:hAnsi="Times New Roman"/>
                <w:b/>
                <w:bCs/>
                <w:sz w:val="24"/>
                <w:szCs w:val="20"/>
              </w:rPr>
              <w:lastRenderedPageBreak/>
              <w:t xml:space="preserve">lai identificētu piesārņojuma vietu ar </w:t>
            </w:r>
            <w:r>
              <w:rPr>
                <w:rFonts w:ascii="Times New Roman" w:hAnsi="Times New Roman"/>
                <w:b/>
                <w:bCs/>
                <w:i/>
                <w:iCs/>
                <w:sz w:val="24"/>
                <w:szCs w:val="20"/>
              </w:rPr>
              <w:t>L. monocytogenes</w:t>
            </w:r>
            <w:r>
              <w:rPr>
                <w:rFonts w:ascii="Times New Roman" w:hAnsi="Times New Roman"/>
                <w:sz w:val="24"/>
                <w:szCs w:val="20"/>
              </w:rPr>
              <w:t>, noskaidrojot saiknes starp rezultātiem, kas iegūti no vides un/vai pārtikas paraugiem.</w:t>
            </w:r>
          </w:p>
        </w:tc>
        <w:tc>
          <w:tcPr>
            <w:tcW w:w="1418" w:type="dxa"/>
            <w:tcBorders>
              <w:left w:val="single" w:sz="4" w:space="0" w:color="auto"/>
              <w:right w:val="single" w:sz="4" w:space="0" w:color="auto"/>
            </w:tcBorders>
          </w:tcPr>
          <w:p w:rsidR="00287963" w:rsidRDefault="00287963" w:rsidP="00531598">
            <w:pPr>
              <w:jc w:val="center"/>
              <w:rPr>
                <w:rFonts w:ascii="Times New Roman" w:eastAsia="Calibri" w:hAnsi="Times New Roman" w:cs="Calibri"/>
                <w:noProof/>
                <w:sz w:val="24"/>
                <w:szCs w:val="20"/>
              </w:rPr>
            </w:pPr>
          </w:p>
        </w:tc>
        <w:tc>
          <w:tcPr>
            <w:tcW w:w="3713" w:type="dxa"/>
            <w:tcBorders>
              <w:top w:val="single" w:sz="4" w:space="0" w:color="auto"/>
              <w:left w:val="single" w:sz="4" w:space="0" w:color="auto"/>
              <w:bottom w:val="single" w:sz="4" w:space="0" w:color="auto"/>
              <w:right w:val="single" w:sz="4" w:space="0" w:color="auto"/>
            </w:tcBorders>
          </w:tcPr>
          <w:p w:rsidR="00287963" w:rsidRDefault="00BE6BA7" w:rsidP="00531598">
            <w:pPr>
              <w:jc w:val="center"/>
              <w:rPr>
                <w:rFonts w:ascii="Times New Roman" w:eastAsia="Calibri" w:hAnsi="Times New Roman" w:cs="Calibri"/>
                <w:b/>
                <w:noProof/>
                <w:sz w:val="24"/>
                <w:szCs w:val="20"/>
              </w:rPr>
            </w:pPr>
            <w:r>
              <w:rPr>
                <w:rFonts w:ascii="Times New Roman" w:hAnsi="Times New Roman"/>
                <w:b/>
                <w:sz w:val="24"/>
                <w:szCs w:val="20"/>
              </w:rPr>
              <w:t>7.B SOLIS. Rezultātu interpretācija,</w:t>
            </w:r>
          </w:p>
          <w:p w:rsidR="00BE6BA7" w:rsidRDefault="00BE6BA7" w:rsidP="00531598">
            <w:pPr>
              <w:jc w:val="center"/>
              <w:rPr>
                <w:rFonts w:ascii="Times New Roman" w:eastAsia="Calibri" w:hAnsi="Times New Roman" w:cs="Calibri"/>
                <w:b/>
                <w:noProof/>
                <w:sz w:val="24"/>
                <w:szCs w:val="20"/>
              </w:rPr>
            </w:pPr>
          </w:p>
          <w:p w:rsidR="00BE6BA7" w:rsidRPr="00BE6BA7" w:rsidRDefault="00BE6BA7" w:rsidP="00531598">
            <w:pPr>
              <w:jc w:val="center"/>
              <w:rPr>
                <w:rFonts w:ascii="Times New Roman" w:eastAsia="Calibri" w:hAnsi="Times New Roman" w:cs="Calibri"/>
                <w:b/>
                <w:noProof/>
                <w:sz w:val="24"/>
                <w:szCs w:val="20"/>
              </w:rPr>
            </w:pPr>
            <w:r>
              <w:rPr>
                <w:rFonts w:ascii="Times New Roman" w:hAnsi="Times New Roman"/>
                <w:b/>
                <w:bCs/>
                <w:sz w:val="24"/>
                <w:szCs w:val="20"/>
              </w:rPr>
              <w:t>lai konstatētu saikni starp cilvēku klīniskajiem izolātiem un tiem, kas iegūti no aizdomīgajiem pārtikas produktiem un pārtikas pārstrādes vides (PPV).</w:t>
            </w:r>
          </w:p>
        </w:tc>
      </w:tr>
    </w:tbl>
    <w:p w:rsidR="00270842" w:rsidRPr="001B6F3C" w:rsidRDefault="00270842" w:rsidP="004650EF">
      <w:pPr>
        <w:jc w:val="both"/>
        <w:rPr>
          <w:rFonts w:ascii="Times New Roman" w:eastAsia="Calibri" w:hAnsi="Times New Roman" w:cs="Calibri"/>
          <w:noProof/>
          <w:sz w:val="24"/>
          <w:szCs w:val="21"/>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b/>
          <w:sz w:val="24"/>
        </w:rPr>
        <w:t xml:space="preserve">5. attēls. </w:t>
      </w:r>
      <w:r>
        <w:rPr>
          <w:rFonts w:ascii="Times New Roman" w:hAnsi="Times New Roman"/>
          <w:sz w:val="24"/>
        </w:rPr>
        <w:t>Konkrētam mērķim paredzētas paraugu ņemšanas stratēģijas piemērs augļu, dārzeņu un garšaugu (ADG) saldētavās un/vai pārstrādes un pārkraušanas vietās infekcijas uzliesmojuma izmeklēšanas atbalstam</w:t>
      </w:r>
    </w:p>
    <w:p w:rsidR="00270842" w:rsidRPr="001B6F3C" w:rsidRDefault="00270842" w:rsidP="004650EF">
      <w:pPr>
        <w:jc w:val="both"/>
        <w:rPr>
          <w:rFonts w:ascii="Times New Roman" w:eastAsia="Calibri" w:hAnsi="Times New Roman" w:cs="Calibri"/>
          <w:noProof/>
          <w:sz w:val="24"/>
          <w:szCs w:val="28"/>
        </w:rPr>
      </w:pPr>
    </w:p>
    <w:p w:rsidR="00270842" w:rsidRPr="001B6F3C" w:rsidRDefault="00132A13" w:rsidP="00531598">
      <w:pPr>
        <w:pStyle w:val="Heading1"/>
        <w:rPr>
          <w:noProof/>
        </w:rPr>
      </w:pPr>
      <w:bookmarkStart w:id="54" w:name="_TOC_250010"/>
      <w:bookmarkStart w:id="55" w:name="_Toc37931395"/>
      <w:r>
        <w:t xml:space="preserve">3.4.1. Vispārējie </w:t>
      </w:r>
      <w:r w:rsidRPr="00531598">
        <w:t>apsvērumi</w:t>
      </w:r>
      <w:r>
        <w:t xml:space="preserve"> bakterioloģiskai testēšanai</w:t>
      </w:r>
      <w:bookmarkEnd w:id="54"/>
      <w:bookmarkEnd w:id="55"/>
    </w:p>
    <w:p w:rsidR="00270842" w:rsidRPr="001B6F3C" w:rsidRDefault="00270842" w:rsidP="004650EF">
      <w:pPr>
        <w:jc w:val="both"/>
        <w:rPr>
          <w:rFonts w:ascii="Times New Roman" w:eastAsia="Tahoma" w:hAnsi="Times New Roman" w:cs="Tahoma"/>
          <w:b/>
          <w:bCs/>
          <w:noProof/>
          <w:sz w:val="24"/>
          <w:szCs w:val="19"/>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Parasti visus bakterioloģiskos testus iesaka veikt laboratorijā, kas atbilst turpmākajiem kritērijiem.</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132A13">
      <w:pPr>
        <w:pStyle w:val="BodyText"/>
        <w:numPr>
          <w:ilvl w:val="0"/>
          <w:numId w:val="9"/>
        </w:numPr>
        <w:ind w:left="709" w:hanging="283"/>
        <w:jc w:val="both"/>
        <w:rPr>
          <w:rFonts w:ascii="Times New Roman" w:hAnsi="Times New Roman"/>
          <w:noProof/>
          <w:sz w:val="24"/>
        </w:rPr>
      </w:pPr>
      <w:r>
        <w:rPr>
          <w:rFonts w:ascii="Times New Roman" w:hAnsi="Times New Roman"/>
          <w:sz w:val="24"/>
        </w:rPr>
        <w:t>Lai novērstu savstarpējo piesārņošanos, laboratorijai jābūt fiziski nodalītai no pārtikas ražošanas vietas.</w:t>
      </w:r>
    </w:p>
    <w:p w:rsidR="00270842" w:rsidRPr="001B6F3C" w:rsidRDefault="00270842" w:rsidP="00132A13">
      <w:pPr>
        <w:pStyle w:val="BodyText"/>
        <w:numPr>
          <w:ilvl w:val="0"/>
          <w:numId w:val="9"/>
        </w:numPr>
        <w:tabs>
          <w:tab w:val="left" w:pos="361"/>
        </w:tabs>
        <w:ind w:left="709" w:hanging="283"/>
        <w:jc w:val="both"/>
        <w:rPr>
          <w:rFonts w:ascii="Times New Roman" w:hAnsi="Times New Roman"/>
          <w:noProof/>
          <w:sz w:val="24"/>
        </w:rPr>
      </w:pPr>
      <w:r>
        <w:rPr>
          <w:rFonts w:ascii="Times New Roman" w:hAnsi="Times New Roman"/>
          <w:sz w:val="24"/>
        </w:rPr>
        <w:t>Laboratorijā jābūt apmācītam personālam ar pieredzi analītisko mikrobioloģisko metožu izmantošanā, lai nodrošinātu, ka testi tiek veikti pareizi un ievēroti visi attiecīgie drošības pasākumi, ieskaitot pareizu atkritumu likvidēšanu.</w:t>
      </w:r>
    </w:p>
    <w:p w:rsidR="00270842" w:rsidRPr="001B6F3C" w:rsidRDefault="00270842" w:rsidP="00132A13">
      <w:pPr>
        <w:pStyle w:val="BodyText"/>
        <w:numPr>
          <w:ilvl w:val="0"/>
          <w:numId w:val="9"/>
        </w:numPr>
        <w:tabs>
          <w:tab w:val="left" w:pos="340"/>
        </w:tabs>
        <w:ind w:left="709" w:hanging="283"/>
        <w:jc w:val="both"/>
        <w:rPr>
          <w:rFonts w:ascii="Times New Roman" w:hAnsi="Times New Roman"/>
          <w:noProof/>
          <w:sz w:val="24"/>
        </w:rPr>
      </w:pPr>
      <w:r>
        <w:rPr>
          <w:rFonts w:ascii="Times New Roman" w:hAnsi="Times New Roman"/>
          <w:sz w:val="24"/>
        </w:rPr>
        <w:t>Testi jāveic laboratorijās, kurās darbojas kvalitātes nodrošināšanas sistēmas, vai – vēl labāk – laboratorijās, kas akreditētas saskaņā ar standartu EN ISO/IEC 17025.</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Ja mikrobioloģiskās analīzes veic ražotājs, laboratoriju telpām, personālam un kvalitātes vadības sistēmai jāatbilst iepriekšminētajiem kritērijiem un jānodrošina, ka pārtikas nekaitīguma pārvaldības vajadzībām testēšanas rezultātā tiek nodrošināta informācija, uz kuru var paļauties, un testēšana nerada risku pārtikas nekaitīgumam.</w:t>
      </w:r>
    </w:p>
    <w:p w:rsidR="00132A13" w:rsidRPr="001B6F3C" w:rsidRDefault="00132A13" w:rsidP="004650EF">
      <w:pPr>
        <w:pStyle w:val="BodyText"/>
        <w:ind w:left="0"/>
        <w:jc w:val="both"/>
        <w:rPr>
          <w:rFonts w:ascii="Times New Roman" w:hAnsi="Times New Roman"/>
          <w:noProof/>
          <w:sz w:val="24"/>
        </w:rPr>
      </w:pPr>
    </w:p>
    <w:p w:rsidR="00270842" w:rsidRPr="001B6F3C" w:rsidRDefault="00132A13" w:rsidP="00531598">
      <w:pPr>
        <w:pStyle w:val="Heading1"/>
        <w:rPr>
          <w:rFonts w:cs="Tahoma"/>
          <w:noProof/>
          <w:szCs w:val="20"/>
        </w:rPr>
      </w:pPr>
      <w:bookmarkStart w:id="56" w:name="_Toc37931396"/>
      <w:r>
        <w:t xml:space="preserve">3.4.2. </w:t>
      </w:r>
      <w:r>
        <w:rPr>
          <w:i/>
          <w:iCs/>
        </w:rPr>
        <w:t>L. monocytogenes</w:t>
      </w:r>
      <w:r>
        <w:t xml:space="preserve"> noteikšana svaigos un </w:t>
      </w:r>
      <w:r w:rsidRPr="00531598">
        <w:t>saldētos</w:t>
      </w:r>
      <w:r>
        <w:t xml:space="preserve"> ADG</w:t>
      </w:r>
      <w:bookmarkEnd w:id="56"/>
    </w:p>
    <w:p w:rsidR="00270842" w:rsidRPr="001B6F3C" w:rsidRDefault="00270842" w:rsidP="004650EF">
      <w:pPr>
        <w:jc w:val="both"/>
        <w:rPr>
          <w:rFonts w:ascii="Times New Roman" w:eastAsia="Tahoma" w:hAnsi="Times New Roman" w:cs="Tahoma"/>
          <w:b/>
          <w:bCs/>
          <w:noProof/>
          <w:sz w:val="24"/>
          <w:szCs w:val="18"/>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Šajā sadaļā ir aplūkota </w:t>
      </w:r>
      <w:r>
        <w:rPr>
          <w:rFonts w:ascii="Times New Roman" w:hAnsi="Times New Roman"/>
          <w:i/>
          <w:iCs/>
          <w:sz w:val="24"/>
        </w:rPr>
        <w:t>L. monocytogenes</w:t>
      </w:r>
      <w:r>
        <w:rPr>
          <w:rFonts w:ascii="Times New Roman" w:hAnsi="Times New Roman"/>
          <w:sz w:val="24"/>
        </w:rPr>
        <w:t xml:space="preserve"> noteikšana svaigos un saldētos ADG, ņemot paraugus saldētavās vai attiecīgajās apstrādes un pārkraušanas vietās.</w:t>
      </w:r>
    </w:p>
    <w:p w:rsidR="00270842" w:rsidRPr="001B6F3C" w:rsidRDefault="00270842" w:rsidP="004650EF">
      <w:pPr>
        <w:jc w:val="both"/>
        <w:rPr>
          <w:rFonts w:ascii="Times New Roman" w:eastAsia="Tahoma" w:hAnsi="Times New Roman" w:cs="Tahoma"/>
          <w:noProof/>
          <w:sz w:val="24"/>
          <w:szCs w:val="18"/>
        </w:rPr>
      </w:pPr>
    </w:p>
    <w:p w:rsidR="00270842" w:rsidRPr="001B6F3C" w:rsidRDefault="00132A13" w:rsidP="00531598">
      <w:pPr>
        <w:pStyle w:val="Heading1"/>
        <w:rPr>
          <w:noProof/>
        </w:rPr>
      </w:pPr>
      <w:bookmarkStart w:id="57" w:name="_TOC_250009"/>
      <w:bookmarkStart w:id="58" w:name="_Toc37931397"/>
      <w:r>
        <w:t xml:space="preserve">3.4.2.1. Pārtikas paraugu </w:t>
      </w:r>
      <w:r w:rsidRPr="00531598">
        <w:t>ņemšanas</w:t>
      </w:r>
      <w:r>
        <w:t xml:space="preserve"> procedūra</w:t>
      </w:r>
      <w:bookmarkEnd w:id="57"/>
      <w:bookmarkEnd w:id="58"/>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Ņemot paraugus no svaigiem un saldētiem ADG, jāievēro standarts CEN ISO/TS 17728:2015 par paraugu ņemšanas metodēm pārtikas paraugu mikrobioloģiskajai analīzei. Savākto paraugu masai jābūt pietiekamai, lai varētu veikt mikrobioloģisko izmeklēšanu, un ņemtai no vairākām pārbaudāmās pārtikas vienībām (piemēram, 5 vienībām vai 100 g atbilstoša ekvivalenta).</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Paraugu ņemšanas metodes nedrīkst pārveidot produkta dabisko mikrobiotu (piemēram, izmantojot piesārņotus paraugu ņemšanas rīkus vai ar vides starpniecību). Paraugu ņemšanai no svaigiem un saldētiem ADG produktiem jāizmanto aprīkojums un procedūra, kas piemērota produkta (fasēta vai nefasēta) fiziskajam noformējumam.</w:t>
      </w:r>
    </w:p>
    <w:p w:rsidR="00270842" w:rsidRPr="001B6F3C" w:rsidRDefault="00270842" w:rsidP="004650EF">
      <w:pPr>
        <w:jc w:val="both"/>
        <w:rPr>
          <w:rFonts w:ascii="Times New Roman" w:eastAsia="Tahoma" w:hAnsi="Times New Roman" w:cs="Tahoma"/>
          <w:noProof/>
          <w:sz w:val="24"/>
          <w:szCs w:val="18"/>
        </w:rPr>
      </w:pPr>
    </w:p>
    <w:p w:rsidR="00270842" w:rsidRPr="001B6F3C" w:rsidRDefault="00132A13" w:rsidP="00531598">
      <w:pPr>
        <w:pStyle w:val="Heading1"/>
        <w:rPr>
          <w:noProof/>
        </w:rPr>
      </w:pPr>
      <w:bookmarkStart w:id="59" w:name="_TOC_250008"/>
      <w:bookmarkStart w:id="60" w:name="_Toc37931398"/>
      <w:r>
        <w:t xml:space="preserve">3.4.2.2. Sākotnējās </w:t>
      </w:r>
      <w:r w:rsidRPr="00531598">
        <w:t>suspensijas</w:t>
      </w:r>
      <w:r>
        <w:t xml:space="preserve"> sagatavošana</w:t>
      </w:r>
      <w:bookmarkEnd w:id="59"/>
      <w:bookmarkEnd w:id="60"/>
    </w:p>
    <w:p w:rsidR="00270842" w:rsidRPr="001B6F3C" w:rsidRDefault="00270842" w:rsidP="004650EF">
      <w:pPr>
        <w:jc w:val="both"/>
        <w:rPr>
          <w:rFonts w:ascii="Times New Roman" w:eastAsia="Tahoma" w:hAnsi="Times New Roman" w:cs="Tahoma"/>
          <w:b/>
          <w:bCs/>
          <w:noProof/>
          <w:sz w:val="24"/>
          <w:szCs w:val="18"/>
        </w:rPr>
      </w:pPr>
    </w:p>
    <w:p w:rsidR="00270842" w:rsidRPr="001B6F3C" w:rsidRDefault="00270842" w:rsidP="004650EF">
      <w:pPr>
        <w:jc w:val="both"/>
        <w:rPr>
          <w:rFonts w:ascii="Times New Roman" w:hAnsi="Times New Roman"/>
          <w:i/>
          <w:noProof/>
          <w:sz w:val="24"/>
        </w:rPr>
      </w:pPr>
      <w:r>
        <w:rPr>
          <w:rFonts w:ascii="Times New Roman" w:hAnsi="Times New Roman"/>
          <w:i/>
          <w:sz w:val="24"/>
        </w:rPr>
        <w:t>Vispārēji ieteikumi</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Testa paraugs jāsagatavo atbilstoši tam konkrētajam starptautiskajam standartam, kas paredzēts attiecīgajam produktam (skatīt standartu EN ISO 6887-4).</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Svaigo ADG gadījumā sākotnējo suspensiju pagatavo saskaņā ar standartu EN ISO 6887-4.</w:t>
      </w:r>
    </w:p>
    <w:p w:rsidR="00270842" w:rsidRPr="001B6F3C" w:rsidRDefault="00270842" w:rsidP="004650EF">
      <w:pPr>
        <w:jc w:val="both"/>
        <w:rPr>
          <w:rFonts w:ascii="Times New Roman" w:eastAsia="Tahoma" w:hAnsi="Times New Roman" w:cs="Tahoma"/>
          <w:noProof/>
          <w:sz w:val="24"/>
          <w:szCs w:val="18"/>
        </w:rPr>
      </w:pPr>
    </w:p>
    <w:p w:rsidR="00270842" w:rsidRPr="001B6F3C" w:rsidRDefault="00270842" w:rsidP="004650EF">
      <w:pPr>
        <w:jc w:val="both"/>
        <w:rPr>
          <w:rFonts w:ascii="Times New Roman" w:hAnsi="Times New Roman"/>
          <w:i/>
          <w:noProof/>
          <w:sz w:val="24"/>
        </w:rPr>
      </w:pPr>
      <w:r>
        <w:rPr>
          <w:rFonts w:ascii="Times New Roman" w:hAnsi="Times New Roman"/>
          <w:i/>
          <w:sz w:val="24"/>
        </w:rPr>
        <w:t>Īpašs ieteikums suspensijas pagatavošanai saldēto produktu analīzes vajadzībām</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Suspensiju saldēto paraugu analīzei pagatavo saskaņā ar standartu EN ISO 6887-1.</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Sākotnējās suspensijas pagatavošanai paraugus ņem, cik vien ātri iespējams, pēc atkausēšanas pat tad, ja analizējamā parauga ņemšanas laikā produkts joprojām ir daļēji sasalis. Pievienotais atšķaidītājs laboratorijas vides temperatūrā sekmēs parauga pilnīgu atsaldēšanu. Atsaldēšanu neiesaka veikt ūdens vannā ar kontrolētu temperatūru vai tekošā aukstā ūdenī, jo tas var izraisīt parauga piesārņošanos, ja iesaiņojums nav pilnīgi ūdensnecaurlaidīgs.</w:t>
      </w:r>
    </w:p>
    <w:p w:rsidR="00270842" w:rsidRPr="001B6F3C" w:rsidRDefault="00270842" w:rsidP="004650EF">
      <w:pPr>
        <w:jc w:val="both"/>
        <w:rPr>
          <w:rFonts w:ascii="Times New Roman" w:eastAsia="Tahoma" w:hAnsi="Times New Roman" w:cs="Tahoma"/>
          <w:noProof/>
          <w:sz w:val="24"/>
          <w:szCs w:val="18"/>
        </w:rPr>
      </w:pPr>
    </w:p>
    <w:p w:rsidR="00270842" w:rsidRPr="001B6F3C" w:rsidRDefault="00270842" w:rsidP="004650EF">
      <w:pPr>
        <w:jc w:val="both"/>
        <w:rPr>
          <w:rFonts w:ascii="Times New Roman" w:hAnsi="Times New Roman"/>
          <w:i/>
          <w:noProof/>
          <w:sz w:val="24"/>
        </w:rPr>
      </w:pPr>
      <w:r>
        <w:rPr>
          <w:rFonts w:ascii="Times New Roman" w:hAnsi="Times New Roman"/>
          <w:i/>
          <w:sz w:val="24"/>
        </w:rPr>
        <w:t>Īpašs ieteikums iepakotu produktu sagatavošanai</w:t>
      </w:r>
    </w:p>
    <w:p w:rsidR="00132A13"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Īpašus ieteikumus var attiecināt uz iesaiņotiem produktiem. Mīkstā iepakojuma noņemšanu vai atvēršanu veic aseptiskā veidā, izmantojot šķēres, nažus vai skalpeļus, turpretim iepakojumus no cieta materiāla (kārbas, stikla traukus utt.) atver ar piemērotiem rīkiem aseptiskos apstākļos. Visas darbības pirms un pēc iepakoto pārtikas produktu atvēršanas veic aseptiski, lai izvairītos no ārēja piesārņojuma. Plēvē iesaiņotas pārtikas produktu porcijas uzmanīgi atver uz paplātēm, noņemot iepakojuma plēvi, lai pārtiku varētu atsegt paraugu ņemšanas vajadzībām.</w:t>
      </w:r>
    </w:p>
    <w:p w:rsidR="00270842" w:rsidRPr="001B6F3C" w:rsidRDefault="00270842" w:rsidP="004650EF">
      <w:pPr>
        <w:jc w:val="both"/>
        <w:rPr>
          <w:rFonts w:ascii="Times New Roman" w:eastAsia="Tahoma" w:hAnsi="Times New Roman" w:cs="Tahoma"/>
          <w:noProof/>
          <w:sz w:val="24"/>
          <w:szCs w:val="18"/>
        </w:rPr>
      </w:pPr>
    </w:p>
    <w:p w:rsidR="00270842" w:rsidRPr="001B6F3C" w:rsidRDefault="00270842" w:rsidP="004650EF">
      <w:pPr>
        <w:jc w:val="both"/>
        <w:rPr>
          <w:rFonts w:ascii="Times New Roman" w:hAnsi="Times New Roman"/>
          <w:i/>
          <w:noProof/>
          <w:sz w:val="24"/>
        </w:rPr>
      </w:pPr>
      <w:r>
        <w:rPr>
          <w:rFonts w:ascii="Times New Roman" w:hAnsi="Times New Roman"/>
          <w:i/>
          <w:sz w:val="24"/>
        </w:rPr>
        <w:t>Neviendabīgu produktu sagatavošana</w:t>
      </w:r>
    </w:p>
    <w:p w:rsidR="00132A13"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Analizējamos paraugus no produktiem ar dažādām sastāvdaļām ņem atbilstoši katras sastāvdaļas daļai sākotnējā produktā. Tāpat visu laboratorijas paraugu var homogenizēt, lai iegūtu viendabīgāku testa paraugu, no kura pēc tam ņem attiecīgo analizējamo paraugu. Laboratorijas paraugu šai gadījumā var nākties samalt vai sasmalcināt.</w:t>
      </w:r>
    </w:p>
    <w:p w:rsidR="00270842" w:rsidRPr="001B6F3C" w:rsidRDefault="00270842" w:rsidP="004650EF">
      <w:pPr>
        <w:jc w:val="both"/>
        <w:rPr>
          <w:rFonts w:ascii="Times New Roman" w:eastAsia="Tahoma" w:hAnsi="Times New Roman" w:cs="Tahoma"/>
          <w:noProof/>
          <w:sz w:val="24"/>
          <w:szCs w:val="17"/>
        </w:rPr>
      </w:pPr>
    </w:p>
    <w:p w:rsidR="00270842" w:rsidRPr="00132A13" w:rsidRDefault="00132A13" w:rsidP="00531598">
      <w:pPr>
        <w:pStyle w:val="Heading1"/>
        <w:rPr>
          <w:rFonts w:cs="Tahoma"/>
          <w:noProof/>
          <w:szCs w:val="19"/>
        </w:rPr>
      </w:pPr>
      <w:bookmarkStart w:id="61" w:name="_Toc37931399"/>
      <w:r>
        <w:t xml:space="preserve">3.4.2.3. </w:t>
      </w:r>
      <w:r w:rsidRPr="00531598">
        <w:t>Mikrobioloģiskās</w:t>
      </w:r>
      <w:r>
        <w:t xml:space="preserve"> metodes </w:t>
      </w:r>
      <w:r>
        <w:rPr>
          <w:i/>
          <w:iCs/>
        </w:rPr>
        <w:t>L. monocytogenes</w:t>
      </w:r>
      <w:r>
        <w:t xml:space="preserve"> klātbūtnes noteikšanai un uzskaitīšanai svaigos ADG un saldētos ADG produktos</w:t>
      </w:r>
      <w:bookmarkEnd w:id="61"/>
    </w:p>
    <w:p w:rsidR="00270842" w:rsidRPr="001B6F3C" w:rsidRDefault="00270842" w:rsidP="004650EF">
      <w:pPr>
        <w:jc w:val="both"/>
        <w:rPr>
          <w:rFonts w:ascii="Times New Roman" w:eastAsia="Tahoma" w:hAnsi="Times New Roman" w:cs="Tahoma"/>
          <w:b/>
          <w:bCs/>
          <w:noProof/>
          <w:sz w:val="24"/>
          <w:szCs w:val="18"/>
        </w:rPr>
      </w:pPr>
    </w:p>
    <w:p w:rsidR="00270842" w:rsidRPr="001B6F3C" w:rsidRDefault="00270842" w:rsidP="004650EF">
      <w:pPr>
        <w:jc w:val="both"/>
        <w:rPr>
          <w:rFonts w:ascii="Times New Roman" w:hAnsi="Times New Roman"/>
          <w:i/>
          <w:noProof/>
          <w:sz w:val="24"/>
        </w:rPr>
      </w:pPr>
      <w:r>
        <w:rPr>
          <w:rFonts w:ascii="Times New Roman" w:hAnsi="Times New Roman"/>
          <w:i/>
          <w:sz w:val="24"/>
        </w:rPr>
        <w:t>Standartu metodes</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Saskaņā ar EN ISO 11290 standarta 1. daļu </w:t>
      </w:r>
      <w:r>
        <w:rPr>
          <w:rFonts w:ascii="Times New Roman" w:hAnsi="Times New Roman"/>
          <w:i/>
          <w:iCs/>
          <w:sz w:val="24"/>
        </w:rPr>
        <w:t>L. monocytogenes</w:t>
      </w:r>
      <w:r>
        <w:rPr>
          <w:rFonts w:ascii="Times New Roman" w:hAnsi="Times New Roman"/>
          <w:sz w:val="24"/>
        </w:rPr>
        <w:t xml:space="preserve"> klātbūtnes noteikšanai vajadzīgi četri secīgi posmi:</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132A13">
      <w:pPr>
        <w:pStyle w:val="BodyText"/>
        <w:numPr>
          <w:ilvl w:val="0"/>
          <w:numId w:val="8"/>
        </w:numPr>
        <w:ind w:left="709" w:hanging="283"/>
        <w:jc w:val="both"/>
        <w:rPr>
          <w:rFonts w:ascii="Times New Roman" w:hAnsi="Times New Roman"/>
          <w:noProof/>
          <w:sz w:val="24"/>
        </w:rPr>
      </w:pPr>
      <w:r>
        <w:rPr>
          <w:rFonts w:ascii="Times New Roman" w:hAnsi="Times New Roman"/>
          <w:sz w:val="24"/>
        </w:rPr>
        <w:t>primārā bagātināšana selektīvā šķidrā bagātināšanas vidē ar samazinātu selektīvo līdzekļu koncentrāciju (modificētajā Freizera [</w:t>
      </w:r>
      <w:r>
        <w:rPr>
          <w:rFonts w:ascii="Times New Roman" w:hAnsi="Times New Roman"/>
          <w:i/>
          <w:iCs/>
          <w:sz w:val="24"/>
        </w:rPr>
        <w:t>Fraser</w:t>
      </w:r>
      <w:r>
        <w:rPr>
          <w:rFonts w:ascii="Times New Roman" w:hAnsi="Times New Roman"/>
          <w:sz w:val="24"/>
        </w:rPr>
        <w:t>] maisījumā);</w:t>
      </w:r>
    </w:p>
    <w:p w:rsidR="00270842" w:rsidRPr="001B6F3C" w:rsidRDefault="00270842" w:rsidP="00132A13">
      <w:pPr>
        <w:pStyle w:val="BodyText"/>
        <w:numPr>
          <w:ilvl w:val="0"/>
          <w:numId w:val="8"/>
        </w:numPr>
        <w:ind w:left="709" w:hanging="283"/>
        <w:jc w:val="both"/>
        <w:rPr>
          <w:rFonts w:ascii="Times New Roman" w:hAnsi="Times New Roman"/>
          <w:noProof/>
          <w:sz w:val="24"/>
        </w:rPr>
      </w:pPr>
      <w:r>
        <w:rPr>
          <w:rFonts w:ascii="Times New Roman" w:hAnsi="Times New Roman"/>
          <w:sz w:val="24"/>
        </w:rPr>
        <w:t>sekundārā bagātināšana selektīvā šķidrā bagātināšanas vidē ar selektīvo līdzekļu pilnu koncentrāciju (Freizera maisījumā);</w:t>
      </w:r>
    </w:p>
    <w:p w:rsidR="00270842" w:rsidRPr="001B6F3C" w:rsidRDefault="00270842" w:rsidP="00132A13">
      <w:pPr>
        <w:pStyle w:val="BodyText"/>
        <w:numPr>
          <w:ilvl w:val="0"/>
          <w:numId w:val="8"/>
        </w:numPr>
        <w:ind w:left="709" w:hanging="283"/>
        <w:jc w:val="both"/>
        <w:rPr>
          <w:rFonts w:ascii="Times New Roman" w:hAnsi="Times New Roman"/>
          <w:noProof/>
          <w:sz w:val="24"/>
        </w:rPr>
      </w:pPr>
      <w:r>
        <w:rPr>
          <w:rFonts w:ascii="Times New Roman" w:hAnsi="Times New Roman"/>
          <w:sz w:val="24"/>
        </w:rPr>
        <w:t>uzsēšana trauciņā un identifikācija selektīvās, diferenciālās un hromogenās barotnēs;</w:t>
      </w:r>
    </w:p>
    <w:p w:rsidR="00270842" w:rsidRPr="001B6F3C" w:rsidRDefault="00270842" w:rsidP="00132A13">
      <w:pPr>
        <w:numPr>
          <w:ilvl w:val="0"/>
          <w:numId w:val="8"/>
        </w:numPr>
        <w:ind w:left="709" w:hanging="283"/>
        <w:jc w:val="both"/>
        <w:rPr>
          <w:rFonts w:ascii="Times New Roman" w:hAnsi="Times New Roman"/>
          <w:i/>
          <w:noProof/>
          <w:sz w:val="24"/>
        </w:rPr>
      </w:pPr>
      <w:r>
        <w:rPr>
          <w:rFonts w:ascii="Times New Roman" w:hAnsi="Times New Roman"/>
          <w:sz w:val="24"/>
        </w:rPr>
        <w:t xml:space="preserve">varbūtējo </w:t>
      </w:r>
      <w:r>
        <w:rPr>
          <w:rFonts w:ascii="Times New Roman" w:hAnsi="Times New Roman"/>
          <w:i/>
          <w:sz w:val="24"/>
        </w:rPr>
        <w:t>L. monocytogenes</w:t>
      </w:r>
      <w:r>
        <w:rPr>
          <w:rFonts w:ascii="Times New Roman" w:hAnsi="Times New Roman"/>
          <w:sz w:val="24"/>
        </w:rPr>
        <w:t xml:space="preserve"> apstiprināšana.</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Šis standarts ir apstiprināts 25 g lieliem analizējamiem paraugiem. Var izmantot lielākus analizējamos paraugus, ja validācijas/verifikācijas pētījumi liecina, ka lielāks analizējamais paraugs neietekmē </w:t>
      </w:r>
      <w:r>
        <w:rPr>
          <w:rFonts w:ascii="Times New Roman" w:hAnsi="Times New Roman"/>
          <w:i/>
          <w:sz w:val="24"/>
        </w:rPr>
        <w:t>L. monocytogenes</w:t>
      </w:r>
      <w:r>
        <w:rPr>
          <w:rFonts w:ascii="Times New Roman" w:hAnsi="Times New Roman"/>
          <w:sz w:val="24"/>
        </w:rPr>
        <w:t xml:space="preserve"> noteikšanu negatīvi. Ietekmi, ko rada lielāka izmēra </w:t>
      </w:r>
      <w:r>
        <w:rPr>
          <w:rFonts w:ascii="Times New Roman" w:hAnsi="Times New Roman"/>
          <w:sz w:val="24"/>
        </w:rPr>
        <w:lastRenderedPageBreak/>
        <w:t>analizējamo paraugu izmantošana vai analizējamo paraugu apvienošana, var verificēt atbilstoši protokolam, kas aprakstīts standarta EN ISO 6887-1:2017 D pielikumā (verifikācijas protokols paraugu apvienošanai kvalitatīvu testu veikšanai).</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132A13">
      <w:pPr>
        <w:pStyle w:val="BodyText"/>
        <w:ind w:left="0"/>
        <w:jc w:val="both"/>
        <w:rPr>
          <w:rFonts w:ascii="Times New Roman" w:hAnsi="Times New Roman" w:cs="Tahoma"/>
          <w:noProof/>
          <w:sz w:val="24"/>
        </w:rPr>
      </w:pPr>
      <w:r>
        <w:rPr>
          <w:rFonts w:ascii="Times New Roman" w:hAnsi="Times New Roman"/>
          <w:sz w:val="24"/>
        </w:rPr>
        <w:t xml:space="preserve">Izolātus, kas apstiprināti kā </w:t>
      </w:r>
      <w:r>
        <w:rPr>
          <w:rFonts w:ascii="Times New Roman" w:hAnsi="Times New Roman"/>
          <w:i/>
          <w:sz w:val="24"/>
        </w:rPr>
        <w:t>L. monocytogenes</w:t>
      </w:r>
      <w:r>
        <w:rPr>
          <w:rFonts w:ascii="Times New Roman" w:hAnsi="Times New Roman"/>
          <w:sz w:val="24"/>
        </w:rPr>
        <w:t xml:space="preserve">, var nosūtīt tālākai raksturošanai (tipa noteikšanai) uz atzītu valsts references laboratoriju (VRL) vai Eiropas References laboratoriju </w:t>
      </w:r>
      <w:r>
        <w:rPr>
          <w:rFonts w:ascii="Times New Roman" w:hAnsi="Times New Roman"/>
          <w:i/>
          <w:sz w:val="24"/>
        </w:rPr>
        <w:t>L. monocytogenes</w:t>
      </w:r>
      <w:r>
        <w:rPr>
          <w:rFonts w:ascii="Times New Roman" w:hAnsi="Times New Roman"/>
          <w:sz w:val="24"/>
        </w:rPr>
        <w:t xml:space="preserve"> monitoringam (EURL </w:t>
      </w:r>
      <w:r>
        <w:rPr>
          <w:rFonts w:ascii="Times New Roman" w:hAnsi="Times New Roman"/>
          <w:i/>
          <w:iCs/>
          <w:sz w:val="24"/>
        </w:rPr>
        <w:t>L. monocytogenes</w:t>
      </w:r>
      <w:r>
        <w:rPr>
          <w:rFonts w:ascii="Times New Roman" w:hAnsi="Times New Roman"/>
          <w:sz w:val="24"/>
        </w:rPr>
        <w:t>).</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Lai raksturotu </w:t>
      </w:r>
      <w:r>
        <w:rPr>
          <w:rFonts w:ascii="Times New Roman" w:hAnsi="Times New Roman"/>
          <w:i/>
          <w:sz w:val="24"/>
        </w:rPr>
        <w:t>L. monocytogenes</w:t>
      </w:r>
      <w:r>
        <w:rPr>
          <w:rFonts w:ascii="Times New Roman" w:hAnsi="Times New Roman"/>
          <w:sz w:val="24"/>
        </w:rPr>
        <w:t xml:space="preserve"> koncentrāciju produktā, var izmantot uzskaitīšanas metodi. Uzskaitīšanai iesaka izmantot Eiropas un starptautiskā standarta EN ISO 11290-2 metodi </w:t>
      </w:r>
      <w:r>
        <w:rPr>
          <w:rFonts w:ascii="Times New Roman" w:hAnsi="Times New Roman"/>
          <w:i/>
          <w:iCs/>
          <w:sz w:val="24"/>
        </w:rPr>
        <w:t>L. monocytogenes</w:t>
      </w:r>
      <w:r>
        <w:rPr>
          <w:rFonts w:ascii="Times New Roman" w:hAnsi="Times New Roman"/>
          <w:sz w:val="24"/>
        </w:rPr>
        <w:t xml:space="preserve"> uzskaitīšanai pārtikā.</w:t>
      </w:r>
    </w:p>
    <w:p w:rsidR="00132A13" w:rsidRPr="001B6F3C"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Saskaņā ar standartu EN ISO 11290-2 </w:t>
      </w:r>
      <w:r>
        <w:rPr>
          <w:rFonts w:ascii="Times New Roman" w:hAnsi="Times New Roman"/>
          <w:i/>
          <w:sz w:val="24"/>
        </w:rPr>
        <w:t>L. monocytogenes</w:t>
      </w:r>
      <w:r>
        <w:rPr>
          <w:rFonts w:ascii="Times New Roman" w:hAnsi="Times New Roman"/>
          <w:sz w:val="24"/>
        </w:rPr>
        <w:t xml:space="preserve"> uzskaitīšanai jāveic pieci secīgi posmi:</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132A13">
      <w:pPr>
        <w:pStyle w:val="BodyText"/>
        <w:numPr>
          <w:ilvl w:val="2"/>
          <w:numId w:val="11"/>
        </w:numPr>
        <w:ind w:left="709" w:hanging="283"/>
        <w:jc w:val="both"/>
        <w:rPr>
          <w:rFonts w:ascii="Times New Roman" w:hAnsi="Times New Roman"/>
          <w:noProof/>
          <w:sz w:val="24"/>
        </w:rPr>
      </w:pPr>
      <w:r>
        <w:rPr>
          <w:rFonts w:ascii="Times New Roman" w:hAnsi="Times New Roman"/>
          <w:sz w:val="24"/>
        </w:rPr>
        <w:t>sākotnējās suspensijas pagatavošana piemērotā atšķaidītājā;</w:t>
      </w:r>
    </w:p>
    <w:p w:rsidR="00270842" w:rsidRPr="001B6F3C" w:rsidRDefault="00270842" w:rsidP="00132A13">
      <w:pPr>
        <w:pStyle w:val="BodyText"/>
        <w:numPr>
          <w:ilvl w:val="2"/>
          <w:numId w:val="11"/>
        </w:numPr>
        <w:ind w:left="709" w:hanging="283"/>
        <w:jc w:val="both"/>
        <w:rPr>
          <w:rFonts w:ascii="Times New Roman" w:hAnsi="Times New Roman"/>
          <w:noProof/>
          <w:sz w:val="24"/>
        </w:rPr>
      </w:pPr>
      <w:r>
        <w:rPr>
          <w:rFonts w:ascii="Times New Roman" w:hAnsi="Times New Roman"/>
          <w:sz w:val="24"/>
        </w:rPr>
        <w:t>virsmas uzsēšana trauciņā uz listēriju agara saskaņā ar Otaviani [</w:t>
      </w:r>
      <w:r>
        <w:rPr>
          <w:rFonts w:ascii="Times New Roman" w:hAnsi="Times New Roman"/>
          <w:i/>
          <w:iCs/>
          <w:sz w:val="24"/>
        </w:rPr>
        <w:t>Ottaviani</w:t>
      </w:r>
      <w:r>
        <w:rPr>
          <w:rFonts w:ascii="Times New Roman" w:hAnsi="Times New Roman"/>
          <w:sz w:val="24"/>
        </w:rPr>
        <w:t>] un Agosti [</w:t>
      </w:r>
      <w:r>
        <w:rPr>
          <w:rFonts w:ascii="Times New Roman" w:hAnsi="Times New Roman"/>
          <w:i/>
          <w:iCs/>
          <w:sz w:val="24"/>
        </w:rPr>
        <w:t>Agosti</w:t>
      </w:r>
      <w:r>
        <w:rPr>
          <w:rFonts w:ascii="Times New Roman" w:hAnsi="Times New Roman"/>
          <w:sz w:val="24"/>
        </w:rPr>
        <w:t>] (</w:t>
      </w:r>
      <w:r>
        <w:rPr>
          <w:rFonts w:ascii="Times New Roman" w:hAnsi="Times New Roman"/>
          <w:i/>
          <w:iCs/>
          <w:sz w:val="24"/>
        </w:rPr>
        <w:t>ALOA</w:t>
      </w:r>
      <w:r>
        <w:rPr>
          <w:rFonts w:ascii="Times New Roman" w:hAnsi="Times New Roman"/>
          <w:sz w:val="24"/>
        </w:rPr>
        <w:t>);</w:t>
      </w:r>
    </w:p>
    <w:p w:rsidR="00270842" w:rsidRPr="001B6F3C" w:rsidRDefault="00270842" w:rsidP="00132A13">
      <w:pPr>
        <w:pStyle w:val="BodyText"/>
        <w:numPr>
          <w:ilvl w:val="2"/>
          <w:numId w:val="11"/>
        </w:numPr>
        <w:ind w:left="709" w:hanging="283"/>
        <w:jc w:val="both"/>
        <w:rPr>
          <w:rFonts w:ascii="Times New Roman" w:hAnsi="Times New Roman"/>
          <w:noProof/>
          <w:sz w:val="24"/>
        </w:rPr>
      </w:pPr>
      <w:r>
        <w:rPr>
          <w:rFonts w:ascii="Times New Roman" w:hAnsi="Times New Roman"/>
          <w:sz w:val="24"/>
        </w:rPr>
        <w:t>Petri trauciņu inkubācija;</w:t>
      </w:r>
    </w:p>
    <w:p w:rsidR="00270842" w:rsidRPr="001B6F3C" w:rsidRDefault="00270842" w:rsidP="00132A13">
      <w:pPr>
        <w:pStyle w:val="BodyText"/>
        <w:numPr>
          <w:ilvl w:val="2"/>
          <w:numId w:val="11"/>
        </w:numPr>
        <w:ind w:left="709" w:hanging="283"/>
        <w:jc w:val="both"/>
        <w:rPr>
          <w:rFonts w:ascii="Times New Roman" w:hAnsi="Times New Roman"/>
          <w:noProof/>
          <w:sz w:val="24"/>
        </w:rPr>
      </w:pPr>
      <w:r>
        <w:rPr>
          <w:rFonts w:ascii="Times New Roman" w:hAnsi="Times New Roman"/>
          <w:sz w:val="24"/>
        </w:rPr>
        <w:t>varbūtējo koloniju apstiprināšana;</w:t>
      </w:r>
    </w:p>
    <w:p w:rsidR="00270842" w:rsidRDefault="00270842" w:rsidP="00132A13">
      <w:pPr>
        <w:pStyle w:val="BodyText"/>
        <w:numPr>
          <w:ilvl w:val="2"/>
          <w:numId w:val="11"/>
        </w:numPr>
        <w:ind w:left="709" w:hanging="283"/>
        <w:jc w:val="both"/>
        <w:rPr>
          <w:rFonts w:ascii="Times New Roman" w:hAnsi="Times New Roman"/>
          <w:noProof/>
          <w:sz w:val="24"/>
        </w:rPr>
      </w:pPr>
      <w:r>
        <w:rPr>
          <w:rFonts w:ascii="Times New Roman" w:hAnsi="Times New Roman"/>
          <w:i/>
          <w:sz w:val="24"/>
        </w:rPr>
        <w:t>L. monocytogenes</w:t>
      </w:r>
      <w:r>
        <w:rPr>
          <w:rFonts w:ascii="Times New Roman" w:hAnsi="Times New Roman"/>
          <w:sz w:val="24"/>
        </w:rPr>
        <w:t xml:space="preserve"> skaita aprēķināšana uz gramu, pamatojoties uz apstiprināto koloniju skaitu.</w:t>
      </w:r>
    </w:p>
    <w:p w:rsidR="00132A13" w:rsidRPr="001B6F3C" w:rsidRDefault="00132A13" w:rsidP="00132A13">
      <w:pPr>
        <w:pStyle w:val="BodyText"/>
        <w:ind w:left="0"/>
        <w:jc w:val="both"/>
        <w:rPr>
          <w:rFonts w:ascii="Times New Roman" w:hAnsi="Times New Roman"/>
          <w:noProof/>
          <w:sz w:val="24"/>
        </w:rPr>
      </w:pPr>
    </w:p>
    <w:p w:rsidR="00270842" w:rsidRPr="001B6F3C" w:rsidRDefault="00132A13" w:rsidP="00531598">
      <w:pPr>
        <w:pStyle w:val="Heading1"/>
        <w:rPr>
          <w:rFonts w:cs="Tahoma"/>
          <w:noProof/>
          <w:szCs w:val="20"/>
        </w:rPr>
      </w:pPr>
      <w:bookmarkStart w:id="62" w:name="_TOC_250007"/>
      <w:bookmarkStart w:id="63" w:name="_Toc37931400"/>
      <w:r>
        <w:t xml:space="preserve">3.4.3. </w:t>
      </w:r>
      <w:r>
        <w:rPr>
          <w:i/>
        </w:rPr>
        <w:t>L. monocytogenes</w:t>
      </w:r>
      <w:r>
        <w:t xml:space="preserve"> monitorings ADG saldētavu un </w:t>
      </w:r>
      <w:r w:rsidRPr="00531598">
        <w:t>apstrādes</w:t>
      </w:r>
      <w:r>
        <w:t xml:space="preserve"> un pārkraušanas vietu vidē (tostarp apstrādei izmantotajā ūdenī)</w:t>
      </w:r>
      <w:bookmarkEnd w:id="62"/>
      <w:bookmarkEnd w:id="63"/>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Saskaņā ar EK Regulas 2073/2005</w:t>
      </w:r>
      <w:r w:rsidR="00132A13">
        <w:rPr>
          <w:rStyle w:val="FootnoteReference"/>
          <w:rFonts w:ascii="Times New Roman" w:hAnsi="Times New Roman" w:cs="Tahoma"/>
          <w:noProof/>
          <w:sz w:val="24"/>
        </w:rPr>
        <w:footnoteReference w:id="4"/>
      </w:r>
      <w:r>
        <w:rPr>
          <w:rFonts w:ascii="Times New Roman" w:hAnsi="Times New Roman"/>
          <w:sz w:val="24"/>
        </w:rPr>
        <w:t xml:space="preserve"> prasībām paraugus ņem no pārstrādes vietām un pārtikas ražošanā izmantotajām iekārtām, ja šāda paraugu ņemšana ir vajadzīga, lai nodrošinātu mikrobioloģisko kritēriju ievērošanu. Vides paraugu ņemšanai kā standartmetodi paraugu ņemšanai no kontaktvirsmām, kas ir saskarē ar pārtiku, piemēro standartu EN ISO 18593. Analīzes </w:t>
      </w:r>
      <w:r>
        <w:rPr>
          <w:rFonts w:ascii="Times New Roman" w:hAnsi="Times New Roman"/>
          <w:i/>
          <w:sz w:val="24"/>
        </w:rPr>
        <w:t>L. monocytogenes</w:t>
      </w:r>
      <w:r>
        <w:rPr>
          <w:rFonts w:ascii="Times New Roman" w:hAnsi="Times New Roman"/>
          <w:sz w:val="24"/>
        </w:rPr>
        <w:t xml:space="preserve"> klātbūtnes noteikšanai veic saskaņā ar standarta EN ISO 11290-1 metodi. Turklāt Eiropas Savienības References laboratorija (</w:t>
      </w:r>
      <w:r>
        <w:rPr>
          <w:rFonts w:ascii="Times New Roman" w:hAnsi="Times New Roman"/>
          <w:i/>
          <w:iCs/>
          <w:sz w:val="24"/>
        </w:rPr>
        <w:t>EURL</w:t>
      </w:r>
      <w:r>
        <w:rPr>
          <w:rFonts w:ascii="Times New Roman" w:hAnsi="Times New Roman"/>
          <w:sz w:val="24"/>
        </w:rPr>
        <w:t xml:space="preserve">) </w:t>
      </w:r>
      <w:r>
        <w:rPr>
          <w:rFonts w:ascii="Times New Roman" w:hAnsi="Times New Roman"/>
          <w:i/>
          <w:iCs/>
          <w:sz w:val="24"/>
        </w:rPr>
        <w:t>L. monocytogenes</w:t>
      </w:r>
      <w:r>
        <w:rPr>
          <w:rFonts w:ascii="Times New Roman" w:hAnsi="Times New Roman"/>
          <w:sz w:val="24"/>
        </w:rPr>
        <w:t xml:space="preserve"> monitoringam ir izstrādājusi dokumentu ar norādījumiem par paraugu ņemšanu no pārstrādes vietām īpaši </w:t>
      </w:r>
      <w:r>
        <w:rPr>
          <w:rFonts w:ascii="Times New Roman" w:hAnsi="Times New Roman"/>
          <w:i/>
          <w:sz w:val="24"/>
        </w:rPr>
        <w:t>L. monocytogenes</w:t>
      </w:r>
      <w:r>
        <w:rPr>
          <w:rFonts w:ascii="Times New Roman" w:hAnsi="Times New Roman"/>
          <w:sz w:val="24"/>
        </w:rPr>
        <w:t xml:space="preserve"> vajadzībām (EURL </w:t>
      </w:r>
      <w:r>
        <w:rPr>
          <w:rFonts w:ascii="Times New Roman" w:hAnsi="Times New Roman"/>
          <w:i/>
          <w:iCs/>
          <w:sz w:val="24"/>
        </w:rPr>
        <w:t>L. monocytogenes</w:t>
      </w:r>
      <w:r>
        <w:rPr>
          <w:rFonts w:ascii="Times New Roman" w:hAnsi="Times New Roman"/>
          <w:sz w:val="24"/>
        </w:rPr>
        <w:t>, 2012).</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Pārtikas apritē iesaistītajiem tirgus dalībniekiem, kas ražo svaigus vai saldētus ADG, kuri var radīt potenciālu </w:t>
      </w:r>
      <w:r>
        <w:rPr>
          <w:rFonts w:ascii="Times New Roman" w:hAnsi="Times New Roman"/>
          <w:i/>
          <w:sz w:val="24"/>
        </w:rPr>
        <w:t>L. monocytogenes</w:t>
      </w:r>
      <w:r>
        <w:rPr>
          <w:rFonts w:ascii="Times New Roman" w:hAnsi="Times New Roman"/>
          <w:sz w:val="24"/>
        </w:rPr>
        <w:t xml:space="preserve"> apdraudējumu sabiedrības veselībai, paraugu ņemšanas shēmā </w:t>
      </w:r>
      <w:r>
        <w:rPr>
          <w:rFonts w:ascii="Times New Roman" w:hAnsi="Times New Roman"/>
          <w:i/>
          <w:iCs/>
          <w:sz w:val="24"/>
        </w:rPr>
        <w:t>Listeria monocytogenes</w:t>
      </w:r>
      <w:r>
        <w:rPr>
          <w:rFonts w:ascii="Times New Roman" w:hAnsi="Times New Roman"/>
          <w:sz w:val="24"/>
        </w:rPr>
        <w:t xml:space="preserve"> noteikšanai ir jāiekļauj ražošanas platības un iekārtas. Kā apskatīts 3. sadaļas 4. punktā, šeit aprakstītā monitoringa mērķis ir izsekot piesārņojuma mikrobioloģisko avotu (</w:t>
      </w:r>
      <w:r>
        <w:rPr>
          <w:rFonts w:ascii="Times New Roman" w:hAnsi="Times New Roman"/>
          <w:i/>
          <w:iCs/>
          <w:sz w:val="24"/>
        </w:rPr>
        <w:t>MST</w:t>
      </w:r>
      <w:r>
        <w:rPr>
          <w:rFonts w:ascii="Times New Roman" w:hAnsi="Times New Roman"/>
          <w:sz w:val="24"/>
        </w:rPr>
        <w:t xml:space="preserve">) un noteikt potenciālās </w:t>
      </w:r>
      <w:r>
        <w:rPr>
          <w:rFonts w:ascii="Times New Roman" w:hAnsi="Times New Roman"/>
          <w:i/>
          <w:sz w:val="24"/>
        </w:rPr>
        <w:t>L. monocytogenes</w:t>
      </w:r>
      <w:r>
        <w:rPr>
          <w:rFonts w:ascii="Times New Roman" w:hAnsi="Times New Roman"/>
          <w:sz w:val="24"/>
        </w:rPr>
        <w:t xml:space="preserve"> atrašanās vietas saldētavās vai apstrādes un pārkraušanas vietās.</w:t>
      </w:r>
    </w:p>
    <w:p w:rsidR="00270842" w:rsidRPr="001B6F3C" w:rsidRDefault="00270842" w:rsidP="004650EF">
      <w:pPr>
        <w:jc w:val="both"/>
        <w:rPr>
          <w:rFonts w:ascii="Times New Roman" w:eastAsia="Tahoma" w:hAnsi="Times New Roman" w:cs="Tahoma"/>
          <w:noProof/>
          <w:sz w:val="24"/>
          <w:szCs w:val="19"/>
        </w:rPr>
      </w:pPr>
    </w:p>
    <w:p w:rsidR="00270842" w:rsidRPr="001B6F3C" w:rsidRDefault="00132A13" w:rsidP="00531598">
      <w:pPr>
        <w:pStyle w:val="Heading1"/>
        <w:rPr>
          <w:noProof/>
        </w:rPr>
      </w:pPr>
      <w:bookmarkStart w:id="64" w:name="_TOC_250006"/>
      <w:bookmarkStart w:id="65" w:name="_Toc37931401"/>
      <w:r>
        <w:t>3.4.3.1. Paraugu ņemšanas procedūra no kontaktvirsmām, kas ir saskarē ar pārtiku, un citām kontaktvirsmām (EN ISO 18593)</w:t>
      </w:r>
      <w:bookmarkEnd w:id="64"/>
      <w:bookmarkEnd w:id="65"/>
    </w:p>
    <w:p w:rsidR="00132A13"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Paraugu ņemšanas vietas un zonas, paraugu ņemšanas laiks un paraugu ņemšanas metodes jāizvēlas saskaņā ar riskā balstītiem principiem, un izvēlei jābūt saistītai ar augstāku virsmas piesārņojuma atklāšanas varbūtību pārtikas pārstrādes laikā, attiecīgi nosakot sanitāro </w:t>
      </w:r>
      <w:r>
        <w:rPr>
          <w:rFonts w:ascii="Times New Roman" w:hAnsi="Times New Roman"/>
          <w:sz w:val="24"/>
        </w:rPr>
        <w:lastRenderedPageBreak/>
        <w:t>noteikumu ievērošanu konkrētos ražošanas posmos vai visā procesā.</w:t>
      </w:r>
    </w:p>
    <w:p w:rsidR="00270842" w:rsidRPr="001B6F3C" w:rsidRDefault="00270842" w:rsidP="004650EF">
      <w:pPr>
        <w:jc w:val="both"/>
        <w:rPr>
          <w:rFonts w:ascii="Times New Roman" w:eastAsia="Tahoma" w:hAnsi="Times New Roman" w:cs="Tahoma"/>
          <w:noProof/>
          <w:sz w:val="24"/>
          <w:szCs w:val="17"/>
        </w:rPr>
      </w:pPr>
    </w:p>
    <w:p w:rsidR="00270842" w:rsidRPr="001B6F3C" w:rsidRDefault="00270842" w:rsidP="004650EF">
      <w:pPr>
        <w:jc w:val="both"/>
        <w:rPr>
          <w:rFonts w:ascii="Times New Roman" w:hAnsi="Times New Roman"/>
          <w:i/>
          <w:noProof/>
          <w:sz w:val="24"/>
        </w:rPr>
      </w:pPr>
      <w:r>
        <w:rPr>
          <w:rFonts w:ascii="Times New Roman" w:hAnsi="Times New Roman"/>
          <w:i/>
          <w:sz w:val="24"/>
        </w:rPr>
        <w:t>Paraugu ņemšanas vieta</w:t>
      </w:r>
    </w:p>
    <w:p w:rsidR="00132A13" w:rsidRDefault="00132A13" w:rsidP="004650EF">
      <w:pPr>
        <w:pStyle w:val="BodyText"/>
        <w:ind w:left="0"/>
        <w:jc w:val="both"/>
        <w:rPr>
          <w:rFonts w:ascii="Times New Roman" w:hAnsi="Times New Roman"/>
          <w:i/>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i/>
          <w:iCs/>
          <w:sz w:val="24"/>
        </w:rPr>
        <w:t>L. monocytogenes</w:t>
      </w:r>
      <w:r>
        <w:rPr>
          <w:rFonts w:ascii="Times New Roman" w:hAnsi="Times New Roman"/>
          <w:sz w:val="24"/>
        </w:rPr>
        <w:t xml:space="preserve"> var atrast uz vizuāli tīrām virsmām, bet visbiežāk šīs baktērijas sastopamas mitrās un netīrās vietās, kur tās spēj vairoties un saglabāties (Carpentier un Cerf, 2011).</w:t>
      </w:r>
    </w:p>
    <w:p w:rsidR="00132A13" w:rsidRPr="001B6F3C" w:rsidRDefault="00132A13" w:rsidP="004650EF">
      <w:pPr>
        <w:pStyle w:val="BodyText"/>
        <w:ind w:left="0"/>
        <w:jc w:val="both"/>
        <w:rPr>
          <w:rFonts w:ascii="Times New Roman" w:hAnsi="Times New Roman"/>
          <w:noProof/>
          <w:sz w:val="24"/>
        </w:rPr>
      </w:pPr>
    </w:p>
    <w:p w:rsidR="00270842" w:rsidRDefault="00132A13" w:rsidP="00132A13">
      <w:pPr>
        <w:pStyle w:val="BodyText"/>
        <w:tabs>
          <w:tab w:val="left" w:pos="345"/>
        </w:tabs>
        <w:ind w:left="0"/>
        <w:jc w:val="both"/>
        <w:rPr>
          <w:rFonts w:ascii="Times New Roman" w:hAnsi="Times New Roman"/>
          <w:noProof/>
          <w:sz w:val="24"/>
        </w:rPr>
      </w:pPr>
      <w:r>
        <w:rPr>
          <w:rFonts w:ascii="Times New Roman" w:hAnsi="Times New Roman"/>
          <w:i/>
          <w:iCs/>
          <w:sz w:val="24"/>
        </w:rPr>
        <w:t>L. monocytogenes</w:t>
      </w:r>
      <w:r>
        <w:rPr>
          <w:rFonts w:ascii="Times New Roman" w:hAnsi="Times New Roman"/>
          <w:sz w:val="24"/>
        </w:rPr>
        <w:t xml:space="preserve"> baktērijas atrod PPV nišas, kur tās var saglabāties; šie kritiski svarīgie punkti var būt arī uz slēptām vai nepieejamām aprīkojuma virsmām (MAF, 2011). Mikroorganismu potenciālās patvēruma vietas, no kurām jāņem paraugi, ir grūti sasniedzamas vietas, piemēram, atvērumi vai plaisas iekārtās ar šķiedrainu, porainu, grūti tīrāmu virsmu, rūsējoši un dobi materiāli. Nepieejamās vietās, kurās var sakrāties pārtikas atliekas, var rasties grūtības, vācot paraugus. Paraugu ņemšana no šīm vietām jāveic pēc iekārtu demontāžas, piesaistot pārtikas apritē iesaistītā tirgus dalībnieka tehnisko darbinieku grupu.</w:t>
      </w:r>
    </w:p>
    <w:p w:rsidR="00132A13" w:rsidRPr="001B6F3C" w:rsidRDefault="00132A13" w:rsidP="00132A13">
      <w:pPr>
        <w:pStyle w:val="BodyText"/>
        <w:tabs>
          <w:tab w:val="left" w:pos="345"/>
        </w:tabs>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Paraugu ņemšanas vietu izvēlas saskaņā ar pagātnē gūtajiem datiem saistībā ar katru no vietām un pēc procesa pakāpeniskas pārbaudes.</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Trešās sadaļas 3. punkta 1. tabulā ir apkopoti potenciālie </w:t>
      </w:r>
      <w:r>
        <w:rPr>
          <w:rFonts w:ascii="Times New Roman" w:hAnsi="Times New Roman"/>
          <w:i/>
          <w:iCs/>
          <w:sz w:val="24"/>
        </w:rPr>
        <w:t>L. monocytogenes</w:t>
      </w:r>
      <w:r>
        <w:rPr>
          <w:rFonts w:ascii="Times New Roman" w:hAnsi="Times New Roman"/>
          <w:sz w:val="24"/>
        </w:rPr>
        <w:t xml:space="preserve"> piesārņojuma avoti ADG saldētavās un saldēto ADG apstrādes un pārkraušanas vietās. 1. tabulā minētās kontaktvirsmas, kas ir saskarē ar pārtiku, un citas kontaktvirsmas ir paraugu ņemšanas vietas, kur </w:t>
      </w:r>
      <w:r>
        <w:rPr>
          <w:rFonts w:ascii="Times New Roman" w:hAnsi="Times New Roman"/>
          <w:i/>
          <w:iCs/>
          <w:sz w:val="24"/>
        </w:rPr>
        <w:t>L. monocytogenes</w:t>
      </w:r>
      <w:r>
        <w:rPr>
          <w:rFonts w:ascii="Times New Roman" w:hAnsi="Times New Roman"/>
          <w:sz w:val="24"/>
        </w:rPr>
        <w:t xml:space="preserve"> uzkrājas un/vai var izraisīt potenciālu savstarpējo piesārņošanos, kas nonāk pārtikas produktos.</w:t>
      </w:r>
    </w:p>
    <w:p w:rsidR="00270842" w:rsidRPr="001B6F3C" w:rsidRDefault="00270842" w:rsidP="004650EF">
      <w:pPr>
        <w:jc w:val="both"/>
        <w:rPr>
          <w:rFonts w:ascii="Times New Roman" w:eastAsia="Tahoma" w:hAnsi="Times New Roman" w:cs="Tahoma"/>
          <w:noProof/>
          <w:sz w:val="24"/>
          <w:szCs w:val="18"/>
        </w:rPr>
      </w:pPr>
    </w:p>
    <w:p w:rsidR="00270842" w:rsidRPr="001B6F3C" w:rsidRDefault="00270842" w:rsidP="004650EF">
      <w:pPr>
        <w:jc w:val="both"/>
        <w:rPr>
          <w:rFonts w:ascii="Times New Roman" w:hAnsi="Times New Roman"/>
          <w:i/>
          <w:noProof/>
          <w:sz w:val="24"/>
        </w:rPr>
      </w:pPr>
      <w:r>
        <w:rPr>
          <w:rFonts w:ascii="Times New Roman" w:hAnsi="Times New Roman"/>
          <w:i/>
          <w:sz w:val="24"/>
        </w:rPr>
        <w:t>Paraugu ņemšanas zona</w:t>
      </w:r>
    </w:p>
    <w:p w:rsidR="00132A13"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Ja vieta ir pieejama, kopējam paraugu ņemšanas laukumam </w:t>
      </w:r>
      <w:r>
        <w:rPr>
          <w:rFonts w:ascii="Times New Roman" w:hAnsi="Times New Roman"/>
          <w:i/>
          <w:iCs/>
          <w:sz w:val="24"/>
        </w:rPr>
        <w:t>L. monocytogenes</w:t>
      </w:r>
      <w:r>
        <w:rPr>
          <w:rFonts w:ascii="Times New Roman" w:hAnsi="Times New Roman"/>
          <w:sz w:val="24"/>
        </w:rPr>
        <w:t xml:space="preserve"> noteikšanai jābūt pēc iespējas lielākam, lai palielinātu šī mikroorganisma atklāšanas iespējamību. Tāpēc lielu un pieejamu virsmu gadījumā iesaka ņemt paraugus laukumā no 1000 cm² līdz 3000 cm² (t. i., no 0,1 m</w:t>
      </w:r>
      <w:r>
        <w:rPr>
          <w:rFonts w:ascii="Times New Roman" w:hAnsi="Times New Roman"/>
          <w:sz w:val="24"/>
          <w:vertAlign w:val="superscript"/>
        </w:rPr>
        <w:t>2</w:t>
      </w:r>
      <w:r>
        <w:rPr>
          <w:rFonts w:ascii="Times New Roman" w:hAnsi="Times New Roman"/>
          <w:sz w:val="24"/>
        </w:rPr>
        <w:t xml:space="preserve"> līdz 0,3 m</w:t>
      </w:r>
      <w:r>
        <w:rPr>
          <w:rFonts w:ascii="Times New Roman" w:hAnsi="Times New Roman"/>
          <w:sz w:val="24"/>
          <w:vertAlign w:val="superscript"/>
        </w:rPr>
        <w:t>2</w:t>
      </w:r>
      <w:r>
        <w:rPr>
          <w:rFonts w:ascii="Times New Roman" w:hAnsi="Times New Roman"/>
          <w:sz w:val="24"/>
        </w:rPr>
        <w:t>). No grūti sasniedzamām vai mazām vietām paraugus ņem pēc iespējas aptuveni 100 cm</w:t>
      </w:r>
      <w:r>
        <w:rPr>
          <w:rFonts w:ascii="Times New Roman" w:hAnsi="Times New Roman"/>
          <w:sz w:val="24"/>
          <w:vertAlign w:val="superscript"/>
        </w:rPr>
        <w:t>2</w:t>
      </w:r>
      <w:r>
        <w:rPr>
          <w:rFonts w:ascii="Times New Roman" w:hAnsi="Times New Roman"/>
          <w:sz w:val="24"/>
        </w:rPr>
        <w:t xml:space="preserve"> lielā laukumā, izmantojot vates kociņu. Tomēr jāņem vērā, ka daudzas paraugu ņemšanas vietas var nebūt kvadrātveida laukumi, turklāt dažviet paraugi jāņem no šaurām plaisām vairāku metru garumā.</w:t>
      </w:r>
    </w:p>
    <w:p w:rsidR="00270842" w:rsidRPr="001B6F3C" w:rsidRDefault="00270842" w:rsidP="004650EF">
      <w:pPr>
        <w:jc w:val="both"/>
        <w:rPr>
          <w:rFonts w:ascii="Times New Roman" w:hAnsi="Times New Roman"/>
          <w:noProof/>
          <w:sz w:val="24"/>
        </w:rPr>
      </w:pPr>
    </w:p>
    <w:p w:rsidR="00270842" w:rsidRPr="001B6F3C" w:rsidRDefault="00270842" w:rsidP="004650EF">
      <w:pPr>
        <w:jc w:val="both"/>
        <w:rPr>
          <w:rFonts w:ascii="Times New Roman" w:hAnsi="Times New Roman"/>
          <w:i/>
          <w:noProof/>
          <w:sz w:val="24"/>
        </w:rPr>
      </w:pPr>
      <w:r>
        <w:rPr>
          <w:rFonts w:ascii="Times New Roman" w:hAnsi="Times New Roman"/>
          <w:i/>
          <w:sz w:val="24"/>
        </w:rPr>
        <w:t>Paraugu ņemšanas laiks un biežums</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Tā kā šī tehniskā ziņojuma pamatā ir mikrobioloģiskā piesārņojuma izcelsmes vietas noteikšana, aprakstītās paraugu ņemšanas procedūras jāveic pēc iespējas pilnīgi, lai aptvertu vislielāko </w:t>
      </w:r>
      <w:r>
        <w:rPr>
          <w:rFonts w:ascii="Times New Roman" w:hAnsi="Times New Roman"/>
          <w:i/>
          <w:iCs/>
          <w:sz w:val="24"/>
        </w:rPr>
        <w:t>CSS</w:t>
      </w:r>
      <w:r>
        <w:rPr>
          <w:rFonts w:ascii="Times New Roman" w:hAnsi="Times New Roman"/>
          <w:sz w:val="24"/>
        </w:rPr>
        <w:t xml:space="preserve"> skaitu un paraugu skaitu no vienas </w:t>
      </w:r>
      <w:r>
        <w:rPr>
          <w:rFonts w:ascii="Times New Roman" w:hAnsi="Times New Roman"/>
          <w:i/>
          <w:iCs/>
          <w:sz w:val="24"/>
        </w:rPr>
        <w:t>CSS</w:t>
      </w:r>
      <w:r>
        <w:rPr>
          <w:rFonts w:ascii="Times New Roman" w:hAnsi="Times New Roman"/>
          <w:sz w:val="24"/>
        </w:rPr>
        <w:t>. Kad vien tas ir iespējams, paraugi jāņem dažādos paraugu ņemšanas laikos, ieskaitot vairākas stundas pēc saldēto ADG ražošanas uzsākšanas, kad ir lielāka piesārņojuma uzkrāšanās iespējamība. Situācijā, kad veic uzliesmojuma izcelsmes izsekošanu, nav nekas neparasts, ja savākto paraugu skaits pārsniedz 500. Ievērojamu skaitu paraugu var ņemt arī vietās, kur pārstrāde nenotiek (piemēram, saņemšanas vietās, uzglabāšanas vietās, īpaši tad, ja šīs vietas ir mitras).</w:t>
      </w:r>
    </w:p>
    <w:p w:rsidR="00132A13" w:rsidRPr="001B6F3C"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i/>
          <w:iCs/>
          <w:sz w:val="24"/>
        </w:rPr>
        <w:t>L. monocytogenes</w:t>
      </w:r>
      <w:r>
        <w:rPr>
          <w:rFonts w:ascii="Times New Roman" w:hAnsi="Times New Roman"/>
          <w:sz w:val="24"/>
        </w:rPr>
        <w:t xml:space="preserve"> klātbūtne var būt grūti nosakāma, ja vides paraugus ņem tūlīt vai drīz pēc tīrīšanas un dezinfekcijas. Šūnas joprojām var būt dzīvas, taču nekultivējamas dēļ tīrīšanai un dezinfekcijai izmantoto līdzekļu radītajiem bojājumiem, līdz ar to tās var būt grūti atrast. Turklāt šūnas, kas saglabājas baktēriju uzturēšanās vietās, neskatoties uz tīrīšanas un dezinfekcijas darbiem, arī ne vienmēr tiek atklātas, turpretim pārstrādes laikā, kad iekārtas vibrē un/vai tāpēc, ka pārtika un šķidrumi saskaras ar baktēriju uzturēšanās vietām, šīs šūnas </w:t>
      </w:r>
      <w:r>
        <w:rPr>
          <w:rFonts w:ascii="Times New Roman" w:hAnsi="Times New Roman"/>
          <w:sz w:val="24"/>
        </w:rPr>
        <w:lastRenderedPageBreak/>
        <w:t>paraugu ņemšanas laikā kļūst vieglāk pieejamas (Tompkin, 2004).</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132A13">
      <w:pPr>
        <w:pStyle w:val="BodyText"/>
        <w:ind w:left="0"/>
        <w:jc w:val="both"/>
        <w:rPr>
          <w:rFonts w:ascii="Times New Roman" w:hAnsi="Times New Roman" w:cs="Tahoma"/>
          <w:noProof/>
          <w:sz w:val="24"/>
        </w:rPr>
      </w:pPr>
      <w:r>
        <w:rPr>
          <w:rFonts w:ascii="Times New Roman" w:hAnsi="Times New Roman"/>
          <w:sz w:val="24"/>
        </w:rPr>
        <w:t xml:space="preserve">Tāpēc, lai palielinātu noturīga celma noteikšanas varbūtību, paraugi jāņem pārstrādes laikā, vismaz 2 stundas pēc ražošanas vai ražošanas cikla beigās, t. i., pirms tīrīšanas un dezinfekcijas. Pārstrādes līnijās, kur pārtikas produktus ražo no svaigiem produktiem, kas nav apstrādāti mikroorganismu skaita samazināšanai, pārstrādes laikā ņemtā virsmas paraugā atrasto </w:t>
      </w:r>
      <w:r>
        <w:rPr>
          <w:rFonts w:ascii="Times New Roman" w:hAnsi="Times New Roman"/>
          <w:i/>
          <w:iCs/>
          <w:sz w:val="24"/>
        </w:rPr>
        <w:t>L. monocytogenes</w:t>
      </w:r>
      <w:r>
        <w:rPr>
          <w:rFonts w:ascii="Times New Roman" w:hAnsi="Times New Roman"/>
          <w:sz w:val="24"/>
        </w:rPr>
        <w:t xml:space="preserve"> avots var būt šie svaigie produkti, kā arī vietas, kur pārtikas pārstrādes vidē </w:t>
      </w:r>
      <w:r>
        <w:rPr>
          <w:rFonts w:ascii="Times New Roman" w:hAnsi="Times New Roman"/>
          <w:i/>
          <w:iCs/>
          <w:sz w:val="24"/>
        </w:rPr>
        <w:t>L. monocytogenes</w:t>
      </w:r>
      <w:r>
        <w:rPr>
          <w:rFonts w:ascii="Times New Roman" w:hAnsi="Times New Roman"/>
          <w:sz w:val="24"/>
        </w:rPr>
        <w:t xml:space="preserve"> šūnas var noturīgi saglabāties (EURL </w:t>
      </w:r>
      <w:r>
        <w:rPr>
          <w:rFonts w:ascii="Times New Roman" w:hAnsi="Times New Roman"/>
          <w:i/>
          <w:iCs/>
          <w:sz w:val="24"/>
        </w:rPr>
        <w:t>L. monocytogenes</w:t>
      </w:r>
      <w:r>
        <w:rPr>
          <w:rFonts w:ascii="Times New Roman" w:hAnsi="Times New Roman"/>
          <w:sz w:val="24"/>
        </w:rPr>
        <w:t>, 2012).</w:t>
      </w:r>
    </w:p>
    <w:p w:rsidR="00270842" w:rsidRPr="001B6F3C" w:rsidRDefault="00270842" w:rsidP="004650EF">
      <w:pPr>
        <w:jc w:val="both"/>
        <w:rPr>
          <w:rFonts w:ascii="Times New Roman" w:eastAsia="Tahoma" w:hAnsi="Times New Roman" w:cs="Tahoma"/>
          <w:noProof/>
          <w:sz w:val="24"/>
          <w:szCs w:val="18"/>
        </w:rPr>
      </w:pPr>
    </w:p>
    <w:p w:rsidR="00270842" w:rsidRPr="001B6F3C" w:rsidRDefault="00270842" w:rsidP="004650EF">
      <w:pPr>
        <w:jc w:val="both"/>
        <w:rPr>
          <w:rFonts w:ascii="Times New Roman" w:hAnsi="Times New Roman"/>
          <w:i/>
          <w:noProof/>
          <w:sz w:val="24"/>
        </w:rPr>
      </w:pPr>
      <w:r>
        <w:rPr>
          <w:rFonts w:ascii="Times New Roman" w:hAnsi="Times New Roman"/>
          <w:i/>
          <w:sz w:val="24"/>
        </w:rPr>
        <w:t>Paraugu ņemšanas metodes</w:t>
      </w:r>
    </w:p>
    <w:p w:rsidR="00132A13"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Standartā EN ISO 18593 ir aprakstītas dažādas paraugu ņemšanas metodes.</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Paraugu ņemšanai no grūti sasniedzamām, mazām vietām (≤ 100 cm</w:t>
      </w:r>
      <w:r>
        <w:rPr>
          <w:rFonts w:ascii="Times New Roman" w:hAnsi="Times New Roman"/>
          <w:sz w:val="24"/>
          <w:szCs w:val="12"/>
          <w:vertAlign w:val="superscript"/>
        </w:rPr>
        <w:t>2</w:t>
      </w:r>
      <w:r>
        <w:rPr>
          <w:rFonts w:ascii="Times New Roman" w:hAnsi="Times New Roman"/>
          <w:sz w:val="24"/>
        </w:rPr>
        <w:t>) paraugu ņemšanai izmanto vates kociņu. Paraugu ņemšanai no lielām virsmām (&gt; 100 cm</w:t>
      </w:r>
      <w:r>
        <w:rPr>
          <w:rFonts w:ascii="Times New Roman" w:hAnsi="Times New Roman"/>
          <w:sz w:val="24"/>
          <w:vertAlign w:val="superscript"/>
        </w:rPr>
        <w:t>2</w:t>
      </w:r>
      <w:r>
        <w:rPr>
          <w:rFonts w:ascii="Times New Roman" w:hAnsi="Times New Roman"/>
          <w:sz w:val="24"/>
        </w:rPr>
        <w:t>) izmanto sterilu drānu vai sūkli.</w:t>
      </w:r>
    </w:p>
    <w:p w:rsidR="00132A13" w:rsidRPr="001B6F3C"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Kad paraugi paņemti, virsmu vajadzības gadījumā notīra un/vai dezinficē, lai uz tās nepaliktu barības vielu, mitruma, ķīmisko vai fizisko elementu pēdas, kas radušās paraugu ņemšanas procedūras rezultātā. To var darīt ar sterilām salvetēm, kas samitrinātas spirtā.</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u w:val="single" w:color="000000"/>
        </w:rPr>
      </w:pPr>
      <w:r>
        <w:rPr>
          <w:rFonts w:ascii="Times New Roman" w:hAnsi="Times New Roman"/>
          <w:sz w:val="24"/>
          <w:u w:val="single" w:color="000000"/>
        </w:rPr>
        <w:t>Atšķaidītāji</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Ņemot paraugus no viegli sasniedzamām vietām pārstrādes laikā vai tās beigās, vates kociņu un cita uztriepju ņemšanas materiāla samitrināšanai izmanto vienkāršus atšķaidītājus, kas nesatur neitralizējošas vielas. Ieteicamie atšķaidītāji ir peptona šķīdums koncentrācijā 1 g/l, peptona sāļu šķīdums vai vienu ceturtdaļu stiprs Ringera šķīdums. Fosfāta buferšķīdinātājus nav ieteicams lietot šūnām, kas atrodas agresīvos pārtikas pārstrādes vietu apstākļos (sāls, skābes, tīrīšanas un dezinfekcijas līdzekļu utt. iedarbībā), jo tie var nelabvēlīgi ietekmēt baktēriju spēju kultivēties.</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132A13">
      <w:pPr>
        <w:pStyle w:val="BodyText"/>
        <w:ind w:left="0"/>
        <w:jc w:val="both"/>
        <w:rPr>
          <w:rFonts w:ascii="Times New Roman" w:hAnsi="Times New Roman" w:cs="Tahoma"/>
          <w:noProof/>
          <w:sz w:val="24"/>
        </w:rPr>
      </w:pPr>
      <w:r>
        <w:rPr>
          <w:rFonts w:ascii="Times New Roman" w:hAnsi="Times New Roman"/>
          <w:sz w:val="24"/>
        </w:rPr>
        <w:t xml:space="preserve">Ja attiecīgajā laukumā dezinfekcijas līdzekļu atliekas nav paredzamas, ieteicams neitralizējošu atšķaidītāju neizmantot. Neitralizējoša viela, ko izmanto dezinfekcijas līdzekļa atlieku iedarbības samazināšanai, var nedaudz kaitēt baktēriju šūnām, un ir iespējams, ka negatīvā ietekme stresa apstākļos būs lielāka. Atšķaidītāju nevajadzētu aizstāt ar Freizera maisījumu vai modificēto Freizera maisījumu, jo tas var veicināt </w:t>
      </w:r>
      <w:r>
        <w:rPr>
          <w:rFonts w:ascii="Times New Roman" w:hAnsi="Times New Roman"/>
          <w:i/>
          <w:iCs/>
          <w:sz w:val="24"/>
        </w:rPr>
        <w:t>L. monocytogenes</w:t>
      </w:r>
      <w:r>
        <w:rPr>
          <w:rFonts w:ascii="Times New Roman" w:hAnsi="Times New Roman"/>
          <w:sz w:val="24"/>
        </w:rPr>
        <w:t xml:space="preserve"> vairošanos pārstrādes vietā.</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Vietās, kur paredzamas dezinfekcijas līdzekļu atliekas, vai kad paraugus ņem tūlīt pēc dezinfekcijas, vates kociņu vai cita uztriepju ņemšanas materiāla samitrināšanai jāizmanto neitralizējoši atšķaidītāji. Nevar ieteikt (universālu) neitralizējošu vielu, kas būtu piemērota visiem gadījumiem. Standartos EN 1276, EN 1650, EN 13697 un EN 13704 ir ieteiktas vairākas neitralizējošas vielas.</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u w:val="single" w:color="000000"/>
        </w:rPr>
      </w:pPr>
      <w:r>
        <w:rPr>
          <w:rFonts w:ascii="Times New Roman" w:hAnsi="Times New Roman"/>
          <w:sz w:val="24"/>
          <w:u w:val="single" w:color="000000"/>
        </w:rPr>
        <w:t>Paraugu ņemšanai izmantotie rīki</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Dažādu paraugu ņemšanas rīku izmantošana ir aprakstīta standartā EN ISO 18593.</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132A13">
      <w:pPr>
        <w:pStyle w:val="BodyText"/>
        <w:numPr>
          <w:ilvl w:val="1"/>
          <w:numId w:val="5"/>
        </w:numPr>
        <w:ind w:left="709" w:hanging="283"/>
        <w:jc w:val="both"/>
        <w:rPr>
          <w:rFonts w:ascii="Times New Roman" w:hAnsi="Times New Roman"/>
          <w:noProof/>
          <w:sz w:val="24"/>
        </w:rPr>
      </w:pPr>
      <w:r>
        <w:rPr>
          <w:rFonts w:ascii="Times New Roman" w:hAnsi="Times New Roman"/>
          <w:sz w:val="24"/>
        </w:rPr>
        <w:t>Vates kociņa metode</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lastRenderedPageBreak/>
        <w:t>Vates kociņus izmanto paraugu ņemšanai no mazām, grūti sasniedzamām vietām (piemēram, no dobu veltņu iekšpuses, motora korpusa, nažiem). Lai novērstu piesārņojuma un/vai dezinficējošo savienojumu pārnešanu, ieteicams izmantot sterilus vienreizējas lietošanas šablonus. Aptuveni jāzina paraugu ņemšanas vietas laukums, un/vai paraugu ņemšanas vieta rūpīgi jāapraksta.</w:t>
      </w:r>
    </w:p>
    <w:p w:rsidR="00132A13" w:rsidRPr="001B6F3C"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Pirms vates kociņu lieto, to izņem no sterilā iepakojuma un galiņu vajadzības gadījumā samitrina, iegremdējot mēģenē ar atšķaidītāju/neitralizējošu vielu un piespiežot vates kociņa galu pie mēģenes sieniņas, lai atbrīvotos no liekā atšķaidītāja/neitralizatora. Vates kociņa galu novieto uz pārbaudei paredzētās virsmas un, ripinot vates kociņu starp īkšķi un rādītājpirkstu, to strīpām velk pāri izvēlētās vietas laukumam, piemēram, ≤ 100 cm</w:t>
      </w:r>
      <w:r>
        <w:rPr>
          <w:rFonts w:ascii="Times New Roman" w:hAnsi="Times New Roman"/>
          <w:sz w:val="24"/>
          <w:vertAlign w:val="superscript"/>
        </w:rPr>
        <w:t>2</w:t>
      </w:r>
      <w:r>
        <w:rPr>
          <w:rFonts w:ascii="Times New Roman" w:hAnsi="Times New Roman"/>
          <w:sz w:val="24"/>
        </w:rPr>
        <w:t>. Plakanu virsmu gadījumā paraugu ņem gan horizontālā, gan vertikālā virzienā. Grūti sasniedzamu mazu virsmu gadījumos jāpārliecinās, ka paraugs tiek paņemts no visas aprakstītās vietas, ieskaitot plaisas, spraugas, virsmas savienojumus utt. Vates kociņu ievieto atpakaļ mēģenē ar atšķaidītāju/neitralizējošo vielu. Mēģeni noslēdz, lai vates kociņš saglabātos mitrs līdz analīzes veikšanai.</w:t>
      </w:r>
    </w:p>
    <w:p w:rsidR="00270842" w:rsidRPr="001B6F3C" w:rsidRDefault="00270842" w:rsidP="004650EF">
      <w:pPr>
        <w:jc w:val="both"/>
        <w:rPr>
          <w:rFonts w:ascii="Times New Roman" w:eastAsia="Calibri" w:hAnsi="Times New Roman" w:cs="Calibri"/>
          <w:noProof/>
          <w:sz w:val="24"/>
          <w:szCs w:val="28"/>
        </w:rPr>
      </w:pPr>
    </w:p>
    <w:p w:rsidR="00270842" w:rsidRPr="001B6F3C" w:rsidRDefault="00270842" w:rsidP="00132A13">
      <w:pPr>
        <w:pStyle w:val="BodyText"/>
        <w:numPr>
          <w:ilvl w:val="1"/>
          <w:numId w:val="6"/>
        </w:numPr>
        <w:ind w:left="709" w:hanging="283"/>
        <w:jc w:val="both"/>
        <w:rPr>
          <w:rFonts w:ascii="Times New Roman" w:hAnsi="Times New Roman"/>
          <w:noProof/>
          <w:sz w:val="24"/>
        </w:rPr>
      </w:pPr>
      <w:r>
        <w:rPr>
          <w:rFonts w:ascii="Times New Roman" w:hAnsi="Times New Roman"/>
          <w:sz w:val="24"/>
        </w:rPr>
        <w:t>Sūkļa/drāniņas metode</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Paraugu ņemšanai no liela laukuma (grīdas, sienas, griestiem, konveijera lentēm) izmanto sūkli vai drāniņu. Ar šiem materiāliem – pretstatā vates kociņiem – virmas var berzt stiprāk, un tie ļoti labi uzsūc. Audumam vai sūklim jābūt samitrinātam pietiekamā atšķaidītāja/neitralizējošas vielas daudzumā. Ja parauga ņemšanas laukums ir mitrs, var izmantot sausu sūkli/drāniņu, ja vien nav vajadzības izmantot neitralizatoru. Ja parauga ņemšanas laukums ir sauss, jāizmanto samitrināts sūklis/drāniņa, izņemot gadījumos, kad pārstrādes zonā nedrīkst iekļūt mitrums. Lielākam atgūto šūnu skaitam ieteicams lietot samitrinātu sūkli/drāniņu.</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Lai izmantotu sūkli vai drāniņu, atver plastmasas maisiņu vai trauku, kurā atrodas drāniņa vai sūklis. Aseptiskos apstākļos, piemēram, ar sterilām knaiblēm un/vai sterilu cimdotu roku, drāniņu vai sūkli izņem vai arī satver caur maisiņu, uz ārpusi izgriezto maisiņu velkot pāri rokai. Paraugu no izvēlētās virsmas ņem gan horizontālā, gan vertikālā virzienā, vienmērīgi un stingri uzspiežot un griežot drāniņu vai sūkli uz otru pusi, nodrošinot, ka paraugs ir paņemts no visa laukuma. Drāniņu vai sūkli ievieto atpakaļ plastmasas maisiņā vai traukā. Plastmasas maisiņu vai trauku aizver tā, lai novērstu savstarpējas piesārņošanās iespēju.</w:t>
      </w:r>
    </w:p>
    <w:p w:rsidR="00270842" w:rsidRPr="001B6F3C" w:rsidRDefault="00270842" w:rsidP="004650EF">
      <w:pPr>
        <w:jc w:val="both"/>
        <w:rPr>
          <w:rFonts w:ascii="Times New Roman" w:eastAsia="Tahoma" w:hAnsi="Times New Roman" w:cs="Tahoma"/>
          <w:noProof/>
          <w:sz w:val="24"/>
          <w:szCs w:val="18"/>
        </w:rPr>
      </w:pPr>
    </w:p>
    <w:p w:rsidR="00270842" w:rsidRPr="001B6F3C" w:rsidRDefault="00132A13" w:rsidP="00531598">
      <w:pPr>
        <w:pStyle w:val="Heading1"/>
        <w:rPr>
          <w:noProof/>
        </w:rPr>
      </w:pPr>
      <w:bookmarkStart w:id="66" w:name="_TOC_250005"/>
      <w:bookmarkStart w:id="67" w:name="_Toc37931402"/>
      <w:r>
        <w:t xml:space="preserve">3.4.3.2. Paraugu </w:t>
      </w:r>
      <w:r w:rsidRPr="00531598">
        <w:t>ņemšanas</w:t>
      </w:r>
      <w:r>
        <w:t xml:space="preserve"> procedūra no apstrādē izmantotā ūdens</w:t>
      </w:r>
      <w:bookmarkEnd w:id="66"/>
      <w:bookmarkEnd w:id="67"/>
    </w:p>
    <w:p w:rsidR="00132A13"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Regulā (EK) 2073/2005 nav norādīta neviena metode pārtikas pārstrādes procesā izmantotā ūdens analīzei. Turklāt nav īpašu EN ISO standartos aprakstītu metožu </w:t>
      </w:r>
      <w:r>
        <w:rPr>
          <w:rFonts w:ascii="Times New Roman" w:hAnsi="Times New Roman"/>
          <w:i/>
          <w:iCs/>
          <w:sz w:val="24"/>
        </w:rPr>
        <w:t>L. monocytogenes</w:t>
      </w:r>
      <w:r>
        <w:rPr>
          <w:rFonts w:ascii="Times New Roman" w:hAnsi="Times New Roman"/>
          <w:sz w:val="24"/>
        </w:rPr>
        <w:t xml:space="preserve"> klātbūtnes noteikšanai ūdenī, ko izmanto apstrādei.</w:t>
      </w:r>
    </w:p>
    <w:p w:rsidR="00132A13"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Potenciālais piesārņojums ar </w:t>
      </w:r>
      <w:r>
        <w:rPr>
          <w:rFonts w:ascii="Times New Roman" w:hAnsi="Times New Roman"/>
          <w:i/>
          <w:iCs/>
          <w:sz w:val="24"/>
        </w:rPr>
        <w:t>L. monocytogenes</w:t>
      </w:r>
      <w:r>
        <w:rPr>
          <w:rFonts w:ascii="Times New Roman" w:hAnsi="Times New Roman"/>
          <w:sz w:val="24"/>
        </w:rPr>
        <w:t xml:space="preserve"> pārstrādes telpās esošajā vidē, ieskaitot ūdenī, ko izmanto apstrādei, ir izvērtēts vairākos pētījumos. Šajos pētījumos analīzei ņēma apstrādei izmantotā ūdens paraugus, tostarp pirmsmazgāšanas, mazgāšanas un skalošanas posmā, kā arī centrifugēšanas notekūdeņu paraugus (Holvoet et al., 2012; Castro-Ibañez et al., 2016). Ūdens paraugus savāca sterilās 1 litra Šota [</w:t>
      </w:r>
      <w:r>
        <w:rPr>
          <w:rFonts w:ascii="Times New Roman" w:hAnsi="Times New Roman"/>
          <w:i/>
          <w:iCs/>
          <w:sz w:val="24"/>
        </w:rPr>
        <w:t>Schott</w:t>
      </w:r>
      <w:r>
        <w:rPr>
          <w:rFonts w:ascii="Times New Roman" w:hAnsi="Times New Roman"/>
          <w:sz w:val="24"/>
        </w:rPr>
        <w:t xml:space="preserve">] pudelēs atbilstoši standartam ISO 19458:2006. </w:t>
      </w:r>
      <w:r>
        <w:rPr>
          <w:rFonts w:ascii="Times New Roman" w:hAnsi="Times New Roman"/>
          <w:i/>
          <w:iCs/>
          <w:sz w:val="24"/>
        </w:rPr>
        <w:t>Listeria spp.</w:t>
      </w:r>
      <w:r>
        <w:rPr>
          <w:rFonts w:ascii="Times New Roman" w:hAnsi="Times New Roman"/>
          <w:sz w:val="24"/>
        </w:rPr>
        <w:t xml:space="preserve"> un </w:t>
      </w:r>
      <w:r>
        <w:rPr>
          <w:rFonts w:ascii="Times New Roman" w:hAnsi="Times New Roman"/>
          <w:i/>
          <w:iCs/>
          <w:sz w:val="24"/>
        </w:rPr>
        <w:t>L. monocytogenes</w:t>
      </w:r>
      <w:r>
        <w:rPr>
          <w:rFonts w:ascii="Times New Roman" w:hAnsi="Times New Roman"/>
          <w:sz w:val="24"/>
        </w:rPr>
        <w:t xml:space="preserve"> analīzei ūdenī, ko izmanto apūdeņošanai un apstrādei, ir ierosināts izmantot filtrēšanu un tiešo uzsēšanu trauciņā (López-Gálvez et al., 2014; Zhou et al., 2015).</w:t>
      </w:r>
    </w:p>
    <w:p w:rsidR="00270842" w:rsidRPr="001B6F3C" w:rsidRDefault="00270842" w:rsidP="004650EF">
      <w:pPr>
        <w:jc w:val="both"/>
        <w:rPr>
          <w:rFonts w:ascii="Times New Roman" w:hAnsi="Times New Roman"/>
          <w:noProof/>
          <w:sz w:val="24"/>
        </w:rPr>
      </w:pPr>
    </w:p>
    <w:p w:rsidR="00270842" w:rsidRPr="001B6F3C" w:rsidRDefault="00132A13" w:rsidP="00531598">
      <w:pPr>
        <w:pStyle w:val="Heading1"/>
        <w:rPr>
          <w:noProof/>
        </w:rPr>
      </w:pPr>
      <w:bookmarkStart w:id="68" w:name="_TOC_250004"/>
      <w:bookmarkStart w:id="69" w:name="_Toc37931403"/>
      <w:r>
        <w:lastRenderedPageBreak/>
        <w:t xml:space="preserve">3.4.3.3. </w:t>
      </w:r>
      <w:r w:rsidRPr="00531598">
        <w:t>Paraugu</w:t>
      </w:r>
      <w:r>
        <w:t xml:space="preserve"> uzglabāšana un pārvadāšana</w:t>
      </w:r>
      <w:bookmarkEnd w:id="68"/>
      <w:bookmarkEnd w:id="69"/>
    </w:p>
    <w:p w:rsidR="00132A13"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Norādījumi par paraugu uzglabāšanu un pārvadāšanu ir sniegti standartā EN ISO 18593.</w:t>
      </w:r>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Ja paraugi ņemti no kontaktvirsmām, kas ir saskarē ar pārtiku, un citām kontaktvirsmām (ar vates kociņu/drāniņu/sūkli), laika intervālam starp paraugu ņemšanu un testēšanu jābūt pēc iespējas īsākam. Pirms ievietošanas izolētos pārvadāšanas konteineros paraugus vēlams atdzesēt, un pārvadāšana jāveic 1–8  C temperatūrā. Vēlams paraugus analizēt 24 stundu laikā pēc to paņemšanas. Ja pēc paraugu saņemšanas laboratorijā testēšana kavējas, paraugus drīkst uzglabāt 3° C ± 2° C temperatūrā ne ilgāk kā 48 stundas pēc tam, kad tie paņemti.</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Apstrādei izmantotā ūdens paraugus ar tilpumu aptuveni 1 l ņem sterilos traukos un neitralizē, lai apturētu iespējamā dezinfekcijas līdzekļa iedarbību. Pēc tam ūdens traukus pēc iespējas ātrāk dzesēšanas apstākļos nogādā uz pārstrādes rūpnīcā esošo laboratoriju. Vairumā gadījumu 1 l apstrādei izmantotā ūdens paraugu traukā sajauc ar pietiekamu (0,5–1,5 g) kristāliska nātrija tiosulfāta pentahidrāta daudzumu (pētniecības uzņēmums </w:t>
      </w:r>
      <w:r>
        <w:rPr>
          <w:rFonts w:ascii="Times New Roman" w:hAnsi="Times New Roman"/>
          <w:i/>
          <w:iCs/>
          <w:sz w:val="24"/>
        </w:rPr>
        <w:t>Scharlau</w:t>
      </w:r>
      <w:r>
        <w:rPr>
          <w:rFonts w:ascii="Times New Roman" w:hAnsi="Times New Roman"/>
          <w:sz w:val="24"/>
        </w:rPr>
        <w:t>, Barselona, Spānija) dezinfekcijas līdzekļa iedarbības pārtraukšanai (López-Gálvez et al., 2018).</w:t>
      </w:r>
    </w:p>
    <w:p w:rsidR="00270842" w:rsidRPr="001B6F3C" w:rsidRDefault="00270842" w:rsidP="004650EF">
      <w:pPr>
        <w:jc w:val="both"/>
        <w:rPr>
          <w:rFonts w:ascii="Times New Roman" w:eastAsia="Tahoma" w:hAnsi="Times New Roman" w:cs="Tahoma"/>
          <w:noProof/>
          <w:sz w:val="24"/>
          <w:szCs w:val="18"/>
        </w:rPr>
      </w:pPr>
    </w:p>
    <w:p w:rsidR="00270842" w:rsidRPr="001B6F3C" w:rsidRDefault="00132A13" w:rsidP="00531598">
      <w:pPr>
        <w:pStyle w:val="Heading1"/>
        <w:rPr>
          <w:noProof/>
        </w:rPr>
      </w:pPr>
      <w:bookmarkStart w:id="70" w:name="_TOC_250003"/>
      <w:bookmarkStart w:id="71" w:name="_Toc37931404"/>
      <w:r>
        <w:t xml:space="preserve">3.4.3.4. </w:t>
      </w:r>
      <w:r w:rsidRPr="00531598">
        <w:t>Mikrobioloģiskās</w:t>
      </w:r>
      <w:r>
        <w:t xml:space="preserve"> metodes vides paraugu (ieskaitot apstrādē izmantotā ūdens) analīzei</w:t>
      </w:r>
      <w:bookmarkEnd w:id="70"/>
      <w:bookmarkEnd w:id="71"/>
    </w:p>
    <w:p w:rsidR="00132A13"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Vispārīgi norādījumi par mikrobioloģiskajām analīzēm ir standartā EN ISO 18593 un EN ISO 11290-1.</w:t>
      </w:r>
    </w:p>
    <w:p w:rsidR="00132A13" w:rsidRPr="001B6F3C"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Paraugiem no kontaktvirsmām, kas ir saskarē ar pārtiku, un citām kontaktvirsmām jāpievieno atbilstošs atšķaidītāja/bagātināšanas maisījuma daudzums, lai nosegtu paraugu ņemšanai izmantoto rīku. Jāzina precīzs tilpums. Atšķaidīšanai izmantojamo tilpumu piemēri ir 9 līdz 10 ml vates kociņiem, 90 līdz 100 ml sūkļiem un 225 ml drāniņām. Saturu rūpīgi homogenizē ar roku vai mehāniski, izspaidot sūkli/drāniņu vai saskalinot vates kociņu.</w:t>
      </w:r>
    </w:p>
    <w:p w:rsidR="00132A13" w:rsidRPr="001B6F3C"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Apstrādei izmantotā ūdens analīzēm lielākoties izvēlas filtrēšanas metodi. Izmantojot filtrēšanas metodi, no 10 līdz 100 ml lielus tilpumus filtrē caur 0,45 µm membrānas filtriem, izmantojot kolektoru ar filtru turētājiem (pētniecības uzņēmums </w:t>
      </w:r>
      <w:r>
        <w:rPr>
          <w:rFonts w:ascii="Times New Roman" w:hAnsi="Times New Roman"/>
          <w:i/>
          <w:iCs/>
          <w:sz w:val="24"/>
        </w:rPr>
        <w:t>Millipore</w:t>
      </w:r>
      <w:r>
        <w:rPr>
          <w:rFonts w:ascii="Times New Roman" w:hAnsi="Times New Roman"/>
          <w:sz w:val="24"/>
        </w:rPr>
        <w:t xml:space="preserve">, Madride, Spānija). Filtru barotnēm rosina izmantot selektīvās agara barotnes listērijām </w:t>
      </w:r>
      <w:r>
        <w:rPr>
          <w:rFonts w:ascii="Times New Roman" w:hAnsi="Times New Roman"/>
          <w:i/>
          <w:iCs/>
          <w:sz w:val="24"/>
        </w:rPr>
        <w:t>ALOA</w:t>
      </w:r>
      <w:r>
        <w:rPr>
          <w:rFonts w:ascii="Times New Roman" w:hAnsi="Times New Roman"/>
          <w:sz w:val="24"/>
        </w:rPr>
        <w:t xml:space="preserve"> un </w:t>
      </w:r>
      <w:r>
        <w:rPr>
          <w:rFonts w:ascii="Times New Roman" w:hAnsi="Times New Roman"/>
          <w:i/>
          <w:iCs/>
          <w:sz w:val="24"/>
        </w:rPr>
        <w:t>PALCAM</w:t>
      </w:r>
      <w:r>
        <w:rPr>
          <w:rFonts w:ascii="Times New Roman" w:hAnsi="Times New Roman"/>
          <w:sz w:val="24"/>
        </w:rPr>
        <w:t>, veicot tiešo uzsēšanu trauciņā un inkubējot 37° C temperatūrā 48–72 h pirms rezultātu interpretēšanas (López-Gálvez et al., 2014; Zhou et al., 2015).</w:t>
      </w:r>
    </w:p>
    <w:p w:rsidR="00270842" w:rsidRPr="001B6F3C" w:rsidRDefault="00270842" w:rsidP="004650EF">
      <w:pPr>
        <w:jc w:val="both"/>
        <w:rPr>
          <w:rFonts w:ascii="Times New Roman" w:eastAsia="Calibri" w:hAnsi="Times New Roman" w:cs="Calibri"/>
          <w:noProof/>
          <w:sz w:val="24"/>
          <w:szCs w:val="27"/>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Kā minēts 3. sadaļas 4. punktā, </w:t>
      </w:r>
      <w:r>
        <w:rPr>
          <w:rFonts w:ascii="Times New Roman" w:hAnsi="Times New Roman"/>
          <w:i/>
          <w:iCs/>
          <w:sz w:val="24"/>
        </w:rPr>
        <w:t>L. monocytogenes</w:t>
      </w:r>
      <w:r>
        <w:rPr>
          <w:rFonts w:ascii="Times New Roman" w:hAnsi="Times New Roman"/>
          <w:sz w:val="24"/>
        </w:rPr>
        <w:t xml:space="preserve"> uzskaitīšanas metodi nav ieteicams izmantot vides paraugu analīzei, jo ar uztriepi nevar atdalīt visas baktēriju šūnas un atdalīto šūnu īpatsvars nav zināms un var būt mainīgs. Turklāt </w:t>
      </w:r>
      <w:r>
        <w:rPr>
          <w:rFonts w:ascii="Times New Roman" w:hAnsi="Times New Roman"/>
          <w:i/>
          <w:iCs/>
          <w:sz w:val="24"/>
        </w:rPr>
        <w:t>L. monocytogenes</w:t>
      </w:r>
      <w:r>
        <w:rPr>
          <w:rFonts w:ascii="Times New Roman" w:hAnsi="Times New Roman"/>
          <w:sz w:val="24"/>
        </w:rPr>
        <w:t xml:space="preserve"> šūnas nav vienmērīgi sadalītas pa virsmas laukumu, un tāpēc nevar salīdzināt rezultātus, kas iegūti no lieliem un maziem laukumiem (EURL </w:t>
      </w:r>
      <w:r>
        <w:rPr>
          <w:rFonts w:ascii="Times New Roman" w:hAnsi="Times New Roman"/>
          <w:i/>
          <w:iCs/>
          <w:sz w:val="24"/>
        </w:rPr>
        <w:t>L. monocytogenes</w:t>
      </w:r>
      <w:r>
        <w:rPr>
          <w:rFonts w:ascii="Times New Roman" w:hAnsi="Times New Roman"/>
          <w:sz w:val="24"/>
        </w:rPr>
        <w:t>, 2012).</w:t>
      </w:r>
    </w:p>
    <w:p w:rsidR="00132A13" w:rsidRPr="001B6F3C" w:rsidRDefault="00132A13" w:rsidP="004650EF">
      <w:pPr>
        <w:pStyle w:val="BodyText"/>
        <w:ind w:left="0"/>
        <w:jc w:val="both"/>
        <w:rPr>
          <w:rFonts w:ascii="Times New Roman" w:hAnsi="Times New Roman"/>
          <w:noProof/>
          <w:sz w:val="24"/>
        </w:rPr>
      </w:pPr>
    </w:p>
    <w:p w:rsidR="00270842" w:rsidRPr="001B6F3C" w:rsidRDefault="00132A13" w:rsidP="00531598">
      <w:pPr>
        <w:pStyle w:val="Heading1"/>
        <w:rPr>
          <w:rFonts w:cs="Tahoma"/>
          <w:noProof/>
          <w:szCs w:val="20"/>
        </w:rPr>
      </w:pPr>
      <w:bookmarkStart w:id="72" w:name="_Toc37931405"/>
      <w:r>
        <w:t xml:space="preserve">3.4.4. </w:t>
      </w:r>
      <w:r w:rsidRPr="00531598">
        <w:t>Alternatīvas</w:t>
      </w:r>
      <w:r>
        <w:t xml:space="preserve"> metodes </w:t>
      </w:r>
      <w:r>
        <w:rPr>
          <w:i/>
          <w:iCs/>
        </w:rPr>
        <w:t>L. monocytogenes</w:t>
      </w:r>
      <w:r>
        <w:t xml:space="preserve"> klātbūtnes noteikšanai</w:t>
      </w:r>
      <w:bookmarkEnd w:id="72"/>
    </w:p>
    <w:p w:rsidR="00270842" w:rsidRPr="001B6F3C" w:rsidRDefault="00270842" w:rsidP="004650EF">
      <w:pPr>
        <w:jc w:val="both"/>
        <w:rPr>
          <w:rFonts w:ascii="Times New Roman" w:eastAsia="Tahoma" w:hAnsi="Times New Roman" w:cs="Tahoma"/>
          <w:b/>
          <w:bCs/>
          <w:noProof/>
          <w:sz w:val="24"/>
          <w:szCs w:val="18"/>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Regulas (EK) 2073/2005 (5. pantā) ir norādīta iespēja izmantot standartmetodēm alternatīvas metodes kā patentētas metodes (komercmetodes) ar nosacījumu, ka tās ir apstiprinātas attiecībā pret standartmetodi, kā noteikts Regulas 2073/2005 I pielikumā, saskaņā ar standartu EN ISO 16140-2, kā arī sertificētas. Saskaņā ar standarta EN ISO 16140 protokolu ir apstiprinātas un sertificētas (piemēram, sertifikācijas iestādēs </w:t>
      </w:r>
      <w:r>
        <w:rPr>
          <w:rFonts w:ascii="Times New Roman" w:hAnsi="Times New Roman"/>
          <w:i/>
          <w:iCs/>
          <w:sz w:val="24"/>
        </w:rPr>
        <w:t>Micro Val</w:t>
      </w:r>
      <w:r>
        <w:rPr>
          <w:rFonts w:ascii="Times New Roman" w:hAnsi="Times New Roman"/>
          <w:sz w:val="24"/>
        </w:rPr>
        <w:t xml:space="preserve"> un </w:t>
      </w:r>
      <w:r>
        <w:rPr>
          <w:rFonts w:ascii="Times New Roman" w:hAnsi="Times New Roman"/>
          <w:i/>
          <w:iCs/>
          <w:sz w:val="24"/>
        </w:rPr>
        <w:t>Afnor</w:t>
      </w:r>
      <w:r>
        <w:rPr>
          <w:rFonts w:ascii="Times New Roman" w:hAnsi="Times New Roman"/>
          <w:sz w:val="24"/>
        </w:rPr>
        <w:t xml:space="preserve">) vairākas </w:t>
      </w:r>
      <w:r>
        <w:rPr>
          <w:rFonts w:ascii="Times New Roman" w:hAnsi="Times New Roman"/>
          <w:sz w:val="24"/>
        </w:rPr>
        <w:lastRenderedPageBreak/>
        <w:t>alternatīvas metodes</w:t>
      </w:r>
      <w:r>
        <w:rPr>
          <w:rFonts w:ascii="Times New Roman" w:hAnsi="Times New Roman"/>
          <w:i/>
          <w:iCs/>
          <w:sz w:val="24"/>
        </w:rPr>
        <w:t xml:space="preserve"> L. monocytogenes</w:t>
      </w:r>
      <w:r>
        <w:rPr>
          <w:rFonts w:ascii="Times New Roman" w:hAnsi="Times New Roman"/>
          <w:sz w:val="24"/>
        </w:rPr>
        <w:t xml:space="preserve"> noteikšanai pārtikas un dzīvnieku barības paraugos (horizontālās metodes).</w:t>
      </w:r>
    </w:p>
    <w:p w:rsidR="00132A13" w:rsidRPr="001B6F3C"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Pārskats par šīm apstiprinātajām alternatīvajām metodēm ir pieejams attiecīgajās sertifikācijas iestāžu </w:t>
      </w:r>
      <w:r>
        <w:rPr>
          <w:rFonts w:ascii="Times New Roman" w:hAnsi="Times New Roman"/>
          <w:i/>
          <w:iCs/>
          <w:sz w:val="24"/>
        </w:rPr>
        <w:t>MicroVal</w:t>
      </w:r>
      <w:r>
        <w:rPr>
          <w:rFonts w:ascii="Times New Roman" w:hAnsi="Times New Roman"/>
          <w:sz w:val="24"/>
        </w:rPr>
        <w:t xml:space="preserve"> un </w:t>
      </w:r>
      <w:r>
        <w:rPr>
          <w:rFonts w:ascii="Times New Roman" w:hAnsi="Times New Roman"/>
          <w:i/>
          <w:iCs/>
          <w:sz w:val="24"/>
        </w:rPr>
        <w:t xml:space="preserve">Afnor </w:t>
      </w:r>
      <w:r>
        <w:rPr>
          <w:rFonts w:ascii="Times New Roman" w:hAnsi="Times New Roman"/>
          <w:sz w:val="24"/>
        </w:rPr>
        <w:t>tīmekļa vietnēs. Kā noteikts standartā EN ISO 16140-2, apstiprināšanai izmantoto matriču kategoriju un veidu izvēle ir atkarīga no mikroorganisma veida vai grupas un apstiprināšanas jomas. Ja metodi gatavojas piemērot plašam pārtikas produktu klāstam, jāpēta vismaz piecas pārtikas kategorijas. Līdztekus pārtikai kā papildu kategorijas var iekļaut dzīvnieku barības paraugus, vides paraugus.</w:t>
      </w:r>
    </w:p>
    <w:p w:rsidR="00132A13" w:rsidRPr="001B6F3C"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A un B papildinājumos ir sniegts pārskats par sertifikācijas iestāžu </w:t>
      </w:r>
      <w:r>
        <w:rPr>
          <w:rFonts w:ascii="Times New Roman" w:hAnsi="Times New Roman"/>
          <w:i/>
          <w:iCs/>
          <w:sz w:val="24"/>
        </w:rPr>
        <w:t>MicroVal</w:t>
      </w:r>
      <w:r>
        <w:rPr>
          <w:rFonts w:ascii="Times New Roman" w:hAnsi="Times New Roman"/>
          <w:sz w:val="24"/>
        </w:rPr>
        <w:t xml:space="preserve"> un </w:t>
      </w:r>
      <w:r>
        <w:rPr>
          <w:rFonts w:ascii="Times New Roman" w:hAnsi="Times New Roman"/>
          <w:i/>
          <w:iCs/>
          <w:sz w:val="24"/>
        </w:rPr>
        <w:t xml:space="preserve">Afnor Validation </w:t>
      </w:r>
      <w:r>
        <w:rPr>
          <w:rFonts w:ascii="Times New Roman" w:hAnsi="Times New Roman"/>
          <w:sz w:val="24"/>
        </w:rPr>
        <w:t xml:space="preserve">sertificētajām alternatīvajām metodēm, kuras var izmantot </w:t>
      </w:r>
      <w:r>
        <w:rPr>
          <w:rFonts w:ascii="Times New Roman" w:hAnsi="Times New Roman"/>
          <w:i/>
          <w:iCs/>
          <w:sz w:val="24"/>
        </w:rPr>
        <w:t>L. monocytogenes</w:t>
      </w:r>
      <w:r>
        <w:rPr>
          <w:rFonts w:ascii="Times New Roman" w:hAnsi="Times New Roman"/>
          <w:sz w:val="24"/>
        </w:rPr>
        <w:t xml:space="preserve"> noteikšanai svaigu vai saldētu ADG un vides paraugos no saldētavām (saskaņā ar datiem, kas pieejami attiecīgajās tīmekļa vietnēs). Šajās tabulās ir norādītas tikai tās metodes, kas ļauj izolēt </w:t>
      </w:r>
      <w:r>
        <w:rPr>
          <w:rFonts w:ascii="Times New Roman" w:hAnsi="Times New Roman"/>
          <w:i/>
          <w:iCs/>
          <w:sz w:val="24"/>
        </w:rPr>
        <w:t>L. monocytogenes</w:t>
      </w:r>
      <w:r>
        <w:rPr>
          <w:rFonts w:ascii="Times New Roman" w:hAnsi="Times New Roman"/>
          <w:sz w:val="24"/>
        </w:rPr>
        <w:t xml:space="preserve"> celmus turpmākai raksturošanai, piemēram, salīdzināšanai ar citiem celmiem, izmantojot pilno genoma sekvencēšanu (</w:t>
      </w:r>
      <w:r>
        <w:rPr>
          <w:rFonts w:ascii="Times New Roman" w:hAnsi="Times New Roman"/>
          <w:i/>
          <w:iCs/>
          <w:sz w:val="24"/>
        </w:rPr>
        <w:t>WGS</w:t>
      </w:r>
      <w:r>
        <w:rPr>
          <w:rFonts w:ascii="Times New Roman" w:hAnsi="Times New Roman"/>
          <w:sz w:val="24"/>
        </w:rPr>
        <w:t xml:space="preserve">), infekcijas uzliesmojumu izmeklēšanas kontekstā. Šo alternatīvo metožu apraksts tiek pastāvīgi pilnveidots, tāpēc ir jāatsaucas uz sertifikācijas iestāžu </w:t>
      </w:r>
      <w:r>
        <w:rPr>
          <w:rFonts w:ascii="Times New Roman" w:hAnsi="Times New Roman"/>
          <w:i/>
          <w:iCs/>
          <w:sz w:val="24"/>
        </w:rPr>
        <w:t>MicroVal</w:t>
      </w:r>
      <w:r>
        <w:rPr>
          <w:rFonts w:ascii="Times New Roman" w:hAnsi="Times New Roman"/>
          <w:sz w:val="24"/>
        </w:rPr>
        <w:t xml:space="preserve"> un </w:t>
      </w:r>
      <w:r>
        <w:rPr>
          <w:rFonts w:ascii="Times New Roman" w:hAnsi="Times New Roman"/>
          <w:i/>
          <w:iCs/>
          <w:sz w:val="24"/>
        </w:rPr>
        <w:t>Afnor</w:t>
      </w:r>
      <w:r>
        <w:rPr>
          <w:rFonts w:ascii="Times New Roman" w:hAnsi="Times New Roman"/>
          <w:sz w:val="24"/>
        </w:rPr>
        <w:t xml:space="preserve"> </w:t>
      </w:r>
      <w:r>
        <w:rPr>
          <w:rFonts w:ascii="Times New Roman" w:hAnsi="Times New Roman"/>
          <w:i/>
          <w:iCs/>
          <w:sz w:val="24"/>
        </w:rPr>
        <w:t>Certification</w:t>
      </w:r>
      <w:r>
        <w:rPr>
          <w:rFonts w:ascii="Times New Roman" w:hAnsi="Times New Roman"/>
          <w:sz w:val="24"/>
        </w:rPr>
        <w:t xml:space="preserve"> tīmekļa vietnēm.</w:t>
      </w:r>
    </w:p>
    <w:p w:rsidR="00132A13" w:rsidRPr="001B6F3C" w:rsidRDefault="00132A13" w:rsidP="004650EF">
      <w:pPr>
        <w:pStyle w:val="BodyText"/>
        <w:ind w:left="0"/>
        <w:jc w:val="both"/>
        <w:rPr>
          <w:rFonts w:ascii="Times New Roman" w:hAnsi="Times New Roman"/>
          <w:noProof/>
          <w:sz w:val="24"/>
        </w:rPr>
      </w:pPr>
    </w:p>
    <w:p w:rsidR="00270842" w:rsidRPr="001B6F3C" w:rsidRDefault="00132A13" w:rsidP="00531598">
      <w:pPr>
        <w:pStyle w:val="Heading1"/>
        <w:rPr>
          <w:rFonts w:cs="Tahoma"/>
          <w:noProof/>
          <w:szCs w:val="20"/>
        </w:rPr>
      </w:pPr>
      <w:bookmarkStart w:id="73" w:name="_Toc37931406"/>
      <w:r>
        <w:t xml:space="preserve">3.4.5. </w:t>
      </w:r>
      <w:r>
        <w:rPr>
          <w:i/>
          <w:iCs/>
        </w:rPr>
        <w:t>L. monocytogenes</w:t>
      </w:r>
      <w:r>
        <w:t xml:space="preserve"> izolātu </w:t>
      </w:r>
      <w:r w:rsidRPr="00531598">
        <w:t>raksturojums</w:t>
      </w:r>
      <w:bookmarkEnd w:id="73"/>
    </w:p>
    <w:p w:rsidR="00270842" w:rsidRPr="001B6F3C" w:rsidRDefault="00270842" w:rsidP="004650EF">
      <w:pPr>
        <w:jc w:val="both"/>
        <w:rPr>
          <w:rFonts w:ascii="Times New Roman" w:eastAsia="Tahoma" w:hAnsi="Times New Roman" w:cs="Tahoma"/>
          <w:b/>
          <w:bCs/>
          <w:noProof/>
          <w:sz w:val="24"/>
          <w:szCs w:val="18"/>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Lai identificētu </w:t>
      </w:r>
      <w:r>
        <w:rPr>
          <w:rFonts w:ascii="Times New Roman" w:hAnsi="Times New Roman"/>
          <w:i/>
          <w:iCs/>
          <w:sz w:val="24"/>
        </w:rPr>
        <w:t>L. monocytogenes</w:t>
      </w:r>
      <w:r>
        <w:rPr>
          <w:rFonts w:ascii="Times New Roman" w:hAnsi="Times New Roman"/>
          <w:sz w:val="24"/>
        </w:rPr>
        <w:t xml:space="preserve"> piesārņojuma punktu(-us) saldētavā/apstrādes un pārkraušanas vietā un konstatētu saikni starp cilvēku klīniskajiem izolātiem, izolātiem no aizdomīgā ADG un PPV, jāraksturo </w:t>
      </w:r>
      <w:r>
        <w:rPr>
          <w:rFonts w:ascii="Times New Roman" w:hAnsi="Times New Roman"/>
          <w:i/>
          <w:iCs/>
          <w:sz w:val="24"/>
        </w:rPr>
        <w:t>L. monocytogenes</w:t>
      </w:r>
      <w:r>
        <w:rPr>
          <w:rFonts w:ascii="Times New Roman" w:hAnsi="Times New Roman"/>
          <w:sz w:val="24"/>
        </w:rPr>
        <w:t xml:space="preserve"> izolāti, kas iegūti no svaigajiem un/vai saldētajiem ADG, kontaktvirsmām, kas ir saskarē ar pārtiku, un citām kontaktvirsmām, kā arī ūdens, ko izmanto apstrādei.</w:t>
      </w:r>
    </w:p>
    <w:p w:rsidR="00132A13" w:rsidRPr="001B6F3C"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Pārtikas apritē iesaistītie tirgus dalībnieki var izmantot pārtikā esošo patogēnu izolātu apakštipu noteikšanu savās parastajās vides uzraudzības programmās (aprakstot ikvienu patogēna izolātu pēc tā apakštipa) vai – vajadzības gadījumā – kā specializētu instrumentu (piemēram, lai identificētu konkrēto avotu, kas izraisījis piesārņojumu galaproduktā). Jāatzīmē, ka </w:t>
      </w:r>
      <w:r>
        <w:rPr>
          <w:rFonts w:ascii="Times New Roman" w:hAnsi="Times New Roman"/>
          <w:i/>
          <w:iCs/>
          <w:sz w:val="24"/>
        </w:rPr>
        <w:t>L. monocytogenes</w:t>
      </w:r>
      <w:r>
        <w:rPr>
          <w:rFonts w:ascii="Times New Roman" w:hAnsi="Times New Roman"/>
          <w:sz w:val="24"/>
        </w:rPr>
        <w:t xml:space="preserve"> molekulārā apakštipa izpēte ir arī palīdzējusi noteikt faktiskās vietas (nišas), kurās </w:t>
      </w:r>
      <w:r>
        <w:rPr>
          <w:rFonts w:ascii="Times New Roman" w:hAnsi="Times New Roman"/>
          <w:i/>
          <w:iCs/>
          <w:sz w:val="24"/>
        </w:rPr>
        <w:t>L. monocytogenes</w:t>
      </w:r>
      <w:r>
        <w:rPr>
          <w:rFonts w:ascii="Times New Roman" w:hAnsi="Times New Roman"/>
          <w:sz w:val="24"/>
        </w:rPr>
        <w:t xml:space="preserve"> var ilgāku laiku izdzīvot vidē, kas saistīta ar pārtiku (Simmons un Wiedmann, 2017).</w:t>
      </w:r>
    </w:p>
    <w:p w:rsidR="00132A13" w:rsidRPr="001B6F3C" w:rsidRDefault="00132A13"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Tādā veidā, pēc apakštipiem aprakstot patogēnu izolātus, kas izdalīti, veicot ADG saldētavu telpu vides, apstrādē izmantotā ūdens, kā arī svaigo vai saldēto ADG monitoringu, var iegūt būtisku informāciju par </w:t>
      </w:r>
      <w:r>
        <w:rPr>
          <w:rFonts w:ascii="Times New Roman" w:hAnsi="Times New Roman"/>
          <w:i/>
          <w:iCs/>
          <w:sz w:val="24"/>
        </w:rPr>
        <w:t>MST</w:t>
      </w:r>
      <w:r>
        <w:rPr>
          <w:rFonts w:ascii="Times New Roman" w:hAnsi="Times New Roman"/>
          <w:sz w:val="24"/>
        </w:rPr>
        <w:t>. Tam var izmantot vispāratzītas molekulārās metodes, piemēram, pulsējošā lauka gēla elektroforēzi (</w:t>
      </w:r>
      <w:r>
        <w:rPr>
          <w:rFonts w:ascii="Times New Roman" w:hAnsi="Times New Roman"/>
          <w:i/>
          <w:iCs/>
          <w:sz w:val="24"/>
        </w:rPr>
        <w:t>PFGE</w:t>
      </w:r>
      <w:r>
        <w:rPr>
          <w:rFonts w:ascii="Times New Roman" w:hAnsi="Times New Roman"/>
          <w:sz w:val="24"/>
        </w:rPr>
        <w:t>), ribotipēšanu, amplificēto fragmentu garuma polimorfismus (</w:t>
      </w:r>
      <w:r>
        <w:rPr>
          <w:rFonts w:ascii="Times New Roman" w:hAnsi="Times New Roman"/>
          <w:i/>
          <w:iCs/>
          <w:sz w:val="24"/>
        </w:rPr>
        <w:t>AFLP</w:t>
      </w:r>
      <w:r>
        <w:rPr>
          <w:rFonts w:ascii="Times New Roman" w:hAnsi="Times New Roman"/>
          <w:sz w:val="24"/>
        </w:rPr>
        <w:t>), daudzlokusu sekvenēšanas reakciju (</w:t>
      </w:r>
      <w:r>
        <w:rPr>
          <w:rFonts w:ascii="Times New Roman" w:hAnsi="Times New Roman"/>
          <w:i/>
          <w:iCs/>
          <w:sz w:val="24"/>
        </w:rPr>
        <w:t>MLST</w:t>
      </w:r>
      <w:r>
        <w:rPr>
          <w:rFonts w:ascii="Times New Roman" w:hAnsi="Times New Roman"/>
          <w:sz w:val="24"/>
        </w:rPr>
        <w:t>), PĶR metodes vai citas atbilstošas metodes, ieskaitot pilno genoma sekvencēšanu (</w:t>
      </w:r>
      <w:r>
        <w:rPr>
          <w:rFonts w:ascii="Times New Roman" w:hAnsi="Times New Roman"/>
          <w:i/>
          <w:iCs/>
          <w:sz w:val="24"/>
        </w:rPr>
        <w:t>WGS</w:t>
      </w:r>
      <w:r>
        <w:rPr>
          <w:rFonts w:ascii="Times New Roman" w:hAnsi="Times New Roman"/>
          <w:sz w:val="24"/>
        </w:rPr>
        <w:t>).</w:t>
      </w:r>
    </w:p>
    <w:p w:rsidR="00132A13" w:rsidRPr="001B6F3C" w:rsidRDefault="00132A13"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Ir pierādījies, ka </w:t>
      </w:r>
      <w:r>
        <w:rPr>
          <w:rFonts w:ascii="Times New Roman" w:hAnsi="Times New Roman"/>
          <w:i/>
          <w:iCs/>
          <w:sz w:val="24"/>
        </w:rPr>
        <w:t>WGS</w:t>
      </w:r>
      <w:r>
        <w:rPr>
          <w:rFonts w:ascii="Times New Roman" w:hAnsi="Times New Roman"/>
          <w:sz w:val="24"/>
        </w:rPr>
        <w:t xml:space="preserve"> metodes apvienojumā ar epidemioloģisko informāciju dod iespēju noskaidrot radniecību starp </w:t>
      </w:r>
      <w:r>
        <w:rPr>
          <w:rFonts w:ascii="Times New Roman" w:hAnsi="Times New Roman"/>
          <w:i/>
          <w:iCs/>
          <w:sz w:val="24"/>
        </w:rPr>
        <w:t>L. monocytogenes</w:t>
      </w:r>
      <w:r>
        <w:rPr>
          <w:rFonts w:ascii="Times New Roman" w:hAnsi="Times New Roman"/>
          <w:sz w:val="24"/>
        </w:rPr>
        <w:t xml:space="preserve"> celmiem un tādējādi konstatēt ciešāku saikni starp cilvēku listeriozes gadījumiem un to izraisošajiem pārtikas produktiem (EFSA BIOHAZ Panel, 2018). Pašlaik, veicot uzliesmojumu izmeklēšanu vairākās ES valstīs, </w:t>
      </w:r>
      <w:r>
        <w:rPr>
          <w:rFonts w:ascii="Times New Roman" w:hAnsi="Times New Roman"/>
          <w:i/>
          <w:iCs/>
          <w:sz w:val="24"/>
        </w:rPr>
        <w:t>L. monocytogenes</w:t>
      </w:r>
      <w:r>
        <w:rPr>
          <w:rFonts w:ascii="Times New Roman" w:hAnsi="Times New Roman"/>
          <w:sz w:val="24"/>
        </w:rPr>
        <w:t xml:space="preserve"> piesārņojuma punktu identifikācijai pārtikas nozarē un saikņu konstatēšanai starp cilvēku klīniskajiem izolātiem, izolātiem no aizdomīgajiem pārtikas produktiem un PPV izmanto gan </w:t>
      </w:r>
      <w:r>
        <w:rPr>
          <w:rFonts w:ascii="Times New Roman" w:hAnsi="Times New Roman"/>
          <w:i/>
          <w:iCs/>
          <w:sz w:val="24"/>
        </w:rPr>
        <w:t>PFGE</w:t>
      </w:r>
      <w:r>
        <w:rPr>
          <w:rFonts w:ascii="Times New Roman" w:hAnsi="Times New Roman"/>
          <w:sz w:val="24"/>
        </w:rPr>
        <w:t xml:space="preserve">, gan </w:t>
      </w:r>
      <w:r>
        <w:rPr>
          <w:rFonts w:ascii="Times New Roman" w:hAnsi="Times New Roman"/>
          <w:i/>
          <w:iCs/>
          <w:sz w:val="24"/>
        </w:rPr>
        <w:t>WGS</w:t>
      </w:r>
      <w:r>
        <w:rPr>
          <w:rFonts w:ascii="Times New Roman" w:hAnsi="Times New Roman"/>
          <w:sz w:val="24"/>
        </w:rPr>
        <w:t>.</w:t>
      </w:r>
    </w:p>
    <w:p w:rsidR="00270842" w:rsidRPr="001B6F3C" w:rsidRDefault="00270842" w:rsidP="004650EF">
      <w:pPr>
        <w:jc w:val="both"/>
        <w:rPr>
          <w:rFonts w:ascii="Times New Roman" w:eastAsia="Calibri" w:hAnsi="Times New Roman" w:cs="Calibri"/>
          <w:noProof/>
          <w:sz w:val="24"/>
          <w:szCs w:val="29"/>
        </w:rPr>
      </w:pPr>
    </w:p>
    <w:p w:rsidR="00270842" w:rsidRPr="001B6F3C" w:rsidRDefault="00132A13" w:rsidP="00531598">
      <w:pPr>
        <w:pStyle w:val="Heading1"/>
        <w:keepNext/>
        <w:rPr>
          <w:noProof/>
        </w:rPr>
      </w:pPr>
      <w:bookmarkStart w:id="74" w:name="_TOC_250002"/>
      <w:bookmarkStart w:id="75" w:name="_Toc37931407"/>
      <w:r>
        <w:lastRenderedPageBreak/>
        <w:t xml:space="preserve">4. Secinājumi un </w:t>
      </w:r>
      <w:r w:rsidRPr="00531598">
        <w:t>ieteikumi</w:t>
      </w:r>
      <w:bookmarkEnd w:id="74"/>
      <w:bookmarkEnd w:id="75"/>
    </w:p>
    <w:p w:rsidR="00132A13" w:rsidRDefault="00132A13" w:rsidP="00531598">
      <w:pPr>
        <w:keepNext/>
        <w:jc w:val="both"/>
        <w:rPr>
          <w:rFonts w:ascii="Times New Roman" w:hAnsi="Times New Roman"/>
          <w:i/>
          <w:noProof/>
          <w:sz w:val="24"/>
        </w:rPr>
      </w:pPr>
    </w:p>
    <w:p w:rsidR="00270842" w:rsidRDefault="00270842" w:rsidP="00531598">
      <w:pPr>
        <w:keepNext/>
        <w:jc w:val="both"/>
        <w:rPr>
          <w:rFonts w:ascii="Times New Roman" w:hAnsi="Times New Roman"/>
          <w:i/>
          <w:noProof/>
          <w:sz w:val="24"/>
        </w:rPr>
      </w:pPr>
      <w:r>
        <w:rPr>
          <w:rFonts w:ascii="Times New Roman" w:hAnsi="Times New Roman"/>
          <w:i/>
          <w:sz w:val="24"/>
        </w:rPr>
        <w:t xml:space="preserve">1. darba uzdevums. </w:t>
      </w:r>
      <w:r>
        <w:rPr>
          <w:rFonts w:ascii="Times New Roman" w:hAnsi="Times New Roman"/>
          <w:i/>
          <w:iCs/>
          <w:sz w:val="24"/>
        </w:rPr>
        <w:t>Sniegt ieteikumus par paraugu ņemšanas stratēģijām un vispāratzītām mikrobioloģiskajām metodēm, kas būtu vispiemērotākās visaugstākā jutīguma nodrošināšanai, nosakot L. monocytogenes klātbūtni pārstrādei izmantotajā ūdenī un saldēto dārzeņu ražošanas vietu vidē, kā arī uz pārtikas galaproduktiem.</w:t>
      </w:r>
    </w:p>
    <w:p w:rsidR="00132A13" w:rsidRPr="001B6F3C" w:rsidRDefault="00132A13" w:rsidP="004650EF">
      <w:pPr>
        <w:jc w:val="both"/>
        <w:rPr>
          <w:rFonts w:ascii="Times New Roman" w:eastAsia="Tahoma" w:hAnsi="Times New Roman" w:cs="Tahoma"/>
          <w:noProof/>
          <w:sz w:val="24"/>
          <w:szCs w:val="19"/>
        </w:rPr>
      </w:pPr>
    </w:p>
    <w:p w:rsidR="00270842" w:rsidRDefault="00270842" w:rsidP="004650EF">
      <w:pPr>
        <w:jc w:val="both"/>
        <w:rPr>
          <w:rFonts w:ascii="Times New Roman" w:hAnsi="Times New Roman"/>
          <w:noProof/>
          <w:sz w:val="24"/>
        </w:rPr>
      </w:pPr>
      <w:r>
        <w:rPr>
          <w:rFonts w:ascii="Times New Roman" w:hAnsi="Times New Roman"/>
          <w:i/>
          <w:sz w:val="24"/>
        </w:rPr>
        <w:t xml:space="preserve">2. darba uzdevums. </w:t>
      </w:r>
      <w:r>
        <w:rPr>
          <w:rFonts w:ascii="Times New Roman" w:hAnsi="Times New Roman"/>
          <w:i/>
          <w:iCs/>
          <w:sz w:val="24"/>
        </w:rPr>
        <w:t>Sniegt ieteikumus par kritiski svarīgo paraugu ņemšanas vietu noteikšanu L. monocytogenes vides monitoringam saldēto dārzeņu ražotnēs.</w:t>
      </w:r>
      <w:r>
        <w:rPr>
          <w:rFonts w:ascii="Times New Roman" w:hAnsi="Times New Roman"/>
          <w:i/>
          <w:sz w:val="24"/>
        </w:rPr>
        <w:t xml:space="preserve"> </w:t>
      </w:r>
      <w:r>
        <w:rPr>
          <w:rFonts w:ascii="Times New Roman" w:hAnsi="Times New Roman"/>
          <w:i/>
          <w:iCs/>
          <w:sz w:val="24"/>
        </w:rPr>
        <w:t>Jāņem vērā aspekti, kas saistīti ar nišām, kurās L. monocytogenes noturīgi saglabājas un vairojas.</w:t>
      </w:r>
    </w:p>
    <w:p w:rsidR="00132A13" w:rsidRPr="001B6F3C" w:rsidRDefault="00132A13" w:rsidP="004650EF">
      <w:pPr>
        <w:jc w:val="both"/>
        <w:rPr>
          <w:rFonts w:ascii="Times New Roman" w:hAnsi="Times New Roman"/>
          <w:noProof/>
          <w:sz w:val="24"/>
        </w:rPr>
      </w:pPr>
    </w:p>
    <w:p w:rsidR="00270842" w:rsidRPr="00132A13" w:rsidRDefault="00270842" w:rsidP="00132A13">
      <w:pPr>
        <w:pStyle w:val="BodyText"/>
        <w:numPr>
          <w:ilvl w:val="0"/>
          <w:numId w:val="3"/>
        </w:numPr>
        <w:ind w:left="709" w:hanging="283"/>
        <w:jc w:val="both"/>
        <w:rPr>
          <w:rFonts w:ascii="Times New Roman" w:hAnsi="Times New Roman" w:cs="Tahoma"/>
          <w:noProof/>
          <w:sz w:val="24"/>
        </w:rPr>
      </w:pPr>
      <w:r>
        <w:rPr>
          <w:rFonts w:ascii="Times New Roman" w:hAnsi="Times New Roman"/>
          <w:sz w:val="24"/>
        </w:rPr>
        <w:t xml:space="preserve">Ieteiktās paraugu ņemšanas stratēģijas un mikrobioloģiskās metodes </w:t>
      </w:r>
      <w:r>
        <w:rPr>
          <w:rFonts w:ascii="Times New Roman" w:hAnsi="Times New Roman"/>
          <w:i/>
          <w:iCs/>
          <w:sz w:val="24"/>
        </w:rPr>
        <w:t xml:space="preserve">L. monocytogenes </w:t>
      </w:r>
      <w:r>
        <w:rPr>
          <w:rFonts w:ascii="Times New Roman" w:hAnsi="Times New Roman"/>
          <w:sz w:val="24"/>
        </w:rPr>
        <w:t xml:space="preserve">klātbūtnes noteikšanai ir paredzētas šī pārtikas patogēna noteikšanas jutīguma paaugstināšanai augļu, dārzeņu vai garšaugu (ADG) saldētavu un apstrādes un pārkraušanas vietu vidēs. Mērķis ir noteikt </w:t>
      </w:r>
      <w:r>
        <w:rPr>
          <w:rFonts w:ascii="Times New Roman" w:hAnsi="Times New Roman"/>
          <w:i/>
          <w:iCs/>
          <w:sz w:val="24"/>
        </w:rPr>
        <w:t>L. monocytogenes</w:t>
      </w:r>
      <w:r>
        <w:rPr>
          <w:rFonts w:ascii="Times New Roman" w:hAnsi="Times New Roman"/>
          <w:sz w:val="24"/>
        </w:rPr>
        <w:t xml:space="preserve"> piesārņojuma avotus un piesārņošanās ceļus šajās ražotnēs. Šim mērķim atbilstošā paraugu ņemšanas stratēģijā var noteikt </w:t>
      </w:r>
      <w:r>
        <w:rPr>
          <w:rFonts w:ascii="Times New Roman" w:hAnsi="Times New Roman"/>
          <w:b/>
          <w:bCs/>
          <w:sz w:val="24"/>
        </w:rPr>
        <w:t>septiņus soļus</w:t>
      </w:r>
      <w:r>
        <w:rPr>
          <w:rFonts w:ascii="Times New Roman" w:hAnsi="Times New Roman"/>
          <w:sz w:val="24"/>
        </w:rPr>
        <w:t>.</w:t>
      </w:r>
    </w:p>
    <w:p w:rsidR="00270842" w:rsidRDefault="00270842" w:rsidP="00132A13">
      <w:pPr>
        <w:pStyle w:val="BodyText"/>
        <w:numPr>
          <w:ilvl w:val="0"/>
          <w:numId w:val="3"/>
        </w:numPr>
        <w:ind w:left="709" w:hanging="283"/>
        <w:jc w:val="both"/>
        <w:rPr>
          <w:rFonts w:ascii="Times New Roman" w:hAnsi="Times New Roman"/>
          <w:noProof/>
          <w:sz w:val="24"/>
        </w:rPr>
      </w:pPr>
      <w:r>
        <w:rPr>
          <w:rFonts w:ascii="Times New Roman" w:hAnsi="Times New Roman"/>
          <w:b/>
          <w:sz w:val="24"/>
        </w:rPr>
        <w:t xml:space="preserve">1. solis. </w:t>
      </w:r>
      <w:r>
        <w:rPr>
          <w:rFonts w:ascii="Times New Roman" w:hAnsi="Times New Roman"/>
          <w:sz w:val="24"/>
        </w:rPr>
        <w:t xml:space="preserve">Veikt ADG saldētavu/apstrādes un pārkraušanas vietu (piemēram, infrastruktūras, iekārtu, ražošanas posmu, ar barjerām nenodalītu ražošanas zonu utt.) kritisku pārbaudi, ņemot vērā 1. tabulu par iespējamiem </w:t>
      </w:r>
      <w:r>
        <w:rPr>
          <w:rFonts w:ascii="Times New Roman" w:hAnsi="Times New Roman"/>
          <w:i/>
          <w:iCs/>
          <w:sz w:val="24"/>
        </w:rPr>
        <w:t>L. monocytogenes</w:t>
      </w:r>
      <w:r>
        <w:rPr>
          <w:rFonts w:ascii="Times New Roman" w:hAnsi="Times New Roman"/>
          <w:sz w:val="24"/>
        </w:rPr>
        <w:t xml:space="preserve"> piesārņojuma avotiem un 3. sadaļas 3. punktu.</w:t>
      </w:r>
    </w:p>
    <w:p w:rsidR="00132A13" w:rsidRPr="001B6F3C" w:rsidRDefault="00132A13" w:rsidP="00132A13">
      <w:pPr>
        <w:pStyle w:val="BodyText"/>
        <w:tabs>
          <w:tab w:val="left" w:pos="810"/>
        </w:tabs>
        <w:ind w:left="0"/>
        <w:jc w:val="both"/>
        <w:rPr>
          <w:rFonts w:ascii="Times New Roman" w:hAnsi="Times New Roman"/>
          <w:noProof/>
          <w:sz w:val="24"/>
        </w:rPr>
      </w:pPr>
    </w:p>
    <w:p w:rsidR="00270842" w:rsidRPr="001B6F3C" w:rsidRDefault="00270842" w:rsidP="00132A13">
      <w:pPr>
        <w:pStyle w:val="BodyText"/>
        <w:numPr>
          <w:ilvl w:val="1"/>
          <w:numId w:val="3"/>
        </w:numPr>
        <w:ind w:left="1134" w:hanging="425"/>
        <w:jc w:val="both"/>
        <w:rPr>
          <w:rFonts w:ascii="Times New Roman" w:hAnsi="Times New Roman"/>
          <w:noProof/>
          <w:sz w:val="24"/>
        </w:rPr>
      </w:pPr>
      <w:r>
        <w:rPr>
          <w:rFonts w:ascii="Times New Roman" w:hAnsi="Times New Roman"/>
          <w:sz w:val="24"/>
        </w:rPr>
        <w:t>Sarežģītas darbības, kurās izmanto daudzas dažādas sastāvdaļas un vairākas pārstrādes līnijas ar dažādiem ražošanas posmiem, rada lielākas piesārņojuma iespējas.</w:t>
      </w:r>
    </w:p>
    <w:p w:rsidR="00270842" w:rsidRPr="001B6F3C" w:rsidRDefault="00270842" w:rsidP="00132A13">
      <w:pPr>
        <w:pStyle w:val="BodyText"/>
        <w:numPr>
          <w:ilvl w:val="1"/>
          <w:numId w:val="3"/>
        </w:numPr>
        <w:ind w:left="1134" w:hanging="425"/>
        <w:jc w:val="both"/>
        <w:rPr>
          <w:rFonts w:ascii="Times New Roman" w:hAnsi="Times New Roman"/>
          <w:noProof/>
          <w:sz w:val="24"/>
        </w:rPr>
      </w:pPr>
      <w:r>
        <w:rPr>
          <w:rFonts w:ascii="Times New Roman" w:hAnsi="Times New Roman"/>
          <w:sz w:val="24"/>
        </w:rPr>
        <w:t>Saldētavā ir zonas ar zemām sanitārajām prasībām vietās, kur svaigos ADG pieņem, uzglabā un sagatavo tālākai pārstrādei. Pēc mazgāšanas, blanšēšanas, atdzesēšanas un pēdējiem sagatavošanas posmiem ir vajadzīgas zonas ar augstākām sanitārajām prasībām, lai izvairītos no (tieša vai netieša) piesārņojuma produktā.</w:t>
      </w:r>
    </w:p>
    <w:p w:rsidR="00270842" w:rsidRDefault="00270842" w:rsidP="00132A13">
      <w:pPr>
        <w:pStyle w:val="BodyText"/>
        <w:numPr>
          <w:ilvl w:val="1"/>
          <w:numId w:val="3"/>
        </w:numPr>
        <w:ind w:left="1134" w:hanging="425"/>
        <w:jc w:val="both"/>
        <w:rPr>
          <w:rFonts w:ascii="Times New Roman" w:hAnsi="Times New Roman"/>
          <w:noProof/>
          <w:sz w:val="24"/>
        </w:rPr>
      </w:pPr>
      <w:r>
        <w:rPr>
          <w:rFonts w:ascii="Times New Roman" w:hAnsi="Times New Roman"/>
          <w:sz w:val="24"/>
        </w:rPr>
        <w:t>Attiecīgās kritiski svarīgās paraugu ņemšanas vietas (</w:t>
      </w:r>
      <w:r>
        <w:rPr>
          <w:rFonts w:ascii="Times New Roman" w:hAnsi="Times New Roman"/>
          <w:i/>
          <w:iCs/>
          <w:sz w:val="24"/>
        </w:rPr>
        <w:t>CSS</w:t>
      </w:r>
      <w:r>
        <w:rPr>
          <w:rFonts w:ascii="Times New Roman" w:hAnsi="Times New Roman"/>
          <w:sz w:val="24"/>
        </w:rPr>
        <w:t>) var noteikt, kritiski apsekojot saldētavu vai apstrādes un pārkraušanas vietu, lai noteiktu, piemēram, kā tiek organizēts ražošanas process, kādu aprīkojumu izmanto un kā virzās ūdens plūsmas.</w:t>
      </w:r>
    </w:p>
    <w:p w:rsidR="00132A13" w:rsidRPr="001B6F3C" w:rsidRDefault="00132A13" w:rsidP="00132A13">
      <w:pPr>
        <w:pStyle w:val="BodyText"/>
        <w:tabs>
          <w:tab w:val="left" w:pos="1487"/>
        </w:tabs>
        <w:ind w:left="0"/>
        <w:jc w:val="both"/>
        <w:rPr>
          <w:rFonts w:ascii="Times New Roman" w:hAnsi="Times New Roman"/>
          <w:noProof/>
          <w:sz w:val="24"/>
        </w:rPr>
      </w:pPr>
    </w:p>
    <w:p w:rsidR="00270842" w:rsidRDefault="00270842" w:rsidP="00132A13">
      <w:pPr>
        <w:pStyle w:val="BodyText"/>
        <w:numPr>
          <w:ilvl w:val="0"/>
          <w:numId w:val="3"/>
        </w:numPr>
        <w:ind w:left="709" w:hanging="283"/>
        <w:jc w:val="both"/>
        <w:rPr>
          <w:rFonts w:ascii="Times New Roman" w:hAnsi="Times New Roman"/>
          <w:noProof/>
          <w:sz w:val="24"/>
        </w:rPr>
      </w:pPr>
      <w:r>
        <w:rPr>
          <w:rFonts w:ascii="Times New Roman" w:hAnsi="Times New Roman"/>
          <w:b/>
          <w:sz w:val="24"/>
        </w:rPr>
        <w:t xml:space="preserve">2. solis. </w:t>
      </w:r>
      <w:r>
        <w:rPr>
          <w:rFonts w:ascii="Times New Roman" w:hAnsi="Times New Roman"/>
          <w:sz w:val="24"/>
        </w:rPr>
        <w:t>Identificēt kritiski svarīgās paraugu ņemšanas vietas (</w:t>
      </w:r>
      <w:r>
        <w:rPr>
          <w:rFonts w:ascii="Times New Roman" w:hAnsi="Times New Roman"/>
          <w:i/>
          <w:iCs/>
          <w:sz w:val="24"/>
        </w:rPr>
        <w:t>CSS</w:t>
      </w:r>
      <w:r>
        <w:rPr>
          <w:rFonts w:ascii="Times New Roman" w:hAnsi="Times New Roman"/>
          <w:sz w:val="24"/>
        </w:rPr>
        <w:t>) ADG saldētavu/apstrādes un pārkraušanas vietu vidē (virsmas, kas ir saskarē ar pārtiku, un citas kontaktvirsmas, apstrādē izmantotais ūdens), ņemot vērā 1. tabulu.</w:t>
      </w:r>
    </w:p>
    <w:p w:rsidR="00132A13" w:rsidRPr="001B6F3C" w:rsidRDefault="00132A13" w:rsidP="00132A13">
      <w:pPr>
        <w:pStyle w:val="BodyText"/>
        <w:tabs>
          <w:tab w:val="left" w:pos="810"/>
        </w:tabs>
        <w:ind w:left="0"/>
        <w:jc w:val="both"/>
        <w:rPr>
          <w:rFonts w:ascii="Times New Roman" w:hAnsi="Times New Roman"/>
          <w:noProof/>
          <w:sz w:val="24"/>
        </w:rPr>
      </w:pPr>
    </w:p>
    <w:p w:rsidR="00270842" w:rsidRPr="001B6F3C" w:rsidRDefault="00270842" w:rsidP="00132A13">
      <w:pPr>
        <w:pStyle w:val="BodyText"/>
        <w:numPr>
          <w:ilvl w:val="1"/>
          <w:numId w:val="3"/>
        </w:numPr>
        <w:ind w:left="1134" w:hanging="425"/>
        <w:jc w:val="both"/>
        <w:rPr>
          <w:rFonts w:ascii="Times New Roman" w:hAnsi="Times New Roman"/>
          <w:noProof/>
          <w:sz w:val="24"/>
        </w:rPr>
      </w:pPr>
      <w:r>
        <w:rPr>
          <w:rFonts w:ascii="Times New Roman" w:hAnsi="Times New Roman"/>
          <w:sz w:val="24"/>
        </w:rPr>
        <w:t xml:space="preserve">No </w:t>
      </w:r>
      <w:r>
        <w:rPr>
          <w:rFonts w:ascii="Times New Roman" w:hAnsi="Times New Roman"/>
          <w:i/>
          <w:iCs/>
          <w:sz w:val="24"/>
        </w:rPr>
        <w:t>L. monocytogenes</w:t>
      </w:r>
      <w:r>
        <w:rPr>
          <w:rFonts w:ascii="Times New Roman" w:hAnsi="Times New Roman"/>
          <w:sz w:val="24"/>
        </w:rPr>
        <w:t xml:space="preserve"> potenciālo avotu garā saraksta jāizveido īss </w:t>
      </w:r>
      <w:r>
        <w:rPr>
          <w:rFonts w:ascii="Times New Roman" w:hAnsi="Times New Roman"/>
          <w:i/>
          <w:iCs/>
          <w:sz w:val="24"/>
        </w:rPr>
        <w:t>CSS</w:t>
      </w:r>
      <w:r>
        <w:rPr>
          <w:rFonts w:ascii="Times New Roman" w:hAnsi="Times New Roman"/>
          <w:sz w:val="24"/>
        </w:rPr>
        <w:t xml:space="preserve"> saraksts.</w:t>
      </w:r>
    </w:p>
    <w:p w:rsidR="00270842" w:rsidRPr="001B6F3C" w:rsidRDefault="00270842" w:rsidP="00132A13">
      <w:pPr>
        <w:pStyle w:val="BodyText"/>
        <w:numPr>
          <w:ilvl w:val="1"/>
          <w:numId w:val="3"/>
        </w:numPr>
        <w:ind w:left="1134" w:hanging="425"/>
        <w:jc w:val="both"/>
        <w:rPr>
          <w:rFonts w:ascii="Times New Roman" w:hAnsi="Times New Roman"/>
          <w:noProof/>
          <w:sz w:val="24"/>
        </w:rPr>
      </w:pPr>
      <w:r>
        <w:rPr>
          <w:rFonts w:ascii="Times New Roman" w:hAnsi="Times New Roman"/>
          <w:sz w:val="24"/>
        </w:rPr>
        <w:t xml:space="preserve">Vajadzīgs saskaņots darbs paraugu ņemšanas plānošanai no ražošanas partijām un vides </w:t>
      </w:r>
      <w:r>
        <w:rPr>
          <w:rFonts w:ascii="Times New Roman" w:hAnsi="Times New Roman"/>
          <w:i/>
          <w:iCs/>
          <w:sz w:val="24"/>
        </w:rPr>
        <w:t>CSS</w:t>
      </w:r>
      <w:r>
        <w:rPr>
          <w:rFonts w:ascii="Times New Roman" w:hAnsi="Times New Roman"/>
          <w:sz w:val="24"/>
        </w:rPr>
        <w:t>, t. i., jāņem paraugi no vienas un tās pašas ražošanas partijas, sākot no svaigajiem ADG vai citām katrā partijā izmantotajām sastāvdaļām, starpproduktiem un beidzot ar iepakotajiem produktiem, kas no šīm partijām saražoti.</w:t>
      </w:r>
    </w:p>
    <w:p w:rsidR="00270842" w:rsidRPr="001B6F3C" w:rsidRDefault="00270842" w:rsidP="00132A13">
      <w:pPr>
        <w:pStyle w:val="BodyText"/>
        <w:numPr>
          <w:ilvl w:val="1"/>
          <w:numId w:val="3"/>
        </w:numPr>
        <w:ind w:left="1134" w:hanging="425"/>
        <w:jc w:val="both"/>
        <w:rPr>
          <w:rFonts w:ascii="Times New Roman" w:hAnsi="Times New Roman"/>
          <w:noProof/>
          <w:sz w:val="24"/>
        </w:rPr>
      </w:pPr>
      <w:r>
        <w:rPr>
          <w:rFonts w:ascii="Times New Roman" w:hAnsi="Times New Roman"/>
          <w:sz w:val="24"/>
        </w:rPr>
        <w:t xml:space="preserve">Saldētavās tipiskās kontaktvirsmas, kas nav saskarē ar pārtiku un kurās var atrasties </w:t>
      </w:r>
      <w:r>
        <w:rPr>
          <w:rFonts w:ascii="Times New Roman" w:hAnsi="Times New Roman"/>
          <w:i/>
          <w:iCs/>
          <w:sz w:val="24"/>
        </w:rPr>
        <w:t>L. monocytogenes</w:t>
      </w:r>
      <w:r>
        <w:rPr>
          <w:rFonts w:ascii="Times New Roman" w:hAnsi="Times New Roman"/>
          <w:sz w:val="24"/>
        </w:rPr>
        <w:t xml:space="preserve">, ir šādas: grīda, it īpaši tajā esošās spraugas un plaisas, sienas, notekas, griesti, pie griestiem piestiprinātas konstrukcijas, ejas, mazgāšanas vietas, kondensāts un stāvošs ūdens, mitra izolācija, kas atrodas sienās un ap caurulēm un dzesēšanas agregātiem, gumijas blīves ap durvīm (jo īpaši dzesētavās), metāla savienojumu vietas (jo īpaši, metinātie un bultskrūvju </w:t>
      </w:r>
      <w:r>
        <w:rPr>
          <w:rFonts w:ascii="Times New Roman" w:hAnsi="Times New Roman"/>
          <w:sz w:val="24"/>
        </w:rPr>
        <w:lastRenderedPageBreak/>
        <w:t xml:space="preserve">savienojumi) un </w:t>
      </w:r>
      <w:r w:rsidR="00EF22E2">
        <w:rPr>
          <w:rFonts w:ascii="Times New Roman" w:hAnsi="Times New Roman"/>
          <w:sz w:val="24"/>
        </w:rPr>
        <w:t>vakuuma tīrīšanas ierīču</w:t>
      </w:r>
      <w:r>
        <w:rPr>
          <w:rFonts w:ascii="Times New Roman" w:hAnsi="Times New Roman"/>
          <w:sz w:val="24"/>
        </w:rPr>
        <w:t xml:space="preserve"> saturs. Šīs netiešās kontaktvietas var piesārņot produktu ar izplūstoša ūdens, mitruma un kondensāta starpniecību.</w:t>
      </w:r>
    </w:p>
    <w:p w:rsidR="00270842" w:rsidRPr="001B6F3C" w:rsidRDefault="00270842" w:rsidP="00132A13">
      <w:pPr>
        <w:pStyle w:val="BodyText"/>
        <w:numPr>
          <w:ilvl w:val="1"/>
          <w:numId w:val="3"/>
        </w:numPr>
        <w:ind w:left="1134" w:hanging="425"/>
        <w:jc w:val="both"/>
        <w:rPr>
          <w:rFonts w:ascii="Times New Roman" w:hAnsi="Times New Roman"/>
          <w:noProof/>
          <w:sz w:val="24"/>
        </w:rPr>
      </w:pPr>
      <w:r>
        <w:rPr>
          <w:rFonts w:ascii="Times New Roman" w:hAnsi="Times New Roman"/>
          <w:sz w:val="24"/>
        </w:rPr>
        <w:t xml:space="preserve">Attiecībā uz kontaktvirsmām, kas ir saskarē ar pārtiku, </w:t>
      </w:r>
      <w:r>
        <w:rPr>
          <w:rFonts w:ascii="Times New Roman" w:hAnsi="Times New Roman"/>
          <w:i/>
          <w:iCs/>
          <w:sz w:val="24"/>
        </w:rPr>
        <w:t>L. monocytogenes</w:t>
      </w:r>
      <w:r>
        <w:rPr>
          <w:rFonts w:ascii="Times New Roman" w:hAnsi="Times New Roman"/>
          <w:sz w:val="24"/>
        </w:rPr>
        <w:t xml:space="preserve"> bieži atrod uz pārtikas apstrādē, sagatavošanā, uzglabāšanā un pārvadāšanā izmantotā aprīkojuma, piemēram, sasaldēšanas tuneļos, veidnēs, uz rotora asmens, griešanas iekārtām, nažiem, griešanas dēļiem, konveijeru lentēm (galvenokārt konveijeros, ko izmanto pēc blanšēšanas/vibrācijas konveijeros), cimdveida savienojumos, blīvēs un blīvripās, un citviet.</w:t>
      </w:r>
    </w:p>
    <w:p w:rsidR="00270842" w:rsidRPr="00132A13" w:rsidRDefault="00270842" w:rsidP="00132A13">
      <w:pPr>
        <w:pStyle w:val="BodyText"/>
        <w:numPr>
          <w:ilvl w:val="1"/>
          <w:numId w:val="3"/>
        </w:numPr>
        <w:ind w:left="1134" w:hanging="425"/>
        <w:jc w:val="both"/>
        <w:rPr>
          <w:rFonts w:ascii="Times New Roman" w:hAnsi="Times New Roman"/>
          <w:noProof/>
          <w:sz w:val="24"/>
        </w:rPr>
      </w:pPr>
      <w:r>
        <w:rPr>
          <w:rFonts w:ascii="Times New Roman" w:hAnsi="Times New Roman"/>
          <w:sz w:val="24"/>
        </w:rPr>
        <w:t xml:space="preserve">Nonākot saldētavā, </w:t>
      </w:r>
      <w:r>
        <w:rPr>
          <w:rFonts w:ascii="Times New Roman" w:hAnsi="Times New Roman"/>
          <w:i/>
          <w:iCs/>
          <w:sz w:val="24"/>
        </w:rPr>
        <w:t>L. monocytogenes</w:t>
      </w:r>
      <w:r>
        <w:rPr>
          <w:rFonts w:ascii="Times New Roman" w:hAnsi="Times New Roman"/>
          <w:sz w:val="24"/>
        </w:rPr>
        <w:t xml:space="preserve"> vienmēr atrod piemērotas nišas, it īpaši mitrās vietās, kur šis mikroorganisms var netraucēti atrasties un arī vairoties; šīs kritiski svarīgās vietas var būt arī slēptas un nepieejamas aprīkojuma virsmas, kas netiek regulāri tīrītas vai uzturētas kārtībā.</w:t>
      </w:r>
    </w:p>
    <w:p w:rsidR="00270842" w:rsidRPr="001B6F3C" w:rsidRDefault="00270842" w:rsidP="00132A13">
      <w:pPr>
        <w:pStyle w:val="BodyText"/>
        <w:numPr>
          <w:ilvl w:val="0"/>
          <w:numId w:val="2"/>
        </w:numPr>
        <w:tabs>
          <w:tab w:val="left" w:pos="3147"/>
        </w:tabs>
        <w:ind w:left="1134" w:hanging="425"/>
        <w:jc w:val="both"/>
        <w:rPr>
          <w:rFonts w:ascii="Times New Roman" w:hAnsi="Times New Roman"/>
          <w:noProof/>
          <w:sz w:val="24"/>
        </w:rPr>
      </w:pPr>
      <w:r>
        <w:rPr>
          <w:rFonts w:ascii="Times New Roman" w:hAnsi="Times New Roman"/>
          <w:sz w:val="24"/>
        </w:rPr>
        <w:t>Turklāt šūnas, kas saglabājas baktēriju atrašanās vietās, neskatoties uz tīrīšanu un dezinfekciju, arī ne vienmēr tiek atklātas, turpretim pārstrādes laikā, kad iekārtas vibrē un/vai tāpēc, ka pārtika un/šķidrumi nonāk saskarē ar baktēriju atrašanās vietām, šīs šūnas paraugu ņemšanas laikā kļūst vieglāk pieejamas.</w:t>
      </w:r>
    </w:p>
    <w:p w:rsidR="00270842" w:rsidRPr="001B6F3C" w:rsidRDefault="00270842" w:rsidP="00132A13">
      <w:pPr>
        <w:pStyle w:val="BodyText"/>
        <w:numPr>
          <w:ilvl w:val="0"/>
          <w:numId w:val="2"/>
        </w:numPr>
        <w:tabs>
          <w:tab w:val="left" w:pos="3147"/>
        </w:tabs>
        <w:ind w:left="1134" w:hanging="425"/>
        <w:jc w:val="both"/>
        <w:rPr>
          <w:rFonts w:ascii="Times New Roman" w:hAnsi="Times New Roman"/>
          <w:noProof/>
          <w:sz w:val="24"/>
        </w:rPr>
      </w:pPr>
      <w:r>
        <w:rPr>
          <w:rFonts w:ascii="Times New Roman" w:hAnsi="Times New Roman"/>
          <w:sz w:val="24"/>
        </w:rPr>
        <w:t>Saldētavās parasti izmanto ūdeni, jo lielāko daļu produktu mazgā, blanšē, glazē, atdzesē vai pārvieto, izmantojot ūdeni. Apstrādē izmantotais ūdens var būt potenciāls avots, kas izraisa dažādu partiju savstarpēju piesārņošanos. Savstarpēja piesārņošanās veidojas mazgāšanas laikā, kad piesārņotus ADG mazgā apstrādē izmantotajā ūdenī, to piesārņojot un radot augstu piesārņojuma risku, ja pēc tam šai pašā ūdenī mazgā nepiesārņotus ADG.</w:t>
      </w:r>
    </w:p>
    <w:p w:rsidR="00270842" w:rsidRPr="001B6F3C" w:rsidRDefault="00270842" w:rsidP="00132A13">
      <w:pPr>
        <w:pStyle w:val="BodyText"/>
        <w:numPr>
          <w:ilvl w:val="0"/>
          <w:numId w:val="2"/>
        </w:numPr>
        <w:tabs>
          <w:tab w:val="left" w:pos="3147"/>
        </w:tabs>
        <w:ind w:left="1134" w:hanging="425"/>
        <w:jc w:val="both"/>
        <w:rPr>
          <w:rFonts w:ascii="Times New Roman" w:hAnsi="Times New Roman"/>
          <w:noProof/>
          <w:sz w:val="24"/>
        </w:rPr>
      </w:pPr>
      <w:r>
        <w:rPr>
          <w:rFonts w:ascii="Times New Roman" w:hAnsi="Times New Roman"/>
          <w:sz w:val="24"/>
        </w:rPr>
        <w:t>Ūdens, ko izmanto mazgāšanai un tīrīšanai, jo īpaši lietojot augstspiediena šļūtenes, veicinās baktēriju izplatīšanos ap apstrādes zonu.</w:t>
      </w:r>
    </w:p>
    <w:p w:rsidR="00270842" w:rsidRPr="001B6F3C" w:rsidRDefault="00270842" w:rsidP="00132A13">
      <w:pPr>
        <w:pStyle w:val="BodyText"/>
        <w:numPr>
          <w:ilvl w:val="0"/>
          <w:numId w:val="2"/>
        </w:numPr>
        <w:tabs>
          <w:tab w:val="left" w:pos="3147"/>
        </w:tabs>
        <w:ind w:left="1134" w:hanging="425"/>
        <w:jc w:val="both"/>
        <w:rPr>
          <w:rFonts w:ascii="Times New Roman" w:hAnsi="Times New Roman"/>
          <w:noProof/>
          <w:sz w:val="24"/>
        </w:rPr>
      </w:pPr>
      <w:r>
        <w:rPr>
          <w:rFonts w:ascii="Times New Roman" w:hAnsi="Times New Roman"/>
          <w:sz w:val="24"/>
        </w:rPr>
        <w:t>Liela nozīme ir cilvēka rīcībai, piemēram, kad darbinieki pārvietojas no parasto sanitāro prasību zonām uz zonām ar paaugstinātām sanitārajām prasībām bez aizsardzības pasākumu veikšanas, tā rezultātā potenciāli izraisot savstarpēju piesārņošanos.</w:t>
      </w:r>
    </w:p>
    <w:p w:rsidR="00132A13" w:rsidRPr="00132A13" w:rsidRDefault="00132A13" w:rsidP="00132A13">
      <w:pPr>
        <w:pStyle w:val="BodyText"/>
        <w:tabs>
          <w:tab w:val="left" w:pos="2470"/>
        </w:tabs>
        <w:ind w:left="0"/>
        <w:jc w:val="both"/>
        <w:rPr>
          <w:rFonts w:ascii="Times New Roman" w:hAnsi="Times New Roman"/>
          <w:noProof/>
          <w:sz w:val="24"/>
        </w:rPr>
      </w:pPr>
    </w:p>
    <w:p w:rsidR="00270842" w:rsidRDefault="00270842" w:rsidP="00132A13">
      <w:pPr>
        <w:pStyle w:val="BodyText"/>
        <w:numPr>
          <w:ilvl w:val="2"/>
          <w:numId w:val="3"/>
        </w:numPr>
        <w:ind w:left="709" w:hanging="283"/>
        <w:jc w:val="both"/>
        <w:rPr>
          <w:rFonts w:ascii="Times New Roman" w:hAnsi="Times New Roman"/>
          <w:noProof/>
          <w:sz w:val="24"/>
        </w:rPr>
      </w:pPr>
      <w:r>
        <w:rPr>
          <w:rFonts w:ascii="Times New Roman" w:hAnsi="Times New Roman"/>
          <w:b/>
          <w:sz w:val="24"/>
        </w:rPr>
        <w:t xml:space="preserve">3. solis. </w:t>
      </w:r>
      <w:r>
        <w:rPr>
          <w:rFonts w:ascii="Times New Roman" w:hAnsi="Times New Roman"/>
          <w:sz w:val="24"/>
        </w:rPr>
        <w:t xml:space="preserve">Noteikt paraugu ņemšanas plānu, tostarp </w:t>
      </w:r>
      <w:r>
        <w:rPr>
          <w:rFonts w:ascii="Times New Roman" w:hAnsi="Times New Roman"/>
          <w:i/>
          <w:iCs/>
          <w:sz w:val="24"/>
        </w:rPr>
        <w:t>CSS</w:t>
      </w:r>
      <w:r>
        <w:rPr>
          <w:rFonts w:ascii="Times New Roman" w:hAnsi="Times New Roman"/>
          <w:sz w:val="24"/>
        </w:rPr>
        <w:t>, ražošanas dienas un paraugu ņemšanas laikus (2. tabula).</w:t>
      </w:r>
    </w:p>
    <w:p w:rsidR="00132A13" w:rsidRPr="001B6F3C" w:rsidRDefault="00132A13" w:rsidP="00132A13">
      <w:pPr>
        <w:pStyle w:val="BodyText"/>
        <w:tabs>
          <w:tab w:val="left" w:pos="2470"/>
        </w:tabs>
        <w:ind w:left="0"/>
        <w:jc w:val="both"/>
        <w:rPr>
          <w:rFonts w:ascii="Times New Roman" w:hAnsi="Times New Roman"/>
          <w:noProof/>
          <w:sz w:val="24"/>
        </w:rPr>
      </w:pPr>
    </w:p>
    <w:p w:rsidR="00270842" w:rsidRPr="001B6F3C" w:rsidRDefault="00270842" w:rsidP="00132A13">
      <w:pPr>
        <w:pStyle w:val="BodyText"/>
        <w:numPr>
          <w:ilvl w:val="3"/>
          <w:numId w:val="3"/>
        </w:numPr>
        <w:ind w:left="1134" w:hanging="425"/>
        <w:jc w:val="both"/>
        <w:rPr>
          <w:rFonts w:ascii="Times New Roman" w:hAnsi="Times New Roman"/>
          <w:noProof/>
          <w:sz w:val="24"/>
        </w:rPr>
      </w:pPr>
      <w:r>
        <w:rPr>
          <w:rFonts w:ascii="Times New Roman" w:hAnsi="Times New Roman"/>
          <w:i/>
          <w:iCs/>
          <w:sz w:val="24"/>
        </w:rPr>
        <w:t>L. monocytogenes</w:t>
      </w:r>
      <w:r>
        <w:rPr>
          <w:rFonts w:ascii="Times New Roman" w:hAnsi="Times New Roman"/>
          <w:sz w:val="24"/>
        </w:rPr>
        <w:t xml:space="preserve"> piesārņojuma izcelsmes vietas noteikšanai saldētu ADG saldētavās/apstrādes un pārkraušanas vietās ieteicams izmantot paraugu ņemšanas principu mikrobioloģiskā avota izsekošanai (</w:t>
      </w:r>
      <w:r>
        <w:rPr>
          <w:rFonts w:ascii="Times New Roman" w:hAnsi="Times New Roman"/>
          <w:i/>
          <w:iCs/>
          <w:sz w:val="24"/>
        </w:rPr>
        <w:t>MST</w:t>
      </w:r>
      <w:r>
        <w:rPr>
          <w:rFonts w:ascii="Times New Roman" w:hAnsi="Times New Roman"/>
          <w:sz w:val="24"/>
        </w:rPr>
        <w:t xml:space="preserve">). Šajā ziņojumā aprakstītās paraugu ņemšanas procedūras jāveic pēc iespējas pilnīgi, lai aptvertu vislielāko </w:t>
      </w:r>
      <w:r>
        <w:rPr>
          <w:rFonts w:ascii="Times New Roman" w:hAnsi="Times New Roman"/>
          <w:i/>
          <w:iCs/>
          <w:sz w:val="24"/>
        </w:rPr>
        <w:t>CSS</w:t>
      </w:r>
      <w:r>
        <w:rPr>
          <w:rFonts w:ascii="Times New Roman" w:hAnsi="Times New Roman"/>
          <w:sz w:val="24"/>
        </w:rPr>
        <w:t xml:space="preserve"> skaitu un paraugu skaitu no vienas </w:t>
      </w:r>
      <w:r>
        <w:rPr>
          <w:rFonts w:ascii="Times New Roman" w:hAnsi="Times New Roman"/>
          <w:i/>
          <w:iCs/>
          <w:sz w:val="24"/>
        </w:rPr>
        <w:t>CSS</w:t>
      </w:r>
      <w:r>
        <w:rPr>
          <w:rFonts w:ascii="Times New Roman" w:hAnsi="Times New Roman"/>
          <w:sz w:val="24"/>
        </w:rPr>
        <w:t xml:space="preserve"> izpratnes gūšanai par piesārņojuma avotu iespējamo daudzveidību.</w:t>
      </w:r>
    </w:p>
    <w:p w:rsidR="00270842" w:rsidRPr="001B6F3C" w:rsidRDefault="00270842" w:rsidP="00132A13">
      <w:pPr>
        <w:pStyle w:val="BodyText"/>
        <w:numPr>
          <w:ilvl w:val="3"/>
          <w:numId w:val="3"/>
        </w:numPr>
        <w:ind w:left="1134" w:hanging="425"/>
        <w:jc w:val="both"/>
        <w:rPr>
          <w:rFonts w:ascii="Times New Roman" w:hAnsi="Times New Roman"/>
          <w:noProof/>
          <w:sz w:val="24"/>
        </w:rPr>
      </w:pPr>
      <w:r>
        <w:rPr>
          <w:rFonts w:ascii="Times New Roman" w:hAnsi="Times New Roman"/>
          <w:sz w:val="24"/>
        </w:rPr>
        <w:t>Kad vien tas ir iespējams, paraugi jāņem dažādos paraugu ņemšanas laikos, ieskaitot vairākas stundas pēc saldēto ADG ražošanas uzsākšanas, kad ir lielāka piesārņojuma uzkrāšanās iespējamība.</w:t>
      </w:r>
    </w:p>
    <w:p w:rsidR="00270842" w:rsidRDefault="00270842" w:rsidP="00132A13">
      <w:pPr>
        <w:pStyle w:val="BodyText"/>
        <w:numPr>
          <w:ilvl w:val="3"/>
          <w:numId w:val="3"/>
        </w:numPr>
        <w:ind w:left="1134" w:hanging="425"/>
        <w:jc w:val="both"/>
        <w:rPr>
          <w:rFonts w:ascii="Times New Roman" w:hAnsi="Times New Roman"/>
          <w:noProof/>
          <w:sz w:val="24"/>
        </w:rPr>
      </w:pPr>
      <w:r>
        <w:rPr>
          <w:rFonts w:ascii="Times New Roman" w:hAnsi="Times New Roman"/>
          <w:sz w:val="24"/>
        </w:rPr>
        <w:t xml:space="preserve">Piemērs varētu būt ražošanas līnija, kuru apsekojot un ņemot </w:t>
      </w:r>
      <w:r w:rsidR="00B13670">
        <w:rPr>
          <w:rFonts w:ascii="Times New Roman" w:hAnsi="Times New Roman"/>
          <w:sz w:val="24"/>
        </w:rPr>
        <w:t>divus identiskus paraugus</w:t>
      </w:r>
      <w:r>
        <w:rPr>
          <w:rFonts w:ascii="Times New Roman" w:hAnsi="Times New Roman"/>
          <w:sz w:val="24"/>
        </w:rPr>
        <w:t xml:space="preserve"> 20 vietās (</w:t>
      </w:r>
      <w:r>
        <w:rPr>
          <w:rFonts w:ascii="Times New Roman" w:hAnsi="Times New Roman"/>
          <w:i/>
          <w:iCs/>
          <w:sz w:val="24"/>
        </w:rPr>
        <w:t>CSS</w:t>
      </w:r>
      <w:r>
        <w:rPr>
          <w:rFonts w:ascii="Times New Roman" w:hAnsi="Times New Roman"/>
          <w:sz w:val="24"/>
        </w:rPr>
        <w:t xml:space="preserve">) trīs ražošanas dienas trijos paraugu ņemšanas laikos katrā no tām iegūst 360 paraugus, kas ļauj gūt izpratni par piesārņojuma avotu potenciālo daudzveidību. Tomēr dažos gadījumos, lai kopējais paraugu skaits būtu lielāks, var nākties noteikt lielāku skaitu </w:t>
      </w:r>
      <w:r>
        <w:rPr>
          <w:rFonts w:ascii="Times New Roman" w:hAnsi="Times New Roman"/>
          <w:i/>
          <w:iCs/>
          <w:sz w:val="24"/>
        </w:rPr>
        <w:t>CSS</w:t>
      </w:r>
      <w:r>
        <w:rPr>
          <w:rFonts w:ascii="Times New Roman" w:hAnsi="Times New Roman"/>
          <w:sz w:val="24"/>
        </w:rPr>
        <w:t>. Situācijā, kad veic uzliesmojuma izcelsmes izsekošanu, nav nekas neparasts, ja savākto paraugu skaits pārsniedz 500.</w:t>
      </w:r>
    </w:p>
    <w:p w:rsidR="00132A13" w:rsidRPr="001B6F3C" w:rsidRDefault="00132A13" w:rsidP="00132A13">
      <w:pPr>
        <w:pStyle w:val="BodyText"/>
        <w:tabs>
          <w:tab w:val="left" w:pos="3147"/>
        </w:tabs>
        <w:ind w:left="0"/>
        <w:jc w:val="both"/>
        <w:rPr>
          <w:rFonts w:ascii="Times New Roman" w:hAnsi="Times New Roman"/>
          <w:noProof/>
          <w:sz w:val="24"/>
        </w:rPr>
      </w:pPr>
    </w:p>
    <w:p w:rsidR="00270842" w:rsidRDefault="00270842" w:rsidP="00132A13">
      <w:pPr>
        <w:pStyle w:val="BodyText"/>
        <w:numPr>
          <w:ilvl w:val="2"/>
          <w:numId w:val="3"/>
        </w:numPr>
        <w:ind w:left="709" w:hanging="283"/>
        <w:jc w:val="both"/>
        <w:rPr>
          <w:rFonts w:ascii="Times New Roman" w:hAnsi="Times New Roman"/>
          <w:noProof/>
          <w:sz w:val="24"/>
        </w:rPr>
      </w:pPr>
      <w:r>
        <w:rPr>
          <w:rFonts w:ascii="Times New Roman" w:hAnsi="Times New Roman"/>
          <w:b/>
          <w:sz w:val="24"/>
        </w:rPr>
        <w:t xml:space="preserve">4. solis. </w:t>
      </w:r>
      <w:r>
        <w:rPr>
          <w:rFonts w:ascii="Times New Roman" w:hAnsi="Times New Roman"/>
          <w:sz w:val="24"/>
        </w:rPr>
        <w:t xml:space="preserve">Izvēlēties paraugu ņemšanas procedūru no svaigajiem un/vai saldētajiem ADG, kontaktvirsmām, kas ir saskarē ar pārtiku, un citām kontaktvirsmām un apstrādē </w:t>
      </w:r>
      <w:r>
        <w:rPr>
          <w:rFonts w:ascii="Times New Roman" w:hAnsi="Times New Roman"/>
          <w:sz w:val="24"/>
        </w:rPr>
        <w:lastRenderedPageBreak/>
        <w:t>izmantotā ūdens.</w:t>
      </w:r>
    </w:p>
    <w:p w:rsidR="00132A13" w:rsidRPr="001B6F3C" w:rsidRDefault="00132A13" w:rsidP="00132A13">
      <w:pPr>
        <w:pStyle w:val="BodyText"/>
        <w:tabs>
          <w:tab w:val="left" w:pos="2470"/>
        </w:tabs>
        <w:ind w:left="0"/>
        <w:jc w:val="both"/>
        <w:rPr>
          <w:rFonts w:ascii="Times New Roman" w:hAnsi="Times New Roman"/>
          <w:noProof/>
          <w:sz w:val="24"/>
        </w:rPr>
      </w:pPr>
    </w:p>
    <w:p w:rsidR="00270842" w:rsidRPr="001B6F3C" w:rsidRDefault="00270842" w:rsidP="00A2385B">
      <w:pPr>
        <w:pStyle w:val="BodyText"/>
        <w:numPr>
          <w:ilvl w:val="3"/>
          <w:numId w:val="3"/>
        </w:numPr>
        <w:ind w:left="1134" w:hanging="425"/>
        <w:jc w:val="both"/>
        <w:rPr>
          <w:rFonts w:ascii="Times New Roman" w:hAnsi="Times New Roman"/>
          <w:noProof/>
          <w:sz w:val="24"/>
        </w:rPr>
      </w:pPr>
      <w:r>
        <w:rPr>
          <w:rFonts w:ascii="Times New Roman" w:hAnsi="Times New Roman"/>
          <w:sz w:val="24"/>
        </w:rPr>
        <w:t>Savākto pārtikas paraugu masai jābūt pietiekamai, lai varētu veikt mikrobioloģisko izmeklēšanu, un ņemtai no vairākām pārbaudāmās pārtikas vienībām (piemēram, 5 vienībām vai 100 g atbilstoša ekvivalenta).</w:t>
      </w:r>
    </w:p>
    <w:p w:rsidR="00270842" w:rsidRDefault="00270842" w:rsidP="00A2385B">
      <w:pPr>
        <w:pStyle w:val="BodyText"/>
        <w:numPr>
          <w:ilvl w:val="3"/>
          <w:numId w:val="3"/>
        </w:numPr>
        <w:ind w:left="1134" w:hanging="425"/>
        <w:jc w:val="both"/>
        <w:rPr>
          <w:rFonts w:ascii="Times New Roman" w:hAnsi="Times New Roman"/>
          <w:noProof/>
          <w:sz w:val="24"/>
        </w:rPr>
      </w:pPr>
      <w:r>
        <w:rPr>
          <w:rFonts w:ascii="Times New Roman" w:hAnsi="Times New Roman"/>
          <w:sz w:val="24"/>
        </w:rPr>
        <w:t xml:space="preserve">Lai palielinātu </w:t>
      </w:r>
      <w:r>
        <w:rPr>
          <w:rFonts w:ascii="Times New Roman" w:hAnsi="Times New Roman"/>
          <w:i/>
          <w:iCs/>
          <w:sz w:val="24"/>
        </w:rPr>
        <w:t>L. monocytogenes</w:t>
      </w:r>
      <w:r>
        <w:rPr>
          <w:rFonts w:ascii="Times New Roman" w:hAnsi="Times New Roman"/>
          <w:sz w:val="24"/>
        </w:rPr>
        <w:t xml:space="preserve"> klātbūtnes noteikšanas varbūtību, veicot vides monitoringu, paraugi jāņem pēc iespējas lielākā laukumā, izmantojot sūkļus vai drāniņas. Tam pretstatā paraugus no grūti sasniedzamām mazām vietām ņem ar vates kociņu. Lai piekļūtu visgrūtāk pieejamām vietām iekārtās, var nākties iekārtas demontēt.</w:t>
      </w:r>
    </w:p>
    <w:p w:rsidR="00A2385B" w:rsidRPr="001B6F3C" w:rsidRDefault="00A2385B" w:rsidP="00A2385B">
      <w:pPr>
        <w:pStyle w:val="BodyText"/>
        <w:tabs>
          <w:tab w:val="left" w:pos="3147"/>
        </w:tabs>
        <w:ind w:left="0"/>
        <w:jc w:val="both"/>
        <w:rPr>
          <w:rFonts w:ascii="Times New Roman" w:hAnsi="Times New Roman"/>
          <w:noProof/>
          <w:sz w:val="24"/>
        </w:rPr>
      </w:pPr>
    </w:p>
    <w:p w:rsidR="00270842" w:rsidRPr="001B6F3C" w:rsidRDefault="00270842" w:rsidP="00A2385B">
      <w:pPr>
        <w:pStyle w:val="BodyText"/>
        <w:numPr>
          <w:ilvl w:val="2"/>
          <w:numId w:val="3"/>
        </w:numPr>
        <w:ind w:left="709" w:hanging="283"/>
        <w:jc w:val="both"/>
        <w:rPr>
          <w:rFonts w:ascii="Times New Roman" w:hAnsi="Times New Roman"/>
          <w:noProof/>
          <w:sz w:val="24"/>
        </w:rPr>
      </w:pPr>
      <w:r>
        <w:rPr>
          <w:rFonts w:ascii="Times New Roman" w:hAnsi="Times New Roman"/>
          <w:b/>
          <w:sz w:val="24"/>
        </w:rPr>
        <w:t xml:space="preserve">5. solis. </w:t>
      </w:r>
      <w:r>
        <w:rPr>
          <w:rFonts w:ascii="Times New Roman" w:hAnsi="Times New Roman"/>
          <w:sz w:val="24"/>
        </w:rPr>
        <w:t xml:space="preserve">Izvēlēties mikrobioloģisko metodi </w:t>
      </w:r>
      <w:r>
        <w:rPr>
          <w:rFonts w:ascii="Times New Roman" w:hAnsi="Times New Roman"/>
          <w:i/>
          <w:iCs/>
          <w:sz w:val="24"/>
        </w:rPr>
        <w:t>L. monocytogenes</w:t>
      </w:r>
      <w:r>
        <w:rPr>
          <w:rFonts w:ascii="Times New Roman" w:hAnsi="Times New Roman"/>
          <w:sz w:val="24"/>
        </w:rPr>
        <w:t xml:space="preserve"> klātbūtnes noteikšanai svaigajos un/vai saldētajos ADG, uz kontaktvirsmām, kas ir saskarē ar pārtiku, un citām kontaktvirsmām, apstrādē izmantotajā ūdenī.</w:t>
      </w:r>
    </w:p>
    <w:p w:rsidR="00270842" w:rsidRPr="001B6F3C" w:rsidRDefault="00270842" w:rsidP="004650EF">
      <w:pPr>
        <w:jc w:val="both"/>
        <w:rPr>
          <w:rFonts w:ascii="Times New Roman" w:eastAsia="Tahoma" w:hAnsi="Times New Roman" w:cs="Tahoma"/>
          <w:noProof/>
          <w:sz w:val="24"/>
          <w:szCs w:val="14"/>
        </w:rPr>
      </w:pPr>
    </w:p>
    <w:p w:rsidR="00270842" w:rsidRPr="00132A13" w:rsidRDefault="00270842" w:rsidP="00A2385B">
      <w:pPr>
        <w:pStyle w:val="BodyText"/>
        <w:numPr>
          <w:ilvl w:val="3"/>
          <w:numId w:val="3"/>
        </w:numPr>
        <w:tabs>
          <w:tab w:val="left" w:pos="3147"/>
        </w:tabs>
        <w:ind w:left="1134" w:hanging="425"/>
        <w:jc w:val="both"/>
        <w:rPr>
          <w:rFonts w:ascii="Times New Roman" w:hAnsi="Times New Roman"/>
          <w:noProof/>
          <w:sz w:val="24"/>
        </w:rPr>
      </w:pPr>
      <w:r>
        <w:rPr>
          <w:rFonts w:ascii="Times New Roman" w:hAnsi="Times New Roman"/>
          <w:sz w:val="24"/>
        </w:rPr>
        <w:t xml:space="preserve">Lai uzlabotu </w:t>
      </w:r>
      <w:r>
        <w:rPr>
          <w:rFonts w:ascii="Times New Roman" w:hAnsi="Times New Roman"/>
          <w:i/>
          <w:sz w:val="24"/>
        </w:rPr>
        <w:t>L. monocytogenes</w:t>
      </w:r>
      <w:r>
        <w:rPr>
          <w:rFonts w:ascii="Times New Roman" w:hAnsi="Times New Roman"/>
          <w:sz w:val="24"/>
        </w:rPr>
        <w:t xml:space="preserve"> noteikšanas jutīgumu pārtikas paraugos, jo īpaši listeriozes uzliesmojumu izmeklēšanas vai vides testēšanas atbalsta vajadzībām, standarta EN ISO 11290-1 noteikšanas metodei dodama priekšroka pār uzskaitīšanas metodi. Zemākā robeža klātbūtnes noteikšanai ar šo metodi ir 1 KVV/25 g vai 1 KVV/no sūkļa vai rīka, vai 1 KVV/100 ml, un tā ļauj izolēt </w:t>
      </w:r>
      <w:r>
        <w:rPr>
          <w:rFonts w:ascii="Times New Roman" w:hAnsi="Times New Roman"/>
          <w:i/>
          <w:sz w:val="24"/>
        </w:rPr>
        <w:t>L. monocytogenes</w:t>
      </w:r>
      <w:r>
        <w:rPr>
          <w:rFonts w:ascii="Times New Roman" w:hAnsi="Times New Roman"/>
          <w:sz w:val="24"/>
        </w:rPr>
        <w:t xml:space="preserve"> arī tad, ja šo baktēriju ir maz vai tās atrodas stresa apstākļos, vai arī kopā ar ievērojami lielāku skaitu citu mikroorganismu.</w:t>
      </w:r>
    </w:p>
    <w:p w:rsidR="00270842" w:rsidRPr="001B6F3C" w:rsidRDefault="00270842" w:rsidP="00A2385B">
      <w:pPr>
        <w:pStyle w:val="BodyText"/>
        <w:numPr>
          <w:ilvl w:val="0"/>
          <w:numId w:val="1"/>
        </w:numPr>
        <w:tabs>
          <w:tab w:val="left" w:pos="1487"/>
        </w:tabs>
        <w:ind w:left="1134" w:hanging="425"/>
        <w:jc w:val="both"/>
        <w:rPr>
          <w:rFonts w:ascii="Times New Roman" w:hAnsi="Times New Roman"/>
          <w:noProof/>
          <w:sz w:val="24"/>
        </w:rPr>
      </w:pPr>
      <w:r>
        <w:rPr>
          <w:rFonts w:ascii="Times New Roman" w:hAnsi="Times New Roman"/>
          <w:i/>
          <w:iCs/>
          <w:sz w:val="24"/>
        </w:rPr>
        <w:t>L. monocytogenes</w:t>
      </w:r>
      <w:r>
        <w:rPr>
          <w:rFonts w:ascii="Times New Roman" w:hAnsi="Times New Roman"/>
          <w:sz w:val="24"/>
        </w:rPr>
        <w:t xml:space="preserve"> klātbūtne var būt grūti nosakāma, ja vides paraugus ņem tūlīt vai drīz pēc tīrīšanas un dezinfekcijas. Šūnas joprojām var būt dzīvas, taču nekultivējamas dēļ tīrīšanai un dezinfekcijai izmantoto līdzekļu radītajiem bojājumiem, līdz ar to tās var būt grūti atrast.</w:t>
      </w:r>
    </w:p>
    <w:p w:rsidR="00270842" w:rsidRPr="001B6F3C" w:rsidRDefault="00270842" w:rsidP="00A2385B">
      <w:pPr>
        <w:pStyle w:val="BodyText"/>
        <w:numPr>
          <w:ilvl w:val="0"/>
          <w:numId w:val="1"/>
        </w:numPr>
        <w:tabs>
          <w:tab w:val="left" w:pos="1487"/>
        </w:tabs>
        <w:ind w:left="1134" w:hanging="425"/>
        <w:jc w:val="both"/>
        <w:rPr>
          <w:rFonts w:ascii="Times New Roman" w:hAnsi="Times New Roman"/>
          <w:noProof/>
          <w:sz w:val="24"/>
        </w:rPr>
      </w:pPr>
      <w:r>
        <w:rPr>
          <w:rFonts w:ascii="Times New Roman" w:hAnsi="Times New Roman"/>
          <w:sz w:val="24"/>
        </w:rPr>
        <w:t xml:space="preserve">Efektīva vides monitoringa programma var arī paredzēt testus </w:t>
      </w:r>
      <w:r>
        <w:rPr>
          <w:rFonts w:ascii="Times New Roman" w:hAnsi="Times New Roman"/>
          <w:i/>
          <w:iCs/>
          <w:sz w:val="24"/>
        </w:rPr>
        <w:t>Listeria spp.</w:t>
      </w:r>
      <w:r>
        <w:rPr>
          <w:rFonts w:ascii="Times New Roman" w:hAnsi="Times New Roman"/>
          <w:sz w:val="24"/>
        </w:rPr>
        <w:t xml:space="preserve"> klātbūtnes noteikšanai, jo to klātbūtne ir labs rādītājs </w:t>
      </w:r>
      <w:r>
        <w:rPr>
          <w:rFonts w:ascii="Times New Roman" w:hAnsi="Times New Roman"/>
          <w:i/>
          <w:iCs/>
          <w:sz w:val="24"/>
        </w:rPr>
        <w:t>L. monocytogenes</w:t>
      </w:r>
      <w:r>
        <w:rPr>
          <w:rFonts w:ascii="Times New Roman" w:hAnsi="Times New Roman"/>
          <w:sz w:val="24"/>
        </w:rPr>
        <w:t xml:space="preserve"> iespējamās klātbūtnes apstākļiem. Ja </w:t>
      </w:r>
      <w:r>
        <w:rPr>
          <w:rFonts w:ascii="Times New Roman" w:hAnsi="Times New Roman"/>
          <w:i/>
          <w:iCs/>
          <w:sz w:val="24"/>
        </w:rPr>
        <w:t xml:space="preserve">L. monocytogenes </w:t>
      </w:r>
      <w:r>
        <w:rPr>
          <w:rFonts w:ascii="Times New Roman" w:hAnsi="Times New Roman"/>
          <w:sz w:val="24"/>
        </w:rPr>
        <w:t xml:space="preserve">monitoringu veic saistībā ar listeriozes uzliesmojuma izmeklēšanu, kuras mērķis ir izsekot </w:t>
      </w:r>
      <w:r>
        <w:rPr>
          <w:rFonts w:ascii="Times New Roman" w:hAnsi="Times New Roman"/>
          <w:i/>
          <w:sz w:val="24"/>
        </w:rPr>
        <w:t>L. monocytogenes</w:t>
      </w:r>
      <w:r>
        <w:rPr>
          <w:rFonts w:ascii="Times New Roman" w:hAnsi="Times New Roman"/>
          <w:sz w:val="24"/>
        </w:rPr>
        <w:t xml:space="preserve"> avotu PPV, ieteicams veikt testus </w:t>
      </w:r>
      <w:r>
        <w:rPr>
          <w:rFonts w:ascii="Times New Roman" w:hAnsi="Times New Roman"/>
          <w:i/>
          <w:iCs/>
          <w:sz w:val="24"/>
        </w:rPr>
        <w:t>L. monocytogenes</w:t>
      </w:r>
      <w:r>
        <w:rPr>
          <w:rFonts w:ascii="Times New Roman" w:hAnsi="Times New Roman"/>
          <w:sz w:val="24"/>
        </w:rPr>
        <w:t xml:space="preserve"> klātbūtnes noteikšanai.</w:t>
      </w:r>
    </w:p>
    <w:p w:rsidR="00270842" w:rsidRDefault="00270842" w:rsidP="00A2385B">
      <w:pPr>
        <w:pStyle w:val="BodyText"/>
        <w:numPr>
          <w:ilvl w:val="0"/>
          <w:numId w:val="1"/>
        </w:numPr>
        <w:tabs>
          <w:tab w:val="left" w:pos="1487"/>
        </w:tabs>
        <w:ind w:left="1134" w:hanging="425"/>
        <w:jc w:val="both"/>
        <w:rPr>
          <w:rFonts w:ascii="Times New Roman" w:hAnsi="Times New Roman"/>
          <w:noProof/>
          <w:sz w:val="24"/>
        </w:rPr>
      </w:pPr>
      <w:r>
        <w:rPr>
          <w:rFonts w:ascii="Times New Roman" w:hAnsi="Times New Roman"/>
          <w:i/>
          <w:sz w:val="24"/>
        </w:rPr>
        <w:t xml:space="preserve">L. monocytogenes </w:t>
      </w:r>
      <w:r>
        <w:rPr>
          <w:rFonts w:ascii="Times New Roman" w:hAnsi="Times New Roman"/>
          <w:sz w:val="24"/>
        </w:rPr>
        <w:t>klātbūtnes noteikšanai svaigos vai saldētos ADG un ADG saldētavu un apstrādes un pārkraušanas vietu vidē ir vairākas alternatīvas analītiskās metodes, kas apstiprinātas saskaņā ar standarta EN ISO 16140 protokolu.</w:t>
      </w:r>
    </w:p>
    <w:p w:rsidR="00A2385B" w:rsidRPr="001B6F3C" w:rsidRDefault="00A2385B" w:rsidP="00A2385B">
      <w:pPr>
        <w:pStyle w:val="BodyText"/>
        <w:tabs>
          <w:tab w:val="left" w:pos="1487"/>
        </w:tabs>
        <w:ind w:left="0"/>
        <w:jc w:val="both"/>
        <w:rPr>
          <w:rFonts w:ascii="Times New Roman" w:hAnsi="Times New Roman"/>
          <w:noProof/>
          <w:sz w:val="24"/>
        </w:rPr>
      </w:pPr>
    </w:p>
    <w:p w:rsidR="00270842" w:rsidRPr="00A2385B" w:rsidRDefault="00270842" w:rsidP="00A2385B">
      <w:pPr>
        <w:pStyle w:val="BodyText"/>
        <w:numPr>
          <w:ilvl w:val="0"/>
          <w:numId w:val="3"/>
        </w:numPr>
        <w:ind w:left="709" w:hanging="283"/>
        <w:jc w:val="both"/>
        <w:rPr>
          <w:rFonts w:ascii="Times New Roman" w:hAnsi="Times New Roman" w:cs="Tahoma"/>
          <w:noProof/>
          <w:sz w:val="24"/>
        </w:rPr>
      </w:pPr>
      <w:r>
        <w:rPr>
          <w:rFonts w:ascii="Times New Roman" w:hAnsi="Times New Roman"/>
          <w:b/>
          <w:sz w:val="24"/>
        </w:rPr>
        <w:t xml:space="preserve">6. solis. </w:t>
      </w:r>
      <w:r>
        <w:rPr>
          <w:rFonts w:ascii="Times New Roman" w:hAnsi="Times New Roman"/>
          <w:sz w:val="24"/>
        </w:rPr>
        <w:t xml:space="preserve">Visu pozitīvo rezultātu gadījumā, izmantojot </w:t>
      </w:r>
      <w:r>
        <w:rPr>
          <w:rFonts w:ascii="Times New Roman" w:hAnsi="Times New Roman"/>
          <w:i/>
          <w:iCs/>
          <w:sz w:val="24"/>
        </w:rPr>
        <w:t>L. monocytogenes</w:t>
      </w:r>
      <w:r>
        <w:rPr>
          <w:rFonts w:ascii="Times New Roman" w:hAnsi="Times New Roman"/>
          <w:sz w:val="24"/>
        </w:rPr>
        <w:t xml:space="preserve"> klātbūtnes noteikšanas metodi (svaigajos un/vai saldētajos ADG, uz kontaktvirsmām, kas ir saskarē ar pārtiku, un citām kontaktvirsmām un apstrādē izmantotajā ūdenī), uzsākt </w:t>
      </w:r>
      <w:r>
        <w:rPr>
          <w:rFonts w:ascii="Times New Roman" w:hAnsi="Times New Roman"/>
          <w:i/>
          <w:iCs/>
          <w:sz w:val="24"/>
        </w:rPr>
        <w:t>L. monocytogenes</w:t>
      </w:r>
      <w:r>
        <w:rPr>
          <w:rFonts w:ascii="Times New Roman" w:hAnsi="Times New Roman"/>
          <w:sz w:val="24"/>
        </w:rPr>
        <w:t xml:space="preserve"> izolātu raksturošanu (6.A solis). Pozitīvo rezultātu gadījumā, izmantojot </w:t>
      </w:r>
      <w:r>
        <w:rPr>
          <w:rFonts w:ascii="Times New Roman" w:hAnsi="Times New Roman"/>
          <w:i/>
          <w:iCs/>
          <w:sz w:val="24"/>
        </w:rPr>
        <w:t>L. monocytogenes</w:t>
      </w:r>
      <w:r>
        <w:rPr>
          <w:rFonts w:ascii="Times New Roman" w:hAnsi="Times New Roman"/>
          <w:sz w:val="24"/>
        </w:rPr>
        <w:t xml:space="preserve"> klātbūtnes noteikšanas metodi (tikai svaigajos un/vai saldētajos ADG), vajadzības gadījumā veikt </w:t>
      </w:r>
      <w:r>
        <w:rPr>
          <w:rFonts w:ascii="Times New Roman" w:hAnsi="Times New Roman"/>
          <w:i/>
          <w:iCs/>
          <w:sz w:val="24"/>
        </w:rPr>
        <w:t>L. monocytogenes</w:t>
      </w:r>
      <w:r>
        <w:rPr>
          <w:rFonts w:ascii="Times New Roman" w:hAnsi="Times New Roman"/>
          <w:sz w:val="24"/>
        </w:rPr>
        <w:t xml:space="preserve"> uzskaitīšanu (6.B solis).</w:t>
      </w:r>
    </w:p>
    <w:p w:rsidR="00A2385B" w:rsidRPr="00A2385B" w:rsidRDefault="00A2385B" w:rsidP="00A2385B">
      <w:pPr>
        <w:pStyle w:val="BodyText"/>
        <w:tabs>
          <w:tab w:val="left" w:pos="810"/>
        </w:tabs>
        <w:ind w:left="0"/>
        <w:jc w:val="both"/>
        <w:rPr>
          <w:rFonts w:ascii="Times New Roman" w:hAnsi="Times New Roman" w:cs="Tahoma"/>
          <w:noProof/>
          <w:sz w:val="24"/>
        </w:rPr>
      </w:pPr>
    </w:p>
    <w:p w:rsidR="00270842" w:rsidRDefault="00270842" w:rsidP="00A2385B">
      <w:pPr>
        <w:pStyle w:val="BodyText"/>
        <w:numPr>
          <w:ilvl w:val="0"/>
          <w:numId w:val="1"/>
        </w:numPr>
        <w:ind w:left="1134" w:hanging="425"/>
        <w:jc w:val="both"/>
        <w:rPr>
          <w:rFonts w:ascii="Times New Roman" w:hAnsi="Times New Roman"/>
          <w:noProof/>
          <w:sz w:val="24"/>
        </w:rPr>
      </w:pPr>
      <w:r>
        <w:rPr>
          <w:rFonts w:ascii="Times New Roman" w:hAnsi="Times New Roman"/>
          <w:i/>
          <w:iCs/>
          <w:sz w:val="24"/>
        </w:rPr>
        <w:t>L. monocytogenes</w:t>
      </w:r>
      <w:r>
        <w:rPr>
          <w:rFonts w:ascii="Times New Roman" w:hAnsi="Times New Roman"/>
          <w:sz w:val="24"/>
        </w:rPr>
        <w:t xml:space="preserve"> izolātu raksturošana pēc apakštipa vajadzīga, lai noteiktu piesārņošanās vietu ar </w:t>
      </w:r>
      <w:r>
        <w:rPr>
          <w:rFonts w:ascii="Times New Roman" w:hAnsi="Times New Roman"/>
          <w:i/>
          <w:iCs/>
          <w:sz w:val="24"/>
        </w:rPr>
        <w:t>L. monocytogenes</w:t>
      </w:r>
      <w:r>
        <w:rPr>
          <w:rFonts w:ascii="Times New Roman" w:hAnsi="Times New Roman"/>
          <w:sz w:val="24"/>
        </w:rPr>
        <w:t xml:space="preserve"> saldētu ADG saldētavās/apstrādes un pārkraušanas vietās un konstatētu saiknes starp cilvēku klīniskajiem izolātiem, izolātiem no aizdomīgajiem ADG un PPV. To var veikt, izmantojot vispāratzītas molekulārās metodes.</w:t>
      </w:r>
    </w:p>
    <w:p w:rsidR="00A2385B" w:rsidRPr="001B6F3C" w:rsidRDefault="00A2385B" w:rsidP="00A2385B">
      <w:pPr>
        <w:pStyle w:val="BodyText"/>
        <w:tabs>
          <w:tab w:val="left" w:pos="1487"/>
        </w:tabs>
        <w:ind w:left="0"/>
        <w:jc w:val="both"/>
        <w:rPr>
          <w:rFonts w:ascii="Times New Roman" w:hAnsi="Times New Roman"/>
          <w:noProof/>
          <w:sz w:val="24"/>
        </w:rPr>
      </w:pPr>
    </w:p>
    <w:p w:rsidR="00270842" w:rsidRPr="001B6F3C" w:rsidRDefault="00270842" w:rsidP="00A2385B">
      <w:pPr>
        <w:pStyle w:val="BodyText"/>
        <w:numPr>
          <w:ilvl w:val="0"/>
          <w:numId w:val="3"/>
        </w:numPr>
        <w:ind w:left="709" w:hanging="283"/>
        <w:jc w:val="both"/>
        <w:rPr>
          <w:rFonts w:ascii="Times New Roman" w:hAnsi="Times New Roman"/>
          <w:noProof/>
          <w:sz w:val="24"/>
        </w:rPr>
      </w:pPr>
      <w:r>
        <w:rPr>
          <w:rFonts w:ascii="Times New Roman" w:hAnsi="Times New Roman"/>
          <w:b/>
          <w:sz w:val="24"/>
        </w:rPr>
        <w:lastRenderedPageBreak/>
        <w:t xml:space="preserve">7. solis. </w:t>
      </w:r>
      <w:r>
        <w:rPr>
          <w:rFonts w:ascii="Times New Roman" w:hAnsi="Times New Roman"/>
          <w:sz w:val="24"/>
        </w:rPr>
        <w:t>Rezultātu interpretācija:</w:t>
      </w:r>
    </w:p>
    <w:p w:rsidR="00A2385B" w:rsidRDefault="00A2385B" w:rsidP="00A2385B">
      <w:pPr>
        <w:pStyle w:val="BodyText"/>
        <w:tabs>
          <w:tab w:val="left" w:pos="1487"/>
        </w:tabs>
        <w:ind w:left="0"/>
        <w:jc w:val="both"/>
        <w:rPr>
          <w:rFonts w:ascii="Times New Roman" w:hAnsi="Times New Roman"/>
          <w:noProof/>
          <w:sz w:val="24"/>
        </w:rPr>
      </w:pPr>
    </w:p>
    <w:p w:rsidR="00270842" w:rsidRPr="001B6F3C" w:rsidRDefault="00270842" w:rsidP="00A2385B">
      <w:pPr>
        <w:pStyle w:val="BodyText"/>
        <w:numPr>
          <w:ilvl w:val="1"/>
          <w:numId w:val="3"/>
        </w:numPr>
        <w:ind w:left="1134" w:hanging="425"/>
        <w:jc w:val="both"/>
        <w:rPr>
          <w:rFonts w:ascii="Times New Roman" w:hAnsi="Times New Roman"/>
          <w:noProof/>
          <w:sz w:val="24"/>
        </w:rPr>
      </w:pPr>
      <w:r>
        <w:rPr>
          <w:rFonts w:ascii="Times New Roman" w:hAnsi="Times New Roman"/>
          <w:sz w:val="24"/>
        </w:rPr>
        <w:t xml:space="preserve">lai identificētu piesārņojuma vietu ar </w:t>
      </w:r>
      <w:r>
        <w:rPr>
          <w:rFonts w:ascii="Times New Roman" w:hAnsi="Times New Roman"/>
          <w:i/>
          <w:iCs/>
          <w:sz w:val="24"/>
        </w:rPr>
        <w:t>L. monocytogenes</w:t>
      </w:r>
      <w:r>
        <w:rPr>
          <w:rFonts w:ascii="Times New Roman" w:hAnsi="Times New Roman"/>
          <w:sz w:val="24"/>
        </w:rPr>
        <w:t xml:space="preserve"> pārtikas pārstrādes uzņēmumos, noskaidrojot saiknes starp rezultātiem, kas iegūti no vides un/vai pārtikas paraugiem (7.A solis);</w:t>
      </w:r>
    </w:p>
    <w:p w:rsidR="00270842" w:rsidRPr="001B6F3C" w:rsidRDefault="00270842" w:rsidP="00A2385B">
      <w:pPr>
        <w:pStyle w:val="BodyText"/>
        <w:numPr>
          <w:ilvl w:val="1"/>
          <w:numId w:val="3"/>
        </w:numPr>
        <w:ind w:left="1134" w:hanging="425"/>
        <w:jc w:val="both"/>
        <w:rPr>
          <w:rFonts w:ascii="Times New Roman" w:hAnsi="Times New Roman"/>
          <w:noProof/>
          <w:sz w:val="24"/>
        </w:rPr>
      </w:pPr>
      <w:r>
        <w:rPr>
          <w:rFonts w:ascii="Times New Roman" w:hAnsi="Times New Roman"/>
          <w:sz w:val="24"/>
        </w:rPr>
        <w:t>lai konstatētu saikni starp cilvēku klīniskajiem izolātiem un tiem, kas iegūti no aizdomīgajiem ADG un pārtikas pārstrādes vides (7.B solis).</w:t>
      </w:r>
    </w:p>
    <w:p w:rsidR="00270842" w:rsidRPr="001B6F3C" w:rsidRDefault="00270842" w:rsidP="004650EF">
      <w:pPr>
        <w:jc w:val="both"/>
        <w:rPr>
          <w:rFonts w:ascii="Times New Roman" w:eastAsia="Tahoma" w:hAnsi="Times New Roman" w:cs="Tahoma"/>
          <w:noProof/>
          <w:sz w:val="24"/>
          <w:szCs w:val="18"/>
        </w:rPr>
      </w:pPr>
    </w:p>
    <w:p w:rsidR="00270842" w:rsidRPr="001B6F3C" w:rsidRDefault="00270842" w:rsidP="00531598">
      <w:pPr>
        <w:pStyle w:val="Heading1"/>
        <w:rPr>
          <w:noProof/>
        </w:rPr>
      </w:pPr>
      <w:bookmarkStart w:id="76" w:name="_TOC_250001"/>
      <w:bookmarkStart w:id="77" w:name="_Toc37931408"/>
      <w:r w:rsidRPr="00531598">
        <w:t>Atsauces</w:t>
      </w:r>
      <w:bookmarkEnd w:id="76"/>
      <w:bookmarkEnd w:id="77"/>
    </w:p>
    <w:p w:rsidR="00A2385B"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u w:val="single" w:color="000000"/>
        </w:rPr>
      </w:pPr>
      <w:r>
        <w:rPr>
          <w:rFonts w:ascii="Times New Roman" w:hAnsi="Times New Roman"/>
          <w:sz w:val="24"/>
        </w:rPr>
        <w:t>Abeysundara, P. D., Dhowlaghar, N., Nannapaneni, R., Schilling, M. W., Chang, S., Mahmoud, B., Sharma, C. S. un Ma, D. P., 2017.</w:t>
      </w:r>
      <w:r w:rsidR="00C13858">
        <w:rPr>
          <w:rFonts w:ascii="Times New Roman" w:hAnsi="Times New Roman"/>
          <w:sz w:val="24"/>
        </w:rPr>
        <w:t xml:space="preserve"> </w:t>
      </w:r>
      <w:r>
        <w:rPr>
          <w:rFonts w:ascii="Times New Roman" w:hAnsi="Times New Roman"/>
          <w:sz w:val="24"/>
        </w:rPr>
        <w:t xml:space="preserve">Growth and biofilm formation by </w:t>
      </w:r>
      <w:r>
        <w:rPr>
          <w:rFonts w:ascii="Times New Roman" w:hAnsi="Times New Roman"/>
          <w:i/>
          <w:iCs/>
          <w:sz w:val="24"/>
        </w:rPr>
        <w:t>Listeria monocytogenes</w:t>
      </w:r>
      <w:r>
        <w:rPr>
          <w:rFonts w:ascii="Times New Roman" w:hAnsi="Times New Roman"/>
          <w:sz w:val="24"/>
        </w:rPr>
        <w:t xml:space="preserve"> in cantaloupe flesh and peel extracts on four food-contact surfaces at 22°C and 10°C. Food Control, 80, 131.–142. lpp. </w:t>
      </w:r>
      <w:r>
        <w:rPr>
          <w:rFonts w:ascii="Times New Roman" w:hAnsi="Times New Roman"/>
          <w:sz w:val="24"/>
          <w:u w:val="single" w:color="000000"/>
        </w:rPr>
        <w:t>https://doi.org/10.1016/j.foodcont.2017.04.043</w:t>
      </w:r>
    </w:p>
    <w:p w:rsidR="00A2385B" w:rsidRDefault="00A2385B" w:rsidP="004650EF">
      <w:pPr>
        <w:pStyle w:val="BodyText"/>
        <w:ind w:left="0"/>
        <w:jc w:val="both"/>
        <w:rPr>
          <w:rFonts w:ascii="Times New Roman" w:hAnsi="Times New Roman"/>
          <w:noProof/>
          <w:sz w:val="24"/>
        </w:rPr>
      </w:pPr>
    </w:p>
    <w:p w:rsidR="00270842" w:rsidRPr="00A2385B" w:rsidRDefault="00270842" w:rsidP="004650EF">
      <w:pPr>
        <w:pStyle w:val="BodyText"/>
        <w:ind w:left="0"/>
        <w:jc w:val="both"/>
        <w:rPr>
          <w:rFonts w:ascii="Times New Roman" w:hAnsi="Times New Roman"/>
          <w:noProof/>
          <w:sz w:val="24"/>
          <w:u w:val="single"/>
        </w:rPr>
      </w:pPr>
      <w:r>
        <w:rPr>
          <w:rFonts w:ascii="Times New Roman" w:hAnsi="Times New Roman"/>
          <w:sz w:val="24"/>
        </w:rPr>
        <w:t xml:space="preserve">Ballesteros, L., Moreno, Y., Cuesta, G., Rodrigo, A., Tomas, D., Hernandez, M., Ferrus, M. A. un Garcia Henandez, J., 2011. Persistence of </w:t>
      </w:r>
      <w:r>
        <w:rPr>
          <w:rFonts w:ascii="Times New Roman" w:hAnsi="Times New Roman"/>
          <w:i/>
          <w:iCs/>
          <w:sz w:val="24"/>
        </w:rPr>
        <w:t>Listeria monocytogenes</w:t>
      </w:r>
      <w:r>
        <w:rPr>
          <w:rFonts w:ascii="Times New Roman" w:hAnsi="Times New Roman"/>
          <w:sz w:val="24"/>
        </w:rPr>
        <w:t xml:space="preserve"> strains in a frozen vegetables processing plant determined by serotyping and REP-PCR. International Journal of Food Science and Technology, 46, 1109.–1112. lpp. </w:t>
      </w:r>
      <w:r>
        <w:rPr>
          <w:rFonts w:ascii="Times New Roman" w:hAnsi="Times New Roman"/>
          <w:sz w:val="24"/>
          <w:u w:val="single"/>
        </w:rPr>
        <w:t>https://doi.org/10.1111/j.1365-2621.2011.02595.x</w:t>
      </w:r>
    </w:p>
    <w:p w:rsidR="00A2385B"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Beuchat, L. R., 1996. Pathogenic microorganisms associated with fresh produce. Journal of Food Protection, 59, 204.–216. lpp.</w:t>
      </w:r>
    </w:p>
    <w:p w:rsidR="00A2385B"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Bozkurt, H., D’Souza, D. H. un Davidson, P. M., 2015. Thermal inactivation of foodborne enteric viruses and their viral surrogates in foods. Journal of Food Protection, 78, 1597-1617. lpp. doi: 10.4315/0362- 028X.JFP-14-487.</w:t>
      </w:r>
    </w:p>
    <w:p w:rsidR="00A2385B"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Carpentier, B. un Cerf, O., 2011. Review – Persistence of </w:t>
      </w:r>
      <w:r>
        <w:rPr>
          <w:rFonts w:ascii="Times New Roman" w:hAnsi="Times New Roman"/>
          <w:i/>
          <w:iCs/>
          <w:sz w:val="24"/>
        </w:rPr>
        <w:t>Listeria monocytogenes</w:t>
      </w:r>
      <w:r>
        <w:rPr>
          <w:rFonts w:ascii="Times New Roman" w:hAnsi="Times New Roman"/>
          <w:sz w:val="24"/>
        </w:rPr>
        <w:t xml:space="preserve"> in food industry equipment and premises. International Journal of Food Microbiology, 145, 1.–8. lpp. doi: 10.1016/j.ijfoodmicro.2011.01.005</w:t>
      </w:r>
    </w:p>
    <w:p w:rsidR="00A2385B"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Castro-Ibáñez, I., López-Gálvez, F., Gil, M. I. un Allende, A., 2016. Identification of sampling points suitable for the detection of microbial contamination in fresh-cut processing lines. Food Control, 59, 841.–848. lpp. https://doi.org/10.1016/j.foodcont.2015.07.004</w:t>
      </w:r>
    </w:p>
    <w:p w:rsidR="00A2385B"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Ceylan, E., McMahon, W. un Garren, D. M., 2017. Thermal inactivation of </w:t>
      </w:r>
      <w:r>
        <w:rPr>
          <w:rFonts w:ascii="Times New Roman" w:hAnsi="Times New Roman"/>
          <w:i/>
          <w:sz w:val="24"/>
        </w:rPr>
        <w:t xml:space="preserve">Listeria monocytogenes </w:t>
      </w:r>
      <w:r>
        <w:rPr>
          <w:rFonts w:ascii="Times New Roman" w:hAnsi="Times New Roman"/>
          <w:sz w:val="24"/>
        </w:rPr>
        <w:t xml:space="preserve">and </w:t>
      </w:r>
      <w:r>
        <w:rPr>
          <w:rFonts w:ascii="Times New Roman" w:hAnsi="Times New Roman"/>
          <w:i/>
          <w:sz w:val="24"/>
        </w:rPr>
        <w:t xml:space="preserve">Salmonella </w:t>
      </w:r>
      <w:r>
        <w:rPr>
          <w:rFonts w:ascii="Times New Roman" w:hAnsi="Times New Roman"/>
          <w:sz w:val="24"/>
        </w:rPr>
        <w:t>during water and steam blanching of vegetables. Journal of Food Protection, 80, 1550.–1556. lpp. doi: 10.4315/0362-028X.JFP-16-517</w:t>
      </w:r>
    </w:p>
    <w:p w:rsidR="00A2385B"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Chmielewski, R. A. N. un Frank, J. F., 2004. A predictive model for heat inactivation of </w:t>
      </w:r>
      <w:r>
        <w:rPr>
          <w:rFonts w:ascii="Times New Roman" w:hAnsi="Times New Roman"/>
          <w:i/>
          <w:iCs/>
          <w:sz w:val="24"/>
        </w:rPr>
        <w:t>Listeria monocytogenes</w:t>
      </w:r>
      <w:r>
        <w:rPr>
          <w:rFonts w:ascii="Times New Roman" w:hAnsi="Times New Roman"/>
          <w:sz w:val="24"/>
        </w:rPr>
        <w:t xml:space="preserve"> biofilm on stainless steel. Journal of Food Protection, 67, 2712.–2718. lpp.</w:t>
      </w:r>
    </w:p>
    <w:p w:rsidR="00A2385B"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Crandall, P. G., O’Bryan, C. A., Martin, E. M., Kuefner, H. M., Pendleton, S., Shannon, E. M., Marcy, J. A. un Ricke, S. C., 2012. Efficacy of cleaning and sanitizing agents against attached </w:t>
      </w:r>
      <w:r>
        <w:rPr>
          <w:rFonts w:ascii="Times New Roman" w:hAnsi="Times New Roman"/>
          <w:i/>
          <w:sz w:val="24"/>
          <w:szCs w:val="19"/>
        </w:rPr>
        <w:t xml:space="preserve">Listeria monocytogenes </w:t>
      </w:r>
      <w:r>
        <w:rPr>
          <w:rFonts w:ascii="Times New Roman" w:hAnsi="Times New Roman"/>
          <w:sz w:val="24"/>
        </w:rPr>
        <w:t>on meat slicer components. Food Protection Trends, 32, 68.–72. lpp.</w:t>
      </w:r>
    </w:p>
    <w:p w:rsidR="00A2385B" w:rsidRDefault="00A2385B" w:rsidP="004650EF">
      <w:pPr>
        <w:jc w:val="both"/>
        <w:rPr>
          <w:rFonts w:ascii="Times New Roman" w:hAnsi="Times New Roman"/>
          <w:noProof/>
          <w:sz w:val="24"/>
        </w:rPr>
      </w:pPr>
    </w:p>
    <w:p w:rsidR="00270842" w:rsidRPr="00A2385B" w:rsidRDefault="00270842" w:rsidP="004650EF">
      <w:pPr>
        <w:jc w:val="both"/>
        <w:rPr>
          <w:rFonts w:ascii="Times New Roman" w:eastAsia="Arial" w:hAnsi="Times New Roman" w:cs="Arial"/>
          <w:noProof/>
          <w:sz w:val="24"/>
          <w:szCs w:val="20"/>
          <w:u w:val="single"/>
        </w:rPr>
      </w:pPr>
      <w:r>
        <w:rPr>
          <w:rFonts w:ascii="Times New Roman" w:hAnsi="Times New Roman"/>
          <w:sz w:val="24"/>
        </w:rPr>
        <w:t xml:space="preserve">CAC (Pārtikas kodeksa komisija), 2007. Guidelines on the application of general principles of food hygiene to the control of </w:t>
      </w:r>
      <w:r>
        <w:rPr>
          <w:rFonts w:ascii="Times New Roman" w:hAnsi="Times New Roman"/>
          <w:i/>
          <w:sz w:val="24"/>
        </w:rPr>
        <w:t xml:space="preserve">Listeria monocytogenes </w:t>
      </w:r>
      <w:r>
        <w:rPr>
          <w:rFonts w:ascii="Times New Roman" w:hAnsi="Times New Roman"/>
          <w:sz w:val="24"/>
        </w:rPr>
        <w:t xml:space="preserve">in foods. </w:t>
      </w:r>
      <w:r>
        <w:rPr>
          <w:rFonts w:ascii="Times New Roman" w:hAnsi="Times New Roman"/>
          <w:i/>
          <w:iCs/>
          <w:sz w:val="24"/>
        </w:rPr>
        <w:t>CAC/GL</w:t>
      </w:r>
      <w:r>
        <w:rPr>
          <w:rFonts w:ascii="Times New Roman" w:hAnsi="Times New Roman"/>
          <w:sz w:val="24"/>
        </w:rPr>
        <w:t xml:space="preserve"> 61-2007 </w:t>
      </w:r>
      <w:r>
        <w:rPr>
          <w:rFonts w:ascii="Times New Roman" w:hAnsi="Times New Roman"/>
          <w:i/>
          <w:iCs/>
          <w:sz w:val="24"/>
        </w:rPr>
        <w:t>CAC</w:t>
      </w:r>
      <w:r>
        <w:rPr>
          <w:rFonts w:ascii="Times New Roman" w:hAnsi="Times New Roman"/>
          <w:sz w:val="24"/>
        </w:rPr>
        <w:t xml:space="preserve">, </w:t>
      </w:r>
      <w:r>
        <w:rPr>
          <w:rFonts w:ascii="Times New Roman" w:hAnsi="Times New Roman"/>
          <w:sz w:val="24"/>
        </w:rPr>
        <w:lastRenderedPageBreak/>
        <w:t xml:space="preserve">28. lpp. Pieejams tiešsaistē: </w:t>
      </w:r>
      <w:r>
        <w:rPr>
          <w:rFonts w:ascii="Times New Roman" w:hAnsi="Times New Roman"/>
          <w:sz w:val="24"/>
          <w:u w:val="single"/>
        </w:rPr>
        <w:t>www.fao.org/input/download/standards/10740/CXG_061e.pdf</w:t>
      </w:r>
    </w:p>
    <w:p w:rsidR="00A2385B"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CEN ISO/TS 17728:2015 “Pārtikas ķēdes mikrobioloģija. Paraugu ņemšanas metodes pārtikas un dzīvnieku barības paraugu mikrobioloģiskajai analīzei”. Starptautiskā standartizācijas organizācija, Ženēva.</w:t>
      </w:r>
    </w:p>
    <w:p w:rsidR="00A2385B"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De Corcuera, J. I. R., Cavalieri, R. P. un Powers, J. R., 2007. Blanching of foods.  Heldman, D. (ed.)., Encyclopedia of Agricultural, Food, and Biological Engineering. Marcel Dekker Inc., Vašingtona, 2114. lpp. ISBN 9781439811115</w:t>
      </w:r>
    </w:p>
    <w:p w:rsidR="00A2385B"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Duvenage, S. un Korsten, L., 2016. Effect of temperature and nutrient concentration on survival of foodborne pathogens in deciduous fruit processing environments for effective hygiene management. Journal of Food Protection 79, 1959.–1964. lpp. doi: 10.4315/0362-028X.JFP-16-050</w:t>
      </w:r>
    </w:p>
    <w:p w:rsidR="00A2385B" w:rsidRDefault="00A2385B" w:rsidP="004650EF">
      <w:pPr>
        <w:pStyle w:val="BodyText"/>
        <w:ind w:left="0"/>
        <w:jc w:val="both"/>
        <w:rPr>
          <w:rFonts w:ascii="Times New Roman" w:hAnsi="Times New Roman"/>
          <w:noProof/>
          <w:sz w:val="24"/>
        </w:rPr>
      </w:pPr>
    </w:p>
    <w:p w:rsidR="00270842" w:rsidRPr="00A2385B" w:rsidRDefault="00270842" w:rsidP="004650EF">
      <w:pPr>
        <w:pStyle w:val="BodyText"/>
        <w:ind w:left="0"/>
        <w:jc w:val="both"/>
        <w:rPr>
          <w:rFonts w:ascii="Times New Roman" w:hAnsi="Times New Roman"/>
          <w:noProof/>
          <w:sz w:val="24"/>
          <w:u w:val="single"/>
        </w:rPr>
      </w:pPr>
      <w:r>
        <w:rPr>
          <w:rFonts w:ascii="Times New Roman" w:hAnsi="Times New Roman"/>
          <w:sz w:val="24"/>
        </w:rPr>
        <w:t>EFSA BIOHAZ Panel (EFSA Panel on Biological Hazards), 2014. Scientific Opinion on the risk posed by pathogens in food of non-animal origin.</w:t>
      </w:r>
      <w:r w:rsidR="00C13858">
        <w:rPr>
          <w:rFonts w:ascii="Times New Roman" w:hAnsi="Times New Roman"/>
          <w:i/>
          <w:iCs/>
          <w:sz w:val="24"/>
        </w:rPr>
        <w:t xml:space="preserve"> </w:t>
      </w:r>
      <w:r>
        <w:rPr>
          <w:rFonts w:ascii="Times New Roman" w:hAnsi="Times New Roman"/>
          <w:sz w:val="24"/>
        </w:rPr>
        <w:t>Part 2 (</w:t>
      </w:r>
      <w:r>
        <w:rPr>
          <w:rFonts w:ascii="Times New Roman" w:hAnsi="Times New Roman"/>
          <w:i/>
          <w:sz w:val="24"/>
        </w:rPr>
        <w:t xml:space="preserve">Salmonella </w:t>
      </w:r>
      <w:r>
        <w:rPr>
          <w:rFonts w:ascii="Times New Roman" w:hAnsi="Times New Roman"/>
          <w:sz w:val="24"/>
        </w:rPr>
        <w:t xml:space="preserve">and Norovirus in leafy greens eaten raw as salads). EFSA Journal 2014; 12(3):3600, 118. lpp. </w:t>
      </w:r>
      <w:r>
        <w:rPr>
          <w:rFonts w:ascii="Times New Roman" w:hAnsi="Times New Roman"/>
          <w:sz w:val="24"/>
          <w:u w:val="single"/>
        </w:rPr>
        <w:t>https://doi.org/10.2903/j.efsa.2014.3600</w:t>
      </w:r>
    </w:p>
    <w:p w:rsidR="00A2385B"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u w:val="single" w:color="0000FF"/>
        </w:rPr>
      </w:pPr>
      <w:r>
        <w:rPr>
          <w:rFonts w:ascii="Times New Roman" w:hAnsi="Times New Roman"/>
          <w:sz w:val="24"/>
        </w:rPr>
        <w:t xml:space="preserve">EFSA BIOHAZ Panel (EFSA Panel on Biological Hazards), Ricci, A., Allende, A., Bolton, D., Chemaly, M., Davies, R., Fernández Escámez, P. S., Girones, R., Herman, L., Koutsoumanis, K., Nørrung, B., Robertson, L., Ru, G., Sanaa, M., Simmons, M., Skandamis, P., Snary, E., Speybroeck, N., Ter Kuile, B., Threlfall, J., Wahlström, H., Takkinen, J., Wagner, M., Arcella, D., Da Silva Felicio, M. T., Georgiadis, M., Messens, W. un Lindqvist, R., 2018. Scientific Opinion on the </w:t>
      </w:r>
      <w:r>
        <w:rPr>
          <w:rFonts w:ascii="Times New Roman" w:hAnsi="Times New Roman"/>
          <w:i/>
          <w:sz w:val="24"/>
          <w:szCs w:val="19"/>
        </w:rPr>
        <w:t xml:space="preserve">Listeria monocytogenes </w:t>
      </w:r>
      <w:r>
        <w:rPr>
          <w:rFonts w:ascii="Times New Roman" w:hAnsi="Times New Roman"/>
          <w:sz w:val="24"/>
        </w:rPr>
        <w:t>contamination of ready‐to‐eat foods and the risk for human health in the EU. EFSA Journal 2018;16(1):5134, 173. lpp.</w:t>
      </w:r>
      <w:r>
        <w:rPr>
          <w:rFonts w:ascii="Times New Roman" w:hAnsi="Times New Roman"/>
          <w:sz w:val="24"/>
          <w:u w:val="single"/>
        </w:rPr>
        <w:t>https://doi.org/10.2903/j.efsa.2018.5134</w:t>
      </w:r>
    </w:p>
    <w:p w:rsidR="00A2385B"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LVS EN 1276:2009 “Ķīmiskie dezinfekcijas un antiseptiskie līdzekļi. Kvalitatīvs suspensijas tests ķīmisko dezinfekcijas un antiseptisko līdzekļu baktericīdās aktivitātes izvērtēšanai pārtikā, ražošanā, mājsaimniecībā un iestādēs. Testa metode un prasības (2. fāze, 1. solis)”</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LVS EN 1650:2013 “Ķīmiskie dezinfekcijas un antiseptiskie līdzekļi. Kvantitatīvs suspensijas tests pārtikā, ražošanā, mājsaimniecībā un iestādēs lietoto ķīmisko dezinfekcijas un antiseptisko līdzekļu pretsēnīšu vai pretraugu iedarbības izvērtēšanai. Testa metode un prasības (2. fāze, 1. solis)”</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LVS EN 13697:2015 “Ķīmiskie dezinfekcijas un antiseptiskie līdzekļi. Pārtikas jomā, rūpniecībā, mājsaimniecībās un iestādēs lietoto ķīmisko dezinfekcijas līdzekļu kvantitatīvs virsmas tests baktericīdās un/vai fungicīdās aktivitātes novērtēšanai uz neporainām virsmām. Testa metode un prasības virsmām bez mehāniskas iedarbības (2. fāze, 2. solis)”</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LVS EN 13704:2005 “Ķīmiskie dezinfekcijas līdzekļi. Kvantitatīvas suspensijas tests ķīmisko dezinfekcijas līdzekļu sporicīdu aktivitātes izvērtēšanai pārtikas, ražošanas, mājsaimniecības jomās un iestādēs. Testa metode un prasības (2. fāze, 1. solis)”</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LVS EN ISO 6887-1:2017</w:t>
      </w:r>
      <w:r w:rsidR="00C13858">
        <w:rPr>
          <w:rFonts w:ascii="Times New Roman" w:hAnsi="Times New Roman"/>
          <w:sz w:val="24"/>
        </w:rPr>
        <w:t xml:space="preserve"> </w:t>
      </w:r>
      <w:r>
        <w:rPr>
          <w:rFonts w:ascii="Times New Roman" w:hAnsi="Times New Roman"/>
          <w:sz w:val="24"/>
        </w:rPr>
        <w:t>“Pārtikas ķēdes mikrobioloģija. Testēšanas paraugu, sākotnējās suspensijas un decimālšķīdumu sagatavošana mikrobioloģiskām pārbaudēm. 1. daļa. Vispārīgi noteikumi sākotnējās suspensijas un decimālšķīdumu sagatavošanai”. Starptautiskā standartizācijas organizācija, Ženēva.</w:t>
      </w:r>
    </w:p>
    <w:p w:rsidR="00A2385B" w:rsidRPr="001B6F3C"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LVS EN ISO 6887-4:2017 “Pārtikas ķēdes mikrobioloģija. Testēšanas paraugu, sākotnējās suspensijas un decimālšķīdumu sagatavošana mikrobioloģiskām pārbaudēm.</w:t>
      </w:r>
      <w:r w:rsidR="00C13858">
        <w:rPr>
          <w:rFonts w:ascii="Times New Roman" w:hAnsi="Times New Roman"/>
          <w:sz w:val="24"/>
        </w:rPr>
        <w:t xml:space="preserve"> </w:t>
      </w:r>
      <w:r>
        <w:rPr>
          <w:rFonts w:ascii="Times New Roman" w:hAnsi="Times New Roman"/>
          <w:sz w:val="24"/>
        </w:rPr>
        <w:t>4. daļa. Īpaši noteikumi dažādu izstrādājumu sagatavošanai”. Starptautiskā standartizācijas organizācija, Ženēva.</w:t>
      </w:r>
    </w:p>
    <w:p w:rsidR="00270842" w:rsidRPr="001B6F3C" w:rsidRDefault="00270842" w:rsidP="004650EF">
      <w:pPr>
        <w:jc w:val="both"/>
        <w:rPr>
          <w:rFonts w:ascii="Times New Roman" w:eastAsia="Calibri" w:hAnsi="Times New Roman" w:cs="Calibri"/>
          <w:noProof/>
          <w:sz w:val="24"/>
          <w:szCs w:val="28"/>
        </w:rPr>
      </w:pPr>
    </w:p>
    <w:p w:rsidR="00270842" w:rsidRDefault="00270842" w:rsidP="004650EF">
      <w:pPr>
        <w:pStyle w:val="BodyText"/>
        <w:ind w:left="0"/>
        <w:jc w:val="both"/>
        <w:rPr>
          <w:rFonts w:ascii="Times New Roman" w:hAnsi="Times New Roman"/>
          <w:sz w:val="24"/>
        </w:rPr>
      </w:pPr>
      <w:r>
        <w:rPr>
          <w:rFonts w:ascii="Times New Roman" w:hAnsi="Times New Roman"/>
          <w:sz w:val="24"/>
        </w:rPr>
        <w:t>LVS EN ISO 11290-1:2017 “Pārtikas ķēdes mikrobioloģija.</w:t>
      </w:r>
      <w:r w:rsidR="00C13858">
        <w:rPr>
          <w:rFonts w:ascii="Times New Roman" w:hAnsi="Times New Roman"/>
          <w:sz w:val="24"/>
        </w:rPr>
        <w:t xml:space="preserve"> </w:t>
      </w:r>
      <w:r>
        <w:rPr>
          <w:rFonts w:ascii="Times New Roman" w:hAnsi="Times New Roman"/>
          <w:i/>
          <w:iCs/>
          <w:sz w:val="24"/>
        </w:rPr>
        <w:t>Listeria monocytogenes</w:t>
      </w:r>
      <w:r>
        <w:rPr>
          <w:rFonts w:ascii="Times New Roman" w:hAnsi="Times New Roman"/>
          <w:sz w:val="24"/>
        </w:rPr>
        <w:t xml:space="preserve"> un citu </w:t>
      </w:r>
      <w:r>
        <w:rPr>
          <w:rFonts w:ascii="Times New Roman" w:hAnsi="Times New Roman"/>
          <w:i/>
          <w:iCs/>
          <w:sz w:val="24"/>
        </w:rPr>
        <w:t xml:space="preserve">Listeria spp. </w:t>
      </w:r>
      <w:r>
        <w:rPr>
          <w:rFonts w:ascii="Times New Roman" w:hAnsi="Times New Roman"/>
          <w:sz w:val="24"/>
        </w:rPr>
        <w:t>noteikšanas un uzskaitīšanas horizontālā metode. 1. daļa. Noteikšanas metode”. Starptautiskā standartizācijas organizācija, Ženēva.</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LVS EN ISO 11290-2:2017 “Pārtikas ķēdes mikrobioloģija.</w:t>
      </w:r>
      <w:r w:rsidR="00C13858">
        <w:rPr>
          <w:rFonts w:ascii="Times New Roman" w:hAnsi="Times New Roman"/>
          <w:sz w:val="24"/>
        </w:rPr>
        <w:t xml:space="preserve"> </w:t>
      </w:r>
      <w:r>
        <w:rPr>
          <w:rFonts w:ascii="Times New Roman" w:hAnsi="Times New Roman"/>
          <w:i/>
          <w:iCs/>
          <w:sz w:val="24"/>
        </w:rPr>
        <w:t>Listeria monocytogenes</w:t>
      </w:r>
      <w:r>
        <w:rPr>
          <w:rFonts w:ascii="Times New Roman" w:hAnsi="Times New Roman"/>
          <w:sz w:val="24"/>
        </w:rPr>
        <w:t xml:space="preserve"> un citu </w:t>
      </w:r>
      <w:r>
        <w:rPr>
          <w:rFonts w:ascii="Times New Roman" w:hAnsi="Times New Roman"/>
          <w:i/>
          <w:iCs/>
          <w:sz w:val="24"/>
        </w:rPr>
        <w:t>Listeria spp</w:t>
      </w:r>
      <w:r>
        <w:rPr>
          <w:rFonts w:ascii="Times New Roman" w:hAnsi="Times New Roman"/>
          <w:sz w:val="24"/>
        </w:rPr>
        <w:t>. noteikšanas un uzskaitīšanas horizontālā metode. 2. daļa. Uzskaitīšanas metode”. Starptautiskā standartizācijas organizācija, Ženēva.</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LVS EN ISO 16140-2:2016 “Pārtikas ķēdes mikrobioloģija.</w:t>
      </w:r>
      <w:r w:rsidR="00C13858">
        <w:rPr>
          <w:rFonts w:ascii="Times New Roman" w:hAnsi="Times New Roman"/>
          <w:sz w:val="24"/>
        </w:rPr>
        <w:t xml:space="preserve"> </w:t>
      </w:r>
      <w:r>
        <w:rPr>
          <w:rFonts w:ascii="Times New Roman" w:hAnsi="Times New Roman"/>
          <w:sz w:val="24"/>
        </w:rPr>
        <w:t>Metodes validācija. 2. daļa. Protokols alternatīvo (patentēto) metožu validācijai pret references metodi”. Starptautiskā standartizācijas organizācija, Ženēva.</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LVS EN ISO 18593:2018.“Pārtikas ķēdes mikrobioloģija. Horizontālās metodes virsmas paraugu ņemšanai”. Starptautiskā standartizācijas organizācija, Ženēva.</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LVS EN ISO/IEC 17025:2017 “Testēšanas un kalibrēšanas laboratoriju kompetences vispārīgās prasības”. Starptautiskā standartizācijas organizācija, Ženēva.</w:t>
      </w:r>
    </w:p>
    <w:p w:rsidR="00A2385B" w:rsidRPr="001B6F3C"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i/>
          <w:iCs/>
          <w:sz w:val="24"/>
        </w:rPr>
        <w:t>EURL</w:t>
      </w:r>
      <w:r>
        <w:rPr>
          <w:rFonts w:ascii="Times New Roman" w:hAnsi="Times New Roman"/>
          <w:sz w:val="24"/>
        </w:rPr>
        <w:t> </w:t>
      </w:r>
      <w:r>
        <w:rPr>
          <w:rFonts w:ascii="Times New Roman" w:hAnsi="Times New Roman"/>
          <w:i/>
          <w:iCs/>
          <w:sz w:val="24"/>
        </w:rPr>
        <w:t>L. monocytogenes</w:t>
      </w:r>
      <w:r>
        <w:rPr>
          <w:rFonts w:ascii="Times New Roman" w:hAnsi="Times New Roman"/>
          <w:i/>
          <w:sz w:val="24"/>
          <w:szCs w:val="19"/>
        </w:rPr>
        <w:t xml:space="preserve"> </w:t>
      </w:r>
      <w:r>
        <w:rPr>
          <w:rFonts w:ascii="Times New Roman" w:hAnsi="Times New Roman"/>
          <w:sz w:val="24"/>
        </w:rPr>
        <w:t xml:space="preserve">(ES References laboratorija </w:t>
      </w:r>
      <w:r>
        <w:rPr>
          <w:rFonts w:ascii="Times New Roman" w:hAnsi="Times New Roman"/>
          <w:i/>
          <w:sz w:val="24"/>
          <w:szCs w:val="19"/>
        </w:rPr>
        <w:t>Listeria monocytogenes</w:t>
      </w:r>
      <w:r>
        <w:rPr>
          <w:rFonts w:ascii="Times New Roman" w:hAnsi="Times New Roman"/>
          <w:sz w:val="24"/>
        </w:rPr>
        <w:t xml:space="preserve"> monitoringam), 2012. Guidelines on sampling the food processing area and equipment for the detection of </w:t>
      </w:r>
      <w:r>
        <w:rPr>
          <w:rFonts w:ascii="Times New Roman" w:hAnsi="Times New Roman"/>
          <w:i/>
          <w:sz w:val="24"/>
          <w:szCs w:val="19"/>
        </w:rPr>
        <w:t xml:space="preserve">Listeria monocytogenes, </w:t>
      </w:r>
      <w:r>
        <w:rPr>
          <w:rFonts w:ascii="Times New Roman" w:hAnsi="Times New Roman"/>
          <w:sz w:val="24"/>
        </w:rPr>
        <w:t xml:space="preserve">Version 3 – 20.08.2012. Pieejams tiešsaistē: </w:t>
      </w:r>
      <w:r>
        <w:rPr>
          <w:rFonts w:ascii="Times New Roman" w:hAnsi="Times New Roman"/>
          <w:sz w:val="24"/>
          <w:u w:val="single"/>
        </w:rPr>
        <w:t>https://ec.europa.eu/food/sites/food/files/safety/docs/biosafety_fh_mc_guidelines_on_sampling.pdf</w:t>
      </w:r>
    </w:p>
    <w:p w:rsidR="00A2385B"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i/>
          <w:iCs/>
          <w:sz w:val="24"/>
        </w:rPr>
        <w:t>FAO</w:t>
      </w:r>
      <w:r>
        <w:rPr>
          <w:rFonts w:ascii="Times New Roman" w:hAnsi="Times New Roman"/>
          <w:sz w:val="24"/>
        </w:rPr>
        <w:t>/</w:t>
      </w:r>
      <w:r>
        <w:rPr>
          <w:rFonts w:ascii="Times New Roman" w:hAnsi="Times New Roman"/>
          <w:i/>
          <w:iCs/>
          <w:sz w:val="24"/>
        </w:rPr>
        <w:t>WHO</w:t>
      </w:r>
      <w:r>
        <w:rPr>
          <w:rFonts w:ascii="Times New Roman" w:hAnsi="Times New Roman"/>
          <w:sz w:val="24"/>
        </w:rPr>
        <w:t xml:space="preserve"> (ANO Pārtikas un lauksaimniecības organizācija/Pasaules Veselības organizācija), 2008. Microbiological hazards in fresh leafy vegetables and herbs. Sanāksmes ziņojums. Microbial risk assessment series No. 14, Roma, 151. lpp.</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Frati, A., Antonini, E. un Ninfali, P., 2016. Industrial freezing, cooking, and storage differently affect antioxidant nutrients in vegetables.  Watson, R. R. and Preedy, V. R. (eds.), Fruits, Vegetables, and Herbs. Elsevier Inc., Oksforda, 23.–40. lpp.</w:t>
      </w:r>
    </w:p>
    <w:p w:rsidR="00A2385B" w:rsidRPr="001B6F3C"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i/>
          <w:iCs/>
          <w:sz w:val="24"/>
        </w:rPr>
        <w:t>FSIS</w:t>
      </w:r>
      <w:r>
        <w:rPr>
          <w:rFonts w:ascii="Times New Roman" w:hAnsi="Times New Roman"/>
          <w:sz w:val="24"/>
        </w:rPr>
        <w:t xml:space="preserve"> (Pārtikas nekaitīguma un pārbaudes dienests), 2014. Best practices guidance for controlling </w:t>
      </w:r>
      <w:r>
        <w:rPr>
          <w:rFonts w:ascii="Times New Roman" w:hAnsi="Times New Roman"/>
          <w:i/>
          <w:sz w:val="24"/>
        </w:rPr>
        <w:t xml:space="preserve">Listeria monocytogenes </w:t>
      </w:r>
      <w:r>
        <w:rPr>
          <w:rFonts w:ascii="Times New Roman" w:hAnsi="Times New Roman"/>
          <w:sz w:val="24"/>
        </w:rPr>
        <w:t xml:space="preserve">in retail delicatessens. Pieejams tiešsaistē: </w:t>
      </w:r>
      <w:r>
        <w:rPr>
          <w:rFonts w:ascii="Times New Roman" w:hAnsi="Times New Roman"/>
          <w:sz w:val="24"/>
          <w:u w:val="single"/>
        </w:rPr>
        <w:t>https://www.fsis.usda.gov/wps/portal/fsis/topics/regulatory-compliance/compliance-guides-index/controlling-lm-retail-delicatessens/ controlling-lm-retail-delicatessens</w:t>
      </w:r>
    </w:p>
    <w:p w:rsidR="00A2385B"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Gil, M. I., Selma, M. V., Suslow, T., Jacxsens, L., Uyttendaele, M. un Allende, A., 2015. Pre- and postharvest preventive measures and intervention strategies to control microbial food safety hazards of fresh leafy vegetables. Critical Reviews in Food Science and Nutrition, 21, 453.–468. lpp. doi: 10.1080/10408398.2012.657808</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Gil, M. I. un Allende, A., 2018. Water and Wastewater Use in the Fresh Produce Industry:</w:t>
      </w:r>
      <w:r w:rsidR="00C13858">
        <w:rPr>
          <w:rFonts w:ascii="Times New Roman" w:hAnsi="Times New Roman"/>
          <w:sz w:val="24"/>
        </w:rPr>
        <w:t xml:space="preserve"> </w:t>
      </w:r>
      <w:r>
        <w:rPr>
          <w:rFonts w:ascii="Times New Roman" w:hAnsi="Times New Roman"/>
          <w:sz w:val="24"/>
        </w:rPr>
        <w:t xml:space="preserve">Food Safety and Environmental Implications.  Pérez-Rodríguez, F., Skandamis, P. un Valdramidis, V. (eds), Quantitative Methods for Food Safety and Quality in the Vegetable </w:t>
      </w:r>
      <w:r>
        <w:rPr>
          <w:rFonts w:ascii="Times New Roman" w:hAnsi="Times New Roman"/>
          <w:sz w:val="24"/>
        </w:rPr>
        <w:lastRenderedPageBreak/>
        <w:t>Industry.“ ”Food Microbiology and Food Safety.</w:t>
      </w:r>
      <w:r>
        <w:rPr>
          <w:rFonts w:ascii="Times New Roman" w:hAnsi="Times New Roman"/>
          <w:i/>
          <w:iCs/>
          <w:sz w:val="24"/>
        </w:rPr>
        <w:t>“ ”</w:t>
      </w:r>
      <w:r>
        <w:rPr>
          <w:rFonts w:ascii="Times New Roman" w:hAnsi="Times New Roman"/>
          <w:sz w:val="24"/>
        </w:rPr>
        <w:t>Practical Approaches. Springer, 59.–76. https://doi.org/10.1007/978-3-319-68177-1</w:t>
      </w:r>
    </w:p>
    <w:p w:rsidR="00A2385B" w:rsidRPr="001B6F3C"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Gram, L., Bagge-Ravn, D., Yin Ng, Y., Gymoese, P. un Fonnesbech Vogel, B., 2007. Influence of food soiling matrix on cleaning and disinfection efficiency on surface attached</w:t>
      </w:r>
      <w:r>
        <w:rPr>
          <w:rFonts w:ascii="Times New Roman" w:hAnsi="Times New Roman"/>
          <w:i/>
          <w:sz w:val="24"/>
        </w:rPr>
        <w:t xml:space="preserve"> Listeria monocytogenes</w:t>
      </w:r>
      <w:r>
        <w:rPr>
          <w:rFonts w:ascii="Times New Roman" w:hAnsi="Times New Roman"/>
          <w:sz w:val="24"/>
        </w:rPr>
        <w:t>.</w:t>
      </w:r>
      <w:r>
        <w:rPr>
          <w:rFonts w:ascii="Times New Roman" w:hAnsi="Times New Roman"/>
          <w:i/>
          <w:sz w:val="24"/>
        </w:rPr>
        <w:t xml:space="preserve"> </w:t>
      </w:r>
      <w:r>
        <w:rPr>
          <w:rFonts w:ascii="Times New Roman" w:hAnsi="Times New Roman"/>
          <w:sz w:val="24"/>
        </w:rPr>
        <w:t>Food Control, 18, 1165.–1171. lpp. https://doi.org/10.1016/j.foodcont.2006.06.014</w:t>
      </w:r>
    </w:p>
    <w:p w:rsidR="00A2385B" w:rsidRDefault="00A2385B" w:rsidP="004650EF">
      <w:pPr>
        <w:jc w:val="both"/>
        <w:rPr>
          <w:rFonts w:ascii="Times New Roman" w:hAnsi="Times New Roman"/>
          <w:noProof/>
          <w:sz w:val="24"/>
        </w:rPr>
      </w:pPr>
    </w:p>
    <w:p w:rsidR="00270842" w:rsidRDefault="00270842" w:rsidP="00A2385B">
      <w:pPr>
        <w:jc w:val="both"/>
        <w:rPr>
          <w:rFonts w:ascii="Times New Roman" w:hAnsi="Times New Roman"/>
          <w:noProof/>
          <w:sz w:val="24"/>
        </w:rPr>
      </w:pPr>
      <w:r>
        <w:rPr>
          <w:rFonts w:ascii="Times New Roman" w:hAnsi="Times New Roman"/>
          <w:sz w:val="24"/>
        </w:rPr>
        <w:t xml:space="preserve">Hellström, S., 2011. Contamination routes and control of </w:t>
      </w:r>
      <w:r>
        <w:rPr>
          <w:rFonts w:ascii="Times New Roman" w:hAnsi="Times New Roman"/>
          <w:i/>
          <w:sz w:val="24"/>
        </w:rPr>
        <w:t xml:space="preserve">Listeria monocytogenes </w:t>
      </w:r>
      <w:r>
        <w:rPr>
          <w:rFonts w:ascii="Times New Roman" w:hAnsi="Times New Roman"/>
          <w:sz w:val="24"/>
        </w:rPr>
        <w:t>in food production. Disertācijas darbs. Helsinku universitāte, Veterinārās medicīnas fakultāte.</w:t>
      </w:r>
    </w:p>
    <w:p w:rsidR="00A2385B" w:rsidRPr="001B6F3C" w:rsidRDefault="00A2385B" w:rsidP="00A2385B">
      <w:pPr>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Holvoet, K., Jacxsens, L., Sampers, I. un Uyttendaele, M., 2012. Insight in prevalence and distribution of microbial contamination to evaluate water management in fresh produce processing industry. Journal of Food Protection, 75, 671.–681. lpp. doi: 10.4315/0362-028X.JFP-11-175</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LVS EN ISO 19458:2006 “Ūdens kvalitāte. Paraugu ņemšana mikrobioloģiskām analīzēm”. Starptautiskā standartizācijas organizācija, Ženēva.</w:t>
      </w:r>
    </w:p>
    <w:p w:rsidR="00A2385B" w:rsidRPr="001B6F3C"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Jacxsens, L., Kussaga, J., Luning, P., Van der Spiegel, M. un Uyttendaele, M., 2009. Microbial assessment scheme to support microbial performance measurements of a food safety management system. International Journal of Food Microbiology, 134, 113.–125. lpp. https://doi.org/10.1016/j.ijfoodmicro. 2009.02.018</w:t>
      </w:r>
    </w:p>
    <w:p w:rsidR="00270842" w:rsidRPr="001B6F3C" w:rsidRDefault="00270842" w:rsidP="004650EF">
      <w:pPr>
        <w:jc w:val="both"/>
        <w:rPr>
          <w:rFonts w:ascii="Times New Roman" w:eastAsia="Calibri" w:hAnsi="Times New Roman" w:cs="Calibri"/>
          <w:noProof/>
          <w:sz w:val="24"/>
          <w:szCs w:val="28"/>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Kader, A. A., 1999. Effects on nutritional quality.  Yahia, E. M. (ed.). Modified and controlled atmospheres for the storage, transportation, and packaging of horticultural commodities. Taylor and Francis Group, Bokaratona, Florida. 111.–118. lpp. DOI – 10.1201/9781420069587</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Keto-Timonen, R., Tolvanen, R., Lundén, J. un Korkeala, H., 2007. An 8-year surveillance of the diversity and persistence of </w:t>
      </w:r>
      <w:r>
        <w:rPr>
          <w:rFonts w:ascii="Times New Roman" w:hAnsi="Times New Roman"/>
          <w:i/>
          <w:sz w:val="24"/>
        </w:rPr>
        <w:t xml:space="preserve">Listeria monocytogenes </w:t>
      </w:r>
      <w:r>
        <w:rPr>
          <w:rFonts w:ascii="Times New Roman" w:hAnsi="Times New Roman"/>
          <w:sz w:val="24"/>
        </w:rPr>
        <w:t>in a chilled food processing plant analysed by amplified fragment length polymorphism. Journal of Food Protection, 70, 1866.–1873. lpp.</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Lahou, E., Jacxsens, L., Daelman, J., Van Landeghem, F. un Uyttendaele, M., 2012. Microbiological performance of a food safety management system in a food service operation. Journal of Food Protection, 75, 706.–716. lpp. doi: 10.4315/0362-028X.JFP-11-260</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Lakicevic, B. un Nastasijevic, I., 2017. </w:t>
      </w:r>
      <w:r>
        <w:rPr>
          <w:rFonts w:ascii="Times New Roman" w:hAnsi="Times New Roman"/>
          <w:i/>
          <w:iCs/>
          <w:sz w:val="24"/>
        </w:rPr>
        <w:t xml:space="preserve">Listeria monocytogenes </w:t>
      </w:r>
      <w:r>
        <w:rPr>
          <w:rFonts w:ascii="Times New Roman" w:hAnsi="Times New Roman"/>
          <w:sz w:val="24"/>
        </w:rPr>
        <w:t>in retail establishments:</w:t>
      </w:r>
      <w:r w:rsidR="00BE1F35">
        <w:rPr>
          <w:rFonts w:ascii="Times New Roman" w:hAnsi="Times New Roman"/>
          <w:i/>
          <w:iCs/>
          <w:sz w:val="24"/>
        </w:rPr>
        <w:t xml:space="preserve"> </w:t>
      </w:r>
      <w:r>
        <w:rPr>
          <w:rFonts w:ascii="Times New Roman" w:hAnsi="Times New Roman"/>
          <w:sz w:val="24"/>
        </w:rPr>
        <w:t>Contamination routes and control strategies. Food Reviews International, 33, 3, 247.–269. lpp. https://doi.org/10.1080/ 87559129.2016.1175017</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Lianou, A. un Sofos, J. N.,2007. A review of the incidence and transmission of </w:t>
      </w:r>
      <w:r>
        <w:rPr>
          <w:rFonts w:ascii="Times New Roman" w:hAnsi="Times New Roman"/>
          <w:i/>
          <w:sz w:val="24"/>
        </w:rPr>
        <w:t xml:space="preserve">Listeria monocytogenes </w:t>
      </w:r>
      <w:r>
        <w:rPr>
          <w:rFonts w:ascii="Times New Roman" w:hAnsi="Times New Roman"/>
          <w:sz w:val="24"/>
        </w:rPr>
        <w:t>in ready-to-eat products in retail and food service environments. Journal of Food Protection, 70, 2172.–2198. lpp.</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Lin, Z. un Schyvens, E., 1995. Influence of blanching treatments on the texture and color of some processed vegetables and fruits. Journal of Food Processing and Preservation, 19, 451.–465. lpp.</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López-Gálvez, F., Allende, A., Pedrero-Salcedo, F., Alarcon, J. J. un Gil, M. I., 2014. Safety </w:t>
      </w:r>
      <w:r>
        <w:rPr>
          <w:rFonts w:ascii="Times New Roman" w:hAnsi="Times New Roman"/>
          <w:sz w:val="24"/>
        </w:rPr>
        <w:lastRenderedPageBreak/>
        <w:t>assessment of greenhouse hydroponic tomatoes irrigated with reclaimed and surface water. International Journal of Food Microbiology, 191, 97.–102. lpp. doi: 10.1016/j.ijfoodmicro.2014.09.004</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López-Gálvez, F., Tudela, J. A., Allende, A. un Gil, M. I., 2018. Microbial and chemical characterization of commercial washing lines of fresh produce highlights the need for process water control. Innovative Food Science and Emerging Technologies, atrodas iespiešanā. https://doi.org/10.1016/j.ifset.2018.05.002</w:t>
      </w:r>
    </w:p>
    <w:p w:rsidR="00A2385B" w:rsidRPr="001B6F3C"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Lundén, J., 2004. Persistent </w:t>
      </w:r>
      <w:r>
        <w:rPr>
          <w:rFonts w:ascii="Times New Roman" w:hAnsi="Times New Roman"/>
          <w:i/>
          <w:sz w:val="24"/>
        </w:rPr>
        <w:t xml:space="preserve">Listeria monocytogenes </w:t>
      </w:r>
      <w:r>
        <w:rPr>
          <w:rFonts w:ascii="Times New Roman" w:hAnsi="Times New Roman"/>
          <w:sz w:val="24"/>
        </w:rPr>
        <w:t>contamination in food processing plants. Doktora disertācija, Helsinku Universitāte, Helsinki, Somija, 68 lpp., ISBN 952-991-6697-6694 (mīkstos vākos), ISBN 6952-6610-1507-6691 (</w:t>
      </w:r>
      <w:r>
        <w:rPr>
          <w:rFonts w:ascii="Times New Roman" w:hAnsi="Times New Roman"/>
          <w:i/>
          <w:iCs/>
          <w:sz w:val="24"/>
        </w:rPr>
        <w:t>PDF</w:t>
      </w:r>
      <w:r>
        <w:rPr>
          <w:rFonts w:ascii="Times New Roman" w:hAnsi="Times New Roman"/>
          <w:sz w:val="24"/>
        </w:rPr>
        <w:t xml:space="preserve">). Pieejama tiešsaistē: </w:t>
      </w:r>
      <w:r>
        <w:rPr>
          <w:rFonts w:ascii="Times New Roman" w:hAnsi="Times New Roman"/>
          <w:sz w:val="24"/>
          <w:u w:val="single"/>
        </w:rPr>
        <w:t>https://helda.helsinki.fi/handle/10138/18947</w:t>
      </w:r>
    </w:p>
    <w:p w:rsidR="00A2385B" w:rsidRDefault="00A2385B" w:rsidP="004650EF">
      <w:pPr>
        <w:pStyle w:val="BodyText"/>
        <w:tabs>
          <w:tab w:val="left" w:pos="2587"/>
          <w:tab w:val="left" w:pos="3993"/>
          <w:tab w:val="left" w:pos="4883"/>
          <w:tab w:val="left" w:pos="5599"/>
          <w:tab w:val="left" w:pos="6151"/>
          <w:tab w:val="left" w:pos="7123"/>
          <w:tab w:val="left" w:pos="8635"/>
          <w:tab w:val="left" w:pos="9753"/>
        </w:tabs>
        <w:ind w:left="0"/>
        <w:jc w:val="both"/>
        <w:rPr>
          <w:rFonts w:ascii="Times New Roman" w:hAnsi="Times New Roman"/>
          <w:noProof/>
          <w:sz w:val="24"/>
        </w:rPr>
      </w:pPr>
    </w:p>
    <w:p w:rsidR="00270842" w:rsidRPr="001B6F3C" w:rsidRDefault="00270842" w:rsidP="004650EF">
      <w:pPr>
        <w:pStyle w:val="BodyText"/>
        <w:tabs>
          <w:tab w:val="left" w:pos="2587"/>
          <w:tab w:val="left" w:pos="3993"/>
          <w:tab w:val="left" w:pos="4883"/>
          <w:tab w:val="left" w:pos="5599"/>
          <w:tab w:val="left" w:pos="6151"/>
          <w:tab w:val="left" w:pos="7123"/>
          <w:tab w:val="left" w:pos="8635"/>
          <w:tab w:val="left" w:pos="9753"/>
        </w:tabs>
        <w:ind w:left="0"/>
        <w:jc w:val="both"/>
        <w:rPr>
          <w:rFonts w:ascii="Times New Roman" w:hAnsi="Times New Roman"/>
          <w:noProof/>
          <w:sz w:val="24"/>
        </w:rPr>
      </w:pPr>
      <w:r>
        <w:rPr>
          <w:rFonts w:ascii="Times New Roman" w:hAnsi="Times New Roman"/>
          <w:i/>
          <w:iCs/>
          <w:sz w:val="24"/>
        </w:rPr>
        <w:t>MAF</w:t>
      </w:r>
      <w:r>
        <w:rPr>
          <w:rFonts w:ascii="Times New Roman" w:hAnsi="Times New Roman"/>
          <w:sz w:val="24"/>
        </w:rPr>
        <w:t xml:space="preserve"> (Lauksaimniecības un mežkopības ministrija), 2011. Guidance for the control of </w:t>
      </w:r>
      <w:r>
        <w:rPr>
          <w:rFonts w:ascii="Times New Roman" w:hAnsi="Times New Roman"/>
          <w:i/>
          <w:sz w:val="24"/>
        </w:rPr>
        <w:t xml:space="preserve">Listeria monocytogenes </w:t>
      </w:r>
      <w:r>
        <w:rPr>
          <w:rFonts w:ascii="Times New Roman" w:hAnsi="Times New Roman"/>
          <w:sz w:val="24"/>
        </w:rPr>
        <w:t>in ready-to-eat foods, Part 1:</w:t>
      </w:r>
      <w:r w:rsidR="00BE1F35">
        <w:rPr>
          <w:rFonts w:ascii="Times New Roman" w:hAnsi="Times New Roman"/>
          <w:i/>
          <w:iCs/>
          <w:sz w:val="24"/>
        </w:rPr>
        <w:t xml:space="preserve"> </w:t>
      </w:r>
      <w:r>
        <w:rPr>
          <w:rFonts w:ascii="Times New Roman" w:hAnsi="Times New Roman"/>
          <w:sz w:val="24"/>
        </w:rPr>
        <w:t xml:space="preserve">Listeria Management. Pieejama tiešsaistē: </w:t>
      </w:r>
      <w:r>
        <w:rPr>
          <w:rFonts w:ascii="Times New Roman" w:hAnsi="Times New Roman"/>
          <w:sz w:val="24"/>
          <w:u w:val="single"/>
        </w:rPr>
        <w:t>http://www.higieneambiental.com/sites/default/files/images/pdf/guidance-listeria-monocytogenes.pdf.</w:t>
      </w:r>
    </w:p>
    <w:p w:rsidR="00A2385B"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Malley, T. J. V., Butts, J. un Wiedmann, M., 2015. Seek and destroy process: </w:t>
      </w:r>
      <w:r>
        <w:rPr>
          <w:rFonts w:ascii="Times New Roman" w:hAnsi="Times New Roman"/>
          <w:i/>
          <w:iCs/>
          <w:sz w:val="24"/>
        </w:rPr>
        <w:t xml:space="preserve">Listeria monocytogenes </w:t>
      </w:r>
      <w:r>
        <w:rPr>
          <w:rFonts w:ascii="Times New Roman" w:hAnsi="Times New Roman"/>
          <w:sz w:val="24"/>
        </w:rPr>
        <w:t>process controls in the ready-to-eat meat and poultry industry. Journal of Food Protection, 78, 436.–445. lpp. doi: 10.4315/0362-028X.JFP-13-507</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Møretrø, T. un Langsrud, S., 2004. </w:t>
      </w:r>
      <w:r>
        <w:rPr>
          <w:rFonts w:ascii="Times New Roman" w:hAnsi="Times New Roman"/>
          <w:i/>
          <w:iCs/>
          <w:sz w:val="24"/>
        </w:rPr>
        <w:t>Listeria monocytogenes</w:t>
      </w:r>
      <w:r>
        <w:rPr>
          <w:rFonts w:ascii="Times New Roman" w:hAnsi="Times New Roman"/>
          <w:sz w:val="24"/>
        </w:rPr>
        <w:t>: biofilm formation and persistence in food-processing environments. Biofilms, 1, 107.–121. lpp.</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Norton, D. M., Scarlett, J. M., Horton, K., Sue, D., Thimothe, J., Boor, K. J. un Wiedmann, M., 2001. Characterization and pathogenic potential of </w:t>
      </w:r>
      <w:r>
        <w:rPr>
          <w:rFonts w:ascii="Times New Roman" w:hAnsi="Times New Roman"/>
          <w:i/>
          <w:sz w:val="24"/>
        </w:rPr>
        <w:t xml:space="preserve">Listeria monocytogenes </w:t>
      </w:r>
      <w:r>
        <w:rPr>
          <w:rFonts w:ascii="Times New Roman" w:hAnsi="Times New Roman"/>
          <w:sz w:val="24"/>
        </w:rPr>
        <w:t>isolates from the smoked fish industry. Applied and Environmental Microbiology, 67, 646.–653. lpp.</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Noseda, B., Thi, A. N., Rosseel, L., Devlieghere, F. un Jacxsens, L., 2013. Dynamics of microbiological quality and safety of Vietnamese </w:t>
      </w:r>
      <w:r>
        <w:rPr>
          <w:rFonts w:ascii="Times New Roman" w:hAnsi="Times New Roman"/>
          <w:i/>
          <w:sz w:val="24"/>
        </w:rPr>
        <w:t xml:space="preserve">Pangasianodon hypophthalmus </w:t>
      </w:r>
      <w:r>
        <w:rPr>
          <w:rFonts w:ascii="Times New Roman" w:hAnsi="Times New Roman"/>
          <w:sz w:val="24"/>
        </w:rPr>
        <w:t>during processing. Aquaculture International, 21, 709.–727. lpp. https://doi.org/10.1007/s10499-012-9605-6</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Oses, S., Luning, P., Jacxsens, L., Santillana, S., Jaime, I. un Rovira, J., 2012. Microbial performance of food safety management systems implementated in the lamb production chain. Journal of Food Protection, 75, 95.–103. lpp. doi: 10.4315/0362-028X.JFP-11-263</w:t>
      </w:r>
    </w:p>
    <w:p w:rsidR="00A2385B" w:rsidRPr="001B6F3C"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Jacxsens, L., Kussaga, J., Luning, P., Van der Spiegel, M. un Uyttendaele, M., 2009. A microbial assessment scheme to support microbial performance measurements of a food safety management system. International Journal of Food Microbiology, 134, 113.–125. lpp. doi: 10.1016/j.ijfoodmicro.2009.02.018</w:t>
      </w:r>
    </w:p>
    <w:p w:rsidR="00270842" w:rsidRPr="001B6F3C" w:rsidRDefault="00270842" w:rsidP="004650EF">
      <w:pPr>
        <w:jc w:val="both"/>
        <w:rPr>
          <w:rFonts w:ascii="Times New Roman" w:eastAsia="Calibri" w:hAnsi="Times New Roman" w:cs="Calibri"/>
          <w:noProof/>
          <w:sz w:val="24"/>
          <w:szCs w:val="28"/>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Jacxsens, L., Luning, P., Marcelis, W., van Boekel, T., Rovira, J., Oses, S., Kousta, M., Drosinos, E., Jasson, V. un Uyttendaele, M., 2011. Tools for the performance assessment and improvement of food safety management systems. Trends in Food Science and Technology, 22, 80.–89. lpp. https://doi.org/10.1016/j.tifs.2011.02.008</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Reid, D. S., 1996. Fruit Freezing.  Somogyi, L. P., Ramaswamy, H. S. un Hui, Y. H. (eds). Processing fruits: science and technology.</w:t>
      </w:r>
      <w:r>
        <w:rPr>
          <w:rFonts w:ascii="Times New Roman" w:hAnsi="Times New Roman"/>
          <w:i/>
          <w:iCs/>
          <w:sz w:val="24"/>
        </w:rPr>
        <w:t xml:space="preserve"> </w:t>
      </w:r>
      <w:r>
        <w:rPr>
          <w:rFonts w:ascii="Times New Roman" w:hAnsi="Times New Roman"/>
          <w:sz w:val="24"/>
        </w:rPr>
        <w:t>Vol. 1:</w:t>
      </w:r>
      <w:r>
        <w:rPr>
          <w:rFonts w:ascii="Times New Roman" w:hAnsi="Times New Roman"/>
          <w:i/>
          <w:iCs/>
          <w:sz w:val="24"/>
        </w:rPr>
        <w:t xml:space="preserve"> </w:t>
      </w:r>
      <w:r>
        <w:rPr>
          <w:rFonts w:ascii="Times New Roman" w:hAnsi="Times New Roman"/>
          <w:sz w:val="24"/>
        </w:rPr>
        <w:t xml:space="preserve">Biology, principles and applications. </w:t>
      </w:r>
      <w:r>
        <w:rPr>
          <w:rFonts w:ascii="Times New Roman" w:hAnsi="Times New Roman"/>
          <w:sz w:val="24"/>
        </w:rPr>
        <w:lastRenderedPageBreak/>
        <w:t>Lankastera, Pensilvānija: Technomic Publishing Co., 169.–184. lpp.</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Rickman, J. C., Barrett, D. M. un Bruhn, C. M., 2007. Nutritional comparison of fresh, frozen and canned fruits and vegetables.</w:t>
      </w:r>
      <w:r>
        <w:rPr>
          <w:rFonts w:ascii="Times New Roman" w:hAnsi="Times New Roman"/>
          <w:i/>
          <w:iCs/>
          <w:sz w:val="24"/>
        </w:rPr>
        <w:t xml:space="preserve"> </w:t>
      </w:r>
      <w:r>
        <w:rPr>
          <w:rFonts w:ascii="Times New Roman" w:hAnsi="Times New Roman"/>
          <w:sz w:val="24"/>
        </w:rPr>
        <w:t>Part 1.</w:t>
      </w:r>
      <w:r>
        <w:rPr>
          <w:rFonts w:ascii="Times New Roman" w:hAnsi="Times New Roman"/>
          <w:i/>
          <w:iCs/>
          <w:sz w:val="24"/>
        </w:rPr>
        <w:t xml:space="preserve"> </w:t>
      </w:r>
      <w:r>
        <w:rPr>
          <w:rFonts w:ascii="Times New Roman" w:hAnsi="Times New Roman"/>
          <w:sz w:val="24"/>
        </w:rPr>
        <w:t>Vitamins C and B and phenolic compounds. Journal of the Science of Food Agriculture, 87, 930.–944. lpp.</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Sant'Ana, A. S., Igarashi, M. C., Landgraf, M., Destro, M. T. un Franco, B. D., 2012. Prevalence, populations and pheno- and genotypic characteristics of </w:t>
      </w:r>
      <w:r>
        <w:rPr>
          <w:rFonts w:ascii="Times New Roman" w:hAnsi="Times New Roman"/>
          <w:i/>
          <w:sz w:val="24"/>
        </w:rPr>
        <w:t xml:space="preserve">Listeria monocytogenes </w:t>
      </w:r>
      <w:r>
        <w:rPr>
          <w:rFonts w:ascii="Times New Roman" w:hAnsi="Times New Roman"/>
          <w:sz w:val="24"/>
        </w:rPr>
        <w:t>isolated from ready-to-eat vegetables marketed in São Paulo, Brazil. International Journal of Food Microbiology, 155, 1.–9. lpp. doi: 10.1016/j.ijfoodmicro.2011.12.036</w:t>
      </w:r>
    </w:p>
    <w:p w:rsidR="00A2385B" w:rsidRPr="001B6F3C" w:rsidRDefault="00A2385B"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 xml:space="preserve">Schmitz-Esser, S., Muller, A., Stessl, B. un Wagner, M., 2015. Genomes of sequence type 121 </w:t>
      </w:r>
      <w:r>
        <w:rPr>
          <w:rFonts w:ascii="Times New Roman" w:hAnsi="Times New Roman"/>
          <w:i/>
          <w:sz w:val="24"/>
        </w:rPr>
        <w:t xml:space="preserve">Listeria monocytogenes </w:t>
      </w:r>
      <w:r>
        <w:rPr>
          <w:rFonts w:ascii="Times New Roman" w:hAnsi="Times New Roman"/>
          <w:sz w:val="24"/>
        </w:rPr>
        <w:t>strains harbor highly conserved plasmids and prophages. Frontiers in Microbiology, 6, 1.–10. lpp. https://doi.org/10.3389/fmicb.2015.00380</w:t>
      </w:r>
    </w:p>
    <w:p w:rsidR="00A2385B" w:rsidRPr="001B6F3C" w:rsidRDefault="00A2385B"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u w:val="single" w:color="0000FF"/>
        </w:rPr>
      </w:pPr>
      <w:r>
        <w:rPr>
          <w:rFonts w:ascii="Times New Roman" w:hAnsi="Times New Roman"/>
          <w:sz w:val="24"/>
        </w:rPr>
        <w:t xml:space="preserve">Simmons, C. K. un Wiedmann, M., 2017. Identification and classification of sampling sites for pathogen environmental monitoring programs for </w:t>
      </w:r>
      <w:r>
        <w:rPr>
          <w:rFonts w:ascii="Times New Roman" w:hAnsi="Times New Roman"/>
          <w:i/>
          <w:sz w:val="24"/>
        </w:rPr>
        <w:t>Listeria monocytogenes</w:t>
      </w:r>
      <w:r>
        <w:rPr>
          <w:rFonts w:ascii="Times New Roman" w:hAnsi="Times New Roman"/>
          <w:sz w:val="24"/>
        </w:rPr>
        <w:t>:</w:t>
      </w:r>
      <w:r w:rsidR="00BE1F35">
        <w:rPr>
          <w:rFonts w:ascii="Times New Roman" w:hAnsi="Times New Roman"/>
          <w:sz w:val="24"/>
        </w:rPr>
        <w:t xml:space="preserve"> </w:t>
      </w:r>
      <w:r>
        <w:rPr>
          <w:rFonts w:ascii="Times New Roman" w:hAnsi="Times New Roman"/>
          <w:sz w:val="24"/>
        </w:rPr>
        <w:t xml:space="preserve">Results from an expert elicitation, Food Microbiology, izlabots teksts. </w:t>
      </w:r>
      <w:r>
        <w:rPr>
          <w:rFonts w:ascii="Times New Roman" w:hAnsi="Times New Roman"/>
          <w:sz w:val="24"/>
          <w:u w:val="single"/>
        </w:rPr>
        <w:t>https://doi.org/10.1016/j.fm.2017.07.005</w:t>
      </w:r>
    </w:p>
    <w:p w:rsidR="00A2385B" w:rsidRDefault="00A2385B" w:rsidP="004650EF">
      <w:pPr>
        <w:jc w:val="both"/>
        <w:rPr>
          <w:rFonts w:ascii="Times New Roman" w:hAnsi="Times New Roman"/>
          <w:noProof/>
          <w:sz w:val="24"/>
        </w:rPr>
      </w:pPr>
    </w:p>
    <w:p w:rsidR="00270842" w:rsidRPr="00A2385B" w:rsidRDefault="00270842" w:rsidP="00A2385B">
      <w:pPr>
        <w:jc w:val="both"/>
        <w:rPr>
          <w:rFonts w:ascii="Times New Roman" w:eastAsia="Tahoma" w:hAnsi="Times New Roman" w:cs="Tahoma"/>
          <w:noProof/>
          <w:sz w:val="24"/>
          <w:szCs w:val="19"/>
        </w:rPr>
      </w:pPr>
      <w:r>
        <w:rPr>
          <w:rFonts w:ascii="Times New Roman" w:hAnsi="Times New Roman"/>
          <w:sz w:val="24"/>
        </w:rPr>
        <w:t xml:space="preserve">Silva, S., Teixeira, P., Oliveira, R. un Azeredo, J., 2008. Adhesion to and viability of </w:t>
      </w:r>
      <w:r>
        <w:rPr>
          <w:rFonts w:ascii="Times New Roman" w:hAnsi="Times New Roman"/>
          <w:i/>
          <w:sz w:val="24"/>
        </w:rPr>
        <w:t xml:space="preserve">Listeria monocytogenes </w:t>
      </w:r>
      <w:r>
        <w:rPr>
          <w:rFonts w:ascii="Times New Roman" w:hAnsi="Times New Roman"/>
          <w:sz w:val="24"/>
        </w:rPr>
        <w:t>on food contact surfaces. Journal of Food Protection, 71, 1379.–1385. lpp.</w:t>
      </w:r>
    </w:p>
    <w:p w:rsidR="00A36BCA" w:rsidRDefault="00A36BCA"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Thi, A. T., Jacxsens, L., Noseda, B., Samapundo, S., Nguyen, B. L., Heyndrick, M. un Devlieghere, F., 2014. Evaluation of the microbiological safety and quality of Vietnamese </w:t>
      </w:r>
      <w:r>
        <w:rPr>
          <w:rFonts w:ascii="Times New Roman" w:hAnsi="Times New Roman"/>
          <w:i/>
          <w:sz w:val="24"/>
        </w:rPr>
        <w:t xml:space="preserve">Pangasius hypopthalmus </w:t>
      </w:r>
      <w:r>
        <w:rPr>
          <w:rFonts w:ascii="Times New Roman" w:hAnsi="Times New Roman"/>
          <w:sz w:val="24"/>
        </w:rPr>
        <w:t>during processing by a microbial assessment scheme in combination with a self-assessment questionnaire. Fisheries Science, 80, 1117.–1128. lpp. https://doi.org/10.1007/s12562-014-0786-y</w:t>
      </w:r>
    </w:p>
    <w:p w:rsidR="00A36BCA" w:rsidRDefault="00A36BCA"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Thimothe, J., Nightingale, K. K., Gall, K., Scott, V. N. un Wiedmann, M., 2004. Tracking of </w:t>
      </w:r>
      <w:r>
        <w:rPr>
          <w:rFonts w:ascii="Times New Roman" w:hAnsi="Times New Roman"/>
          <w:i/>
          <w:sz w:val="24"/>
        </w:rPr>
        <w:t xml:space="preserve">Listeria monocytogenes </w:t>
      </w:r>
      <w:r>
        <w:rPr>
          <w:rFonts w:ascii="Times New Roman" w:hAnsi="Times New Roman"/>
          <w:sz w:val="24"/>
        </w:rPr>
        <w:t>in smoked fish processing plants. Journal of Food Protection, 67, 328.–341. lpp.</w:t>
      </w:r>
    </w:p>
    <w:p w:rsidR="00A36BCA" w:rsidRDefault="00A36BCA"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Tompkin, R. B., 2002. Control of </w:t>
      </w:r>
      <w:r>
        <w:rPr>
          <w:rFonts w:ascii="Times New Roman" w:hAnsi="Times New Roman"/>
          <w:i/>
          <w:sz w:val="24"/>
        </w:rPr>
        <w:t xml:space="preserve">Listeria monocytogenes </w:t>
      </w:r>
      <w:r>
        <w:rPr>
          <w:rFonts w:ascii="Times New Roman" w:hAnsi="Times New Roman"/>
          <w:sz w:val="24"/>
        </w:rPr>
        <w:t>in the food-processing environment. Journal of Food Protection, 65, 709.–725. lpp.</w:t>
      </w:r>
    </w:p>
    <w:p w:rsidR="00A36BCA" w:rsidRDefault="00A36BCA"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Tompkin, R. B., 2004. Environmental sampling:</w:t>
      </w:r>
      <w:r w:rsidR="00BE1F35">
        <w:rPr>
          <w:rFonts w:ascii="Times New Roman" w:hAnsi="Times New Roman"/>
          <w:i/>
          <w:iCs/>
          <w:sz w:val="24"/>
        </w:rPr>
        <w:t xml:space="preserve"> </w:t>
      </w:r>
      <w:r>
        <w:rPr>
          <w:rFonts w:ascii="Times New Roman" w:hAnsi="Times New Roman"/>
          <w:sz w:val="24"/>
        </w:rPr>
        <w:t>A tool to verify the effectiveness of preventive hygiene measures. Mitteilungen aus Lebensmitteluntersuchung und Hygiene, 95, 45.–51. lpp.</w:t>
      </w:r>
    </w:p>
    <w:p w:rsidR="00A36BCA" w:rsidRDefault="00A36BCA"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i/>
          <w:iCs/>
          <w:sz w:val="24"/>
        </w:rPr>
        <w:t>USFDA</w:t>
      </w:r>
      <w:r>
        <w:rPr>
          <w:rFonts w:ascii="Times New Roman" w:hAnsi="Times New Roman"/>
          <w:sz w:val="24"/>
        </w:rPr>
        <w:t xml:space="preserve"> (ASV Pārtikas un zāļu pārvalde),2017. Control of </w:t>
      </w:r>
      <w:r>
        <w:rPr>
          <w:rFonts w:ascii="Times New Roman" w:hAnsi="Times New Roman"/>
          <w:i/>
          <w:sz w:val="24"/>
        </w:rPr>
        <w:t xml:space="preserve">Listeria monocytogenes </w:t>
      </w:r>
      <w:r>
        <w:rPr>
          <w:rFonts w:ascii="Times New Roman" w:hAnsi="Times New Roman"/>
          <w:sz w:val="24"/>
        </w:rPr>
        <w:t>in Ready-To-Eat Foods:</w:t>
      </w:r>
      <w:r w:rsidR="00BE1F35">
        <w:rPr>
          <w:rFonts w:ascii="Times New Roman" w:hAnsi="Times New Roman"/>
          <w:i/>
          <w:iCs/>
          <w:sz w:val="24"/>
        </w:rPr>
        <w:t xml:space="preserve"> </w:t>
      </w:r>
      <w:r>
        <w:rPr>
          <w:rFonts w:ascii="Times New Roman" w:hAnsi="Times New Roman"/>
          <w:sz w:val="24"/>
        </w:rPr>
        <w:t xml:space="preserve">Guidance for Industry Draft Guidance. ASV Veselības un sociālo pakalpojumu ministrija, Pārtikas un zāļu pārvalde. Pārtikas nekaitīguma un lietišķo uzturjautājumu centrs. 2017. gada janvāris. Pieejams tiešsaistē: </w:t>
      </w:r>
      <w:r>
        <w:rPr>
          <w:rFonts w:ascii="Times New Roman" w:hAnsi="Times New Roman"/>
          <w:sz w:val="24"/>
          <w:u w:val="single"/>
        </w:rPr>
        <w:t>https://www.fda.gov/downloads/food/guidanceregulation/guidancedocumentsregulatoryinformation/ucm535981.pdf</w:t>
      </w:r>
    </w:p>
    <w:p w:rsidR="00A36BCA" w:rsidRDefault="00A36BCA" w:rsidP="004650EF">
      <w:pPr>
        <w:pStyle w:val="BodyText"/>
        <w:ind w:left="0"/>
        <w:jc w:val="both"/>
        <w:rPr>
          <w:rFonts w:ascii="Times New Roman" w:hAnsi="Times New Roman"/>
          <w:noProof/>
          <w:sz w:val="24"/>
        </w:rPr>
      </w:pPr>
    </w:p>
    <w:p w:rsidR="00270842" w:rsidRDefault="00270842" w:rsidP="004650EF">
      <w:pPr>
        <w:pStyle w:val="BodyText"/>
        <w:ind w:left="0"/>
        <w:jc w:val="both"/>
        <w:rPr>
          <w:rFonts w:ascii="Times New Roman" w:hAnsi="Times New Roman"/>
          <w:noProof/>
          <w:sz w:val="24"/>
        </w:rPr>
      </w:pPr>
      <w:r>
        <w:rPr>
          <w:rFonts w:ascii="Times New Roman" w:hAnsi="Times New Roman"/>
          <w:sz w:val="24"/>
        </w:rPr>
        <w:t>Uyttendaele, M. (ed.), De Loy-Hendrickx, A., Debevere, J., Devlieghere, F., Jacxsens, L., Uyttendaele, M. un Vermeulen, A., 2018. Microbiological guidelines: support for interpretation of microbiological test results of foods. Die Keure Printing and Publishing, 478 lpp.</w:t>
      </w:r>
    </w:p>
    <w:p w:rsidR="00A36BCA" w:rsidRPr="001B6F3C" w:rsidRDefault="00A36BCA"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eastAsia="Arial" w:hAnsi="Times New Roman" w:cs="Arial"/>
          <w:noProof/>
          <w:sz w:val="24"/>
        </w:rPr>
      </w:pPr>
      <w:r>
        <w:rPr>
          <w:rFonts w:ascii="Times New Roman" w:hAnsi="Times New Roman"/>
          <w:sz w:val="24"/>
        </w:rPr>
        <w:t xml:space="preserve">Verghese, B., Lok, M., Wen, J., Alessandria, V., Chen, Y., Kathariou, S. un Knabel, S., 2011. </w:t>
      </w:r>
      <w:r>
        <w:rPr>
          <w:rFonts w:ascii="Times New Roman" w:hAnsi="Times New Roman"/>
          <w:i/>
          <w:iCs/>
          <w:sz w:val="24"/>
        </w:rPr>
        <w:t xml:space="preserve">comK </w:t>
      </w:r>
      <w:r>
        <w:rPr>
          <w:rFonts w:ascii="Times New Roman" w:hAnsi="Times New Roman"/>
          <w:sz w:val="24"/>
        </w:rPr>
        <w:t xml:space="preserve">prophage junction fragments as markers for </w:t>
      </w:r>
      <w:r>
        <w:rPr>
          <w:rFonts w:ascii="Times New Roman" w:hAnsi="Times New Roman"/>
          <w:i/>
          <w:sz w:val="24"/>
          <w:szCs w:val="19"/>
        </w:rPr>
        <w:t xml:space="preserve">Listeria monocytogenes </w:t>
      </w:r>
      <w:r>
        <w:rPr>
          <w:rFonts w:ascii="Times New Roman" w:hAnsi="Times New Roman"/>
          <w:sz w:val="24"/>
        </w:rPr>
        <w:t>genotypes unique to individual meat and poultry processing plants and a model for rapid niche-specific adaptation, biofilm formation, and persistence. Applied and Environmental Microbiology, 77, 3279.–3292. lpp. doi: 10.1128/AEM.00546-11</w:t>
      </w:r>
    </w:p>
    <w:p w:rsidR="00A36BCA" w:rsidRDefault="00A36BCA"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Williams, D. C., Lim, M. H., Chen, A. O., Pangborn, R. M. un Whitaker, J. R., 1986. Blanching of vegetables for freezing-which indicator enzyme to choose. Food Technology, 40, 130.–140. lpp.</w:t>
      </w:r>
    </w:p>
    <w:p w:rsidR="00A36BCA" w:rsidRDefault="00A36BCA"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Xiao, H. W., Pan, Z., Deng, L. Z., El-Mashad, H. M., Yang, X. H., Mujumdar, A. S., Gao, Z. J. un Zhang, Q., 2017. Recent developments and trends in thermal blanching – a comprehensive review. Information Processing in Agriculture, 4, 101.–127. lpp. https://doi.org/10.1016/j.inpa.2017.02.001</w:t>
      </w:r>
    </w:p>
    <w:p w:rsidR="00270842" w:rsidRPr="001B6F3C" w:rsidRDefault="00270842" w:rsidP="004650EF">
      <w:pPr>
        <w:jc w:val="both"/>
        <w:rPr>
          <w:rFonts w:ascii="Times New Roman" w:eastAsia="Calibri" w:hAnsi="Times New Roman" w:cs="Calibri"/>
          <w:noProof/>
          <w:sz w:val="24"/>
          <w:szCs w:val="27"/>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Zhou, B., Luo, Y., Nou, X., Lyu, S. un Wang, Q., 2015. Inactivation dynamics of </w:t>
      </w:r>
      <w:r>
        <w:rPr>
          <w:rFonts w:ascii="Times New Roman" w:hAnsi="Times New Roman"/>
          <w:i/>
          <w:sz w:val="24"/>
        </w:rPr>
        <w:t>Salmonella enterica</w:t>
      </w:r>
      <w:r>
        <w:rPr>
          <w:rFonts w:ascii="Times New Roman" w:hAnsi="Times New Roman"/>
          <w:sz w:val="24"/>
        </w:rPr>
        <w:t xml:space="preserve">, </w:t>
      </w:r>
      <w:r>
        <w:rPr>
          <w:rFonts w:ascii="Times New Roman" w:hAnsi="Times New Roman"/>
          <w:i/>
          <w:sz w:val="24"/>
        </w:rPr>
        <w:t>Listeria monocytogenes</w:t>
      </w:r>
      <w:r>
        <w:rPr>
          <w:rFonts w:ascii="Times New Roman" w:hAnsi="Times New Roman"/>
          <w:sz w:val="24"/>
        </w:rPr>
        <w:t xml:space="preserve">, and </w:t>
      </w:r>
      <w:r>
        <w:rPr>
          <w:rFonts w:ascii="Times New Roman" w:hAnsi="Times New Roman"/>
          <w:i/>
          <w:sz w:val="24"/>
        </w:rPr>
        <w:t xml:space="preserve">Escherichia coli </w:t>
      </w:r>
      <w:r>
        <w:rPr>
          <w:rFonts w:ascii="Times New Roman" w:hAnsi="Times New Roman"/>
          <w:sz w:val="24"/>
        </w:rPr>
        <w:t>O157:H7 in wash water during simulated chlorine depletion and replenishment processes. Food Microbiology, 50, 88.–96. lpp. https://doi.org/10.1016/j.fm. 2015.03.004</w:t>
      </w:r>
    </w:p>
    <w:p w:rsidR="00A36BCA" w:rsidRDefault="00A36BCA" w:rsidP="004650EF">
      <w:pPr>
        <w:pStyle w:val="BodyText"/>
        <w:ind w:left="0"/>
        <w:jc w:val="both"/>
        <w:rPr>
          <w:rFonts w:ascii="Times New Roman" w:hAnsi="Times New Roman"/>
          <w:noProof/>
          <w:sz w:val="24"/>
        </w:rPr>
      </w:pPr>
    </w:p>
    <w:p w:rsidR="00270842" w:rsidRPr="001B6F3C" w:rsidRDefault="00270842" w:rsidP="004650EF">
      <w:pPr>
        <w:pStyle w:val="BodyText"/>
        <w:ind w:left="0"/>
        <w:jc w:val="both"/>
        <w:rPr>
          <w:rFonts w:ascii="Times New Roman" w:hAnsi="Times New Roman"/>
          <w:noProof/>
          <w:sz w:val="24"/>
        </w:rPr>
      </w:pPr>
      <w:r>
        <w:rPr>
          <w:rFonts w:ascii="Times New Roman" w:hAnsi="Times New Roman"/>
          <w:sz w:val="24"/>
        </w:rPr>
        <w:t xml:space="preserve">Zilelidou, E. A. un Skandamis, P. N., 2018. Growth, detection and virulence of </w:t>
      </w:r>
      <w:r>
        <w:rPr>
          <w:rFonts w:ascii="Times New Roman" w:hAnsi="Times New Roman"/>
          <w:i/>
          <w:sz w:val="24"/>
        </w:rPr>
        <w:t xml:space="preserve">Listeria monocytogenes </w:t>
      </w:r>
      <w:r>
        <w:rPr>
          <w:rFonts w:ascii="Times New Roman" w:hAnsi="Times New Roman"/>
          <w:sz w:val="24"/>
        </w:rPr>
        <w:t>in the presence of other microorganisms: microbial interactions from species to strain level. International Journal of Food Microbiology, 277, 10.–25. lpp. https://doi.org/10.1016/j.ijfoodmicro. 2018.04.011</w:t>
      </w:r>
    </w:p>
    <w:p w:rsidR="00A36BCA" w:rsidRDefault="00A36BCA">
      <w:pPr>
        <w:rPr>
          <w:rFonts w:ascii="Times New Roman" w:eastAsia="Calibri" w:hAnsi="Times New Roman" w:cs="Calibri"/>
          <w:noProof/>
          <w:sz w:val="24"/>
          <w:szCs w:val="18"/>
        </w:rPr>
      </w:pPr>
      <w:r>
        <w:br w:type="page"/>
      </w:r>
    </w:p>
    <w:p w:rsidR="00270842" w:rsidRPr="001B6F3C" w:rsidRDefault="00270842" w:rsidP="004650EF">
      <w:pPr>
        <w:jc w:val="both"/>
        <w:rPr>
          <w:rFonts w:ascii="Times New Roman" w:eastAsia="Calibri" w:hAnsi="Times New Roman" w:cs="Calibri"/>
          <w:noProof/>
          <w:sz w:val="24"/>
          <w:szCs w:val="18"/>
        </w:rPr>
      </w:pPr>
    </w:p>
    <w:p w:rsidR="00270842" w:rsidRPr="001B6F3C" w:rsidRDefault="00270842" w:rsidP="00531598">
      <w:pPr>
        <w:pStyle w:val="Heading1"/>
        <w:rPr>
          <w:noProof/>
        </w:rPr>
      </w:pPr>
      <w:bookmarkStart w:id="78" w:name="_TOC_250000"/>
      <w:bookmarkStart w:id="79" w:name="_Toc37931409"/>
      <w:r w:rsidRPr="00531598">
        <w:t>Saīsinājumi</w:t>
      </w:r>
      <w:bookmarkEnd w:id="78"/>
      <w:bookmarkEnd w:id="79"/>
    </w:p>
    <w:p w:rsidR="004650EF" w:rsidRDefault="004650EF" w:rsidP="004650EF">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88"/>
        <w:gridCol w:w="7540"/>
      </w:tblGrid>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AFLP</w:t>
            </w:r>
          </w:p>
        </w:tc>
        <w:tc>
          <w:tcPr>
            <w:tcW w:w="7540" w:type="dxa"/>
          </w:tcPr>
          <w:p w:rsidR="00A36BCA" w:rsidRDefault="00A36BCA" w:rsidP="004650EF">
            <w:pPr>
              <w:jc w:val="both"/>
              <w:rPr>
                <w:rFonts w:ascii="Times New Roman" w:hAnsi="Times New Roman"/>
                <w:noProof/>
                <w:sz w:val="24"/>
              </w:rPr>
            </w:pPr>
            <w:r>
              <w:rPr>
                <w:rFonts w:ascii="Times New Roman" w:hAnsi="Times New Roman"/>
                <w:sz w:val="24"/>
              </w:rPr>
              <w:t>Amplificēto fragmentu garuma polimorfismi</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AFNOR</w:t>
            </w:r>
          </w:p>
        </w:tc>
        <w:tc>
          <w:tcPr>
            <w:tcW w:w="7540" w:type="dxa"/>
          </w:tcPr>
          <w:p w:rsidR="00A36BCA" w:rsidRDefault="00A36BCA" w:rsidP="004650EF">
            <w:pPr>
              <w:jc w:val="both"/>
              <w:rPr>
                <w:rFonts w:ascii="Times New Roman" w:hAnsi="Times New Roman"/>
                <w:noProof/>
                <w:sz w:val="24"/>
              </w:rPr>
            </w:pPr>
            <w:r>
              <w:rPr>
                <w:rFonts w:ascii="Times New Roman" w:hAnsi="Times New Roman"/>
                <w:sz w:val="24"/>
              </w:rPr>
              <w:t>Francijas Standartizācijas organizācija</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ALOA</w:t>
            </w:r>
          </w:p>
        </w:tc>
        <w:tc>
          <w:tcPr>
            <w:tcW w:w="7540" w:type="dxa"/>
          </w:tcPr>
          <w:p w:rsidR="00A36BCA" w:rsidRDefault="00A36BCA" w:rsidP="004650EF">
            <w:pPr>
              <w:jc w:val="both"/>
              <w:rPr>
                <w:rFonts w:ascii="Times New Roman" w:hAnsi="Times New Roman"/>
                <w:noProof/>
                <w:sz w:val="24"/>
              </w:rPr>
            </w:pPr>
            <w:r>
              <w:rPr>
                <w:rFonts w:ascii="Times New Roman" w:hAnsi="Times New Roman"/>
                <w:sz w:val="24"/>
              </w:rPr>
              <w:t>Listēriju agars saskaņā ar Otaviani [</w:t>
            </w:r>
            <w:r>
              <w:rPr>
                <w:rFonts w:ascii="Times New Roman" w:hAnsi="Times New Roman"/>
                <w:i/>
                <w:iCs/>
                <w:sz w:val="24"/>
              </w:rPr>
              <w:t>Ottaviani</w:t>
            </w:r>
            <w:r>
              <w:rPr>
                <w:rFonts w:ascii="Times New Roman" w:hAnsi="Times New Roman"/>
                <w:sz w:val="24"/>
              </w:rPr>
              <w:t>] un Agosti [</w:t>
            </w:r>
            <w:r>
              <w:rPr>
                <w:rFonts w:ascii="Times New Roman" w:hAnsi="Times New Roman"/>
                <w:i/>
                <w:iCs/>
                <w:sz w:val="24"/>
              </w:rPr>
              <w:t>Agosti</w:t>
            </w:r>
            <w:r>
              <w:rPr>
                <w:rFonts w:ascii="Times New Roman" w:hAnsi="Times New Roman"/>
                <w:sz w:val="24"/>
              </w:rPr>
              <w:t>]</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sz w:val="24"/>
              </w:rPr>
              <w:t>KVV</w:t>
            </w:r>
          </w:p>
        </w:tc>
        <w:tc>
          <w:tcPr>
            <w:tcW w:w="7540" w:type="dxa"/>
          </w:tcPr>
          <w:p w:rsidR="00A36BCA" w:rsidRDefault="00A36BCA" w:rsidP="004650EF">
            <w:pPr>
              <w:jc w:val="both"/>
              <w:rPr>
                <w:rFonts w:ascii="Times New Roman" w:hAnsi="Times New Roman"/>
                <w:noProof/>
                <w:sz w:val="24"/>
              </w:rPr>
            </w:pPr>
            <w:r>
              <w:rPr>
                <w:rFonts w:ascii="Times New Roman" w:hAnsi="Times New Roman"/>
                <w:sz w:val="24"/>
              </w:rPr>
              <w:t>Koloniju veidojoša(-s) vienība(-s)</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CSS</w:t>
            </w:r>
          </w:p>
        </w:tc>
        <w:tc>
          <w:tcPr>
            <w:tcW w:w="7540" w:type="dxa"/>
          </w:tcPr>
          <w:p w:rsidR="00A36BCA" w:rsidRDefault="00A36BCA" w:rsidP="004650EF">
            <w:pPr>
              <w:jc w:val="both"/>
              <w:rPr>
                <w:rFonts w:ascii="Times New Roman" w:hAnsi="Times New Roman"/>
                <w:noProof/>
                <w:sz w:val="24"/>
              </w:rPr>
            </w:pPr>
            <w:r>
              <w:rPr>
                <w:rFonts w:ascii="Times New Roman" w:hAnsi="Times New Roman"/>
                <w:sz w:val="24"/>
              </w:rPr>
              <w:t>Kritiski svarīgās paraugu ņemšanas vietas</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sz w:val="24"/>
              </w:rPr>
              <w:t>EK</w:t>
            </w:r>
          </w:p>
        </w:tc>
        <w:tc>
          <w:tcPr>
            <w:tcW w:w="7540" w:type="dxa"/>
          </w:tcPr>
          <w:p w:rsidR="00A36BCA" w:rsidRDefault="00A36BCA" w:rsidP="004650EF">
            <w:pPr>
              <w:jc w:val="both"/>
              <w:rPr>
                <w:rFonts w:ascii="Times New Roman" w:hAnsi="Times New Roman"/>
                <w:noProof/>
                <w:sz w:val="24"/>
              </w:rPr>
            </w:pPr>
            <w:r>
              <w:rPr>
                <w:rFonts w:ascii="Times New Roman" w:hAnsi="Times New Roman"/>
                <w:sz w:val="24"/>
              </w:rPr>
              <w:t>Eiropas Komisija</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ECDC</w:t>
            </w:r>
          </w:p>
        </w:tc>
        <w:tc>
          <w:tcPr>
            <w:tcW w:w="7540" w:type="dxa"/>
          </w:tcPr>
          <w:p w:rsidR="00A36BCA" w:rsidRDefault="00A36BCA" w:rsidP="004650EF">
            <w:pPr>
              <w:jc w:val="both"/>
              <w:rPr>
                <w:rFonts w:ascii="Times New Roman" w:hAnsi="Times New Roman"/>
                <w:noProof/>
                <w:sz w:val="24"/>
              </w:rPr>
            </w:pPr>
            <w:r>
              <w:rPr>
                <w:rFonts w:ascii="Times New Roman" w:hAnsi="Times New Roman"/>
                <w:sz w:val="24"/>
              </w:rPr>
              <w:t>Eiropas Slimību kontroles un profilakses centrs</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sz w:val="24"/>
              </w:rPr>
              <w:t>ES</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Eiropas Savienība</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EURL</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Eiropas Savienības References laboratorija</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sz w:val="24"/>
              </w:rPr>
              <w:t>EEZ</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Eiropas Ekonomikas zona</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FBO</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Pārtikas apritē iesaistītais(-ie) tirgus dalībnieks(-i)</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sz w:val="24"/>
              </w:rPr>
              <w:t>PPV</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Pārtikas pārstrādes vide</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sz w:val="24"/>
              </w:rPr>
              <w:t>ADG</w:t>
            </w:r>
          </w:p>
        </w:tc>
        <w:tc>
          <w:tcPr>
            <w:tcW w:w="7540" w:type="dxa"/>
          </w:tcPr>
          <w:p w:rsidR="00A36BCA" w:rsidRDefault="00A36BCA" w:rsidP="004650EF">
            <w:pPr>
              <w:jc w:val="both"/>
              <w:rPr>
                <w:rFonts w:ascii="Times New Roman" w:hAnsi="Times New Roman"/>
                <w:noProof/>
                <w:sz w:val="24"/>
              </w:rPr>
            </w:pPr>
            <w:r>
              <w:rPr>
                <w:rFonts w:ascii="Times New Roman" w:hAnsi="Times New Roman"/>
                <w:sz w:val="24"/>
              </w:rPr>
              <w:t>Augļi, dārzeņi vai garšaugi</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HACCP</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Riska analīze un kritisko punktu kontrole</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IQF</w:t>
            </w:r>
          </w:p>
        </w:tc>
        <w:tc>
          <w:tcPr>
            <w:tcW w:w="7540" w:type="dxa"/>
          </w:tcPr>
          <w:p w:rsidR="00A36BCA" w:rsidRDefault="00A36BCA" w:rsidP="00A36BCA">
            <w:pPr>
              <w:pStyle w:val="BodyText"/>
              <w:tabs>
                <w:tab w:val="left" w:pos="1241"/>
              </w:tabs>
              <w:ind w:left="0"/>
              <w:jc w:val="both"/>
              <w:rPr>
                <w:rFonts w:ascii="Times New Roman" w:hAnsi="Times New Roman"/>
                <w:noProof/>
                <w:sz w:val="24"/>
              </w:rPr>
            </w:pPr>
            <w:r>
              <w:rPr>
                <w:rFonts w:ascii="Times New Roman" w:hAnsi="Times New Roman"/>
                <w:sz w:val="24"/>
              </w:rPr>
              <w:t>Individuāli ātri sasaldēti produkti</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ISO</w:t>
            </w:r>
          </w:p>
        </w:tc>
        <w:tc>
          <w:tcPr>
            <w:tcW w:w="7540" w:type="dxa"/>
          </w:tcPr>
          <w:p w:rsidR="00A36BCA" w:rsidRDefault="00A36BCA" w:rsidP="00A36BCA">
            <w:pPr>
              <w:pStyle w:val="BodyText"/>
              <w:tabs>
                <w:tab w:val="left" w:pos="1241"/>
              </w:tabs>
              <w:ind w:left="0"/>
              <w:jc w:val="both"/>
              <w:rPr>
                <w:rFonts w:ascii="Times New Roman" w:hAnsi="Times New Roman"/>
                <w:noProof/>
                <w:sz w:val="24"/>
              </w:rPr>
            </w:pPr>
            <w:r>
              <w:rPr>
                <w:rFonts w:ascii="Times New Roman" w:hAnsi="Times New Roman"/>
                <w:sz w:val="24"/>
              </w:rPr>
              <w:t>Starptautiskā Standartizācijas organizācija</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MLST</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Daudzlokusu sekvenēšanas reakcija</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sz w:val="24"/>
              </w:rPr>
              <w:t>DV</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Dalībvalsts</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MST</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Mikrobioloģiskā avota izsekošana</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sz w:val="24"/>
              </w:rPr>
              <w:t>PĶR</w:t>
            </w:r>
          </w:p>
        </w:tc>
        <w:tc>
          <w:tcPr>
            <w:tcW w:w="7540" w:type="dxa"/>
          </w:tcPr>
          <w:p w:rsidR="00A36BCA" w:rsidRDefault="00A36BCA" w:rsidP="00A36BCA">
            <w:pPr>
              <w:pStyle w:val="BodyText"/>
              <w:tabs>
                <w:tab w:val="left" w:pos="1241"/>
              </w:tabs>
              <w:ind w:left="0"/>
              <w:jc w:val="both"/>
              <w:rPr>
                <w:rFonts w:ascii="Times New Roman" w:hAnsi="Times New Roman"/>
                <w:noProof/>
                <w:sz w:val="24"/>
              </w:rPr>
            </w:pPr>
            <w:r>
              <w:rPr>
                <w:rFonts w:ascii="Times New Roman" w:hAnsi="Times New Roman"/>
                <w:sz w:val="24"/>
              </w:rPr>
              <w:t>Polimerāzes ķēdes reakcija</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PFGE</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Pulsējošā lauka gēla elektroforēze</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sz w:val="24"/>
              </w:rPr>
              <w:t>PFO</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Polifenola oksidāze</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sz w:val="24"/>
              </w:rPr>
              <w:t>PFPO</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Polifenola peroksidāze</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QMS</w:t>
            </w:r>
            <w:r>
              <w:rPr>
                <w:rFonts w:ascii="Times New Roman" w:hAnsi="Times New Roman"/>
                <w:sz w:val="24"/>
              </w:rPr>
              <w:t>/</w:t>
            </w:r>
            <w:r>
              <w:rPr>
                <w:rFonts w:ascii="Times New Roman" w:hAnsi="Times New Roman"/>
                <w:i/>
                <w:iCs/>
                <w:sz w:val="24"/>
              </w:rPr>
              <w:t>FSMS</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Kvalitātes un pārtikas nekaitīguma pārvaldības sistēma</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sz w:val="24"/>
              </w:rPr>
              <w:t>ST</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Sekvences tips</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sz w:val="24"/>
              </w:rPr>
              <w:t>DU</w:t>
            </w:r>
          </w:p>
        </w:tc>
        <w:tc>
          <w:tcPr>
            <w:tcW w:w="7540" w:type="dxa"/>
          </w:tcPr>
          <w:p w:rsidR="00A36BCA" w:rsidRDefault="00A36BCA" w:rsidP="00A36BCA">
            <w:pPr>
              <w:pStyle w:val="BodyText"/>
              <w:ind w:left="0"/>
              <w:jc w:val="both"/>
              <w:rPr>
                <w:rFonts w:ascii="Times New Roman" w:hAnsi="Times New Roman"/>
                <w:noProof/>
                <w:sz w:val="24"/>
              </w:rPr>
            </w:pPr>
            <w:r>
              <w:rPr>
                <w:rFonts w:ascii="Times New Roman" w:hAnsi="Times New Roman"/>
                <w:sz w:val="24"/>
              </w:rPr>
              <w:t>Darba uzdevums</w:t>
            </w:r>
          </w:p>
        </w:tc>
      </w:tr>
      <w:tr w:rsidR="00A36BCA" w:rsidTr="00531598">
        <w:tc>
          <w:tcPr>
            <w:tcW w:w="1588" w:type="dxa"/>
          </w:tcPr>
          <w:p w:rsidR="00A36BCA" w:rsidRDefault="00A36BCA" w:rsidP="004650EF">
            <w:pPr>
              <w:jc w:val="both"/>
              <w:rPr>
                <w:rFonts w:ascii="Times New Roman" w:hAnsi="Times New Roman"/>
                <w:noProof/>
                <w:sz w:val="24"/>
              </w:rPr>
            </w:pPr>
            <w:r>
              <w:rPr>
                <w:rFonts w:ascii="Times New Roman" w:hAnsi="Times New Roman"/>
                <w:i/>
                <w:iCs/>
                <w:sz w:val="24"/>
              </w:rPr>
              <w:t>WGS</w:t>
            </w:r>
          </w:p>
        </w:tc>
        <w:tc>
          <w:tcPr>
            <w:tcW w:w="7540" w:type="dxa"/>
          </w:tcPr>
          <w:p w:rsidR="00A36BCA" w:rsidRDefault="00A36BCA" w:rsidP="00A36BCA">
            <w:pPr>
              <w:pStyle w:val="BodyText"/>
              <w:tabs>
                <w:tab w:val="left" w:pos="1241"/>
              </w:tabs>
              <w:ind w:left="0"/>
              <w:jc w:val="both"/>
              <w:rPr>
                <w:rFonts w:ascii="Times New Roman" w:hAnsi="Times New Roman"/>
                <w:noProof/>
                <w:sz w:val="24"/>
              </w:rPr>
            </w:pPr>
            <w:r>
              <w:rPr>
                <w:rFonts w:ascii="Times New Roman" w:hAnsi="Times New Roman"/>
                <w:sz w:val="24"/>
              </w:rPr>
              <w:t>Pilna genoma sekvencēšana</w:t>
            </w:r>
          </w:p>
        </w:tc>
      </w:tr>
    </w:tbl>
    <w:p w:rsidR="004650EF" w:rsidRPr="001B6F3C" w:rsidRDefault="004650EF" w:rsidP="004650EF">
      <w:pPr>
        <w:jc w:val="both"/>
        <w:rPr>
          <w:rFonts w:ascii="Times New Roman" w:hAnsi="Times New Roman"/>
          <w:noProof/>
          <w:sz w:val="24"/>
        </w:rPr>
      </w:pPr>
    </w:p>
    <w:p w:rsidR="00A36BCA" w:rsidRDefault="00A36BCA">
      <w:pPr>
        <w:rPr>
          <w:rFonts w:ascii="Times New Roman" w:eastAsia="Calibri" w:hAnsi="Times New Roman" w:cs="Calibri"/>
          <w:noProof/>
          <w:sz w:val="24"/>
          <w:szCs w:val="20"/>
        </w:rPr>
      </w:pPr>
      <w:r>
        <w:br w:type="page"/>
      </w:r>
    </w:p>
    <w:p w:rsidR="00270842" w:rsidRPr="001B6F3C" w:rsidRDefault="00270842" w:rsidP="004650EF">
      <w:pPr>
        <w:jc w:val="both"/>
        <w:rPr>
          <w:rFonts w:ascii="Times New Roman" w:eastAsia="Calibri" w:hAnsi="Times New Roman" w:cs="Calibri"/>
          <w:noProof/>
          <w:sz w:val="24"/>
          <w:szCs w:val="18"/>
        </w:rPr>
      </w:pPr>
    </w:p>
    <w:p w:rsidR="00270842" w:rsidRPr="001B6F3C" w:rsidRDefault="00270842" w:rsidP="00C13858">
      <w:pPr>
        <w:pStyle w:val="Heading1"/>
        <w:rPr>
          <w:rFonts w:cs="Tahoma"/>
          <w:noProof/>
        </w:rPr>
      </w:pPr>
      <w:bookmarkStart w:id="80" w:name="_Toc37931410"/>
      <w:r>
        <w:t xml:space="preserve">A pielikums. Pārskats par sertificēšanas iestādes </w:t>
      </w:r>
      <w:r>
        <w:rPr>
          <w:i/>
          <w:iCs/>
        </w:rPr>
        <w:t>Afnor Validation</w:t>
      </w:r>
      <w:r>
        <w:t xml:space="preserve"> sertificētajām alternatīvajām metodēm </w:t>
      </w:r>
      <w:r>
        <w:rPr>
          <w:i/>
        </w:rPr>
        <w:t xml:space="preserve">L. monocytogenes </w:t>
      </w:r>
      <w:r>
        <w:t>noteikšanai saldētu ADG saldētavu un apstrādes un pārkraušanas vietu vidē</w:t>
      </w:r>
      <w:bookmarkEnd w:id="80"/>
    </w:p>
    <w:p w:rsidR="00270842" w:rsidRPr="001B6F3C" w:rsidRDefault="00270842" w:rsidP="004650EF">
      <w:pPr>
        <w:jc w:val="both"/>
        <w:rPr>
          <w:rFonts w:ascii="Times New Roman" w:eastAsia="Tahoma" w:hAnsi="Times New Roman" w:cs="Tahoma"/>
          <w:b/>
          <w:bCs/>
          <w:noProof/>
          <w:sz w:val="24"/>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65"/>
        <w:gridCol w:w="1569"/>
        <w:gridCol w:w="990"/>
        <w:gridCol w:w="935"/>
        <w:gridCol w:w="962"/>
        <w:gridCol w:w="1400"/>
        <w:gridCol w:w="924"/>
        <w:gridCol w:w="1283"/>
      </w:tblGrid>
      <w:tr w:rsidR="00AA563E" w:rsidRPr="00531598" w:rsidTr="005A431E">
        <w:trPr>
          <w:tblHeader/>
        </w:trPr>
        <w:tc>
          <w:tcPr>
            <w:tcW w:w="583" w:type="pct"/>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Metode</w:t>
            </w:r>
          </w:p>
        </w:tc>
        <w:tc>
          <w:tcPr>
            <w:tcW w:w="859" w:type="pct"/>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Metodes nosaukums (turētājs)</w:t>
            </w:r>
          </w:p>
        </w:tc>
        <w:tc>
          <w:tcPr>
            <w:tcW w:w="542" w:type="pct"/>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Validācijas atsauces dokuments</w:t>
            </w:r>
          </w:p>
        </w:tc>
        <w:tc>
          <w:tcPr>
            <w:tcW w:w="512" w:type="pct"/>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Atsauces metode</w:t>
            </w:r>
          </w:p>
        </w:tc>
        <w:tc>
          <w:tcPr>
            <w:tcW w:w="527" w:type="pct"/>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Sertifikāta numurs</w:t>
            </w:r>
          </w:p>
        </w:tc>
        <w:tc>
          <w:tcPr>
            <w:tcW w:w="767" w:type="pct"/>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Validācijas joma</w:t>
            </w:r>
          </w:p>
        </w:tc>
        <w:tc>
          <w:tcPr>
            <w:tcW w:w="506" w:type="pct"/>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Izņēmumi</w:t>
            </w:r>
          </w:p>
        </w:tc>
        <w:tc>
          <w:tcPr>
            <w:tcW w:w="703" w:type="pct"/>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Pārtikas kategorija</w:t>
            </w:r>
          </w:p>
        </w:tc>
      </w:tr>
      <w:tr w:rsidR="00AA563E" w:rsidRPr="00531598" w:rsidTr="005A431E">
        <w:tc>
          <w:tcPr>
            <w:tcW w:w="583"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Barotne</w:t>
            </w:r>
          </w:p>
        </w:tc>
        <w:tc>
          <w:tcPr>
            <w:tcW w:w="859"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 xml:space="preserve">Metode </w:t>
            </w:r>
            <w:r w:rsidRPr="00531598">
              <w:rPr>
                <w:rFonts w:ascii="Times New Roman" w:hAnsi="Times New Roman"/>
                <w:i/>
                <w:iCs/>
                <w:sz w:val="18"/>
                <w:szCs w:val="18"/>
              </w:rPr>
              <w:t>AL/</w:t>
            </w:r>
            <w:r w:rsidRPr="00531598">
              <w:rPr>
                <w:rFonts w:ascii="Times New Roman" w:hAnsi="Times New Roman"/>
                <w:sz w:val="18"/>
                <w:szCs w:val="18"/>
              </w:rPr>
              <w:t>noteikšana ar agaru (</w:t>
            </w:r>
            <w:r w:rsidRPr="00531598">
              <w:rPr>
                <w:rFonts w:ascii="Times New Roman" w:hAnsi="Times New Roman"/>
                <w:i/>
                <w:sz w:val="18"/>
                <w:szCs w:val="18"/>
              </w:rPr>
              <w:t xml:space="preserve">L. monocytogenes </w:t>
            </w:r>
            <w:r w:rsidRPr="00531598">
              <w:rPr>
                <w:rFonts w:ascii="Times New Roman" w:hAnsi="Times New Roman"/>
                <w:sz w:val="18"/>
                <w:szCs w:val="18"/>
              </w:rPr>
              <w:t xml:space="preserve">noteikšana) (uzņēmums </w:t>
            </w:r>
            <w:r w:rsidRPr="00531598">
              <w:rPr>
                <w:rFonts w:ascii="Times New Roman" w:hAnsi="Times New Roman"/>
                <w:i/>
                <w:iCs/>
                <w:sz w:val="18"/>
                <w:szCs w:val="18"/>
              </w:rPr>
              <w:t>Biorad</w:t>
            </w:r>
            <w:r w:rsidRPr="00531598">
              <w:rPr>
                <w:rFonts w:ascii="Times New Roman" w:hAnsi="Times New Roman"/>
                <w:sz w:val="18"/>
                <w:szCs w:val="18"/>
              </w:rPr>
              <w:t>)</w:t>
            </w:r>
          </w:p>
        </w:tc>
        <w:tc>
          <w:tcPr>
            <w:tcW w:w="542"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EN ISO 16140-2 (2016)</w:t>
            </w:r>
          </w:p>
        </w:tc>
        <w:tc>
          <w:tcPr>
            <w:tcW w:w="512"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 (2017)</w:t>
            </w:r>
          </w:p>
        </w:tc>
        <w:tc>
          <w:tcPr>
            <w:tcW w:w="527"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i/>
                <w:iCs/>
                <w:sz w:val="18"/>
                <w:szCs w:val="18"/>
              </w:rPr>
              <w:t>BRD</w:t>
            </w:r>
            <w:r w:rsidRPr="00531598">
              <w:rPr>
                <w:rFonts w:ascii="Times New Roman" w:hAnsi="Times New Roman"/>
                <w:sz w:val="18"/>
                <w:szCs w:val="18"/>
              </w:rPr>
              <w:t xml:space="preserve"> 07/16 - 01/09</w:t>
            </w:r>
          </w:p>
        </w:tc>
        <w:tc>
          <w:tcPr>
            <w:tcW w:w="767"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0C1936" w:rsidRPr="00531598" w:rsidRDefault="000C1936" w:rsidP="00531598">
            <w:pPr>
              <w:jc w:val="center"/>
              <w:rPr>
                <w:rFonts w:ascii="Times New Roman" w:hAnsi="Times New Roman"/>
                <w:noProof/>
                <w:sz w:val="18"/>
                <w:szCs w:val="18"/>
              </w:rPr>
            </w:pPr>
          </w:p>
        </w:tc>
        <w:tc>
          <w:tcPr>
            <w:tcW w:w="703"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dārzeņi</w:t>
            </w:r>
          </w:p>
        </w:tc>
      </w:tr>
      <w:tr w:rsidR="00AA563E" w:rsidRPr="00531598" w:rsidTr="005A431E">
        <w:tc>
          <w:tcPr>
            <w:tcW w:w="583"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Barotne</w:t>
            </w:r>
          </w:p>
        </w:tc>
        <w:tc>
          <w:tcPr>
            <w:tcW w:w="859"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 xml:space="preserve">Metode </w:t>
            </w:r>
            <w:r w:rsidRPr="00531598">
              <w:rPr>
                <w:rFonts w:ascii="Times New Roman" w:hAnsi="Times New Roman"/>
                <w:i/>
                <w:iCs/>
                <w:sz w:val="18"/>
                <w:szCs w:val="18"/>
              </w:rPr>
              <w:t>ALOA ONE DAY</w:t>
            </w:r>
            <w:r w:rsidRPr="00531598">
              <w:rPr>
                <w:rFonts w:ascii="Times New Roman" w:hAnsi="Times New Roman"/>
                <w:sz w:val="18"/>
                <w:szCs w:val="18"/>
              </w:rPr>
              <w:t xml:space="preserve"> (</w:t>
            </w:r>
            <w:r w:rsidRPr="00531598">
              <w:rPr>
                <w:rFonts w:ascii="Times New Roman" w:hAnsi="Times New Roman"/>
                <w:i/>
                <w:sz w:val="18"/>
                <w:szCs w:val="18"/>
              </w:rPr>
              <w:t xml:space="preserve">L. monocytogenes </w:t>
            </w:r>
            <w:r w:rsidRPr="00531598">
              <w:rPr>
                <w:rFonts w:ascii="Times New Roman" w:hAnsi="Times New Roman"/>
                <w:sz w:val="18"/>
                <w:szCs w:val="18"/>
              </w:rPr>
              <w:t xml:space="preserve">un </w:t>
            </w:r>
            <w:r w:rsidRPr="00531598">
              <w:rPr>
                <w:rFonts w:ascii="Times New Roman" w:hAnsi="Times New Roman"/>
                <w:i/>
                <w:sz w:val="18"/>
                <w:szCs w:val="18"/>
              </w:rPr>
              <w:t>Listeria spp.</w:t>
            </w:r>
            <w:r w:rsidRPr="00531598">
              <w:rPr>
                <w:rFonts w:ascii="Times New Roman" w:hAnsi="Times New Roman"/>
                <w:sz w:val="18"/>
                <w:szCs w:val="18"/>
              </w:rPr>
              <w:t xml:space="preserve"> noteikšana) (uzņēmums </w:t>
            </w:r>
            <w:r w:rsidRPr="00531598">
              <w:rPr>
                <w:rFonts w:ascii="Times New Roman" w:hAnsi="Times New Roman"/>
                <w:i/>
                <w:iCs/>
                <w:sz w:val="18"/>
                <w:szCs w:val="18"/>
              </w:rPr>
              <w:t>bioMérieux</w:t>
            </w:r>
            <w:r w:rsidRPr="00531598">
              <w:rPr>
                <w:rFonts w:ascii="Times New Roman" w:hAnsi="Times New Roman"/>
                <w:sz w:val="18"/>
                <w:szCs w:val="18"/>
              </w:rPr>
              <w:t>)</w:t>
            </w:r>
          </w:p>
        </w:tc>
        <w:tc>
          <w:tcPr>
            <w:tcW w:w="542"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EN ISO 16140-2 (2003)</w:t>
            </w:r>
          </w:p>
        </w:tc>
        <w:tc>
          <w:tcPr>
            <w:tcW w:w="512"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11290-1/A1 (2005)</w:t>
            </w:r>
          </w:p>
        </w:tc>
        <w:tc>
          <w:tcPr>
            <w:tcW w:w="527"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i/>
                <w:iCs/>
                <w:sz w:val="18"/>
                <w:szCs w:val="18"/>
              </w:rPr>
              <w:t>AES</w:t>
            </w:r>
            <w:r w:rsidRPr="00531598">
              <w:rPr>
                <w:rFonts w:ascii="Times New Roman" w:hAnsi="Times New Roman"/>
                <w:sz w:val="18"/>
                <w:szCs w:val="18"/>
              </w:rPr>
              <w:t xml:space="preserve"> 10/03 - 09/00</w:t>
            </w:r>
          </w:p>
        </w:tc>
        <w:tc>
          <w:tcPr>
            <w:tcW w:w="767"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0C1936" w:rsidRPr="00531598" w:rsidRDefault="000C1936" w:rsidP="00531598">
            <w:pPr>
              <w:jc w:val="center"/>
              <w:rPr>
                <w:rFonts w:ascii="Times New Roman" w:hAnsi="Times New Roman"/>
                <w:noProof/>
                <w:sz w:val="18"/>
                <w:szCs w:val="18"/>
              </w:rPr>
            </w:pPr>
          </w:p>
        </w:tc>
        <w:tc>
          <w:tcPr>
            <w:tcW w:w="703"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augļi un dārzeņi</w:t>
            </w:r>
          </w:p>
        </w:tc>
      </w:tr>
      <w:tr w:rsidR="00AA563E" w:rsidRPr="00531598" w:rsidTr="005A431E">
        <w:tc>
          <w:tcPr>
            <w:tcW w:w="583"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Barotne</w:t>
            </w:r>
          </w:p>
        </w:tc>
        <w:tc>
          <w:tcPr>
            <w:tcW w:w="859" w:type="pct"/>
          </w:tcPr>
          <w:p w:rsidR="000C1936" w:rsidRPr="00531598" w:rsidRDefault="000C1936" w:rsidP="00531598">
            <w:pPr>
              <w:pStyle w:val="TableParagraph"/>
              <w:jc w:val="center"/>
              <w:rPr>
                <w:rFonts w:ascii="Times New Roman" w:eastAsia="Tahoma" w:hAnsi="Times New Roman" w:cs="Tahoma"/>
                <w:noProof/>
                <w:sz w:val="18"/>
                <w:szCs w:val="18"/>
              </w:rPr>
            </w:pPr>
            <w:r w:rsidRPr="00531598">
              <w:rPr>
                <w:rFonts w:ascii="Times New Roman" w:hAnsi="Times New Roman"/>
                <w:sz w:val="18"/>
                <w:szCs w:val="18"/>
              </w:rPr>
              <w:t xml:space="preserve">Listēriju agara selektīvā barotne </w:t>
            </w:r>
            <w:r w:rsidRPr="00531598">
              <w:rPr>
                <w:rFonts w:ascii="Times New Roman" w:hAnsi="Times New Roman"/>
                <w:i/>
                <w:iCs/>
                <w:sz w:val="18"/>
                <w:szCs w:val="18"/>
              </w:rPr>
              <w:t>COMPASS</w:t>
            </w:r>
            <w:r w:rsidRPr="00531598">
              <w:rPr>
                <w:rFonts w:ascii="Times New Roman" w:hAnsi="Times New Roman"/>
                <w:sz w:val="18"/>
                <w:szCs w:val="18"/>
              </w:rPr>
              <w:t xml:space="preserve"> (</w:t>
            </w:r>
            <w:r w:rsidRPr="00531598">
              <w:rPr>
                <w:rFonts w:ascii="Times New Roman" w:hAnsi="Times New Roman"/>
                <w:i/>
                <w:sz w:val="18"/>
                <w:szCs w:val="18"/>
              </w:rPr>
              <w:t xml:space="preserve">L. monocytogenes </w:t>
            </w:r>
            <w:r w:rsidRPr="00531598">
              <w:rPr>
                <w:rFonts w:ascii="Times New Roman" w:hAnsi="Times New Roman"/>
                <w:sz w:val="18"/>
                <w:szCs w:val="18"/>
              </w:rPr>
              <w:t xml:space="preserve">un </w:t>
            </w:r>
            <w:r w:rsidRPr="00531598">
              <w:rPr>
                <w:rFonts w:ascii="Times New Roman" w:hAnsi="Times New Roman"/>
                <w:i/>
                <w:sz w:val="18"/>
                <w:szCs w:val="18"/>
              </w:rPr>
              <w:t>Listeria spp.</w:t>
            </w:r>
            <w:r w:rsidRPr="00531598">
              <w:rPr>
                <w:rFonts w:ascii="Times New Roman" w:hAnsi="Times New Roman"/>
                <w:sz w:val="18"/>
                <w:szCs w:val="18"/>
              </w:rPr>
              <w:t xml:space="preserve"> noteikšana) (uzņēmums </w:t>
            </w:r>
            <w:r w:rsidRPr="00531598">
              <w:rPr>
                <w:rFonts w:ascii="Times New Roman" w:hAnsi="Times New Roman"/>
                <w:i/>
                <w:iCs/>
                <w:sz w:val="18"/>
                <w:szCs w:val="18"/>
              </w:rPr>
              <w:t>SOLABIA SAS</w:t>
            </w:r>
            <w:r w:rsidRPr="00531598">
              <w:rPr>
                <w:rFonts w:ascii="Times New Roman" w:hAnsi="Times New Roman"/>
                <w:sz w:val="18"/>
                <w:szCs w:val="18"/>
              </w:rPr>
              <w:t>)</w:t>
            </w:r>
          </w:p>
        </w:tc>
        <w:tc>
          <w:tcPr>
            <w:tcW w:w="542"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EN ISO 16140-2 (2003)</w:t>
            </w:r>
          </w:p>
        </w:tc>
        <w:tc>
          <w:tcPr>
            <w:tcW w:w="512"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11290-1/A1 (2005)</w:t>
            </w:r>
          </w:p>
        </w:tc>
        <w:tc>
          <w:tcPr>
            <w:tcW w:w="527"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i/>
                <w:iCs/>
                <w:sz w:val="18"/>
                <w:szCs w:val="18"/>
              </w:rPr>
              <w:t>BKR</w:t>
            </w:r>
            <w:r w:rsidRPr="00531598">
              <w:rPr>
                <w:rFonts w:ascii="Times New Roman" w:hAnsi="Times New Roman"/>
                <w:sz w:val="18"/>
                <w:szCs w:val="18"/>
              </w:rPr>
              <w:t xml:space="preserve"> 23/02 - 11/02</w:t>
            </w:r>
          </w:p>
        </w:tc>
        <w:tc>
          <w:tcPr>
            <w:tcW w:w="767"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0C1936" w:rsidRPr="00531598" w:rsidRDefault="000C1936" w:rsidP="00531598">
            <w:pPr>
              <w:jc w:val="center"/>
              <w:rPr>
                <w:rFonts w:ascii="Times New Roman" w:hAnsi="Times New Roman"/>
                <w:noProof/>
                <w:sz w:val="18"/>
                <w:szCs w:val="18"/>
              </w:rPr>
            </w:pPr>
          </w:p>
        </w:tc>
        <w:tc>
          <w:tcPr>
            <w:tcW w:w="703"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dārzeņi un citi</w:t>
            </w:r>
          </w:p>
        </w:tc>
      </w:tr>
      <w:tr w:rsidR="00AA563E" w:rsidRPr="00531598" w:rsidTr="005A431E">
        <w:tc>
          <w:tcPr>
            <w:tcW w:w="583"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Barotne</w:t>
            </w:r>
          </w:p>
        </w:tc>
        <w:tc>
          <w:tcPr>
            <w:tcW w:w="859"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 xml:space="preserve">Metode </w:t>
            </w:r>
            <w:r w:rsidRPr="00531598">
              <w:rPr>
                <w:rFonts w:ascii="Times New Roman" w:hAnsi="Times New Roman"/>
                <w:i/>
                <w:iCs/>
                <w:sz w:val="18"/>
                <w:szCs w:val="18"/>
              </w:rPr>
              <w:t>ChromID Lmono Agar</w:t>
            </w:r>
            <w:r w:rsidRPr="00531598">
              <w:rPr>
                <w:rFonts w:ascii="Times New Roman" w:hAnsi="Times New Roman"/>
                <w:sz w:val="18"/>
                <w:szCs w:val="18"/>
              </w:rPr>
              <w:t xml:space="preserve"> (</w:t>
            </w:r>
            <w:r w:rsidRPr="00531598">
              <w:rPr>
                <w:rFonts w:ascii="Times New Roman" w:hAnsi="Times New Roman"/>
                <w:i/>
                <w:sz w:val="18"/>
                <w:szCs w:val="18"/>
              </w:rPr>
              <w:t>L. monocytogenes</w:t>
            </w:r>
            <w:r w:rsidRPr="00531598">
              <w:rPr>
                <w:rFonts w:ascii="Times New Roman" w:hAnsi="Times New Roman"/>
                <w:sz w:val="18"/>
                <w:szCs w:val="18"/>
              </w:rPr>
              <w:t xml:space="preserve"> noteikšana) (uzņēmums </w:t>
            </w:r>
            <w:r w:rsidRPr="00531598">
              <w:rPr>
                <w:rFonts w:ascii="Times New Roman" w:hAnsi="Times New Roman"/>
                <w:i/>
                <w:iCs/>
                <w:sz w:val="18"/>
                <w:szCs w:val="18"/>
              </w:rPr>
              <w:t>bioMérieux</w:t>
            </w:r>
            <w:r w:rsidRPr="00531598">
              <w:rPr>
                <w:rFonts w:ascii="Times New Roman" w:hAnsi="Times New Roman"/>
                <w:sz w:val="18"/>
                <w:szCs w:val="18"/>
              </w:rPr>
              <w:t>)</w:t>
            </w:r>
          </w:p>
        </w:tc>
        <w:tc>
          <w:tcPr>
            <w:tcW w:w="542"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EN ISO 16140-2 (2003)</w:t>
            </w:r>
          </w:p>
        </w:tc>
        <w:tc>
          <w:tcPr>
            <w:tcW w:w="512"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11290-1/A1 (2005)</w:t>
            </w:r>
          </w:p>
        </w:tc>
        <w:tc>
          <w:tcPr>
            <w:tcW w:w="527"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i/>
                <w:iCs/>
                <w:sz w:val="18"/>
                <w:szCs w:val="18"/>
              </w:rPr>
              <w:t>BIO</w:t>
            </w:r>
            <w:r w:rsidRPr="00531598">
              <w:rPr>
                <w:rFonts w:ascii="Times New Roman" w:hAnsi="Times New Roman"/>
                <w:sz w:val="18"/>
                <w:szCs w:val="18"/>
              </w:rPr>
              <w:t xml:space="preserve"> 12/31 - 05/11</w:t>
            </w:r>
          </w:p>
        </w:tc>
        <w:tc>
          <w:tcPr>
            <w:tcW w:w="767"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0C1936" w:rsidRPr="00531598" w:rsidRDefault="000C1936" w:rsidP="00531598">
            <w:pPr>
              <w:jc w:val="center"/>
              <w:rPr>
                <w:rFonts w:ascii="Times New Roman" w:hAnsi="Times New Roman"/>
                <w:noProof/>
                <w:sz w:val="18"/>
                <w:szCs w:val="18"/>
              </w:rPr>
            </w:pPr>
          </w:p>
        </w:tc>
        <w:tc>
          <w:tcPr>
            <w:tcW w:w="703" w:type="pct"/>
          </w:tcPr>
          <w:p w:rsidR="000C1936" w:rsidRPr="00531598" w:rsidRDefault="000C1936" w:rsidP="00531598">
            <w:pPr>
              <w:pStyle w:val="TableParagraph"/>
              <w:jc w:val="center"/>
              <w:rPr>
                <w:rFonts w:ascii="Times New Roman" w:hAnsi="Times New Roman"/>
                <w:noProof/>
                <w:sz w:val="18"/>
                <w:szCs w:val="18"/>
              </w:rPr>
            </w:pPr>
            <w:r w:rsidRPr="00531598">
              <w:rPr>
                <w:rFonts w:ascii="Times New Roman" w:hAnsi="Times New Roman"/>
                <w:sz w:val="18"/>
                <w:szCs w:val="18"/>
              </w:rPr>
              <w:t>dārzeņu pārstrādes produkti</w:t>
            </w:r>
          </w:p>
        </w:tc>
      </w:tr>
      <w:tr w:rsidR="00AA563E" w:rsidRPr="00531598" w:rsidTr="005A431E">
        <w:tc>
          <w:tcPr>
            <w:tcW w:w="58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Barotne</w:t>
            </w:r>
          </w:p>
        </w:tc>
        <w:tc>
          <w:tcPr>
            <w:tcW w:w="859" w:type="pct"/>
          </w:tcPr>
          <w:p w:rsidR="00AA563E" w:rsidRPr="00531598" w:rsidRDefault="00AA563E" w:rsidP="00531598">
            <w:pPr>
              <w:pStyle w:val="TableParagraph"/>
              <w:jc w:val="center"/>
              <w:rPr>
                <w:rFonts w:ascii="Times New Roman" w:eastAsia="Tahoma" w:hAnsi="Times New Roman" w:cs="Tahoma"/>
                <w:noProof/>
                <w:sz w:val="18"/>
                <w:szCs w:val="18"/>
              </w:rPr>
            </w:pPr>
            <w:r w:rsidRPr="00531598">
              <w:rPr>
                <w:rFonts w:ascii="Times New Roman" w:hAnsi="Times New Roman"/>
                <w:sz w:val="18"/>
                <w:szCs w:val="18"/>
              </w:rPr>
              <w:t xml:space="preserve">Barotne </w:t>
            </w:r>
            <w:r w:rsidRPr="00531598">
              <w:rPr>
                <w:rFonts w:ascii="Times New Roman" w:hAnsi="Times New Roman"/>
                <w:i/>
                <w:iCs/>
                <w:sz w:val="18"/>
                <w:szCs w:val="18"/>
              </w:rPr>
              <w:t>LESS Plus</w:t>
            </w:r>
            <w:r w:rsidRPr="00531598">
              <w:rPr>
                <w:rFonts w:ascii="Times New Roman" w:hAnsi="Times New Roman"/>
                <w:sz w:val="18"/>
                <w:szCs w:val="18"/>
              </w:rPr>
              <w:t xml:space="preserve"> </w:t>
            </w:r>
            <w:r w:rsidRPr="00531598">
              <w:rPr>
                <w:rFonts w:ascii="Times New Roman" w:hAnsi="Times New Roman"/>
                <w:i/>
                <w:sz w:val="18"/>
                <w:szCs w:val="18"/>
              </w:rPr>
              <w:t xml:space="preserve">Listeria monocytogenes </w:t>
            </w:r>
            <w:r w:rsidRPr="00531598">
              <w:rPr>
                <w:rFonts w:ascii="Times New Roman" w:hAnsi="Times New Roman"/>
                <w:sz w:val="18"/>
                <w:szCs w:val="18"/>
              </w:rPr>
              <w:t xml:space="preserve">noteikšanai + metode </w:t>
            </w:r>
            <w:r w:rsidRPr="00531598">
              <w:rPr>
                <w:rFonts w:ascii="Times New Roman" w:hAnsi="Times New Roman"/>
                <w:i/>
                <w:iCs/>
                <w:sz w:val="18"/>
                <w:szCs w:val="18"/>
              </w:rPr>
              <w:t>ANSR</w:t>
            </w:r>
            <w:r w:rsidRPr="00531598">
              <w:rPr>
                <w:rFonts w:ascii="Times New Roman" w:hAnsi="Times New Roman"/>
                <w:sz w:val="18"/>
                <w:szCs w:val="18"/>
              </w:rPr>
              <w:t xml:space="preserve"> </w:t>
            </w:r>
            <w:r w:rsidRPr="00531598">
              <w:rPr>
                <w:rFonts w:ascii="Times New Roman" w:hAnsi="Times New Roman"/>
                <w:i/>
                <w:sz w:val="18"/>
                <w:szCs w:val="18"/>
              </w:rPr>
              <w:t xml:space="preserve">Listeria monocytogenes </w:t>
            </w:r>
            <w:r w:rsidRPr="00531598">
              <w:rPr>
                <w:rFonts w:ascii="Times New Roman" w:hAnsi="Times New Roman"/>
                <w:sz w:val="18"/>
                <w:szCs w:val="18"/>
              </w:rPr>
              <w:t xml:space="preserve">noteikšanai vai barotne (uzņēmums </w:t>
            </w:r>
            <w:r w:rsidRPr="00531598">
              <w:rPr>
                <w:rFonts w:ascii="Times New Roman" w:hAnsi="Times New Roman"/>
                <w:i/>
                <w:iCs/>
                <w:sz w:val="18"/>
                <w:szCs w:val="18"/>
              </w:rPr>
              <w:t>NEOGEN Europe Ltd</w:t>
            </w:r>
            <w:r w:rsidRPr="00531598">
              <w:rPr>
                <w:rFonts w:ascii="Times New Roman" w:hAnsi="Times New Roman"/>
                <w:sz w:val="18"/>
                <w:szCs w:val="18"/>
              </w:rPr>
              <w:t>)</w:t>
            </w:r>
          </w:p>
        </w:tc>
        <w:tc>
          <w:tcPr>
            <w:tcW w:w="54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16140-2 (2016)</w:t>
            </w:r>
          </w:p>
        </w:tc>
        <w:tc>
          <w:tcPr>
            <w:tcW w:w="51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11290-1/A1 (2005)</w:t>
            </w:r>
          </w:p>
        </w:tc>
        <w:tc>
          <w:tcPr>
            <w:tcW w:w="52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i/>
                <w:iCs/>
                <w:sz w:val="18"/>
                <w:szCs w:val="18"/>
              </w:rPr>
              <w:t>NEO</w:t>
            </w:r>
            <w:r w:rsidRPr="00531598">
              <w:rPr>
                <w:rFonts w:ascii="Times New Roman" w:hAnsi="Times New Roman"/>
                <w:sz w:val="18"/>
                <w:szCs w:val="18"/>
              </w:rPr>
              <w:t xml:space="preserve"> 35/06 - 07/16</w:t>
            </w:r>
          </w:p>
        </w:tc>
        <w:tc>
          <w:tcPr>
            <w:tcW w:w="76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AA563E" w:rsidRPr="00531598" w:rsidRDefault="00AA563E" w:rsidP="00531598">
            <w:pPr>
              <w:jc w:val="center"/>
              <w:rPr>
                <w:rFonts w:ascii="Times New Roman" w:hAnsi="Times New Roman"/>
                <w:noProof/>
                <w:sz w:val="18"/>
                <w:szCs w:val="18"/>
              </w:rPr>
            </w:pPr>
          </w:p>
        </w:tc>
        <w:tc>
          <w:tcPr>
            <w:tcW w:w="70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dārzeņi</w:t>
            </w:r>
          </w:p>
        </w:tc>
      </w:tr>
      <w:tr w:rsidR="00AA563E" w:rsidRPr="00531598" w:rsidTr="005A431E">
        <w:tc>
          <w:tcPr>
            <w:tcW w:w="58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Barotne</w:t>
            </w:r>
          </w:p>
        </w:tc>
        <w:tc>
          <w:tcPr>
            <w:tcW w:w="859" w:type="pct"/>
          </w:tcPr>
          <w:p w:rsidR="00AA563E" w:rsidRPr="00531598" w:rsidRDefault="00AA563E" w:rsidP="00531598">
            <w:pPr>
              <w:pStyle w:val="TableParagraph"/>
              <w:jc w:val="center"/>
              <w:rPr>
                <w:rFonts w:ascii="Times New Roman" w:eastAsia="Tahoma" w:hAnsi="Times New Roman" w:cs="Tahoma"/>
                <w:noProof/>
                <w:sz w:val="18"/>
                <w:szCs w:val="18"/>
              </w:rPr>
            </w:pPr>
            <w:r w:rsidRPr="00531598">
              <w:rPr>
                <w:rFonts w:ascii="Times New Roman" w:hAnsi="Times New Roman"/>
                <w:sz w:val="18"/>
                <w:szCs w:val="18"/>
              </w:rPr>
              <w:t xml:space="preserve">Metode </w:t>
            </w:r>
            <w:r w:rsidRPr="00531598">
              <w:rPr>
                <w:rFonts w:ascii="Times New Roman" w:hAnsi="Times New Roman"/>
                <w:i/>
                <w:sz w:val="18"/>
                <w:szCs w:val="18"/>
              </w:rPr>
              <w:t xml:space="preserve">Listeria </w:t>
            </w:r>
            <w:r w:rsidRPr="00531598">
              <w:rPr>
                <w:rFonts w:ascii="Times New Roman" w:hAnsi="Times New Roman"/>
                <w:i/>
                <w:iCs/>
                <w:sz w:val="18"/>
                <w:szCs w:val="18"/>
              </w:rPr>
              <w:t>Precis</w:t>
            </w:r>
            <w:r w:rsidRPr="00531598">
              <w:rPr>
                <w:rFonts w:ascii="Times New Roman" w:hAnsi="Times New Roman"/>
                <w:sz w:val="18"/>
                <w:szCs w:val="18"/>
              </w:rPr>
              <w:t xml:space="preserve"> (</w:t>
            </w:r>
            <w:r w:rsidRPr="00531598">
              <w:rPr>
                <w:rFonts w:ascii="Times New Roman" w:hAnsi="Times New Roman"/>
                <w:i/>
                <w:sz w:val="18"/>
                <w:szCs w:val="18"/>
              </w:rPr>
              <w:t xml:space="preserve">L. monocytogenes </w:t>
            </w:r>
            <w:r w:rsidRPr="00531598">
              <w:rPr>
                <w:rFonts w:ascii="Times New Roman" w:hAnsi="Times New Roman"/>
                <w:sz w:val="18"/>
                <w:szCs w:val="18"/>
              </w:rPr>
              <w:t xml:space="preserve">un </w:t>
            </w:r>
            <w:r w:rsidRPr="00531598">
              <w:rPr>
                <w:rFonts w:ascii="Times New Roman" w:hAnsi="Times New Roman"/>
                <w:i/>
                <w:sz w:val="18"/>
                <w:szCs w:val="18"/>
              </w:rPr>
              <w:t xml:space="preserve">Listeria </w:t>
            </w:r>
            <w:r w:rsidRPr="00531598">
              <w:rPr>
                <w:rFonts w:ascii="Times New Roman" w:hAnsi="Times New Roman"/>
                <w:i/>
                <w:iCs/>
                <w:sz w:val="18"/>
                <w:szCs w:val="18"/>
              </w:rPr>
              <w:t>spp</w:t>
            </w:r>
            <w:r w:rsidRPr="00531598">
              <w:rPr>
                <w:rFonts w:ascii="Times New Roman" w:hAnsi="Times New Roman"/>
                <w:sz w:val="18"/>
                <w:szCs w:val="18"/>
              </w:rPr>
              <w:t xml:space="preserve">. noteikšanai) (uzņēmums </w:t>
            </w:r>
            <w:r w:rsidRPr="00531598">
              <w:rPr>
                <w:rFonts w:ascii="Times New Roman" w:hAnsi="Times New Roman"/>
                <w:i/>
                <w:iCs/>
                <w:sz w:val="18"/>
                <w:szCs w:val="18"/>
              </w:rPr>
              <w:t>OXOID Ltd</w:t>
            </w:r>
            <w:r w:rsidRPr="00531598">
              <w:rPr>
                <w:rFonts w:ascii="Times New Roman" w:hAnsi="Times New Roman"/>
                <w:sz w:val="18"/>
                <w:szCs w:val="18"/>
              </w:rPr>
              <w:t xml:space="preserve">, uzņēmuma </w:t>
            </w:r>
            <w:r w:rsidRPr="00531598">
              <w:rPr>
                <w:rFonts w:ascii="Times New Roman" w:hAnsi="Times New Roman"/>
                <w:i/>
                <w:iCs/>
                <w:sz w:val="18"/>
                <w:szCs w:val="18"/>
              </w:rPr>
              <w:t>Thermo Fisher Scientific</w:t>
            </w:r>
            <w:r w:rsidRPr="00531598">
              <w:rPr>
                <w:rFonts w:ascii="Times New Roman" w:hAnsi="Times New Roman"/>
                <w:sz w:val="18"/>
                <w:szCs w:val="18"/>
              </w:rPr>
              <w:t xml:space="preserve"> daļa)</w:t>
            </w:r>
          </w:p>
        </w:tc>
        <w:tc>
          <w:tcPr>
            <w:tcW w:w="54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16140-2 (2016)</w:t>
            </w:r>
          </w:p>
        </w:tc>
        <w:tc>
          <w:tcPr>
            <w:tcW w:w="51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 /A1 (2005)</w:t>
            </w:r>
          </w:p>
        </w:tc>
        <w:tc>
          <w:tcPr>
            <w:tcW w:w="52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i/>
                <w:iCs/>
                <w:sz w:val="18"/>
                <w:szCs w:val="18"/>
              </w:rPr>
              <w:t>UNI</w:t>
            </w:r>
            <w:r w:rsidRPr="00531598">
              <w:rPr>
                <w:rFonts w:ascii="Times New Roman" w:hAnsi="Times New Roman"/>
                <w:sz w:val="18"/>
                <w:szCs w:val="18"/>
              </w:rPr>
              <w:t xml:space="preserve"> 03/04 - 04/05</w:t>
            </w:r>
          </w:p>
        </w:tc>
        <w:tc>
          <w:tcPr>
            <w:tcW w:w="76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AA563E" w:rsidRPr="00531598" w:rsidRDefault="00AA563E" w:rsidP="00531598">
            <w:pPr>
              <w:jc w:val="center"/>
              <w:rPr>
                <w:rFonts w:ascii="Times New Roman" w:hAnsi="Times New Roman"/>
                <w:noProof/>
                <w:sz w:val="18"/>
                <w:szCs w:val="18"/>
              </w:rPr>
            </w:pPr>
          </w:p>
        </w:tc>
        <w:tc>
          <w:tcPr>
            <w:tcW w:w="70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dārzeņi</w:t>
            </w:r>
          </w:p>
        </w:tc>
      </w:tr>
      <w:tr w:rsidR="00AA563E" w:rsidRPr="00531598" w:rsidTr="005A431E">
        <w:tc>
          <w:tcPr>
            <w:tcW w:w="58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Barotne</w:t>
            </w:r>
          </w:p>
        </w:tc>
        <w:tc>
          <w:tcPr>
            <w:tcW w:w="859" w:type="pct"/>
          </w:tcPr>
          <w:p w:rsidR="00AA563E" w:rsidRPr="00531598" w:rsidRDefault="00AA563E" w:rsidP="00531598">
            <w:pPr>
              <w:pStyle w:val="TableParagraph"/>
              <w:jc w:val="center"/>
              <w:rPr>
                <w:rFonts w:ascii="Times New Roman" w:eastAsia="Tahoma" w:hAnsi="Times New Roman" w:cs="Tahoma"/>
                <w:noProof/>
                <w:sz w:val="18"/>
                <w:szCs w:val="18"/>
              </w:rPr>
            </w:pPr>
            <w:r w:rsidRPr="00531598">
              <w:rPr>
                <w:rFonts w:ascii="Times New Roman" w:hAnsi="Times New Roman"/>
                <w:sz w:val="18"/>
                <w:szCs w:val="18"/>
              </w:rPr>
              <w:t xml:space="preserve">Metode </w:t>
            </w:r>
            <w:r w:rsidRPr="00531598">
              <w:rPr>
                <w:rFonts w:ascii="Times New Roman" w:hAnsi="Times New Roman"/>
                <w:i/>
                <w:iCs/>
                <w:sz w:val="18"/>
                <w:szCs w:val="18"/>
              </w:rPr>
              <w:t>RAPID’L.mono</w:t>
            </w:r>
            <w:r w:rsidRPr="00531598">
              <w:rPr>
                <w:rFonts w:ascii="Times New Roman" w:hAnsi="Times New Roman"/>
                <w:sz w:val="18"/>
                <w:szCs w:val="18"/>
              </w:rPr>
              <w:t xml:space="preserve"> (</w:t>
            </w:r>
            <w:r w:rsidRPr="00531598">
              <w:rPr>
                <w:rFonts w:ascii="Times New Roman" w:hAnsi="Times New Roman"/>
                <w:i/>
                <w:sz w:val="18"/>
                <w:szCs w:val="18"/>
              </w:rPr>
              <w:t xml:space="preserve">L. monocytogenes </w:t>
            </w:r>
            <w:r w:rsidRPr="00531598">
              <w:rPr>
                <w:rFonts w:ascii="Times New Roman" w:hAnsi="Times New Roman"/>
                <w:sz w:val="18"/>
                <w:szCs w:val="18"/>
              </w:rPr>
              <w:t xml:space="preserve">un </w:t>
            </w:r>
            <w:r w:rsidRPr="00531598">
              <w:rPr>
                <w:rFonts w:ascii="Times New Roman" w:hAnsi="Times New Roman"/>
                <w:i/>
                <w:sz w:val="18"/>
                <w:szCs w:val="18"/>
              </w:rPr>
              <w:t xml:space="preserve">Listeria </w:t>
            </w:r>
            <w:r w:rsidRPr="00531598">
              <w:rPr>
                <w:rFonts w:ascii="Times New Roman" w:hAnsi="Times New Roman"/>
                <w:i/>
                <w:iCs/>
                <w:sz w:val="18"/>
                <w:szCs w:val="18"/>
              </w:rPr>
              <w:t>spp</w:t>
            </w:r>
            <w:r w:rsidRPr="00531598">
              <w:rPr>
                <w:rFonts w:ascii="Times New Roman" w:hAnsi="Times New Roman"/>
                <w:sz w:val="18"/>
                <w:szCs w:val="18"/>
              </w:rPr>
              <w:t xml:space="preserve">. noteikšanai) (uzņēmums </w:t>
            </w:r>
            <w:r w:rsidRPr="00531598">
              <w:rPr>
                <w:rFonts w:ascii="Times New Roman" w:hAnsi="Times New Roman"/>
                <w:i/>
                <w:iCs/>
                <w:sz w:val="18"/>
                <w:szCs w:val="18"/>
              </w:rPr>
              <w:t>Biorad</w:t>
            </w:r>
            <w:r w:rsidRPr="00531598">
              <w:rPr>
                <w:rFonts w:ascii="Times New Roman" w:hAnsi="Times New Roman"/>
                <w:sz w:val="18"/>
                <w:szCs w:val="18"/>
              </w:rPr>
              <w:t>)</w:t>
            </w:r>
          </w:p>
        </w:tc>
        <w:tc>
          <w:tcPr>
            <w:tcW w:w="54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16140-2 (2003)</w:t>
            </w:r>
          </w:p>
        </w:tc>
        <w:tc>
          <w:tcPr>
            <w:tcW w:w="51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11290-1/A1 (2005)</w:t>
            </w:r>
          </w:p>
        </w:tc>
        <w:tc>
          <w:tcPr>
            <w:tcW w:w="52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i/>
                <w:iCs/>
                <w:sz w:val="18"/>
                <w:szCs w:val="18"/>
              </w:rPr>
              <w:t>BRD</w:t>
            </w:r>
            <w:r w:rsidRPr="00531598">
              <w:rPr>
                <w:rFonts w:ascii="Times New Roman" w:hAnsi="Times New Roman"/>
                <w:sz w:val="18"/>
                <w:szCs w:val="18"/>
              </w:rPr>
              <w:t xml:space="preserve"> 07/04 - 09/98</w:t>
            </w:r>
          </w:p>
        </w:tc>
        <w:tc>
          <w:tcPr>
            <w:tcW w:w="76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AA563E" w:rsidRPr="00531598" w:rsidRDefault="00AA563E" w:rsidP="00531598">
            <w:pPr>
              <w:jc w:val="center"/>
              <w:rPr>
                <w:rFonts w:ascii="Times New Roman" w:hAnsi="Times New Roman"/>
                <w:noProof/>
                <w:sz w:val="18"/>
                <w:szCs w:val="18"/>
              </w:rPr>
            </w:pPr>
          </w:p>
        </w:tc>
        <w:tc>
          <w:tcPr>
            <w:tcW w:w="70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dārzeņi</w:t>
            </w:r>
          </w:p>
        </w:tc>
      </w:tr>
      <w:tr w:rsidR="00AA563E" w:rsidRPr="00531598" w:rsidTr="005A431E">
        <w:tc>
          <w:tcPr>
            <w:tcW w:w="58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Molekulārās metodes</w:t>
            </w:r>
          </w:p>
        </w:tc>
        <w:tc>
          <w:tcPr>
            <w:tcW w:w="859" w:type="pct"/>
          </w:tcPr>
          <w:p w:rsidR="00AA563E" w:rsidRPr="00531598" w:rsidRDefault="00AA563E" w:rsidP="00531598">
            <w:pPr>
              <w:pStyle w:val="TableParagraph"/>
              <w:jc w:val="center"/>
              <w:rPr>
                <w:rFonts w:ascii="Times New Roman" w:eastAsia="Tahoma" w:hAnsi="Times New Roman" w:cs="Tahoma"/>
                <w:noProof/>
                <w:sz w:val="18"/>
                <w:szCs w:val="18"/>
              </w:rPr>
            </w:pPr>
            <w:r w:rsidRPr="00531598">
              <w:rPr>
                <w:rFonts w:ascii="Times New Roman" w:hAnsi="Times New Roman"/>
                <w:sz w:val="18"/>
                <w:szCs w:val="18"/>
              </w:rPr>
              <w:t xml:space="preserve">Kultūras identifikācijas </w:t>
            </w:r>
            <w:r w:rsidRPr="00531598">
              <w:rPr>
                <w:rFonts w:ascii="Times New Roman" w:hAnsi="Times New Roman"/>
                <w:sz w:val="18"/>
                <w:szCs w:val="18"/>
              </w:rPr>
              <w:lastRenderedPageBreak/>
              <w:t xml:space="preserve">reaģenta komplekts </w:t>
            </w:r>
            <w:r w:rsidRPr="00531598">
              <w:rPr>
                <w:rFonts w:ascii="Times New Roman" w:hAnsi="Times New Roman"/>
                <w:i/>
                <w:iCs/>
                <w:sz w:val="18"/>
                <w:szCs w:val="18"/>
              </w:rPr>
              <w:t xml:space="preserve">Accuprobe </w:t>
            </w:r>
            <w:r w:rsidRPr="00531598">
              <w:rPr>
                <w:rFonts w:ascii="Times New Roman" w:hAnsi="Times New Roman"/>
                <w:i/>
                <w:sz w:val="18"/>
                <w:szCs w:val="18"/>
              </w:rPr>
              <w:t xml:space="preserve">Listeria monocytogenes </w:t>
            </w:r>
            <w:r w:rsidRPr="00531598">
              <w:rPr>
                <w:rFonts w:ascii="Times New Roman" w:hAnsi="Times New Roman"/>
                <w:sz w:val="18"/>
                <w:szCs w:val="18"/>
              </w:rPr>
              <w:t xml:space="preserve">noteikšanai (uzņēmums </w:t>
            </w:r>
            <w:r w:rsidRPr="00531598">
              <w:rPr>
                <w:rFonts w:ascii="Times New Roman" w:hAnsi="Times New Roman"/>
                <w:i/>
                <w:iCs/>
                <w:sz w:val="18"/>
                <w:szCs w:val="18"/>
              </w:rPr>
              <w:t>bioMérieux</w:t>
            </w:r>
            <w:r w:rsidRPr="00531598">
              <w:rPr>
                <w:rFonts w:ascii="Times New Roman" w:hAnsi="Times New Roman"/>
                <w:sz w:val="18"/>
                <w:szCs w:val="18"/>
              </w:rPr>
              <w:t>)</w:t>
            </w:r>
          </w:p>
        </w:tc>
        <w:tc>
          <w:tcPr>
            <w:tcW w:w="54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lastRenderedPageBreak/>
              <w:t>EN ISO 16140-2 (2003)</w:t>
            </w:r>
          </w:p>
        </w:tc>
        <w:tc>
          <w:tcPr>
            <w:tcW w:w="51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 xml:space="preserve">EN ISO 11290-1/A1 </w:t>
            </w:r>
            <w:r w:rsidRPr="00531598">
              <w:rPr>
                <w:rFonts w:ascii="Times New Roman" w:hAnsi="Times New Roman"/>
                <w:sz w:val="18"/>
                <w:szCs w:val="18"/>
              </w:rPr>
              <w:lastRenderedPageBreak/>
              <w:t>(2005)</w:t>
            </w:r>
          </w:p>
        </w:tc>
        <w:tc>
          <w:tcPr>
            <w:tcW w:w="52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i/>
                <w:iCs/>
                <w:sz w:val="18"/>
                <w:szCs w:val="18"/>
              </w:rPr>
              <w:lastRenderedPageBreak/>
              <w:t>BIO</w:t>
            </w:r>
            <w:r w:rsidRPr="00531598">
              <w:rPr>
                <w:rFonts w:ascii="Times New Roman" w:hAnsi="Times New Roman"/>
                <w:sz w:val="18"/>
                <w:szCs w:val="18"/>
              </w:rPr>
              <w:t xml:space="preserve"> 12/04 - 02/95</w:t>
            </w:r>
          </w:p>
        </w:tc>
        <w:tc>
          <w:tcPr>
            <w:tcW w:w="76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 xml:space="preserve">Visu cilvēkiem domāto pārtikas </w:t>
            </w:r>
            <w:r w:rsidRPr="00531598">
              <w:rPr>
                <w:rFonts w:ascii="Times New Roman" w:hAnsi="Times New Roman"/>
                <w:sz w:val="18"/>
                <w:szCs w:val="18"/>
              </w:rPr>
              <w:lastRenderedPageBreak/>
              <w:t>produktu un ražošanas vides paraugi</w:t>
            </w:r>
          </w:p>
        </w:tc>
        <w:tc>
          <w:tcPr>
            <w:tcW w:w="506" w:type="pct"/>
          </w:tcPr>
          <w:p w:rsidR="00AA563E" w:rsidRPr="00531598" w:rsidRDefault="00AA563E" w:rsidP="00531598">
            <w:pPr>
              <w:jc w:val="center"/>
              <w:rPr>
                <w:rFonts w:ascii="Times New Roman" w:hAnsi="Times New Roman"/>
                <w:noProof/>
                <w:sz w:val="18"/>
                <w:szCs w:val="18"/>
              </w:rPr>
            </w:pPr>
          </w:p>
        </w:tc>
        <w:tc>
          <w:tcPr>
            <w:tcW w:w="70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dārzeņi un citi</w:t>
            </w:r>
          </w:p>
        </w:tc>
      </w:tr>
      <w:tr w:rsidR="00AA563E" w:rsidRPr="00531598" w:rsidTr="005A431E">
        <w:tc>
          <w:tcPr>
            <w:tcW w:w="58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Molekulārās metodes</w:t>
            </w:r>
          </w:p>
        </w:tc>
        <w:tc>
          <w:tcPr>
            <w:tcW w:w="859"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 xml:space="preserve">Molekulārās noteikšanas pārbaudes metode </w:t>
            </w:r>
            <w:r w:rsidRPr="00531598">
              <w:rPr>
                <w:rFonts w:ascii="Times New Roman" w:hAnsi="Times New Roman"/>
                <w:i/>
                <w:iCs/>
                <w:sz w:val="18"/>
                <w:szCs w:val="18"/>
              </w:rPr>
              <w:t>3M 5</w:t>
            </w:r>
            <w:r w:rsidRPr="00531598">
              <w:rPr>
                <w:rFonts w:ascii="Times New Roman" w:hAnsi="Times New Roman"/>
                <w:sz w:val="18"/>
                <w:szCs w:val="18"/>
              </w:rPr>
              <w:t xml:space="preserve"> </w:t>
            </w:r>
            <w:r w:rsidRPr="00531598">
              <w:rPr>
                <w:rFonts w:ascii="Times New Roman" w:hAnsi="Times New Roman"/>
                <w:i/>
                <w:sz w:val="18"/>
                <w:szCs w:val="18"/>
              </w:rPr>
              <w:t xml:space="preserve">Listeria monocytogenes </w:t>
            </w:r>
            <w:r w:rsidRPr="00531598">
              <w:rPr>
                <w:rFonts w:ascii="Times New Roman" w:hAnsi="Times New Roman"/>
                <w:sz w:val="18"/>
                <w:szCs w:val="18"/>
              </w:rPr>
              <w:t>(</w:t>
            </w:r>
            <w:r w:rsidRPr="00531598">
              <w:rPr>
                <w:rFonts w:ascii="Times New Roman" w:hAnsi="Times New Roman"/>
                <w:i/>
                <w:sz w:val="18"/>
                <w:szCs w:val="18"/>
              </w:rPr>
              <w:t>L. monocytogenes</w:t>
            </w:r>
            <w:r w:rsidRPr="00531598">
              <w:rPr>
                <w:rFonts w:ascii="Times New Roman" w:hAnsi="Times New Roman"/>
                <w:sz w:val="18"/>
                <w:szCs w:val="18"/>
              </w:rPr>
              <w:t xml:space="preserve"> noteikšanai) (uzņēmums </w:t>
            </w:r>
            <w:r w:rsidRPr="00531598">
              <w:rPr>
                <w:rFonts w:ascii="Times New Roman" w:hAnsi="Times New Roman"/>
                <w:i/>
                <w:iCs/>
                <w:sz w:val="18"/>
                <w:szCs w:val="18"/>
              </w:rPr>
              <w:t>3M</w:t>
            </w:r>
            <w:r w:rsidRPr="00531598">
              <w:rPr>
                <w:rFonts w:ascii="Times New Roman" w:hAnsi="Times New Roman"/>
                <w:sz w:val="18"/>
                <w:szCs w:val="18"/>
              </w:rPr>
              <w:t>)</w:t>
            </w:r>
          </w:p>
        </w:tc>
        <w:tc>
          <w:tcPr>
            <w:tcW w:w="54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16140-2 (2016)</w:t>
            </w:r>
          </w:p>
        </w:tc>
        <w:tc>
          <w:tcPr>
            <w:tcW w:w="51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11290-1/A1 (2005)</w:t>
            </w:r>
          </w:p>
        </w:tc>
        <w:tc>
          <w:tcPr>
            <w:tcW w:w="52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i/>
                <w:iCs/>
                <w:sz w:val="18"/>
                <w:szCs w:val="18"/>
              </w:rPr>
              <w:t>3M</w:t>
            </w:r>
            <w:r w:rsidRPr="00531598">
              <w:rPr>
                <w:rFonts w:ascii="Times New Roman" w:hAnsi="Times New Roman"/>
                <w:sz w:val="18"/>
                <w:szCs w:val="18"/>
              </w:rPr>
              <w:t xml:space="preserve"> 01/15 - 09/16</w:t>
            </w:r>
          </w:p>
        </w:tc>
        <w:tc>
          <w:tcPr>
            <w:tcW w:w="76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Primārajā ražošanā ņemtie paraugi</w:t>
            </w:r>
          </w:p>
        </w:tc>
        <w:tc>
          <w:tcPr>
            <w:tcW w:w="70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dārzeņi</w:t>
            </w:r>
          </w:p>
        </w:tc>
      </w:tr>
      <w:tr w:rsidR="00AA563E" w:rsidRPr="00531598" w:rsidTr="005A431E">
        <w:tc>
          <w:tcPr>
            <w:tcW w:w="58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Molekulārās metodes</w:t>
            </w:r>
          </w:p>
        </w:tc>
        <w:tc>
          <w:tcPr>
            <w:tcW w:w="859" w:type="pct"/>
          </w:tcPr>
          <w:p w:rsidR="00AA563E" w:rsidRPr="00531598" w:rsidRDefault="00AA563E" w:rsidP="00531598">
            <w:pPr>
              <w:pStyle w:val="TableParagraph"/>
              <w:jc w:val="center"/>
              <w:rPr>
                <w:rFonts w:ascii="Times New Roman" w:eastAsia="Tahoma" w:hAnsi="Times New Roman" w:cs="Tahoma"/>
                <w:noProof/>
                <w:sz w:val="18"/>
                <w:szCs w:val="18"/>
              </w:rPr>
            </w:pPr>
            <w:r w:rsidRPr="00531598">
              <w:rPr>
                <w:rFonts w:ascii="Times New Roman" w:hAnsi="Times New Roman"/>
                <w:sz w:val="18"/>
                <w:szCs w:val="18"/>
              </w:rPr>
              <w:t xml:space="preserve">Metode </w:t>
            </w:r>
            <w:r w:rsidRPr="00531598">
              <w:rPr>
                <w:rFonts w:ascii="Times New Roman" w:hAnsi="Times New Roman"/>
                <w:i/>
                <w:iCs/>
                <w:sz w:val="18"/>
                <w:szCs w:val="18"/>
              </w:rPr>
              <w:t xml:space="preserve">ANSR </w:t>
            </w:r>
            <w:r w:rsidRPr="00531598">
              <w:rPr>
                <w:rFonts w:ascii="Times New Roman" w:hAnsi="Times New Roman"/>
                <w:sz w:val="18"/>
                <w:szCs w:val="18"/>
              </w:rPr>
              <w:t xml:space="preserve"> </w:t>
            </w:r>
            <w:r w:rsidRPr="00531598">
              <w:rPr>
                <w:rFonts w:ascii="Times New Roman" w:hAnsi="Times New Roman"/>
                <w:i/>
                <w:sz w:val="18"/>
                <w:szCs w:val="18"/>
              </w:rPr>
              <w:t xml:space="preserve">Listeria monocytogenes </w:t>
            </w:r>
            <w:r w:rsidRPr="00531598">
              <w:rPr>
                <w:rFonts w:ascii="Times New Roman" w:hAnsi="Times New Roman"/>
                <w:sz w:val="18"/>
                <w:szCs w:val="18"/>
              </w:rPr>
              <w:t>noteikšanai (</w:t>
            </w:r>
            <w:r w:rsidRPr="00531598">
              <w:rPr>
                <w:rFonts w:ascii="Times New Roman" w:hAnsi="Times New Roman"/>
                <w:i/>
                <w:sz w:val="18"/>
                <w:szCs w:val="18"/>
              </w:rPr>
              <w:t>L. monocytogenes</w:t>
            </w:r>
            <w:r w:rsidRPr="00531598">
              <w:rPr>
                <w:rFonts w:ascii="Times New Roman" w:hAnsi="Times New Roman"/>
                <w:sz w:val="18"/>
                <w:szCs w:val="18"/>
              </w:rPr>
              <w:t xml:space="preserve"> noteikšana) (uzņēmums </w:t>
            </w:r>
            <w:r w:rsidRPr="00531598">
              <w:rPr>
                <w:rFonts w:ascii="Times New Roman" w:hAnsi="Times New Roman"/>
                <w:i/>
                <w:iCs/>
                <w:sz w:val="18"/>
                <w:szCs w:val="18"/>
              </w:rPr>
              <w:t>NEOGEN Europe Ltd</w:t>
            </w:r>
            <w:r w:rsidRPr="00531598">
              <w:rPr>
                <w:rFonts w:ascii="Times New Roman" w:hAnsi="Times New Roman"/>
                <w:sz w:val="18"/>
                <w:szCs w:val="18"/>
              </w:rPr>
              <w:t>)</w:t>
            </w:r>
          </w:p>
        </w:tc>
        <w:tc>
          <w:tcPr>
            <w:tcW w:w="54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ISO/FDIS 16140-2 (2015)</w:t>
            </w:r>
          </w:p>
        </w:tc>
        <w:tc>
          <w:tcPr>
            <w:tcW w:w="51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11290-1/A1 (2005)</w:t>
            </w:r>
          </w:p>
        </w:tc>
        <w:tc>
          <w:tcPr>
            <w:tcW w:w="52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i/>
                <w:iCs/>
                <w:sz w:val="18"/>
                <w:szCs w:val="18"/>
              </w:rPr>
              <w:t>NEO</w:t>
            </w:r>
            <w:r w:rsidRPr="00531598">
              <w:rPr>
                <w:rFonts w:ascii="Times New Roman" w:hAnsi="Times New Roman"/>
                <w:sz w:val="18"/>
                <w:szCs w:val="18"/>
              </w:rPr>
              <w:t xml:space="preserve"> 35/04 - 03/16</w:t>
            </w:r>
          </w:p>
        </w:tc>
        <w:tc>
          <w:tcPr>
            <w:tcW w:w="76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AA563E" w:rsidRPr="00531598" w:rsidRDefault="00AA563E" w:rsidP="00531598">
            <w:pPr>
              <w:jc w:val="center"/>
              <w:rPr>
                <w:rFonts w:ascii="Times New Roman" w:hAnsi="Times New Roman"/>
                <w:noProof/>
                <w:sz w:val="18"/>
                <w:szCs w:val="18"/>
              </w:rPr>
            </w:pPr>
          </w:p>
        </w:tc>
        <w:tc>
          <w:tcPr>
            <w:tcW w:w="70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dārzeņi</w:t>
            </w:r>
          </w:p>
        </w:tc>
      </w:tr>
      <w:tr w:rsidR="00AA563E" w:rsidRPr="00531598" w:rsidTr="005A431E">
        <w:tc>
          <w:tcPr>
            <w:tcW w:w="58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Molekulārās metodes</w:t>
            </w:r>
          </w:p>
        </w:tc>
        <w:tc>
          <w:tcPr>
            <w:tcW w:w="859" w:type="pct"/>
          </w:tcPr>
          <w:p w:rsidR="00AA563E" w:rsidRPr="00531598" w:rsidRDefault="00AA563E" w:rsidP="00531598">
            <w:pPr>
              <w:pStyle w:val="TableParagraph"/>
              <w:jc w:val="center"/>
              <w:rPr>
                <w:rFonts w:ascii="Times New Roman" w:eastAsia="Tahoma" w:hAnsi="Times New Roman" w:cs="Tahoma"/>
                <w:noProof/>
                <w:sz w:val="18"/>
                <w:szCs w:val="18"/>
              </w:rPr>
            </w:pPr>
            <w:r w:rsidRPr="00531598">
              <w:rPr>
                <w:rFonts w:ascii="Times New Roman" w:hAnsi="Times New Roman"/>
                <w:sz w:val="18"/>
                <w:szCs w:val="18"/>
              </w:rPr>
              <w:t xml:space="preserve">Testēšanas komplekts </w:t>
            </w:r>
            <w:r w:rsidRPr="00531598">
              <w:rPr>
                <w:rFonts w:ascii="Times New Roman" w:hAnsi="Times New Roman"/>
                <w:i/>
                <w:iCs/>
                <w:sz w:val="18"/>
                <w:szCs w:val="18"/>
              </w:rPr>
              <w:t>BACGene</w:t>
            </w:r>
            <w:r w:rsidRPr="00531598">
              <w:rPr>
                <w:rFonts w:ascii="Times New Roman" w:hAnsi="Times New Roman"/>
                <w:sz w:val="18"/>
                <w:szCs w:val="18"/>
              </w:rPr>
              <w:t xml:space="preserve"> </w:t>
            </w:r>
            <w:r w:rsidRPr="00531598">
              <w:rPr>
                <w:rFonts w:ascii="Times New Roman" w:hAnsi="Times New Roman"/>
                <w:i/>
                <w:sz w:val="18"/>
                <w:szCs w:val="18"/>
              </w:rPr>
              <w:t xml:space="preserve">Listeria </w:t>
            </w:r>
            <w:r w:rsidRPr="00531598">
              <w:rPr>
                <w:rFonts w:ascii="Times New Roman" w:hAnsi="Times New Roman"/>
                <w:i/>
                <w:iCs/>
                <w:sz w:val="18"/>
                <w:szCs w:val="18"/>
              </w:rPr>
              <w:t>Multiplex</w:t>
            </w:r>
            <w:r w:rsidRPr="00531598">
              <w:rPr>
                <w:rFonts w:ascii="Times New Roman" w:hAnsi="Times New Roman"/>
                <w:sz w:val="18"/>
                <w:szCs w:val="18"/>
              </w:rPr>
              <w:t>/</w:t>
            </w:r>
            <w:r w:rsidRPr="00531598">
              <w:rPr>
                <w:rFonts w:ascii="Times New Roman" w:hAnsi="Times New Roman"/>
                <w:i/>
                <w:sz w:val="18"/>
                <w:szCs w:val="18"/>
              </w:rPr>
              <w:t xml:space="preserve">Listeria monocytogenes </w:t>
            </w:r>
            <w:r w:rsidRPr="00531598">
              <w:rPr>
                <w:rFonts w:ascii="Times New Roman" w:hAnsi="Times New Roman"/>
                <w:sz w:val="18"/>
                <w:szCs w:val="18"/>
              </w:rPr>
              <w:t>(</w:t>
            </w:r>
            <w:r w:rsidRPr="00531598">
              <w:rPr>
                <w:rFonts w:ascii="Times New Roman" w:hAnsi="Times New Roman"/>
                <w:i/>
                <w:sz w:val="18"/>
                <w:szCs w:val="18"/>
              </w:rPr>
              <w:t xml:space="preserve">Listeria spp. </w:t>
            </w:r>
            <w:r w:rsidRPr="00531598">
              <w:rPr>
                <w:rFonts w:ascii="Times New Roman" w:hAnsi="Times New Roman"/>
                <w:sz w:val="18"/>
                <w:szCs w:val="18"/>
              </w:rPr>
              <w:t xml:space="preserve">un </w:t>
            </w:r>
            <w:r w:rsidRPr="00531598">
              <w:rPr>
                <w:rFonts w:ascii="Times New Roman" w:hAnsi="Times New Roman"/>
                <w:i/>
                <w:sz w:val="18"/>
                <w:szCs w:val="18"/>
              </w:rPr>
              <w:t>L. monocytogenes</w:t>
            </w:r>
            <w:r w:rsidRPr="00531598">
              <w:rPr>
                <w:rFonts w:ascii="Times New Roman" w:hAnsi="Times New Roman"/>
                <w:sz w:val="18"/>
                <w:szCs w:val="18"/>
              </w:rPr>
              <w:t xml:space="preserve"> noteikšanai) (uzņēmums </w:t>
            </w:r>
            <w:r w:rsidRPr="00531598">
              <w:rPr>
                <w:rFonts w:ascii="Times New Roman" w:hAnsi="Times New Roman"/>
                <w:i/>
                <w:iCs/>
                <w:sz w:val="18"/>
                <w:szCs w:val="18"/>
              </w:rPr>
              <w:t>Eurofins GeneScan GmBH</w:t>
            </w:r>
            <w:r w:rsidRPr="00531598">
              <w:rPr>
                <w:rFonts w:ascii="Times New Roman" w:hAnsi="Times New Roman"/>
                <w:sz w:val="18"/>
                <w:szCs w:val="18"/>
              </w:rPr>
              <w:t>)</w:t>
            </w:r>
          </w:p>
        </w:tc>
        <w:tc>
          <w:tcPr>
            <w:tcW w:w="54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16140-2 (2016)</w:t>
            </w:r>
          </w:p>
        </w:tc>
        <w:tc>
          <w:tcPr>
            <w:tcW w:w="51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11290-1/A1 (2005)</w:t>
            </w:r>
          </w:p>
        </w:tc>
        <w:tc>
          <w:tcPr>
            <w:tcW w:w="52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i/>
                <w:iCs/>
                <w:sz w:val="18"/>
                <w:szCs w:val="18"/>
              </w:rPr>
              <w:t>EGS</w:t>
            </w:r>
            <w:r w:rsidRPr="00531598">
              <w:rPr>
                <w:rFonts w:ascii="Times New Roman" w:hAnsi="Times New Roman"/>
                <w:sz w:val="18"/>
                <w:szCs w:val="18"/>
              </w:rPr>
              <w:t xml:space="preserve"> 38/05 - 03/17</w:t>
            </w:r>
          </w:p>
        </w:tc>
        <w:tc>
          <w:tcPr>
            <w:tcW w:w="76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AA563E" w:rsidRPr="00531598" w:rsidRDefault="00AA563E" w:rsidP="00531598">
            <w:pPr>
              <w:jc w:val="center"/>
              <w:rPr>
                <w:rFonts w:ascii="Times New Roman" w:hAnsi="Times New Roman"/>
                <w:noProof/>
                <w:sz w:val="18"/>
                <w:szCs w:val="18"/>
              </w:rPr>
            </w:pPr>
          </w:p>
        </w:tc>
        <w:tc>
          <w:tcPr>
            <w:tcW w:w="70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dārzeņi</w:t>
            </w:r>
          </w:p>
        </w:tc>
      </w:tr>
      <w:tr w:rsidR="00AA563E" w:rsidRPr="00531598" w:rsidTr="005A431E">
        <w:tc>
          <w:tcPr>
            <w:tcW w:w="58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Molekulārās metodes</w:t>
            </w:r>
          </w:p>
        </w:tc>
        <w:tc>
          <w:tcPr>
            <w:tcW w:w="859" w:type="pct"/>
          </w:tcPr>
          <w:p w:rsidR="00AA563E" w:rsidRPr="00531598" w:rsidRDefault="00AA563E" w:rsidP="00531598">
            <w:pPr>
              <w:pStyle w:val="TableParagraph"/>
              <w:jc w:val="center"/>
              <w:rPr>
                <w:rFonts w:ascii="Times New Roman" w:eastAsia="Tahoma" w:hAnsi="Times New Roman" w:cs="Tahoma"/>
                <w:noProof/>
                <w:sz w:val="18"/>
                <w:szCs w:val="18"/>
              </w:rPr>
            </w:pPr>
            <w:r w:rsidRPr="00531598">
              <w:rPr>
                <w:rFonts w:ascii="Times New Roman" w:hAnsi="Times New Roman"/>
                <w:sz w:val="18"/>
                <w:szCs w:val="18"/>
              </w:rPr>
              <w:t xml:space="preserve">Testēšanas komplekts </w:t>
            </w:r>
            <w:r w:rsidRPr="00531598">
              <w:rPr>
                <w:rFonts w:ascii="Times New Roman" w:hAnsi="Times New Roman"/>
                <w:i/>
                <w:iCs/>
                <w:sz w:val="18"/>
                <w:szCs w:val="18"/>
              </w:rPr>
              <w:t>BACGene</w:t>
            </w:r>
            <w:r w:rsidRPr="00531598">
              <w:rPr>
                <w:rFonts w:ascii="Times New Roman" w:hAnsi="Times New Roman"/>
                <w:sz w:val="18"/>
                <w:szCs w:val="18"/>
              </w:rPr>
              <w:t xml:space="preserve"> </w:t>
            </w:r>
            <w:r w:rsidRPr="00531598">
              <w:rPr>
                <w:rFonts w:ascii="Times New Roman" w:hAnsi="Times New Roman"/>
                <w:i/>
                <w:sz w:val="18"/>
                <w:szCs w:val="18"/>
              </w:rPr>
              <w:t xml:space="preserve">Listeria monocytogenes </w:t>
            </w:r>
            <w:r w:rsidRPr="00531598">
              <w:rPr>
                <w:rFonts w:ascii="Times New Roman" w:hAnsi="Times New Roman"/>
                <w:sz w:val="18"/>
                <w:szCs w:val="18"/>
              </w:rPr>
              <w:t>(</w:t>
            </w:r>
            <w:r w:rsidRPr="00531598">
              <w:rPr>
                <w:rFonts w:ascii="Times New Roman" w:hAnsi="Times New Roman"/>
                <w:i/>
                <w:sz w:val="18"/>
                <w:szCs w:val="18"/>
              </w:rPr>
              <w:t>L. monocytogenes</w:t>
            </w:r>
            <w:r w:rsidRPr="00531598">
              <w:rPr>
                <w:rFonts w:ascii="Times New Roman" w:hAnsi="Times New Roman"/>
                <w:sz w:val="18"/>
                <w:szCs w:val="18"/>
              </w:rPr>
              <w:t xml:space="preserve"> noteikšanai (uzņēmums </w:t>
            </w:r>
            <w:r w:rsidRPr="00531598">
              <w:rPr>
                <w:rFonts w:ascii="Times New Roman" w:hAnsi="Times New Roman"/>
                <w:i/>
                <w:iCs/>
                <w:sz w:val="18"/>
                <w:szCs w:val="18"/>
              </w:rPr>
              <w:t>Eurofins GeneScan GmBH</w:t>
            </w:r>
            <w:r w:rsidRPr="00531598">
              <w:rPr>
                <w:rFonts w:ascii="Times New Roman" w:hAnsi="Times New Roman"/>
                <w:sz w:val="18"/>
                <w:szCs w:val="18"/>
              </w:rPr>
              <w:t>))</w:t>
            </w:r>
          </w:p>
        </w:tc>
        <w:tc>
          <w:tcPr>
            <w:tcW w:w="54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16140-2 (2016)</w:t>
            </w:r>
          </w:p>
        </w:tc>
        <w:tc>
          <w:tcPr>
            <w:tcW w:w="512"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11290-1/A1 (2005)</w:t>
            </w:r>
          </w:p>
        </w:tc>
        <w:tc>
          <w:tcPr>
            <w:tcW w:w="52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i/>
                <w:iCs/>
                <w:sz w:val="18"/>
                <w:szCs w:val="18"/>
              </w:rPr>
              <w:t>EGS</w:t>
            </w:r>
            <w:r w:rsidRPr="00531598">
              <w:rPr>
                <w:rFonts w:ascii="Times New Roman" w:hAnsi="Times New Roman"/>
                <w:sz w:val="18"/>
                <w:szCs w:val="18"/>
              </w:rPr>
              <w:t xml:space="preserve"> 38/03 - 01/17</w:t>
            </w:r>
          </w:p>
        </w:tc>
        <w:tc>
          <w:tcPr>
            <w:tcW w:w="767"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AA563E" w:rsidRPr="00531598" w:rsidRDefault="00AA563E" w:rsidP="00531598">
            <w:pPr>
              <w:jc w:val="center"/>
              <w:rPr>
                <w:rFonts w:ascii="Times New Roman" w:hAnsi="Times New Roman"/>
                <w:noProof/>
                <w:sz w:val="18"/>
                <w:szCs w:val="18"/>
              </w:rPr>
            </w:pPr>
          </w:p>
        </w:tc>
        <w:tc>
          <w:tcPr>
            <w:tcW w:w="703" w:type="pct"/>
          </w:tcPr>
          <w:p w:rsidR="00AA563E" w:rsidRPr="00531598" w:rsidRDefault="00AA563E" w:rsidP="00531598">
            <w:pPr>
              <w:pStyle w:val="TableParagraph"/>
              <w:jc w:val="center"/>
              <w:rPr>
                <w:rFonts w:ascii="Times New Roman" w:hAnsi="Times New Roman"/>
                <w:noProof/>
                <w:sz w:val="18"/>
                <w:szCs w:val="18"/>
              </w:rPr>
            </w:pPr>
            <w:r w:rsidRPr="00531598">
              <w:rPr>
                <w:rFonts w:ascii="Times New Roman" w:hAnsi="Times New Roman"/>
                <w:sz w:val="18"/>
                <w:szCs w:val="18"/>
              </w:rPr>
              <w:t>dārzeņi</w:t>
            </w:r>
          </w:p>
        </w:tc>
      </w:tr>
      <w:tr w:rsidR="005A431E" w:rsidRPr="00531598" w:rsidTr="005A431E">
        <w:tc>
          <w:tcPr>
            <w:tcW w:w="583" w:type="pct"/>
            <w:tcBorders>
              <w:bottom w:val="single" w:sz="4" w:space="0" w:color="auto"/>
            </w:tcBorders>
          </w:tcPr>
          <w:p w:rsidR="005A431E" w:rsidRPr="00531598" w:rsidRDefault="005A431E" w:rsidP="00531598">
            <w:pPr>
              <w:pStyle w:val="TableParagraph"/>
              <w:jc w:val="center"/>
              <w:rPr>
                <w:rFonts w:ascii="Times New Roman" w:hAnsi="Times New Roman"/>
                <w:noProof/>
                <w:sz w:val="18"/>
                <w:szCs w:val="18"/>
              </w:rPr>
            </w:pPr>
            <w:r w:rsidRPr="00531598">
              <w:rPr>
                <w:rFonts w:ascii="Times New Roman" w:hAnsi="Times New Roman"/>
                <w:sz w:val="18"/>
                <w:szCs w:val="18"/>
              </w:rPr>
              <w:t>Molekulārās metodes</w:t>
            </w:r>
          </w:p>
        </w:tc>
        <w:tc>
          <w:tcPr>
            <w:tcW w:w="859" w:type="pct"/>
            <w:tcBorders>
              <w:bottom w:val="single" w:sz="4" w:space="0" w:color="auto"/>
            </w:tcBorders>
          </w:tcPr>
          <w:p w:rsidR="005A431E" w:rsidRPr="00531598" w:rsidRDefault="005A431E" w:rsidP="00531598">
            <w:pPr>
              <w:pStyle w:val="TableParagraph"/>
              <w:jc w:val="center"/>
              <w:rPr>
                <w:rFonts w:ascii="Times New Roman" w:hAnsi="Times New Roman"/>
                <w:noProof/>
                <w:sz w:val="18"/>
                <w:szCs w:val="18"/>
              </w:rPr>
            </w:pPr>
            <w:r w:rsidRPr="00531598">
              <w:rPr>
                <w:rFonts w:ascii="Times New Roman" w:hAnsi="Times New Roman"/>
                <w:sz w:val="18"/>
                <w:szCs w:val="18"/>
              </w:rPr>
              <w:t xml:space="preserve">Sistēmas </w:t>
            </w:r>
            <w:r w:rsidRPr="00531598">
              <w:rPr>
                <w:rFonts w:ascii="Times New Roman" w:hAnsi="Times New Roman"/>
                <w:i/>
                <w:iCs/>
                <w:sz w:val="18"/>
                <w:szCs w:val="18"/>
              </w:rPr>
              <w:t>BAX</w:t>
            </w:r>
            <w:r w:rsidRPr="00531598">
              <w:rPr>
                <w:rFonts w:ascii="Times New Roman" w:hAnsi="Times New Roman"/>
                <w:sz w:val="18"/>
                <w:szCs w:val="18"/>
              </w:rPr>
              <w:t xml:space="preserve"> PĶR </w:t>
            </w:r>
            <w:r w:rsidRPr="00531598">
              <w:rPr>
                <w:rFonts w:ascii="Times New Roman" w:hAnsi="Times New Roman"/>
                <w:i/>
                <w:iCs/>
                <w:sz w:val="18"/>
                <w:szCs w:val="18"/>
              </w:rPr>
              <w:t>24E</w:t>
            </w:r>
            <w:r w:rsidRPr="00531598">
              <w:rPr>
                <w:rFonts w:ascii="Times New Roman" w:hAnsi="Times New Roman"/>
                <w:sz w:val="18"/>
                <w:szCs w:val="18"/>
              </w:rPr>
              <w:t xml:space="preserve"> pārbaudes metode </w:t>
            </w:r>
            <w:r w:rsidRPr="00531598">
              <w:rPr>
                <w:rFonts w:ascii="Times New Roman" w:hAnsi="Times New Roman"/>
                <w:i/>
                <w:iCs/>
                <w:sz w:val="18"/>
                <w:szCs w:val="18"/>
              </w:rPr>
              <w:t>Listeria monocytogenes</w:t>
            </w:r>
            <w:r w:rsidRPr="00531598">
              <w:rPr>
                <w:rFonts w:ascii="Times New Roman" w:hAnsi="Times New Roman"/>
                <w:sz w:val="18"/>
                <w:szCs w:val="18"/>
              </w:rPr>
              <w:t xml:space="preserve"> noteikšanai (</w:t>
            </w:r>
            <w:r w:rsidRPr="00531598">
              <w:rPr>
                <w:rFonts w:ascii="Times New Roman" w:hAnsi="Times New Roman"/>
                <w:i/>
                <w:sz w:val="18"/>
                <w:szCs w:val="18"/>
              </w:rPr>
              <w:t>L. monocytogenes</w:t>
            </w:r>
            <w:r w:rsidRPr="00531598">
              <w:rPr>
                <w:rFonts w:ascii="Times New Roman" w:hAnsi="Times New Roman"/>
                <w:sz w:val="18"/>
                <w:szCs w:val="18"/>
              </w:rPr>
              <w:t xml:space="preserve"> noteikšanai) (uzņēmums </w:t>
            </w:r>
            <w:r w:rsidRPr="00531598">
              <w:rPr>
                <w:rFonts w:ascii="Times New Roman" w:hAnsi="Times New Roman"/>
                <w:i/>
                <w:iCs/>
                <w:sz w:val="18"/>
                <w:szCs w:val="18"/>
              </w:rPr>
              <w:t>DuPont Qualicon</w:t>
            </w:r>
            <w:r w:rsidRPr="00531598">
              <w:rPr>
                <w:rFonts w:ascii="Times New Roman" w:hAnsi="Times New Roman"/>
                <w:sz w:val="18"/>
                <w:szCs w:val="18"/>
              </w:rPr>
              <w:t>)</w:t>
            </w:r>
          </w:p>
        </w:tc>
        <w:tc>
          <w:tcPr>
            <w:tcW w:w="542" w:type="pct"/>
            <w:tcBorders>
              <w:bottom w:val="single" w:sz="4" w:space="0" w:color="auto"/>
            </w:tcBorders>
          </w:tcPr>
          <w:p w:rsidR="005A431E" w:rsidRPr="00531598" w:rsidRDefault="005A431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16140-2 (2016)</w:t>
            </w:r>
          </w:p>
        </w:tc>
        <w:tc>
          <w:tcPr>
            <w:tcW w:w="512" w:type="pct"/>
            <w:tcBorders>
              <w:bottom w:val="single" w:sz="4" w:space="0" w:color="auto"/>
            </w:tcBorders>
          </w:tcPr>
          <w:p w:rsidR="005A431E" w:rsidRPr="00531598" w:rsidRDefault="005A431E"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11290-1/A1 (2005)</w:t>
            </w:r>
          </w:p>
        </w:tc>
        <w:tc>
          <w:tcPr>
            <w:tcW w:w="527" w:type="pct"/>
            <w:tcBorders>
              <w:bottom w:val="single" w:sz="4" w:space="0" w:color="auto"/>
            </w:tcBorders>
          </w:tcPr>
          <w:p w:rsidR="005A431E" w:rsidRPr="00531598" w:rsidRDefault="005A431E" w:rsidP="00531598">
            <w:pPr>
              <w:pStyle w:val="TableParagraph"/>
              <w:jc w:val="center"/>
              <w:rPr>
                <w:rFonts w:ascii="Times New Roman" w:hAnsi="Times New Roman"/>
                <w:noProof/>
                <w:sz w:val="18"/>
                <w:szCs w:val="18"/>
              </w:rPr>
            </w:pPr>
            <w:r w:rsidRPr="00531598">
              <w:rPr>
                <w:rFonts w:ascii="Times New Roman" w:hAnsi="Times New Roman"/>
                <w:i/>
                <w:iCs/>
                <w:sz w:val="18"/>
                <w:szCs w:val="18"/>
              </w:rPr>
              <w:t>QUA</w:t>
            </w:r>
            <w:r w:rsidRPr="00531598">
              <w:rPr>
                <w:rFonts w:ascii="Times New Roman" w:hAnsi="Times New Roman"/>
                <w:sz w:val="18"/>
                <w:szCs w:val="18"/>
              </w:rPr>
              <w:t xml:space="preserve"> 18/05 - 07/08</w:t>
            </w:r>
          </w:p>
        </w:tc>
        <w:tc>
          <w:tcPr>
            <w:tcW w:w="767" w:type="pct"/>
            <w:tcBorders>
              <w:bottom w:val="single" w:sz="4" w:space="0" w:color="auto"/>
            </w:tcBorders>
          </w:tcPr>
          <w:p w:rsidR="005A431E" w:rsidRPr="00531598" w:rsidRDefault="005A431E"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5A431E" w:rsidRPr="00531598" w:rsidRDefault="005A431E" w:rsidP="00531598">
            <w:pPr>
              <w:jc w:val="center"/>
              <w:rPr>
                <w:rFonts w:ascii="Times New Roman" w:hAnsi="Times New Roman"/>
                <w:noProof/>
                <w:sz w:val="18"/>
                <w:szCs w:val="18"/>
              </w:rPr>
            </w:pPr>
          </w:p>
        </w:tc>
        <w:tc>
          <w:tcPr>
            <w:tcW w:w="703" w:type="pct"/>
          </w:tcPr>
          <w:p w:rsidR="005A431E" w:rsidRPr="00531598" w:rsidRDefault="005A431E" w:rsidP="00531598">
            <w:pPr>
              <w:pStyle w:val="TableParagraph"/>
              <w:jc w:val="center"/>
              <w:rPr>
                <w:rFonts w:ascii="Times New Roman" w:hAnsi="Times New Roman"/>
                <w:noProof/>
                <w:sz w:val="18"/>
                <w:szCs w:val="18"/>
              </w:rPr>
            </w:pPr>
            <w:r w:rsidRPr="00531598">
              <w:rPr>
                <w:rFonts w:ascii="Times New Roman" w:hAnsi="Times New Roman"/>
                <w:sz w:val="18"/>
                <w:szCs w:val="18"/>
              </w:rPr>
              <w:t>dārzeņi</w:t>
            </w:r>
          </w:p>
        </w:tc>
      </w:tr>
      <w:tr w:rsidR="005A431E" w:rsidRPr="00531598" w:rsidTr="005A431E">
        <w:tc>
          <w:tcPr>
            <w:tcW w:w="58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Molekulārās metodes</w:t>
            </w:r>
          </w:p>
        </w:tc>
        <w:tc>
          <w:tcPr>
            <w:tcW w:w="859" w:type="pct"/>
          </w:tcPr>
          <w:p w:rsidR="005A431E" w:rsidRPr="00531598" w:rsidRDefault="005A431E" w:rsidP="00531598">
            <w:pPr>
              <w:pStyle w:val="TableParagraph"/>
              <w:jc w:val="center"/>
              <w:rPr>
                <w:rFonts w:ascii="Times New Roman" w:eastAsia="Tahoma" w:hAnsi="Times New Roman" w:cs="Times New Roman"/>
                <w:noProof/>
                <w:sz w:val="18"/>
                <w:szCs w:val="18"/>
              </w:rPr>
            </w:pPr>
            <w:r w:rsidRPr="00531598">
              <w:rPr>
                <w:rFonts w:ascii="Times New Roman" w:hAnsi="Times New Roman"/>
                <w:sz w:val="18"/>
                <w:szCs w:val="18"/>
              </w:rPr>
              <w:t xml:space="preserve">Testēšanas komplekts </w:t>
            </w:r>
            <w:r w:rsidRPr="00531598">
              <w:rPr>
                <w:rFonts w:ascii="Times New Roman" w:hAnsi="Times New Roman"/>
                <w:i/>
                <w:iCs/>
                <w:sz w:val="18"/>
                <w:szCs w:val="18"/>
              </w:rPr>
              <w:t>Gene-Up</w:t>
            </w:r>
            <w:r w:rsidRPr="00531598">
              <w:rPr>
                <w:rFonts w:ascii="Times New Roman" w:hAnsi="Times New Roman"/>
                <w:sz w:val="18"/>
                <w:szCs w:val="18"/>
              </w:rPr>
              <w:t xml:space="preserve"> </w:t>
            </w:r>
            <w:r w:rsidRPr="00531598">
              <w:rPr>
                <w:rFonts w:ascii="Times New Roman" w:hAnsi="Times New Roman"/>
                <w:i/>
                <w:sz w:val="18"/>
                <w:szCs w:val="18"/>
              </w:rPr>
              <w:t xml:space="preserve">Listeria monocytogenes </w:t>
            </w:r>
            <w:r w:rsidRPr="00531598">
              <w:rPr>
                <w:rFonts w:ascii="Times New Roman" w:hAnsi="Times New Roman"/>
                <w:sz w:val="18"/>
                <w:szCs w:val="18"/>
              </w:rPr>
              <w:t>(</w:t>
            </w:r>
            <w:r w:rsidRPr="00531598">
              <w:rPr>
                <w:rFonts w:ascii="Times New Roman" w:hAnsi="Times New Roman"/>
                <w:i/>
                <w:sz w:val="18"/>
                <w:szCs w:val="18"/>
              </w:rPr>
              <w:t>L. monocytogenes</w:t>
            </w:r>
            <w:r w:rsidRPr="00531598">
              <w:rPr>
                <w:rFonts w:ascii="Times New Roman" w:hAnsi="Times New Roman"/>
                <w:sz w:val="18"/>
                <w:szCs w:val="18"/>
              </w:rPr>
              <w:t xml:space="preserve"> noteikšanai) (uzņēmums </w:t>
            </w:r>
            <w:r w:rsidRPr="00531598">
              <w:rPr>
                <w:rFonts w:ascii="Times New Roman" w:hAnsi="Times New Roman"/>
                <w:i/>
                <w:iCs/>
                <w:sz w:val="18"/>
                <w:szCs w:val="18"/>
              </w:rPr>
              <w:t>bioMérieux</w:t>
            </w:r>
            <w:r w:rsidRPr="00531598">
              <w:rPr>
                <w:rFonts w:ascii="Times New Roman" w:hAnsi="Times New Roman"/>
                <w:sz w:val="18"/>
                <w:szCs w:val="18"/>
              </w:rPr>
              <w:t>)</w:t>
            </w:r>
          </w:p>
        </w:tc>
        <w:tc>
          <w:tcPr>
            <w:tcW w:w="54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16140-2 (2016)</w:t>
            </w:r>
          </w:p>
        </w:tc>
        <w:tc>
          <w:tcPr>
            <w:tcW w:w="51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11290-1/A1 (2005)</w:t>
            </w:r>
          </w:p>
        </w:tc>
        <w:tc>
          <w:tcPr>
            <w:tcW w:w="52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i/>
                <w:iCs/>
                <w:sz w:val="18"/>
                <w:szCs w:val="18"/>
              </w:rPr>
              <w:t>BIO</w:t>
            </w:r>
            <w:r w:rsidRPr="00531598">
              <w:rPr>
                <w:rFonts w:ascii="Times New Roman" w:hAnsi="Times New Roman"/>
                <w:sz w:val="18"/>
                <w:szCs w:val="18"/>
              </w:rPr>
              <w:t xml:space="preserve"> 12/40 - 11/16</w:t>
            </w:r>
          </w:p>
        </w:tc>
        <w:tc>
          <w:tcPr>
            <w:tcW w:w="76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5A431E" w:rsidRPr="00531598" w:rsidRDefault="005A431E" w:rsidP="00531598">
            <w:pPr>
              <w:jc w:val="center"/>
              <w:rPr>
                <w:rFonts w:ascii="Times New Roman" w:hAnsi="Times New Roman" w:cs="Times New Roman"/>
                <w:noProof/>
                <w:sz w:val="18"/>
                <w:szCs w:val="18"/>
              </w:rPr>
            </w:pPr>
          </w:p>
        </w:tc>
        <w:tc>
          <w:tcPr>
            <w:tcW w:w="70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dārzeņu pārstrādes produkti</w:t>
            </w:r>
          </w:p>
        </w:tc>
      </w:tr>
      <w:tr w:rsidR="005A431E" w:rsidRPr="00531598" w:rsidTr="005A431E">
        <w:tc>
          <w:tcPr>
            <w:tcW w:w="58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Molekulārās metodes</w:t>
            </w:r>
          </w:p>
        </w:tc>
        <w:tc>
          <w:tcPr>
            <w:tcW w:w="859" w:type="pct"/>
          </w:tcPr>
          <w:p w:rsidR="005A431E" w:rsidRPr="00531598" w:rsidRDefault="005A431E" w:rsidP="00531598">
            <w:pPr>
              <w:pStyle w:val="TableParagraph"/>
              <w:jc w:val="center"/>
              <w:rPr>
                <w:rFonts w:ascii="Times New Roman" w:eastAsia="Tahoma" w:hAnsi="Times New Roman" w:cs="Times New Roman"/>
                <w:noProof/>
                <w:sz w:val="18"/>
                <w:szCs w:val="18"/>
              </w:rPr>
            </w:pPr>
            <w:r w:rsidRPr="00531598">
              <w:rPr>
                <w:rFonts w:ascii="Times New Roman" w:hAnsi="Times New Roman"/>
                <w:sz w:val="18"/>
                <w:szCs w:val="18"/>
              </w:rPr>
              <w:t xml:space="preserve">Metode </w:t>
            </w:r>
            <w:r w:rsidRPr="00531598">
              <w:rPr>
                <w:rFonts w:ascii="Times New Roman" w:hAnsi="Times New Roman"/>
                <w:i/>
                <w:iCs/>
                <w:sz w:val="18"/>
                <w:szCs w:val="18"/>
              </w:rPr>
              <w:t>GeneDisc</w:t>
            </w:r>
            <w:r w:rsidRPr="00531598">
              <w:rPr>
                <w:rFonts w:ascii="Times New Roman" w:hAnsi="Times New Roman"/>
                <w:sz w:val="18"/>
                <w:szCs w:val="18"/>
              </w:rPr>
              <w:t xml:space="preserve"> </w:t>
            </w:r>
            <w:r w:rsidRPr="00531598">
              <w:rPr>
                <w:rFonts w:ascii="Times New Roman" w:hAnsi="Times New Roman"/>
                <w:i/>
                <w:sz w:val="18"/>
                <w:szCs w:val="18"/>
              </w:rPr>
              <w:t xml:space="preserve">Listeria monocytogenes </w:t>
            </w:r>
            <w:r w:rsidRPr="00531598">
              <w:rPr>
                <w:rFonts w:ascii="Times New Roman" w:hAnsi="Times New Roman"/>
                <w:sz w:val="18"/>
                <w:szCs w:val="18"/>
              </w:rPr>
              <w:t>(</w:t>
            </w:r>
            <w:r w:rsidRPr="00531598">
              <w:rPr>
                <w:rFonts w:ascii="Times New Roman" w:hAnsi="Times New Roman"/>
                <w:i/>
                <w:sz w:val="18"/>
                <w:szCs w:val="18"/>
              </w:rPr>
              <w:t>L. monocytogenes</w:t>
            </w:r>
            <w:r w:rsidRPr="00531598">
              <w:rPr>
                <w:rFonts w:ascii="Times New Roman" w:hAnsi="Times New Roman"/>
                <w:sz w:val="18"/>
                <w:szCs w:val="18"/>
              </w:rPr>
              <w:t xml:space="preserve"> </w:t>
            </w:r>
            <w:r w:rsidRPr="00531598">
              <w:rPr>
                <w:rFonts w:ascii="Times New Roman" w:hAnsi="Times New Roman"/>
                <w:sz w:val="18"/>
                <w:szCs w:val="18"/>
              </w:rPr>
              <w:lastRenderedPageBreak/>
              <w:t xml:space="preserve">noteikšanai) (uzņēmums </w:t>
            </w:r>
            <w:r w:rsidRPr="00531598">
              <w:rPr>
                <w:rFonts w:ascii="Times New Roman" w:hAnsi="Times New Roman"/>
                <w:i/>
                <w:iCs/>
                <w:sz w:val="18"/>
                <w:szCs w:val="18"/>
              </w:rPr>
              <w:t>Pall GeneDisc Technologies</w:t>
            </w:r>
            <w:r w:rsidRPr="00531598">
              <w:rPr>
                <w:rFonts w:ascii="Times New Roman" w:hAnsi="Times New Roman"/>
                <w:sz w:val="18"/>
                <w:szCs w:val="18"/>
              </w:rPr>
              <w:t>)</w:t>
            </w:r>
          </w:p>
        </w:tc>
        <w:tc>
          <w:tcPr>
            <w:tcW w:w="54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lastRenderedPageBreak/>
              <w:t>EN ISO 16140-2 (2003)</w:t>
            </w:r>
          </w:p>
        </w:tc>
        <w:tc>
          <w:tcPr>
            <w:tcW w:w="51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11290-1/A1 (2005)</w:t>
            </w:r>
          </w:p>
        </w:tc>
        <w:tc>
          <w:tcPr>
            <w:tcW w:w="52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i/>
                <w:iCs/>
                <w:sz w:val="18"/>
                <w:szCs w:val="18"/>
              </w:rPr>
              <w:t>GEN</w:t>
            </w:r>
            <w:r w:rsidRPr="00531598">
              <w:rPr>
                <w:rFonts w:ascii="Times New Roman" w:hAnsi="Times New Roman"/>
                <w:sz w:val="18"/>
                <w:szCs w:val="18"/>
              </w:rPr>
              <w:t xml:space="preserve"> 25/08 - 07/10</w:t>
            </w:r>
          </w:p>
        </w:tc>
        <w:tc>
          <w:tcPr>
            <w:tcW w:w="76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 xml:space="preserve">Visu cilvēkiem domāto pārtikas produktu un ražošanas vides </w:t>
            </w:r>
            <w:r w:rsidRPr="00531598">
              <w:rPr>
                <w:rFonts w:ascii="Times New Roman" w:hAnsi="Times New Roman"/>
                <w:sz w:val="18"/>
                <w:szCs w:val="18"/>
              </w:rPr>
              <w:lastRenderedPageBreak/>
              <w:t>paraugi</w:t>
            </w:r>
          </w:p>
        </w:tc>
        <w:tc>
          <w:tcPr>
            <w:tcW w:w="506" w:type="pct"/>
          </w:tcPr>
          <w:p w:rsidR="005A431E" w:rsidRPr="00531598" w:rsidRDefault="005A431E" w:rsidP="00531598">
            <w:pPr>
              <w:jc w:val="center"/>
              <w:rPr>
                <w:rFonts w:ascii="Times New Roman" w:hAnsi="Times New Roman" w:cs="Times New Roman"/>
                <w:noProof/>
                <w:sz w:val="18"/>
                <w:szCs w:val="18"/>
              </w:rPr>
            </w:pPr>
          </w:p>
        </w:tc>
        <w:tc>
          <w:tcPr>
            <w:tcW w:w="70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dārzeņi</w:t>
            </w:r>
          </w:p>
        </w:tc>
      </w:tr>
      <w:tr w:rsidR="005A431E" w:rsidRPr="00531598" w:rsidTr="005A431E">
        <w:tc>
          <w:tcPr>
            <w:tcW w:w="58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Molekulārās metodes</w:t>
            </w:r>
          </w:p>
        </w:tc>
        <w:tc>
          <w:tcPr>
            <w:tcW w:w="859" w:type="pct"/>
          </w:tcPr>
          <w:p w:rsidR="005A431E" w:rsidRPr="00531598" w:rsidRDefault="005A431E" w:rsidP="00531598">
            <w:pPr>
              <w:pStyle w:val="TableParagraph"/>
              <w:jc w:val="center"/>
              <w:rPr>
                <w:rFonts w:ascii="Times New Roman" w:eastAsia="Tahoma" w:hAnsi="Times New Roman" w:cs="Times New Roman"/>
                <w:noProof/>
                <w:sz w:val="18"/>
                <w:szCs w:val="18"/>
              </w:rPr>
            </w:pPr>
            <w:r w:rsidRPr="00531598">
              <w:rPr>
                <w:rFonts w:ascii="Times New Roman" w:hAnsi="Times New Roman"/>
                <w:sz w:val="18"/>
                <w:szCs w:val="18"/>
              </w:rPr>
              <w:t xml:space="preserve">PĶR noteikšanas komplekts </w:t>
            </w:r>
            <w:r w:rsidRPr="00531598">
              <w:rPr>
                <w:rFonts w:ascii="Times New Roman" w:hAnsi="Times New Roman"/>
                <w:i/>
                <w:iCs/>
                <w:sz w:val="18"/>
                <w:szCs w:val="18"/>
              </w:rPr>
              <w:t xml:space="preserve">iQ-Check </w:t>
            </w:r>
            <w:r w:rsidRPr="00531598">
              <w:rPr>
                <w:rFonts w:ascii="Times New Roman" w:hAnsi="Times New Roman"/>
                <w:i/>
                <w:sz w:val="18"/>
                <w:szCs w:val="18"/>
              </w:rPr>
              <w:t>Listeria monocytogenes</w:t>
            </w:r>
            <w:r w:rsidRPr="00531598">
              <w:rPr>
                <w:rFonts w:ascii="Times New Roman" w:hAnsi="Times New Roman"/>
                <w:i/>
                <w:iCs/>
                <w:sz w:val="18"/>
                <w:szCs w:val="18"/>
              </w:rPr>
              <w:t>II</w:t>
            </w:r>
            <w:r w:rsidRPr="00531598">
              <w:rPr>
                <w:rFonts w:ascii="Times New Roman" w:hAnsi="Times New Roman"/>
                <w:sz w:val="18"/>
                <w:szCs w:val="18"/>
              </w:rPr>
              <w:t xml:space="preserve"> (</w:t>
            </w:r>
            <w:r w:rsidRPr="00531598">
              <w:rPr>
                <w:rFonts w:ascii="Times New Roman" w:hAnsi="Times New Roman"/>
                <w:i/>
                <w:sz w:val="18"/>
                <w:szCs w:val="18"/>
              </w:rPr>
              <w:t>L. monocytogenes</w:t>
            </w:r>
            <w:r w:rsidRPr="00531598">
              <w:rPr>
                <w:rFonts w:ascii="Times New Roman" w:hAnsi="Times New Roman"/>
                <w:sz w:val="18"/>
                <w:szCs w:val="18"/>
              </w:rPr>
              <w:t xml:space="preserve"> noteikšanai) (uzņēmums </w:t>
            </w:r>
            <w:r w:rsidRPr="00531598">
              <w:rPr>
                <w:rFonts w:ascii="Times New Roman" w:hAnsi="Times New Roman"/>
                <w:i/>
                <w:iCs/>
                <w:sz w:val="18"/>
                <w:szCs w:val="18"/>
              </w:rPr>
              <w:t>Bio-Rad</w:t>
            </w:r>
            <w:r w:rsidRPr="00531598">
              <w:rPr>
                <w:rFonts w:ascii="Times New Roman" w:hAnsi="Times New Roman"/>
                <w:sz w:val="18"/>
                <w:szCs w:val="18"/>
              </w:rPr>
              <w:t>)</w:t>
            </w:r>
          </w:p>
        </w:tc>
        <w:tc>
          <w:tcPr>
            <w:tcW w:w="54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16140-2 (2016)</w:t>
            </w:r>
          </w:p>
        </w:tc>
        <w:tc>
          <w:tcPr>
            <w:tcW w:w="51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11290-2 (2017)</w:t>
            </w:r>
          </w:p>
        </w:tc>
        <w:tc>
          <w:tcPr>
            <w:tcW w:w="52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i/>
                <w:iCs/>
                <w:sz w:val="18"/>
                <w:szCs w:val="18"/>
              </w:rPr>
              <w:t>BRD</w:t>
            </w:r>
            <w:r w:rsidRPr="00531598">
              <w:rPr>
                <w:rFonts w:ascii="Times New Roman" w:hAnsi="Times New Roman"/>
                <w:sz w:val="18"/>
                <w:szCs w:val="18"/>
              </w:rPr>
              <w:t xml:space="preserve"> 07/10 - 04/05</w:t>
            </w:r>
          </w:p>
        </w:tc>
        <w:tc>
          <w:tcPr>
            <w:tcW w:w="76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5A431E" w:rsidRPr="00531598" w:rsidRDefault="005A431E" w:rsidP="00531598">
            <w:pPr>
              <w:jc w:val="center"/>
              <w:rPr>
                <w:rFonts w:ascii="Times New Roman" w:hAnsi="Times New Roman" w:cs="Times New Roman"/>
                <w:noProof/>
                <w:sz w:val="18"/>
                <w:szCs w:val="18"/>
              </w:rPr>
            </w:pPr>
          </w:p>
        </w:tc>
        <w:tc>
          <w:tcPr>
            <w:tcW w:w="70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dārzeņu pārstrādes produkti</w:t>
            </w:r>
          </w:p>
        </w:tc>
      </w:tr>
      <w:tr w:rsidR="005A431E" w:rsidRPr="00531598" w:rsidTr="005A431E">
        <w:tc>
          <w:tcPr>
            <w:tcW w:w="58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Molekulārās metodes</w:t>
            </w:r>
          </w:p>
        </w:tc>
        <w:tc>
          <w:tcPr>
            <w:tcW w:w="859" w:type="pct"/>
          </w:tcPr>
          <w:p w:rsidR="005A431E" w:rsidRPr="00531598" w:rsidRDefault="005A431E" w:rsidP="00531598">
            <w:pPr>
              <w:pStyle w:val="TableParagraph"/>
              <w:jc w:val="center"/>
              <w:rPr>
                <w:rFonts w:ascii="Times New Roman" w:eastAsia="Tahoma" w:hAnsi="Times New Roman" w:cs="Times New Roman"/>
                <w:noProof/>
                <w:sz w:val="18"/>
                <w:szCs w:val="18"/>
              </w:rPr>
            </w:pPr>
            <w:r w:rsidRPr="00531598">
              <w:rPr>
                <w:rFonts w:ascii="Times New Roman" w:hAnsi="Times New Roman"/>
                <w:sz w:val="18"/>
                <w:szCs w:val="18"/>
              </w:rPr>
              <w:t xml:space="preserve">Testēšanas komplekts </w:t>
            </w:r>
            <w:r w:rsidRPr="00531598">
              <w:rPr>
                <w:rFonts w:ascii="Times New Roman" w:hAnsi="Times New Roman"/>
                <w:i/>
                <w:iCs/>
                <w:sz w:val="18"/>
                <w:szCs w:val="18"/>
              </w:rPr>
              <w:t xml:space="preserve">LUMIPROBE 24 </w:t>
            </w:r>
            <w:r w:rsidRPr="00531598">
              <w:rPr>
                <w:rFonts w:ascii="Times New Roman" w:hAnsi="Times New Roman"/>
                <w:i/>
                <w:sz w:val="18"/>
                <w:szCs w:val="18"/>
              </w:rPr>
              <w:t xml:space="preserve">Listeria monocytogenes </w:t>
            </w:r>
            <w:r w:rsidRPr="00531598">
              <w:rPr>
                <w:rFonts w:ascii="Times New Roman" w:hAnsi="Times New Roman"/>
                <w:sz w:val="18"/>
                <w:szCs w:val="18"/>
              </w:rPr>
              <w:t>(</w:t>
            </w:r>
            <w:r w:rsidRPr="00531598">
              <w:rPr>
                <w:rFonts w:ascii="Times New Roman" w:hAnsi="Times New Roman"/>
                <w:i/>
                <w:sz w:val="18"/>
                <w:szCs w:val="18"/>
              </w:rPr>
              <w:t>L. monocytogenes</w:t>
            </w:r>
            <w:r w:rsidRPr="00531598">
              <w:rPr>
                <w:rFonts w:ascii="Times New Roman" w:hAnsi="Times New Roman"/>
                <w:sz w:val="18"/>
                <w:szCs w:val="18"/>
              </w:rPr>
              <w:t xml:space="preserve"> noteikšanai) (uzņēmums </w:t>
            </w:r>
            <w:r w:rsidRPr="00531598">
              <w:rPr>
                <w:rFonts w:ascii="Times New Roman" w:hAnsi="Times New Roman"/>
                <w:i/>
                <w:iCs/>
                <w:sz w:val="18"/>
                <w:szCs w:val="18"/>
              </w:rPr>
              <w:t>EUROPROBE</w:t>
            </w:r>
            <w:r w:rsidRPr="00531598">
              <w:rPr>
                <w:rFonts w:ascii="Times New Roman" w:hAnsi="Times New Roman"/>
                <w:sz w:val="18"/>
                <w:szCs w:val="18"/>
              </w:rPr>
              <w:t>)</w:t>
            </w:r>
          </w:p>
        </w:tc>
        <w:tc>
          <w:tcPr>
            <w:tcW w:w="54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16140-2 (2016)</w:t>
            </w:r>
          </w:p>
        </w:tc>
        <w:tc>
          <w:tcPr>
            <w:tcW w:w="51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11290-2 (2017)</w:t>
            </w:r>
          </w:p>
        </w:tc>
        <w:tc>
          <w:tcPr>
            <w:tcW w:w="52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i/>
                <w:iCs/>
                <w:sz w:val="18"/>
                <w:szCs w:val="18"/>
              </w:rPr>
              <w:t>EUR</w:t>
            </w:r>
            <w:r w:rsidRPr="00531598">
              <w:rPr>
                <w:rFonts w:ascii="Times New Roman" w:hAnsi="Times New Roman"/>
                <w:sz w:val="18"/>
                <w:szCs w:val="18"/>
              </w:rPr>
              <w:t xml:space="preserve"> 15/03 - 12/05</w:t>
            </w:r>
          </w:p>
        </w:tc>
        <w:tc>
          <w:tcPr>
            <w:tcW w:w="76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5A431E" w:rsidRPr="00531598" w:rsidRDefault="005A431E" w:rsidP="00531598">
            <w:pPr>
              <w:jc w:val="center"/>
              <w:rPr>
                <w:rFonts w:ascii="Times New Roman" w:hAnsi="Times New Roman" w:cs="Times New Roman"/>
                <w:noProof/>
                <w:sz w:val="18"/>
                <w:szCs w:val="18"/>
              </w:rPr>
            </w:pPr>
          </w:p>
        </w:tc>
        <w:tc>
          <w:tcPr>
            <w:tcW w:w="70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dārzeņu pārstrādes produkti</w:t>
            </w:r>
          </w:p>
        </w:tc>
      </w:tr>
      <w:tr w:rsidR="005A431E" w:rsidRPr="00531598" w:rsidTr="005A431E">
        <w:tc>
          <w:tcPr>
            <w:tcW w:w="58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Molekulārās metodes</w:t>
            </w:r>
          </w:p>
        </w:tc>
        <w:tc>
          <w:tcPr>
            <w:tcW w:w="859" w:type="pct"/>
          </w:tcPr>
          <w:p w:rsidR="005A431E" w:rsidRPr="00531598" w:rsidRDefault="005A431E" w:rsidP="00531598">
            <w:pPr>
              <w:pStyle w:val="TableParagraph"/>
              <w:jc w:val="center"/>
              <w:rPr>
                <w:rFonts w:ascii="Times New Roman" w:eastAsia="Tahoma" w:hAnsi="Times New Roman" w:cs="Times New Roman"/>
                <w:noProof/>
                <w:sz w:val="18"/>
                <w:szCs w:val="18"/>
              </w:rPr>
            </w:pPr>
            <w:r w:rsidRPr="00531598">
              <w:rPr>
                <w:rFonts w:ascii="Times New Roman" w:hAnsi="Times New Roman"/>
                <w:sz w:val="18"/>
                <w:szCs w:val="18"/>
              </w:rPr>
              <w:t xml:space="preserve">Klātbūtnes noteikšanas komplekts </w:t>
            </w:r>
            <w:r w:rsidRPr="00531598">
              <w:rPr>
                <w:rFonts w:ascii="Times New Roman" w:hAnsi="Times New Roman"/>
                <w:i/>
                <w:iCs/>
                <w:sz w:val="18"/>
                <w:szCs w:val="18"/>
              </w:rPr>
              <w:t>MicroSEQ</w:t>
            </w:r>
            <w:r w:rsidRPr="00531598">
              <w:rPr>
                <w:rFonts w:ascii="Times New Roman" w:hAnsi="Times New Roman"/>
                <w:sz w:val="18"/>
                <w:szCs w:val="18"/>
              </w:rPr>
              <w:t xml:space="preserve"> </w:t>
            </w:r>
            <w:r w:rsidRPr="00531598">
              <w:rPr>
                <w:rFonts w:ascii="Times New Roman" w:hAnsi="Times New Roman"/>
                <w:i/>
                <w:sz w:val="18"/>
                <w:szCs w:val="18"/>
              </w:rPr>
              <w:t xml:space="preserve">Listeria monocytogenes </w:t>
            </w:r>
            <w:r w:rsidRPr="00531598">
              <w:rPr>
                <w:rFonts w:ascii="Times New Roman" w:hAnsi="Times New Roman"/>
                <w:sz w:val="18"/>
                <w:szCs w:val="18"/>
              </w:rPr>
              <w:t>(</w:t>
            </w:r>
            <w:r w:rsidRPr="00531598">
              <w:rPr>
                <w:rFonts w:ascii="Times New Roman" w:hAnsi="Times New Roman"/>
                <w:i/>
                <w:sz w:val="18"/>
                <w:szCs w:val="18"/>
              </w:rPr>
              <w:t>L. monocytogenes</w:t>
            </w:r>
            <w:r w:rsidRPr="00531598">
              <w:rPr>
                <w:rFonts w:ascii="Times New Roman" w:hAnsi="Times New Roman"/>
                <w:sz w:val="18"/>
                <w:szCs w:val="18"/>
              </w:rPr>
              <w:t xml:space="preserve"> noteikšanai) (uzņēmums </w:t>
            </w:r>
            <w:r w:rsidRPr="00531598">
              <w:rPr>
                <w:rFonts w:ascii="Times New Roman" w:hAnsi="Times New Roman"/>
                <w:i/>
                <w:iCs/>
                <w:sz w:val="18"/>
                <w:szCs w:val="18"/>
              </w:rPr>
              <w:t>Life Technologies</w:t>
            </w:r>
            <w:r w:rsidRPr="00531598">
              <w:rPr>
                <w:rFonts w:ascii="Times New Roman" w:hAnsi="Times New Roman"/>
                <w:sz w:val="18"/>
                <w:szCs w:val="18"/>
              </w:rPr>
              <w:t>)</w:t>
            </w:r>
          </w:p>
        </w:tc>
        <w:tc>
          <w:tcPr>
            <w:tcW w:w="54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16140-2 (2003)</w:t>
            </w:r>
          </w:p>
        </w:tc>
        <w:tc>
          <w:tcPr>
            <w:tcW w:w="51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11290-1/A1 (2005)</w:t>
            </w:r>
          </w:p>
        </w:tc>
        <w:tc>
          <w:tcPr>
            <w:tcW w:w="52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i/>
                <w:iCs/>
                <w:sz w:val="18"/>
                <w:szCs w:val="18"/>
              </w:rPr>
              <w:t>ABI</w:t>
            </w:r>
            <w:r w:rsidRPr="00531598">
              <w:rPr>
                <w:rFonts w:ascii="Times New Roman" w:hAnsi="Times New Roman"/>
                <w:sz w:val="18"/>
                <w:szCs w:val="18"/>
              </w:rPr>
              <w:t xml:space="preserve"> 29/05 - 12/11</w:t>
            </w:r>
          </w:p>
        </w:tc>
        <w:tc>
          <w:tcPr>
            <w:tcW w:w="76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5A431E" w:rsidRPr="00531598" w:rsidRDefault="005A431E" w:rsidP="00531598">
            <w:pPr>
              <w:jc w:val="center"/>
              <w:rPr>
                <w:rFonts w:ascii="Times New Roman" w:hAnsi="Times New Roman" w:cs="Times New Roman"/>
                <w:noProof/>
                <w:sz w:val="18"/>
                <w:szCs w:val="18"/>
              </w:rPr>
            </w:pPr>
          </w:p>
        </w:tc>
        <w:tc>
          <w:tcPr>
            <w:tcW w:w="70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dārzeņi</w:t>
            </w:r>
          </w:p>
        </w:tc>
      </w:tr>
      <w:tr w:rsidR="005A431E" w:rsidRPr="00531598" w:rsidTr="005A431E">
        <w:tc>
          <w:tcPr>
            <w:tcW w:w="58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Molekulārās metodes</w:t>
            </w:r>
          </w:p>
        </w:tc>
        <w:tc>
          <w:tcPr>
            <w:tcW w:w="859"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 xml:space="preserve">PĶR pārbaudes metode </w:t>
            </w:r>
            <w:r w:rsidRPr="00531598">
              <w:rPr>
                <w:rFonts w:ascii="Times New Roman" w:hAnsi="Times New Roman"/>
                <w:i/>
                <w:iCs/>
                <w:sz w:val="18"/>
                <w:szCs w:val="18"/>
              </w:rPr>
              <w:t>ThermoScientific SureTect</w:t>
            </w:r>
            <w:r w:rsidRPr="00531598">
              <w:rPr>
                <w:rFonts w:ascii="Times New Roman" w:hAnsi="Times New Roman"/>
                <w:sz w:val="18"/>
                <w:szCs w:val="18"/>
              </w:rPr>
              <w:t xml:space="preserve"> </w:t>
            </w:r>
            <w:r w:rsidRPr="00531598">
              <w:rPr>
                <w:rFonts w:ascii="Times New Roman" w:hAnsi="Times New Roman"/>
                <w:i/>
                <w:sz w:val="18"/>
                <w:szCs w:val="18"/>
              </w:rPr>
              <w:t>Listeria monocytogenes</w:t>
            </w:r>
            <w:r w:rsidRPr="00531598">
              <w:rPr>
                <w:rFonts w:ascii="Times New Roman" w:hAnsi="Times New Roman"/>
                <w:sz w:val="18"/>
                <w:szCs w:val="18"/>
              </w:rPr>
              <w:t xml:space="preserve"> (</w:t>
            </w:r>
            <w:r w:rsidRPr="00531598">
              <w:rPr>
                <w:rFonts w:ascii="Times New Roman" w:hAnsi="Times New Roman"/>
                <w:i/>
                <w:sz w:val="18"/>
                <w:szCs w:val="18"/>
              </w:rPr>
              <w:t xml:space="preserve">L. monocytogenes </w:t>
            </w:r>
            <w:r w:rsidRPr="00531598">
              <w:rPr>
                <w:rFonts w:ascii="Times New Roman" w:hAnsi="Times New Roman"/>
                <w:sz w:val="18"/>
                <w:szCs w:val="18"/>
              </w:rPr>
              <w:t xml:space="preserve">noteikšanai) (uzņēmums </w:t>
            </w:r>
            <w:r w:rsidRPr="00531598">
              <w:rPr>
                <w:rFonts w:ascii="Times New Roman" w:hAnsi="Times New Roman"/>
                <w:i/>
                <w:iCs/>
                <w:sz w:val="18"/>
                <w:szCs w:val="18"/>
              </w:rPr>
              <w:t>OXOID Ltd</w:t>
            </w:r>
            <w:r w:rsidRPr="00531598">
              <w:rPr>
                <w:rFonts w:ascii="Times New Roman" w:hAnsi="Times New Roman"/>
                <w:sz w:val="18"/>
                <w:szCs w:val="18"/>
              </w:rPr>
              <w:t xml:space="preserve">, uzņēmuma </w:t>
            </w:r>
            <w:r w:rsidRPr="00531598">
              <w:rPr>
                <w:rFonts w:ascii="Times New Roman" w:hAnsi="Times New Roman"/>
                <w:i/>
                <w:iCs/>
                <w:sz w:val="18"/>
                <w:szCs w:val="18"/>
              </w:rPr>
              <w:t>Thermo Fisher Scientific</w:t>
            </w:r>
            <w:r w:rsidRPr="00531598">
              <w:rPr>
                <w:rFonts w:ascii="Times New Roman" w:hAnsi="Times New Roman"/>
                <w:sz w:val="18"/>
                <w:szCs w:val="18"/>
              </w:rPr>
              <w:t xml:space="preserve"> daļa)</w:t>
            </w:r>
          </w:p>
        </w:tc>
        <w:tc>
          <w:tcPr>
            <w:tcW w:w="54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16140-2 (2016)</w:t>
            </w:r>
          </w:p>
        </w:tc>
        <w:tc>
          <w:tcPr>
            <w:tcW w:w="51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11290-1 (2017)</w:t>
            </w:r>
          </w:p>
        </w:tc>
        <w:tc>
          <w:tcPr>
            <w:tcW w:w="52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i/>
                <w:iCs/>
                <w:sz w:val="18"/>
                <w:szCs w:val="18"/>
              </w:rPr>
              <w:t>UNI</w:t>
            </w:r>
            <w:r w:rsidRPr="00531598">
              <w:rPr>
                <w:rFonts w:ascii="Times New Roman" w:hAnsi="Times New Roman"/>
                <w:sz w:val="18"/>
                <w:szCs w:val="18"/>
              </w:rPr>
              <w:t xml:space="preserve"> 03/08 - 11/13</w:t>
            </w:r>
          </w:p>
        </w:tc>
        <w:tc>
          <w:tcPr>
            <w:tcW w:w="76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Gaļas produkti, piens un piena produkti, jūras veltes un zvejniecības produkti, dārzeņi, ražošanas vides paraugi</w:t>
            </w:r>
          </w:p>
        </w:tc>
        <w:tc>
          <w:tcPr>
            <w:tcW w:w="506" w:type="pct"/>
          </w:tcPr>
          <w:p w:rsidR="005A431E" w:rsidRPr="00531598" w:rsidRDefault="005A431E" w:rsidP="00531598">
            <w:pPr>
              <w:jc w:val="center"/>
              <w:rPr>
                <w:rFonts w:ascii="Times New Roman" w:hAnsi="Times New Roman" w:cs="Times New Roman"/>
                <w:noProof/>
                <w:sz w:val="18"/>
                <w:szCs w:val="18"/>
              </w:rPr>
            </w:pPr>
          </w:p>
        </w:tc>
        <w:tc>
          <w:tcPr>
            <w:tcW w:w="70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dārzeņi</w:t>
            </w:r>
          </w:p>
        </w:tc>
      </w:tr>
      <w:tr w:rsidR="005A431E" w:rsidRPr="00531598" w:rsidTr="005A431E">
        <w:tc>
          <w:tcPr>
            <w:tcW w:w="58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Imunoloģiskie testi</w:t>
            </w:r>
          </w:p>
        </w:tc>
        <w:tc>
          <w:tcPr>
            <w:tcW w:w="859" w:type="pct"/>
          </w:tcPr>
          <w:p w:rsidR="005A431E" w:rsidRPr="00531598" w:rsidRDefault="005A431E" w:rsidP="00531598">
            <w:pPr>
              <w:pStyle w:val="TableParagraph"/>
              <w:jc w:val="center"/>
              <w:rPr>
                <w:rFonts w:ascii="Times New Roman" w:eastAsia="Tahoma" w:hAnsi="Times New Roman" w:cs="Times New Roman"/>
                <w:noProof/>
                <w:sz w:val="18"/>
                <w:szCs w:val="18"/>
              </w:rPr>
            </w:pPr>
            <w:r w:rsidRPr="00531598">
              <w:rPr>
                <w:rFonts w:ascii="Times New Roman" w:hAnsi="Times New Roman"/>
                <w:sz w:val="18"/>
                <w:szCs w:val="18"/>
              </w:rPr>
              <w:t xml:space="preserve">Testēšanas komplekts </w:t>
            </w:r>
            <w:r w:rsidRPr="00531598">
              <w:rPr>
                <w:rFonts w:ascii="Times New Roman" w:hAnsi="Times New Roman"/>
                <w:i/>
                <w:iCs/>
                <w:sz w:val="18"/>
                <w:szCs w:val="18"/>
              </w:rPr>
              <w:t xml:space="preserve">TRANSIA Plate </w:t>
            </w:r>
            <w:r w:rsidRPr="00531598">
              <w:rPr>
                <w:rFonts w:ascii="Times New Roman" w:hAnsi="Times New Roman"/>
                <w:i/>
                <w:sz w:val="18"/>
                <w:szCs w:val="18"/>
              </w:rPr>
              <w:t xml:space="preserve">Listeria monocytogenes </w:t>
            </w:r>
            <w:r w:rsidRPr="00531598">
              <w:rPr>
                <w:rFonts w:ascii="Times New Roman" w:hAnsi="Times New Roman"/>
                <w:sz w:val="18"/>
                <w:szCs w:val="18"/>
              </w:rPr>
              <w:t>(</w:t>
            </w:r>
            <w:r w:rsidRPr="00531598">
              <w:rPr>
                <w:rFonts w:ascii="Times New Roman" w:hAnsi="Times New Roman"/>
                <w:i/>
                <w:sz w:val="18"/>
                <w:szCs w:val="18"/>
              </w:rPr>
              <w:t>L. monocytogenes</w:t>
            </w:r>
            <w:r w:rsidRPr="00531598">
              <w:rPr>
                <w:rFonts w:ascii="Times New Roman" w:hAnsi="Times New Roman"/>
                <w:sz w:val="18"/>
                <w:szCs w:val="18"/>
              </w:rPr>
              <w:t xml:space="preserve"> noteikšanai) (uzņēmums </w:t>
            </w:r>
            <w:r w:rsidRPr="00531598">
              <w:rPr>
                <w:rFonts w:ascii="Times New Roman" w:hAnsi="Times New Roman"/>
                <w:i/>
                <w:iCs/>
                <w:sz w:val="18"/>
                <w:szCs w:val="18"/>
              </w:rPr>
              <w:t>BioControl</w:t>
            </w:r>
            <w:r w:rsidRPr="00531598">
              <w:rPr>
                <w:rFonts w:ascii="Times New Roman" w:hAnsi="Times New Roman"/>
                <w:sz w:val="18"/>
                <w:szCs w:val="18"/>
              </w:rPr>
              <w:t>)</w:t>
            </w:r>
          </w:p>
        </w:tc>
        <w:tc>
          <w:tcPr>
            <w:tcW w:w="54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16140-2 (2003)</w:t>
            </w:r>
          </w:p>
        </w:tc>
        <w:tc>
          <w:tcPr>
            <w:tcW w:w="51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11290-1/A1 (2005)</w:t>
            </w:r>
          </w:p>
        </w:tc>
        <w:tc>
          <w:tcPr>
            <w:tcW w:w="52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i/>
                <w:iCs/>
                <w:sz w:val="18"/>
                <w:szCs w:val="18"/>
              </w:rPr>
              <w:t>TRA</w:t>
            </w:r>
            <w:r w:rsidRPr="00531598">
              <w:rPr>
                <w:rFonts w:ascii="Times New Roman" w:hAnsi="Times New Roman"/>
                <w:sz w:val="18"/>
                <w:szCs w:val="18"/>
              </w:rPr>
              <w:t xml:space="preserve"> 02/11 - 03/08</w:t>
            </w:r>
          </w:p>
        </w:tc>
        <w:tc>
          <w:tcPr>
            <w:tcW w:w="76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5A431E" w:rsidRPr="00531598" w:rsidRDefault="005A431E" w:rsidP="00531598">
            <w:pPr>
              <w:jc w:val="center"/>
              <w:rPr>
                <w:rFonts w:ascii="Times New Roman" w:hAnsi="Times New Roman" w:cs="Times New Roman"/>
                <w:noProof/>
                <w:sz w:val="18"/>
                <w:szCs w:val="18"/>
              </w:rPr>
            </w:pPr>
          </w:p>
        </w:tc>
        <w:tc>
          <w:tcPr>
            <w:tcW w:w="70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dārzeņi</w:t>
            </w:r>
          </w:p>
        </w:tc>
      </w:tr>
      <w:tr w:rsidR="005A431E" w:rsidRPr="00531598" w:rsidTr="005A431E">
        <w:tc>
          <w:tcPr>
            <w:tcW w:w="58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Imunoloģiskie testi</w:t>
            </w:r>
          </w:p>
        </w:tc>
        <w:tc>
          <w:tcPr>
            <w:tcW w:w="859" w:type="pct"/>
          </w:tcPr>
          <w:p w:rsidR="005A431E" w:rsidRPr="00531598" w:rsidRDefault="005A431E" w:rsidP="00531598">
            <w:pPr>
              <w:pStyle w:val="TableParagraph"/>
              <w:jc w:val="center"/>
              <w:rPr>
                <w:rFonts w:ascii="Times New Roman" w:eastAsia="Tahoma" w:hAnsi="Times New Roman" w:cs="Times New Roman"/>
                <w:noProof/>
                <w:sz w:val="18"/>
                <w:szCs w:val="18"/>
              </w:rPr>
            </w:pPr>
            <w:r w:rsidRPr="00531598">
              <w:rPr>
                <w:rFonts w:ascii="Times New Roman" w:hAnsi="Times New Roman"/>
                <w:sz w:val="18"/>
                <w:szCs w:val="18"/>
              </w:rPr>
              <w:t xml:space="preserve">Metode </w:t>
            </w:r>
            <w:r w:rsidRPr="00531598">
              <w:rPr>
                <w:rFonts w:ascii="Times New Roman" w:hAnsi="Times New Roman"/>
                <w:i/>
                <w:iCs/>
                <w:sz w:val="18"/>
                <w:szCs w:val="18"/>
              </w:rPr>
              <w:t>VIDAS Listeria Duo</w:t>
            </w:r>
            <w:r w:rsidRPr="00531598">
              <w:rPr>
                <w:rFonts w:ascii="Times New Roman" w:hAnsi="Times New Roman"/>
                <w:sz w:val="18"/>
                <w:szCs w:val="18"/>
              </w:rPr>
              <w:t xml:space="preserve"> (</w:t>
            </w:r>
            <w:r w:rsidRPr="00531598">
              <w:rPr>
                <w:rFonts w:ascii="Times New Roman" w:hAnsi="Times New Roman"/>
                <w:i/>
                <w:iCs/>
                <w:sz w:val="18"/>
                <w:szCs w:val="18"/>
              </w:rPr>
              <w:t>LDUO</w:t>
            </w:r>
            <w:r w:rsidRPr="00531598">
              <w:rPr>
                <w:rFonts w:ascii="Times New Roman" w:hAnsi="Times New Roman"/>
                <w:sz w:val="18"/>
                <w:szCs w:val="18"/>
              </w:rPr>
              <w:t>) (</w:t>
            </w:r>
            <w:r w:rsidRPr="00531598">
              <w:rPr>
                <w:rFonts w:ascii="Times New Roman" w:hAnsi="Times New Roman"/>
                <w:i/>
                <w:sz w:val="18"/>
                <w:szCs w:val="18"/>
              </w:rPr>
              <w:t>Listeria spp.</w:t>
            </w:r>
            <w:r w:rsidRPr="00531598">
              <w:rPr>
                <w:rFonts w:ascii="Times New Roman" w:hAnsi="Times New Roman"/>
                <w:sz w:val="18"/>
                <w:szCs w:val="18"/>
              </w:rPr>
              <w:t xml:space="preserve"> un </w:t>
            </w:r>
            <w:r w:rsidRPr="00531598">
              <w:rPr>
                <w:rFonts w:ascii="Times New Roman" w:hAnsi="Times New Roman"/>
                <w:i/>
                <w:sz w:val="18"/>
                <w:szCs w:val="18"/>
              </w:rPr>
              <w:t>L. monocytogenes</w:t>
            </w:r>
            <w:r w:rsidRPr="00531598">
              <w:rPr>
                <w:rFonts w:ascii="Times New Roman" w:hAnsi="Times New Roman"/>
                <w:sz w:val="18"/>
                <w:szCs w:val="18"/>
              </w:rPr>
              <w:t xml:space="preserve"> noteikšanai)</w:t>
            </w:r>
          </w:p>
          <w:p w:rsidR="005A431E" w:rsidRPr="00531598" w:rsidRDefault="005A431E" w:rsidP="00531598">
            <w:pPr>
              <w:pStyle w:val="TableParagraph"/>
              <w:jc w:val="center"/>
              <w:rPr>
                <w:rFonts w:ascii="Times New Roman" w:eastAsia="Tahoma" w:hAnsi="Times New Roman" w:cs="Times New Roman"/>
                <w:noProof/>
                <w:sz w:val="18"/>
                <w:szCs w:val="18"/>
              </w:rPr>
            </w:pPr>
            <w:r w:rsidRPr="00531598">
              <w:rPr>
                <w:rFonts w:ascii="Times New Roman" w:hAnsi="Times New Roman"/>
                <w:sz w:val="18"/>
                <w:szCs w:val="18"/>
              </w:rPr>
              <w:t xml:space="preserve">(uzņēmums </w:t>
            </w:r>
            <w:r w:rsidRPr="00531598">
              <w:rPr>
                <w:rFonts w:ascii="Times New Roman" w:hAnsi="Times New Roman"/>
                <w:i/>
                <w:iCs/>
                <w:sz w:val="18"/>
                <w:szCs w:val="18"/>
              </w:rPr>
              <w:t>bioMérieux</w:t>
            </w:r>
            <w:r w:rsidRPr="00531598">
              <w:rPr>
                <w:rFonts w:ascii="Times New Roman" w:hAnsi="Times New Roman"/>
                <w:sz w:val="18"/>
                <w:szCs w:val="18"/>
              </w:rPr>
              <w:t>)</w:t>
            </w:r>
          </w:p>
        </w:tc>
        <w:tc>
          <w:tcPr>
            <w:tcW w:w="54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16140-2 (2016)</w:t>
            </w:r>
          </w:p>
        </w:tc>
        <w:tc>
          <w:tcPr>
            <w:tcW w:w="51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11290-1 (2017)</w:t>
            </w:r>
          </w:p>
        </w:tc>
        <w:tc>
          <w:tcPr>
            <w:tcW w:w="52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i/>
                <w:iCs/>
                <w:sz w:val="18"/>
                <w:szCs w:val="18"/>
              </w:rPr>
              <w:t>BIO</w:t>
            </w:r>
            <w:r w:rsidRPr="00531598">
              <w:rPr>
                <w:rFonts w:ascii="Times New Roman" w:hAnsi="Times New Roman"/>
                <w:sz w:val="18"/>
                <w:szCs w:val="18"/>
              </w:rPr>
              <w:t xml:space="preserve"> 12/18 - 03/06</w:t>
            </w:r>
          </w:p>
        </w:tc>
        <w:tc>
          <w:tcPr>
            <w:tcW w:w="76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5A431E" w:rsidRPr="00531598" w:rsidRDefault="005A431E" w:rsidP="00531598">
            <w:pPr>
              <w:jc w:val="center"/>
              <w:rPr>
                <w:rFonts w:ascii="Times New Roman" w:hAnsi="Times New Roman" w:cs="Times New Roman"/>
                <w:noProof/>
                <w:sz w:val="18"/>
                <w:szCs w:val="18"/>
              </w:rPr>
            </w:pPr>
          </w:p>
        </w:tc>
        <w:tc>
          <w:tcPr>
            <w:tcW w:w="70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dārzeņi</w:t>
            </w:r>
          </w:p>
        </w:tc>
      </w:tr>
      <w:tr w:rsidR="005A431E" w:rsidRPr="00531598" w:rsidTr="005A431E">
        <w:tc>
          <w:tcPr>
            <w:tcW w:w="58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Imunoloģiskie testi</w:t>
            </w:r>
          </w:p>
        </w:tc>
        <w:tc>
          <w:tcPr>
            <w:tcW w:w="859" w:type="pct"/>
          </w:tcPr>
          <w:p w:rsidR="005A431E" w:rsidRPr="00531598" w:rsidRDefault="005A431E" w:rsidP="00531598">
            <w:pPr>
              <w:pStyle w:val="TableParagraph"/>
              <w:jc w:val="center"/>
              <w:rPr>
                <w:rFonts w:ascii="Times New Roman" w:eastAsia="Tahoma" w:hAnsi="Times New Roman" w:cs="Times New Roman"/>
                <w:noProof/>
                <w:sz w:val="18"/>
                <w:szCs w:val="18"/>
              </w:rPr>
            </w:pPr>
            <w:r w:rsidRPr="00531598">
              <w:rPr>
                <w:rFonts w:ascii="Times New Roman" w:hAnsi="Times New Roman"/>
                <w:sz w:val="18"/>
                <w:szCs w:val="18"/>
              </w:rPr>
              <w:t xml:space="preserve">Metode </w:t>
            </w:r>
            <w:r w:rsidRPr="00531598">
              <w:rPr>
                <w:rFonts w:ascii="Times New Roman" w:hAnsi="Times New Roman"/>
                <w:i/>
                <w:iCs/>
                <w:sz w:val="18"/>
                <w:szCs w:val="18"/>
              </w:rPr>
              <w:t>VIDAS Listeria monocytogenes II</w:t>
            </w:r>
            <w:r w:rsidRPr="00531598">
              <w:rPr>
                <w:rFonts w:ascii="Times New Roman" w:hAnsi="Times New Roman"/>
                <w:sz w:val="18"/>
                <w:szCs w:val="18"/>
              </w:rPr>
              <w:t xml:space="preserve"> (</w:t>
            </w:r>
            <w:r w:rsidRPr="00531598">
              <w:rPr>
                <w:rFonts w:ascii="Times New Roman" w:hAnsi="Times New Roman"/>
                <w:i/>
                <w:iCs/>
                <w:sz w:val="18"/>
                <w:szCs w:val="18"/>
              </w:rPr>
              <w:t>LMO 02</w:t>
            </w:r>
            <w:r w:rsidRPr="00531598">
              <w:rPr>
                <w:rFonts w:ascii="Times New Roman" w:hAnsi="Times New Roman"/>
                <w:sz w:val="18"/>
                <w:szCs w:val="18"/>
              </w:rPr>
              <w:t xml:space="preserve">)-bagātināšanai 30 °C </w:t>
            </w:r>
            <w:r w:rsidRPr="00531598">
              <w:rPr>
                <w:rFonts w:ascii="Times New Roman" w:hAnsi="Times New Roman"/>
                <w:sz w:val="18"/>
                <w:szCs w:val="18"/>
              </w:rPr>
              <w:lastRenderedPageBreak/>
              <w:t>(</w:t>
            </w:r>
            <w:r w:rsidRPr="00531598">
              <w:rPr>
                <w:rFonts w:ascii="Times New Roman" w:hAnsi="Times New Roman"/>
                <w:i/>
                <w:sz w:val="18"/>
                <w:szCs w:val="18"/>
              </w:rPr>
              <w:t>L. monocytogenes</w:t>
            </w:r>
            <w:r w:rsidRPr="00531598">
              <w:rPr>
                <w:rFonts w:ascii="Times New Roman" w:hAnsi="Times New Roman"/>
                <w:sz w:val="18"/>
                <w:szCs w:val="18"/>
              </w:rPr>
              <w:t xml:space="preserve"> noteikšanai) (uzņēmums </w:t>
            </w:r>
            <w:r w:rsidRPr="00531598">
              <w:rPr>
                <w:rFonts w:ascii="Times New Roman" w:hAnsi="Times New Roman"/>
                <w:i/>
                <w:iCs/>
                <w:sz w:val="18"/>
                <w:szCs w:val="18"/>
              </w:rPr>
              <w:t>bioMérieux</w:t>
            </w:r>
            <w:r w:rsidRPr="00531598">
              <w:rPr>
                <w:rFonts w:ascii="Times New Roman" w:hAnsi="Times New Roman"/>
                <w:sz w:val="18"/>
                <w:szCs w:val="18"/>
              </w:rPr>
              <w:t>)</w:t>
            </w:r>
          </w:p>
        </w:tc>
        <w:tc>
          <w:tcPr>
            <w:tcW w:w="54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lastRenderedPageBreak/>
              <w:t>EN ISO 16140-2 (2016)</w:t>
            </w:r>
          </w:p>
        </w:tc>
        <w:tc>
          <w:tcPr>
            <w:tcW w:w="51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11290-1 (2017)</w:t>
            </w:r>
          </w:p>
        </w:tc>
        <w:tc>
          <w:tcPr>
            <w:tcW w:w="52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i/>
                <w:iCs/>
                <w:sz w:val="18"/>
                <w:szCs w:val="18"/>
              </w:rPr>
              <w:t>BIO</w:t>
            </w:r>
            <w:r w:rsidRPr="00531598">
              <w:rPr>
                <w:rFonts w:ascii="Times New Roman" w:hAnsi="Times New Roman"/>
                <w:sz w:val="18"/>
                <w:szCs w:val="18"/>
              </w:rPr>
              <w:t xml:space="preserve"> 12/09 - 07/02</w:t>
            </w:r>
          </w:p>
        </w:tc>
        <w:tc>
          <w:tcPr>
            <w:tcW w:w="76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termiski neapstrādāti produkti</w:t>
            </w:r>
          </w:p>
        </w:tc>
        <w:tc>
          <w:tcPr>
            <w:tcW w:w="70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dārzeņi</w:t>
            </w:r>
          </w:p>
        </w:tc>
      </w:tr>
      <w:tr w:rsidR="005A431E" w:rsidRPr="00531598" w:rsidTr="005A431E">
        <w:tc>
          <w:tcPr>
            <w:tcW w:w="58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Imunoloģiskie testi</w:t>
            </w:r>
          </w:p>
        </w:tc>
        <w:tc>
          <w:tcPr>
            <w:tcW w:w="859" w:type="pct"/>
          </w:tcPr>
          <w:p w:rsidR="005A431E" w:rsidRPr="00531598" w:rsidRDefault="005A431E" w:rsidP="00531598">
            <w:pPr>
              <w:pStyle w:val="TableParagraph"/>
              <w:jc w:val="center"/>
              <w:rPr>
                <w:rFonts w:ascii="Times New Roman" w:eastAsia="Tahoma" w:hAnsi="Times New Roman" w:cs="Times New Roman"/>
                <w:noProof/>
                <w:sz w:val="18"/>
                <w:szCs w:val="18"/>
              </w:rPr>
            </w:pPr>
            <w:r w:rsidRPr="00531598">
              <w:rPr>
                <w:rFonts w:ascii="Times New Roman" w:hAnsi="Times New Roman"/>
                <w:sz w:val="18"/>
                <w:szCs w:val="18"/>
              </w:rPr>
              <w:t xml:space="preserve">Metode </w:t>
            </w:r>
            <w:r w:rsidRPr="00531598">
              <w:rPr>
                <w:rFonts w:ascii="Times New Roman" w:hAnsi="Times New Roman"/>
                <w:i/>
                <w:iCs/>
                <w:sz w:val="18"/>
                <w:szCs w:val="18"/>
              </w:rPr>
              <w:t>VIDAS Listeria monocytogenes II</w:t>
            </w:r>
            <w:r w:rsidRPr="00531598">
              <w:rPr>
                <w:rFonts w:ascii="Times New Roman" w:hAnsi="Times New Roman"/>
                <w:sz w:val="18"/>
                <w:szCs w:val="18"/>
              </w:rPr>
              <w:t xml:space="preserve"> (</w:t>
            </w:r>
            <w:r w:rsidRPr="00531598">
              <w:rPr>
                <w:rFonts w:ascii="Times New Roman" w:hAnsi="Times New Roman"/>
                <w:i/>
                <w:iCs/>
                <w:sz w:val="18"/>
                <w:szCs w:val="18"/>
              </w:rPr>
              <w:t>LMO 02</w:t>
            </w:r>
            <w:r w:rsidRPr="00531598">
              <w:rPr>
                <w:rFonts w:ascii="Times New Roman" w:hAnsi="Times New Roman"/>
                <w:sz w:val="18"/>
                <w:szCs w:val="18"/>
              </w:rPr>
              <w:t>)-bagātināšanai 37 °C (</w:t>
            </w:r>
            <w:r w:rsidRPr="00531598">
              <w:rPr>
                <w:rFonts w:ascii="Times New Roman" w:hAnsi="Times New Roman"/>
                <w:i/>
                <w:iCs/>
                <w:sz w:val="18"/>
                <w:szCs w:val="18"/>
              </w:rPr>
              <w:t>L. monocytogenes</w:t>
            </w:r>
            <w:r w:rsidRPr="00531598">
              <w:rPr>
                <w:rFonts w:ascii="Times New Roman" w:hAnsi="Times New Roman"/>
                <w:sz w:val="18"/>
                <w:szCs w:val="18"/>
              </w:rPr>
              <w:t xml:space="preserve"> noteikšanai) (uzņēmums </w:t>
            </w:r>
            <w:r w:rsidRPr="00531598">
              <w:rPr>
                <w:rFonts w:ascii="Times New Roman" w:hAnsi="Times New Roman"/>
                <w:i/>
                <w:iCs/>
                <w:sz w:val="18"/>
                <w:szCs w:val="18"/>
              </w:rPr>
              <w:t>bioMérieux</w:t>
            </w:r>
            <w:r w:rsidRPr="00531598">
              <w:rPr>
                <w:rFonts w:ascii="Times New Roman" w:hAnsi="Times New Roman"/>
                <w:sz w:val="18"/>
                <w:szCs w:val="18"/>
              </w:rPr>
              <w:t>)</w:t>
            </w:r>
          </w:p>
        </w:tc>
        <w:tc>
          <w:tcPr>
            <w:tcW w:w="54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16140-2 (2016)</w:t>
            </w:r>
          </w:p>
        </w:tc>
        <w:tc>
          <w:tcPr>
            <w:tcW w:w="51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11290-1/A1 (2005)</w:t>
            </w:r>
          </w:p>
        </w:tc>
        <w:tc>
          <w:tcPr>
            <w:tcW w:w="52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i/>
                <w:iCs/>
                <w:sz w:val="18"/>
                <w:szCs w:val="18"/>
              </w:rPr>
              <w:t>BIO</w:t>
            </w:r>
            <w:r w:rsidRPr="00531598">
              <w:rPr>
                <w:rFonts w:ascii="Times New Roman" w:hAnsi="Times New Roman"/>
                <w:sz w:val="18"/>
                <w:szCs w:val="18"/>
              </w:rPr>
              <w:t xml:space="preserve"> 12/11 - 03/04</w:t>
            </w:r>
          </w:p>
        </w:tc>
        <w:tc>
          <w:tcPr>
            <w:tcW w:w="76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5A431E" w:rsidRPr="00531598" w:rsidRDefault="005A431E" w:rsidP="00531598">
            <w:pPr>
              <w:jc w:val="center"/>
              <w:rPr>
                <w:rFonts w:ascii="Times New Roman" w:hAnsi="Times New Roman" w:cs="Times New Roman"/>
                <w:noProof/>
                <w:sz w:val="18"/>
                <w:szCs w:val="18"/>
              </w:rPr>
            </w:pPr>
          </w:p>
        </w:tc>
        <w:tc>
          <w:tcPr>
            <w:tcW w:w="70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dārzeņi</w:t>
            </w:r>
          </w:p>
        </w:tc>
      </w:tr>
      <w:tr w:rsidR="005A431E" w:rsidRPr="00531598" w:rsidTr="005A431E">
        <w:tc>
          <w:tcPr>
            <w:tcW w:w="58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Imunoloģiskie testi</w:t>
            </w:r>
          </w:p>
        </w:tc>
        <w:tc>
          <w:tcPr>
            <w:tcW w:w="859" w:type="pct"/>
          </w:tcPr>
          <w:p w:rsidR="005A431E" w:rsidRPr="00531598" w:rsidRDefault="005A431E" w:rsidP="00531598">
            <w:pPr>
              <w:pStyle w:val="TableParagraph"/>
              <w:jc w:val="center"/>
              <w:rPr>
                <w:rFonts w:ascii="Times New Roman" w:eastAsia="Tahoma" w:hAnsi="Times New Roman" w:cs="Times New Roman"/>
                <w:noProof/>
                <w:sz w:val="18"/>
                <w:szCs w:val="18"/>
              </w:rPr>
            </w:pPr>
            <w:r w:rsidRPr="00531598">
              <w:rPr>
                <w:rFonts w:ascii="Times New Roman" w:hAnsi="Times New Roman"/>
                <w:sz w:val="18"/>
                <w:szCs w:val="18"/>
              </w:rPr>
              <w:t xml:space="preserve">Metode </w:t>
            </w:r>
            <w:r w:rsidRPr="00531598">
              <w:rPr>
                <w:rFonts w:ascii="Times New Roman" w:hAnsi="Times New Roman"/>
                <w:i/>
                <w:iCs/>
                <w:sz w:val="18"/>
                <w:szCs w:val="18"/>
              </w:rPr>
              <w:t>VIDAS Listeria monocytogenes Xpress</w:t>
            </w:r>
            <w:r w:rsidRPr="00531598">
              <w:rPr>
                <w:rFonts w:ascii="Times New Roman" w:hAnsi="Times New Roman"/>
                <w:sz w:val="18"/>
                <w:szCs w:val="18"/>
              </w:rPr>
              <w:t xml:space="preserve"> (</w:t>
            </w:r>
            <w:r w:rsidRPr="00531598">
              <w:rPr>
                <w:rFonts w:ascii="Times New Roman" w:hAnsi="Times New Roman"/>
                <w:i/>
                <w:iCs/>
                <w:sz w:val="18"/>
                <w:szCs w:val="18"/>
              </w:rPr>
              <w:t>LMX</w:t>
            </w:r>
            <w:r w:rsidRPr="00531598">
              <w:rPr>
                <w:rFonts w:ascii="Times New Roman" w:hAnsi="Times New Roman"/>
                <w:sz w:val="18"/>
                <w:szCs w:val="18"/>
              </w:rPr>
              <w:t>)) (</w:t>
            </w:r>
            <w:r w:rsidRPr="00531598">
              <w:rPr>
                <w:rFonts w:ascii="Times New Roman" w:hAnsi="Times New Roman"/>
                <w:i/>
                <w:sz w:val="18"/>
                <w:szCs w:val="18"/>
              </w:rPr>
              <w:t>L. monocytogenes</w:t>
            </w:r>
            <w:r w:rsidRPr="00531598">
              <w:rPr>
                <w:rFonts w:ascii="Times New Roman" w:hAnsi="Times New Roman"/>
                <w:sz w:val="18"/>
                <w:szCs w:val="18"/>
              </w:rPr>
              <w:t xml:space="preserve"> noteikšanai) (uzņēmums </w:t>
            </w:r>
            <w:r w:rsidRPr="00531598">
              <w:rPr>
                <w:rFonts w:ascii="Times New Roman" w:hAnsi="Times New Roman"/>
                <w:i/>
                <w:iCs/>
                <w:sz w:val="18"/>
                <w:szCs w:val="18"/>
              </w:rPr>
              <w:t>bioMérieux</w:t>
            </w:r>
            <w:r w:rsidRPr="00531598">
              <w:rPr>
                <w:rFonts w:ascii="Times New Roman" w:hAnsi="Times New Roman"/>
                <w:sz w:val="18"/>
                <w:szCs w:val="18"/>
              </w:rPr>
              <w:t>)</w:t>
            </w:r>
          </w:p>
        </w:tc>
        <w:tc>
          <w:tcPr>
            <w:tcW w:w="54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16140-2 (2016)</w:t>
            </w:r>
          </w:p>
        </w:tc>
        <w:tc>
          <w:tcPr>
            <w:tcW w:w="512"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EN ISO 11290-1 (2017)</w:t>
            </w:r>
          </w:p>
        </w:tc>
        <w:tc>
          <w:tcPr>
            <w:tcW w:w="52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i/>
                <w:iCs/>
                <w:sz w:val="18"/>
                <w:szCs w:val="18"/>
              </w:rPr>
              <w:t>BIO</w:t>
            </w:r>
            <w:r w:rsidRPr="00531598">
              <w:rPr>
                <w:rFonts w:ascii="Times New Roman" w:hAnsi="Times New Roman"/>
                <w:sz w:val="18"/>
                <w:szCs w:val="18"/>
              </w:rPr>
              <w:t xml:space="preserve"> 12/17 - 02/10</w:t>
            </w:r>
          </w:p>
        </w:tc>
        <w:tc>
          <w:tcPr>
            <w:tcW w:w="767"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Visu cilvēkiem domāto pārtikas produktu un ražošanas vides paraugi</w:t>
            </w:r>
          </w:p>
        </w:tc>
        <w:tc>
          <w:tcPr>
            <w:tcW w:w="506" w:type="pct"/>
          </w:tcPr>
          <w:p w:rsidR="005A431E" w:rsidRPr="00531598" w:rsidRDefault="005A431E" w:rsidP="00531598">
            <w:pPr>
              <w:jc w:val="center"/>
              <w:rPr>
                <w:rFonts w:ascii="Times New Roman" w:hAnsi="Times New Roman" w:cs="Times New Roman"/>
                <w:noProof/>
                <w:sz w:val="18"/>
                <w:szCs w:val="18"/>
              </w:rPr>
            </w:pPr>
          </w:p>
        </w:tc>
        <w:tc>
          <w:tcPr>
            <w:tcW w:w="703" w:type="pct"/>
          </w:tcPr>
          <w:p w:rsidR="005A431E" w:rsidRPr="00531598" w:rsidRDefault="005A431E" w:rsidP="00531598">
            <w:pPr>
              <w:pStyle w:val="TableParagraph"/>
              <w:jc w:val="center"/>
              <w:rPr>
                <w:rFonts w:ascii="Times New Roman" w:hAnsi="Times New Roman" w:cs="Times New Roman"/>
                <w:noProof/>
                <w:sz w:val="18"/>
                <w:szCs w:val="18"/>
              </w:rPr>
            </w:pPr>
            <w:r w:rsidRPr="00531598">
              <w:rPr>
                <w:rFonts w:ascii="Times New Roman" w:hAnsi="Times New Roman"/>
                <w:sz w:val="18"/>
                <w:szCs w:val="18"/>
              </w:rPr>
              <w:t>dārzeņi</w:t>
            </w:r>
          </w:p>
        </w:tc>
      </w:tr>
    </w:tbl>
    <w:p w:rsidR="004650EF" w:rsidRPr="001B6F3C" w:rsidRDefault="004650EF" w:rsidP="004650EF">
      <w:pPr>
        <w:jc w:val="both"/>
        <w:rPr>
          <w:rFonts w:ascii="Times New Roman" w:hAnsi="Times New Roman"/>
          <w:noProof/>
          <w:sz w:val="24"/>
        </w:rPr>
      </w:pPr>
    </w:p>
    <w:p w:rsidR="005A431E" w:rsidRDefault="005A431E">
      <w:pPr>
        <w:rPr>
          <w:rFonts w:ascii="Times New Roman" w:eastAsia="Calibri" w:hAnsi="Times New Roman" w:cs="Calibri"/>
          <w:noProof/>
          <w:sz w:val="24"/>
          <w:szCs w:val="29"/>
        </w:rPr>
      </w:pPr>
      <w:r>
        <w:br w:type="page"/>
      </w:r>
    </w:p>
    <w:p w:rsidR="00270842" w:rsidRPr="001B6F3C" w:rsidRDefault="00270842" w:rsidP="004650EF">
      <w:pPr>
        <w:jc w:val="both"/>
        <w:rPr>
          <w:rFonts w:ascii="Times New Roman" w:eastAsia="Calibri" w:hAnsi="Times New Roman" w:cs="Calibri"/>
          <w:noProof/>
          <w:sz w:val="24"/>
          <w:szCs w:val="29"/>
        </w:rPr>
      </w:pPr>
    </w:p>
    <w:p w:rsidR="00270842" w:rsidRPr="001B6F3C" w:rsidRDefault="00270842" w:rsidP="00531598">
      <w:pPr>
        <w:pStyle w:val="Heading1"/>
        <w:rPr>
          <w:rFonts w:cs="Tahoma"/>
          <w:noProof/>
        </w:rPr>
      </w:pPr>
      <w:bookmarkStart w:id="81" w:name="_Toc37931411"/>
      <w:r>
        <w:t xml:space="preserve">B pielikums. Pārskats par sertificēšanas iestādes </w:t>
      </w:r>
      <w:r>
        <w:rPr>
          <w:i/>
          <w:iCs/>
        </w:rPr>
        <w:t>Microval</w:t>
      </w:r>
      <w:r>
        <w:t xml:space="preserve"> sertificētajām alternatīvajām metodēm </w:t>
      </w:r>
      <w:r>
        <w:rPr>
          <w:i/>
        </w:rPr>
        <w:t xml:space="preserve">L. monocytogenes </w:t>
      </w:r>
      <w:r>
        <w:t>noteikšanai saldētu ADG saldētavu un apstrādes un pārkraušanas vietu vidē</w:t>
      </w:r>
      <w:bookmarkEnd w:id="81"/>
    </w:p>
    <w:p w:rsidR="00270842" w:rsidRPr="001B6F3C" w:rsidRDefault="00270842" w:rsidP="004650EF">
      <w:pPr>
        <w:jc w:val="both"/>
        <w:rPr>
          <w:rFonts w:ascii="Times New Roman" w:eastAsia="Tahoma" w:hAnsi="Times New Roman" w:cs="Tahoma"/>
          <w:b/>
          <w:bCs/>
          <w:noProof/>
          <w:sz w:val="24"/>
          <w:szCs w:val="17"/>
        </w:rPr>
      </w:pPr>
    </w:p>
    <w:tbl>
      <w:tblPr>
        <w:tblW w:w="0" w:type="auto"/>
        <w:jc w:val="center"/>
        <w:tblCellMar>
          <w:top w:w="28" w:type="dxa"/>
          <w:left w:w="28" w:type="dxa"/>
          <w:bottom w:w="28" w:type="dxa"/>
          <w:right w:w="28" w:type="dxa"/>
        </w:tblCellMar>
        <w:tblLook w:val="01E0" w:firstRow="1" w:lastRow="1" w:firstColumn="1" w:lastColumn="1" w:noHBand="0" w:noVBand="0"/>
      </w:tblPr>
      <w:tblGrid>
        <w:gridCol w:w="794"/>
        <w:gridCol w:w="1617"/>
        <w:gridCol w:w="1267"/>
        <w:gridCol w:w="1550"/>
        <w:gridCol w:w="1057"/>
        <w:gridCol w:w="1435"/>
        <w:gridCol w:w="1408"/>
      </w:tblGrid>
      <w:tr w:rsidR="00270842" w:rsidRPr="00531598" w:rsidTr="00531598">
        <w:trPr>
          <w:jc w:val="center"/>
        </w:trPr>
        <w:tc>
          <w:tcPr>
            <w:tcW w:w="435" w:type="pct"/>
            <w:tcBorders>
              <w:top w:val="single" w:sz="12" w:space="0" w:color="000000"/>
              <w:left w:val="nil"/>
              <w:bottom w:val="single" w:sz="11" w:space="0" w:color="000000"/>
              <w:right w:val="single" w:sz="4" w:space="0" w:color="D9D9D9"/>
            </w:tcBorders>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Metode</w:t>
            </w:r>
          </w:p>
        </w:tc>
        <w:tc>
          <w:tcPr>
            <w:tcW w:w="886" w:type="pct"/>
            <w:tcBorders>
              <w:top w:val="single" w:sz="12" w:space="0" w:color="000000"/>
              <w:left w:val="single" w:sz="4" w:space="0" w:color="D9D9D9"/>
              <w:bottom w:val="single" w:sz="11" w:space="0" w:color="000000"/>
              <w:right w:val="single" w:sz="5" w:space="0" w:color="D9D9D9"/>
            </w:tcBorders>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Metodes nosaukums (turētājs)</w:t>
            </w:r>
          </w:p>
        </w:tc>
        <w:tc>
          <w:tcPr>
            <w:tcW w:w="694" w:type="pct"/>
            <w:tcBorders>
              <w:top w:val="single" w:sz="12" w:space="0" w:color="000000"/>
              <w:left w:val="single" w:sz="5" w:space="0" w:color="D9D9D9"/>
              <w:bottom w:val="single" w:sz="11" w:space="0" w:color="000000"/>
              <w:right w:val="single" w:sz="5" w:space="0" w:color="D9D9D9"/>
            </w:tcBorders>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Validācijas atsauces dokuments</w:t>
            </w:r>
          </w:p>
        </w:tc>
        <w:tc>
          <w:tcPr>
            <w:tcW w:w="849" w:type="pct"/>
            <w:tcBorders>
              <w:top w:val="single" w:sz="12" w:space="0" w:color="000000"/>
              <w:left w:val="single" w:sz="5" w:space="0" w:color="D9D9D9"/>
              <w:bottom w:val="single" w:sz="11" w:space="0" w:color="000000"/>
              <w:right w:val="single" w:sz="5" w:space="0" w:color="D9D9D9"/>
            </w:tcBorders>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Atsauces metode</w:t>
            </w:r>
          </w:p>
        </w:tc>
        <w:tc>
          <w:tcPr>
            <w:tcW w:w="579" w:type="pct"/>
            <w:tcBorders>
              <w:top w:val="single" w:sz="12" w:space="0" w:color="000000"/>
              <w:left w:val="single" w:sz="5" w:space="0" w:color="D9D9D9"/>
              <w:bottom w:val="single" w:sz="11" w:space="0" w:color="000000"/>
              <w:right w:val="single" w:sz="5" w:space="0" w:color="D9D9D9"/>
            </w:tcBorders>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Sertifikāta numurs</w:t>
            </w:r>
          </w:p>
        </w:tc>
        <w:tc>
          <w:tcPr>
            <w:tcW w:w="786" w:type="pct"/>
            <w:tcBorders>
              <w:top w:val="single" w:sz="12" w:space="0" w:color="000000"/>
              <w:left w:val="single" w:sz="5" w:space="0" w:color="D9D9D9"/>
              <w:bottom w:val="single" w:sz="11" w:space="0" w:color="000000"/>
              <w:right w:val="single" w:sz="5" w:space="0" w:color="D9D9D9"/>
            </w:tcBorders>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Validācijas joma</w:t>
            </w:r>
          </w:p>
        </w:tc>
        <w:tc>
          <w:tcPr>
            <w:tcW w:w="771" w:type="pct"/>
            <w:tcBorders>
              <w:top w:val="single" w:sz="12" w:space="0" w:color="000000"/>
              <w:left w:val="single" w:sz="5" w:space="0" w:color="D9D9D9"/>
              <w:bottom w:val="single" w:sz="11" w:space="0" w:color="000000"/>
              <w:right w:val="nil"/>
            </w:tcBorders>
          </w:tcPr>
          <w:p w:rsidR="00270842" w:rsidRPr="00531598" w:rsidRDefault="00270842" w:rsidP="00531598">
            <w:pPr>
              <w:pStyle w:val="TableParagraph"/>
              <w:jc w:val="center"/>
              <w:rPr>
                <w:rFonts w:ascii="Times New Roman" w:hAnsi="Times New Roman"/>
                <w:b/>
                <w:noProof/>
                <w:sz w:val="18"/>
                <w:szCs w:val="18"/>
              </w:rPr>
            </w:pPr>
            <w:r w:rsidRPr="00531598">
              <w:rPr>
                <w:rFonts w:ascii="Times New Roman" w:hAnsi="Times New Roman"/>
                <w:b/>
                <w:sz w:val="18"/>
                <w:szCs w:val="18"/>
              </w:rPr>
              <w:t>Pārtikas kategorija</w:t>
            </w:r>
          </w:p>
        </w:tc>
      </w:tr>
      <w:tr w:rsidR="00270842" w:rsidRPr="00531598" w:rsidTr="00531598">
        <w:trPr>
          <w:jc w:val="center"/>
        </w:trPr>
        <w:tc>
          <w:tcPr>
            <w:tcW w:w="435" w:type="pct"/>
            <w:tcBorders>
              <w:top w:val="single" w:sz="11" w:space="0" w:color="000000"/>
              <w:left w:val="nil"/>
              <w:bottom w:val="single" w:sz="11" w:space="0" w:color="000000"/>
              <w:right w:val="single" w:sz="4" w:space="0" w:color="D9D9D9"/>
            </w:tcBorders>
          </w:tcPr>
          <w:p w:rsidR="00270842" w:rsidRPr="00531598" w:rsidRDefault="00270842" w:rsidP="00531598">
            <w:pPr>
              <w:pStyle w:val="TableParagraph"/>
              <w:jc w:val="center"/>
              <w:rPr>
                <w:rFonts w:ascii="Times New Roman" w:hAnsi="Times New Roman"/>
                <w:noProof/>
                <w:sz w:val="18"/>
                <w:szCs w:val="18"/>
              </w:rPr>
            </w:pPr>
            <w:r w:rsidRPr="00531598">
              <w:rPr>
                <w:rFonts w:ascii="Times New Roman" w:hAnsi="Times New Roman"/>
                <w:sz w:val="18"/>
                <w:szCs w:val="18"/>
              </w:rPr>
              <w:t>Barotne</w:t>
            </w:r>
          </w:p>
        </w:tc>
        <w:tc>
          <w:tcPr>
            <w:tcW w:w="886" w:type="pct"/>
            <w:tcBorders>
              <w:top w:val="single" w:sz="11" w:space="0" w:color="000000"/>
              <w:left w:val="single" w:sz="4" w:space="0" w:color="D9D9D9"/>
              <w:bottom w:val="single" w:sz="11" w:space="0" w:color="000000"/>
              <w:right w:val="single" w:sz="5" w:space="0" w:color="D9D9D9"/>
            </w:tcBorders>
          </w:tcPr>
          <w:p w:rsidR="00270842" w:rsidRPr="00531598" w:rsidRDefault="00270842" w:rsidP="00531598">
            <w:pPr>
              <w:pStyle w:val="TableParagraph"/>
              <w:jc w:val="center"/>
              <w:rPr>
                <w:rFonts w:ascii="Times New Roman" w:eastAsia="Tahoma" w:hAnsi="Times New Roman" w:cs="Tahoma"/>
                <w:noProof/>
                <w:sz w:val="18"/>
                <w:szCs w:val="18"/>
              </w:rPr>
            </w:pPr>
            <w:r w:rsidRPr="00531598">
              <w:rPr>
                <w:rFonts w:ascii="Times New Roman" w:hAnsi="Times New Roman"/>
                <w:sz w:val="18"/>
                <w:szCs w:val="18"/>
              </w:rPr>
              <w:t xml:space="preserve">Testēšanas komplekts </w:t>
            </w:r>
            <w:r w:rsidRPr="00531598">
              <w:rPr>
                <w:rFonts w:ascii="Times New Roman" w:hAnsi="Times New Roman"/>
                <w:i/>
                <w:iCs/>
                <w:sz w:val="18"/>
                <w:szCs w:val="18"/>
              </w:rPr>
              <w:t>ChromID Lmono Agar</w:t>
            </w:r>
            <w:r w:rsidRPr="00531598">
              <w:rPr>
                <w:rFonts w:ascii="Times New Roman" w:hAnsi="Times New Roman"/>
                <w:sz w:val="18"/>
                <w:szCs w:val="18"/>
              </w:rPr>
              <w:t xml:space="preserve"> (</w:t>
            </w:r>
            <w:r w:rsidRPr="00531598">
              <w:rPr>
                <w:rFonts w:ascii="Times New Roman" w:hAnsi="Times New Roman"/>
                <w:i/>
                <w:iCs/>
                <w:sz w:val="18"/>
                <w:szCs w:val="18"/>
              </w:rPr>
              <w:t>LMO-F</w:t>
            </w:r>
            <w:r w:rsidRPr="00531598">
              <w:rPr>
                <w:rFonts w:ascii="Times New Roman" w:hAnsi="Times New Roman"/>
                <w:sz w:val="18"/>
                <w:szCs w:val="18"/>
              </w:rPr>
              <w:t>) (</w:t>
            </w:r>
            <w:r w:rsidRPr="00531598">
              <w:rPr>
                <w:rFonts w:ascii="Times New Roman" w:hAnsi="Times New Roman"/>
                <w:i/>
                <w:sz w:val="18"/>
                <w:szCs w:val="18"/>
              </w:rPr>
              <w:t xml:space="preserve">L. monocytogenes </w:t>
            </w:r>
            <w:r w:rsidRPr="00531598">
              <w:rPr>
                <w:rFonts w:ascii="Times New Roman" w:hAnsi="Times New Roman"/>
                <w:sz w:val="18"/>
                <w:szCs w:val="18"/>
              </w:rPr>
              <w:t xml:space="preserve">uzskaitīšanai) (uzņēmums </w:t>
            </w:r>
            <w:r w:rsidRPr="00531598">
              <w:rPr>
                <w:rFonts w:ascii="Times New Roman" w:hAnsi="Times New Roman"/>
                <w:i/>
                <w:iCs/>
                <w:sz w:val="18"/>
                <w:szCs w:val="18"/>
              </w:rPr>
              <w:t>bioMérieux</w:t>
            </w:r>
            <w:r w:rsidRPr="00531598">
              <w:rPr>
                <w:rFonts w:ascii="Times New Roman" w:hAnsi="Times New Roman"/>
                <w:sz w:val="18"/>
                <w:szCs w:val="18"/>
              </w:rPr>
              <w:t>)</w:t>
            </w:r>
          </w:p>
        </w:tc>
        <w:tc>
          <w:tcPr>
            <w:tcW w:w="694" w:type="pct"/>
            <w:tcBorders>
              <w:top w:val="single" w:sz="11" w:space="0" w:color="000000"/>
              <w:left w:val="single" w:sz="5" w:space="0" w:color="D9D9D9"/>
              <w:bottom w:val="single" w:sz="11" w:space="0" w:color="000000"/>
              <w:right w:val="single" w:sz="5" w:space="0" w:color="D9D9D9"/>
            </w:tcBorders>
          </w:tcPr>
          <w:p w:rsidR="00270842" w:rsidRPr="00531598" w:rsidRDefault="00270842" w:rsidP="00531598">
            <w:pPr>
              <w:pStyle w:val="TableParagraph"/>
              <w:jc w:val="center"/>
              <w:rPr>
                <w:rFonts w:ascii="Times New Roman" w:hAnsi="Times New Roman"/>
                <w:noProof/>
                <w:sz w:val="18"/>
                <w:szCs w:val="18"/>
              </w:rPr>
            </w:pPr>
            <w:r w:rsidRPr="00531598">
              <w:rPr>
                <w:rFonts w:ascii="Times New Roman" w:hAnsi="Times New Roman"/>
                <w:sz w:val="18"/>
                <w:szCs w:val="18"/>
              </w:rPr>
              <w:t>EN ISO 16140 (2003)</w:t>
            </w:r>
          </w:p>
        </w:tc>
        <w:tc>
          <w:tcPr>
            <w:tcW w:w="849" w:type="pct"/>
            <w:tcBorders>
              <w:top w:val="single" w:sz="11" w:space="0" w:color="000000"/>
              <w:left w:val="single" w:sz="5" w:space="0" w:color="D9D9D9"/>
              <w:bottom w:val="single" w:sz="11" w:space="0" w:color="000000"/>
              <w:right w:val="single" w:sz="5" w:space="0" w:color="D9D9D9"/>
            </w:tcBorders>
          </w:tcPr>
          <w:p w:rsidR="00270842" w:rsidRPr="00531598" w:rsidRDefault="00270842" w:rsidP="00531598">
            <w:pPr>
              <w:pStyle w:val="TableParagraph"/>
              <w:jc w:val="center"/>
              <w:rPr>
                <w:rFonts w:ascii="Times New Roman" w:hAnsi="Times New Roman"/>
                <w:noProof/>
                <w:sz w:val="18"/>
                <w:szCs w:val="18"/>
              </w:rPr>
            </w:pPr>
            <w:r w:rsidRPr="00531598">
              <w:rPr>
                <w:rFonts w:ascii="Times New Roman" w:hAnsi="Times New Roman"/>
                <w:sz w:val="18"/>
                <w:szCs w:val="18"/>
              </w:rPr>
              <w:t>EN ISO 11290-1/A1 (2004)</w:t>
            </w:r>
          </w:p>
        </w:tc>
        <w:tc>
          <w:tcPr>
            <w:tcW w:w="579" w:type="pct"/>
            <w:tcBorders>
              <w:top w:val="single" w:sz="11" w:space="0" w:color="000000"/>
              <w:left w:val="single" w:sz="5" w:space="0" w:color="D9D9D9"/>
              <w:bottom w:val="single" w:sz="11" w:space="0" w:color="000000"/>
              <w:right w:val="single" w:sz="5" w:space="0" w:color="D9D9D9"/>
            </w:tcBorders>
          </w:tcPr>
          <w:p w:rsidR="00270842" w:rsidRPr="00531598" w:rsidRDefault="00270842" w:rsidP="00531598">
            <w:pPr>
              <w:pStyle w:val="TableParagraph"/>
              <w:jc w:val="center"/>
              <w:rPr>
                <w:rFonts w:ascii="Times New Roman" w:hAnsi="Times New Roman"/>
                <w:noProof/>
                <w:sz w:val="18"/>
                <w:szCs w:val="18"/>
              </w:rPr>
            </w:pPr>
            <w:r w:rsidRPr="00531598">
              <w:rPr>
                <w:rFonts w:ascii="Times New Roman" w:hAnsi="Times New Roman"/>
                <w:sz w:val="18"/>
                <w:szCs w:val="18"/>
              </w:rPr>
              <w:t>2010LR35</w:t>
            </w:r>
          </w:p>
        </w:tc>
        <w:tc>
          <w:tcPr>
            <w:tcW w:w="786" w:type="pct"/>
            <w:tcBorders>
              <w:top w:val="single" w:sz="11" w:space="0" w:color="000000"/>
              <w:left w:val="single" w:sz="5" w:space="0" w:color="D9D9D9"/>
              <w:bottom w:val="single" w:sz="11" w:space="0" w:color="000000"/>
              <w:right w:val="single" w:sz="5" w:space="0" w:color="D9D9D9"/>
            </w:tcBorders>
          </w:tcPr>
          <w:p w:rsidR="00270842" w:rsidRPr="00531598" w:rsidRDefault="00270842" w:rsidP="00531598">
            <w:pPr>
              <w:pStyle w:val="TableParagraph"/>
              <w:jc w:val="center"/>
              <w:rPr>
                <w:rFonts w:ascii="Times New Roman" w:hAnsi="Times New Roman"/>
                <w:noProof/>
                <w:sz w:val="18"/>
                <w:szCs w:val="18"/>
              </w:rPr>
            </w:pPr>
            <w:r w:rsidRPr="00531598">
              <w:rPr>
                <w:rFonts w:ascii="Times New Roman" w:hAnsi="Times New Roman"/>
                <w:sz w:val="18"/>
                <w:szCs w:val="18"/>
              </w:rPr>
              <w:t>Visu cilvēkiem domāto pārtikas produktu un ražošanas vides paraugi</w:t>
            </w:r>
          </w:p>
        </w:tc>
        <w:tc>
          <w:tcPr>
            <w:tcW w:w="771" w:type="pct"/>
            <w:tcBorders>
              <w:top w:val="single" w:sz="11" w:space="0" w:color="000000"/>
              <w:left w:val="single" w:sz="5" w:space="0" w:color="D9D9D9"/>
              <w:bottom w:val="single" w:sz="11" w:space="0" w:color="000000"/>
              <w:right w:val="nil"/>
            </w:tcBorders>
          </w:tcPr>
          <w:p w:rsidR="00270842" w:rsidRPr="00531598" w:rsidRDefault="00270842" w:rsidP="00531598">
            <w:pPr>
              <w:pStyle w:val="TableParagraph"/>
              <w:jc w:val="center"/>
              <w:rPr>
                <w:rFonts w:ascii="Times New Roman" w:hAnsi="Times New Roman"/>
                <w:noProof/>
                <w:sz w:val="18"/>
                <w:szCs w:val="18"/>
              </w:rPr>
            </w:pPr>
            <w:r w:rsidRPr="00531598">
              <w:rPr>
                <w:rFonts w:ascii="Times New Roman" w:hAnsi="Times New Roman"/>
                <w:sz w:val="18"/>
                <w:szCs w:val="18"/>
              </w:rPr>
              <w:t>Augļi un dārzeņi</w:t>
            </w:r>
          </w:p>
        </w:tc>
      </w:tr>
    </w:tbl>
    <w:p w:rsidR="00270842" w:rsidRPr="001B6F3C" w:rsidRDefault="00270842" w:rsidP="004650EF">
      <w:pPr>
        <w:jc w:val="both"/>
        <w:rPr>
          <w:rFonts w:ascii="Times New Roman" w:hAnsi="Times New Roman"/>
          <w:noProof/>
          <w:sz w:val="24"/>
        </w:rPr>
      </w:pPr>
    </w:p>
    <w:sectPr w:rsidR="00270842" w:rsidRPr="001B6F3C" w:rsidSect="004650EF">
      <w:headerReference w:type="default" r:id="rId16"/>
      <w:footerReference w:type="default" r:id="rId17"/>
      <w:headerReference w:type="first" r:id="rId18"/>
      <w:footerReference w:type="first" r:id="rId19"/>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22E2" w:rsidRPr="00270842" w:rsidRDefault="00EF22E2">
      <w:pPr>
        <w:rPr>
          <w:noProof/>
        </w:rPr>
      </w:pPr>
      <w:r w:rsidRPr="00270842">
        <w:rPr>
          <w:noProof/>
        </w:rPr>
        <w:separator/>
      </w:r>
    </w:p>
  </w:endnote>
  <w:endnote w:type="continuationSeparator" w:id="0">
    <w:p w:rsidR="00EF22E2" w:rsidRPr="00270842" w:rsidRDefault="00EF22E2">
      <w:pPr>
        <w:rPr>
          <w:noProof/>
        </w:rPr>
      </w:pPr>
      <w:r w:rsidRPr="0027084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22E2" w:rsidRPr="009148C2" w:rsidRDefault="00EF22E2" w:rsidP="009148C2">
    <w:pPr>
      <w:pStyle w:val="Header"/>
      <w:tabs>
        <w:tab w:val="left" w:pos="9072"/>
      </w:tabs>
      <w:rPr>
        <w:rStyle w:val="PageNumber"/>
        <w:rFonts w:ascii="Times New Roman" w:hAnsi="Times New Roman" w:cs="Times New Roman"/>
        <w:sz w:val="20"/>
        <w:szCs w:val="18"/>
      </w:rPr>
    </w:pPr>
  </w:p>
  <w:p w:rsidR="00EF22E2" w:rsidRPr="009148C2" w:rsidRDefault="00EF22E2" w:rsidP="009148C2">
    <w:pPr>
      <w:pStyle w:val="Header"/>
      <w:tabs>
        <w:tab w:val="clear" w:pos="4513"/>
        <w:tab w:val="clear" w:pos="9026"/>
        <w:tab w:val="right" w:leader="underscore" w:pos="9072"/>
      </w:tabs>
      <w:rPr>
        <w:rStyle w:val="PageNumber"/>
        <w:rFonts w:ascii="Times New Roman" w:hAnsi="Times New Roman" w:cs="Times New Roman"/>
        <w:sz w:val="20"/>
        <w:szCs w:val="18"/>
      </w:rPr>
    </w:pPr>
    <w:r w:rsidRPr="009148C2">
      <w:rPr>
        <w:rStyle w:val="PageNumber"/>
        <w:rFonts w:ascii="Times New Roman" w:hAnsi="Times New Roman" w:cs="Times New Roman"/>
        <w:sz w:val="20"/>
        <w:szCs w:val="18"/>
      </w:rPr>
      <w:tab/>
    </w:r>
  </w:p>
  <w:p w:rsidR="00EF22E2" w:rsidRPr="009148C2" w:rsidRDefault="00EF22E2" w:rsidP="009148C2">
    <w:pPr>
      <w:pStyle w:val="Header"/>
      <w:tabs>
        <w:tab w:val="right" w:pos="9072"/>
      </w:tabs>
      <w:rPr>
        <w:rStyle w:val="PageNumber"/>
        <w:rFonts w:ascii="Times New Roman" w:hAnsi="Times New Roman" w:cs="Times New Roman"/>
        <w:sz w:val="20"/>
        <w:szCs w:val="18"/>
      </w:rPr>
    </w:pPr>
  </w:p>
  <w:p w:rsidR="00EF22E2" w:rsidRPr="009148C2" w:rsidRDefault="00EF22E2" w:rsidP="009148C2">
    <w:pPr>
      <w:pStyle w:val="Footer"/>
      <w:tabs>
        <w:tab w:val="clear" w:pos="4513"/>
        <w:tab w:val="center" w:pos="9072"/>
      </w:tabs>
      <w:rPr>
        <w:rFonts w:ascii="Times New Roman" w:hAnsi="Times New Roman" w:cs="Times New Roman"/>
        <w:sz w:val="20"/>
        <w:szCs w:val="18"/>
      </w:rPr>
    </w:pPr>
    <w:r w:rsidRPr="009148C2">
      <w:rPr>
        <w:rFonts w:ascii="Times New Roman" w:hAnsi="Times New Roman" w:cs="Times New Roman"/>
        <w:noProof/>
        <w:sz w:val="20"/>
        <w:szCs w:val="18"/>
      </w:rPr>
      <w:t xml:space="preserve">Tulkojums </w:t>
    </w:r>
    <w:r w:rsidRPr="009148C2">
      <w:rPr>
        <w:rFonts w:ascii="Times New Roman" w:hAnsi="Times New Roman" w:cs="Times New Roman"/>
        <w:noProof/>
        <w:sz w:val="20"/>
        <w:szCs w:val="18"/>
      </w:rPr>
      <w:fldChar w:fldCharType="begin"/>
    </w:r>
    <w:r w:rsidRPr="009148C2">
      <w:rPr>
        <w:rFonts w:ascii="Times New Roman" w:hAnsi="Times New Roman" w:cs="Times New Roman"/>
        <w:noProof/>
        <w:sz w:val="20"/>
        <w:szCs w:val="18"/>
      </w:rPr>
      <w:instrText>symbol 211 \f "Symbol" \s 9</w:instrText>
    </w:r>
    <w:r w:rsidRPr="009148C2">
      <w:rPr>
        <w:rFonts w:ascii="Times New Roman" w:hAnsi="Times New Roman" w:cs="Times New Roman"/>
        <w:noProof/>
        <w:sz w:val="20"/>
        <w:szCs w:val="18"/>
      </w:rPr>
      <w:fldChar w:fldCharType="separate"/>
    </w:r>
    <w:r w:rsidRPr="009148C2">
      <w:rPr>
        <w:rFonts w:ascii="Times New Roman" w:hAnsi="Times New Roman" w:cs="Times New Roman"/>
        <w:noProof/>
        <w:sz w:val="20"/>
        <w:szCs w:val="18"/>
      </w:rPr>
      <w:t>Ó</w:t>
    </w:r>
    <w:r w:rsidRPr="009148C2">
      <w:rPr>
        <w:rFonts w:ascii="Times New Roman" w:hAnsi="Times New Roman" w:cs="Times New Roman"/>
        <w:noProof/>
        <w:sz w:val="20"/>
        <w:szCs w:val="18"/>
      </w:rPr>
      <w:fldChar w:fldCharType="end"/>
    </w:r>
    <w:r w:rsidRPr="009148C2">
      <w:rPr>
        <w:rFonts w:ascii="Times New Roman" w:hAnsi="Times New Roman" w:cs="Times New Roman"/>
        <w:noProof/>
        <w:sz w:val="20"/>
        <w:szCs w:val="18"/>
      </w:rPr>
      <w:t xml:space="preserve"> Valsts valodas centrs, 2020</w:t>
    </w:r>
    <w:r w:rsidRPr="009148C2">
      <w:rPr>
        <w:rFonts w:ascii="Times New Roman" w:hAnsi="Times New Roman" w:cs="Times New Roman"/>
        <w:sz w:val="20"/>
        <w:szCs w:val="18"/>
      </w:rPr>
      <w:tab/>
    </w:r>
    <w:r w:rsidRPr="009148C2">
      <w:rPr>
        <w:rStyle w:val="PageNumber"/>
        <w:rFonts w:ascii="Times New Roman" w:hAnsi="Times New Roman" w:cs="Times New Roman"/>
        <w:sz w:val="20"/>
        <w:szCs w:val="18"/>
      </w:rPr>
      <w:fldChar w:fldCharType="begin"/>
    </w:r>
    <w:r w:rsidRPr="009148C2">
      <w:rPr>
        <w:rStyle w:val="PageNumber"/>
        <w:rFonts w:ascii="Times New Roman" w:hAnsi="Times New Roman" w:cs="Times New Roman"/>
        <w:sz w:val="20"/>
        <w:szCs w:val="18"/>
      </w:rPr>
      <w:instrText xml:space="preserve">page </w:instrText>
    </w:r>
    <w:r w:rsidRPr="009148C2">
      <w:rPr>
        <w:rStyle w:val="PageNumber"/>
        <w:rFonts w:ascii="Times New Roman" w:hAnsi="Times New Roman" w:cs="Times New Roman"/>
        <w:sz w:val="20"/>
        <w:szCs w:val="18"/>
      </w:rPr>
      <w:fldChar w:fldCharType="separate"/>
    </w:r>
    <w:r w:rsidRPr="009148C2">
      <w:rPr>
        <w:rStyle w:val="PageNumber"/>
        <w:rFonts w:ascii="Times New Roman" w:hAnsi="Times New Roman" w:cs="Times New Roman"/>
        <w:sz w:val="20"/>
        <w:szCs w:val="18"/>
      </w:rPr>
      <w:t>2</w:t>
    </w:r>
    <w:r w:rsidRPr="009148C2">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22E2" w:rsidRPr="00D91D8D" w:rsidRDefault="00EF22E2" w:rsidP="00D91D8D">
    <w:pPr>
      <w:pStyle w:val="Header"/>
      <w:tabs>
        <w:tab w:val="left" w:pos="9072"/>
      </w:tabs>
      <w:rPr>
        <w:rStyle w:val="PageNumber"/>
        <w:rFonts w:ascii="Times New Roman" w:hAnsi="Times New Roman" w:cs="Times New Roman"/>
        <w:sz w:val="20"/>
        <w:szCs w:val="18"/>
      </w:rPr>
    </w:pPr>
    <w:bookmarkStart w:id="96" w:name="_Hlk496261764"/>
    <w:bookmarkStart w:id="97" w:name="_Hlk496261765"/>
    <w:bookmarkStart w:id="98" w:name="_Hlk496261766"/>
    <w:bookmarkStart w:id="99" w:name="_Hlk30491075"/>
    <w:bookmarkStart w:id="100" w:name="_Hlk30491076"/>
  </w:p>
  <w:p w:rsidR="00EF22E2" w:rsidRPr="00D91D8D" w:rsidRDefault="00EF22E2" w:rsidP="00D91D8D">
    <w:pPr>
      <w:pStyle w:val="Header"/>
      <w:tabs>
        <w:tab w:val="clear" w:pos="4513"/>
        <w:tab w:val="clear" w:pos="9026"/>
        <w:tab w:val="left" w:leader="underscore" w:pos="9072"/>
      </w:tabs>
      <w:rPr>
        <w:rStyle w:val="PageNumber"/>
        <w:rFonts w:ascii="Times New Roman" w:hAnsi="Times New Roman" w:cs="Times New Roman"/>
        <w:sz w:val="20"/>
        <w:szCs w:val="18"/>
      </w:rPr>
    </w:pPr>
    <w:r w:rsidRPr="00D91D8D">
      <w:rPr>
        <w:rStyle w:val="PageNumber"/>
        <w:rFonts w:ascii="Times New Roman" w:hAnsi="Times New Roman" w:cs="Times New Roman"/>
        <w:sz w:val="20"/>
        <w:szCs w:val="18"/>
      </w:rPr>
      <w:tab/>
    </w:r>
  </w:p>
  <w:p w:rsidR="00EF22E2" w:rsidRPr="00D91D8D" w:rsidRDefault="00EF22E2" w:rsidP="00D91D8D">
    <w:pPr>
      <w:pStyle w:val="Header"/>
      <w:tabs>
        <w:tab w:val="left" w:pos="9072"/>
      </w:tabs>
      <w:rPr>
        <w:rStyle w:val="PageNumber"/>
        <w:rFonts w:ascii="Times New Roman" w:hAnsi="Times New Roman" w:cs="Times New Roman"/>
        <w:sz w:val="20"/>
        <w:szCs w:val="18"/>
      </w:rPr>
    </w:pPr>
  </w:p>
  <w:p w:rsidR="00EF22E2" w:rsidRPr="00D91D8D" w:rsidRDefault="00EF22E2" w:rsidP="00D91D8D">
    <w:pPr>
      <w:pStyle w:val="Footer"/>
      <w:rPr>
        <w:rFonts w:ascii="Times New Roman" w:hAnsi="Times New Roman" w:cs="Times New Roman"/>
        <w:sz w:val="20"/>
        <w:szCs w:val="18"/>
      </w:rPr>
    </w:pPr>
    <w:r w:rsidRPr="00D91D8D">
      <w:rPr>
        <w:rFonts w:ascii="Times New Roman" w:hAnsi="Times New Roman" w:cs="Times New Roman"/>
        <w:noProof/>
        <w:sz w:val="20"/>
        <w:szCs w:val="18"/>
      </w:rPr>
      <w:t xml:space="preserve">Tulkojums </w:t>
    </w:r>
    <w:r w:rsidRPr="00D91D8D">
      <w:rPr>
        <w:rFonts w:ascii="Times New Roman" w:hAnsi="Times New Roman" w:cs="Times New Roman"/>
        <w:noProof/>
        <w:sz w:val="20"/>
        <w:szCs w:val="18"/>
      </w:rPr>
      <w:fldChar w:fldCharType="begin"/>
    </w:r>
    <w:r w:rsidRPr="00D91D8D">
      <w:rPr>
        <w:rFonts w:ascii="Times New Roman" w:hAnsi="Times New Roman" w:cs="Times New Roman"/>
        <w:noProof/>
        <w:sz w:val="20"/>
        <w:szCs w:val="18"/>
      </w:rPr>
      <w:instrText>symbol 211 \f "Symbol" \s 9</w:instrText>
    </w:r>
    <w:r w:rsidRPr="00D91D8D">
      <w:rPr>
        <w:rFonts w:ascii="Times New Roman" w:hAnsi="Times New Roman" w:cs="Times New Roman"/>
        <w:noProof/>
        <w:sz w:val="20"/>
        <w:szCs w:val="18"/>
      </w:rPr>
      <w:fldChar w:fldCharType="separate"/>
    </w:r>
    <w:r w:rsidRPr="00D91D8D">
      <w:rPr>
        <w:rFonts w:ascii="Times New Roman" w:hAnsi="Times New Roman" w:cs="Times New Roman"/>
        <w:noProof/>
        <w:sz w:val="20"/>
        <w:szCs w:val="18"/>
      </w:rPr>
      <w:t>Ó</w:t>
    </w:r>
    <w:r w:rsidRPr="00D91D8D">
      <w:rPr>
        <w:rFonts w:ascii="Times New Roman" w:hAnsi="Times New Roman" w:cs="Times New Roman"/>
        <w:noProof/>
        <w:sz w:val="20"/>
        <w:szCs w:val="18"/>
      </w:rPr>
      <w:fldChar w:fldCharType="end"/>
    </w:r>
    <w:r w:rsidRPr="00D91D8D">
      <w:rPr>
        <w:rFonts w:ascii="Times New Roman" w:hAnsi="Times New Roman" w:cs="Times New Roman"/>
        <w:noProof/>
        <w:sz w:val="20"/>
        <w:szCs w:val="18"/>
      </w:rPr>
      <w:t xml:space="preserve"> Valsts valodas centrs, 20</w:t>
    </w:r>
    <w:bookmarkEnd w:id="96"/>
    <w:bookmarkEnd w:id="97"/>
    <w:bookmarkEnd w:id="98"/>
    <w:r w:rsidRPr="00D91D8D">
      <w:rPr>
        <w:rFonts w:ascii="Times New Roman" w:hAnsi="Times New Roman" w:cs="Times New Roman"/>
        <w:noProof/>
        <w:sz w:val="20"/>
        <w:szCs w:val="18"/>
      </w:rPr>
      <w:t>20</w:t>
    </w:r>
    <w:bookmarkEnd w:id="99"/>
    <w:bookmarkEnd w:id="10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22E2" w:rsidRPr="00270842" w:rsidRDefault="00EF22E2">
      <w:pPr>
        <w:rPr>
          <w:noProof/>
        </w:rPr>
      </w:pPr>
      <w:r w:rsidRPr="00270842">
        <w:rPr>
          <w:noProof/>
        </w:rPr>
        <w:separator/>
      </w:r>
    </w:p>
  </w:footnote>
  <w:footnote w:type="continuationSeparator" w:id="0">
    <w:p w:rsidR="00EF22E2" w:rsidRPr="00270842" w:rsidRDefault="00EF22E2">
      <w:pPr>
        <w:rPr>
          <w:noProof/>
        </w:rPr>
      </w:pPr>
      <w:r w:rsidRPr="00270842">
        <w:rPr>
          <w:noProof/>
        </w:rPr>
        <w:continuationSeparator/>
      </w:r>
    </w:p>
  </w:footnote>
  <w:footnote w:id="1">
    <w:p w:rsidR="00EF22E2" w:rsidRPr="00132A13" w:rsidRDefault="00EF22E2" w:rsidP="00132A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https://www.efsa.europa.eu/en/supporting/pub/1402e</w:t>
      </w:r>
    </w:p>
  </w:footnote>
  <w:footnote w:id="2">
    <w:p w:rsidR="00EF22E2" w:rsidRPr="00132A13" w:rsidRDefault="00EF22E2" w:rsidP="00132A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2002. gada 28. janvāra Regula (EK) Nr. 178/2002, ar ko paredz pārtikas aprites tiesību aktu vispārīgus principus un prasības, izveido Eiropas Pārtikas nekaitīguma iestādi un paredz procedūras saistībā ar pārtikas nekaitīgumu. OV L 31, 01.02.2002., 1.–24. lpp.</w:t>
      </w:r>
    </w:p>
  </w:footnote>
  <w:footnote w:id="3">
    <w:p w:rsidR="00EF22E2" w:rsidRPr="00132A13" w:rsidRDefault="00EF22E2" w:rsidP="00132A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2004. gada 29. aprīļa Regula (EK) Nr. 852/2004 par pārtikas produktu higiēnu. OV L 139, 30.04.2004., 1.–54. lpp.</w:t>
      </w:r>
    </w:p>
  </w:footnote>
  <w:footnote w:id="4">
    <w:p w:rsidR="00EF22E2" w:rsidRPr="00132A13" w:rsidRDefault="00EF22E2" w:rsidP="00132A1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2005. gada 15. novembra Regula (EK) 2073/2005 par pārtikas produktu mikrobioloģiskajiem kritērijiem. OV L 338, 22.12.2005., 1.–26.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22E2" w:rsidRPr="00D91D8D" w:rsidRDefault="00EF22E2" w:rsidP="00D91D8D">
    <w:pPr>
      <w:pStyle w:val="Header"/>
      <w:rPr>
        <w:rStyle w:val="PageNumber"/>
        <w:rFonts w:ascii="Times New Roman" w:hAnsi="Times New Roman" w:cs="Times New Roman"/>
        <w:sz w:val="20"/>
        <w:szCs w:val="20"/>
      </w:rPr>
    </w:pPr>
    <w:bookmarkStart w:id="82" w:name="_Hlk496261784"/>
    <w:bookmarkStart w:id="83" w:name="_Hlk496261785"/>
    <w:bookmarkStart w:id="84" w:name="_Hlk496261786"/>
    <w:bookmarkStart w:id="85" w:name="_Hlk502757728"/>
    <w:bookmarkStart w:id="86" w:name="_Hlk502757729"/>
    <w:bookmarkStart w:id="87" w:name="_Hlk502757738"/>
    <w:bookmarkStart w:id="88" w:name="_Hlk502757739"/>
    <w:bookmarkStart w:id="89" w:name="_Hlk30491084"/>
    <w:bookmarkStart w:id="90" w:name="_Hlk30491085"/>
  </w:p>
  <w:p w:rsidR="00EF22E2" w:rsidRPr="00D91D8D" w:rsidRDefault="00EF22E2" w:rsidP="00D91D8D">
    <w:pPr>
      <w:pStyle w:val="Header"/>
      <w:tabs>
        <w:tab w:val="clear" w:pos="4513"/>
        <w:tab w:val="clear" w:pos="9026"/>
        <w:tab w:val="right" w:leader="underscore" w:pos="9072"/>
      </w:tabs>
      <w:rPr>
        <w:rStyle w:val="PageNumber"/>
        <w:rFonts w:ascii="Times New Roman" w:hAnsi="Times New Roman" w:cs="Times New Roman"/>
        <w:sz w:val="20"/>
        <w:szCs w:val="20"/>
      </w:rPr>
    </w:pPr>
    <w:r w:rsidRPr="00D91D8D">
      <w:rPr>
        <w:rStyle w:val="PageNumber"/>
        <w:rFonts w:ascii="Times New Roman" w:hAnsi="Times New Roman" w:cs="Times New Roman"/>
        <w:sz w:val="20"/>
        <w:szCs w:val="20"/>
      </w:rPr>
      <w:tab/>
    </w:r>
  </w:p>
  <w:bookmarkEnd w:id="82"/>
  <w:bookmarkEnd w:id="83"/>
  <w:bookmarkEnd w:id="84"/>
  <w:bookmarkEnd w:id="85"/>
  <w:bookmarkEnd w:id="86"/>
  <w:bookmarkEnd w:id="87"/>
  <w:bookmarkEnd w:id="88"/>
  <w:bookmarkEnd w:id="89"/>
  <w:bookmarkEnd w:id="90"/>
  <w:p w:rsidR="00EF22E2" w:rsidRPr="00D91D8D" w:rsidRDefault="00EF22E2" w:rsidP="00D91D8D">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22E2" w:rsidRPr="00D91D8D" w:rsidRDefault="00EF22E2" w:rsidP="00D91D8D">
    <w:pPr>
      <w:pBdr>
        <w:bottom w:val="single" w:sz="12" w:space="5" w:color="auto"/>
      </w:pBdr>
      <w:rPr>
        <w:rFonts w:ascii="Times New Roman" w:hAnsi="Times New Roman" w:cs="Times New Roman"/>
        <w:spacing w:val="-2"/>
        <w:sz w:val="20"/>
        <w:szCs w:val="20"/>
      </w:rPr>
    </w:pPr>
    <w:bookmarkStart w:id="91" w:name="_Hlk496261745"/>
    <w:bookmarkStart w:id="92" w:name="_Hlk496261746"/>
    <w:bookmarkStart w:id="93" w:name="_Hlk496261747"/>
    <w:bookmarkStart w:id="94" w:name="_Hlk30491063"/>
    <w:bookmarkStart w:id="95" w:name="_Hlk30491064"/>
  </w:p>
  <w:bookmarkEnd w:id="91"/>
  <w:bookmarkEnd w:id="92"/>
  <w:bookmarkEnd w:id="93"/>
  <w:bookmarkEnd w:id="94"/>
  <w:bookmarkEnd w:id="95"/>
  <w:p w:rsidR="00EF22E2" w:rsidRPr="00D91D8D" w:rsidRDefault="00EF22E2" w:rsidP="00D91D8D">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74D6"/>
    <w:multiLevelType w:val="hybridMultilevel"/>
    <w:tmpl w:val="0E2ADD5E"/>
    <w:lvl w:ilvl="0" w:tplc="21447C48">
      <w:start w:val="1"/>
      <w:numFmt w:val="bullet"/>
      <w:lvlText w:val="o"/>
      <w:lvlJc w:val="left"/>
      <w:pPr>
        <w:ind w:left="1486" w:hanging="339"/>
      </w:pPr>
      <w:rPr>
        <w:rFonts w:ascii="Courier New" w:eastAsia="Courier New" w:hAnsi="Courier New" w:hint="default"/>
        <w:w w:val="103"/>
        <w:sz w:val="18"/>
        <w:szCs w:val="18"/>
      </w:rPr>
    </w:lvl>
    <w:lvl w:ilvl="1" w:tplc="514894E6">
      <w:start w:val="1"/>
      <w:numFmt w:val="bullet"/>
      <w:lvlText w:val="•"/>
      <w:lvlJc w:val="left"/>
      <w:pPr>
        <w:ind w:left="2385" w:hanging="339"/>
      </w:pPr>
      <w:rPr>
        <w:rFonts w:hint="default"/>
      </w:rPr>
    </w:lvl>
    <w:lvl w:ilvl="2" w:tplc="CBFAE906">
      <w:start w:val="1"/>
      <w:numFmt w:val="bullet"/>
      <w:lvlText w:val="•"/>
      <w:lvlJc w:val="left"/>
      <w:pPr>
        <w:ind w:left="3285" w:hanging="339"/>
      </w:pPr>
      <w:rPr>
        <w:rFonts w:hint="default"/>
      </w:rPr>
    </w:lvl>
    <w:lvl w:ilvl="3" w:tplc="0988E60E">
      <w:start w:val="1"/>
      <w:numFmt w:val="bullet"/>
      <w:lvlText w:val="•"/>
      <w:lvlJc w:val="left"/>
      <w:pPr>
        <w:ind w:left="4184" w:hanging="339"/>
      </w:pPr>
      <w:rPr>
        <w:rFonts w:hint="default"/>
      </w:rPr>
    </w:lvl>
    <w:lvl w:ilvl="4" w:tplc="51B62888">
      <w:start w:val="1"/>
      <w:numFmt w:val="bullet"/>
      <w:lvlText w:val="•"/>
      <w:lvlJc w:val="left"/>
      <w:pPr>
        <w:ind w:left="5083" w:hanging="339"/>
      </w:pPr>
      <w:rPr>
        <w:rFonts w:hint="default"/>
      </w:rPr>
    </w:lvl>
    <w:lvl w:ilvl="5" w:tplc="4D145E0E">
      <w:start w:val="1"/>
      <w:numFmt w:val="bullet"/>
      <w:lvlText w:val="•"/>
      <w:lvlJc w:val="left"/>
      <w:pPr>
        <w:ind w:left="5983" w:hanging="339"/>
      </w:pPr>
      <w:rPr>
        <w:rFonts w:hint="default"/>
      </w:rPr>
    </w:lvl>
    <w:lvl w:ilvl="6" w:tplc="BCDE0234">
      <w:start w:val="1"/>
      <w:numFmt w:val="bullet"/>
      <w:lvlText w:val="•"/>
      <w:lvlJc w:val="left"/>
      <w:pPr>
        <w:ind w:left="6882" w:hanging="339"/>
      </w:pPr>
      <w:rPr>
        <w:rFonts w:hint="default"/>
      </w:rPr>
    </w:lvl>
    <w:lvl w:ilvl="7" w:tplc="C5FC00E2">
      <w:start w:val="1"/>
      <w:numFmt w:val="bullet"/>
      <w:lvlText w:val="•"/>
      <w:lvlJc w:val="left"/>
      <w:pPr>
        <w:ind w:left="7781" w:hanging="339"/>
      </w:pPr>
      <w:rPr>
        <w:rFonts w:hint="default"/>
      </w:rPr>
    </w:lvl>
    <w:lvl w:ilvl="8" w:tplc="1C14AF68">
      <w:start w:val="1"/>
      <w:numFmt w:val="bullet"/>
      <w:lvlText w:val="•"/>
      <w:lvlJc w:val="left"/>
      <w:pPr>
        <w:ind w:left="8681" w:hanging="339"/>
      </w:pPr>
      <w:rPr>
        <w:rFonts w:hint="default"/>
      </w:rPr>
    </w:lvl>
  </w:abstractNum>
  <w:abstractNum w:abstractNumId="1" w15:restartNumberingAfterBreak="0">
    <w:nsid w:val="0AD425A7"/>
    <w:multiLevelType w:val="hybridMultilevel"/>
    <w:tmpl w:val="8640E444"/>
    <w:lvl w:ilvl="0" w:tplc="8EB65236">
      <w:start w:val="1"/>
      <w:numFmt w:val="bullet"/>
      <w:lvlText w:val="-"/>
      <w:lvlJc w:val="left"/>
      <w:pPr>
        <w:ind w:left="2469" w:hanging="339"/>
      </w:pPr>
      <w:rPr>
        <w:rFonts w:ascii="Times New Roman" w:eastAsia="Times New Roman" w:hAnsi="Times New Roman" w:hint="default"/>
        <w:w w:val="103"/>
        <w:sz w:val="18"/>
        <w:szCs w:val="18"/>
      </w:rPr>
    </w:lvl>
    <w:lvl w:ilvl="1" w:tplc="6CCEA31A">
      <w:start w:val="1"/>
      <w:numFmt w:val="bullet"/>
      <w:lvlText w:val="•"/>
      <w:lvlJc w:val="left"/>
      <w:pPr>
        <w:ind w:left="3268" w:hanging="339"/>
      </w:pPr>
      <w:rPr>
        <w:rFonts w:hint="default"/>
      </w:rPr>
    </w:lvl>
    <w:lvl w:ilvl="2" w:tplc="CB54F368">
      <w:start w:val="1"/>
      <w:numFmt w:val="bullet"/>
      <w:lvlText w:val="•"/>
      <w:lvlJc w:val="left"/>
      <w:pPr>
        <w:ind w:left="4067" w:hanging="339"/>
      </w:pPr>
      <w:rPr>
        <w:rFonts w:hint="default"/>
      </w:rPr>
    </w:lvl>
    <w:lvl w:ilvl="3" w:tplc="9A5082A2">
      <w:start w:val="1"/>
      <w:numFmt w:val="bullet"/>
      <w:lvlText w:val="•"/>
      <w:lvlJc w:val="left"/>
      <w:pPr>
        <w:ind w:left="4866" w:hanging="339"/>
      </w:pPr>
      <w:rPr>
        <w:rFonts w:hint="default"/>
      </w:rPr>
    </w:lvl>
    <w:lvl w:ilvl="4" w:tplc="2A901C14">
      <w:start w:val="1"/>
      <w:numFmt w:val="bullet"/>
      <w:lvlText w:val="•"/>
      <w:lvlJc w:val="left"/>
      <w:pPr>
        <w:ind w:left="5665" w:hanging="339"/>
      </w:pPr>
      <w:rPr>
        <w:rFonts w:hint="default"/>
      </w:rPr>
    </w:lvl>
    <w:lvl w:ilvl="5" w:tplc="8FEA6F6E">
      <w:start w:val="1"/>
      <w:numFmt w:val="bullet"/>
      <w:lvlText w:val="•"/>
      <w:lvlJc w:val="left"/>
      <w:pPr>
        <w:ind w:left="6464" w:hanging="339"/>
      </w:pPr>
      <w:rPr>
        <w:rFonts w:hint="default"/>
      </w:rPr>
    </w:lvl>
    <w:lvl w:ilvl="6" w:tplc="696CD23A">
      <w:start w:val="1"/>
      <w:numFmt w:val="bullet"/>
      <w:lvlText w:val="•"/>
      <w:lvlJc w:val="left"/>
      <w:pPr>
        <w:ind w:left="7263" w:hanging="339"/>
      </w:pPr>
      <w:rPr>
        <w:rFonts w:hint="default"/>
      </w:rPr>
    </w:lvl>
    <w:lvl w:ilvl="7" w:tplc="7CB8FF7A">
      <w:start w:val="1"/>
      <w:numFmt w:val="bullet"/>
      <w:lvlText w:val="•"/>
      <w:lvlJc w:val="left"/>
      <w:pPr>
        <w:ind w:left="8062" w:hanging="339"/>
      </w:pPr>
      <w:rPr>
        <w:rFonts w:hint="default"/>
      </w:rPr>
    </w:lvl>
    <w:lvl w:ilvl="8" w:tplc="7A20B75E">
      <w:start w:val="1"/>
      <w:numFmt w:val="bullet"/>
      <w:lvlText w:val="•"/>
      <w:lvlJc w:val="left"/>
      <w:pPr>
        <w:ind w:left="8861" w:hanging="339"/>
      </w:pPr>
      <w:rPr>
        <w:rFonts w:hint="default"/>
      </w:rPr>
    </w:lvl>
  </w:abstractNum>
  <w:abstractNum w:abstractNumId="2" w15:restartNumberingAfterBreak="0">
    <w:nsid w:val="0BC004C0"/>
    <w:multiLevelType w:val="hybridMultilevel"/>
    <w:tmpl w:val="DB9469B0"/>
    <w:lvl w:ilvl="0" w:tplc="EAD0F38C">
      <w:start w:val="1"/>
      <w:numFmt w:val="bullet"/>
      <w:lvlText w:val="•"/>
      <w:lvlJc w:val="left"/>
      <w:pPr>
        <w:ind w:left="132" w:hanging="169"/>
      </w:pPr>
      <w:rPr>
        <w:rFonts w:ascii="Tahoma" w:eastAsia="Tahoma" w:hAnsi="Tahoma" w:hint="default"/>
        <w:w w:val="103"/>
        <w:sz w:val="18"/>
        <w:szCs w:val="18"/>
      </w:rPr>
    </w:lvl>
    <w:lvl w:ilvl="1" w:tplc="E47C1D10">
      <w:start w:val="1"/>
      <w:numFmt w:val="bullet"/>
      <w:lvlText w:val="•"/>
      <w:lvlJc w:val="left"/>
      <w:pPr>
        <w:ind w:left="1167" w:hanging="169"/>
      </w:pPr>
      <w:rPr>
        <w:rFonts w:hint="default"/>
      </w:rPr>
    </w:lvl>
    <w:lvl w:ilvl="2" w:tplc="7012C348">
      <w:start w:val="1"/>
      <w:numFmt w:val="bullet"/>
      <w:lvlText w:val="•"/>
      <w:lvlJc w:val="left"/>
      <w:pPr>
        <w:ind w:left="2202" w:hanging="169"/>
      </w:pPr>
      <w:rPr>
        <w:rFonts w:hint="default"/>
      </w:rPr>
    </w:lvl>
    <w:lvl w:ilvl="3" w:tplc="505C5EA0">
      <w:start w:val="1"/>
      <w:numFmt w:val="bullet"/>
      <w:lvlText w:val="•"/>
      <w:lvlJc w:val="left"/>
      <w:pPr>
        <w:ind w:left="3236" w:hanging="169"/>
      </w:pPr>
      <w:rPr>
        <w:rFonts w:hint="default"/>
      </w:rPr>
    </w:lvl>
    <w:lvl w:ilvl="4" w:tplc="9D925454">
      <w:start w:val="1"/>
      <w:numFmt w:val="bullet"/>
      <w:lvlText w:val="•"/>
      <w:lvlJc w:val="left"/>
      <w:pPr>
        <w:ind w:left="4271" w:hanging="169"/>
      </w:pPr>
      <w:rPr>
        <w:rFonts w:hint="default"/>
      </w:rPr>
    </w:lvl>
    <w:lvl w:ilvl="5" w:tplc="A8CE71BA">
      <w:start w:val="1"/>
      <w:numFmt w:val="bullet"/>
      <w:lvlText w:val="•"/>
      <w:lvlJc w:val="left"/>
      <w:pPr>
        <w:ind w:left="5306" w:hanging="169"/>
      </w:pPr>
      <w:rPr>
        <w:rFonts w:hint="default"/>
      </w:rPr>
    </w:lvl>
    <w:lvl w:ilvl="6" w:tplc="69460C1E">
      <w:start w:val="1"/>
      <w:numFmt w:val="bullet"/>
      <w:lvlText w:val="•"/>
      <w:lvlJc w:val="left"/>
      <w:pPr>
        <w:ind w:left="6341" w:hanging="169"/>
      </w:pPr>
      <w:rPr>
        <w:rFonts w:hint="default"/>
      </w:rPr>
    </w:lvl>
    <w:lvl w:ilvl="7" w:tplc="418A9FD4">
      <w:start w:val="1"/>
      <w:numFmt w:val="bullet"/>
      <w:lvlText w:val="•"/>
      <w:lvlJc w:val="left"/>
      <w:pPr>
        <w:ind w:left="7375" w:hanging="169"/>
      </w:pPr>
      <w:rPr>
        <w:rFonts w:hint="default"/>
      </w:rPr>
    </w:lvl>
    <w:lvl w:ilvl="8" w:tplc="0FE04610">
      <w:start w:val="1"/>
      <w:numFmt w:val="bullet"/>
      <w:lvlText w:val="•"/>
      <w:lvlJc w:val="left"/>
      <w:pPr>
        <w:ind w:left="8410" w:hanging="169"/>
      </w:pPr>
      <w:rPr>
        <w:rFonts w:hint="default"/>
      </w:rPr>
    </w:lvl>
  </w:abstractNum>
  <w:abstractNum w:abstractNumId="3" w15:restartNumberingAfterBreak="0">
    <w:nsid w:val="10DC729D"/>
    <w:multiLevelType w:val="multilevel"/>
    <w:tmpl w:val="2E7831B0"/>
    <w:lvl w:ilvl="0">
      <w:start w:val="1"/>
      <w:numFmt w:val="decimal"/>
      <w:lvlText w:val="%1."/>
      <w:lvlJc w:val="left"/>
      <w:pPr>
        <w:ind w:left="1090" w:hanging="958"/>
        <w:jc w:val="right"/>
      </w:pPr>
      <w:rPr>
        <w:rFonts w:ascii="Tahoma" w:eastAsia="Tahoma" w:hAnsi="Tahoma" w:hint="default"/>
        <w:b/>
        <w:bCs/>
        <w:w w:val="102"/>
        <w:sz w:val="22"/>
        <w:szCs w:val="22"/>
      </w:rPr>
    </w:lvl>
    <w:lvl w:ilvl="1">
      <w:start w:val="1"/>
      <w:numFmt w:val="decimal"/>
      <w:lvlText w:val="%1.%2."/>
      <w:lvlJc w:val="left"/>
      <w:pPr>
        <w:ind w:left="1090" w:hanging="958"/>
      </w:pPr>
      <w:rPr>
        <w:rFonts w:ascii="Tahoma" w:eastAsia="Tahoma" w:hAnsi="Tahoma" w:hint="default"/>
        <w:b/>
        <w:bCs/>
        <w:color w:val="7E7E7E"/>
        <w:w w:val="102"/>
        <w:sz w:val="22"/>
        <w:szCs w:val="22"/>
      </w:rPr>
    </w:lvl>
    <w:lvl w:ilvl="2">
      <w:start w:val="1"/>
      <w:numFmt w:val="decimal"/>
      <w:lvlText w:val="%1.%2.%3."/>
      <w:lvlJc w:val="left"/>
      <w:pPr>
        <w:ind w:left="2750" w:hanging="958"/>
        <w:jc w:val="right"/>
      </w:pPr>
      <w:rPr>
        <w:rFonts w:ascii="Tahoma" w:eastAsia="Tahoma" w:hAnsi="Tahoma" w:hint="default"/>
        <w:b/>
        <w:bCs/>
        <w:color w:val="7E7E7E"/>
        <w:w w:val="103"/>
        <w:sz w:val="20"/>
        <w:szCs w:val="20"/>
      </w:rPr>
    </w:lvl>
    <w:lvl w:ilvl="3">
      <w:start w:val="1"/>
      <w:numFmt w:val="bullet"/>
      <w:lvlText w:val="•"/>
      <w:lvlJc w:val="left"/>
      <w:pPr>
        <w:ind w:left="3506" w:hanging="958"/>
      </w:pPr>
      <w:rPr>
        <w:rFonts w:hint="default"/>
      </w:rPr>
    </w:lvl>
    <w:lvl w:ilvl="4">
      <w:start w:val="1"/>
      <w:numFmt w:val="bullet"/>
      <w:lvlText w:val="•"/>
      <w:lvlJc w:val="left"/>
      <w:pPr>
        <w:ind w:left="4262" w:hanging="958"/>
      </w:pPr>
      <w:rPr>
        <w:rFonts w:hint="default"/>
      </w:rPr>
    </w:lvl>
    <w:lvl w:ilvl="5">
      <w:start w:val="1"/>
      <w:numFmt w:val="bullet"/>
      <w:lvlText w:val="•"/>
      <w:lvlJc w:val="left"/>
      <w:pPr>
        <w:ind w:left="5019" w:hanging="958"/>
      </w:pPr>
      <w:rPr>
        <w:rFonts w:hint="default"/>
      </w:rPr>
    </w:lvl>
    <w:lvl w:ilvl="6">
      <w:start w:val="1"/>
      <w:numFmt w:val="bullet"/>
      <w:lvlText w:val="•"/>
      <w:lvlJc w:val="left"/>
      <w:pPr>
        <w:ind w:left="5775" w:hanging="958"/>
      </w:pPr>
      <w:rPr>
        <w:rFonts w:hint="default"/>
      </w:rPr>
    </w:lvl>
    <w:lvl w:ilvl="7">
      <w:start w:val="1"/>
      <w:numFmt w:val="bullet"/>
      <w:lvlText w:val="•"/>
      <w:lvlJc w:val="left"/>
      <w:pPr>
        <w:ind w:left="6531" w:hanging="958"/>
      </w:pPr>
      <w:rPr>
        <w:rFonts w:hint="default"/>
      </w:rPr>
    </w:lvl>
    <w:lvl w:ilvl="8">
      <w:start w:val="1"/>
      <w:numFmt w:val="bullet"/>
      <w:lvlText w:val="•"/>
      <w:lvlJc w:val="left"/>
      <w:pPr>
        <w:ind w:left="7287" w:hanging="958"/>
      </w:pPr>
      <w:rPr>
        <w:rFonts w:hint="default"/>
      </w:rPr>
    </w:lvl>
  </w:abstractNum>
  <w:abstractNum w:abstractNumId="4" w15:restartNumberingAfterBreak="0">
    <w:nsid w:val="10E55153"/>
    <w:multiLevelType w:val="multilevel"/>
    <w:tmpl w:val="75A4ADD8"/>
    <w:lvl w:ilvl="0">
      <w:start w:val="3"/>
      <w:numFmt w:val="decimal"/>
      <w:lvlText w:val="%1"/>
      <w:lvlJc w:val="left"/>
      <w:pPr>
        <w:ind w:left="1090" w:hanging="958"/>
      </w:pPr>
      <w:rPr>
        <w:rFonts w:hint="default"/>
      </w:rPr>
    </w:lvl>
    <w:lvl w:ilvl="1">
      <w:start w:val="4"/>
      <w:numFmt w:val="decimal"/>
      <w:lvlText w:val="%1.%2"/>
      <w:lvlJc w:val="left"/>
      <w:pPr>
        <w:ind w:left="1090" w:hanging="958"/>
      </w:pPr>
      <w:rPr>
        <w:rFonts w:hint="default"/>
      </w:rPr>
    </w:lvl>
    <w:lvl w:ilvl="2">
      <w:start w:val="1"/>
      <w:numFmt w:val="decimal"/>
      <w:lvlText w:val="%1.%2.%3."/>
      <w:lvlJc w:val="left"/>
      <w:pPr>
        <w:ind w:left="2750" w:hanging="958"/>
        <w:jc w:val="right"/>
      </w:pPr>
      <w:rPr>
        <w:rFonts w:ascii="Tahoma" w:eastAsia="Tahoma" w:hAnsi="Tahoma" w:hint="default"/>
        <w:b/>
        <w:bCs/>
        <w:color w:val="7E7E7E"/>
        <w:w w:val="103"/>
        <w:sz w:val="20"/>
        <w:szCs w:val="20"/>
      </w:rPr>
    </w:lvl>
    <w:lvl w:ilvl="3">
      <w:start w:val="1"/>
      <w:numFmt w:val="decimal"/>
      <w:lvlText w:val="%1.%2.%3.%4."/>
      <w:lvlJc w:val="left"/>
      <w:pPr>
        <w:ind w:left="1090" w:hanging="958"/>
        <w:jc w:val="right"/>
      </w:pPr>
      <w:rPr>
        <w:rFonts w:ascii="Tahoma" w:eastAsia="Tahoma" w:hAnsi="Tahoma" w:hint="default"/>
        <w:b/>
        <w:bCs/>
        <w:spacing w:val="1"/>
        <w:w w:val="103"/>
        <w:sz w:val="18"/>
        <w:szCs w:val="18"/>
      </w:rPr>
    </w:lvl>
    <w:lvl w:ilvl="4">
      <w:start w:val="1"/>
      <w:numFmt w:val="bullet"/>
      <w:lvlText w:val="•"/>
      <w:lvlJc w:val="left"/>
      <w:pPr>
        <w:ind w:left="4682" w:hanging="958"/>
      </w:pPr>
      <w:rPr>
        <w:rFonts w:hint="default"/>
      </w:rPr>
    </w:lvl>
    <w:lvl w:ilvl="5">
      <w:start w:val="1"/>
      <w:numFmt w:val="bullet"/>
      <w:lvlText w:val="•"/>
      <w:lvlJc w:val="left"/>
      <w:pPr>
        <w:ind w:left="5649" w:hanging="958"/>
      </w:pPr>
      <w:rPr>
        <w:rFonts w:hint="default"/>
      </w:rPr>
    </w:lvl>
    <w:lvl w:ilvl="6">
      <w:start w:val="1"/>
      <w:numFmt w:val="bullet"/>
      <w:lvlText w:val="•"/>
      <w:lvlJc w:val="left"/>
      <w:pPr>
        <w:ind w:left="6615" w:hanging="958"/>
      </w:pPr>
      <w:rPr>
        <w:rFonts w:hint="default"/>
      </w:rPr>
    </w:lvl>
    <w:lvl w:ilvl="7">
      <w:start w:val="1"/>
      <w:numFmt w:val="bullet"/>
      <w:lvlText w:val="•"/>
      <w:lvlJc w:val="left"/>
      <w:pPr>
        <w:ind w:left="7581" w:hanging="958"/>
      </w:pPr>
      <w:rPr>
        <w:rFonts w:hint="default"/>
      </w:rPr>
    </w:lvl>
    <w:lvl w:ilvl="8">
      <w:start w:val="1"/>
      <w:numFmt w:val="bullet"/>
      <w:lvlText w:val="•"/>
      <w:lvlJc w:val="left"/>
      <w:pPr>
        <w:ind w:left="8547" w:hanging="958"/>
      </w:pPr>
      <w:rPr>
        <w:rFonts w:hint="default"/>
      </w:rPr>
    </w:lvl>
  </w:abstractNum>
  <w:abstractNum w:abstractNumId="5" w15:restartNumberingAfterBreak="0">
    <w:nsid w:val="135A2A86"/>
    <w:multiLevelType w:val="hybridMultilevel"/>
    <w:tmpl w:val="35521A68"/>
    <w:lvl w:ilvl="0" w:tplc="5A48F6E2">
      <w:start w:val="3"/>
      <w:numFmt w:val="lowerRoman"/>
      <w:lvlText w:val="(%1)"/>
      <w:lvlJc w:val="left"/>
      <w:pPr>
        <w:ind w:left="1792" w:hanging="332"/>
      </w:pPr>
      <w:rPr>
        <w:rFonts w:ascii="Tahoma" w:eastAsia="Tahoma" w:hAnsi="Tahoma" w:hint="default"/>
        <w:w w:val="103"/>
        <w:sz w:val="18"/>
        <w:szCs w:val="18"/>
      </w:rPr>
    </w:lvl>
    <w:lvl w:ilvl="1" w:tplc="EB1A0A68">
      <w:start w:val="1"/>
      <w:numFmt w:val="bullet"/>
      <w:lvlText w:val="•"/>
      <w:lvlJc w:val="left"/>
      <w:pPr>
        <w:ind w:left="2659" w:hanging="332"/>
      </w:pPr>
      <w:rPr>
        <w:rFonts w:hint="default"/>
      </w:rPr>
    </w:lvl>
    <w:lvl w:ilvl="2" w:tplc="AF0AB5A2">
      <w:start w:val="1"/>
      <w:numFmt w:val="bullet"/>
      <w:lvlText w:val="•"/>
      <w:lvlJc w:val="left"/>
      <w:pPr>
        <w:ind w:left="3526" w:hanging="332"/>
      </w:pPr>
      <w:rPr>
        <w:rFonts w:hint="default"/>
      </w:rPr>
    </w:lvl>
    <w:lvl w:ilvl="3" w:tplc="B9A0B650">
      <w:start w:val="1"/>
      <w:numFmt w:val="bullet"/>
      <w:lvlText w:val="•"/>
      <w:lvlJc w:val="left"/>
      <w:pPr>
        <w:ind w:left="4392" w:hanging="332"/>
      </w:pPr>
      <w:rPr>
        <w:rFonts w:hint="default"/>
      </w:rPr>
    </w:lvl>
    <w:lvl w:ilvl="4" w:tplc="B394B154">
      <w:start w:val="1"/>
      <w:numFmt w:val="bullet"/>
      <w:lvlText w:val="•"/>
      <w:lvlJc w:val="left"/>
      <w:pPr>
        <w:ind w:left="5259" w:hanging="332"/>
      </w:pPr>
      <w:rPr>
        <w:rFonts w:hint="default"/>
      </w:rPr>
    </w:lvl>
    <w:lvl w:ilvl="5" w:tplc="8626D2DC">
      <w:start w:val="1"/>
      <w:numFmt w:val="bullet"/>
      <w:lvlText w:val="•"/>
      <w:lvlJc w:val="left"/>
      <w:pPr>
        <w:ind w:left="6126" w:hanging="332"/>
      </w:pPr>
      <w:rPr>
        <w:rFonts w:hint="default"/>
      </w:rPr>
    </w:lvl>
    <w:lvl w:ilvl="6" w:tplc="D534CF66">
      <w:start w:val="1"/>
      <w:numFmt w:val="bullet"/>
      <w:lvlText w:val="•"/>
      <w:lvlJc w:val="left"/>
      <w:pPr>
        <w:ind w:left="6993" w:hanging="332"/>
      </w:pPr>
      <w:rPr>
        <w:rFonts w:hint="default"/>
      </w:rPr>
    </w:lvl>
    <w:lvl w:ilvl="7" w:tplc="21D2B5F0">
      <w:start w:val="1"/>
      <w:numFmt w:val="bullet"/>
      <w:lvlText w:val="•"/>
      <w:lvlJc w:val="left"/>
      <w:pPr>
        <w:ind w:left="7859" w:hanging="332"/>
      </w:pPr>
      <w:rPr>
        <w:rFonts w:hint="default"/>
      </w:rPr>
    </w:lvl>
    <w:lvl w:ilvl="8" w:tplc="25DE3052">
      <w:start w:val="1"/>
      <w:numFmt w:val="bullet"/>
      <w:lvlText w:val="•"/>
      <w:lvlJc w:val="left"/>
      <w:pPr>
        <w:ind w:left="8726" w:hanging="332"/>
      </w:pPr>
      <w:rPr>
        <w:rFonts w:hint="default"/>
      </w:rPr>
    </w:lvl>
  </w:abstractNum>
  <w:abstractNum w:abstractNumId="6" w15:restartNumberingAfterBreak="0">
    <w:nsid w:val="161A0FD3"/>
    <w:multiLevelType w:val="hybridMultilevel"/>
    <w:tmpl w:val="9D869252"/>
    <w:lvl w:ilvl="0" w:tplc="E0687E48">
      <w:start w:val="12"/>
      <w:numFmt w:val="upperLetter"/>
      <w:lvlText w:val="%1."/>
      <w:lvlJc w:val="left"/>
      <w:pPr>
        <w:ind w:left="132" w:hanging="210"/>
      </w:pPr>
      <w:rPr>
        <w:rFonts w:ascii="Tahoma" w:eastAsia="Tahoma" w:hAnsi="Tahoma" w:hint="default"/>
        <w:i/>
        <w:spacing w:val="-2"/>
        <w:w w:val="98"/>
        <w:sz w:val="19"/>
        <w:szCs w:val="19"/>
      </w:rPr>
    </w:lvl>
    <w:lvl w:ilvl="1" w:tplc="FCE2F1A4">
      <w:start w:val="12"/>
      <w:numFmt w:val="upperLetter"/>
      <w:lvlText w:val="%2."/>
      <w:lvlJc w:val="left"/>
      <w:pPr>
        <w:ind w:left="2001" w:hanging="210"/>
      </w:pPr>
      <w:rPr>
        <w:rFonts w:ascii="Tahoma" w:eastAsia="Tahoma" w:hAnsi="Tahoma" w:hint="default"/>
        <w:i/>
        <w:spacing w:val="-2"/>
        <w:w w:val="98"/>
        <w:sz w:val="19"/>
        <w:szCs w:val="19"/>
      </w:rPr>
    </w:lvl>
    <w:lvl w:ilvl="2" w:tplc="E640CD1C">
      <w:start w:val="1"/>
      <w:numFmt w:val="bullet"/>
      <w:lvlText w:val="-"/>
      <w:lvlJc w:val="left"/>
      <w:pPr>
        <w:ind w:left="2469" w:hanging="339"/>
      </w:pPr>
      <w:rPr>
        <w:rFonts w:ascii="Times New Roman" w:eastAsia="Times New Roman" w:hAnsi="Times New Roman" w:hint="default"/>
        <w:w w:val="103"/>
        <w:sz w:val="18"/>
        <w:szCs w:val="18"/>
      </w:rPr>
    </w:lvl>
    <w:lvl w:ilvl="3" w:tplc="4F9A1CC4">
      <w:start w:val="1"/>
      <w:numFmt w:val="bullet"/>
      <w:lvlText w:val="•"/>
      <w:lvlJc w:val="left"/>
      <w:pPr>
        <w:ind w:left="3260" w:hanging="339"/>
      </w:pPr>
      <w:rPr>
        <w:rFonts w:hint="default"/>
      </w:rPr>
    </w:lvl>
    <w:lvl w:ilvl="4" w:tplc="DF7C1C3C">
      <w:start w:val="1"/>
      <w:numFmt w:val="bullet"/>
      <w:lvlText w:val="•"/>
      <w:lvlJc w:val="left"/>
      <w:pPr>
        <w:ind w:left="4052" w:hanging="339"/>
      </w:pPr>
      <w:rPr>
        <w:rFonts w:hint="default"/>
      </w:rPr>
    </w:lvl>
    <w:lvl w:ilvl="5" w:tplc="B33C7780">
      <w:start w:val="1"/>
      <w:numFmt w:val="bullet"/>
      <w:lvlText w:val="•"/>
      <w:lvlJc w:val="left"/>
      <w:pPr>
        <w:ind w:left="4843" w:hanging="339"/>
      </w:pPr>
      <w:rPr>
        <w:rFonts w:hint="default"/>
      </w:rPr>
    </w:lvl>
    <w:lvl w:ilvl="6" w:tplc="CA5E0C9E">
      <w:start w:val="1"/>
      <w:numFmt w:val="bullet"/>
      <w:lvlText w:val="•"/>
      <w:lvlJc w:val="left"/>
      <w:pPr>
        <w:ind w:left="5634" w:hanging="339"/>
      </w:pPr>
      <w:rPr>
        <w:rFonts w:hint="default"/>
      </w:rPr>
    </w:lvl>
    <w:lvl w:ilvl="7" w:tplc="70B8CC0A">
      <w:start w:val="1"/>
      <w:numFmt w:val="bullet"/>
      <w:lvlText w:val="•"/>
      <w:lvlJc w:val="left"/>
      <w:pPr>
        <w:ind w:left="6426" w:hanging="339"/>
      </w:pPr>
      <w:rPr>
        <w:rFonts w:hint="default"/>
      </w:rPr>
    </w:lvl>
    <w:lvl w:ilvl="8" w:tplc="1C6254A0">
      <w:start w:val="1"/>
      <w:numFmt w:val="bullet"/>
      <w:lvlText w:val="•"/>
      <w:lvlJc w:val="left"/>
      <w:pPr>
        <w:ind w:left="7217" w:hanging="339"/>
      </w:pPr>
      <w:rPr>
        <w:rFonts w:hint="default"/>
      </w:rPr>
    </w:lvl>
  </w:abstractNum>
  <w:abstractNum w:abstractNumId="7" w15:restartNumberingAfterBreak="0">
    <w:nsid w:val="18797F7E"/>
    <w:multiLevelType w:val="hybridMultilevel"/>
    <w:tmpl w:val="BD50561A"/>
    <w:lvl w:ilvl="0" w:tplc="91F60DDE">
      <w:start w:val="1"/>
      <w:numFmt w:val="bullet"/>
      <w:lvlText w:val=""/>
      <w:lvlJc w:val="left"/>
      <w:pPr>
        <w:ind w:left="809" w:hanging="339"/>
      </w:pPr>
      <w:rPr>
        <w:rFonts w:ascii="Symbol" w:eastAsia="Symbol" w:hAnsi="Symbol" w:hint="default"/>
        <w:w w:val="103"/>
        <w:sz w:val="18"/>
        <w:szCs w:val="18"/>
      </w:rPr>
    </w:lvl>
    <w:lvl w:ilvl="1" w:tplc="3A3C81D6">
      <w:start w:val="1"/>
      <w:numFmt w:val="bullet"/>
      <w:lvlText w:val="o"/>
      <w:lvlJc w:val="left"/>
      <w:pPr>
        <w:ind w:left="1486" w:hanging="339"/>
      </w:pPr>
      <w:rPr>
        <w:rFonts w:ascii="Courier New" w:eastAsia="Courier New" w:hAnsi="Courier New" w:hint="default"/>
        <w:w w:val="103"/>
        <w:sz w:val="18"/>
        <w:szCs w:val="18"/>
      </w:rPr>
    </w:lvl>
    <w:lvl w:ilvl="2" w:tplc="766A6536">
      <w:start w:val="1"/>
      <w:numFmt w:val="bullet"/>
      <w:lvlText w:val=""/>
      <w:lvlJc w:val="left"/>
      <w:pPr>
        <w:ind w:left="2469" w:hanging="339"/>
      </w:pPr>
      <w:rPr>
        <w:rFonts w:ascii="Symbol" w:eastAsia="Symbol" w:hAnsi="Symbol" w:hint="default"/>
        <w:w w:val="103"/>
        <w:sz w:val="18"/>
        <w:szCs w:val="18"/>
      </w:rPr>
    </w:lvl>
    <w:lvl w:ilvl="3" w:tplc="559CC3E8">
      <w:start w:val="1"/>
      <w:numFmt w:val="bullet"/>
      <w:lvlText w:val="o"/>
      <w:lvlJc w:val="left"/>
      <w:pPr>
        <w:ind w:left="3146" w:hanging="339"/>
      </w:pPr>
      <w:rPr>
        <w:rFonts w:ascii="Courier New" w:eastAsia="Courier New" w:hAnsi="Courier New" w:hint="default"/>
        <w:w w:val="103"/>
        <w:sz w:val="18"/>
        <w:szCs w:val="18"/>
      </w:rPr>
    </w:lvl>
    <w:lvl w:ilvl="4" w:tplc="31AE460C">
      <w:start w:val="1"/>
      <w:numFmt w:val="bullet"/>
      <w:lvlText w:val="•"/>
      <w:lvlJc w:val="left"/>
      <w:pPr>
        <w:ind w:left="2469" w:hanging="339"/>
      </w:pPr>
      <w:rPr>
        <w:rFonts w:hint="default"/>
      </w:rPr>
    </w:lvl>
    <w:lvl w:ilvl="5" w:tplc="9A52EBD8">
      <w:start w:val="1"/>
      <w:numFmt w:val="bullet"/>
      <w:lvlText w:val="•"/>
      <w:lvlJc w:val="left"/>
      <w:pPr>
        <w:ind w:left="3146" w:hanging="339"/>
      </w:pPr>
      <w:rPr>
        <w:rFonts w:hint="default"/>
      </w:rPr>
    </w:lvl>
    <w:lvl w:ilvl="6" w:tplc="5C048674">
      <w:start w:val="1"/>
      <w:numFmt w:val="bullet"/>
      <w:lvlText w:val="•"/>
      <w:lvlJc w:val="left"/>
      <w:pPr>
        <w:ind w:left="3146" w:hanging="339"/>
      </w:pPr>
      <w:rPr>
        <w:rFonts w:hint="default"/>
      </w:rPr>
    </w:lvl>
    <w:lvl w:ilvl="7" w:tplc="A3FEE7C0">
      <w:start w:val="1"/>
      <w:numFmt w:val="bullet"/>
      <w:lvlText w:val="•"/>
      <w:lvlJc w:val="left"/>
      <w:pPr>
        <w:ind w:left="3146" w:hanging="339"/>
      </w:pPr>
      <w:rPr>
        <w:rFonts w:hint="default"/>
      </w:rPr>
    </w:lvl>
    <w:lvl w:ilvl="8" w:tplc="78B07560">
      <w:start w:val="1"/>
      <w:numFmt w:val="bullet"/>
      <w:lvlText w:val="•"/>
      <w:lvlJc w:val="left"/>
      <w:pPr>
        <w:ind w:left="5030" w:hanging="339"/>
      </w:pPr>
      <w:rPr>
        <w:rFonts w:hint="default"/>
      </w:rPr>
    </w:lvl>
  </w:abstractNum>
  <w:abstractNum w:abstractNumId="8" w15:restartNumberingAfterBreak="0">
    <w:nsid w:val="19D41D53"/>
    <w:multiLevelType w:val="multilevel"/>
    <w:tmpl w:val="D9E811EA"/>
    <w:lvl w:ilvl="0">
      <w:start w:val="1"/>
      <w:numFmt w:val="decimal"/>
      <w:lvlText w:val="%1."/>
      <w:lvlJc w:val="left"/>
      <w:pPr>
        <w:ind w:left="2431" w:hanging="639"/>
      </w:pPr>
      <w:rPr>
        <w:rFonts w:ascii="Tahoma" w:eastAsia="Tahoma" w:hAnsi="Tahoma" w:hint="default"/>
        <w:spacing w:val="1"/>
        <w:w w:val="103"/>
        <w:sz w:val="18"/>
        <w:szCs w:val="18"/>
      </w:rPr>
    </w:lvl>
    <w:lvl w:ilvl="1">
      <w:start w:val="1"/>
      <w:numFmt w:val="decimal"/>
      <w:lvlText w:val="%1.%2."/>
      <w:lvlJc w:val="left"/>
      <w:pPr>
        <w:ind w:left="2431" w:hanging="639"/>
      </w:pPr>
      <w:rPr>
        <w:rFonts w:ascii="Tahoma" w:eastAsia="Tahoma" w:hAnsi="Tahoma" w:hint="default"/>
        <w:spacing w:val="1"/>
        <w:w w:val="103"/>
        <w:sz w:val="18"/>
        <w:szCs w:val="18"/>
      </w:rPr>
    </w:lvl>
    <w:lvl w:ilvl="2">
      <w:start w:val="1"/>
      <w:numFmt w:val="decimal"/>
      <w:lvlText w:val="%1.%2.%3."/>
      <w:lvlJc w:val="left"/>
      <w:pPr>
        <w:ind w:left="2431" w:hanging="639"/>
      </w:pPr>
      <w:rPr>
        <w:rFonts w:ascii="Tahoma" w:eastAsia="Tahoma" w:hAnsi="Tahoma" w:hint="default"/>
        <w:spacing w:val="1"/>
        <w:w w:val="103"/>
        <w:sz w:val="18"/>
        <w:szCs w:val="18"/>
      </w:rPr>
    </w:lvl>
    <w:lvl w:ilvl="3">
      <w:start w:val="1"/>
      <w:numFmt w:val="decimal"/>
      <w:lvlText w:val="%1.%2.%3.%4."/>
      <w:lvlJc w:val="left"/>
      <w:pPr>
        <w:ind w:left="2431" w:hanging="639"/>
      </w:pPr>
      <w:rPr>
        <w:rFonts w:ascii="Tahoma" w:eastAsia="Tahoma" w:hAnsi="Tahoma" w:hint="default"/>
        <w:spacing w:val="1"/>
        <w:w w:val="103"/>
        <w:sz w:val="18"/>
        <w:szCs w:val="18"/>
      </w:rPr>
    </w:lvl>
    <w:lvl w:ilvl="4">
      <w:start w:val="1"/>
      <w:numFmt w:val="bullet"/>
      <w:lvlText w:val="•"/>
      <w:lvlJc w:val="left"/>
      <w:pPr>
        <w:ind w:left="2431" w:hanging="639"/>
      </w:pPr>
      <w:rPr>
        <w:rFonts w:hint="default"/>
      </w:rPr>
    </w:lvl>
    <w:lvl w:ilvl="5">
      <w:start w:val="1"/>
      <w:numFmt w:val="bullet"/>
      <w:lvlText w:val="•"/>
      <w:lvlJc w:val="left"/>
      <w:pPr>
        <w:ind w:left="3769" w:hanging="639"/>
      </w:pPr>
      <w:rPr>
        <w:rFonts w:hint="default"/>
      </w:rPr>
    </w:lvl>
    <w:lvl w:ilvl="6">
      <w:start w:val="1"/>
      <w:numFmt w:val="bullet"/>
      <w:lvlText w:val="•"/>
      <w:lvlJc w:val="left"/>
      <w:pPr>
        <w:ind w:left="5107" w:hanging="639"/>
      </w:pPr>
      <w:rPr>
        <w:rFonts w:hint="default"/>
      </w:rPr>
    </w:lvl>
    <w:lvl w:ilvl="7">
      <w:start w:val="1"/>
      <w:numFmt w:val="bullet"/>
      <w:lvlText w:val="•"/>
      <w:lvlJc w:val="left"/>
      <w:pPr>
        <w:ind w:left="6445" w:hanging="639"/>
      </w:pPr>
      <w:rPr>
        <w:rFonts w:hint="default"/>
      </w:rPr>
    </w:lvl>
    <w:lvl w:ilvl="8">
      <w:start w:val="1"/>
      <w:numFmt w:val="bullet"/>
      <w:lvlText w:val="•"/>
      <w:lvlJc w:val="left"/>
      <w:pPr>
        <w:ind w:left="7783" w:hanging="639"/>
      </w:pPr>
      <w:rPr>
        <w:rFonts w:hint="default"/>
      </w:rPr>
    </w:lvl>
  </w:abstractNum>
  <w:abstractNum w:abstractNumId="9" w15:restartNumberingAfterBreak="0">
    <w:nsid w:val="21BD12DB"/>
    <w:multiLevelType w:val="hybridMultilevel"/>
    <w:tmpl w:val="30F0F650"/>
    <w:lvl w:ilvl="0" w:tplc="25709136">
      <w:start w:val="12"/>
      <w:numFmt w:val="upperLetter"/>
      <w:lvlText w:val="%1."/>
      <w:lvlJc w:val="left"/>
      <w:pPr>
        <w:ind w:left="2001" w:hanging="210"/>
      </w:pPr>
      <w:rPr>
        <w:rFonts w:ascii="Tahoma" w:eastAsia="Tahoma" w:hAnsi="Tahoma" w:hint="default"/>
        <w:i/>
        <w:spacing w:val="-2"/>
        <w:w w:val="98"/>
        <w:sz w:val="19"/>
        <w:szCs w:val="19"/>
      </w:rPr>
    </w:lvl>
    <w:lvl w:ilvl="1" w:tplc="567A1B9A">
      <w:start w:val="1"/>
      <w:numFmt w:val="bullet"/>
      <w:lvlText w:val="-"/>
      <w:lvlJc w:val="left"/>
      <w:pPr>
        <w:ind w:left="2469" w:hanging="339"/>
      </w:pPr>
      <w:rPr>
        <w:rFonts w:ascii="Tahoma" w:eastAsia="Tahoma" w:hAnsi="Tahoma" w:hint="default"/>
        <w:w w:val="103"/>
        <w:sz w:val="18"/>
        <w:szCs w:val="18"/>
      </w:rPr>
    </w:lvl>
    <w:lvl w:ilvl="2" w:tplc="5504E73C">
      <w:start w:val="1"/>
      <w:numFmt w:val="bullet"/>
      <w:lvlText w:val="•"/>
      <w:lvlJc w:val="left"/>
      <w:pPr>
        <w:ind w:left="3357" w:hanging="339"/>
      </w:pPr>
      <w:rPr>
        <w:rFonts w:hint="default"/>
      </w:rPr>
    </w:lvl>
    <w:lvl w:ilvl="3" w:tplc="93546D58">
      <w:start w:val="1"/>
      <w:numFmt w:val="bullet"/>
      <w:lvlText w:val="•"/>
      <w:lvlJc w:val="left"/>
      <w:pPr>
        <w:ind w:left="4245" w:hanging="339"/>
      </w:pPr>
      <w:rPr>
        <w:rFonts w:hint="default"/>
      </w:rPr>
    </w:lvl>
    <w:lvl w:ilvl="4" w:tplc="202E06A8">
      <w:start w:val="1"/>
      <w:numFmt w:val="bullet"/>
      <w:lvlText w:val="•"/>
      <w:lvlJc w:val="left"/>
      <w:pPr>
        <w:ind w:left="5133" w:hanging="339"/>
      </w:pPr>
      <w:rPr>
        <w:rFonts w:hint="default"/>
      </w:rPr>
    </w:lvl>
    <w:lvl w:ilvl="5" w:tplc="A558C5F8">
      <w:start w:val="1"/>
      <w:numFmt w:val="bullet"/>
      <w:lvlText w:val="•"/>
      <w:lvlJc w:val="left"/>
      <w:pPr>
        <w:ind w:left="6020" w:hanging="339"/>
      </w:pPr>
      <w:rPr>
        <w:rFonts w:hint="default"/>
      </w:rPr>
    </w:lvl>
    <w:lvl w:ilvl="6" w:tplc="31E21A48">
      <w:start w:val="1"/>
      <w:numFmt w:val="bullet"/>
      <w:lvlText w:val="•"/>
      <w:lvlJc w:val="left"/>
      <w:pPr>
        <w:ind w:left="6908" w:hanging="339"/>
      </w:pPr>
      <w:rPr>
        <w:rFonts w:hint="default"/>
      </w:rPr>
    </w:lvl>
    <w:lvl w:ilvl="7" w:tplc="8C284CBC">
      <w:start w:val="1"/>
      <w:numFmt w:val="bullet"/>
      <w:lvlText w:val="•"/>
      <w:lvlJc w:val="left"/>
      <w:pPr>
        <w:ind w:left="7796" w:hanging="339"/>
      </w:pPr>
      <w:rPr>
        <w:rFonts w:hint="default"/>
      </w:rPr>
    </w:lvl>
    <w:lvl w:ilvl="8" w:tplc="2B608FBE">
      <w:start w:val="1"/>
      <w:numFmt w:val="bullet"/>
      <w:lvlText w:val="•"/>
      <w:lvlJc w:val="left"/>
      <w:pPr>
        <w:ind w:left="8684" w:hanging="339"/>
      </w:pPr>
      <w:rPr>
        <w:rFonts w:hint="default"/>
      </w:rPr>
    </w:lvl>
  </w:abstractNum>
  <w:abstractNum w:abstractNumId="10" w15:restartNumberingAfterBreak="0">
    <w:nsid w:val="27AA6323"/>
    <w:multiLevelType w:val="hybridMultilevel"/>
    <w:tmpl w:val="1C1A60C8"/>
    <w:lvl w:ilvl="0" w:tplc="2DCC73A8">
      <w:start w:val="1"/>
      <w:numFmt w:val="bullet"/>
      <w:lvlText w:val=""/>
      <w:lvlJc w:val="left"/>
      <w:pPr>
        <w:ind w:left="240" w:hanging="240"/>
      </w:pPr>
      <w:rPr>
        <w:rFonts w:ascii="Wingdings" w:eastAsia="Wingdings" w:hAnsi="Wingdings" w:hint="default"/>
        <w:w w:val="101"/>
        <w:sz w:val="19"/>
        <w:szCs w:val="19"/>
      </w:rPr>
    </w:lvl>
    <w:lvl w:ilvl="1" w:tplc="5A5E48FC">
      <w:start w:val="1"/>
      <w:numFmt w:val="bullet"/>
      <w:lvlText w:val="•"/>
      <w:lvlJc w:val="left"/>
      <w:pPr>
        <w:ind w:left="443" w:hanging="240"/>
      </w:pPr>
      <w:rPr>
        <w:rFonts w:hint="default"/>
      </w:rPr>
    </w:lvl>
    <w:lvl w:ilvl="2" w:tplc="527AA9B6">
      <w:start w:val="1"/>
      <w:numFmt w:val="bullet"/>
      <w:lvlText w:val="•"/>
      <w:lvlJc w:val="left"/>
      <w:pPr>
        <w:ind w:left="646" w:hanging="240"/>
      </w:pPr>
      <w:rPr>
        <w:rFonts w:hint="default"/>
      </w:rPr>
    </w:lvl>
    <w:lvl w:ilvl="3" w:tplc="17300BBC">
      <w:start w:val="1"/>
      <w:numFmt w:val="bullet"/>
      <w:lvlText w:val="•"/>
      <w:lvlJc w:val="left"/>
      <w:pPr>
        <w:ind w:left="849" w:hanging="240"/>
      </w:pPr>
      <w:rPr>
        <w:rFonts w:hint="default"/>
      </w:rPr>
    </w:lvl>
    <w:lvl w:ilvl="4" w:tplc="77B03B62">
      <w:start w:val="1"/>
      <w:numFmt w:val="bullet"/>
      <w:lvlText w:val="•"/>
      <w:lvlJc w:val="left"/>
      <w:pPr>
        <w:ind w:left="1052" w:hanging="240"/>
      </w:pPr>
      <w:rPr>
        <w:rFonts w:hint="default"/>
      </w:rPr>
    </w:lvl>
    <w:lvl w:ilvl="5" w:tplc="B136F398">
      <w:start w:val="1"/>
      <w:numFmt w:val="bullet"/>
      <w:lvlText w:val="•"/>
      <w:lvlJc w:val="left"/>
      <w:pPr>
        <w:ind w:left="1255" w:hanging="240"/>
      </w:pPr>
      <w:rPr>
        <w:rFonts w:hint="default"/>
      </w:rPr>
    </w:lvl>
    <w:lvl w:ilvl="6" w:tplc="98EE84DC">
      <w:start w:val="1"/>
      <w:numFmt w:val="bullet"/>
      <w:lvlText w:val="•"/>
      <w:lvlJc w:val="left"/>
      <w:pPr>
        <w:ind w:left="1458" w:hanging="240"/>
      </w:pPr>
      <w:rPr>
        <w:rFonts w:hint="default"/>
      </w:rPr>
    </w:lvl>
    <w:lvl w:ilvl="7" w:tplc="8D3EEF9C">
      <w:start w:val="1"/>
      <w:numFmt w:val="bullet"/>
      <w:lvlText w:val="•"/>
      <w:lvlJc w:val="left"/>
      <w:pPr>
        <w:ind w:left="1661" w:hanging="240"/>
      </w:pPr>
      <w:rPr>
        <w:rFonts w:hint="default"/>
      </w:rPr>
    </w:lvl>
    <w:lvl w:ilvl="8" w:tplc="ED3C9BC0">
      <w:start w:val="1"/>
      <w:numFmt w:val="bullet"/>
      <w:lvlText w:val="•"/>
      <w:lvlJc w:val="left"/>
      <w:pPr>
        <w:ind w:left="1864" w:hanging="240"/>
      </w:pPr>
      <w:rPr>
        <w:rFonts w:hint="default"/>
      </w:rPr>
    </w:lvl>
  </w:abstractNum>
  <w:abstractNum w:abstractNumId="11" w15:restartNumberingAfterBreak="0">
    <w:nsid w:val="30D87CB1"/>
    <w:multiLevelType w:val="hybridMultilevel"/>
    <w:tmpl w:val="ED28DE1A"/>
    <w:lvl w:ilvl="0" w:tplc="1FE29B24">
      <w:start w:val="1"/>
      <w:numFmt w:val="bullet"/>
      <w:lvlText w:val="-"/>
      <w:lvlJc w:val="left"/>
      <w:pPr>
        <w:ind w:left="2469" w:hanging="120"/>
      </w:pPr>
      <w:rPr>
        <w:rFonts w:ascii="Tahoma" w:eastAsia="Tahoma" w:hAnsi="Tahoma" w:hint="default"/>
        <w:w w:val="103"/>
        <w:sz w:val="18"/>
        <w:szCs w:val="18"/>
      </w:rPr>
    </w:lvl>
    <w:lvl w:ilvl="1" w:tplc="1F38106A">
      <w:start w:val="1"/>
      <w:numFmt w:val="bullet"/>
      <w:lvlText w:val="•"/>
      <w:lvlJc w:val="left"/>
      <w:pPr>
        <w:ind w:left="3268" w:hanging="120"/>
      </w:pPr>
      <w:rPr>
        <w:rFonts w:hint="default"/>
      </w:rPr>
    </w:lvl>
    <w:lvl w:ilvl="2" w:tplc="26AC1CEC">
      <w:start w:val="1"/>
      <w:numFmt w:val="bullet"/>
      <w:lvlText w:val="•"/>
      <w:lvlJc w:val="left"/>
      <w:pPr>
        <w:ind w:left="4067" w:hanging="120"/>
      </w:pPr>
      <w:rPr>
        <w:rFonts w:hint="default"/>
      </w:rPr>
    </w:lvl>
    <w:lvl w:ilvl="3" w:tplc="D90EACCC">
      <w:start w:val="1"/>
      <w:numFmt w:val="bullet"/>
      <w:lvlText w:val="•"/>
      <w:lvlJc w:val="left"/>
      <w:pPr>
        <w:ind w:left="4866" w:hanging="120"/>
      </w:pPr>
      <w:rPr>
        <w:rFonts w:hint="default"/>
      </w:rPr>
    </w:lvl>
    <w:lvl w:ilvl="4" w:tplc="C2EC94BE">
      <w:start w:val="1"/>
      <w:numFmt w:val="bullet"/>
      <w:lvlText w:val="•"/>
      <w:lvlJc w:val="left"/>
      <w:pPr>
        <w:ind w:left="5665" w:hanging="120"/>
      </w:pPr>
      <w:rPr>
        <w:rFonts w:hint="default"/>
      </w:rPr>
    </w:lvl>
    <w:lvl w:ilvl="5" w:tplc="B8EE264C">
      <w:start w:val="1"/>
      <w:numFmt w:val="bullet"/>
      <w:lvlText w:val="•"/>
      <w:lvlJc w:val="left"/>
      <w:pPr>
        <w:ind w:left="6464" w:hanging="120"/>
      </w:pPr>
      <w:rPr>
        <w:rFonts w:hint="default"/>
      </w:rPr>
    </w:lvl>
    <w:lvl w:ilvl="6" w:tplc="84901EF6">
      <w:start w:val="1"/>
      <w:numFmt w:val="bullet"/>
      <w:lvlText w:val="•"/>
      <w:lvlJc w:val="left"/>
      <w:pPr>
        <w:ind w:left="7263" w:hanging="120"/>
      </w:pPr>
      <w:rPr>
        <w:rFonts w:hint="default"/>
      </w:rPr>
    </w:lvl>
    <w:lvl w:ilvl="7" w:tplc="4D1A74EC">
      <w:start w:val="1"/>
      <w:numFmt w:val="bullet"/>
      <w:lvlText w:val="•"/>
      <w:lvlJc w:val="left"/>
      <w:pPr>
        <w:ind w:left="8062" w:hanging="120"/>
      </w:pPr>
      <w:rPr>
        <w:rFonts w:hint="default"/>
      </w:rPr>
    </w:lvl>
    <w:lvl w:ilvl="8" w:tplc="11346F24">
      <w:start w:val="1"/>
      <w:numFmt w:val="bullet"/>
      <w:lvlText w:val="•"/>
      <w:lvlJc w:val="left"/>
      <w:pPr>
        <w:ind w:left="8861" w:hanging="120"/>
      </w:pPr>
      <w:rPr>
        <w:rFonts w:hint="default"/>
      </w:rPr>
    </w:lvl>
  </w:abstractNum>
  <w:abstractNum w:abstractNumId="12" w15:restartNumberingAfterBreak="0">
    <w:nsid w:val="3C1C3CE0"/>
    <w:multiLevelType w:val="multilevel"/>
    <w:tmpl w:val="7CDCA0D4"/>
    <w:lvl w:ilvl="0">
      <w:start w:val="3"/>
      <w:numFmt w:val="decimal"/>
      <w:lvlText w:val="%1"/>
      <w:lvlJc w:val="left"/>
      <w:pPr>
        <w:ind w:left="2750" w:hanging="958"/>
      </w:pPr>
      <w:rPr>
        <w:rFonts w:hint="default"/>
      </w:rPr>
    </w:lvl>
    <w:lvl w:ilvl="1">
      <w:start w:val="4"/>
      <w:numFmt w:val="decimal"/>
      <w:lvlText w:val="%1.%2"/>
      <w:lvlJc w:val="left"/>
      <w:pPr>
        <w:ind w:left="2750" w:hanging="958"/>
      </w:pPr>
      <w:rPr>
        <w:rFonts w:hint="default"/>
      </w:rPr>
    </w:lvl>
    <w:lvl w:ilvl="2">
      <w:start w:val="4"/>
      <w:numFmt w:val="decimal"/>
      <w:lvlText w:val="%1.%2.%3."/>
      <w:lvlJc w:val="left"/>
      <w:pPr>
        <w:ind w:left="2750" w:hanging="958"/>
      </w:pPr>
      <w:rPr>
        <w:rFonts w:ascii="Tahoma" w:eastAsia="Tahoma" w:hAnsi="Tahoma" w:hint="default"/>
        <w:b/>
        <w:bCs/>
        <w:color w:val="7E7E7E"/>
        <w:w w:val="103"/>
        <w:sz w:val="20"/>
        <w:szCs w:val="20"/>
      </w:rPr>
    </w:lvl>
    <w:lvl w:ilvl="3">
      <w:start w:val="1"/>
      <w:numFmt w:val="bullet"/>
      <w:lvlText w:val="•"/>
      <w:lvlJc w:val="left"/>
      <w:pPr>
        <w:ind w:left="5063" w:hanging="958"/>
      </w:pPr>
      <w:rPr>
        <w:rFonts w:hint="default"/>
      </w:rPr>
    </w:lvl>
    <w:lvl w:ilvl="4">
      <w:start w:val="1"/>
      <w:numFmt w:val="bullet"/>
      <w:lvlText w:val="•"/>
      <w:lvlJc w:val="left"/>
      <w:pPr>
        <w:ind w:left="5834" w:hanging="958"/>
      </w:pPr>
      <w:rPr>
        <w:rFonts w:hint="default"/>
      </w:rPr>
    </w:lvl>
    <w:lvl w:ilvl="5">
      <w:start w:val="1"/>
      <w:numFmt w:val="bullet"/>
      <w:lvlText w:val="•"/>
      <w:lvlJc w:val="left"/>
      <w:pPr>
        <w:ind w:left="6605" w:hanging="958"/>
      </w:pPr>
      <w:rPr>
        <w:rFonts w:hint="default"/>
      </w:rPr>
    </w:lvl>
    <w:lvl w:ilvl="6">
      <w:start w:val="1"/>
      <w:numFmt w:val="bullet"/>
      <w:lvlText w:val="•"/>
      <w:lvlJc w:val="left"/>
      <w:pPr>
        <w:ind w:left="7376" w:hanging="958"/>
      </w:pPr>
      <w:rPr>
        <w:rFonts w:hint="default"/>
      </w:rPr>
    </w:lvl>
    <w:lvl w:ilvl="7">
      <w:start w:val="1"/>
      <w:numFmt w:val="bullet"/>
      <w:lvlText w:val="•"/>
      <w:lvlJc w:val="left"/>
      <w:pPr>
        <w:ind w:left="8147" w:hanging="958"/>
      </w:pPr>
      <w:rPr>
        <w:rFonts w:hint="default"/>
      </w:rPr>
    </w:lvl>
    <w:lvl w:ilvl="8">
      <w:start w:val="1"/>
      <w:numFmt w:val="bullet"/>
      <w:lvlText w:val="•"/>
      <w:lvlJc w:val="left"/>
      <w:pPr>
        <w:ind w:left="8918" w:hanging="958"/>
      </w:pPr>
      <w:rPr>
        <w:rFonts w:hint="default"/>
      </w:rPr>
    </w:lvl>
  </w:abstractNum>
  <w:abstractNum w:abstractNumId="13" w15:restartNumberingAfterBreak="0">
    <w:nsid w:val="50DE1717"/>
    <w:multiLevelType w:val="hybridMultilevel"/>
    <w:tmpl w:val="20AE2CC6"/>
    <w:lvl w:ilvl="0" w:tplc="20C8132A">
      <w:start w:val="1"/>
      <w:numFmt w:val="bullet"/>
      <w:lvlText w:val=""/>
      <w:lvlJc w:val="left"/>
      <w:pPr>
        <w:ind w:left="242" w:hanging="243"/>
      </w:pPr>
      <w:rPr>
        <w:rFonts w:ascii="Wingdings" w:eastAsia="Wingdings" w:hAnsi="Wingdings" w:hint="default"/>
        <w:w w:val="101"/>
        <w:sz w:val="19"/>
        <w:szCs w:val="19"/>
      </w:rPr>
    </w:lvl>
    <w:lvl w:ilvl="1" w:tplc="922AF37C">
      <w:start w:val="1"/>
      <w:numFmt w:val="bullet"/>
      <w:lvlText w:val="•"/>
      <w:lvlJc w:val="left"/>
      <w:pPr>
        <w:ind w:left="452" w:hanging="243"/>
      </w:pPr>
      <w:rPr>
        <w:rFonts w:hint="default"/>
      </w:rPr>
    </w:lvl>
    <w:lvl w:ilvl="2" w:tplc="8C785DE8">
      <w:start w:val="1"/>
      <w:numFmt w:val="bullet"/>
      <w:lvlText w:val="•"/>
      <w:lvlJc w:val="left"/>
      <w:pPr>
        <w:ind w:left="661" w:hanging="243"/>
      </w:pPr>
      <w:rPr>
        <w:rFonts w:hint="default"/>
      </w:rPr>
    </w:lvl>
    <w:lvl w:ilvl="3" w:tplc="FED0195A">
      <w:start w:val="1"/>
      <w:numFmt w:val="bullet"/>
      <w:lvlText w:val="•"/>
      <w:lvlJc w:val="left"/>
      <w:pPr>
        <w:ind w:left="871" w:hanging="243"/>
      </w:pPr>
      <w:rPr>
        <w:rFonts w:hint="default"/>
      </w:rPr>
    </w:lvl>
    <w:lvl w:ilvl="4" w:tplc="171E54A6">
      <w:start w:val="1"/>
      <w:numFmt w:val="bullet"/>
      <w:lvlText w:val="•"/>
      <w:lvlJc w:val="left"/>
      <w:pPr>
        <w:ind w:left="1081" w:hanging="243"/>
      </w:pPr>
      <w:rPr>
        <w:rFonts w:hint="default"/>
      </w:rPr>
    </w:lvl>
    <w:lvl w:ilvl="5" w:tplc="FD36CBDE">
      <w:start w:val="1"/>
      <w:numFmt w:val="bullet"/>
      <w:lvlText w:val="•"/>
      <w:lvlJc w:val="left"/>
      <w:pPr>
        <w:ind w:left="1290" w:hanging="243"/>
      </w:pPr>
      <w:rPr>
        <w:rFonts w:hint="default"/>
      </w:rPr>
    </w:lvl>
    <w:lvl w:ilvl="6" w:tplc="B418A6A0">
      <w:start w:val="1"/>
      <w:numFmt w:val="bullet"/>
      <w:lvlText w:val="•"/>
      <w:lvlJc w:val="left"/>
      <w:pPr>
        <w:ind w:left="1500" w:hanging="243"/>
      </w:pPr>
      <w:rPr>
        <w:rFonts w:hint="default"/>
      </w:rPr>
    </w:lvl>
    <w:lvl w:ilvl="7" w:tplc="EB3C215C">
      <w:start w:val="1"/>
      <w:numFmt w:val="bullet"/>
      <w:lvlText w:val="•"/>
      <w:lvlJc w:val="left"/>
      <w:pPr>
        <w:ind w:left="1710" w:hanging="243"/>
      </w:pPr>
      <w:rPr>
        <w:rFonts w:hint="default"/>
      </w:rPr>
    </w:lvl>
    <w:lvl w:ilvl="8" w:tplc="3D623562">
      <w:start w:val="1"/>
      <w:numFmt w:val="bullet"/>
      <w:lvlText w:val="•"/>
      <w:lvlJc w:val="left"/>
      <w:pPr>
        <w:ind w:left="1919" w:hanging="243"/>
      </w:pPr>
      <w:rPr>
        <w:rFonts w:hint="default"/>
      </w:rPr>
    </w:lvl>
  </w:abstractNum>
  <w:abstractNum w:abstractNumId="14" w15:restartNumberingAfterBreak="0">
    <w:nsid w:val="5135131B"/>
    <w:multiLevelType w:val="hybridMultilevel"/>
    <w:tmpl w:val="41CE0C9E"/>
    <w:lvl w:ilvl="0" w:tplc="46D85E3E">
      <w:start w:val="1"/>
      <w:numFmt w:val="bullet"/>
      <w:lvlText w:val=""/>
      <w:lvlJc w:val="left"/>
      <w:pPr>
        <w:ind w:left="388" w:hanging="243"/>
      </w:pPr>
      <w:rPr>
        <w:rFonts w:ascii="Wingdings" w:eastAsia="Wingdings" w:hAnsi="Wingdings" w:hint="default"/>
        <w:w w:val="101"/>
        <w:sz w:val="19"/>
        <w:szCs w:val="19"/>
      </w:rPr>
    </w:lvl>
    <w:lvl w:ilvl="1" w:tplc="D5CEB6F2">
      <w:start w:val="1"/>
      <w:numFmt w:val="bullet"/>
      <w:lvlText w:val="•"/>
      <w:lvlJc w:val="left"/>
      <w:pPr>
        <w:ind w:left="569" w:hanging="243"/>
      </w:pPr>
      <w:rPr>
        <w:rFonts w:hint="default"/>
      </w:rPr>
    </w:lvl>
    <w:lvl w:ilvl="2" w:tplc="ED86DB3E">
      <w:start w:val="1"/>
      <w:numFmt w:val="bullet"/>
      <w:lvlText w:val="•"/>
      <w:lvlJc w:val="left"/>
      <w:pPr>
        <w:ind w:left="749" w:hanging="243"/>
      </w:pPr>
      <w:rPr>
        <w:rFonts w:hint="default"/>
      </w:rPr>
    </w:lvl>
    <w:lvl w:ilvl="3" w:tplc="55306D4C">
      <w:start w:val="1"/>
      <w:numFmt w:val="bullet"/>
      <w:lvlText w:val="•"/>
      <w:lvlJc w:val="left"/>
      <w:pPr>
        <w:ind w:left="930" w:hanging="243"/>
      </w:pPr>
      <w:rPr>
        <w:rFonts w:hint="default"/>
      </w:rPr>
    </w:lvl>
    <w:lvl w:ilvl="4" w:tplc="814246B4">
      <w:start w:val="1"/>
      <w:numFmt w:val="bullet"/>
      <w:lvlText w:val="•"/>
      <w:lvlJc w:val="left"/>
      <w:pPr>
        <w:ind w:left="1110" w:hanging="243"/>
      </w:pPr>
      <w:rPr>
        <w:rFonts w:hint="default"/>
      </w:rPr>
    </w:lvl>
    <w:lvl w:ilvl="5" w:tplc="B3B6F7B8">
      <w:start w:val="1"/>
      <w:numFmt w:val="bullet"/>
      <w:lvlText w:val="•"/>
      <w:lvlJc w:val="left"/>
      <w:pPr>
        <w:ind w:left="1291" w:hanging="243"/>
      </w:pPr>
      <w:rPr>
        <w:rFonts w:hint="default"/>
      </w:rPr>
    </w:lvl>
    <w:lvl w:ilvl="6" w:tplc="017C3B12">
      <w:start w:val="1"/>
      <w:numFmt w:val="bullet"/>
      <w:lvlText w:val="•"/>
      <w:lvlJc w:val="left"/>
      <w:pPr>
        <w:ind w:left="1471" w:hanging="243"/>
      </w:pPr>
      <w:rPr>
        <w:rFonts w:hint="default"/>
      </w:rPr>
    </w:lvl>
    <w:lvl w:ilvl="7" w:tplc="6E32E366">
      <w:start w:val="1"/>
      <w:numFmt w:val="bullet"/>
      <w:lvlText w:val="•"/>
      <w:lvlJc w:val="left"/>
      <w:pPr>
        <w:ind w:left="1652" w:hanging="243"/>
      </w:pPr>
      <w:rPr>
        <w:rFonts w:hint="default"/>
      </w:rPr>
    </w:lvl>
    <w:lvl w:ilvl="8" w:tplc="46A21DB0">
      <w:start w:val="1"/>
      <w:numFmt w:val="bullet"/>
      <w:lvlText w:val="•"/>
      <w:lvlJc w:val="left"/>
      <w:pPr>
        <w:ind w:left="1832" w:hanging="243"/>
      </w:pPr>
      <w:rPr>
        <w:rFonts w:hint="default"/>
      </w:rPr>
    </w:lvl>
  </w:abstractNum>
  <w:abstractNum w:abstractNumId="15" w15:restartNumberingAfterBreak="0">
    <w:nsid w:val="5A9B3127"/>
    <w:multiLevelType w:val="multilevel"/>
    <w:tmpl w:val="760E6C12"/>
    <w:lvl w:ilvl="0">
      <w:start w:val="3"/>
      <w:numFmt w:val="decimal"/>
      <w:lvlText w:val="%1"/>
      <w:lvlJc w:val="left"/>
      <w:pPr>
        <w:ind w:left="1090" w:hanging="958"/>
      </w:pPr>
      <w:rPr>
        <w:rFonts w:hint="default"/>
      </w:rPr>
    </w:lvl>
    <w:lvl w:ilvl="1">
      <w:start w:val="4"/>
      <w:numFmt w:val="decimal"/>
      <w:lvlText w:val="%1.%2"/>
      <w:lvlJc w:val="left"/>
      <w:pPr>
        <w:ind w:left="1090" w:hanging="958"/>
      </w:pPr>
      <w:rPr>
        <w:rFonts w:hint="default"/>
      </w:rPr>
    </w:lvl>
    <w:lvl w:ilvl="2">
      <w:start w:val="3"/>
      <w:numFmt w:val="decimal"/>
      <w:lvlText w:val="%1.%2.%3"/>
      <w:lvlJc w:val="left"/>
      <w:pPr>
        <w:ind w:left="1090" w:hanging="958"/>
      </w:pPr>
      <w:rPr>
        <w:rFonts w:hint="default"/>
      </w:rPr>
    </w:lvl>
    <w:lvl w:ilvl="3">
      <w:start w:val="1"/>
      <w:numFmt w:val="decimal"/>
      <w:lvlText w:val="%1.%2.%3.%4."/>
      <w:lvlJc w:val="left"/>
      <w:pPr>
        <w:ind w:left="1090" w:hanging="958"/>
      </w:pPr>
      <w:rPr>
        <w:rFonts w:ascii="Tahoma" w:eastAsia="Tahoma" w:hAnsi="Tahoma" w:hint="default"/>
        <w:b/>
        <w:bCs/>
        <w:spacing w:val="1"/>
        <w:w w:val="103"/>
        <w:sz w:val="18"/>
        <w:szCs w:val="18"/>
      </w:rPr>
    </w:lvl>
    <w:lvl w:ilvl="4">
      <w:start w:val="1"/>
      <w:numFmt w:val="bullet"/>
      <w:lvlText w:val="•"/>
      <w:lvlJc w:val="left"/>
      <w:pPr>
        <w:ind w:left="4220" w:hanging="958"/>
      </w:pPr>
      <w:rPr>
        <w:rFonts w:hint="default"/>
      </w:rPr>
    </w:lvl>
    <w:lvl w:ilvl="5">
      <w:start w:val="1"/>
      <w:numFmt w:val="bullet"/>
      <w:lvlText w:val="•"/>
      <w:lvlJc w:val="left"/>
      <w:pPr>
        <w:ind w:left="5263" w:hanging="958"/>
      </w:pPr>
      <w:rPr>
        <w:rFonts w:hint="default"/>
      </w:rPr>
    </w:lvl>
    <w:lvl w:ilvl="6">
      <w:start w:val="1"/>
      <w:numFmt w:val="bullet"/>
      <w:lvlText w:val="•"/>
      <w:lvlJc w:val="left"/>
      <w:pPr>
        <w:ind w:left="6306" w:hanging="958"/>
      </w:pPr>
      <w:rPr>
        <w:rFonts w:hint="default"/>
      </w:rPr>
    </w:lvl>
    <w:lvl w:ilvl="7">
      <w:start w:val="1"/>
      <w:numFmt w:val="bullet"/>
      <w:lvlText w:val="•"/>
      <w:lvlJc w:val="left"/>
      <w:pPr>
        <w:ind w:left="7350" w:hanging="958"/>
      </w:pPr>
      <w:rPr>
        <w:rFonts w:hint="default"/>
      </w:rPr>
    </w:lvl>
    <w:lvl w:ilvl="8">
      <w:start w:val="1"/>
      <w:numFmt w:val="bullet"/>
      <w:lvlText w:val="•"/>
      <w:lvlJc w:val="left"/>
      <w:pPr>
        <w:ind w:left="8393" w:hanging="958"/>
      </w:pPr>
      <w:rPr>
        <w:rFonts w:hint="default"/>
      </w:rPr>
    </w:lvl>
  </w:abstractNum>
  <w:abstractNum w:abstractNumId="16" w15:restartNumberingAfterBreak="0">
    <w:nsid w:val="5C9744E2"/>
    <w:multiLevelType w:val="multilevel"/>
    <w:tmpl w:val="8D2EA830"/>
    <w:lvl w:ilvl="0">
      <w:start w:val="3"/>
      <w:numFmt w:val="decimal"/>
      <w:lvlText w:val="%1"/>
      <w:lvlJc w:val="left"/>
      <w:pPr>
        <w:ind w:left="2750" w:hanging="958"/>
      </w:pPr>
      <w:rPr>
        <w:rFonts w:hint="default"/>
      </w:rPr>
    </w:lvl>
    <w:lvl w:ilvl="1">
      <w:start w:val="3"/>
      <w:numFmt w:val="decimal"/>
      <w:lvlText w:val="%1.%2"/>
      <w:lvlJc w:val="left"/>
      <w:pPr>
        <w:ind w:left="2750" w:hanging="958"/>
      </w:pPr>
      <w:rPr>
        <w:rFonts w:hint="default"/>
      </w:rPr>
    </w:lvl>
    <w:lvl w:ilvl="2">
      <w:start w:val="1"/>
      <w:numFmt w:val="decimal"/>
      <w:lvlText w:val="%1.%2.%3."/>
      <w:lvlJc w:val="left"/>
      <w:pPr>
        <w:ind w:left="1090" w:hanging="958"/>
        <w:jc w:val="right"/>
      </w:pPr>
      <w:rPr>
        <w:rFonts w:ascii="Tahoma" w:eastAsia="Tahoma" w:hAnsi="Tahoma" w:hint="default"/>
        <w:b/>
        <w:bCs/>
        <w:color w:val="7E7E7E"/>
        <w:w w:val="103"/>
        <w:sz w:val="20"/>
        <w:szCs w:val="20"/>
      </w:rPr>
    </w:lvl>
    <w:lvl w:ilvl="3">
      <w:start w:val="1"/>
      <w:numFmt w:val="bullet"/>
      <w:lvlText w:val="•"/>
      <w:lvlJc w:val="left"/>
      <w:pPr>
        <w:ind w:left="4485" w:hanging="958"/>
      </w:pPr>
      <w:rPr>
        <w:rFonts w:hint="default"/>
      </w:rPr>
    </w:lvl>
    <w:lvl w:ilvl="4">
      <w:start w:val="1"/>
      <w:numFmt w:val="bullet"/>
      <w:lvlText w:val="•"/>
      <w:lvlJc w:val="left"/>
      <w:pPr>
        <w:ind w:left="5353" w:hanging="958"/>
      </w:pPr>
      <w:rPr>
        <w:rFonts w:hint="default"/>
      </w:rPr>
    </w:lvl>
    <w:lvl w:ilvl="5">
      <w:start w:val="1"/>
      <w:numFmt w:val="bullet"/>
      <w:lvlText w:val="•"/>
      <w:lvlJc w:val="left"/>
      <w:pPr>
        <w:ind w:left="6221" w:hanging="958"/>
      </w:pPr>
      <w:rPr>
        <w:rFonts w:hint="default"/>
      </w:rPr>
    </w:lvl>
    <w:lvl w:ilvl="6">
      <w:start w:val="1"/>
      <w:numFmt w:val="bullet"/>
      <w:lvlText w:val="•"/>
      <w:lvlJc w:val="left"/>
      <w:pPr>
        <w:ind w:left="7089" w:hanging="958"/>
      </w:pPr>
      <w:rPr>
        <w:rFonts w:hint="default"/>
      </w:rPr>
    </w:lvl>
    <w:lvl w:ilvl="7">
      <w:start w:val="1"/>
      <w:numFmt w:val="bullet"/>
      <w:lvlText w:val="•"/>
      <w:lvlJc w:val="left"/>
      <w:pPr>
        <w:ind w:left="7956" w:hanging="958"/>
      </w:pPr>
      <w:rPr>
        <w:rFonts w:hint="default"/>
      </w:rPr>
    </w:lvl>
    <w:lvl w:ilvl="8">
      <w:start w:val="1"/>
      <w:numFmt w:val="bullet"/>
      <w:lvlText w:val="•"/>
      <w:lvlJc w:val="left"/>
      <w:pPr>
        <w:ind w:left="8824" w:hanging="958"/>
      </w:pPr>
      <w:rPr>
        <w:rFonts w:hint="default"/>
      </w:rPr>
    </w:lvl>
  </w:abstractNum>
  <w:abstractNum w:abstractNumId="17" w15:restartNumberingAfterBreak="0">
    <w:nsid w:val="61751301"/>
    <w:multiLevelType w:val="hybridMultilevel"/>
    <w:tmpl w:val="9E709F46"/>
    <w:lvl w:ilvl="0" w:tplc="EA58BB0A">
      <w:start w:val="1"/>
      <w:numFmt w:val="bullet"/>
      <w:lvlText w:val="o"/>
      <w:lvlJc w:val="left"/>
      <w:pPr>
        <w:ind w:left="3146" w:hanging="339"/>
      </w:pPr>
      <w:rPr>
        <w:rFonts w:ascii="Courier New" w:eastAsia="Courier New" w:hAnsi="Courier New" w:hint="default"/>
        <w:w w:val="103"/>
        <w:sz w:val="18"/>
        <w:szCs w:val="18"/>
      </w:rPr>
    </w:lvl>
    <w:lvl w:ilvl="1" w:tplc="1EDAE798">
      <w:start w:val="1"/>
      <w:numFmt w:val="bullet"/>
      <w:lvlText w:val="•"/>
      <w:lvlJc w:val="left"/>
      <w:pPr>
        <w:ind w:left="3877" w:hanging="339"/>
      </w:pPr>
      <w:rPr>
        <w:rFonts w:hint="default"/>
      </w:rPr>
    </w:lvl>
    <w:lvl w:ilvl="2" w:tplc="50264F2C">
      <w:start w:val="1"/>
      <w:numFmt w:val="bullet"/>
      <w:lvlText w:val="•"/>
      <w:lvlJc w:val="left"/>
      <w:pPr>
        <w:ind w:left="4609" w:hanging="339"/>
      </w:pPr>
      <w:rPr>
        <w:rFonts w:hint="default"/>
      </w:rPr>
    </w:lvl>
    <w:lvl w:ilvl="3" w:tplc="A17A5C94">
      <w:start w:val="1"/>
      <w:numFmt w:val="bullet"/>
      <w:lvlText w:val="•"/>
      <w:lvlJc w:val="left"/>
      <w:pPr>
        <w:ind w:left="5340" w:hanging="339"/>
      </w:pPr>
      <w:rPr>
        <w:rFonts w:hint="default"/>
      </w:rPr>
    </w:lvl>
    <w:lvl w:ilvl="4" w:tplc="0F36D0D6">
      <w:start w:val="1"/>
      <w:numFmt w:val="bullet"/>
      <w:lvlText w:val="•"/>
      <w:lvlJc w:val="left"/>
      <w:pPr>
        <w:ind w:left="6071" w:hanging="339"/>
      </w:pPr>
      <w:rPr>
        <w:rFonts w:hint="default"/>
      </w:rPr>
    </w:lvl>
    <w:lvl w:ilvl="5" w:tplc="24F64622">
      <w:start w:val="1"/>
      <w:numFmt w:val="bullet"/>
      <w:lvlText w:val="•"/>
      <w:lvlJc w:val="left"/>
      <w:pPr>
        <w:ind w:left="6803" w:hanging="339"/>
      </w:pPr>
      <w:rPr>
        <w:rFonts w:hint="default"/>
      </w:rPr>
    </w:lvl>
    <w:lvl w:ilvl="6" w:tplc="E2AC744A">
      <w:start w:val="1"/>
      <w:numFmt w:val="bullet"/>
      <w:lvlText w:val="•"/>
      <w:lvlJc w:val="left"/>
      <w:pPr>
        <w:ind w:left="7534" w:hanging="339"/>
      </w:pPr>
      <w:rPr>
        <w:rFonts w:hint="default"/>
      </w:rPr>
    </w:lvl>
    <w:lvl w:ilvl="7" w:tplc="9C026CC4">
      <w:start w:val="1"/>
      <w:numFmt w:val="bullet"/>
      <w:lvlText w:val="•"/>
      <w:lvlJc w:val="left"/>
      <w:pPr>
        <w:ind w:left="8265" w:hanging="339"/>
      </w:pPr>
      <w:rPr>
        <w:rFonts w:hint="default"/>
      </w:rPr>
    </w:lvl>
    <w:lvl w:ilvl="8" w:tplc="3DBA5A22">
      <w:start w:val="1"/>
      <w:numFmt w:val="bullet"/>
      <w:lvlText w:val="•"/>
      <w:lvlJc w:val="left"/>
      <w:pPr>
        <w:ind w:left="8997" w:hanging="339"/>
      </w:pPr>
      <w:rPr>
        <w:rFonts w:hint="default"/>
      </w:rPr>
    </w:lvl>
  </w:abstractNum>
  <w:abstractNum w:abstractNumId="18" w15:restartNumberingAfterBreak="0">
    <w:nsid w:val="64462F6F"/>
    <w:multiLevelType w:val="hybridMultilevel"/>
    <w:tmpl w:val="BF92BC18"/>
    <w:lvl w:ilvl="0" w:tplc="7714B816">
      <w:start w:val="12"/>
      <w:numFmt w:val="upperLetter"/>
      <w:lvlText w:val="%1."/>
      <w:lvlJc w:val="left"/>
      <w:pPr>
        <w:ind w:left="2001" w:hanging="210"/>
      </w:pPr>
      <w:rPr>
        <w:rFonts w:ascii="Tahoma" w:eastAsia="Tahoma" w:hAnsi="Tahoma" w:hint="default"/>
        <w:i/>
        <w:spacing w:val="-2"/>
        <w:w w:val="98"/>
        <w:sz w:val="19"/>
        <w:szCs w:val="19"/>
      </w:rPr>
    </w:lvl>
    <w:lvl w:ilvl="1" w:tplc="D4821314">
      <w:start w:val="1"/>
      <w:numFmt w:val="bullet"/>
      <w:lvlText w:val=""/>
      <w:lvlJc w:val="left"/>
      <w:pPr>
        <w:ind w:left="2469" w:hanging="339"/>
      </w:pPr>
      <w:rPr>
        <w:rFonts w:ascii="Symbol" w:eastAsia="Symbol" w:hAnsi="Symbol" w:hint="default"/>
        <w:w w:val="103"/>
        <w:sz w:val="18"/>
        <w:szCs w:val="18"/>
      </w:rPr>
    </w:lvl>
    <w:lvl w:ilvl="2" w:tplc="435C8018">
      <w:start w:val="1"/>
      <w:numFmt w:val="bullet"/>
      <w:lvlText w:val="•"/>
      <w:lvlJc w:val="left"/>
      <w:pPr>
        <w:ind w:left="3357" w:hanging="339"/>
      </w:pPr>
      <w:rPr>
        <w:rFonts w:hint="default"/>
      </w:rPr>
    </w:lvl>
    <w:lvl w:ilvl="3" w:tplc="7D9E9C34">
      <w:start w:val="1"/>
      <w:numFmt w:val="bullet"/>
      <w:lvlText w:val="•"/>
      <w:lvlJc w:val="left"/>
      <w:pPr>
        <w:ind w:left="4245" w:hanging="339"/>
      </w:pPr>
      <w:rPr>
        <w:rFonts w:hint="default"/>
      </w:rPr>
    </w:lvl>
    <w:lvl w:ilvl="4" w:tplc="0B946CE8">
      <w:start w:val="1"/>
      <w:numFmt w:val="bullet"/>
      <w:lvlText w:val="•"/>
      <w:lvlJc w:val="left"/>
      <w:pPr>
        <w:ind w:left="5133" w:hanging="339"/>
      </w:pPr>
      <w:rPr>
        <w:rFonts w:hint="default"/>
      </w:rPr>
    </w:lvl>
    <w:lvl w:ilvl="5" w:tplc="673A80F8">
      <w:start w:val="1"/>
      <w:numFmt w:val="bullet"/>
      <w:lvlText w:val="•"/>
      <w:lvlJc w:val="left"/>
      <w:pPr>
        <w:ind w:left="6020" w:hanging="339"/>
      </w:pPr>
      <w:rPr>
        <w:rFonts w:hint="default"/>
      </w:rPr>
    </w:lvl>
    <w:lvl w:ilvl="6" w:tplc="410A76F8">
      <w:start w:val="1"/>
      <w:numFmt w:val="bullet"/>
      <w:lvlText w:val="•"/>
      <w:lvlJc w:val="left"/>
      <w:pPr>
        <w:ind w:left="6908" w:hanging="339"/>
      </w:pPr>
      <w:rPr>
        <w:rFonts w:hint="default"/>
      </w:rPr>
    </w:lvl>
    <w:lvl w:ilvl="7" w:tplc="7690DC76">
      <w:start w:val="1"/>
      <w:numFmt w:val="bullet"/>
      <w:lvlText w:val="•"/>
      <w:lvlJc w:val="left"/>
      <w:pPr>
        <w:ind w:left="7796" w:hanging="339"/>
      </w:pPr>
      <w:rPr>
        <w:rFonts w:hint="default"/>
      </w:rPr>
    </w:lvl>
    <w:lvl w:ilvl="8" w:tplc="44DE6284">
      <w:start w:val="1"/>
      <w:numFmt w:val="bullet"/>
      <w:lvlText w:val="•"/>
      <w:lvlJc w:val="left"/>
      <w:pPr>
        <w:ind w:left="8684" w:hanging="339"/>
      </w:pPr>
      <w:rPr>
        <w:rFonts w:hint="default"/>
      </w:rPr>
    </w:lvl>
  </w:abstractNum>
  <w:abstractNum w:abstractNumId="19" w15:restartNumberingAfterBreak="0">
    <w:nsid w:val="71077680"/>
    <w:multiLevelType w:val="hybridMultilevel"/>
    <w:tmpl w:val="B4F833BA"/>
    <w:lvl w:ilvl="0" w:tplc="DDF80F98">
      <w:start w:val="1"/>
      <w:numFmt w:val="decimal"/>
      <w:lvlText w:val="%1."/>
      <w:lvlJc w:val="left"/>
      <w:pPr>
        <w:ind w:left="932" w:hanging="800"/>
      </w:pPr>
      <w:rPr>
        <w:rFonts w:ascii="Tahoma" w:eastAsia="Tahoma" w:hAnsi="Tahoma" w:hint="default"/>
        <w:spacing w:val="1"/>
        <w:w w:val="103"/>
        <w:sz w:val="18"/>
        <w:szCs w:val="18"/>
      </w:rPr>
    </w:lvl>
    <w:lvl w:ilvl="1" w:tplc="9BB292F0">
      <w:start w:val="1"/>
      <w:numFmt w:val="bullet"/>
      <w:lvlText w:val="•"/>
      <w:lvlJc w:val="left"/>
      <w:pPr>
        <w:ind w:left="1886" w:hanging="800"/>
      </w:pPr>
      <w:rPr>
        <w:rFonts w:hint="default"/>
      </w:rPr>
    </w:lvl>
    <w:lvl w:ilvl="2" w:tplc="A69675D6">
      <w:start w:val="1"/>
      <w:numFmt w:val="bullet"/>
      <w:lvlText w:val="•"/>
      <w:lvlJc w:val="left"/>
      <w:pPr>
        <w:ind w:left="2841" w:hanging="800"/>
      </w:pPr>
      <w:rPr>
        <w:rFonts w:hint="default"/>
      </w:rPr>
    </w:lvl>
    <w:lvl w:ilvl="3" w:tplc="0DFA7E2C">
      <w:start w:val="1"/>
      <w:numFmt w:val="bullet"/>
      <w:lvlText w:val="•"/>
      <w:lvlJc w:val="left"/>
      <w:pPr>
        <w:ind w:left="3796" w:hanging="800"/>
      </w:pPr>
      <w:rPr>
        <w:rFonts w:hint="default"/>
      </w:rPr>
    </w:lvl>
    <w:lvl w:ilvl="4" w:tplc="DFA096E2">
      <w:start w:val="1"/>
      <w:numFmt w:val="bullet"/>
      <w:lvlText w:val="•"/>
      <w:lvlJc w:val="left"/>
      <w:pPr>
        <w:ind w:left="4751" w:hanging="800"/>
      </w:pPr>
      <w:rPr>
        <w:rFonts w:hint="default"/>
      </w:rPr>
    </w:lvl>
    <w:lvl w:ilvl="5" w:tplc="C99CF780">
      <w:start w:val="1"/>
      <w:numFmt w:val="bullet"/>
      <w:lvlText w:val="•"/>
      <w:lvlJc w:val="left"/>
      <w:pPr>
        <w:ind w:left="5706" w:hanging="800"/>
      </w:pPr>
      <w:rPr>
        <w:rFonts w:hint="default"/>
      </w:rPr>
    </w:lvl>
    <w:lvl w:ilvl="6" w:tplc="829CFEC4">
      <w:start w:val="1"/>
      <w:numFmt w:val="bullet"/>
      <w:lvlText w:val="•"/>
      <w:lvlJc w:val="left"/>
      <w:pPr>
        <w:ind w:left="6660" w:hanging="800"/>
      </w:pPr>
      <w:rPr>
        <w:rFonts w:hint="default"/>
      </w:rPr>
    </w:lvl>
    <w:lvl w:ilvl="7" w:tplc="3E40AF9A">
      <w:start w:val="1"/>
      <w:numFmt w:val="bullet"/>
      <w:lvlText w:val="•"/>
      <w:lvlJc w:val="left"/>
      <w:pPr>
        <w:ind w:left="7615" w:hanging="800"/>
      </w:pPr>
      <w:rPr>
        <w:rFonts w:hint="default"/>
      </w:rPr>
    </w:lvl>
    <w:lvl w:ilvl="8" w:tplc="37B8EBDE">
      <w:start w:val="1"/>
      <w:numFmt w:val="bullet"/>
      <w:lvlText w:val="•"/>
      <w:lvlJc w:val="left"/>
      <w:pPr>
        <w:ind w:left="8570" w:hanging="800"/>
      </w:pPr>
      <w:rPr>
        <w:rFonts w:hint="default"/>
      </w:rPr>
    </w:lvl>
  </w:abstractNum>
  <w:abstractNum w:abstractNumId="20" w15:restartNumberingAfterBreak="0">
    <w:nsid w:val="752B34E6"/>
    <w:multiLevelType w:val="multilevel"/>
    <w:tmpl w:val="A30C791C"/>
    <w:lvl w:ilvl="0">
      <w:start w:val="3"/>
      <w:numFmt w:val="decimal"/>
      <w:lvlText w:val="%1"/>
      <w:lvlJc w:val="left"/>
      <w:pPr>
        <w:ind w:left="2750" w:hanging="958"/>
      </w:pPr>
      <w:rPr>
        <w:rFonts w:hint="default"/>
      </w:rPr>
    </w:lvl>
    <w:lvl w:ilvl="1">
      <w:start w:val="3"/>
      <w:numFmt w:val="decimal"/>
      <w:lvlText w:val="%1.%2"/>
      <w:lvlJc w:val="left"/>
      <w:pPr>
        <w:ind w:left="2750" w:hanging="958"/>
      </w:pPr>
      <w:rPr>
        <w:rFonts w:hint="default"/>
      </w:rPr>
    </w:lvl>
    <w:lvl w:ilvl="2">
      <w:start w:val="3"/>
      <w:numFmt w:val="decimal"/>
      <w:lvlText w:val="%1.%2.%3"/>
      <w:lvlJc w:val="left"/>
      <w:pPr>
        <w:ind w:left="2750" w:hanging="958"/>
      </w:pPr>
      <w:rPr>
        <w:rFonts w:hint="default"/>
      </w:rPr>
    </w:lvl>
    <w:lvl w:ilvl="3">
      <w:start w:val="1"/>
      <w:numFmt w:val="decimal"/>
      <w:lvlText w:val="%1.%2.%3.%4."/>
      <w:lvlJc w:val="left"/>
      <w:pPr>
        <w:ind w:left="2750" w:hanging="958"/>
      </w:pPr>
      <w:rPr>
        <w:rFonts w:ascii="Tahoma" w:eastAsia="Tahoma" w:hAnsi="Tahoma" w:hint="default"/>
        <w:b/>
        <w:bCs/>
        <w:spacing w:val="1"/>
        <w:w w:val="103"/>
        <w:sz w:val="18"/>
        <w:szCs w:val="18"/>
      </w:rPr>
    </w:lvl>
    <w:lvl w:ilvl="4">
      <w:start w:val="1"/>
      <w:numFmt w:val="bullet"/>
      <w:lvlText w:val="•"/>
      <w:lvlJc w:val="left"/>
      <w:pPr>
        <w:ind w:left="5834" w:hanging="958"/>
      </w:pPr>
      <w:rPr>
        <w:rFonts w:hint="default"/>
      </w:rPr>
    </w:lvl>
    <w:lvl w:ilvl="5">
      <w:start w:val="1"/>
      <w:numFmt w:val="bullet"/>
      <w:lvlText w:val="•"/>
      <w:lvlJc w:val="left"/>
      <w:pPr>
        <w:ind w:left="6605" w:hanging="958"/>
      </w:pPr>
      <w:rPr>
        <w:rFonts w:hint="default"/>
      </w:rPr>
    </w:lvl>
    <w:lvl w:ilvl="6">
      <w:start w:val="1"/>
      <w:numFmt w:val="bullet"/>
      <w:lvlText w:val="•"/>
      <w:lvlJc w:val="left"/>
      <w:pPr>
        <w:ind w:left="7376" w:hanging="958"/>
      </w:pPr>
      <w:rPr>
        <w:rFonts w:hint="default"/>
      </w:rPr>
    </w:lvl>
    <w:lvl w:ilvl="7">
      <w:start w:val="1"/>
      <w:numFmt w:val="bullet"/>
      <w:lvlText w:val="•"/>
      <w:lvlJc w:val="left"/>
      <w:pPr>
        <w:ind w:left="8147" w:hanging="958"/>
      </w:pPr>
      <w:rPr>
        <w:rFonts w:hint="default"/>
      </w:rPr>
    </w:lvl>
    <w:lvl w:ilvl="8">
      <w:start w:val="1"/>
      <w:numFmt w:val="bullet"/>
      <w:lvlText w:val="•"/>
      <w:lvlJc w:val="left"/>
      <w:pPr>
        <w:ind w:left="8918" w:hanging="958"/>
      </w:pPr>
      <w:rPr>
        <w:rFonts w:hint="default"/>
      </w:rPr>
    </w:lvl>
  </w:abstractNum>
  <w:abstractNum w:abstractNumId="21" w15:restartNumberingAfterBreak="0">
    <w:nsid w:val="79655DF5"/>
    <w:multiLevelType w:val="hybridMultilevel"/>
    <w:tmpl w:val="AF9EBEE2"/>
    <w:lvl w:ilvl="0" w:tplc="59D48694">
      <w:start w:val="12"/>
      <w:numFmt w:val="upperLetter"/>
      <w:lvlText w:val="%1."/>
      <w:lvlJc w:val="left"/>
      <w:pPr>
        <w:ind w:left="132" w:hanging="212"/>
      </w:pPr>
      <w:rPr>
        <w:rFonts w:ascii="Tahoma" w:eastAsia="Tahoma" w:hAnsi="Tahoma" w:hint="default"/>
        <w:i/>
        <w:spacing w:val="-2"/>
        <w:w w:val="98"/>
        <w:sz w:val="19"/>
        <w:szCs w:val="19"/>
      </w:rPr>
    </w:lvl>
    <w:lvl w:ilvl="1" w:tplc="55841CA2">
      <w:start w:val="1"/>
      <w:numFmt w:val="bullet"/>
      <w:lvlText w:val=""/>
      <w:lvlJc w:val="left"/>
      <w:pPr>
        <w:ind w:left="809" w:hanging="339"/>
      </w:pPr>
      <w:rPr>
        <w:rFonts w:ascii="Symbol" w:eastAsia="Symbol" w:hAnsi="Symbol" w:hint="default"/>
        <w:w w:val="103"/>
        <w:sz w:val="18"/>
        <w:szCs w:val="18"/>
      </w:rPr>
    </w:lvl>
    <w:lvl w:ilvl="2" w:tplc="D5C22AD4">
      <w:start w:val="1"/>
      <w:numFmt w:val="bullet"/>
      <w:lvlText w:val="•"/>
      <w:lvlJc w:val="left"/>
      <w:pPr>
        <w:ind w:left="1792" w:hanging="339"/>
      </w:pPr>
      <w:rPr>
        <w:rFonts w:hint="default"/>
      </w:rPr>
    </w:lvl>
    <w:lvl w:ilvl="3" w:tplc="6CD80DD0">
      <w:start w:val="1"/>
      <w:numFmt w:val="bullet"/>
      <w:lvlText w:val="•"/>
      <w:lvlJc w:val="left"/>
      <w:pPr>
        <w:ind w:left="2668" w:hanging="339"/>
      </w:pPr>
      <w:rPr>
        <w:rFonts w:hint="default"/>
      </w:rPr>
    </w:lvl>
    <w:lvl w:ilvl="4" w:tplc="249E3F5A">
      <w:start w:val="1"/>
      <w:numFmt w:val="bullet"/>
      <w:lvlText w:val="•"/>
      <w:lvlJc w:val="left"/>
      <w:pPr>
        <w:ind w:left="3544" w:hanging="339"/>
      </w:pPr>
      <w:rPr>
        <w:rFonts w:hint="default"/>
      </w:rPr>
    </w:lvl>
    <w:lvl w:ilvl="5" w:tplc="D558403A">
      <w:start w:val="1"/>
      <w:numFmt w:val="bullet"/>
      <w:lvlText w:val="•"/>
      <w:lvlJc w:val="left"/>
      <w:pPr>
        <w:ind w:left="4420" w:hanging="339"/>
      </w:pPr>
      <w:rPr>
        <w:rFonts w:hint="default"/>
      </w:rPr>
    </w:lvl>
    <w:lvl w:ilvl="6" w:tplc="7EBC779E">
      <w:start w:val="1"/>
      <w:numFmt w:val="bullet"/>
      <w:lvlText w:val="•"/>
      <w:lvlJc w:val="left"/>
      <w:pPr>
        <w:ind w:left="5296" w:hanging="339"/>
      </w:pPr>
      <w:rPr>
        <w:rFonts w:hint="default"/>
      </w:rPr>
    </w:lvl>
    <w:lvl w:ilvl="7" w:tplc="74D21B8A">
      <w:start w:val="1"/>
      <w:numFmt w:val="bullet"/>
      <w:lvlText w:val="•"/>
      <w:lvlJc w:val="left"/>
      <w:pPr>
        <w:ind w:left="6172" w:hanging="339"/>
      </w:pPr>
      <w:rPr>
        <w:rFonts w:hint="default"/>
      </w:rPr>
    </w:lvl>
    <w:lvl w:ilvl="8" w:tplc="D56044D2">
      <w:start w:val="1"/>
      <w:numFmt w:val="bullet"/>
      <w:lvlText w:val="•"/>
      <w:lvlJc w:val="left"/>
      <w:pPr>
        <w:ind w:left="7048" w:hanging="339"/>
      </w:pPr>
      <w:rPr>
        <w:rFonts w:hint="default"/>
      </w:rPr>
    </w:lvl>
  </w:abstractNum>
  <w:abstractNum w:abstractNumId="22" w15:restartNumberingAfterBreak="0">
    <w:nsid w:val="7F663E20"/>
    <w:multiLevelType w:val="multilevel"/>
    <w:tmpl w:val="A5AE9476"/>
    <w:lvl w:ilvl="0">
      <w:start w:val="3"/>
      <w:numFmt w:val="decimal"/>
      <w:lvlText w:val="%1"/>
      <w:lvlJc w:val="left"/>
      <w:pPr>
        <w:ind w:left="2750" w:hanging="958"/>
      </w:pPr>
      <w:rPr>
        <w:rFonts w:hint="default"/>
      </w:rPr>
    </w:lvl>
    <w:lvl w:ilvl="1">
      <w:start w:val="4"/>
      <w:numFmt w:val="decimal"/>
      <w:lvlText w:val="%1.%2."/>
      <w:lvlJc w:val="left"/>
      <w:pPr>
        <w:ind w:left="2750" w:hanging="958"/>
      </w:pPr>
      <w:rPr>
        <w:rFonts w:ascii="Tahoma" w:eastAsia="Tahoma" w:hAnsi="Tahoma" w:hint="default"/>
        <w:b/>
        <w:bCs/>
        <w:color w:val="7E7E7E"/>
        <w:w w:val="102"/>
        <w:sz w:val="22"/>
        <w:szCs w:val="22"/>
      </w:rPr>
    </w:lvl>
    <w:lvl w:ilvl="2">
      <w:start w:val="1"/>
      <w:numFmt w:val="bullet"/>
      <w:lvlText w:val=""/>
      <w:lvlJc w:val="left"/>
      <w:pPr>
        <w:ind w:left="2469" w:hanging="339"/>
      </w:pPr>
      <w:rPr>
        <w:rFonts w:ascii="Symbol" w:eastAsia="Symbol" w:hAnsi="Symbol" w:hint="default"/>
        <w:w w:val="103"/>
        <w:sz w:val="18"/>
        <w:szCs w:val="18"/>
      </w:rPr>
    </w:lvl>
    <w:lvl w:ilvl="3">
      <w:start w:val="1"/>
      <w:numFmt w:val="bullet"/>
      <w:lvlText w:val="•"/>
      <w:lvlJc w:val="left"/>
      <w:pPr>
        <w:ind w:left="4463" w:hanging="339"/>
      </w:pPr>
      <w:rPr>
        <w:rFonts w:hint="default"/>
      </w:rPr>
    </w:lvl>
    <w:lvl w:ilvl="4">
      <w:start w:val="1"/>
      <w:numFmt w:val="bullet"/>
      <w:lvlText w:val="•"/>
      <w:lvlJc w:val="left"/>
      <w:pPr>
        <w:ind w:left="5320" w:hanging="339"/>
      </w:pPr>
      <w:rPr>
        <w:rFonts w:hint="default"/>
      </w:rPr>
    </w:lvl>
    <w:lvl w:ilvl="5">
      <w:start w:val="1"/>
      <w:numFmt w:val="bullet"/>
      <w:lvlText w:val="•"/>
      <w:lvlJc w:val="left"/>
      <w:pPr>
        <w:ind w:left="6176" w:hanging="339"/>
      </w:pPr>
      <w:rPr>
        <w:rFonts w:hint="default"/>
      </w:rPr>
    </w:lvl>
    <w:lvl w:ilvl="6">
      <w:start w:val="1"/>
      <w:numFmt w:val="bullet"/>
      <w:lvlText w:val="•"/>
      <w:lvlJc w:val="left"/>
      <w:pPr>
        <w:ind w:left="7033" w:hanging="339"/>
      </w:pPr>
      <w:rPr>
        <w:rFonts w:hint="default"/>
      </w:rPr>
    </w:lvl>
    <w:lvl w:ilvl="7">
      <w:start w:val="1"/>
      <w:numFmt w:val="bullet"/>
      <w:lvlText w:val="•"/>
      <w:lvlJc w:val="left"/>
      <w:pPr>
        <w:ind w:left="7890" w:hanging="339"/>
      </w:pPr>
      <w:rPr>
        <w:rFonts w:hint="default"/>
      </w:rPr>
    </w:lvl>
    <w:lvl w:ilvl="8">
      <w:start w:val="1"/>
      <w:numFmt w:val="bullet"/>
      <w:lvlText w:val="•"/>
      <w:lvlJc w:val="left"/>
      <w:pPr>
        <w:ind w:left="8746" w:hanging="339"/>
      </w:pPr>
      <w:rPr>
        <w:rFonts w:hint="default"/>
      </w:rPr>
    </w:lvl>
  </w:abstractNum>
  <w:num w:numId="1">
    <w:abstractNumId w:val="0"/>
  </w:num>
  <w:num w:numId="2">
    <w:abstractNumId w:val="17"/>
  </w:num>
  <w:num w:numId="3">
    <w:abstractNumId w:val="7"/>
  </w:num>
  <w:num w:numId="4">
    <w:abstractNumId w:val="12"/>
  </w:num>
  <w:num w:numId="5">
    <w:abstractNumId w:val="18"/>
  </w:num>
  <w:num w:numId="6">
    <w:abstractNumId w:val="21"/>
  </w:num>
  <w:num w:numId="7">
    <w:abstractNumId w:val="15"/>
  </w:num>
  <w:num w:numId="8">
    <w:abstractNumId w:val="1"/>
  </w:num>
  <w:num w:numId="9">
    <w:abstractNumId w:val="2"/>
  </w:num>
  <w:num w:numId="10">
    <w:abstractNumId w:val="4"/>
  </w:num>
  <w:num w:numId="11">
    <w:abstractNumId w:val="6"/>
  </w:num>
  <w:num w:numId="12">
    <w:abstractNumId w:val="22"/>
  </w:num>
  <w:num w:numId="13">
    <w:abstractNumId w:val="20"/>
  </w:num>
  <w:num w:numId="14">
    <w:abstractNumId w:val="16"/>
  </w:num>
  <w:num w:numId="15">
    <w:abstractNumId w:val="13"/>
  </w:num>
  <w:num w:numId="16">
    <w:abstractNumId w:val="10"/>
  </w:num>
  <w:num w:numId="17">
    <w:abstractNumId w:val="14"/>
  </w:num>
  <w:num w:numId="18">
    <w:abstractNumId w:val="11"/>
  </w:num>
  <w:num w:numId="19">
    <w:abstractNumId w:val="5"/>
  </w:num>
  <w:num w:numId="20">
    <w:abstractNumId w:val="9"/>
  </w:num>
  <w:num w:numId="21">
    <w:abstractNumId w:val="19"/>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B0439"/>
    <w:rsid w:val="00061B46"/>
    <w:rsid w:val="00082E13"/>
    <w:rsid w:val="000C1936"/>
    <w:rsid w:val="00132A13"/>
    <w:rsid w:val="00150B9E"/>
    <w:rsid w:val="001529C6"/>
    <w:rsid w:val="001B6F3C"/>
    <w:rsid w:val="00270842"/>
    <w:rsid w:val="00287963"/>
    <w:rsid w:val="002974C6"/>
    <w:rsid w:val="00333E26"/>
    <w:rsid w:val="003E589A"/>
    <w:rsid w:val="004650EF"/>
    <w:rsid w:val="0047083B"/>
    <w:rsid w:val="004A412A"/>
    <w:rsid w:val="0052293E"/>
    <w:rsid w:val="00531598"/>
    <w:rsid w:val="00564A55"/>
    <w:rsid w:val="005A431E"/>
    <w:rsid w:val="005D6BAD"/>
    <w:rsid w:val="0077627A"/>
    <w:rsid w:val="007964EC"/>
    <w:rsid w:val="007B0439"/>
    <w:rsid w:val="007F775F"/>
    <w:rsid w:val="009148C2"/>
    <w:rsid w:val="00A2385B"/>
    <w:rsid w:val="00A36BCA"/>
    <w:rsid w:val="00AA563E"/>
    <w:rsid w:val="00B13670"/>
    <w:rsid w:val="00BB29A1"/>
    <w:rsid w:val="00BE1F35"/>
    <w:rsid w:val="00BE6BA7"/>
    <w:rsid w:val="00C02E51"/>
    <w:rsid w:val="00C03080"/>
    <w:rsid w:val="00C13858"/>
    <w:rsid w:val="00D5374A"/>
    <w:rsid w:val="00D91D8D"/>
    <w:rsid w:val="00EF22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4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061B46"/>
    <w:pPr>
      <w:jc w:val="both"/>
      <w:outlineLvl w:val="0"/>
    </w:pPr>
    <w:rPr>
      <w:rFonts w:ascii="Times New Roman" w:eastAsia="Tahoma" w:hAnsi="Times New Roman"/>
      <w:b/>
      <w:bCs/>
      <w:sz w:val="24"/>
    </w:rPr>
  </w:style>
  <w:style w:type="paragraph" w:styleId="Heading2">
    <w:name w:val="heading 2"/>
    <w:basedOn w:val="Normal"/>
    <w:uiPriority w:val="9"/>
    <w:unhideWhenUsed/>
    <w:qFormat/>
    <w:pPr>
      <w:spacing w:before="109"/>
      <w:ind w:left="1090" w:hanging="958"/>
      <w:outlineLvl w:val="1"/>
    </w:pPr>
    <w:rPr>
      <w:rFonts w:ascii="Tahoma" w:eastAsia="Tahoma" w:hAnsi="Tahoma"/>
      <w:b/>
      <w:bCs/>
      <w:sz w:val="20"/>
      <w:szCs w:val="20"/>
    </w:rPr>
  </w:style>
  <w:style w:type="paragraph" w:styleId="Heading3">
    <w:name w:val="heading 3"/>
    <w:basedOn w:val="Normal"/>
    <w:uiPriority w:val="9"/>
    <w:unhideWhenUsed/>
    <w:qFormat/>
    <w:pPr>
      <w:spacing w:before="44"/>
      <w:ind w:left="100"/>
      <w:outlineLvl w:val="2"/>
    </w:pPr>
    <w:rPr>
      <w:rFonts w:ascii="Calibri" w:eastAsia="Calibri" w:hAnsi="Calibri"/>
      <w:sz w:val="20"/>
      <w:szCs w:val="20"/>
    </w:rPr>
  </w:style>
  <w:style w:type="paragraph" w:styleId="Heading4">
    <w:name w:val="heading 4"/>
    <w:basedOn w:val="Normal"/>
    <w:uiPriority w:val="9"/>
    <w:semiHidden/>
    <w:unhideWhenUsed/>
    <w:qFormat/>
    <w:pPr>
      <w:ind w:left="132"/>
      <w:outlineLvl w:val="3"/>
    </w:pPr>
    <w:rPr>
      <w:rFonts w:ascii="Tahoma" w:eastAsia="Tahoma" w:hAnsi="Tahoma"/>
      <w:i/>
      <w:sz w:val="19"/>
      <w:szCs w:val="19"/>
    </w:rPr>
  </w:style>
  <w:style w:type="paragraph" w:styleId="Heading5">
    <w:name w:val="heading 5"/>
    <w:basedOn w:val="Normal"/>
    <w:uiPriority w:val="9"/>
    <w:semiHidden/>
    <w:unhideWhenUsed/>
    <w:qFormat/>
    <w:pPr>
      <w:ind w:left="1090" w:hanging="958"/>
      <w:outlineLvl w:val="4"/>
    </w:pPr>
    <w:rPr>
      <w:rFonts w:ascii="Tahoma" w:eastAsia="Tahoma" w:hAnsi="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
      <w:ind w:left="2431" w:hanging="639"/>
    </w:pPr>
    <w:rPr>
      <w:rFonts w:ascii="Tahoma" w:eastAsia="Tahoma" w:hAnsi="Tahoma"/>
      <w:sz w:val="18"/>
      <w:szCs w:val="18"/>
    </w:rPr>
  </w:style>
  <w:style w:type="paragraph" w:styleId="TOC2">
    <w:name w:val="toc 2"/>
    <w:basedOn w:val="Normal"/>
    <w:uiPriority w:val="1"/>
    <w:qFormat/>
    <w:pPr>
      <w:ind w:left="2431" w:hanging="639"/>
    </w:pPr>
    <w:rPr>
      <w:rFonts w:ascii="Tahoma" w:eastAsia="Tahoma" w:hAnsi="Tahoma"/>
      <w:b/>
      <w:bCs/>
      <w:i/>
    </w:rPr>
  </w:style>
  <w:style w:type="paragraph" w:styleId="BodyText">
    <w:name w:val="Body Text"/>
    <w:basedOn w:val="Normal"/>
    <w:uiPriority w:val="1"/>
    <w:qFormat/>
    <w:pPr>
      <w:ind w:left="132"/>
    </w:pPr>
    <w:rPr>
      <w:rFonts w:ascii="Tahoma" w:eastAsia="Tahoma" w:hAnsi="Tahom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708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42"/>
    <w:rPr>
      <w:rFonts w:ascii="Segoe UI" w:hAnsi="Segoe UI" w:cs="Segoe UI"/>
      <w:sz w:val="18"/>
      <w:szCs w:val="18"/>
    </w:rPr>
  </w:style>
  <w:style w:type="paragraph" w:styleId="Header">
    <w:name w:val="header"/>
    <w:basedOn w:val="Normal"/>
    <w:link w:val="HeaderChar"/>
    <w:unhideWhenUsed/>
    <w:rsid w:val="00270842"/>
    <w:pPr>
      <w:tabs>
        <w:tab w:val="center" w:pos="4513"/>
        <w:tab w:val="right" w:pos="9026"/>
      </w:tabs>
    </w:pPr>
  </w:style>
  <w:style w:type="character" w:customStyle="1" w:styleId="HeaderChar">
    <w:name w:val="Header Char"/>
    <w:basedOn w:val="DefaultParagraphFont"/>
    <w:link w:val="Header"/>
    <w:uiPriority w:val="99"/>
    <w:rsid w:val="00270842"/>
  </w:style>
  <w:style w:type="paragraph" w:styleId="Footer">
    <w:name w:val="footer"/>
    <w:basedOn w:val="Normal"/>
    <w:link w:val="FooterChar"/>
    <w:unhideWhenUsed/>
    <w:rsid w:val="00270842"/>
    <w:pPr>
      <w:tabs>
        <w:tab w:val="center" w:pos="4513"/>
        <w:tab w:val="right" w:pos="9026"/>
      </w:tabs>
    </w:pPr>
  </w:style>
  <w:style w:type="character" w:customStyle="1" w:styleId="FooterChar">
    <w:name w:val="Footer Char"/>
    <w:basedOn w:val="DefaultParagraphFont"/>
    <w:link w:val="Footer"/>
    <w:uiPriority w:val="99"/>
    <w:rsid w:val="00270842"/>
  </w:style>
  <w:style w:type="table" w:styleId="TableGrid">
    <w:name w:val="Table Grid"/>
    <w:basedOn w:val="TableNormal"/>
    <w:uiPriority w:val="39"/>
    <w:rsid w:val="00465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6F3C"/>
    <w:rPr>
      <w:sz w:val="20"/>
      <w:szCs w:val="20"/>
    </w:rPr>
  </w:style>
  <w:style w:type="character" w:customStyle="1" w:styleId="FootnoteTextChar">
    <w:name w:val="Footnote Text Char"/>
    <w:basedOn w:val="DefaultParagraphFont"/>
    <w:link w:val="FootnoteText"/>
    <w:uiPriority w:val="99"/>
    <w:semiHidden/>
    <w:rsid w:val="001B6F3C"/>
    <w:rPr>
      <w:sz w:val="20"/>
      <w:szCs w:val="20"/>
    </w:rPr>
  </w:style>
  <w:style w:type="character" w:styleId="FootnoteReference">
    <w:name w:val="footnote reference"/>
    <w:basedOn w:val="DefaultParagraphFont"/>
    <w:uiPriority w:val="99"/>
    <w:semiHidden/>
    <w:unhideWhenUsed/>
    <w:rsid w:val="001B6F3C"/>
    <w:rPr>
      <w:vertAlign w:val="superscript"/>
    </w:rPr>
  </w:style>
  <w:style w:type="character" w:styleId="Hyperlink">
    <w:name w:val="Hyperlink"/>
    <w:basedOn w:val="DefaultParagraphFont"/>
    <w:uiPriority w:val="99"/>
    <w:unhideWhenUsed/>
    <w:rsid w:val="00A2385B"/>
    <w:rPr>
      <w:color w:val="0000FF" w:themeColor="hyperlink"/>
      <w:u w:val="single"/>
    </w:rPr>
  </w:style>
  <w:style w:type="character" w:styleId="UnresolvedMention">
    <w:name w:val="Unresolved Mention"/>
    <w:basedOn w:val="DefaultParagraphFont"/>
    <w:uiPriority w:val="99"/>
    <w:semiHidden/>
    <w:unhideWhenUsed/>
    <w:rsid w:val="00A2385B"/>
    <w:rPr>
      <w:color w:val="605E5C"/>
      <w:shd w:val="clear" w:color="auto" w:fill="E1DFDD"/>
    </w:rPr>
  </w:style>
  <w:style w:type="character" w:styleId="PageNumber">
    <w:name w:val="page number"/>
    <w:basedOn w:val="DefaultParagraphFont"/>
    <w:semiHidden/>
    <w:rsid w:val="00D91D8D"/>
  </w:style>
  <w:style w:type="paragraph" w:styleId="TOCHeading">
    <w:name w:val="TOC Heading"/>
    <w:basedOn w:val="Heading1"/>
    <w:next w:val="Normal"/>
    <w:uiPriority w:val="39"/>
    <w:unhideWhenUsed/>
    <w:qFormat/>
    <w:rsid w:val="009148C2"/>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2CC5F-7C0C-468B-991B-7AFB58E9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89605</Words>
  <Characters>51076</Characters>
  <Application>Microsoft Office Word</Application>
  <DocSecurity>0</DocSecurity>
  <Lines>425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2020-01-21T08:38:00Z</dcterms:created>
  <dcterms:modified xsi:type="dcterms:W3CDTF">2020-05-07T14:15:00Z</dcterms:modified>
</cp:coreProperties>
</file>