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FEC" w:rsidRPr="005A7579" w:rsidRDefault="00282E8B" w:rsidP="00073FEC">
      <w:pPr>
        <w:jc w:val="both"/>
        <w:rPr>
          <w:rFonts w:ascii="Times New Roman" w:hAnsi="Times New Roman"/>
          <w:noProof/>
          <w:sz w:val="20"/>
          <w:szCs w:val="20"/>
        </w:rPr>
      </w:pPr>
      <w:r w:rsidRPr="005A7579">
        <w:rPr>
          <w:rFonts w:ascii="Times New Roman" w:hAnsi="Times New Roman"/>
          <w:noProof/>
          <w:sz w:val="20"/>
          <w:szCs w:val="20"/>
          <w:lang w:bidi="ar-SA"/>
        </w:rPr>
        <mc:AlternateContent>
          <mc:Choice Requires="wpg">
            <w:drawing>
              <wp:anchor distT="0" distB="0" distL="114300" distR="114300" simplePos="0" relativeHeight="251662336" behindDoc="1" locked="0" layoutInCell="1" allowOverlap="1" wp14:anchorId="0DC50906" wp14:editId="5AF7D2F7">
                <wp:simplePos x="0" y="0"/>
                <wp:positionH relativeFrom="page">
                  <wp:align>left</wp:align>
                </wp:positionH>
                <wp:positionV relativeFrom="page">
                  <wp:align>bottom</wp:align>
                </wp:positionV>
                <wp:extent cx="7573010" cy="10692130"/>
                <wp:effectExtent l="0" t="0" r="2794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3010" cy="10692130"/>
                          <a:chOff x="0" y="0"/>
                          <a:chExt cx="11906" cy="16839"/>
                        </a:xfrm>
                      </wpg:grpSpPr>
                      <wpg:grpSp>
                        <wpg:cNvPr id="56" name="Group 8"/>
                        <wpg:cNvGrpSpPr>
                          <a:grpSpLocks/>
                        </wpg:cNvGrpSpPr>
                        <wpg:grpSpPr bwMode="auto">
                          <a:xfrm>
                            <a:off x="0" y="6866"/>
                            <a:ext cx="11906" cy="9972"/>
                            <a:chOff x="0" y="6866"/>
                            <a:chExt cx="11906" cy="9972"/>
                          </a:xfrm>
                        </wpg:grpSpPr>
                        <wps:wsp>
                          <wps:cNvPr id="57" name="Freeform 9"/>
                          <wps:cNvSpPr>
                            <a:spLocks/>
                          </wps:cNvSpPr>
                          <wps:spPr bwMode="auto">
                            <a:xfrm>
                              <a:off x="0" y="6866"/>
                              <a:ext cx="11906" cy="9972"/>
                            </a:xfrm>
                            <a:custGeom>
                              <a:avLst/>
                              <a:gdLst>
                                <a:gd name="T0" fmla="*/ 0 w 11906"/>
                                <a:gd name="T1" fmla="+- 0 10427 6866"/>
                                <a:gd name="T2" fmla="*/ 10427 h 9972"/>
                                <a:gd name="T3" fmla="*/ 0 w 11906"/>
                                <a:gd name="T4" fmla="+- 0 16838 6866"/>
                                <a:gd name="T5" fmla="*/ 16838 h 9972"/>
                                <a:gd name="T6" fmla="*/ 11906 w 11906"/>
                                <a:gd name="T7" fmla="+- 0 16838 6866"/>
                                <a:gd name="T8" fmla="*/ 16838 h 9972"/>
                                <a:gd name="T9" fmla="*/ 11906 w 11906"/>
                                <a:gd name="T10" fmla="+- 0 10552 6866"/>
                                <a:gd name="T11" fmla="*/ 10552 h 9972"/>
                                <a:gd name="T12" fmla="*/ 2038 w 11906"/>
                                <a:gd name="T13" fmla="+- 0 10552 6866"/>
                                <a:gd name="T14" fmla="*/ 10552 h 9972"/>
                                <a:gd name="T15" fmla="*/ 796 w 11906"/>
                                <a:gd name="T16" fmla="+- 0 10505 6866"/>
                                <a:gd name="T17" fmla="*/ 10505 h 9972"/>
                                <a:gd name="T18" fmla="*/ 0 w 11906"/>
                                <a:gd name="T19" fmla="+- 0 10427 6866"/>
                                <a:gd name="T20" fmla="*/ 10427 h 9972"/>
                              </a:gdLst>
                              <a:ahLst/>
                              <a:cxnLst>
                                <a:cxn ang="0">
                                  <a:pos x="T0" y="T2"/>
                                </a:cxn>
                                <a:cxn ang="0">
                                  <a:pos x="T3" y="T5"/>
                                </a:cxn>
                                <a:cxn ang="0">
                                  <a:pos x="T6" y="T8"/>
                                </a:cxn>
                                <a:cxn ang="0">
                                  <a:pos x="T9" y="T11"/>
                                </a:cxn>
                                <a:cxn ang="0">
                                  <a:pos x="T12" y="T14"/>
                                </a:cxn>
                                <a:cxn ang="0">
                                  <a:pos x="T15" y="T17"/>
                                </a:cxn>
                                <a:cxn ang="0">
                                  <a:pos x="T18" y="T20"/>
                                </a:cxn>
                              </a:cxnLst>
                              <a:rect l="0" t="0" r="r" b="b"/>
                              <a:pathLst>
                                <a:path w="11906" h="9972">
                                  <a:moveTo>
                                    <a:pt x="0" y="3561"/>
                                  </a:moveTo>
                                  <a:lnTo>
                                    <a:pt x="0" y="9972"/>
                                  </a:lnTo>
                                  <a:lnTo>
                                    <a:pt x="11906" y="9972"/>
                                  </a:lnTo>
                                  <a:lnTo>
                                    <a:pt x="11906" y="3686"/>
                                  </a:lnTo>
                                  <a:lnTo>
                                    <a:pt x="2038" y="3686"/>
                                  </a:lnTo>
                                  <a:lnTo>
                                    <a:pt x="796" y="3639"/>
                                  </a:lnTo>
                                  <a:lnTo>
                                    <a:pt x="0" y="3561"/>
                                  </a:lnTo>
                                </a:path>
                              </a:pathLst>
                            </a:custGeom>
                            <a:solidFill>
                              <a:srgbClr val="B28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0"/>
                          <wps:cNvSpPr>
                            <a:spLocks/>
                          </wps:cNvSpPr>
                          <wps:spPr bwMode="auto">
                            <a:xfrm>
                              <a:off x="0" y="6866"/>
                              <a:ext cx="11906" cy="9972"/>
                            </a:xfrm>
                            <a:custGeom>
                              <a:avLst/>
                              <a:gdLst>
                                <a:gd name="T0" fmla="*/ 11906 w 11906"/>
                                <a:gd name="T1" fmla="+- 0 6866 6866"/>
                                <a:gd name="T2" fmla="*/ 6866 h 9972"/>
                                <a:gd name="T3" fmla="*/ 11070 w 11906"/>
                                <a:gd name="T4" fmla="+- 0 7586 6866"/>
                                <a:gd name="T5" fmla="*/ 7586 h 9972"/>
                                <a:gd name="T6" fmla="*/ 10039 w 11906"/>
                                <a:gd name="T7" fmla="+- 0 8328 6866"/>
                                <a:gd name="T8" fmla="*/ 8328 h 9972"/>
                                <a:gd name="T9" fmla="*/ 8978 w 11906"/>
                                <a:gd name="T10" fmla="+- 0 8953 6866"/>
                                <a:gd name="T11" fmla="*/ 8953 h 9972"/>
                                <a:gd name="T12" fmla="*/ 7888 w 11906"/>
                                <a:gd name="T13" fmla="+- 0 9468 6866"/>
                                <a:gd name="T14" fmla="*/ 9468 h 9972"/>
                                <a:gd name="T15" fmla="*/ 6769 w 11906"/>
                                <a:gd name="T16" fmla="+- 0 9877 6866"/>
                                <a:gd name="T17" fmla="*/ 9877 h 9972"/>
                                <a:gd name="T18" fmla="*/ 5624 w 11906"/>
                                <a:gd name="T19" fmla="+- 0 10185 6866"/>
                                <a:gd name="T20" fmla="*/ 10185 h 9972"/>
                                <a:gd name="T21" fmla="*/ 4453 w 11906"/>
                                <a:gd name="T22" fmla="+- 0 10397 6866"/>
                                <a:gd name="T23" fmla="*/ 10397 h 9972"/>
                                <a:gd name="T24" fmla="*/ 3257 w 11906"/>
                                <a:gd name="T25" fmla="+- 0 10518 6866"/>
                                <a:gd name="T26" fmla="*/ 10518 h 9972"/>
                                <a:gd name="T27" fmla="*/ 2038 w 11906"/>
                                <a:gd name="T28" fmla="+- 0 10552 6866"/>
                                <a:gd name="T29" fmla="*/ 10552 h 9972"/>
                                <a:gd name="T30" fmla="*/ 11906 w 11906"/>
                                <a:gd name="T31" fmla="+- 0 10552 6866"/>
                                <a:gd name="T32" fmla="*/ 10552 h 9972"/>
                                <a:gd name="T33" fmla="*/ 11906 w 11906"/>
                                <a:gd name="T34" fmla="+- 0 6866 6866"/>
                                <a:gd name="T35" fmla="*/ 6866 h 997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9972">
                                  <a:moveTo>
                                    <a:pt x="11906" y="0"/>
                                  </a:moveTo>
                                  <a:lnTo>
                                    <a:pt x="11070" y="720"/>
                                  </a:lnTo>
                                  <a:lnTo>
                                    <a:pt x="10039" y="1462"/>
                                  </a:lnTo>
                                  <a:lnTo>
                                    <a:pt x="8978" y="2087"/>
                                  </a:lnTo>
                                  <a:lnTo>
                                    <a:pt x="7888" y="2602"/>
                                  </a:lnTo>
                                  <a:lnTo>
                                    <a:pt x="6769" y="3011"/>
                                  </a:lnTo>
                                  <a:lnTo>
                                    <a:pt x="5624" y="3319"/>
                                  </a:lnTo>
                                  <a:lnTo>
                                    <a:pt x="4453" y="3531"/>
                                  </a:lnTo>
                                  <a:lnTo>
                                    <a:pt x="3257" y="3652"/>
                                  </a:lnTo>
                                  <a:lnTo>
                                    <a:pt x="2038" y="3686"/>
                                  </a:lnTo>
                                  <a:lnTo>
                                    <a:pt x="11906" y="3686"/>
                                  </a:lnTo>
                                  <a:lnTo>
                                    <a:pt x="11906" y="0"/>
                                  </a:lnTo>
                                </a:path>
                              </a:pathLst>
                            </a:custGeom>
                            <a:solidFill>
                              <a:srgbClr val="B286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 name="Group 11"/>
                        <wpg:cNvGrpSpPr>
                          <a:grpSpLocks/>
                        </wpg:cNvGrpSpPr>
                        <wpg:grpSpPr bwMode="auto">
                          <a:xfrm>
                            <a:off x="0" y="9038"/>
                            <a:ext cx="11906" cy="4103"/>
                            <a:chOff x="0" y="9038"/>
                            <a:chExt cx="11906" cy="4103"/>
                          </a:xfrm>
                        </wpg:grpSpPr>
                        <wps:wsp>
                          <wps:cNvPr id="60" name="Freeform 12"/>
                          <wps:cNvSpPr>
                            <a:spLocks/>
                          </wps:cNvSpPr>
                          <wps:spPr bwMode="auto">
                            <a:xfrm>
                              <a:off x="0" y="9038"/>
                              <a:ext cx="11906" cy="4103"/>
                            </a:xfrm>
                            <a:custGeom>
                              <a:avLst/>
                              <a:gdLst>
                                <a:gd name="T0" fmla="*/ 0 w 11906"/>
                                <a:gd name="T1" fmla="+- 0 13124 9038"/>
                                <a:gd name="T2" fmla="*/ 13124 h 4103"/>
                                <a:gd name="T3" fmla="*/ 825 w 11906"/>
                                <a:gd name="T4" fmla="+- 0 13141 9038"/>
                                <a:gd name="T5" fmla="*/ 13141 h 4103"/>
                                <a:gd name="T6" fmla="*/ 2261 w 11906"/>
                                <a:gd name="T7" fmla="+- 0 13068 9038"/>
                                <a:gd name="T8" fmla="*/ 13068 h 4103"/>
                                <a:gd name="T9" fmla="*/ 3704 w 11906"/>
                                <a:gd name="T10" fmla="+- 0 12885 9038"/>
                                <a:gd name="T11" fmla="*/ 12885 h 4103"/>
                                <a:gd name="T12" fmla="*/ 5147 w 11906"/>
                                <a:gd name="T13" fmla="+- 0 12580 9038"/>
                                <a:gd name="T14" fmla="*/ 12580 h 4103"/>
                                <a:gd name="T15" fmla="*/ 6581 w 11906"/>
                                <a:gd name="T16" fmla="+- 0 12145 9038"/>
                                <a:gd name="T17" fmla="*/ 12145 h 4103"/>
                                <a:gd name="T18" fmla="*/ 7999 w 11906"/>
                                <a:gd name="T19" fmla="+- 0 11569 9038"/>
                                <a:gd name="T20" fmla="*/ 11569 h 4103"/>
                                <a:gd name="T21" fmla="*/ 9391 w 11906"/>
                                <a:gd name="T22" fmla="+- 0 10844 9038"/>
                                <a:gd name="T23" fmla="*/ 10844 h 4103"/>
                                <a:gd name="T24" fmla="*/ 10751 w 11906"/>
                                <a:gd name="T25" fmla="+- 0 9960 9038"/>
                                <a:gd name="T26" fmla="*/ 9960 h 4103"/>
                                <a:gd name="T27" fmla="*/ 11906 w 11906"/>
                                <a:gd name="T28" fmla="+- 0 9038 9038"/>
                                <a:gd name="T29" fmla="*/ 9038 h 410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6" h="4103">
                                  <a:moveTo>
                                    <a:pt x="0" y="4086"/>
                                  </a:moveTo>
                                  <a:lnTo>
                                    <a:pt x="825" y="4103"/>
                                  </a:lnTo>
                                  <a:lnTo>
                                    <a:pt x="2261" y="4030"/>
                                  </a:lnTo>
                                  <a:lnTo>
                                    <a:pt x="3704" y="3847"/>
                                  </a:lnTo>
                                  <a:lnTo>
                                    <a:pt x="5147" y="3542"/>
                                  </a:lnTo>
                                  <a:lnTo>
                                    <a:pt x="6581" y="3107"/>
                                  </a:lnTo>
                                  <a:lnTo>
                                    <a:pt x="7999" y="2531"/>
                                  </a:lnTo>
                                  <a:lnTo>
                                    <a:pt x="9391" y="1806"/>
                                  </a:lnTo>
                                  <a:lnTo>
                                    <a:pt x="10751" y="922"/>
                                  </a:lnTo>
                                  <a:lnTo>
                                    <a:pt x="11906" y="0"/>
                                  </a:lnTo>
                                </a:path>
                              </a:pathLst>
                            </a:custGeom>
                            <a:noFill/>
                            <a:ln w="12700">
                              <a:solidFill>
                                <a:srgbClr val="C4A4C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3"/>
                        <wpg:cNvGrpSpPr>
                          <a:grpSpLocks/>
                        </wpg:cNvGrpSpPr>
                        <wpg:grpSpPr bwMode="auto">
                          <a:xfrm>
                            <a:off x="0" y="10255"/>
                            <a:ext cx="11906" cy="2021"/>
                            <a:chOff x="0" y="10255"/>
                            <a:chExt cx="11906" cy="2021"/>
                          </a:xfrm>
                        </wpg:grpSpPr>
                        <wps:wsp>
                          <wps:cNvPr id="62" name="Freeform 14"/>
                          <wps:cNvSpPr>
                            <a:spLocks/>
                          </wps:cNvSpPr>
                          <wps:spPr bwMode="auto">
                            <a:xfrm>
                              <a:off x="0" y="10255"/>
                              <a:ext cx="11906" cy="2021"/>
                            </a:xfrm>
                            <a:custGeom>
                              <a:avLst/>
                              <a:gdLst>
                                <a:gd name="T0" fmla="*/ 0 w 11906"/>
                                <a:gd name="T1" fmla="+- 0 11629 10255"/>
                                <a:gd name="T2" fmla="*/ 11629 h 2021"/>
                                <a:gd name="T3" fmla="*/ 306 w 11906"/>
                                <a:gd name="T4" fmla="+- 0 11717 10255"/>
                                <a:gd name="T5" fmla="*/ 11717 h 2021"/>
                                <a:gd name="T6" fmla="*/ 1732 w 11906"/>
                                <a:gd name="T7" fmla="+- 0 12021 10255"/>
                                <a:gd name="T8" fmla="*/ 12021 h 2021"/>
                                <a:gd name="T9" fmla="*/ 3183 w 11906"/>
                                <a:gd name="T10" fmla="+- 0 12212 10255"/>
                                <a:gd name="T11" fmla="*/ 12212 h 2021"/>
                                <a:gd name="T12" fmla="*/ 4652 w 11906"/>
                                <a:gd name="T13" fmla="+- 0 12276 10255"/>
                                <a:gd name="T14" fmla="*/ 12276 h 2021"/>
                                <a:gd name="T15" fmla="*/ 6134 w 11906"/>
                                <a:gd name="T16" fmla="+- 0 12196 10255"/>
                                <a:gd name="T17" fmla="*/ 12196 h 2021"/>
                                <a:gd name="T18" fmla="*/ 7623 w 11906"/>
                                <a:gd name="T19" fmla="+- 0 11960 10255"/>
                                <a:gd name="T20" fmla="*/ 11960 h 2021"/>
                                <a:gd name="T21" fmla="*/ 9113 w 11906"/>
                                <a:gd name="T22" fmla="+- 0 11553 10255"/>
                                <a:gd name="T23" fmla="*/ 11553 h 2021"/>
                                <a:gd name="T24" fmla="*/ 10598 w 11906"/>
                                <a:gd name="T25" fmla="+- 0 10959 10255"/>
                                <a:gd name="T26" fmla="*/ 10959 h 2021"/>
                                <a:gd name="T27" fmla="*/ 11906 w 11906"/>
                                <a:gd name="T28" fmla="+- 0 10255 10255"/>
                                <a:gd name="T29" fmla="*/ 10255 h 20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6" h="2021">
                                  <a:moveTo>
                                    <a:pt x="0" y="1374"/>
                                  </a:moveTo>
                                  <a:lnTo>
                                    <a:pt x="306" y="1462"/>
                                  </a:lnTo>
                                  <a:lnTo>
                                    <a:pt x="1732" y="1766"/>
                                  </a:lnTo>
                                  <a:lnTo>
                                    <a:pt x="3183" y="1957"/>
                                  </a:lnTo>
                                  <a:lnTo>
                                    <a:pt x="4652" y="2021"/>
                                  </a:lnTo>
                                  <a:lnTo>
                                    <a:pt x="6134" y="1941"/>
                                  </a:lnTo>
                                  <a:lnTo>
                                    <a:pt x="7623" y="1705"/>
                                  </a:lnTo>
                                  <a:lnTo>
                                    <a:pt x="9113" y="1298"/>
                                  </a:lnTo>
                                  <a:lnTo>
                                    <a:pt x="10598" y="704"/>
                                  </a:lnTo>
                                  <a:lnTo>
                                    <a:pt x="11906"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15"/>
                        <wpg:cNvGrpSpPr>
                          <a:grpSpLocks/>
                        </wpg:cNvGrpSpPr>
                        <wpg:grpSpPr bwMode="auto">
                          <a:xfrm>
                            <a:off x="0" y="11859"/>
                            <a:ext cx="11906" cy="1036"/>
                            <a:chOff x="0" y="11859"/>
                            <a:chExt cx="11906" cy="1036"/>
                          </a:xfrm>
                        </wpg:grpSpPr>
                        <wps:wsp>
                          <wps:cNvPr id="64" name="Freeform 16"/>
                          <wps:cNvSpPr>
                            <a:spLocks/>
                          </wps:cNvSpPr>
                          <wps:spPr bwMode="auto">
                            <a:xfrm>
                              <a:off x="0" y="11859"/>
                              <a:ext cx="11906" cy="1036"/>
                            </a:xfrm>
                            <a:custGeom>
                              <a:avLst/>
                              <a:gdLst>
                                <a:gd name="T0" fmla="*/ 0 w 11906"/>
                                <a:gd name="T1" fmla="+- 0 12057 11859"/>
                                <a:gd name="T2" fmla="*/ 12057 h 1036"/>
                                <a:gd name="T3" fmla="*/ 574 w 11906"/>
                                <a:gd name="T4" fmla="+- 0 12220 11859"/>
                                <a:gd name="T5" fmla="*/ 12220 h 1036"/>
                                <a:gd name="T6" fmla="*/ 1967 w 11906"/>
                                <a:gd name="T7" fmla="+- 0 12527 11859"/>
                                <a:gd name="T8" fmla="*/ 12527 h 1036"/>
                                <a:gd name="T9" fmla="*/ 3381 w 11906"/>
                                <a:gd name="T10" fmla="+- 0 12747 11859"/>
                                <a:gd name="T11" fmla="*/ 12747 h 1036"/>
                                <a:gd name="T12" fmla="*/ 4813 w 11906"/>
                                <a:gd name="T13" fmla="+- 0 12872 11859"/>
                                <a:gd name="T14" fmla="*/ 12872 h 1036"/>
                                <a:gd name="T15" fmla="*/ 6259 w 11906"/>
                                <a:gd name="T16" fmla="+- 0 12894 11859"/>
                                <a:gd name="T17" fmla="*/ 12894 h 1036"/>
                                <a:gd name="T18" fmla="*/ 7712 w 11906"/>
                                <a:gd name="T19" fmla="+- 0 12807 11859"/>
                                <a:gd name="T20" fmla="*/ 12807 h 1036"/>
                                <a:gd name="T21" fmla="*/ 9169 w 11906"/>
                                <a:gd name="T22" fmla="+- 0 12601 11859"/>
                                <a:gd name="T23" fmla="*/ 12601 h 1036"/>
                                <a:gd name="T24" fmla="*/ 10624 w 11906"/>
                                <a:gd name="T25" fmla="+- 0 12270 11859"/>
                                <a:gd name="T26" fmla="*/ 12270 h 1036"/>
                                <a:gd name="T27" fmla="*/ 11906 w 11906"/>
                                <a:gd name="T28" fmla="+- 0 11859 11859"/>
                                <a:gd name="T29" fmla="*/ 11859 h 103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Lst>
                              <a:rect l="0" t="0" r="r" b="b"/>
                              <a:pathLst>
                                <a:path w="11906" h="1036">
                                  <a:moveTo>
                                    <a:pt x="0" y="198"/>
                                  </a:moveTo>
                                  <a:lnTo>
                                    <a:pt x="574" y="361"/>
                                  </a:lnTo>
                                  <a:lnTo>
                                    <a:pt x="1967" y="668"/>
                                  </a:lnTo>
                                  <a:lnTo>
                                    <a:pt x="3381" y="888"/>
                                  </a:lnTo>
                                  <a:lnTo>
                                    <a:pt x="4813" y="1013"/>
                                  </a:lnTo>
                                  <a:lnTo>
                                    <a:pt x="6259" y="1035"/>
                                  </a:lnTo>
                                  <a:lnTo>
                                    <a:pt x="7712" y="948"/>
                                  </a:lnTo>
                                  <a:lnTo>
                                    <a:pt x="9169" y="742"/>
                                  </a:lnTo>
                                  <a:lnTo>
                                    <a:pt x="10624" y="411"/>
                                  </a:lnTo>
                                  <a:lnTo>
                                    <a:pt x="11906"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17"/>
                        <wpg:cNvGrpSpPr>
                          <a:grpSpLocks/>
                        </wpg:cNvGrpSpPr>
                        <wpg:grpSpPr bwMode="auto">
                          <a:xfrm>
                            <a:off x="0" y="0"/>
                            <a:ext cx="11906" cy="7439"/>
                            <a:chOff x="0" y="0"/>
                            <a:chExt cx="11906" cy="7439"/>
                          </a:xfrm>
                        </wpg:grpSpPr>
                        <wps:wsp>
                          <wps:cNvPr id="66" name="Freeform 18"/>
                          <wps:cNvSpPr>
                            <a:spLocks/>
                          </wps:cNvSpPr>
                          <wps:spPr bwMode="auto">
                            <a:xfrm>
                              <a:off x="0" y="0"/>
                              <a:ext cx="11906" cy="7439"/>
                            </a:xfrm>
                            <a:custGeom>
                              <a:avLst/>
                              <a:gdLst>
                                <a:gd name="T0" fmla="*/ 0 w 11906"/>
                                <a:gd name="T1" fmla="*/ 0 h 7439"/>
                                <a:gd name="T2" fmla="*/ 0 w 11906"/>
                                <a:gd name="T3" fmla="*/ 7040 h 7439"/>
                                <a:gd name="T4" fmla="*/ 1171 w 11906"/>
                                <a:gd name="T5" fmla="*/ 7236 h 7439"/>
                                <a:gd name="T6" fmla="*/ 2479 w 11906"/>
                                <a:gd name="T7" fmla="*/ 7379 h 7439"/>
                                <a:gd name="T8" fmla="*/ 3767 w 11906"/>
                                <a:gd name="T9" fmla="*/ 7439 h 7439"/>
                                <a:gd name="T10" fmla="*/ 5033 w 11906"/>
                                <a:gd name="T11" fmla="*/ 7413 h 7439"/>
                                <a:gd name="T12" fmla="*/ 6275 w 11906"/>
                                <a:gd name="T13" fmla="*/ 7298 h 7439"/>
                                <a:gd name="T14" fmla="*/ 7492 w 11906"/>
                                <a:gd name="T15" fmla="*/ 7091 h 7439"/>
                                <a:gd name="T16" fmla="*/ 8682 w 11906"/>
                                <a:gd name="T17" fmla="*/ 6791 h 7439"/>
                                <a:gd name="T18" fmla="*/ 9843 w 11906"/>
                                <a:gd name="T19" fmla="*/ 6392 h 7439"/>
                                <a:gd name="T20" fmla="*/ 10975 w 11906"/>
                                <a:gd name="T21" fmla="*/ 5894 h 7439"/>
                                <a:gd name="T22" fmla="*/ 11906 w 11906"/>
                                <a:gd name="T23" fmla="*/ 5386 h 7439"/>
                                <a:gd name="T24" fmla="*/ 11906 w 11906"/>
                                <a:gd name="T25" fmla="*/ 0 h 7439"/>
                                <a:gd name="T26" fmla="*/ 0 w 11906"/>
                                <a:gd name="T27" fmla="*/ 0 h 74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1906" h="7439">
                                  <a:moveTo>
                                    <a:pt x="0" y="0"/>
                                  </a:moveTo>
                                  <a:lnTo>
                                    <a:pt x="0" y="7040"/>
                                  </a:lnTo>
                                  <a:lnTo>
                                    <a:pt x="1171" y="7236"/>
                                  </a:lnTo>
                                  <a:lnTo>
                                    <a:pt x="2479" y="7379"/>
                                  </a:lnTo>
                                  <a:lnTo>
                                    <a:pt x="3767" y="7439"/>
                                  </a:lnTo>
                                  <a:lnTo>
                                    <a:pt x="5033" y="7413"/>
                                  </a:lnTo>
                                  <a:lnTo>
                                    <a:pt x="6275" y="7298"/>
                                  </a:lnTo>
                                  <a:lnTo>
                                    <a:pt x="7492" y="7091"/>
                                  </a:lnTo>
                                  <a:lnTo>
                                    <a:pt x="8682" y="6791"/>
                                  </a:lnTo>
                                  <a:lnTo>
                                    <a:pt x="9843" y="6392"/>
                                  </a:lnTo>
                                  <a:lnTo>
                                    <a:pt x="10975" y="5894"/>
                                  </a:lnTo>
                                  <a:lnTo>
                                    <a:pt x="11906" y="5386"/>
                                  </a:lnTo>
                                  <a:lnTo>
                                    <a:pt x="11906" y="0"/>
                                  </a:lnTo>
                                  <a:lnTo>
                                    <a:pt x="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7" name="Group 19"/>
                        <wpg:cNvGrpSpPr>
                          <a:grpSpLocks/>
                        </wpg:cNvGrpSpPr>
                        <wpg:grpSpPr bwMode="auto">
                          <a:xfrm>
                            <a:off x="7597" y="0"/>
                            <a:ext cx="3119" cy="454"/>
                            <a:chOff x="7597" y="0"/>
                            <a:chExt cx="3119" cy="454"/>
                          </a:xfrm>
                        </wpg:grpSpPr>
                        <wps:wsp>
                          <wps:cNvPr id="68" name="Freeform 20"/>
                          <wps:cNvSpPr>
                            <a:spLocks/>
                          </wps:cNvSpPr>
                          <wps:spPr bwMode="auto">
                            <a:xfrm>
                              <a:off x="7597" y="0"/>
                              <a:ext cx="3119" cy="454"/>
                            </a:xfrm>
                            <a:custGeom>
                              <a:avLst/>
                              <a:gdLst>
                                <a:gd name="T0" fmla="+- 0 7597 7597"/>
                                <a:gd name="T1" fmla="*/ T0 w 3119"/>
                                <a:gd name="T2" fmla="*/ 454 h 454"/>
                                <a:gd name="T3" fmla="+- 0 10715 7597"/>
                                <a:gd name="T4" fmla="*/ T3 w 3119"/>
                                <a:gd name="T5" fmla="*/ 454 h 454"/>
                                <a:gd name="T6" fmla="+- 0 10715 7597"/>
                                <a:gd name="T7" fmla="*/ T6 w 3119"/>
                                <a:gd name="T8" fmla="*/ 0 h 454"/>
                                <a:gd name="T9" fmla="+- 0 7597 7597"/>
                                <a:gd name="T10" fmla="*/ T9 w 3119"/>
                                <a:gd name="T11" fmla="*/ 0 h 454"/>
                                <a:gd name="T12" fmla="+- 0 7597 7597"/>
                                <a:gd name="T13" fmla="*/ T12 w 3119"/>
                                <a:gd name="T14" fmla="*/ 454 h 454"/>
                              </a:gdLst>
                              <a:ahLst/>
                              <a:cxnLst>
                                <a:cxn ang="0">
                                  <a:pos x="T1" y="T2"/>
                                </a:cxn>
                                <a:cxn ang="0">
                                  <a:pos x="T4" y="T5"/>
                                </a:cxn>
                                <a:cxn ang="0">
                                  <a:pos x="T7" y="T8"/>
                                </a:cxn>
                                <a:cxn ang="0">
                                  <a:pos x="T10" y="T11"/>
                                </a:cxn>
                                <a:cxn ang="0">
                                  <a:pos x="T13" y="T14"/>
                                </a:cxn>
                              </a:cxnLst>
                              <a:rect l="0" t="0" r="r" b="b"/>
                              <a:pathLst>
                                <a:path w="3119" h="454">
                                  <a:moveTo>
                                    <a:pt x="0" y="454"/>
                                  </a:moveTo>
                                  <a:lnTo>
                                    <a:pt x="3118" y="454"/>
                                  </a:lnTo>
                                  <a:lnTo>
                                    <a:pt x="3118" y="0"/>
                                  </a:lnTo>
                                  <a:lnTo>
                                    <a:pt x="0" y="0"/>
                                  </a:lnTo>
                                  <a:lnTo>
                                    <a:pt x="0" y="454"/>
                                  </a:lnTo>
                                  <a:close/>
                                </a:path>
                              </a:pathLst>
                            </a:custGeom>
                            <a:solidFill>
                              <a:srgbClr val="9B5DA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579" y="567"/>
                              <a:ext cx="3126" cy="54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0" name="Group 22"/>
                        <wpg:cNvGrpSpPr>
                          <a:grpSpLocks/>
                        </wpg:cNvGrpSpPr>
                        <wpg:grpSpPr bwMode="auto">
                          <a:xfrm>
                            <a:off x="0" y="10901"/>
                            <a:ext cx="11906" cy="3916"/>
                            <a:chOff x="0" y="10901"/>
                            <a:chExt cx="11906" cy="3916"/>
                          </a:xfrm>
                        </wpg:grpSpPr>
                        <wps:wsp>
                          <wps:cNvPr id="71" name="Freeform 23"/>
                          <wps:cNvSpPr>
                            <a:spLocks/>
                          </wps:cNvSpPr>
                          <wps:spPr bwMode="auto">
                            <a:xfrm>
                              <a:off x="0" y="10901"/>
                              <a:ext cx="11906" cy="3916"/>
                            </a:xfrm>
                            <a:custGeom>
                              <a:avLst/>
                              <a:gdLst>
                                <a:gd name="T0" fmla="*/ 0 w 11906"/>
                                <a:gd name="T1" fmla="+- 0 14804 10901"/>
                                <a:gd name="T2" fmla="*/ 14804 h 3916"/>
                                <a:gd name="T3" fmla="*/ 579 w 11906"/>
                                <a:gd name="T4" fmla="+- 0 14816 10901"/>
                                <a:gd name="T5" fmla="*/ 14816 h 3916"/>
                                <a:gd name="T6" fmla="*/ 1984 w 11906"/>
                                <a:gd name="T7" fmla="+- 0 14773 10901"/>
                                <a:gd name="T8" fmla="*/ 14773 h 3916"/>
                                <a:gd name="T9" fmla="*/ 3360 w 11906"/>
                                <a:gd name="T10" fmla="+- 0 14655 10901"/>
                                <a:gd name="T11" fmla="*/ 14655 h 3916"/>
                                <a:gd name="T12" fmla="*/ 4696 w 11906"/>
                                <a:gd name="T13" fmla="+- 0 14460 10901"/>
                                <a:gd name="T14" fmla="*/ 14460 h 3916"/>
                                <a:gd name="T15" fmla="*/ 5982 w 11906"/>
                                <a:gd name="T16" fmla="+- 0 14185 10901"/>
                                <a:gd name="T17" fmla="*/ 14185 h 3916"/>
                                <a:gd name="T18" fmla="*/ 7207 w 11906"/>
                                <a:gd name="T19" fmla="+- 0 13828 10901"/>
                                <a:gd name="T20" fmla="*/ 13828 h 3916"/>
                                <a:gd name="T21" fmla="*/ 8363 w 11906"/>
                                <a:gd name="T22" fmla="+- 0 13386 10901"/>
                                <a:gd name="T23" fmla="*/ 13386 h 3916"/>
                                <a:gd name="T24" fmla="*/ 9438 w 11906"/>
                                <a:gd name="T25" fmla="+- 0 12857 10901"/>
                                <a:gd name="T26" fmla="*/ 12857 h 3916"/>
                                <a:gd name="T27" fmla="*/ 10421 w 11906"/>
                                <a:gd name="T28" fmla="+- 0 12239 10901"/>
                                <a:gd name="T29" fmla="*/ 12239 h 3916"/>
                                <a:gd name="T30" fmla="*/ 11303 w 11906"/>
                                <a:gd name="T31" fmla="+- 0 11529 10901"/>
                                <a:gd name="T32" fmla="*/ 11529 h 3916"/>
                                <a:gd name="T33" fmla="*/ 11906 w 11906"/>
                                <a:gd name="T34" fmla="+- 0 10901 10901"/>
                                <a:gd name="T35" fmla="*/ 10901 h 391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3916">
                                  <a:moveTo>
                                    <a:pt x="0" y="3903"/>
                                  </a:moveTo>
                                  <a:lnTo>
                                    <a:pt x="579" y="3915"/>
                                  </a:lnTo>
                                  <a:lnTo>
                                    <a:pt x="1984" y="3872"/>
                                  </a:lnTo>
                                  <a:lnTo>
                                    <a:pt x="3360" y="3754"/>
                                  </a:lnTo>
                                  <a:lnTo>
                                    <a:pt x="4696" y="3559"/>
                                  </a:lnTo>
                                  <a:lnTo>
                                    <a:pt x="5982" y="3284"/>
                                  </a:lnTo>
                                  <a:lnTo>
                                    <a:pt x="7207" y="2927"/>
                                  </a:lnTo>
                                  <a:lnTo>
                                    <a:pt x="8363" y="2485"/>
                                  </a:lnTo>
                                  <a:lnTo>
                                    <a:pt x="9438" y="1956"/>
                                  </a:lnTo>
                                  <a:lnTo>
                                    <a:pt x="10421" y="1338"/>
                                  </a:lnTo>
                                  <a:lnTo>
                                    <a:pt x="11303" y="628"/>
                                  </a:lnTo>
                                  <a:lnTo>
                                    <a:pt x="11906" y="0"/>
                                  </a:lnTo>
                                </a:path>
                              </a:pathLst>
                            </a:custGeom>
                            <a:noFill/>
                            <a:ln w="12700">
                              <a:solidFill>
                                <a:srgbClr val="693A7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24"/>
                        <wpg:cNvGrpSpPr>
                          <a:grpSpLocks/>
                        </wpg:cNvGrpSpPr>
                        <wpg:grpSpPr bwMode="auto">
                          <a:xfrm>
                            <a:off x="22" y="14396"/>
                            <a:ext cx="11884" cy="2443"/>
                            <a:chOff x="22" y="14396"/>
                            <a:chExt cx="11884" cy="2443"/>
                          </a:xfrm>
                        </wpg:grpSpPr>
                        <wps:wsp>
                          <wps:cNvPr id="73" name="Freeform 25"/>
                          <wps:cNvSpPr>
                            <a:spLocks/>
                          </wps:cNvSpPr>
                          <wps:spPr bwMode="auto">
                            <a:xfrm>
                              <a:off x="22" y="14396"/>
                              <a:ext cx="11884" cy="2443"/>
                            </a:xfrm>
                            <a:custGeom>
                              <a:avLst/>
                              <a:gdLst>
                                <a:gd name="T0" fmla="+- 0 22 22"/>
                                <a:gd name="T1" fmla="*/ T0 w 11884"/>
                                <a:gd name="T2" fmla="+- 0 15368 14396"/>
                                <a:gd name="T3" fmla="*/ 15368 h 2443"/>
                                <a:gd name="T4" fmla="+- 0 22 22"/>
                                <a:gd name="T5" fmla="*/ T4 w 11884"/>
                                <a:gd name="T6" fmla="+- 0 16838 14396"/>
                                <a:gd name="T7" fmla="*/ 16838 h 2443"/>
                                <a:gd name="T8" fmla="+- 0 11906 22"/>
                                <a:gd name="T9" fmla="*/ T8 w 11884"/>
                                <a:gd name="T10" fmla="+- 0 16838 14396"/>
                                <a:gd name="T11" fmla="*/ 16838 h 2443"/>
                                <a:gd name="T12" fmla="+- 0 11906 22"/>
                                <a:gd name="T13" fmla="*/ T12 w 11884"/>
                                <a:gd name="T14" fmla="+- 0 16005 14396"/>
                                <a:gd name="T15" fmla="*/ 16005 h 2443"/>
                                <a:gd name="T16" fmla="+- 0 4596 22"/>
                                <a:gd name="T17" fmla="*/ T16 w 11884"/>
                                <a:gd name="T18" fmla="+- 0 16005 14396"/>
                                <a:gd name="T19" fmla="*/ 16005 h 2443"/>
                                <a:gd name="T20" fmla="+- 0 3977 22"/>
                                <a:gd name="T21" fmla="*/ T20 w 11884"/>
                                <a:gd name="T22" fmla="+- 0 15991 14396"/>
                                <a:gd name="T23" fmla="*/ 15991 h 2443"/>
                                <a:gd name="T24" fmla="+- 0 3349 22"/>
                                <a:gd name="T25" fmla="*/ T24 w 11884"/>
                                <a:gd name="T26" fmla="+- 0 15954 14396"/>
                                <a:gd name="T27" fmla="*/ 15954 h 2443"/>
                                <a:gd name="T28" fmla="+- 0 2713 22"/>
                                <a:gd name="T29" fmla="*/ T28 w 11884"/>
                                <a:gd name="T30" fmla="+- 0 15893 14396"/>
                                <a:gd name="T31" fmla="*/ 15893 h 2443"/>
                                <a:gd name="T32" fmla="+- 0 2069 22"/>
                                <a:gd name="T33" fmla="*/ T32 w 11884"/>
                                <a:gd name="T34" fmla="+- 0 15807 14396"/>
                                <a:gd name="T35" fmla="*/ 15807 h 2443"/>
                                <a:gd name="T36" fmla="+- 0 1418 22"/>
                                <a:gd name="T37" fmla="*/ T36 w 11884"/>
                                <a:gd name="T38" fmla="+- 0 15696 14396"/>
                                <a:gd name="T39" fmla="*/ 15696 h 2443"/>
                                <a:gd name="T40" fmla="+- 0 759 22"/>
                                <a:gd name="T41" fmla="*/ T40 w 11884"/>
                                <a:gd name="T42" fmla="+- 0 15557 14396"/>
                                <a:gd name="T43" fmla="*/ 15557 h 2443"/>
                                <a:gd name="T44" fmla="+- 0 22 22"/>
                                <a:gd name="T45" fmla="*/ T44 w 11884"/>
                                <a:gd name="T46" fmla="+- 0 15368 14396"/>
                                <a:gd name="T47" fmla="*/ 15368 h 2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884" h="2443">
                                  <a:moveTo>
                                    <a:pt x="0" y="972"/>
                                  </a:moveTo>
                                  <a:lnTo>
                                    <a:pt x="0" y="2442"/>
                                  </a:lnTo>
                                  <a:lnTo>
                                    <a:pt x="11884" y="2442"/>
                                  </a:lnTo>
                                  <a:lnTo>
                                    <a:pt x="11884" y="1609"/>
                                  </a:lnTo>
                                  <a:lnTo>
                                    <a:pt x="4574" y="1609"/>
                                  </a:lnTo>
                                  <a:lnTo>
                                    <a:pt x="3955" y="1595"/>
                                  </a:lnTo>
                                  <a:lnTo>
                                    <a:pt x="3327" y="1558"/>
                                  </a:lnTo>
                                  <a:lnTo>
                                    <a:pt x="2691" y="1497"/>
                                  </a:lnTo>
                                  <a:lnTo>
                                    <a:pt x="2047" y="1411"/>
                                  </a:lnTo>
                                  <a:lnTo>
                                    <a:pt x="1396" y="1300"/>
                                  </a:lnTo>
                                  <a:lnTo>
                                    <a:pt x="737" y="1161"/>
                                  </a:lnTo>
                                  <a:lnTo>
                                    <a:pt x="0" y="972"/>
                                  </a:lnTo>
                                </a:path>
                              </a:pathLst>
                            </a:custGeom>
                            <a:solidFill>
                              <a:srgbClr val="A671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26"/>
                          <wps:cNvSpPr>
                            <a:spLocks/>
                          </wps:cNvSpPr>
                          <wps:spPr bwMode="auto">
                            <a:xfrm>
                              <a:off x="22" y="14396"/>
                              <a:ext cx="11884" cy="2443"/>
                            </a:xfrm>
                            <a:custGeom>
                              <a:avLst/>
                              <a:gdLst>
                                <a:gd name="T0" fmla="+- 0 11906 22"/>
                                <a:gd name="T1" fmla="*/ T0 w 11884"/>
                                <a:gd name="T2" fmla="+- 0 14396 14396"/>
                                <a:gd name="T3" fmla="*/ 14396 h 2443"/>
                                <a:gd name="T4" fmla="+- 0 11647 22"/>
                                <a:gd name="T5" fmla="*/ T4 w 11884"/>
                                <a:gd name="T6" fmla="+- 0 14517 14396"/>
                                <a:gd name="T7" fmla="*/ 14517 h 2443"/>
                                <a:gd name="T8" fmla="+- 0 11181 22"/>
                                <a:gd name="T9" fmla="*/ T8 w 11884"/>
                                <a:gd name="T10" fmla="+- 0 14717 14396"/>
                                <a:gd name="T11" fmla="*/ 14717 h 2443"/>
                                <a:gd name="T12" fmla="+- 0 10701 22"/>
                                <a:gd name="T13" fmla="*/ T12 w 11884"/>
                                <a:gd name="T14" fmla="+- 0 14907 14396"/>
                                <a:gd name="T15" fmla="*/ 14907 h 2443"/>
                                <a:gd name="T16" fmla="+- 0 10207 22"/>
                                <a:gd name="T17" fmla="*/ T16 w 11884"/>
                                <a:gd name="T18" fmla="+- 0 15085 14396"/>
                                <a:gd name="T19" fmla="*/ 15085 h 2443"/>
                                <a:gd name="T20" fmla="+- 0 9700 22"/>
                                <a:gd name="T21" fmla="*/ T20 w 11884"/>
                                <a:gd name="T22" fmla="+- 0 15250 14396"/>
                                <a:gd name="T23" fmla="*/ 15250 h 2443"/>
                                <a:gd name="T24" fmla="+- 0 9179 22"/>
                                <a:gd name="T25" fmla="*/ T24 w 11884"/>
                                <a:gd name="T26" fmla="+- 0 15401 14396"/>
                                <a:gd name="T27" fmla="*/ 15401 h 2443"/>
                                <a:gd name="T28" fmla="+- 0 8646 22"/>
                                <a:gd name="T29" fmla="*/ T28 w 11884"/>
                                <a:gd name="T30" fmla="+- 0 15538 14396"/>
                                <a:gd name="T31" fmla="*/ 15538 h 2443"/>
                                <a:gd name="T32" fmla="+- 0 8101 22"/>
                                <a:gd name="T33" fmla="*/ T32 w 11884"/>
                                <a:gd name="T34" fmla="+- 0 15659 14396"/>
                                <a:gd name="T35" fmla="*/ 15659 h 2443"/>
                                <a:gd name="T36" fmla="+- 0 7543 22"/>
                                <a:gd name="T37" fmla="*/ T36 w 11884"/>
                                <a:gd name="T38" fmla="+- 0 15763 14396"/>
                                <a:gd name="T39" fmla="*/ 15763 h 2443"/>
                                <a:gd name="T40" fmla="+- 0 6975 22"/>
                                <a:gd name="T41" fmla="*/ T40 w 11884"/>
                                <a:gd name="T42" fmla="+- 0 15850 14396"/>
                                <a:gd name="T43" fmla="*/ 15850 h 2443"/>
                                <a:gd name="T44" fmla="+- 0 6396 22"/>
                                <a:gd name="T45" fmla="*/ T44 w 11884"/>
                                <a:gd name="T46" fmla="+- 0 15919 14396"/>
                                <a:gd name="T47" fmla="*/ 15919 h 2443"/>
                                <a:gd name="T48" fmla="+- 0 5806 22"/>
                                <a:gd name="T49" fmla="*/ T48 w 11884"/>
                                <a:gd name="T50" fmla="+- 0 15968 14396"/>
                                <a:gd name="T51" fmla="*/ 15968 h 2443"/>
                                <a:gd name="T52" fmla="+- 0 5206 22"/>
                                <a:gd name="T53" fmla="*/ T52 w 11884"/>
                                <a:gd name="T54" fmla="+- 0 15997 14396"/>
                                <a:gd name="T55" fmla="*/ 15997 h 2443"/>
                                <a:gd name="T56" fmla="+- 0 4596 22"/>
                                <a:gd name="T57" fmla="*/ T56 w 11884"/>
                                <a:gd name="T58" fmla="+- 0 16005 14396"/>
                                <a:gd name="T59" fmla="*/ 16005 h 2443"/>
                                <a:gd name="T60" fmla="+- 0 11906 22"/>
                                <a:gd name="T61" fmla="*/ T60 w 11884"/>
                                <a:gd name="T62" fmla="+- 0 16005 14396"/>
                                <a:gd name="T63" fmla="*/ 16005 h 2443"/>
                                <a:gd name="T64" fmla="+- 0 11906 22"/>
                                <a:gd name="T65" fmla="*/ T64 w 11884"/>
                                <a:gd name="T66" fmla="+- 0 14396 14396"/>
                                <a:gd name="T67" fmla="*/ 14396 h 2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884" h="2443">
                                  <a:moveTo>
                                    <a:pt x="11884" y="0"/>
                                  </a:moveTo>
                                  <a:lnTo>
                                    <a:pt x="11625" y="121"/>
                                  </a:lnTo>
                                  <a:lnTo>
                                    <a:pt x="11159" y="321"/>
                                  </a:lnTo>
                                  <a:lnTo>
                                    <a:pt x="10679" y="511"/>
                                  </a:lnTo>
                                  <a:lnTo>
                                    <a:pt x="10185" y="689"/>
                                  </a:lnTo>
                                  <a:lnTo>
                                    <a:pt x="9678" y="854"/>
                                  </a:lnTo>
                                  <a:lnTo>
                                    <a:pt x="9157" y="1005"/>
                                  </a:lnTo>
                                  <a:lnTo>
                                    <a:pt x="8624" y="1142"/>
                                  </a:lnTo>
                                  <a:lnTo>
                                    <a:pt x="8079" y="1263"/>
                                  </a:lnTo>
                                  <a:lnTo>
                                    <a:pt x="7521" y="1367"/>
                                  </a:lnTo>
                                  <a:lnTo>
                                    <a:pt x="6953" y="1454"/>
                                  </a:lnTo>
                                  <a:lnTo>
                                    <a:pt x="6374" y="1523"/>
                                  </a:lnTo>
                                  <a:lnTo>
                                    <a:pt x="5784" y="1572"/>
                                  </a:lnTo>
                                  <a:lnTo>
                                    <a:pt x="5184" y="1601"/>
                                  </a:lnTo>
                                  <a:lnTo>
                                    <a:pt x="4574" y="1609"/>
                                  </a:lnTo>
                                  <a:lnTo>
                                    <a:pt x="11884" y="1609"/>
                                  </a:lnTo>
                                  <a:lnTo>
                                    <a:pt x="11884" y="0"/>
                                  </a:lnTo>
                                </a:path>
                              </a:pathLst>
                            </a:custGeom>
                            <a:solidFill>
                              <a:srgbClr val="A671B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27"/>
                        <wpg:cNvGrpSpPr>
                          <a:grpSpLocks/>
                        </wpg:cNvGrpSpPr>
                        <wpg:grpSpPr bwMode="auto">
                          <a:xfrm>
                            <a:off x="0" y="12143"/>
                            <a:ext cx="11906" cy="2494"/>
                            <a:chOff x="0" y="12143"/>
                            <a:chExt cx="11906" cy="2494"/>
                          </a:xfrm>
                        </wpg:grpSpPr>
                        <wps:wsp>
                          <wps:cNvPr id="76" name="Freeform 28"/>
                          <wps:cNvSpPr>
                            <a:spLocks/>
                          </wps:cNvSpPr>
                          <wps:spPr bwMode="auto">
                            <a:xfrm>
                              <a:off x="0" y="12143"/>
                              <a:ext cx="11906" cy="2494"/>
                            </a:xfrm>
                            <a:custGeom>
                              <a:avLst/>
                              <a:gdLst>
                                <a:gd name="T0" fmla="*/ 0 w 11906"/>
                                <a:gd name="T1" fmla="+- 0 13826 12143"/>
                                <a:gd name="T2" fmla="*/ 13826 h 2494"/>
                                <a:gd name="T3" fmla="*/ 818 w 11906"/>
                                <a:gd name="T4" fmla="+- 0 14071 12143"/>
                                <a:gd name="T5" fmla="*/ 14071 h 2494"/>
                                <a:gd name="T6" fmla="*/ 2036 w 11906"/>
                                <a:gd name="T7" fmla="+- 0 14355 12143"/>
                                <a:gd name="T8" fmla="*/ 14355 h 2494"/>
                                <a:gd name="T9" fmla="*/ 3232 w 11906"/>
                                <a:gd name="T10" fmla="+- 0 14545 12143"/>
                                <a:gd name="T11" fmla="*/ 14545 h 2494"/>
                                <a:gd name="T12" fmla="*/ 4405 w 11906"/>
                                <a:gd name="T13" fmla="+- 0 14636 12143"/>
                                <a:gd name="T14" fmla="*/ 14636 h 2494"/>
                                <a:gd name="T15" fmla="*/ 5557 w 11906"/>
                                <a:gd name="T16" fmla="+- 0 14622 12143"/>
                                <a:gd name="T17" fmla="*/ 14622 h 2494"/>
                                <a:gd name="T18" fmla="*/ 6690 w 11906"/>
                                <a:gd name="T19" fmla="+- 0 14497 12143"/>
                                <a:gd name="T20" fmla="*/ 14497 h 2494"/>
                                <a:gd name="T21" fmla="*/ 7803 w 11906"/>
                                <a:gd name="T22" fmla="+- 0 14255 12143"/>
                                <a:gd name="T23" fmla="*/ 14255 h 2494"/>
                                <a:gd name="T24" fmla="*/ 8898 w 11906"/>
                                <a:gd name="T25" fmla="+- 0 13892 12143"/>
                                <a:gd name="T26" fmla="*/ 13892 h 2494"/>
                                <a:gd name="T27" fmla="*/ 9976 w 11906"/>
                                <a:gd name="T28" fmla="+- 0 13400 12143"/>
                                <a:gd name="T29" fmla="*/ 13400 h 2494"/>
                                <a:gd name="T30" fmla="*/ 11038 w 11906"/>
                                <a:gd name="T31" fmla="+- 0 12776 12143"/>
                                <a:gd name="T32" fmla="*/ 12776 h 2494"/>
                                <a:gd name="T33" fmla="*/ 11906 w 11906"/>
                                <a:gd name="T34" fmla="+- 0 12143 12143"/>
                                <a:gd name="T35" fmla="*/ 12143 h 249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494">
                                  <a:moveTo>
                                    <a:pt x="0" y="1683"/>
                                  </a:moveTo>
                                  <a:lnTo>
                                    <a:pt x="818" y="1928"/>
                                  </a:lnTo>
                                  <a:lnTo>
                                    <a:pt x="2036" y="2212"/>
                                  </a:lnTo>
                                  <a:lnTo>
                                    <a:pt x="3232" y="2402"/>
                                  </a:lnTo>
                                  <a:lnTo>
                                    <a:pt x="4405" y="2493"/>
                                  </a:lnTo>
                                  <a:lnTo>
                                    <a:pt x="5557" y="2479"/>
                                  </a:lnTo>
                                  <a:lnTo>
                                    <a:pt x="6690" y="2354"/>
                                  </a:lnTo>
                                  <a:lnTo>
                                    <a:pt x="7803" y="2112"/>
                                  </a:lnTo>
                                  <a:lnTo>
                                    <a:pt x="8898" y="1749"/>
                                  </a:lnTo>
                                  <a:lnTo>
                                    <a:pt x="9976" y="1257"/>
                                  </a:lnTo>
                                  <a:lnTo>
                                    <a:pt x="11038" y="633"/>
                                  </a:lnTo>
                                  <a:lnTo>
                                    <a:pt x="11906" y="0"/>
                                  </a:lnTo>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901" y="15326"/>
                              <a:ext cx="2814" cy="38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128EEC6" id="Group 55" o:spid="_x0000_s1026" style="position:absolute;margin-left:0;margin-top:0;width:596.3pt;height:841.9pt;z-index:-251654144;mso-position-horizontal:left;mso-position-horizontal-relative:page;mso-position-vertical:bottom;mso-position-vertical-relative:page" coordsize="11906,16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BmSbEBsAAKqjAAAOAAAAZHJzL2Uyb0RvYy54bWzsXWtvWzmS/b7A/gdB&#10;H3fh9n0/jE4PEjsZNNC729jR/gBFli1hbEkjyXF6Fvvf91QVyUtesa5kJ+5MZzzA9JWjIxZZxUed&#10;KpL3xz99vr8bfZpvd8v16s04/SEZj+ar2fp6ubp9M/6fyYezZjza7aer6+ndejV/M/5tvhv/6ad/&#10;/ZcfHzcX82y9WN9dz7cjFLLaXTxu3owX+/3m4vx8N1vM76e7H9ab+Qpf3qy399M9/tzenl9vp48o&#10;/f7uPEuS6vxxvb3ebNez+W6Hf72SL8c/cfk3N/PZ/r9ubnbz/ejuzRh12/N/t/zfj/Tf859+nF7c&#10;bqebxXJmqjF9Ri3up8sVhLqirqb76ehhuzwo6n45265365v9D7P1/fn65mY5m3Mb0Jo06bXmz9v1&#10;w4bbcnvxeLtxaoJqe3p6drGz//z063a0vH4zLsvxaDW9h41Y7Ah/QzmPm9sLYP683fxl8+tWWoiP&#10;v6xnf93h6/P+9/T3rYBHHx//Y32N8qYP+zUr5/PN9p6KQLNHn9kGvzkbzD/vRzP8Y13WOTQxHs3w&#10;XZpUbZbmxkyzBWx58MPZ4r35aZq2SWV+WDV5S/U/n16IVK6pqZk0i/9wLbRaQAG+FprfRwlVU1XS&#10;F60evMa0bZ3Jlz0NdL+KKsH+TtUBhtyu61W7L+tVf1lMN3PurDvqMVaftdXnh+18TuN4xHZ53DDK&#10;dqqd36O8bwi2Q8c7sS91ChlQo1PH9GL2sNv/eb7mTjn99MtuL9PBNT5xV782fWGC/nhzf4eZ4d/O&#10;R8nocSTWMWgLSi3o388ASpMiq0ddjW5dYZnFoTBBLUbWVphBHC73cKrQwoJEKPp9ExWK0e1akDIq&#10;LhT9v8PRgNJaC8MK8IhgLABdgQOCWx83JJgmB19yUpZZtMmpMwgrmmDxNqe+RbIEGtQs7ExiTKyK&#10;dmY5Jtq3S92q2k6dXazkpIw32tlFJAOmNNo3jNq9UmcWI1ft1M4qkV6NIXdrB9V0YcfZ7PPKDDR8&#10;Gk3JY0h4ndisdzTN06jDIjDhyQ9FAEWjUgHDNATmVesoGNokMM/uR8FQAYHRnWRBGa4HdSaGF6fB&#10;0QEYXp8Gh9UInvGaaKsuT6PMLZyevruzHY/g7nyUVWQz3ZMNSJf0cfSIhVaWzsWbMU9E9NX9+tN8&#10;smbQvlt087KyaugAd6tDoJ3QUDX7tX1uuDwjEo15AjTHfGr0ZEuzTymVRi9r6CgSg80Anadgi7JP&#10;KVJ6oddw+RoNI+2xi+E0Sobw1pTd+m55/WF5d0dq3G1vP17ebUefpvBF32VN9e7SNCWA3XEnX63p&#10;Z9Lf5F+wohmj0drGvuX/tmlWJO+y9uxD1dRnxYeiPGvrpDlL0vZdWyVFW1x9+D8aUmlxsVheX89X&#10;vyxXc+vnpsVpK77xuMVDZU+XukxbZiWP1qD2QSMT/l+skXBsV9e8fC7m0+v35vN+uryTz+dhjVnJ&#10;aLZ9siLg0YlzQD7c7uLj+vo3OArbtfj44CT4sFhv/z4ePcK/fzPe/e1hup2PR3c/r+DqtGlRwLJ7&#10;/qMoawyo0db/5qP/zXQ1Q1Fvxvsx5in6eLkXEvGw2S5vF5CUsi5W67dwdm+W5Ehw/aRW5g94W1LX&#10;l3e7MAjEjXVuF5ZNVOoP7HfxhKGuzIFPQF5XdHX0F3oGxddGt8zTWpYmtbo8umWeV8e6bOJig0We&#10;QHGxbo3nJTTJW621bo1nsU2exX0+f4VnUFysW+Ihtmlr3fvBEPEcr6Yt86iSA7+LUXG5gdtVN40u&#10;2NmD29sWVby9qTMHWsIoRbBvj6quVD33vK62qeMefeoMQoIJpQj2LVJWWaEZ+MDtSpu4u0fTVude&#10;JwSLi858Z7goYDrFx83cGDEeX97GG505q3B3JZgi2jdLnpW1KtrZxYgu07ihs3CkEEwR7RtmyLPP&#10;nGWsaIVUZP5oSZl7xEUjauFZZojQ5M40R2TnzjSscZ3Q5IFpBmU727BsdeLMnWkgujdzwul59e7j&#10;DCaF2r7Yu1cpD41pJgO58bGGmUkGWzPcutBH4Bg7DLeBtGE49XeCo5OK23oEji7K8ICwkf/sWOEL&#10;EZmOeFgOpTEZXvq5muQeSqssN7BPQ2YSrNaMTIvKKsBC7FOgtMIyMksay/kswj4FSUuiIKtkuExa&#10;wxiJ0KmlZ7Ys+5QyadERZI41ZqhJtEYIssQENYSkKV2QVTlcz9PZWWeko0Sug4Y2eiVorwRtPHo6&#10;QesyBZIciOcJMN78PIEMu342hPJBXzdb0lJ8A4NxehGJcBdpwisBJtEwVdL9KpoosL/DiIknS36H&#10;REGF5aPPWHkyeRnG2mlkQI9OH2FU56tnCnKEcUZdjboMQODvMWoxssbSMgVNVmr+dejrpXlapFGx&#10;vq8nqLhY3wvPsirV5DonXPzbPAF/izXX+eDk3jIqLtd3wfM60VmUc8FFcNaAHsUEB4w1ZVhcckBZ&#10;y7RQqUzqPHAjumySuGhnFGp0RjBFtG+VqmxUbfdIa5qlhdJqZxcWTTBFtG+Yum11vuwsI61OS3Dr&#10;mMJD2sqwuOiAtrZ5q7b6gLY2hTKmnGWo1QnBFNGBZZK61GU703CzW4Re4632BwyjFMmBYYboW4+2&#10;kqrjkp1h0GhGdZIxy73St38W+gZjfy2CxQsReSIdfRKOIUSwSFyqpgOEZARLFfMGu6ShchZgn1Ii&#10;LS6CTGQziIqk5UC4SFMMsyuavQVZFsOshSZbQSIUPMiEaG5kZHaMM9FUxsi0wZ6VIXYFmaVAW8xx&#10;g0hJ4oFVP50IuXwTmYAzglmdSDZWz+9cFm+LyytTpwB2PL8DMcaLPcxqJe375n1TnBVZ9f6sSK6u&#10;zt5+uCzOqg9pXV7lV5eXV2mY1aJc2Zdntag+QSuCZNYH/t9hY71UlWT60De/k1TVSUyIRmbAhJiC&#10;vDwTSpNMtqhFqVCWwHNgntSjQt7PolzI/hBW/HZcCH5/nwvxboKX4UKeSiJk6EAhL0yG0ipr4Zc5&#10;4ypsiGGLka2dxobAIjRW4tw746vWaR2X67w7chhTgsXl+t5dWueZJth5d4YaoKvGBftud0otVQT7&#10;zl2eNmpqp79zKsvSLC65R4gIF29zQIgKxP+0Rh8QoqyuFNnOMExLCKfI9g1TpbnOA51ljMZTbLSK&#10;drEgkQfmBJwi27dNXWW6zp1xTDcjchCV3eNEhIvLDjlRmqqy+5woLZH2i8sOSBHjFNmBcZKyVZO2&#10;5Nt52eI0aUttXDvzMCMjnCLcjRweiQObE3u8iNustNzZh4Vj2vGEYxF4pUav1Aj+9AjbfbYnb6Lj&#10;VUmnRmle282BGjXCuiX04Fg6iRYaQdayhVynRlgZBNkiXzNEJGgeZ6RdXdUyadY1ZRbDSSKaI009&#10;E5vysyTPPoXstZjRBJm1doOmRdinIJF+B4LSiMT6hlr0JTmiZ1EjjS1ML16p0fewi+80aoR+HFCj&#10;3+lITYptQJzcjVIjJInMWZM+Nep+FqVG9offlBphuulTI27NC1GjTiURanSgkBemRlmCvVOecRVq&#10;xLAF3B1r5w6HDul2i5W16jA7J8/4y1kGn7VTRVee8/HEVQcsLjfw8NpKTZs4B88ILjOlwb77jawJ&#10;YHHBvneX5wNJk36qqEZuJ9rkHjUiXFx0SI0a3U0/oEZNDVoWU3ewwRF5KuAU2b5hqgwe9SNKpONx&#10;HBPpDHiQLGraQpHtbMO2Jpwi27dNXYM6arKdcYy1m0TReUiNMsLFZfeokb6zs0+NsioBCY/pPNzm&#10;yDhFths1zCQGdnf2qVGGWKsiPBg4jFOEB9Z5QsqI26wId/ahBpFuPK2/UiPOpMSOLX1/m/5g7K+V&#10;NeJVaYAaOZdfY0ZYttjlz91BJEsK7NOQAywzDKyqYRZBywIDabvdEIkoMIczME3wYQhJM65BYuPs&#10;EJLmR0a2xbDwNjVb/Ooj2SqcmTZb/ArZlKSSt1dShEsHcNDouaegXvNFOHDlH206jRTBNQlIEcci&#10;Xj5fxDnRKCGqCzkBiEku3DZnfhIlQ/ZH35QMwTvokyGeRV6GDB3XoFPGixEheCLEMaz2/bQP5lHH&#10;bdQDWz4BQtBIKytw5ZDy0VxY382us5yyBbGq+V5cVtSqN+47cXUOXLw438HOa51N+f4bVUsprksL&#10;Qbtlkqv5hID61AUYTbx+AfOpslrdkNgxH0iuEe7TCvTtURetTikCgyTYLqbU0LdIUzV6gb5Jqlov&#10;0LdJ2xS6Dn2jVDmaEq9hSHmSVldiwHlK4WWxTthRHnbnh7In/igpcz6vGC3RNwt7E9o46RjP0AD2&#10;jaKO4My3iD9+Mfl8QbLGRq+HT62Irzax3t8wWPzUp91IYAPzwyWjs9HZGXuAYxhMw5vQzhs8Ajdt&#10;dC7uEbhpJUiP+LlH4LAxV+a0hqampe6synDpNGiodNn7gQ5xBG6aCop/St3d+anTmkqHFLkyQVOl&#10;UmbP05edcOIhqVMpuwlMI1KiK1oEBxkK7XjghtD6NoiklU2QWLoGkbRoCdK4XtCKZW/2KSyOliOD&#10;dB3SIuxTkLTOmHo6DmkR9ilIWkAEiQVisJ60MjCSZv5BJE35gsSUPohEItxUlObqYajb0EeT8InQ&#10;YWuK0UMMlP8FN1noma7Xmyx4Vgnu3rC5L/v8I99kcRrdw0AP6B7PDC9J9+qylcmFe3nH+HJ4KHI7&#10;XFHyuPP4Xv83HeU7+BVGy7fbGIjlsEf4sOShl31twtfXh01+6dp4DuPjsD+JGrE8tMPnc1h1HJ+b&#10;kDvIwnsgTM8OBLPCmXbG7ZIczp2VPENSp2VUou/OTsiDj0n0GYYq0XmyRyT6vuyEdirGJPrUghze&#10;SAsdqTiiUkz/Tl0ToqExeQHNUwR2FO+IRKd7OP4TzgVFRfqqD7SK4fYcr15clhOvDnuSoy5zy4lX&#10;hz3V9xYfYoI8Hy8d4r9CBfBjv8BlZI2PcLkX9RzdYTT9CuI0lxEFiUPeQa1rZZ/iYjlg6Gl0Xp7A&#10;Yt5IHHMocHa33s1FS1/gvbTvyqu31p8PNv+/ei+s3O/We9ksZxf4vzk2gk8HaYDjlw/jV/sHulNM&#10;LjC+P6mM++n2rw+bM9z/i367/Li8W+5/47uMMTSpUqtPvy5nFFinP7qbVCn9I2s/viapI2G5FiW/&#10;gSu/nPHtvKPV+nKBSxXnb3cb3AhIN5R1/7Tdrh/p5jVchCa8JizlnP4M6vHxbrmxF9nRZ9Ni7Irs&#10;3UQcUZrccny1nj3cz1d7ubZ5O79D49er3WK52WF35cX8/uP8Gnssf76Wm9TgcRwcDMqat0nSZu/O&#10;LsvkEgeD6vdnb9uiPquT93WRID13mV7ag0EPuznUML272iy//GSQ3Nln5zJULXTfpxekEk4HbWf/&#10;DWWzk7Lbb+f7GS4InF7c4HyS+XfMru4LVnOnWVL6SZfd4o5kIdolaDTL6vwzijrQ1cmlyyeKt4qO&#10;sZXLbkf0AZpGPXkxsMfZUTMLoTp72x5jtmi/v0NaVv8wLn3E//GJmIp3A4T3sRuaNdYxn+PIOb2X&#10;5DiycCKUkPDw7UiOyelSD8AJQ7Pdp5fW8n7W8ZzID9EhvhnToZhTn+mYg2Xe9dAYS1/n4mhPJXYo&#10;DSnkOWSHA9/aTijrlgtdKBrcaeBVqWMyPt1JGbYYdXbucL7XjckCjr40hyeLDua8bis3pXMxrlN1&#10;QJ/0QC5gcbmO91CKATExTbDjPUZwXdPBlIhgn/vgwC5gccGOAEFwnuPojNLiLtdlJFc48BGVHLAg&#10;3OrEB0Niuu6oEGQX1cAdzs4qRnbBR4EirQ73+RWEizebtho5QofN8Hoey1nGyMZ2LqXdzjZkw4Jw&#10;imzfNrggS93U2b/MMG9wX2VU52HSi3Fx2XB9unY3eaWm27qkl7Qbm32ULh7u82OcItuNGiioLfTb&#10;wrukl8jOGtq+G+vl4X2GjFNkB8bBDfNqZrp/AirLkP+NC/fHTsq4uPDejYZ5omq9f6NhWvKZzkhP&#10;D680ZJwi3A0e6pZDGxzpRIqMCVE7KTze8uBSQ9aN19Wx+j0n8CAr84mBB7SJMkSWfw5nqzCCCWy3&#10;iQ2DxT98cs4viDtw2OGfY4Oj2tR/tFsNeQHSQzg57nYxoSMthmO5A0qy/c7GbuxTgjO0fnOXy7HP&#10;3BRqEfZpoj1YcAVZS2QdY8ci7FOQtDwKspQTKiqSFjNBZqgGhyKUMmnpYWTWYm/AEJIWCkEWzXDb&#10;aVpnZNqWRxJvNAkLFGvGoHica4N1aBBXmJ2HKmp8TyAt5xQ1QltHY10ebzv9Jo+qzd+CxUidgjDY&#10;63G1kOtTpoVIuuRc/iiXzp9GYzHgAhrL4+4laSx5Z+jkKXYBGKrasa+GZh/isVmB1Dp6JuZouz3z&#10;8Hc+kT34JYbNtyOyGPF9Istzz9dO2R3qZECXTiPPYbLsVmXZCBLZLB1N9L1yTtkhXyCzt5/YcyRW&#10;/LMSN7yCaLgu0BUH1TlykzIM9wK43tDhQocvWjOfJ02ElkZq1iNJ/LaiaM0CN9y81ChWM0eRpKns&#10;th6qzXfAJ3KhQqRyfeqq1y6krgPV66jrYP2CbZqSxIsatqOtUlyV4O1DUf0FvDVlXNy0vfNpRQl6&#10;fajA4NqOCaITxP5jKuzZY6CCvk2GKthRVm4zbsGvIxUM+Cpe3qNVkAaxz13KFjtOoxoM6Srj4hqk&#10;XWtekXletLEKBgMkU0dIx1TFxGWLpHu8gsEYYZxSwdAoWY19xYcmDu7dnyCAoJi4I6mmgk2L0FJ0&#10;dvFnqxSbsSi2FBvEHUflIjO8lDBSweDOfdyCrlYwtAcE06nHaAV9mwhOqWBv3kLQJlZB3yAT7FXX&#10;NBjagy7nRMgkWsFgkDAuXkF6047XB7HbI1I/XCDRTfcTbM1X6ofzT35huKyGwiqx+tGWPG8BIZxS&#10;v9Am0RWk8K0xwa2hWvV6xtCXN7p/0KseLYNd9bBCPyf8IFTkxA3KaBH8q4klTV81oiBEZ+I45nDh&#10;NIFTVU7d52uaeerGXdNQRw+HK0NTDVXGXXs/DDcbVCfupN8RuGmqe+vYMJxGBVVGfGD0iiNw01R3&#10;+SXD5WdfsINEVlPaQsITpB6AMK8qhUAt/iCRAhQzHFMwEtH0J0CxUA9vPMaLvjDUUehRZN7SC3EJ&#10;iaVrkKznOR1JYGQ5TOuzyl76WWCL4lAAIEvM5aQIwA9vPE7Jb2bpOe7rHCoTB4oEmB45OSsW6ix5&#10;euwhiBwEt2e+rer0nW1JAHvdZ8NG+2732RDPffH33dGo7rNsjij8wVm2JDoOveHAVVI9pZ6jRC5S&#10;3FEK/CSGdY6Iz9xDNylNK1x+clg5zJvOrTmZaxclXb8Z8+Iwa7nicEe9XL8ZiQL03FYsIGmkcr7L&#10;ejrXLvhy0FjtQq7NuLju+lwbbxWM1e+5XLtoNRoRcm3GKTXsea4J5XQPzftcsl0mlHKO6tA3Ssq4&#10;eA17ZBvvOk0iFXw22c5KXMMSq2CPbBNOqWA4QtoUey8ONdglhpHLnDyBbBeUyYxWMBgkJeGUCoaj&#10;pKmKWDzl2WQb55TiFewywpS+xT2kPtfxp5ge2W5w10ZEg88m2xWoZ1SDYS64JFxcgzgEZ+YjjgYg&#10;4xULV5Cv5Watp5DtGnsZ4hUMBwnh4hXske2Kjg4f9sFns+1GGyQ9tk04pYLhIMEh6FgffDbfblPF&#10;xD2+TTilguEgQYQmWkHfIJNCjUiVYfADfEKLd9M9/67TCC5eQbqeU4DcB0uEpCImpve3ueIm5mrm&#10;SFQUOVu/NAjGiZxoHyRK5EoUnFLBcJAoYVt6bZwrblKqESnQqqCCetiWrt1xJQ6FbSlhLUAJEyqR&#10;ebrc3pU3MdvKIirEO/+C4vQaUgbalThYw55VtBr6JplUalgKl8MGNaRVJG5kOprb1ZBxnZFfw1Kc&#10;iIzfiWw2Akxew1K0cYEUtVnvRp8peiWxlEkYllJ33RQYxgioTDAhSkRjOOhlXlQ5kfdBHI2RmbdV&#10;TtwOlOHSaQ6gymDknlKZyjRVtubbysjzZSNwXcjMBoK0GByYG/mgFLNCnx0KGqUppnlG5seQCQ7J&#10;M7I8FrKi11QzsmqGw3W4wg1TP6rZHNlXhL1MmLWoPUg5DjaosbejpemRCCTyMtKeNHOmt7uZ7FN2&#10;NdWlGflp7qxuEfYpyArvTJd6Hh5o6yHpjnBuUemmE4uwTymzrM0+LehgOKaK92SbMnHb5aCWTo+T&#10;dp3uaEi1g9r+KQ3B2Di6qykIGb5GFpfX9jDW8f1Z321k8bRNTZhpgk1NHHh/yU1NEj6n1y6abUvd&#10;Phy6gNfsaZKrP7w9TQc/87c0HfwQY+bbbWlCI/rBVk58fO1g64FKBjTpFPKcHU2ISegnRqw3LEQB&#10;hxLgN3fG7XYhOQpAEQ6Gkdts7dzhfALQIFNPeeTIzcw99x+nHRH7iclFB/fcdYLF5ToCgPrhRdzC&#10;tiKCnfsvDS5yOiETE+xYGTWYYXHBWEVdBfNMfy9Sf4MTlkhFci/oSri46C7oijoWBbYjKdruwq6m&#10;1RUUFG11t8mJm004RbZvGN6koMl2lrGysQEhLtvZRmQDp8j2bVNVrd67nXGMbGQm47K72CvLJlxc&#10;NvlCzt51o58SQVDKAI1sevlOtN1h/LUwL+mJjK1usxMq2TSnv50ob3ATX1y2sw61m3FKu33jIISi&#10;DrD+0Zy8QBg7LttZh2UTLi672/VEQNyxrE4rXSBWlJ7V9B6u2PDuIrFUJuMU4f6M9qSjOSRWEe4P&#10;Hq6e13LM9c/ZGyPLyevRHI+X2/v1MLhP4baG5pwc4BC2McGmwZNKFwo3QfbhFPg/2tEcXuv1nTEp&#10;9uGadmm0HN6AUL72yPkQWr4ZSW/wM4VaUmifQg5pvRVkkQwjaXU0yNZW1JZln4ZwYiOdQR65549W&#10;HkHmRwg8rROCTI+0iGZ1Rqa4x2+w7TQHCzJDhYejHJgxGVohszSMZFcckQY7YkQ3p3DYZ53M0a/X&#10;O878Xt+xO9qucdUF+uCn+RYfFuvt38ejx+1082a8+9vDlK5uuft5hVtQ2hT9fzza8x+IfpC3s/W/&#10;+eh/M13NUNSb8X6M45H08XKPv/CTh812ebuAJLnEZLV++7Bf3yzpQhCw1d2FnBcyf2BXjFzygpsm&#10;/jDX0NQY+kL+frXX0PAopBsz6EaM7+YamowD2GCcr9fQoA+zMuxNMrjQh6L6NZ3nlhBlLkt8dw9J&#10;1hBP4mtI3Fs17M/tLTOvF9Hc2bOF9sl9jW+fkTOG8YtoOPD1eIvZgzxhzGaL5exqup/6f+Pz4+Zi&#10;nq0X67vr+fan/xc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BD&#10;a/Mz3gAAAAcBAAAPAAAAZHJzL2Rvd25yZXYueG1sTI9BS8NAEIXvgv9hGcGb3aTFkMZsSinqqQi2&#10;gvQ2zU6T0OxsyG6T9N+79aKX4Q1veO+bfDWZVgzUu8aygngWgSAurW64UvC1f3tKQTiPrLG1TAqu&#10;5GBV3N/lmGk78icNO1+JEMIuQwW1910mpStrMuhmtiMO3sn2Bn1Y+0rqHscQblo5j6JEGmw4NNTY&#10;0aam8ry7GAXvI47rRfw6bM+nzfWwf/743sak1OPDtH4B4Wnyf8dwww/oUASmo72wdqJVEB7xv/Pm&#10;xct5AuIYVJIuUpBFLv/zFz8AAAD//wMAUEsDBAoAAAAAAAAAIQCYv6dt3iwAAN4sAAAUAAAAZHJz&#10;L21lZGlhL2ltYWdlMS5wbmeJUE5HDQoaCgAAAA1JSERSAAABoAAAAEkIBgAAAHsK8qcAAAAGYktH&#10;RAD/AP8A/6C9p5MAAAAJcEhZcwAADsQAAA7EAZUrDhsAACAASURBVHic7Z13YJN13sCflb3TNN17&#10;T1qglELLHkWGCoKKp556HHp6+J7KeXrOQz3Hue9cr6jnwoWIIMpehVK66KSle6VpkzR753me949e&#10;fZHrSH7Pk6TBfP5h9PmONmm+v/EdMEmSUJAgQYL4i66qvvVH3zi9G0RWGiOuX//sNTPo9unXjKpL&#10;M3vvkwcrQWRZPKb21rdvkLr7PAJiJEiQIEGCBKFKMAAFCRIkSBC/EAxAQYIECRLELwQDUJAgQYIE&#10;8QvBABQkSJAgQfxCMAAFCRIkSBC/EAxAQYIECRLELwQDUJAgQYIE8QvBABQkSJAgQfxCMAAFCRIk&#10;SBC/EAxAQYIECRLELwQDUJAgQYIE8QvBABQkSJAgQfyCTwMQSZIwSZKwL20Gmd4E3xO+gSTI4GIz&#10;yLQDo1uhy+HiqLtHZg21qeeN9GjzjGpzgkltjnPanAKn3cWDIZjEWKgFZWIWrpg9KAjldwnl/I7Q&#10;JFlFWIrsDE/CVdDtUxD/Y9FZIxTNQ0sUzcql2gF9plljibXoreEQCcEMNmaSxUurZ92Q+1h4qryM&#10;LpskScKGIWPyUJt6vm5An6lTGDJMI+YYm9Eus5vsMgiCIARFHAiGOBlshoEjZA+zhSyVUC7oEEUI&#10;W6TRokZZQkglxkRtdPnkDVwOnK0d0GWP9OpyDUPGFP2QMcWsscRYDTa53WSXuZw4m8RJDEZgHMEQ&#10;B8bELBwha5gtYKv4Ml6PKFxwSRQhbA1Llp3lSbkD/v5+AhkCJzC90pg60qfL1Sn0GUaVOcE4bEq0&#10;GW2hNpMjxGlzCmAYJiAYImEYJjAmasGYqJXBZhjZQpaKLWQPi8IFl8QRohZxhLBFHCVqmu7vPyrA&#10;dMwDclgcop7agXXdVX3r++sHS3EnzgbVJY4SNSfNjduVVBT/uVDO76Ts3BRUf1v/NEmCrQ6zV6S9&#10;zhaw1XT6M9gytHCgSbkMRFYaJW5MnBv3pbvP4y6cWbun8UkQWwmFsV+FxErqJnuGIAi0t3ZgbdOh&#10;1vsHLw4vmkpn0a2ztmUtT3sTxJ+fbeIEpmgeWtJxrufmgYbBlRadNYKKPpSB2OXJsvL42THfJhTE&#10;fsMVcwap6KMDkiRhddfI7Paz3bcompVLdQpDBkmQKB26BXJ+Z0S6/GRCQezXUVnhRxAMcVLRN9gy&#10;vGCgaXD5ZM/oFIaM7sq+DSD62QKWKn1J8rvuPMtkMwy5qzNfArEzGVqFPqPvgmJ1f71i1VCbaj7u&#10;JFh06UYwxCGLl1aHp4Wejp8Vsyc0KaQChmHgD21Njzavq6p30p+1RWuNvHSq804Q/SgDsedck+H2&#10;z5hSAFJ3j8y8eKzt7o6z3be4HDgXWNE4wDBMpC5I/HDm9TlPenNVtvOOXU4SJ4F2gje8sCZdHCFs&#10;pdOf2u8b/1r9Tf0zILIJhbFfLb23+EZ3n3fZXdyPtnxlBrG1+J55m5OK4ndN9PWBxsHl5Z9Wv65T&#10;GDLc1UklANlMdunFo21/aD5y6T6r3hYGomMqYBgm4mZH78kpTX85LCW03Bs2JoMgCLT7fN8NF/Y1&#10;PTrSp8v1tj0Wn6VJW5D4QXZp+itcMUcJouPCvqZHqr6ue45u30DgSbn9N792XQwdunAnzuoo797c&#10;cqJjy3C7uogOne7AD+H25q7Jej5tYeJOFEMdnsq3n+n6zYl3yz/xhm8gAH3w6gYNaRWf17zSV6e4&#10;hm6HxiBJEmk92XFXe3n35txVGf+YsTbruat5K3q1YDPZpWUfnn8PdEXrKS67i3thf9MjjT+1/sll&#10;d/G8aYskSaS7sm9Dd2Xfhoh0+cnCzTP/JIuX1nrT5hi9tQNrKnbVvKxXGlN9YQ+CIMhusofUH7i4&#10;velw67bs0vRXZl6X8zTKQO2+sj8dIXACayvrur1mT8OT5hELLcHME0waS+zZf1e+1fDjxYdmb8h9&#10;LHFu3BdUdkT+xqMARBAEWvd986M1exueAN01eAruwDm1exsf76rsvaHkrsK7/LHy9CkkFLAX8iN9&#10;upzDr53ca1SZE3xhr6emf135J1VvmjSWWF/Yu5zBluGF3z35U3XagqSdhZtnPsjkMAzesKMfMiaf&#10;+6z6tb4LitXe0O8OuJNg1e1rfqTvgmL1oq1Ft0pjJfX+8sWfaBX6jBNvn/1M06PN97cvxmFT4vG3&#10;z37edb53Y/GdhVvYApbG3z6B4Pbdh3nEEn3g70ePV39b/zdfBZ/L0SkMGfueOXymbn/zw1d11lSA&#10;BqDhDnXhvh2Hzvoi+OBOnHX2k6o3Dr92aq8/gs/PkBDcerLjd3seO3BhuENdSLd6RfPQ4j1/PVDn&#10;z+BzOSN9uty9Tx+q6K0dWONvX3xN68mOO797/Kea6RB8Lqe7uv/6bx87UK8d0Gf62xcQ3ApAml7t&#10;jL1PHzynbFWVeNuhSSEhuPKrC88ff+vMLtyJ03bRN50gocALriN9upyD/zjxo9Pm4nvbltVgC93/&#10;7JFTzYcv/dHbttzFqDIn7HvmcFnbma5b6dKpaFYuOfjKiR/ovlulCu7E2YdfP/Vd+5mu3/jbF19R&#10;/0Pz9tM7K3ZSSa7yJhatNfKHvx89rlXo3b5vnS5MGYAGGpXL9j9zuMyitUb5wiF36KzovfHIm6d3&#10;X5VBKMB2QHazQ3Lw5RMH7GaHxNu2TBpz7P5nj5xWdWrmeNuWp5A4iZ18t/zj+gMXH6Kqy6Qxxx55&#10;4/Ru3IFz6PCNbkiCRE++f+7DwZbhBf72xdvUH7j40PkvL7zobz+mwmawyY/9s+wrwkUw/O2LJ0wa&#10;gAaalEsPvXpyny9Wtp7Sd0Gx+sR75R9f1cdx0xySJOEzH51/2zxiifa2LavBJv/h70eP6wcNad62&#10;RYXzX9S+dPFY292g8gRBoCfeKf/EYXGK6fSLbkicxI6+efobs9YS6W9fvMVAo3JZ5ZcXXvC3H+6i&#10;7ddnNx1u3eZvPzxhwgCkaB5afOjVk/um67YTgiCoq6J3E2i++jQmYAJqT03/tZ0VvW6nfYPisru4&#10;h149+b1x2JTobVt0cPbfVf/qqelfByJ76VTnHcrWwNhZ2Iz20Kpv6p/1tx/ewKKzhh9/+8wu0BpB&#10;f1H9bcPTDqtT6G8/3GXcZAKTxhxz9M3pewRwOeWfVL0Rnhp6WhQhvORvX+ggUHZ0JAkh1bvrd/jC&#10;Vvmn1a+rOjS0X/J7C5IkkZPvlX98/TPXzBDIeD3uyhEEgTYcuLidqv3IzLBj0bmRPwrk/E6ehDPA&#10;5DD0EDR6XGrRWSP1SmNqf/1g6VCbaj7VAta2ss7bs1emvTZVUXKgUfnVhedtxtFuGVRgsDFTdE7E&#10;T5FZ4Ue5Yo6CLWCpWHzWCAxBpMPmFJo0llj9oCFN3T0yq++CYjXVBb/L7uJ1V/WtTy1J/Iiq777g&#10;vwLQ6BHA2c/oONPHWJhZFi+tlsaIGpgcph5jYyaUgdosWkuUXmlM1fbrsqlmTbkcOPf0BxXvr350&#10;2UKQfHgYgkkSmkZp9AFyB9RW1nmbtl+f7W07PTX961pPdvyOLn0sPnNEGCZoE8r5HQw2wzj2/7gT&#10;ZytbhxfQlcXnsDhFJ94++9nqR5cuQlDE5Y6MunOkgEqdT1hqaFnxbwvulkSLm6Z6Nm9t1t/tZofk&#10;4tG2exp+annAbrKHABklIbjxp5YHFv6+6PbxviyJEjUlFcV9PpkKk8YSO3RJVQxinsll6GNmRP7g&#10;zrMsHmvEnedMGnNM+9luykkWs9bnPpG7OuPFyWqnQhNCqsb+bh6xRJ3bVfNKV0XvJip2O8q7N08U&#10;gPihvO6pXg+7yRHS3zC4EsQ2giLOhDkxX7v7/H8FoNEjAGrZbsJwQVvBDTMejZsdvQdBEHyi50iS&#10;hIfa1PNajrXd3XGu52bQ1ZiyVVXSVtZ1e6BE/ckIlCy4gUblCm/bcFidgrIPz7vVZmUqUhckfpC2&#10;MGmnPFlWPtlCRT9kTG493v77piOX7qN6AjDUpprfcrz995nLUt9y5/mBZuVSUFsh8ZKa0u2LSxks&#10;zO3OFiweU5u3Luu5rJVpr1fvrt/R+FPLn0Bsd1X2bZh3e8EfxrMdNzP6+7iZ0d9PKl/Vtx40APFD&#10;eD2L75l/C4jsRDQfabuXys4QZSD2hVuKbvekLRYEQRBPyh1Yem/xjXXxzdVU7p7UXSOzSZKEx3uf&#10;h6fKy6bqt6jq0swGDUAMNmby5PX4xfmm3ewQU2mbwWBjxnm3zb7vhudWZyXMif1msuADQRAEwzAZ&#10;nhp6ZtHd824t3b54JYvPdGuFMh7nv6h9KZDOPoNMTcOBi9utels4FR1cCUex6uElyxb8bu5dYSmh&#10;Z6faJYvCBO1zbsr/843/WJeUvjj5PSq2IQiCqr9t+Ju7pwmqds1cUDuL7p73G0+Cz+UwWJh5zk15&#10;2yPS5SdB5F12F8+bXVF8TXdl7w1U5JfeV3KDp8HncnJXZfxDliCtmvrJ8bGbHRLgHa2P+cUOqOlQ&#10;6/02oz0URBFfxute8cDCtdJocSOIfFRW+NHrni6dvW/H4TMgDSRtRrus6VDrtvxrs4H6qE0bAuQI&#10;zl0EobyuyMzwY/JkWbk4UniRyWNqWVymFmWgNtyJs20Gm9ystUQbhs2JIbHin+8RrHprWMOPFx+k&#10;YlueLDu34k8L14BUiXPFnMHiO+ZsFUUIWyo+r3kF1IfRdjbN2ws25j061bNGjTkOxAbGRC2SSNFF&#10;ENkxEATBF24tuu3Lh77vACk0H25XFyXOiXX76GW6YlSZ4g3DpiRQ+cS5cV/E5kftp+IDjMBEwaa8&#10;v/z4wrEjoDqManM83Y2SvcHPbzSnzclvOtR6P4gSnpTbv+6JFUWgDQvHEITyu5bcN3/T/meOnAaR&#10;b/jx4oNZy1PfZHKZeip++JWrJAAJwwTtM6/PeSpxbuwXk+2EuWKOcrzWLhePt2+lUoQpiRY1rnhg&#10;4Wo2371z/4nIKU1/FSJJuGJX7cugOlqOtd+dty772al2KBbQdHaaeoHxQ3i9ITGSOnX3yCxPZVWd&#10;mgI6fPA3lDIQYYgsvDmf0qJpjIg0+amxRRqIPF3d0b3NzwGo5UTHFpDEA5SB2Jffv+A6qsFnjPBU&#10;eVlKccLHbWVdt3kq67A4xe1nu29x98x9OhIod0ATgTJQW+HN+Q+lL05+193L9yvBXTjz4tG2e6j4&#10;sOKBRWuoBp8xskvTX1U0Dy0FPWaymx2StrKu2zKXprw90TMkScKgiT8ETjAIF8GgOjoBgiBIniwr&#10;Hy8AIRji4IrYSq6Eq+CK2IMcMWeQK+EouKLRP/khvF6qtqcDVHY/IbGSOrrmmSEY4mQLWCp/NDz1&#10;JRgEjb75W463bwVRkL0y/VVZgrSaTqcKNuX9pbOi50aQuRotx9u3ZixNeTuQO8QGKsJwQduy+4pv&#10;oNqssrd2YC2Vu5+cVekve5L+PBUwDJMLfld45+5HDzSAHlG3n+m6ddIARGHFSrgI5qWyztvTFyW/&#10;D6pjjOR58Z9xx4KLmDPIFXMUXDF7kMVnaX4Nv1MmtWfHoDAC4xgTtaIM1BaTF0np6G0c3QSwcICc&#10;pGAQNJpFBlphnrUi7Q16XRo9f4+bGf0dSJHj6CRCQ4YkStRMt18+IUDeOFfCYGOm0gcXrRKGCTqo&#10;6uqu6lsPKssWsFS5qzNpr17niDhDOasyXq786sLzIPLD7eoi84glmifl9o/3daoFj2c+qnwHIiGE&#10;auKEPFl2Tp4sO0dFRyCTPC/h0+iciIMoA7WhTNSK/edPlIHaMAZqRZmoDWX8599M1Aq6y3cHlHH1&#10;j5/BIAiCLp3quAtEWBYvrfbWhMjUBUkfgFbZ99YOrHU7AMHTqQgIgsgADUDzbpt9Lx3Bh8AJrL9+&#10;cBWofOqCpA+YnP+v76GTtIWJO2v21D8NOvGyp6Z/3YTHwxRfd5Ig0bIPz7+r7h6ZOWtD7uMcIVtF&#10;Rd+vlajscOCLfzrBnTjLZrDJ/e2Ht0FIkoT76hRAv/DRMyJ+pNuhMSKzwo4yuQygZIL+BkUp3f74&#10;jsC7A4oviNmdPD+BlimLI326HCpF0CklCf+mw4/xYAvY6pg88AynyS64UQZql0SJpiwgnYqW4+1b&#10;v3xgb/fxt8583lXZu8FhdQqo6gziW0iShGv3Nj5O5fcgUDqqYLpBQzrouXZYSugZuh0aA0EQPCw1&#10;tAxkFoqqc6SAwAnMm9tjrxFgOyAYgfGCjTMeoet+QNUJ3nJHGC5oo5qOPBWRmeFHQae9DrYML5yo&#10;QBCCICgqJ+KQdkCfRc3D0e4gHed6bu4413MzgiGOiHT5yYiMsOPhaaGnZfEhVcHJwtMX/ZAx+fyu&#10;2n/01PRf629ffAGmppA+KQzld9LpzJWEp8lPgQQgl93F0/brs0PiJBe84VeQ/yd5XvynonBhG136&#10;qAz8ComTeH08dmSG/DiorFVvC7fqbWETZYwmFcV9DtqNYCIIF8EcaFQuH2hULoeg0Wy2kDhJrTxJ&#10;dk6eFFIhT5ad48t43b+GBIPpisPqFCialUu7K/s2UOkIE4hgukFDOqjwgReOHUFQ2Gu7DKcd54HK&#10;avt1ARmAyADqhg1BEJRQEPsNnfoMFDpey3wQgEQRwlYGh2FwAnbd0CkMGRMFoNCEkKq4mdF7vbn6&#10;JVwEU9WhKVR1aArHzvvYApYqPDW0LCxNfjo8LfR0SJykdqouJkE8hyAI1Kq3hZnU5ji90piqHzSk&#10;qzo1c5StqhICp32OT0B8jmD6QSPwfJXpnKNOpamjXwmQs1sIgiAIhsiwVHqPYY0q8AAkpuEOZSpg&#10;GCaFcn4H6E5NrzSkRWaGTbiLmrU+54me2v51vjyKtRntod3V/dd3V/dfD0GjPeIis8KPROdE/BSb&#10;H7UvmNDgPnazQ6wfNKTrh4wpBqUxxaQxx5k05liTxhJr1lhivBBoAhoMpO1NIGAYMib72wcQAikL&#10;ThotbmDxmFo6dVp1VuD6H4GM302jKxPCD+H1ggYgq94WNtnXpbGS+vm3F/zhzEeVE9YMeRu72SHp&#10;Ot+7set870YYhomIDPmJtEXJ/xs/K3rPZJ2df23gTpyl6tIUDLepi4ba1fM0Pdp8T+uIfu1goAkI&#10;0x2rMWBTGAMmAFFpmDgeuAtnUmm/ww/h+qQan8ll6EBlrW6k1mYsSXnHaXUKpsMoaJIkEUXz0BJF&#10;89AStoClzi5NfyV7ZdprGBOz+ts3f2AesUR1VvTcNNCkXKZsGV5A5f3qTQJlIYsFStdUT7EZrs7A&#10;Op2gu9jXQWUGFQyRDA7DQKM7E0Kl16DL7t54+9zVmS+Jo0TNJ98r/9huckhB7dGJzWiXVX1d99zF&#10;o233zLtt9h/jZkbv9bdPvkJ5STW/8aeWB3pq+q/9NSUJeBsEd+JARXXTHafNvfoHeJoVogbSHZAo&#10;QthCpz7cBVbgCUEQhDExi68yuRAUBu65BiPuJ+3E5kX9cP2OVfnROREHQe15A/OIJebwa6e+q95d&#10;/zeSCKyR1Z5iHrFEHX/rzOf7nzlc1l3Vtz4YfOgFIXDyqrwUC9Q3SqBsnSEIgjgi9hCd+gLmNaMQ&#10;6DytTeOH8HpLty8uXfPY8uLonIiD06lzR+3exsePvHl6N+G6Oi/WFc3KJbsf/aGx41zPzb62jTFR&#10;C8pEKRxzBsZCFrlasjJQJmplC1gqgZzfKY0V14XES2v87RMgAfHGgSAIYnHpTUCgsprGHTgnEKq/&#10;QXdP4amhZ0q3Ly696ZVr42dtyH1cHCn0asGtu/RU919X9tH5dwLhZ+8J3VV91//40vGDDotT7Eu7&#10;CIY44mZFf7fuqZWFbD5r2s/zoQpGpaYBGBgiGSzMjLEwE4PDMDLYmJHBYpgYHMzIYDOMjF/8/9jf&#10;GUYGGzMx2JgR+8+zTDbDiLEwE4ONmQKy60GAQ3ezRJjCa0iSJII7CZYvqvypHFszuUzgBAYIGt0R&#10;5V+b/Uz+tdnPGIaMSX31g6sUzcqlgxeHFvn6w3KMS6c675QlhFRN1u07kBjp12WfeLf8E5DBfJ6C&#10;MlFrSKykLiROUhORJj8VnRvxU0DPM/MQjC1gqUEDUFR2+GG2kD08YcBgYeMGFYyJWSi1Gp8ueGHV&#10;d7WtJD2BLaC24rPqrRGCUH4XXf5MBJX6NxYPfOz8lQjDBB1ZywX/zFqe+k+CIFBdvz5LeUlVPHRJ&#10;Vay8pCr2ZZ3ehb2Nj6eWJH4Y6G1+cCfOOvrG6d0uuwu4CP5KYBgmRJHCFmmMuF4cIWwRyPmd/BBu&#10;L1/G7+ZLuX1e+SwMkKN8jCNkDxkBq8/n3JS/PSRWUjf1k1cnuJMAmlY4GQSFi/hA5z+7YjPoL79J&#10;bY7zRQAyacyxoLJUg+xEIAiCS2Ml9dJYSf1Yx22TxhwzdElVrGgeWjLQpFxmUpvjvWEbgiDIorNG&#10;tJ5s35K1PO1Nb9nwBU2HWrfRUcTOFXMG42ZF74mbGb03LDX0zFTTcH+tYKJwwaXhdnURiLBFZ434&#10;NQcgJ42rpDFMmunbXcIXCMP47SO9uhkgsoZhU2JERtgJml36BQRBoHoFePsqXwTIMfghvD5+EW9X&#10;UlH8LpIkYYPSmNJ7YWBtb+3AWmWrqoTqDKIraTnREdAByGqwyWv3Nj5ORQdbyB4uumXm/yQUxn4V&#10;bGc0NZgoQtgKKmzRWiPpdCbQcLemwxPMFFbXVwOSKFETaAAa6QOT8wSD0phCpfhQIOdTnpkEAgzD&#10;pChCeCknQvhyzqqMly06a3hXZe/G9jNdt6o6R4AbEl+Otk+XY9ZaIukaS+1rmg623u+0uYDHV4Sl&#10;hpYtva94k7dmpF2NIDIK2WLaAX02nc74BRj8/NWitdAagAkXwTBQ6IV2NSCNAR/nrWhSLqXTl/Gg&#10;0q2bxWeOTJcPJ66Yo8xanvbmtU+Vzln/zKoZVCepjjHUqiqhQ48/GGgaXA4qKwjlda18cNFqOl9f&#10;3IkDH/EHSjkHIk+WlcOAH8LK1uGAfbONgVHI5KK74am6Z2Qm7sA5dOoMNMLTQk+BymoH9FnmEUs0&#10;nf5cSW+d5+NBxghNlFVMx7EH0lhJffEdc7YW3zFnK+hnwRg4TjDp8suXuBw4W92lnQUqP3tj3qNM&#10;GjtxEC6CYTc5rsouNZeDMTkMQ0icpFbdPeLxD1/To813WJ1COn/wvgZjYSbQyYNURlmMx2DL8EI6&#10;9QUioQkhVRgTtYAec3VW9GzKWZXxCt1+QRAEOaxOYXdV33pQ+fDU0DJPnidwAnPZXTyn3cVz2V08&#10;lx0f+zvfaXfxCCfOSiqK3wXqz5WkL05+D0Zg/PTOivdBdVANYP7CorNGgt6J8UO4vYlzYr+i0x+z&#10;1hJN9x3ddASDIAiKmxm9FyQAkQSJtp/tvsWf+f8uh4vjsDjFdrNDYjc7JA6LQ4ygiMvd9iVcMVsJ&#10;mq6qbB1eQNfkVZIk4U4/VFxPNxAMcUbnRBwcGw3gKU2HWu/PWpH2hjfqwtrKum6jskONzY/aN97/&#10;9zcMrqj6uu65n4ONw8Vz2lx8wjX5bgJjohY6AxAEjQ7FO/tJ1Zug3ycMQ4EZgLSWKFDZkDhpLd2p&#10;1EYV1YzFwCjnwCAIguILYnZXf1v/NxAFzYdb/5ixJPkdbxwtEC6CUbe/+S9WgzVsNMA4JQ6LQ+ww&#10;OyR2y2jAGe+XdMaazOfdDUAc0fjDwdzBbnJIhzvUc8NT5R6tbMdD1amZo+nR5lHV41O81BYmoTDu&#10;K9AAZNJYYtvPdt+SWpL4bzp9clidwtrvGp4AlReGC9ok0aLG8b6GYogDZAGIOwm2y+7iYizMAurX&#10;lWBMzBqZEXa8r05xDYg83cXJvsJuBm/4ijAQ2kdUqDrVwKPpIQgKmDogBIJGuxqDttbXKQwZrSc7&#10;7qLXrVFq9jY8Uf1t/d+aj7Td21Hes7m/XrFquF1dpBs0pFv1trCJVojJ8xM+cdeGkGJWUt2+5keo&#10;Fo+SJAnX7Gl8koqOq4nYvMj9GIW6iYrPa16lUqszHvU/NP+ZyuiSjCUpb0+0SOPLeD0gOkmSRIba&#10;VPNBfZoIUH8gCII4Ijbwgg4EusYhEDjh9a4H7kIQBNp+pvs3VHT4KwnB5cTZBEG43dPx5zPGrBVp&#10;b4AaPfdp9et6pSEFVH48ei8MrK77vvlRT+VCE0POezImgEoaOgRBUF+d4pqmQ63bqOjoOt+7sb9e&#10;sYqKjqsJBpthSluYBHwPYTc7JCfeOfspXR8qvbUDa+r2N/8FVB5jopbUksQPJ/o6X8brBm3sWvNd&#10;4xN0d8+wGWzAgdbXWX6GIWOyOzOWpoJKI1ynxSmiav9yLp3svEs7oM+ipsU/R3C4A+eM9Opy3X3+&#10;5wCUOCf2K66EA5S/73Lg3IOvnPxBp9BTvpQnSRJuOtS67fCrp74HuYTLWZX+sifPiyOpz7Q5/+WF&#10;F4c7wLbM/Q2DK05/cP5/qfpwtZG9Mu01GIGBC/mUraqS42+f/dzlAE9lhSAIGmwZWnj0n2VfU/mA&#10;SluU/L8s3sQ94GAYJiMyJh7TPRlDl1TFXed7N4L6diVWg03e36hcASKLsTAzT8rtp8sXd6neXb+D&#10;6lgIKq/vcId6rsPq3viXqbDorBGVX9c9R1WPP9Owa/Y0PIW7cLeyIX9+0VAGap+1Phf4jNugNKZ8&#10;9+TBqvby7s2gKzKb0SY7vbNiZ/mn1a+DBB+BnN8ZXxCz2xOZkDhJLdW7DMJFMH947uiJlhPtW9z9&#10;3q0Gm7xqd92Ogy+fOODzZrABgCCU3021NqXrfO/Gg/84/pNJY/Y4yYTACaz2u8bHDzx/7CiVegwG&#10;GzPlrct6dqrn4mdGfwdq4+zHVf+i4wSCJEn45HvnPgJ9P8qTQ86BJH+gKOIAsTdGy/H235/9uPJf&#10;Lodr0sQJxyTfF5W7YIfFKWr8qeUBUPkxrHpr2IHnjx6lZUgohQCEoAjwvCsIgqDe2oF1x/515svJ&#10;ft4QNPp6/OKIIqUk4aPGQ633a/t0OSCGXXYX78TbZz9rOHBxe3Zp+isJBbFfT9WckCRJWNOjze+u&#10;7NvQdOTSfVQ+jPOvzd7hafsLJodhFEeK8OhCaAAADHJJREFULuoG9JmgdiFotGis7IPz73VX9m1I&#10;mhf/WUxu5AG2gKUhSRImcILhtLn4OoUhY6RXmzfUri7qruy9AXf+evu+ucOs9bmPd57ruQk0TR6C&#10;RlPbv3poX0fqgsQPZqzJfGGqVji4E2f11ilW1+9vfljVqZkDaneM3GsyX+QI2aqpnoubHb2HI2IP&#10;WfW2ME9t2Ix22b4dh8+W3FV4V9zM6O9B/CRwAqvYVfsylaPgyMzwoyByLD71Bq0Xj7Xf3Xqq805Z&#10;vLT68rIQAicYdrNDatZaI1EMcdz82nXjLkaksWJKLcXqD1zcHpsf9b0sXloLIj/coS48+W75x3TV&#10;FpIk+I6Ojoa5PdX9131yzzcjIXGSWjafpRn7f4IgMLvZIbHqbBEWnTXiFwEIQRC85M45W/btOHyG&#10;ypZU06PNO/lu+cen36/YGRIvqZEnyc6xBSw1SZIISZAo4SKYFp010qQ2x40lFFD5ZiFo9O4nZX7C&#10;xyCy4amhp6kGoDH6GwZX9jcMroRhmEAZiM3lxDmBkpEy3WALWJrCm/MfPPV+xQdU9BA4wWg53r61&#10;5Xj7VnGk8GJERtgJoZzfQRAkOvZ+NI9YYvRKQ+pIny7XQdOZviRG3JC7JuMFd55FMdSRsSTlnZo9&#10;DUDJKDajXXb4tVN7UxckfpB/bfYOQSi/2x05kiTh/vrB0vNf1L5E5d4BRmFXakniRyCyrMs+oKhA&#10;uAjmZH0tJzseZPNZI4JQXpdRZU4Ase2yu3j7nz1yetaG3Mezlqe+6e5O0Glz8qt31+9oPNR6P52f&#10;E1SGBLL4LFo6tpMEiaq7RmZP9sx/XdLKk2QVeeuynq39rhH4OG4MAicYqg5NoapDQy2lcApgGCbm&#10;3Tb7PtBc/NQFSR+0HG/fSqdPJEkidGXo/JpJKUn8qK9hsLSroncTHfp0CkOGTmHIoEPXZCAo4ly4&#10;Ze5vUQx1+3gpuzT9leajbffYKFyqXzrVeWfb6a7fyhKllVGZ4UfD0+UnRRHCVhaXoYNgmCQJErXo&#10;reEjvboZqg51YV/94Cr9oCEN1N4YqSWJH4ImIAjl/A6/zCW7goQ5sV/X/3Dxz6DyLruLV/F5zStN&#10;h1q3xc+O+VYWL62RxojruWL2IIIiTpcD59jNDqndbJfqBgyZiotDixVNymU2o11G5/cBQRDkpNCn&#10;ksHCzOIIYQvdhfbjMW6WUP667GeG2tTzFE3KZd52gA5mbsh5IjQxpBJUPjRRWilLkFZNFa19BgyR&#10;wV3TKDAMk8W/nbN1pFc3g44PSl8x/7cF93jaZ5HJYRgKNs545PTOip1UbJMkify88NvX5HEmqadw&#10;JZyBwpvyt4PKIyjiikiTn+q9MLCGTr88JXl+widUAtAYJrU5no47ISo4LA5KwwkjMsOO+yIAjXvR&#10;j2CIc+l9xRuny9jfyYjMCj8yY03m81R0wDBMFt6c/xBdPlEhY2nKW1FZ4Uf87Yc7+KqvGYvH1JU+&#10;tKjU1zUmoOSuzngxbWESUBBJLUn8KDJAXv8xSu4s3EJ1imfcLPAkDLqQRosbJ+pWEWjYKCYyxFFI&#10;ivGECTPNWDymrnT74lJhuKDNF46AIIuXVi/bVrKBjrkbEelhJ5PmxtHa1sRTROGCS3Nuyqe8Arsa&#10;EYTyu0u3Ly5lC1hTXuj7k7y1Wc8VbMoDrhmCEZhYtq1kQ0icBOgy29cUbJrxSMyMyB+p6kmeF//p&#10;dOgUXrh55gMIRi0rbzpgArzLGiMqO/ww1cQMd5g01Zkfwutd+9dlJSFxkgvedsRTpLHiupUPLVpF&#10;ZyPUoltnbfNHHQMEQRCDwzAsubf4xuDkxIkJiZXUrXtiRZEwTNDub1/+CxgiC2/Of3D2xhl/pboz&#10;ZHIYhtLti1eGedi81NdkLE15K3d1pltJFlOBMlC7pzV83kAUJmgvuXPOFn/7AUGjd1KgsjqKx9Uw&#10;DJN5a7Mo1yNNxZS1NhwRZ2jNY8uLUwAzXLxBbH7U92sfW17sTnqrJ7AFbPWSe+dvglGY9kaWk4Ey&#10;UevKBxeuno6BfrohDBN0rHtixdzpcGQzBlvIHl715yXL6ezCzRGyVdc8vGRZSnECrT3t6GLW+twn&#10;5t02+z46j2GzVqS97mkdnzdIKU78eNaGXEqTUakAwzAx/7cFd8/dPPNPoDroSOdOmBP7debyVK9O&#10;uHWr2JPBwswLt8y9Y9Hd837jzyMQJpehm3fb7PuW3V+ynsFmmLxhIywltHzerbP/6K1Gm1fCEbGH&#10;Sh9aXEpHQ9NfC2wBS7NsW8n64jvnbGFyGRN2GPAF8QUxu9c/syovKgusBmYyUAZqX7Bl7h2L/zD/&#10;ZrpSlanCk3L7l//Pgmvzr8veQfcdIIIirsX3zNtMZeVPF3nrsp4tunXWNl+Pl+CHcHtXPbxkWcaS&#10;lHe5Eo6CAXjCYzPY5BadNZyKLzAMk0W3zPqfzGWp/6SiZzI86jaQPC/+s40vrk3NLk1/lWq1rCcg&#10;GOLIWJry9sYX16ZmLkv9l7dnrWcsSXnnmoeXLPP2pXdEhvzE9TtW5Ueky4GHsP1agWGYTF+U/P6m&#10;l9YlZy5PfdPXu1ZJtKhx5UOLVi37Y8kN3ry7gGGYTJob98UNz6/OTCqK+9xf83ZQJmrNvzZ7x8YX&#10;1qSBFru6ZQdDHUvunX/jonvm3eLPoAvDMJm1PO3NFQ8uXA0aBDyyh8KujCXJ76x/bnVOZOZoWyYY&#10;hklZvLQaVOdA4yBQS6Vf+IXAxLzbZv9x5UOLVvFDuL1U9V0J+tRTT3kkgDFRW3ROxMHUhYk7UQxx&#10;avt12biToNRvayKYXIY+Y2nq20v+MP+mpKL4Lxg0tp2fCkEovyulOOFjEicYml5dHkmQtHXLjc6N&#10;+Kn4jjlbZ16f8zSTwzBe+fX2M123GodNSZ7qlUSLmhLnxH7j7vMETjAu7Gv6q6d2xshZlfGyt3ai&#10;7oKxMGvMjMgfU0sS/42giEs7oM/y1vsRgiAoPE1+qujWWdvmbp71gChc6LMEHQYLMycUxH6bPD/h&#10;UxiGSKPaHO+iUOvhLhwRWzljTeYLi++Zvzk2L+oAgnl/4QnDMCSNETekliR+iCAwbtFZIx0UumGM&#10;weQwDDml6a96IiMKE7SnliT+G3cSLE2vNo9Kgf54MNiYMaU44eOl9xVvSp6f8BnKQH8x2sGoMiUq&#10;3RhUyeAwDFwxZ1AQyu+SRIuaZQkh1aIIYWtILPiI+8sRhQna0xYlvY+xMIvNYJPbDHbKDWAhCIJg&#10;kqS2i3bZXdzeOsXqroqeTYrmoaVU2qZA0OgPMjIz7FjS3LhdsfnR30/VyscXWHTWiKZDrdu6zvdu&#10;NAAEBgiCIK6Eo0iaG7crpSTxI2m0eNy5MGPU7W9+WNuvy/bURmiSrCJrufvbZdyJs85+UgV8xjvn&#10;xvw/T9Zk0x847S5eb+3A2u7K3g0DTcplDouTUj0EgiEOeZLsXGx+1L7Ewtiv+CE82leBIBAEgQ63&#10;q4t6awbWDbYOL1B3j8wiceqLJARFnOIoYXN4mvxUwuyYb8NSQ8u8MdzPE0iShLV9uhxV10iBpmck&#10;X9Orm2EescRYDTb5VIPzUAZiZ3CYeq6YPShPklUU3zEHuODcPGKJ6ijv3txR0XOTpls7E1SPJErU&#10;FJkVfiQ2L2p/eHroqcmKlXWDhrSWY213M3lMLYvHGmHxmSMsLlN7+Z9MLlPn69dIrzSkDHdo5mp6&#10;tPmaHm2eSWOOsxlscqdt8kURgiLO0WDJHhSGCdopB6DLIQkS0Q7os9TdI7P0g4Y0vdKYatXbwmwm&#10;u8xusktxF8EicIJB4iTG4GBGtoCt4orYSlGEsEUSLW4MTZRWyuKl1f5+w08ESZKwTmHIUHVqCjQ9&#10;2pmGYWOSRWeNsOpt4S67i4c7CRbuwlkMFmbmijkKYbigLSw59Gx4eugpebKs3NtHh0F+CUmQiE6h&#10;z1B1jcw2KI2p+mFjslVnjbCbHFK72SHFnTibwAmMIEgMQREnR8ge5ojYSlG4oE0SJWqSxkouhCXL&#10;yukc+OYtXHYXV9WlKdApDOmGIWOKSW2OsxrscpvBJnfaXTzcRbBInGDAKOJEMcTO4jG1bCFLxRVx&#10;BoVhgnZhmKBdHClslkSJmq9chU9XSJKEcSfOxp0EG3firLHdCYIhTpSB2jAWavbW75xRbY5TdagL&#10;1d3amSa1Kd6is0baDPZQ3IWzcBfBJAkSZfGYWraApRaE8jvFkcIWaYy4Xp4cWs7iMbXe8Gk6gDtx&#10;lsuBcwgXziL+syBCUNiFMlAbxsQsV+6g/w9P6bgTdhly/gAAAABJRU5ErkJgglBLAwQKAAAAAAAA&#10;ACEAMFBgGJMXAACTFwAAFAAAAGRycy9tZWRpYS9pbWFnZTIucG5niVBORw0KGgoAAAANSUhEUgAA&#10;AXcAAAA0CAYAAABxe3iIAAAABmJLR0QA/wD/AP+gvaeTAAAACXBIWXMAAA7EAAAOxAGVKw4bAAAX&#10;M0lEQVR4nO2deXhURbbAfx06CQYTICEIBg2goOyb4ILIIooiuOFTEX0q7rgwiuA4Oo83boMjM+4j&#10;LuhzRcEdUBRRGEEUhCggCMoOgiwBAoSQhNT743RLp9NL1e17O53O/X3f/QJ9q6uq73Lq1KlzTnmU&#10;Uri4uGhxDPAnzbIfA3Mc7EuicTvQXKPcLuChGNoZCrwVw/drDd7q7oCLSw2iMXCXZtlN1C7hfjlw&#10;mka59cQm3AEoPljOvgPlsVaTlGRnpuGtk+IKdxcXl5rHhE9XMeaVRdXdjYRk5YQLOa5pJinV3REX&#10;FxcXF/txhbuLi4tLEuIKdxcXF5ckxBXuLi4uLkmIK9xdXFxcYqB7y9V4PBXV3Y0quMLdxcXFJQZu&#10;OvNLurdcW93dqIIr3F1cXFwi0DhrD40yi6p83ubozSx6+D6u6f01c8c+wPhhb5LmLatSrl2zTfHo&#10;ZhVc4e7i4uISgfO7LWZQl4Iqn6/4LY8/v305ew/UZWNhNne/eQWl5alVyj1x1etkpB+MR1crYTWI&#10;KRPoC5wEdAOaAjm+z/cDe4GdwFJgCTAb+DnGvrpAKtAHGAKcjoTDpwClwALgXAt1eoGOwBnI/cz3&#10;1evx1VsGFCIRlxuBRcB8JNIwHniBrkB7oB3QCmjiO7zAId9RDOwAtvn6+C2wENgXp37Gm3TkenTy&#10;HS2APCSK1hNQrhi5BjuQd/BnYAXyvBTHsb81jkaZRTx/3cv0b78MhYeBnX/klpevZee+zD/KNKy3&#10;n7ajH6XHcatpnruDddtz/zjXr90ynrr6dU48egu//GsUD394Af+e2Z/Kt8c5PAa5ZTxAf2A4cCFQ&#10;17CtH4GXgQmI0IiFtUCGRrnpSH+tcCb6OSxGAm9HKbMZeSGj0RXYEPRZmq+Nu5GXNxQlwBEa9YPc&#10;y1OBK4HLgGzN7wWyEHgamOJr2266ANcDlxD+N0ejAvgamIT0s1Dze88jz3gwqUBDzTr2+45wDEYE&#10;rAkpwDlIfpULEGXKKqXIIP1/wOvIABmNbsAnYc5lo6csKmB7hPMfAzdEOD8UeOtfHy6PS4RqblYR&#10;m565HYCjRzxTSbDrMGrgdB65fDLTFndhyBO6aYliwx+hqqu59wIeQbRFq3QCngRuQ/JzTEdutBUa&#10;oyfc61usH0QQ6woVnYEuBz3hHmwq64q8gB00+xKN04BnEOEZC92B14B/AuN8dcY6aINo6H8DLrah&#10;rhSgt+94CLgDGYSjPXf1sT6g+KnnO8JRdf4eHg8izP+GzLLsII3D12YMcD/wAZGvjZfYr4snSh2x&#10;vLO20zl/PQP/MZoUj6Jz8/XMWtbe6PseD7QY+TjX951DmrcspNnGKaIJ97rAo8hLYRetgKmINnUj&#10;1qbNtSWV5dXAS9iT4C0VGI+99xIgFxHwNwMjgC9iqGs48AJQx4Z+BdMImYkNBa4jsvaYSDQA3gDO&#10;c7CNNsB7wPvANYhZ1QWYubQ9h80o5mJn/PSBgIcH3r/I0vdjIdKC6jHItNFuYeBnqK/+4y18Nx5X&#10;KT6GsfBchGjsdgj2XGAmzt1LkEH7c+CvWFuoHwNMxBnBHshg4D9AM4fbsYMTgO9xVrAHcjFiqsmK&#10;U3sJhcdTwVkdlgZ/Gubf2rWG/f7ZHZdYqE+fcC9hK2Au9pkCwtEG+BI41uF2ahodETuoHTRBUs/2&#10;tqm+SHiAB4CnMHsT+iKmnXhxInJNjoxjm6Y0Aj4Fjotzu+2Qe1hr8NYpp1n2TgZ0XMpdAz8lr2Eh&#10;Des5sw7v8VTQLHsnnfPX8ffL3iGvYSG5WVXdLO0glHDPRxah4iVwj0Gm8iYrFclslklFzAeR7LW6&#10;HIUMnm1sqMuEWxFNXIeGwKvEf6bUEvhznNvUxQu8i3jAVAe3I2s9tYLyQ3UY1KWAKSOf4qwOy3ht&#10;xHPUc8h1UakUTj5+NTP/Mo5O+RuZNmY8uSF86O0gWLjXRR6qoxxpLTytgMcMyiezWWYYoj3FSjpi&#10;Jom3YPczDj1zwkhkgNflE2TwGAScAvTwHRchtv/dBnXdTfUJ0EjciNlMaw9yvc/h8PU4GfFuuwV4&#10;BTCRVinob0qSBHiYMOtMNuzMYf2OHF74sh+bCnMca+29BT34YV0+a7blMmneaSzf7IyFMNie+wDi&#10;66zLWmSFfQ7yUhUhftHdEM+awYhZQIebEHe1WRplk1lzH2lTPX/B3LNiGvAiUEBlz5d8RHCMxsyU&#10;8SIyUO2KUGaIZl37kcEi3O5GC4EPEa+YUch2eNH6mo5oqcGC7CGk78G0Bv6t2d8JiKIUjp/CfO5B&#10;PMp0KQD+C1gd5vwsX18eQpwYemjWezYi5AOTpvyMDBiheApoq1HvNuCKKOfjTtMGu7ll4nAWrmlB&#10;v3bLHW2rbmopT84YwIwlHRnctWpwlF0ECvdW6O8PuR15KaZQ+eb7+Qlxk2uIPFiXatb7ONA5TJ21&#10;hQYaZcqRAc5D6AXXE4B7DdrchAwq4VzhfkcWv19EZljDNOttinhb3RjmfHPE9VGHUehtW7cbWdSd&#10;gywiR+NSRIMPfOaW+Y5QdeuyCj1FJZhu6M+2PkP88XXiDNb4yv6CnskvF3mOVgR8tofwv0n32hyI&#10;UEe1sWV3Q7bslhCG6QWxeglHpqQsjWkFYvX6YGF3x9oJNMuMQ8/39nfEx/kdogvhXcjeig9r9qcD&#10;eppcMptlwlGACNVjER/lNOR+pSGadWB06hj0/ahXIvfzfaJf1y1I4JPJwHEt4ddvmhvUYxqx8gXw&#10;Q4TzxcA8REFJJO+QgQZl78UsgGwLEqCli04siUuC4hfuLRGbZTQOIVNAk9BzBYwltCYUCp1FrmQ2&#10;ywSzEjFHdEMWWjdS+feXIRGts33/b4oIYB0OIYPvVsM+PUr4SMVgvIhmHAqTtR0rLqH+SN9SxKXw&#10;OcTHvSMSLHM6cCdmGrnTnKBZrhAZ8E0x8b9LNAXHQapTpDjTtl+434rejZyAeNKYcgh4ULNsV/Rs&#10;d7WBb5GFsU/QfwKGI9q8Dk8QWbsNh0KeGd3cJJcT2n/dZNXqZsz95x9DZiVZvr8jkBQYSxHTViKi&#10;K9y3WKy/atrC8NQK4Z5z5F7O7fxjtbV/1elzHanX6zuu1Sz/SgxtvYsswOp4JwwD7otwvjaYZXYj&#10;eV/2GH5vkGa5A+gPuKFYh+SWuUejbC7QEwkeCsQkYOlqxFZ8HbJwr4Mzb42znKZZzuo7YDJAVvc7&#10;4CgZ6Qfp3nINvdusoHP+eooPpvPr1qPYvMtKqiVzTmqxhqyMYsYPm8TGwhz2FGdQsK65bfWnIN4x&#10;OsmQtmNtGuinAgnK0OGMKOdrg1nmBqomEItGfURD1eFjzAeOYEwCrULZkiN50YTiEkRBeBxJfJaM&#10;KatLNQ8TDdxPFjID0iWphXvxwXSaZRcyetB0zu9WwKAuBWwrit/yS9GBIxg/bBI5mft4dOjb7CnW&#10;zfunRwqSQlaH74ndi+VzzXInEXlBMNmF+2Ik14cpJ6OvDc+3UH8wK9AfIEK52H6N+b3MRry6vkEW&#10;9ychroy9iS1LYrJzCnLNehp8J6mFO8DUxV3YsTeTH9Yfy+dLO1B2yI5sH3qs2tqUVVuaMGtZO5Zv&#10;ymPNNnvDi7zoB8y0QdwbY0HXR7ou4iLnnBNodKrzwX4LawOYrr0WzL1PQlHhq6efRtmuyDUN/F3r&#10;kURhN1lsvxFiz788oD9LEC+Yb3x/45V3PlFIRa7LMYj3WU9k4Gtpoa5knBlVonFWEaeO/V8K99Wj&#10;c77pRDlWFE9/NoB5q1pz+gkrOezdbA9e9G96c8xc12KlJeGFe7Jr7lZtxa0Mytq1gvQjesK9IWIW&#10;CNb070M8sOwwdKYgcRKdkQVfEP/uT5FUv9+QHDEUqYhSdmLA0RxxOW2CfRIi6TX3X38/HGO5YHW8&#10;0/h4mLeqNQBzV5roZXp4SdykXZEWXpNZuO9HzDJW0J3X7cG+tK4mbpSNqSrcdyILx9PR9/IxoSUi&#10;6G9FgrVeRryETO391UkdxBW2P3AWYn6z10AbmqQX7slMCombGU83bYFTVNeDvRxri2Wgn2zMznzd&#10;kXYbCqZRmM+/QMwHK2PvTkSaAf+DRGle4HBbdpCKrC+sB75DggH7EB/BDrVQuNdJ0dmQqma0lUL8&#10;HhRTIu1alMyau2lAUSB2ZJI0xeReRPIt/x7ZHeoRnN/bMwfJQ/MM9uTLd4ITETPS48jeqNVB0tvc&#10;A8lIP8j1fWfHrb2R53zmaP1ezLb7coIKRJMsCvobKXtPMgv3WHKNJmpgjp9oofIHEBv844jb4wWI&#10;Pd8Jcw2IqSaN8LlvqovzkTUCOxWvcmTtYQmRY0gCqRWae5q3jEt6LKBT/gbO6rCMg2VeFqw+zqFs&#10;jYoLui2iRePtjBk8jcJ99Vi1pSnf/NLa9pa8iO3RNL+lQrbH8wvjYMEc7rNQ54oxF9a1IYjJCrrB&#10;PXbmDDERQLp5UHYg0dATkNlIH8Te3AvR7u3UKG9A8iQlSjKrdsQu2Pci8QDrkLQfi5D0FIVIMJgu&#10;NfEdMKa0PJUVv+Xx2LBJHFW/iNZNt/La170cas3D4nUtGDvkAxpl7mNAx6VM/u4UR1ryIsFJOsJ9&#10;JhLJWoTYWWuC14HOhtTh0N3lPpH4TbNcNuJuapJ0KhwmzrlWQub3I4ut033/z0SiOHv5jpOJ7T6D&#10;5IHvhqTJqG4exVywFyAZPb9DUitsxR4FqFYId4Dlm49mW1EWs5e3YePOHCqUcxapjTtz2LW/HhO/&#10;6k1xaRrFB2N9fEPjRUb3EzXKZgObHemFOboPbiw7qVeXnTMWTBJRd0ByoMeK7laMhVjbDD2YvUiq&#10;W7/BMgPx4z4H2QPUyly6E7LVXyybe9tBG8z2S52PzDzC5YYPhYnArjXCvf4RB+j74H3sLq5H6yZW&#10;0/bokZ5aynUv3MC67bmOtpWCvttdIu1YoyvcdXKjh6MmCncT33WTTVnC4UE0Xh3CbSYRK8WILXkk&#10;kvq4F/AS5h5Bp9rcLysMNSj7ATKomQh2cIV7SLYV1Wd3sfgjrNratNK59NRS0rxWHdgg64jK/gEH&#10;y9JYtz03ZFt2koJ+pGI2iSPwdIV7HtYfUGcMYc6yEH27ux2/ryWSFEyHeTa0F40KJADsBuBoJKum&#10;LongEqzrnrkf2T7Pan4ZXWqNcI9E//Y/0bet9d2ZHrp0Ch5P/K3YXuArZCVdxyXsUsSTobrR9Shp&#10;iJicVkQrGEQeMlWvaZQhpoWLNcpegNh2D8TQnommGZwRMgfxba8X5diG/g5hgexDFg91fecTwd6u&#10;G1D4IZJXxwrNDcrWKlfIYBplFjFm8DT6tl1BhfLQt90KHpt6Hjv3VU5hlOYto7S8qtNh37Y/ccnJ&#10;C7jq9Hk0yChmzoo2TJzdm3iNmX5vmdmE3xsxkCuR6D6rizUeJCvdsYgGkYXYxQP/ZiFa3oUR6tkE&#10;6MYK98ZcuF9mWD6R+BA94V4fMWWMs9hOI/SF7k6qZgRtCnyk8d1fDNoJxsTGX90Rq3XRNyPGss+o&#10;7hoJ1HLNfcfeLF79zxncNXAGFRUern7u5iqCHeCmM7/kjbk92bW/8uTvq+VtOafTEjLSS8nL3sXr&#10;c3sSz0vq19bfQU+4d0WmvC9YbG8MesIkWirZjQZtjkWEiO7KRTZwv0H9icb7yCbOOmaGvyJJyqxk&#10;TBqHvgvtRKp65uja4I9HkmCZ3HM/JkqIVU04HKbrPSbeWVYlRAtk4djpdiKRRdUEcglLkwa7efqz&#10;s/B4FE0a7Obn347+41zbvE2c1+UHruo1l8756/l+TUtennMGB8v8YRke0rzl3DzxWgZ1KaC0PL7x&#10;cv5p1xvou9E9iX7OcD9eRJD8XaPsdmBqlDImBrAmyOClE6yVgQxcNdEN0s9+YLJm2QzgVcz93i9G&#10;Ns3QoYLQ+3YeQG+9x4NErVrBZNHY7uyR5yPauC4mJpDjDfvi52HDdpwQ7g2R2XSNYOHqltz5+lX8&#10;6bX/ZvHa5pXOLd+cx6GKFNrm/caAjkv5Ylm7AMEujH13CC991ZfLn76NNG98Ywz9N7oE/el5XcRs&#10;Mhq93OGtfeUfQO9heQzZjCASpqmAeyF5v8NlwExHZi7z0dugO9F5Fn3NqA9iltPxeslAZkK6gweI&#10;1r4mzLk3Neu4EjP7Pog//JOaZYuwJ799IJ0Rj5ZWHH7uPb5+taWqZm+ScmEgZuYVkIhf02volM39&#10;I8TsGjj4pSJrXfanR4yBogMZIf8teDhQmsaEL/qxYWcOW3dXnaz5v1NSlhbSLu8kgfOE54Cr0NPK&#10;U4F/IHm4pyJ7fG7mcDqDesjD1x1ZhNUNytiM5PuIhpWsiUOQB2oyYqI5AhFWuYgmUR15WZxiMXId&#10;b9cs3x3xtHkBcSP8gcqpDJohfuRjMfMj348k6grHJGQ2pxPF8Zavn/cTXRB2Al5E3333M6IrFFY4&#10;B1iFLHQrRFj637nTqexBtAuZPeRr1JuCzEYvIvqCcQZwL3obzwdjsg2iCVnIwFfB4efMr/JOQWRG&#10;jWDq4i4890V/6qaWcmTdEvaWJE6qrkDhXo5EoC5CP+LvOGSxy+qCVzCj0fPe2IaEi59pWH8dzLWX&#10;msr9wGD0vSM8yGDt3zgj0HfLqgZ3F5EToW0FxqOf6+ROZH/djxCvoKXIAJKCmN86AQOQQVzXpFCG&#10;/l6yhZrlgtFV2aYCt2mWbYPENbyGeLwtQ2Yg/hlbI6AHss5lNUbFRNXcaaH+FJzLGxQXNhXKslNJ&#10;WRolZYn1U4It/D8hAv6taujLy4gmp8sTmAt3E/b5jupOPWyVImSz7G8w8232E+uU/A1Ee47GOGA4&#10;4j2jQ2NkUf8Gi/0K5kFkkNBhHbImpOvbb8oTwAj0r3069l6LYEy2LZyPKBMuCUKoh2gSMo2LJ4uA&#10;Owy/8wliK3aKW4CfHaw/HvyE2FpjyTRphcnA9ejZ/fchwj3efQQJcjJxBVVI7henWI3ZeobTmAQt&#10;WokKdnGQcBrCo8A9xCc52HxEAzfZ9AGkb1ejv0GzCa8gmmcyMBNxf9sep/aeBa7ATFjPQOzTduSe&#10;0eUHZGHSNMrzWay5ZepyD9ZMHLrMQN8t2MScsx1Zh3NJEMIJd4XcqP7Arw61fQh4Cjgb6wJ6A6Ih&#10;2uljNBHrGzYnKvORxcgZDraxC1nPuA1r0Z6zkTiKeKQpmIJsV2clcKkEuAbnZhobEHNaLJu2hON5&#10;xHSiG7VrugXnP3F2Nu1iQDSv+q+Q/NIjkAU607zv4ZgB3I150qNQvIvYQt9E3C6tshexv46nhgRY&#10;GLIe0VSHIP7Odu0OUI7Mcu4n9qyhvyCeS3cg98JuD6YViAdRrLnbv0QWK59EXEnt5ltkoHsXSW8c&#10;KyuBUYgpUyGuxH00vncSsqiqO7s5gDxjoxDTrp37BlRiWJ8W9G5vkm269tCske+yK6V0jyOUUtcq&#10;pb5X1ihSSr2olGpv0KbJUVcpNVwptcSwXxuUUqOUUlkh6vxKs45rNPpXolnXFI26Yj1SlFKDlFKz&#10;lFIVmv0KZq1S6jGlVL5DfcxU8rzNUvrXLhQlSqmpSqlzlfxuO/voUUqdp5R6Tym1xbBfPTXqT1NK&#10;jVBKrTH90UqpPUqpyUqpK5VSqUH1Dg5RvkIpdUgpVe47ypRSpUqpoRr9DHXkKaUeUUot89Wjy+Qo&#10;9Q41qKtW41HKWEn1AO2RrIJdkKnbUYjrlRdxN6yD7KazCokmnYlMt63nzTTrXz/EJa4doqHWR7TA&#10;dMSNcj0wB5iGaEnhzDoZ6Pn6lhD9t5lE+8Vz5pCN2ORPQyIfj0dmaBm+owS5l9sQd7sC4GvEDS9e&#10;/ayLmJV6IUEu+UjWx3q+PqYg9vpdyA5Ea5Ht5L5HZofxeO5AvJJaI54/mRy+5wrxo9+DrC1tRWab&#10;umtaHl+9fRF3z/aIx04mcg32IukTfkGcExYgz3U43/3AZzEe99CLuOS2QCJU/S6WCrkG/h3ZdiNm&#10;4EhrL2kkV0yKY/w/oqRj4+uLOn8AAAAASUVORK5CYIJQSwECLQAUAAYACAAAACEAsYJntgoBAAAT&#10;AgAAEwAAAAAAAAAAAAAAAAAAAAAAW0NvbnRlbnRfVHlwZXNdLnhtbFBLAQItABQABgAIAAAAIQA4&#10;/SH/1gAAAJQBAAALAAAAAAAAAAAAAAAAADsBAABfcmVscy8ucmVsc1BLAQItABQABgAIAAAAIQA4&#10;BmSbEBsAAKqjAAAOAAAAAAAAAAAAAAAAADoCAABkcnMvZTJvRG9jLnhtbFBLAQItABQABgAIAAAA&#10;IQAubPAAxQAAAKUBAAAZAAAAAAAAAAAAAAAAAHYdAABkcnMvX3JlbHMvZTJvRG9jLnhtbC5yZWxz&#10;UEsBAi0AFAAGAAgAAAAhAENr8zPeAAAABwEAAA8AAAAAAAAAAAAAAAAAch4AAGRycy9kb3ducmV2&#10;LnhtbFBLAQItAAoAAAAAAAAAIQCYv6dt3iwAAN4sAAAUAAAAAAAAAAAAAAAAAH0fAABkcnMvbWVk&#10;aWEvaW1hZ2UxLnBuZ1BLAQItAAoAAAAAAAAAIQAwUGAYkxcAAJMXAAAUAAAAAAAAAAAAAAAAAI1M&#10;AABkcnMvbWVkaWEvaW1hZ2UyLnBuZ1BLBQYAAAAABwAHAL4BAABSZAAAAAA=&#10;">
                <v:group id="Group 8" o:spid="_x0000_s1027" style="position:absolute;top:6866;width:11906;height:9972" coordorigin=",6866" coordsize="11906,99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9" o:spid="_x0000_s1028" style="position:absolute;top:6866;width:11906;height:9972;visibility:visible;mso-wrap-style:square;v-text-anchor:top" coordsize="11906,9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nyzsQA&#10;AADbAAAADwAAAGRycy9kb3ducmV2LnhtbESPQWsCMRSE7wX/Q3iCt5q1oltXo7RiofVWq4i3x+a5&#10;uzR5WTdR139vCkKPw8x8w8wWrTXiQo2vHCsY9BMQxLnTFRcKtj8fz68gfEDWaByTght5WMw7TzPM&#10;tLvyN102oRARwj5DBWUIdSalz0uy6PuuJo7e0TUWQ5RNIXWD1wi3Rr4kyVharDgulFjTsqT8d3O2&#10;Cs67pT5xejBm7Scr87UfvafDWqlet32bggjUhv/wo/2pFYxS+Ps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8s7EAAAA2wAAAA8AAAAAAAAAAAAAAAAAmAIAAGRycy9k&#10;b3ducmV2LnhtbFBLBQYAAAAABAAEAPUAAACJAwAAAAA=&#10;" path="m,3561l,9972r11906,l11906,3686r-9868,l796,3639,,3561e" fillcolor="#b286bc" stroked="f">
                    <v:path arrowok="t" o:connecttype="custom" o:connectlocs="0,10427;0,16838;11906,16838;11906,10552;2038,10552;796,10505;0,10427" o:connectangles="0,0,0,0,0,0,0"/>
                  </v:shape>
                  <v:shape id="Freeform 10" o:spid="_x0000_s1029" style="position:absolute;top:6866;width:11906;height:9972;visibility:visible;mso-wrap-style:square;v-text-anchor:top" coordsize="11906,9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ZmvMEA&#10;AADbAAAADwAAAGRycy9kb3ducmV2LnhtbERPy2oCMRTdF/yHcAV3NWPFqqNRqrRg3flC3F0m15nB&#10;5GacRB3/vlkUXB7OezpvrBF3qn3pWEGvm4AgzpwuOVew3/28j0D4gKzROCYFT/Iwn7Xepphq9+AN&#10;3bchFzGEfYoKihCqVEqfFWTRd11FHLmzqy2GCOtc6hofMdwa+ZEkn9JiybGhwIqWBWWX7c0quB2W&#10;+srDkzFrP/42v8fBYtivlOq0m68JiEBNeIn/3SutYBDHxi/xB8j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WZrzBAAAA2wAAAA8AAAAAAAAAAAAAAAAAmAIAAGRycy9kb3du&#10;cmV2LnhtbFBLBQYAAAAABAAEAPUAAACGAwAAAAA=&#10;" path="m11906,r-836,720l10039,1462,8978,2087,7888,2602,6769,3011,5624,3319,4453,3531,3257,3652r-1219,34l11906,3686,11906,e" fillcolor="#b286bc" stroked="f">
                    <v:path arrowok="t" o:connecttype="custom" o:connectlocs="11906,6866;11070,7586;10039,8328;8978,8953;7888,9468;6769,9877;5624,10185;4453,10397;3257,10518;2038,10552;11906,10552;11906,6866" o:connectangles="0,0,0,0,0,0,0,0,0,0,0,0"/>
                  </v:shape>
                </v:group>
                <v:group id="Group 11" o:spid="_x0000_s1030" style="position:absolute;top:9038;width:11906;height:4103" coordorigin=",9038" coordsize="11906,41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2" o:spid="_x0000_s1031" style="position:absolute;top:9038;width:11906;height:4103;visibility:visible;mso-wrap-style:square;v-text-anchor:top" coordsize="11906,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ppU8EA&#10;AADbAAAADwAAAGRycy9kb3ducmV2LnhtbERPz2uDMBS+D/o/hFfYbcZJKWKbylgp62WDWaH09jCv&#10;KktexGTq/vvlMNjx4/u9LxdrxESj7x0reE5SEMSN0z23CurL6SkH4QOyRuOYFPyQh/Kwethjod3M&#10;nzRVoRUxhH2BCroQhkJK33Rk0SduII7c3Y0WQ4RjK/WIcwy3RmZpupUWe44NHQ702lHzVX1bBbmp&#10;5o0x+Vvzccxu9fU2Ve/urtTjennZgQi0hH/xn/usFWzj+vgl/gB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6aVPBAAAA2wAAAA8AAAAAAAAAAAAAAAAAmAIAAGRycy9kb3du&#10;cmV2LnhtbFBLBQYAAAAABAAEAPUAAACGAwAAAAA=&#10;" path="m,4086r825,17l2261,4030,3704,3847,5147,3542,6581,3107,7999,2531,9391,1806,10751,922,11906,e" filled="f" strokecolor="#c4a4cd" strokeweight="1pt">
                    <v:path arrowok="t" o:connecttype="custom" o:connectlocs="0,13124;825,13141;2261,13068;3704,12885;5147,12580;6581,12145;7999,11569;9391,10844;10751,9960;11906,9038" o:connectangles="0,0,0,0,0,0,0,0,0,0"/>
                  </v:shape>
                </v:group>
                <v:group id="Group 13" o:spid="_x0000_s1032" style="position:absolute;top:10255;width:11906;height:2021" coordorigin=",10255" coordsize="11906,20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4" o:spid="_x0000_s1033" style="position:absolute;top:10255;width:11906;height:2021;visibility:visible;mso-wrap-style:square;v-text-anchor:top" coordsize="11906,2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Rs5cUA&#10;AADbAAAADwAAAGRycy9kb3ducmV2LnhtbESPQWvCQBSE74X+h+UVequbeEgkdRVRBAs92LQVvT2y&#10;zySafRuy2yT++65Q6HGYmW+Y+XI0jeipc7VlBfEkAkFcWF1zqeDrc/syA+E8ssbGMim4kYPl4vFh&#10;jpm2A39Qn/tSBAi7DBVU3reZlK6oyKCb2JY4eGfbGfRBdqXUHQ4Bbho5jaJEGqw5LFTY0rqi4pr/&#10;GAXpaftdvMfDm17Vhw3uL/aQxkelnp/G1SsIT6P/D/+1d1pBMoX7l/A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dGzlxQAAANsAAAAPAAAAAAAAAAAAAAAAAJgCAABkcnMv&#10;ZG93bnJldi54bWxQSwUGAAAAAAQABAD1AAAAigMAAAAA&#10;" path="m,1374r306,88l1732,1766r1451,191l4652,2021r1482,-80l7623,1705,9113,1298,10598,704,11906,e" filled="f" strokecolor="white" strokeweight="1pt">
                    <v:path arrowok="t" o:connecttype="custom" o:connectlocs="0,11629;306,11717;1732,12021;3183,12212;4652,12276;6134,12196;7623,11960;9113,11553;10598,10959;11906,10255" o:connectangles="0,0,0,0,0,0,0,0,0,0"/>
                  </v:shape>
                </v:group>
                <v:group id="Group 15" o:spid="_x0000_s1034" style="position:absolute;top:11859;width:11906;height:1036" coordorigin=",11859" coordsize="11906,1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16" o:spid="_x0000_s1035" style="position:absolute;top:11859;width:11906;height:1036;visibility:visible;mso-wrap-style:square;v-text-anchor:top" coordsize="11906,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oL2MIA&#10;AADbAAAADwAAAGRycy9kb3ducmV2LnhtbESPQYvCMBSE78L+h/AWvGm6IlK6RpFVQVgQ1OL50Tzb&#10;rs1LSaLW/fVGEDwOM/MNM513phFXcr62rOBrmIAgLqyuuVSQH9aDFIQPyBoby6TgTh7ms4/eFDNt&#10;b7yj6z6UIkLYZ6igCqHNpPRFRQb90LbE0TtZZzBE6UqpHd4i3DRylCQTabDmuFBhSz8VFef9xShY&#10;OvOfbrZt6X+741+yPq0ueZor1f/sFt8gAnXhHX61N1rBZAz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gvYwgAAANsAAAAPAAAAAAAAAAAAAAAAAJgCAABkcnMvZG93&#10;bnJldi54bWxQSwUGAAAAAAQABAD1AAAAhwMAAAAA&#10;" path="m,198l574,361,1967,668,3381,888r1432,125l6259,1035,7712,948,9169,742,10624,411,11906,e" filled="f" strokecolor="white" strokeweight="1pt">
                    <v:path arrowok="t" o:connecttype="custom" o:connectlocs="0,12057;574,12220;1967,12527;3381,12747;4813,12872;6259,12894;7712,12807;9169,12601;10624,12270;11906,11859" o:connectangles="0,0,0,0,0,0,0,0,0,0"/>
                  </v:shape>
                </v:group>
                <v:group id="Group 17" o:spid="_x0000_s1036" style="position:absolute;width:11906;height:7439" coordsize="11906,7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18" o:spid="_x0000_s1037" style="position:absolute;width:11906;height:7439;visibility:visible;mso-wrap-style:square;v-text-anchor:top" coordsize="11906,74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lZMQA&#10;AADbAAAADwAAAGRycy9kb3ducmV2LnhtbESPQWsCMRSE7wX/Q3iCt5pVcLVbo4goeOnB1YPHR/Ka&#10;Xbp5WTZx3fbXN4WCx2FmvmHW28E1oqcu1J4VzKYZCGLtTc1WwfVyfF2BCBHZYOOZFHxTgO1m9LLG&#10;wvgHn6kvoxUJwqFABVWMbSFl0BU5DFPfEifv03cOY5KdlabDR4K7Rs6zLJcOa04LFba0r0h/lXen&#10;YHG6lcs+n/9YfV8e6sv+7cNqo9RkPOzeQUQa4jP83z4ZBXkOf1/S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DZWTEAAAA2wAAAA8AAAAAAAAAAAAAAAAAmAIAAGRycy9k&#10;b3ducmV2LnhtbFBLBQYAAAAABAAEAPUAAACJAwAAAAA=&#10;" path="m,l,7040r1171,196l2479,7379r1288,60l5033,7413,6275,7298,7492,7091,8682,6791,9843,6392r1132,-498l11906,5386,11906,,,e" stroked="f">
                    <v:path arrowok="t" o:connecttype="custom" o:connectlocs="0,0;0,7040;1171,7236;2479,7379;3767,7439;5033,7413;6275,7298;7492,7091;8682,6791;9843,6392;10975,5894;11906,5386;11906,0;0,0" o:connectangles="0,0,0,0,0,0,0,0,0,0,0,0,0,0"/>
                  </v:shape>
                </v:group>
                <v:group id="Group 19" o:spid="_x0000_s1038" style="position:absolute;left:7597;width:3119;height:454" coordorigin="7597" coordsize="3119,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20" o:spid="_x0000_s1039" style="position:absolute;left:7597;width:3119;height:454;visibility:visible;mso-wrap-style:square;v-text-anchor:top" coordsize="311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6LMEA&#10;AADbAAAADwAAAGRycy9kb3ducmV2LnhtbERP3WrCMBS+H/gO4Qx2t6ZOKFIbZUwEN9hwnQ9waI5N&#10;XXNSm9h2b79cCF5+fP/FZrKtGKj3jWMF8yQFQVw53XCt4Pize16C8AFZY+uYFPyRh8169lBgrt3I&#10;3zSUoRYxhH2OCkwIXS6lrwxZ9InriCN3cr3FEGFfS93jGMNtK1/SNJMWG44NBjt6M1T9ller4N1c&#10;2mFr+GP51c0Pn4fzIlz3C6WeHqfXFYhAU7iLb+69VpDFsfF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MeizBAAAA2wAAAA8AAAAAAAAAAAAAAAAAmAIAAGRycy9kb3du&#10;cmV2LnhtbFBLBQYAAAAABAAEAPUAAACGAwAAAAA=&#10;" path="m,454r3118,l3118,,,,,454xe" fillcolor="#9b5da5" stroked="f">
                    <v:path arrowok="t" o:connecttype="custom" o:connectlocs="0,454;3118,454;3118,0;0,0;0,454"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40" type="#_x0000_t75" style="position:absolute;left:7579;top:567;width:3126;height:5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kQXXFAAAA2wAAAA8AAABkcnMvZG93bnJldi54bWxEj09rwkAUxO9Cv8PyCr3pRqtSU9dQLAWL&#10;B2ksRW+P7GsSmn0bsps/fvuuIHgcZuY3zDoZTCU6alxpWcF0EoEgzqwuOVfwffwYv4BwHlljZZkU&#10;XMhBsnkYrTHWtucv6lKfiwBhF6OCwvs6ltJlBRl0E1sTB+/XNgZ9kE0udYN9gJtKzqJoKQ2WHBYK&#10;rGlbUPaXtkYBf57Muzv9HOb746VPO15M2+ezUk+Pw9srCE+Dv4dv7Z1WsFzB9Uv4AXLz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ZEF1xQAAANsAAAAPAAAAAAAAAAAAAAAA&#10;AJ8CAABkcnMvZG93bnJldi54bWxQSwUGAAAAAAQABAD3AAAAkQMAAAAA&#10;">
                    <v:imagedata r:id="rId10" o:title=""/>
                  </v:shape>
                </v:group>
                <v:group id="Group 22" o:spid="_x0000_s1041" style="position:absolute;top:10901;width:11906;height:3916" coordorigin=",10901" coordsize="11906,3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23" o:spid="_x0000_s1042" style="position:absolute;top:10901;width:11906;height:3916;visibility:visible;mso-wrap-style:square;v-text-anchor:top" coordsize="11906,3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l5ncEA&#10;AADbAAAADwAAAGRycy9kb3ducmV2LnhtbESPzarCMBSE9xd8h3AENxdNdaGlGkWEiy79W+ju2Bzb&#10;YnNSmtzavr0RBJfDzHzDLFatKUVDtSssKxiPIhDEqdUFZwrOp79hDMJ5ZI2lZVLQkYPVsvezwETb&#10;Jx+oOfpMBAi7BBXk3leJlC7NyaAb2Yo4eHdbG/RB1pnUNT4D3JRyEkVTabDgsJBjRZuc0sfx3yho&#10;LtTGW766rttn9/h3l+KtcUoN+u16DsJT67/hT3unFczG8P4SfoB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5eZ3BAAAA2wAAAA8AAAAAAAAAAAAAAAAAmAIAAGRycy9kb3du&#10;cmV2LnhtbFBLBQYAAAAABAAEAPUAAACGAwAAAAA=&#10;" path="m,3903r579,12l1984,3872,3360,3754,4696,3559,5982,3284,7207,2927,8363,2485,9438,1956r983,-618l11303,628,11906,e" filled="f" strokecolor="#693a70" strokeweight="1pt">
                    <v:path arrowok="t" o:connecttype="custom" o:connectlocs="0,14804;579,14816;1984,14773;3360,14655;4696,14460;5982,14185;7207,13828;8363,13386;9438,12857;10421,12239;11303,11529;11906,10901" o:connectangles="0,0,0,0,0,0,0,0,0,0,0,0"/>
                  </v:shape>
                </v:group>
                <v:group id="Group 24" o:spid="_x0000_s1043" style="position:absolute;left:22;top:14396;width:11884;height:2443" coordorigin="22,14396" coordsize="11884,24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25" o:spid="_x0000_s1044" style="position:absolute;left:22;top:14396;width:11884;height:2443;visibility:visible;mso-wrap-style:square;v-text-anchor:top" coordsize="1188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YsIA&#10;AADbAAAADwAAAGRycy9kb3ducmV2LnhtbESP0YrCMBRE3wX/IVzBN03VRddqlF1BsPqk6wdcmmtb&#10;TG5KE7Xu128WBB+HmTnDLNetNeJOja8cKxgNExDEudMVFwrOP9vBJwgfkDUax6TgSR7Wq25nial2&#10;Dz7S/RQKESHsU1RQhlCnUvq8JIt+6Gri6F1cYzFE2RRSN/iIcGvkOEmm0mLFcaHEmjYl5dfTzSr4&#10;nu0+Dtl4JLnK5tnv2ZvbZG+U6vfarwWIQG14h1/tnVYwm8D/l/g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92NiwgAAANsAAAAPAAAAAAAAAAAAAAAAAJgCAABkcnMvZG93&#10;bnJldi54bWxQSwUGAAAAAAQABAD1AAAAhwMAAAAA&#10;" path="m,972l,2442r11884,l11884,1609r-7310,l3955,1595r-628,-37l2691,1497r-644,-86l1396,1300,737,1161,,972e" fillcolor="#a671b1" stroked="f">
                    <v:path arrowok="t" o:connecttype="custom" o:connectlocs="0,15368;0,16838;11884,16838;11884,16005;4574,16005;3955,15991;3327,15954;2691,15893;2047,15807;1396,15696;737,15557;0,15368" o:connectangles="0,0,0,0,0,0,0,0,0,0,0,0"/>
                  </v:shape>
                  <v:shape id="Freeform 26" o:spid="_x0000_s1045" style="position:absolute;left:22;top:14396;width:11884;height:2443;visibility:visible;mso-wrap-style:square;v-text-anchor:top" coordsize="1188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7FsQA&#10;AADbAAAADwAAAGRycy9kb3ducmV2LnhtbESP0WrCQBRE34X+w3ILvulGK9qmboIWBNM+1foBl+xt&#10;Erp7N2TXJPr13ULBx2FmzjDbfLRG9NT5xrGCxTwBQVw63XCl4Px1mD2D8AFZo3FMCq7kIc8eJltM&#10;tRv4k/pTqESEsE9RQR1Cm0rpy5os+rlriaP37TqLIcqukrrDIcKtkcskWUuLDceFGlt6q6n8OV2s&#10;gv3muPoolgvJTfFS3M7eXJ7ejVLTx3H3CiLQGO7h//ZRK9is4O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xbEAAAA2wAAAA8AAAAAAAAAAAAAAAAAmAIAAGRycy9k&#10;b3ducmV2LnhtbFBLBQYAAAAABAAEAPUAAACJAwAAAAA=&#10;" path="m11884,r-259,121l11159,321r-480,190l10185,689,9678,854r-521,151l8624,1142r-545,121l7521,1367r-568,87l6374,1523r-590,49l5184,1601r-610,8l11884,1609,11884,e" fillcolor="#a671b1" stroked="f">
                    <v:path arrowok="t" o:connecttype="custom" o:connectlocs="11884,14396;11625,14517;11159,14717;10679,14907;10185,15085;9678,15250;9157,15401;8624,15538;8079,15659;7521,15763;6953,15850;6374,15919;5784,15968;5184,15997;4574,16005;11884,16005;11884,14396" o:connectangles="0,0,0,0,0,0,0,0,0,0,0,0,0,0,0,0,0"/>
                  </v:shape>
                </v:group>
                <v:group id="Group 27" o:spid="_x0000_s1046" style="position:absolute;top:12143;width:11906;height:2494" coordorigin=",12143" coordsize="11906,2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Freeform 28" o:spid="_x0000_s1047" style="position:absolute;top:12143;width:11906;height:2494;visibility:visible;mso-wrap-style:square;v-text-anchor:top" coordsize="11906,24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C5cIA&#10;AADbAAAADwAAAGRycy9kb3ducmV2LnhtbESPQWsCMRSE70L/Q3hCb25WKbqsRilCwUMLrYrnR/K6&#10;2XbzsiRZ3f77plDwOMx8M8xmN7pOXCnE1rOCeVGCINbetNwoOJ9eZhWImJANdp5JwQ9F2G0fJhus&#10;jb/xB12PqRG5hGONCmxKfS1l1JYcxsL3xNn79MFhyjI00gS85XLXyUVZLqXDlvOCxZ72lvT3cXAK&#10;VvsBv56q4f0iS34LdtDGxFelHqfj8xpEojHdw//0wWRuCX9f8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cLlwgAAANsAAAAPAAAAAAAAAAAAAAAAAJgCAABkcnMvZG93&#10;bnJldi54bWxQSwUGAAAAAAQABAD1AAAAhwMAAAAA&#10;" path="m,1683r818,245l2036,2212r1196,190l4405,2493r1152,-14l6690,2354,7803,2112,8898,1749,9976,1257,11038,633,11906,e" filled="f" strokecolor="white" strokeweight="1pt">
                    <v:path arrowok="t" o:connecttype="custom" o:connectlocs="0,13826;818,14071;2036,14355;3232,14545;4405,14636;5557,14622;6690,14497;7803,14255;8898,13892;9976,13400;11038,12776;11906,12143" o:connectangles="0,0,0,0,0,0,0,0,0,0,0,0"/>
                  </v:shape>
                  <v:shape id="Picture 29" o:spid="_x0000_s1048" type="#_x0000_t75" style="position:absolute;left:7901;top:15326;width:2814;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IHnLEAAAA2wAAAA8AAABkcnMvZG93bnJldi54bWxEj0FrwkAUhO+C/2F5Qm+6MdBGYlYRtdBC&#10;L1oRvD2yL9lg9m3MbjX9991CocdhZr5hivVgW3Gn3jeOFcxnCQji0umGawWnz9fpAoQPyBpbx6Tg&#10;mzysV+NRgbl2Dz7Q/RhqESHsc1RgQuhyKX1pyKKfuY44epXrLYYo+1rqHh8RbluZJsmLtNhwXDDY&#10;0dZQeT1+WQW31Lw/H85+4bLd7Rz2F/mxTyulnibDZgki0BD+w3/tN60gy+D3S/wBcv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aIHnLEAAAA2wAAAA8AAAAAAAAAAAAAAAAA&#10;nwIAAGRycy9kb3ducmV2LnhtbFBLBQYAAAAABAAEAPcAAACQAwAAAAA=&#10;">
                    <v:imagedata r:id="rId11" o:title=""/>
                  </v:shape>
                </v:group>
                <w10:wrap anchorx="page" anchory="page"/>
              </v:group>
            </w:pict>
          </mc:Fallback>
        </mc:AlternateContent>
      </w:r>
      <w:r w:rsidRPr="005A7579">
        <w:rPr>
          <w:rFonts w:ascii="Times New Roman" w:hAnsi="Times New Roman"/>
          <w:noProof/>
          <w:sz w:val="20"/>
          <w:szCs w:val="20"/>
          <w:lang w:bidi="ar-SA"/>
        </w:rPr>
        <mc:AlternateContent>
          <mc:Choice Requires="wpg">
            <w:drawing>
              <wp:anchor distT="0" distB="0" distL="114300" distR="114300" simplePos="0" relativeHeight="251661312" behindDoc="1" locked="0" layoutInCell="1" allowOverlap="1" wp14:anchorId="5AF03671" wp14:editId="4C656624">
                <wp:simplePos x="0" y="0"/>
                <wp:positionH relativeFrom="page">
                  <wp:align>right</wp:align>
                </wp:positionH>
                <wp:positionV relativeFrom="page">
                  <wp:align>bottom</wp:align>
                </wp:positionV>
                <wp:extent cx="7560310" cy="10692130"/>
                <wp:effectExtent l="0" t="0" r="254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79" name="Freeform 6"/>
                        <wps:cNvSpPr>
                          <a:spLocks/>
                        </wps:cNvSpPr>
                        <wps:spPr bwMode="auto">
                          <a:xfrm>
                            <a:off x="0" y="0"/>
                            <a:ext cx="11906" cy="16838"/>
                          </a:xfrm>
                          <a:custGeom>
                            <a:avLst/>
                            <a:gdLst>
                              <a:gd name="T0" fmla="*/ 0 w 11906"/>
                              <a:gd name="T1" fmla="*/ 16838 h 16838"/>
                              <a:gd name="T2" fmla="*/ 11906 w 11906"/>
                              <a:gd name="T3" fmla="*/ 16838 h 16838"/>
                              <a:gd name="T4" fmla="*/ 11906 w 11906"/>
                              <a:gd name="T5" fmla="*/ 0 h 16838"/>
                              <a:gd name="T6" fmla="*/ 0 w 11906"/>
                              <a:gd name="T7" fmla="*/ 0 h 16838"/>
                              <a:gd name="T8" fmla="*/ 0 w 11906"/>
                              <a:gd name="T9" fmla="*/ 16838 h 16838"/>
                            </a:gdLst>
                            <a:ahLst/>
                            <a:cxnLst>
                              <a:cxn ang="0">
                                <a:pos x="T0" y="T1"/>
                              </a:cxn>
                              <a:cxn ang="0">
                                <a:pos x="T2" y="T3"/>
                              </a:cxn>
                              <a:cxn ang="0">
                                <a:pos x="T4" y="T5"/>
                              </a:cxn>
                              <a:cxn ang="0">
                                <a:pos x="T6" y="T7"/>
                              </a:cxn>
                              <a:cxn ang="0">
                                <a:pos x="T8" y="T9"/>
                              </a:cxn>
                            </a:cxnLst>
                            <a:rect l="0" t="0" r="r" b="b"/>
                            <a:pathLst>
                              <a:path w="11906" h="16838">
                                <a:moveTo>
                                  <a:pt x="0" y="16838"/>
                                </a:moveTo>
                                <a:lnTo>
                                  <a:pt x="11906" y="16838"/>
                                </a:lnTo>
                                <a:lnTo>
                                  <a:pt x="11906" y="0"/>
                                </a:lnTo>
                                <a:lnTo>
                                  <a:pt x="0" y="0"/>
                                </a:lnTo>
                                <a:lnTo>
                                  <a:pt x="0" y="16838"/>
                                </a:lnTo>
                                <a:close/>
                              </a:path>
                            </a:pathLst>
                          </a:custGeom>
                          <a:solidFill>
                            <a:srgbClr val="BF9CC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62474" id="Group 78" o:spid="_x0000_s1026" style="position:absolute;margin-left:544.1pt;margin-top:0;width:595.3pt;height:841.9pt;z-index:-251655168;mso-position-horizontal:right;mso-position-horizontal-relative:page;mso-position-vertical:bottom;mso-position-vertical-relative:page" coordsize="11906,1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7psgMAAPAJAAAOAAAAZHJzL2Uyb0RvYy54bWykVttu4zYQfS+w/0DosYAjyZbtSIizaJJ1&#10;UCBtF9j0A2iKumAlUiVpy9nF/nuHQ8qWkyZrpH6QSPNoOHPOcIZXH/dtQ3Zc6VqKVRBfRAHhgsm8&#10;FuUq+PtxPbkMiDZU5LSRgq+CJ66Dj9cffrnqu4xPZSWbnCsCRoTO+m4VVMZ0WRhqVvGW6gvZcQGL&#10;hVQtNTBVZZgr2oP1tgmnUbQIe6nyTknGtYZ/79xicI32i4Iz81dRaG5IswrAN4NPhc+NfYbXVzQr&#10;Fe2qmnk36Du8aGktYNODqTtqKNmq+oWptmZKalmYCybbUBZFzTjGANHE0bNo7pXcdhhLmfVld6AJ&#10;qH3G07vNsj93nxWp81WwBKUEbUEj3JbAHMjpuzIDzL3qvnSflYsQhg+SfdWwHD5ft/PSgcmm/0Pm&#10;YI9ujURy9oVqrQkIm+xRg6eDBnxvCIM/l/NFNItBKgZrcbRIp/HMy8Qq0PLFh6z65D+N4zRa+A8X&#10;lzP0P6SZ2xU99Z7ZsCDd9JFR/f8Y/VLRjqNQ2rI1MJoOjK4V5zaHycJxiqiBUD1mc7RifdRA+vt4&#10;fJMMmrGtNvdcohx096CNOwg5jFDk3OfCIyhRtA2ciV9DEpGeOLsePYDiESi21JOK4Nufr4O16Rho&#10;5XrN4mwMfMtiMga+ZXE+Akav+Qfp8/NolyegVyKF0/RzS5AgB9AL3iB1y0EPWg0Ssb3wGsGIUFtm&#10;IzxcndT2bFjB4OQ8xpZ6MAEoK+grYNDDgmdngYFqC56fBQYmLXh5FhjIsuB0DHa++1gVFPLnJVwF&#10;BEr4xn5Ds44aS9EwJD0UD1cOKhhhNbBrrdzxR4koc6wkh1SFPY+IRoyR3hq4OUYPmOHdodUjFisX&#10;WB3Wh7fDOanOwfzXnqyRmjuRbfSo9oEGy97oiGvZ1Pm6bhobulbl5rZRZEehKd6s09vbgfgTWIOJ&#10;I6T9zG3j/oFK7Zm2NRub3Pc0nibRzTSdrBeXy0myTuaTdBldTqI4vUkXUZImd+sfNk3jJKvqPOfi&#10;oRZ8aLhxcl759a3ftUpsuVbndD6d4wk48f4kyAh/PrtOYNBhRY4ZVHGaf/JjQ+vGjcNTj5FkCHt4&#10;IxHQWlyldn1lI/MnqNpKussGXI5gUEn1LSA9XDRWgf5nSxUPSPO7gL6TxkkCiWBwksyXU5io8cpm&#10;vEIFA1OrwARw9u3w1rjbzLZTdVnBTjFyIeRv0HWL2tZ19M955SfQ+nCE1wqMxV+B7L1lPEfU8aJ2&#10;/S8AAAD//wMAUEsDBBQABgAIAAAAIQBTrTJL3gAAAAcBAAAPAAAAZHJzL2Rvd25yZXYueG1sTI9B&#10;S8NAEIXvgv9hGcGb3cRiiGk2pRT1VARbQXqbZqdJaHY2ZLdJ+u/deqmX4Q1veO+bfDmZVgzUu8ay&#10;gngWgSAurW64UvC9e39KQTiPrLG1TAou5GBZ3N/lmGk78hcNW1+JEMIuQwW1910mpStrMuhmtiMO&#10;3tH2Bn1Y+0rqHscQblr5HEWJNNhwaKixo3VN5Wl7Ngo+RhxX8/ht2JyO68t+9/L5s4lJqceHabUA&#10;4Wnyt2O44gd0KALTwZ5ZO9EqCI/4v3n14tcoAXEIKknnKcgil//5i18AAAD//wMAUEsBAi0AFAAG&#10;AAgAAAAhALaDOJL+AAAA4QEAABMAAAAAAAAAAAAAAAAAAAAAAFtDb250ZW50X1R5cGVzXS54bWxQ&#10;SwECLQAUAAYACAAAACEAOP0h/9YAAACUAQAACwAAAAAAAAAAAAAAAAAvAQAAX3JlbHMvLnJlbHNQ&#10;SwECLQAUAAYACAAAACEAi3w+6bIDAADwCQAADgAAAAAAAAAAAAAAAAAuAgAAZHJzL2Uyb0RvYy54&#10;bWxQSwECLQAUAAYACAAAACEAU60yS94AAAAHAQAADwAAAAAAAAAAAAAAAAAMBgAAZHJzL2Rvd25y&#10;ZXYueG1sUEsFBgAAAAAEAAQA8wAAABcHAAAAAA==&#10;">
                <v:shape id="Freeform 6" o:spid="_x0000_s1027" style="position:absolute;width:11906;height:16838;visibility:visible;mso-wrap-style:square;v-text-anchor:top" coordsize="11906,168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AfasMA&#10;AADbAAAADwAAAGRycy9kb3ducmV2LnhtbESPQWvCQBSE7wX/w/KE3nRjD9WmrlKEor1ptO31kX3N&#10;hmbfxuyrxn/vCkKPw8x8w8yXvW/UibpYBzYwGWegiMtga64MHPbvoxmoKMgWm8Bk4EIRlovBwxxz&#10;G868o1MhlUoQjjkacCJtrnUsHXmM49ASJ+8ndB4lya7StsNzgvtGP2XZs/ZYc1pw2NLKUflb/HkD&#10;Rwnbmf/Kdiuxn2u3uayp+Pg25nHYv72CEurlP3xvb6yB6QvcvqQfoB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AfasMAAADbAAAADwAAAAAAAAAAAAAAAACYAgAAZHJzL2Rv&#10;d25yZXYueG1sUEsFBgAAAAAEAAQA9QAAAIgDAAAAAA==&#10;" path="m,16838r11906,l11906,,,,,16838xe" fillcolor="#bf9cc9" stroked="f">
                  <v:path arrowok="t" o:connecttype="custom" o:connectlocs="0,16838;11906,16838;11906,0;0,0;0,16838" o:connectangles="0,0,0,0,0"/>
                </v:shape>
                <w10:wrap anchorx="page" anchory="page"/>
              </v:group>
            </w:pict>
          </mc:Fallback>
        </mc:AlternateContent>
      </w:r>
      <w:r w:rsidR="00073FEC" w:rsidRPr="005A7579">
        <w:rPr>
          <w:rFonts w:ascii="Times New Roman" w:hAnsi="Times New Roman"/>
          <w:noProof/>
          <w:sz w:val="20"/>
          <w:szCs w:val="20"/>
        </w:rPr>
        <w:t>ISSN 2315-0815</w:t>
      </w:r>
    </w:p>
    <w:p w:rsidR="00073FEC" w:rsidRPr="001973D0" w:rsidRDefault="00073FEC" w:rsidP="005A7579">
      <w:pPr>
        <w:tabs>
          <w:tab w:val="left" w:pos="5670"/>
        </w:tabs>
        <w:ind w:left="5954"/>
        <w:rPr>
          <w:rFonts w:ascii="Times New Roman" w:hAnsi="Times New Roman"/>
          <w:b/>
          <w:noProof/>
          <w:color w:val="9B5DA5"/>
          <w:sz w:val="24"/>
        </w:rPr>
      </w:pPr>
      <w:r>
        <w:rPr>
          <w:rFonts w:ascii="Times New Roman" w:hAnsi="Times New Roman"/>
          <w:b/>
          <w:noProof/>
          <w:color w:val="9B5DA5"/>
          <w:sz w:val="24"/>
        </w:rPr>
        <w:t>Rokasgrāmatas un vadlīnijas</w:t>
      </w:r>
    </w:p>
    <w:p w:rsidR="00073FEC" w:rsidRDefault="00073FEC"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Default="005A7579" w:rsidP="00073FEC">
      <w:pPr>
        <w:jc w:val="both"/>
        <w:rPr>
          <w:rFonts w:ascii="Times New Roman" w:eastAsia="Calibri" w:hAnsi="Times New Roman" w:cs="Calibri"/>
          <w:b/>
          <w:bCs/>
          <w:noProof/>
          <w:sz w:val="24"/>
          <w:szCs w:val="27"/>
        </w:rPr>
      </w:pPr>
    </w:p>
    <w:p w:rsidR="005A7579" w:rsidRPr="001973D0" w:rsidRDefault="005A7579" w:rsidP="00073FEC">
      <w:pPr>
        <w:jc w:val="both"/>
        <w:rPr>
          <w:rFonts w:ascii="Times New Roman" w:eastAsia="Calibri" w:hAnsi="Times New Roman" w:cs="Calibri"/>
          <w:b/>
          <w:bCs/>
          <w:noProof/>
          <w:sz w:val="24"/>
          <w:szCs w:val="27"/>
        </w:rPr>
      </w:pPr>
    </w:p>
    <w:p w:rsidR="00073FEC" w:rsidRPr="005A7579" w:rsidRDefault="00073FEC" w:rsidP="00073FEC">
      <w:pPr>
        <w:jc w:val="both"/>
        <w:rPr>
          <w:rFonts w:ascii="Times New Roman" w:hAnsi="Times New Roman"/>
          <w:b/>
          <w:noProof/>
          <w:color w:val="693A70"/>
          <w:sz w:val="40"/>
          <w:szCs w:val="40"/>
        </w:rPr>
      </w:pPr>
      <w:r w:rsidRPr="005A7579">
        <w:rPr>
          <w:rFonts w:ascii="Times New Roman" w:hAnsi="Times New Roman"/>
          <w:b/>
          <w:noProof/>
          <w:color w:val="693A70"/>
          <w:sz w:val="40"/>
          <w:szCs w:val="40"/>
        </w:rPr>
        <w:t>Valdības budžeta deficīta un parāda rokasgrāmata</w:t>
      </w:r>
    </w:p>
    <w:p w:rsidR="005A7579" w:rsidRDefault="005A7579" w:rsidP="00073FEC">
      <w:pPr>
        <w:ind w:hanging="14"/>
        <w:jc w:val="both"/>
        <w:rPr>
          <w:rFonts w:ascii="Times New Roman" w:hAnsi="Times New Roman"/>
          <w:b/>
          <w:noProof/>
          <w:color w:val="9B5DA5"/>
          <w:sz w:val="24"/>
        </w:rPr>
      </w:pPr>
    </w:p>
    <w:p w:rsidR="00073FEC" w:rsidRPr="005A7579" w:rsidRDefault="00073FEC" w:rsidP="00073FEC">
      <w:pPr>
        <w:ind w:hanging="14"/>
        <w:jc w:val="both"/>
        <w:rPr>
          <w:rFonts w:ascii="Times New Roman" w:eastAsia="Calibri" w:hAnsi="Times New Roman" w:cs="Calibri"/>
          <w:noProof/>
          <w:sz w:val="32"/>
          <w:szCs w:val="32"/>
        </w:rPr>
      </w:pPr>
      <w:r w:rsidRPr="005A7579">
        <w:rPr>
          <w:rFonts w:ascii="Times New Roman" w:hAnsi="Times New Roman"/>
          <w:b/>
          <w:noProof/>
          <w:color w:val="9B5DA5"/>
          <w:sz w:val="32"/>
          <w:szCs w:val="32"/>
        </w:rPr>
        <w:t>EKS 2010 īstenošana</w:t>
      </w: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Default="005A7579" w:rsidP="00073FEC">
      <w:pPr>
        <w:jc w:val="both"/>
        <w:rPr>
          <w:rFonts w:ascii="Times New Roman" w:eastAsia="Calibri" w:hAnsi="Times New Roman" w:cs="Calibri"/>
          <w:b/>
          <w:bCs/>
          <w:noProof/>
          <w:sz w:val="24"/>
          <w:szCs w:val="32"/>
        </w:rPr>
      </w:pPr>
    </w:p>
    <w:p w:rsidR="005A7579" w:rsidRPr="001973D0" w:rsidRDefault="005A7579" w:rsidP="00073FEC">
      <w:pPr>
        <w:jc w:val="both"/>
        <w:rPr>
          <w:rFonts w:ascii="Times New Roman" w:eastAsia="Calibri" w:hAnsi="Times New Roman" w:cs="Calibri"/>
          <w:b/>
          <w:bCs/>
          <w:noProof/>
          <w:sz w:val="24"/>
          <w:szCs w:val="32"/>
        </w:rPr>
      </w:pPr>
    </w:p>
    <w:p w:rsidR="00073FEC" w:rsidRPr="005A7579" w:rsidRDefault="00073FEC" w:rsidP="00073FEC">
      <w:pPr>
        <w:jc w:val="both"/>
        <w:rPr>
          <w:rFonts w:ascii="Times New Roman" w:eastAsia="Calibri" w:hAnsi="Times New Roman" w:cs="Calibri"/>
          <w:noProof/>
          <w:color w:val="FFFFFF" w:themeColor="background1"/>
          <w:sz w:val="28"/>
          <w:szCs w:val="28"/>
        </w:rPr>
      </w:pPr>
      <w:r w:rsidRPr="005A7579">
        <w:rPr>
          <w:rFonts w:ascii="Times New Roman" w:hAnsi="Times New Roman"/>
          <w:b/>
          <w:noProof/>
          <w:color w:val="FFFFFF" w:themeColor="background1"/>
          <w:sz w:val="28"/>
          <w:szCs w:val="28"/>
        </w:rPr>
        <w:t>2016. gada izdevums</w:t>
      </w:r>
    </w:p>
    <w:p w:rsidR="00073FEC" w:rsidRDefault="00073FEC" w:rsidP="00073FEC">
      <w:pPr>
        <w:rPr>
          <w:rFonts w:ascii="Times New Roman" w:eastAsia="Times New Roman" w:hAnsi="Times New Roman" w:cs="Times New Roman"/>
          <w:noProof/>
          <w:sz w:val="24"/>
          <w:szCs w:val="17"/>
        </w:rPr>
      </w:pPr>
      <w:r>
        <w:br w:type="page"/>
      </w:r>
    </w:p>
    <w:p w:rsidR="00073FEC" w:rsidRPr="001973D0" w:rsidRDefault="00073FEC" w:rsidP="005A7579">
      <w:pPr>
        <w:jc w:val="right"/>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lang w:bidi="ar-SA"/>
        </w:rPr>
        <w:lastRenderedPageBreak/>
        <mc:AlternateContent>
          <mc:Choice Requires="wpg">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980565" cy="288290"/>
                <wp:effectExtent l="381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0565" cy="288290"/>
                          <a:chOff x="0" y="0"/>
                          <a:chExt cx="3119" cy="454"/>
                        </a:xfrm>
                      </wpg:grpSpPr>
                      <wpg:grpSp>
                        <wpg:cNvPr id="17" name="Group 3"/>
                        <wpg:cNvGrpSpPr>
                          <a:grpSpLocks/>
                        </wpg:cNvGrpSpPr>
                        <wpg:grpSpPr bwMode="auto">
                          <a:xfrm>
                            <a:off x="0" y="0"/>
                            <a:ext cx="3119" cy="454"/>
                            <a:chOff x="0" y="0"/>
                            <a:chExt cx="3119" cy="454"/>
                          </a:xfrm>
                        </wpg:grpSpPr>
                        <wps:wsp>
                          <wps:cNvPr id="38" name="Freeform 4"/>
                          <wps:cNvSpPr>
                            <a:spLocks/>
                          </wps:cNvSpPr>
                          <wps:spPr bwMode="auto">
                            <a:xfrm>
                              <a:off x="0" y="0"/>
                              <a:ext cx="3119" cy="454"/>
                            </a:xfrm>
                            <a:custGeom>
                              <a:avLst/>
                              <a:gdLst>
                                <a:gd name="T0" fmla="*/ 0 w 3119"/>
                                <a:gd name="T1" fmla="*/ 454 h 454"/>
                                <a:gd name="T2" fmla="*/ 3118 w 3119"/>
                                <a:gd name="T3" fmla="*/ 454 h 454"/>
                                <a:gd name="T4" fmla="*/ 3118 w 3119"/>
                                <a:gd name="T5" fmla="*/ 0 h 454"/>
                                <a:gd name="T6" fmla="*/ 0 w 3119"/>
                                <a:gd name="T7" fmla="*/ 0 h 454"/>
                                <a:gd name="T8" fmla="*/ 0 w 3119"/>
                                <a:gd name="T9" fmla="*/ 454 h 454"/>
                              </a:gdLst>
                              <a:ahLst/>
                              <a:cxnLst>
                                <a:cxn ang="0">
                                  <a:pos x="T0" y="T1"/>
                                </a:cxn>
                                <a:cxn ang="0">
                                  <a:pos x="T2" y="T3"/>
                                </a:cxn>
                                <a:cxn ang="0">
                                  <a:pos x="T4" y="T5"/>
                                </a:cxn>
                                <a:cxn ang="0">
                                  <a:pos x="T6" y="T7"/>
                                </a:cxn>
                                <a:cxn ang="0">
                                  <a:pos x="T8" y="T9"/>
                                </a:cxn>
                              </a:cxnLst>
                              <a:rect l="0" t="0" r="r" b="b"/>
                              <a:pathLst>
                                <a:path w="3119" h="454">
                                  <a:moveTo>
                                    <a:pt x="0" y="454"/>
                                  </a:moveTo>
                                  <a:lnTo>
                                    <a:pt x="3118" y="454"/>
                                  </a:lnTo>
                                  <a:lnTo>
                                    <a:pt x="3118" y="0"/>
                                  </a:lnTo>
                                  <a:lnTo>
                                    <a:pt x="0" y="0"/>
                                  </a:lnTo>
                                  <a:lnTo>
                                    <a:pt x="0" y="4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53066D35" id="Group 15" o:spid="_x0000_s1026" style="position:absolute;margin-left:0;margin-top:0;width:155.95pt;height:22.7pt;z-index:251660288;mso-position-horizontal-relative:char;mso-position-vertical-relative:line" coordsize="3119,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77zwMAAMwKAAAOAAAAZHJzL2Uyb0RvYy54bWzEVllv4zYQfi/Q/0DwsYCjw/IhIcqiu1kH&#10;BdLuApv9AbREHahEqiRtOS363zs8JEtxshukBeoHeaj5NJx75vrdqW3QkQpZc5bi4MrHiLKM5zUr&#10;U/z1YbfYYiQVYTlpOKMpfqQSv7v58YfrvktoyCve5FQgEMJk0ncprpTqEs+TWUVbIq94RxkwCy5a&#10;ouAoSi8XpAfpbeOFvr/2ei7yTvCMSglvby0T3xj5RUEz9akoJFWoSTHopsxTmOdeP72ba5KUgnRV&#10;nTk1yBu0aEnN4NJR1C1RBB1EfSGqrTPBJS/UVcZbjxdFnVFjA1gT+E+suRP80BlbyqQvu9FN4Non&#10;fnqz2Oy342eB6hxit8KIkRZiZK5FcAbn9F2ZAOZOdF+6z8JaCOQ9z36XwPae8vW5tGC073/lOcgj&#10;B8WNc06FaLUIMBudTAwexxjQk0IZvAzirb9agy4Z8MLtNoxdkLIKInnxWVZ9dB8ugyC2X0WrSKvu&#10;kcReaJR0SlmLzGE0bnDAZu6A5f9i/4UZJPnvLIcak+c0kv8ujb5UpKMmO6VOEefFJRS8TaOdoFQX&#10;LjLR6DuDGrJITlNowtEwCZn2tuS5cN6YA+DFg1R3lJsEJMd7qWzp50CZtM6d2g/QJoq2gS7wk4d8&#10;1CMj1IEHTDDBQLqhCrmkgw4wCgonIBCyfUHWcgJ7UVY0AX1DFtTNRPdntVrPIM+bB5XwPTEQ5gnk&#10;eTFQjyNmZhmEpRwcT6ohFtmJuWAAhYieIL7pGx2XuvB1ZKApPASuugGlI/cCGLyvwaaK4b5vg8G9&#10;Gmxa3nfB4EEN3rxKDfCTBsdTsL3B2SpgRj2dTgIjmE57/Q1JOqK0iwYS9Sm2eV6lWGedZrT8SB+4&#10;gahzj3Q5Cded+Q2b4nQqGQXP0AEw/HdG4Ag03RgkDuzh38JshF6Dubwwa7ikYDEI1yaPhLFdu2xS&#10;wJI3db6rm0abLEW5/9AIdCQw5MNlsAsHBWawxmQL4/oze419A5PHuVfPIDO0/4qDMPLfh/Fit95u&#10;FtEuWi3ijb9d+EH8Pl77URzd7v7Wng+ipKrznLL7mtFhgQii13VWt8rY0W9WCB3ceBWuTFBn2s+M&#10;9M3PpdQMBhsDy03aVJTkHx2tSN1Y2ptrbJwMZg//1tdDE9YTUiZ7nj9CQxbcLk+w7AFRcfEnRj0s&#10;TimWfxyIoBg1vzAYKXEQRXrTModotYFgIDHl7KccwjIQlWKFoeA1+UHZ7ezQibqs4KbA+ILxn2GL&#10;KGrdtWGeD1q5A0w1Q7ndw9GwMgE128mmZ4M6L6E3/wAAAP//AwBQSwMEFAAGAAgAAAAhAFPSORzc&#10;AAAABAEAAA8AAABkcnMvZG93bnJldi54bWxMj0FLw0AQhe+C/2EZwZvdrG1FYzalFPVUhLZC6W2a&#10;nSah2dmQ3Sbpv3f1opeBx3u89022GG0jeup87ViDmiQgiAtnai41fO3eH55B+IBssHFMGq7kYZHf&#10;3mSYGjfwhvptKEUsYZ+ihiqENpXSFxVZ9BPXEkfv5DqLIcqulKbDIZbbRj4myZO0WHNcqLClVUXF&#10;eXuxGj4GHJZT9davz6fV9bCbf+7XirS+vxuXryACjeEvDD/4ER3yyHR0FzZeNBriI+H3Rm+q1AuI&#10;o4bZfAYyz+R/+PwbAAD//wMAUEsBAi0AFAAGAAgAAAAhALaDOJL+AAAA4QEAABMAAAAAAAAAAAAA&#10;AAAAAAAAAFtDb250ZW50X1R5cGVzXS54bWxQSwECLQAUAAYACAAAACEAOP0h/9YAAACUAQAACwAA&#10;AAAAAAAAAAAAAAAvAQAAX3JlbHMvLnJlbHNQSwECLQAUAAYACAAAACEA6X7O+88DAADMCgAADgAA&#10;AAAAAAAAAAAAAAAuAgAAZHJzL2Uyb0RvYy54bWxQSwECLQAUAAYACAAAACEAU9I5HNwAAAAEAQAA&#10;DwAAAAAAAAAAAAAAAAApBgAAZHJzL2Rvd25yZXYueG1sUEsFBgAAAAAEAAQA8wAAADIHAAAAAA==&#10;">
                <v:group id="Group 3" o:spid="_x0000_s1027" style="position:absolute;width:3119;height:454" coordsize="3119,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4" o:spid="_x0000_s1028" style="position:absolute;width:3119;height:454;visibility:visible;mso-wrap-style:square;v-text-anchor:top" coordsize="311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OXN8AA&#10;AADbAAAADwAAAGRycy9kb3ducmV2LnhtbERPy4rCMBTdC/5DuII7TdXBRzWKDAgOs/KxcHlprm2x&#10;uSlJpq1+vVkMuDyc92bXmUo05HxpWcFknIAgzqwuOVdwvRxGSxA+IGusLJOCJ3nYbfu9Dabatnyi&#10;5hxyEUPYp6igCKFOpfRZQQb92NbEkbtbZzBE6HKpHbYx3FRymiRzabDk2FBgTd8FZY/zn1FgV9f6&#10;93aaLDL91fzM9q2Tr9tCqeGg269BBOrCR/zvPmoFszg2fok/QG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4OXN8AAAADbAAAADwAAAAAAAAAAAAAAAACYAgAAZHJzL2Rvd25y&#10;ZXYueG1sUEsFBgAAAAAEAAQA9QAAAIUDAAAAAA==&#10;" path="m,454r3118,l3118,,,,,454xe" fillcolor="#231f20" stroked="f">
                    <v:path arrowok="t" o:connecttype="custom" o:connectlocs="0,454;3118,454;3118,0;0,0;0,454" o:connectangles="0,0,0,0,0"/>
                  </v:shape>
                </v:group>
                <w10:wrap xmlns:w10="urn:schemas-microsoft-com:office:word" anchory="line"/>
              </v:group>
            </w:pict>
          </mc:Fallback>
        </mc:AlternateContent>
      </w:r>
      <w:r>
        <w:rPr>
          <w:rFonts w:ascii="Times New Roman" w:eastAsia="Times New Roman" w:hAnsi="Times New Roman" w:cs="Times New Roman"/>
          <w:noProof/>
          <w:sz w:val="24"/>
          <w:szCs w:val="20"/>
          <w:lang w:bidi="ar-SA"/>
        </w:rPr>
        <mc:AlternateContent>
          <mc:Choice Requires="wps">
            <w:drawing>
              <wp:inline distT="0" distB="0" distL="0" distR="0">
                <wp:extent cx="1981200" cy="28575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81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xmlns:o="urn:schemas-microsoft-com:office:office" xmlns:w14="http://schemas.microsoft.com/office/word/2010/wordml" xmlns:v="urn:schemas-microsoft-com:vml" w14:anchorId="28D57174" id="Rectangle 2" o:spid="_x0000_s1026" style="width:156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FgytgIAALgFAAAOAAAAZHJzL2Uyb0RvYy54bWysVNuO0zAQfUfiHyy/Z3MhaZNo09XSNAhp&#10;gRULH+AmTmPh2MF2my6If2fstN129wUBeYhsz3jmnJnjub7Z9xztqNJMigKHVwFGVNSyYWJT4K9f&#10;Ki/FSBsiGsKloAV+pBrfLF6/uh6HnEayk7yhCkEQofNxKHBnzJD7vq472hN9JQcqwNhK1RMDW7Xx&#10;G0VGiN5zPwqCmT9K1QxK1lRrOC0nI164+G1La/OpbTU1iBcYsBn3V+6/tn9/cU3yjSJDx+oDDPIX&#10;KHrCBCQ9hSqJIWir2ItQPauV1LI1V7Xsfdm2rKaOA7AJg2dsHjoyUMcFiqOHU5n0/wtbf9zdK8Sa&#10;AkcYCdJDiz5D0YjYcIoiW55x0Dl4PQz3yhLUw52sv2kk5LIDL3qrB/CH1sP145FScuwoaQBnaEP4&#10;FzHsRkM0tB4/yAYSkq2Rrnj7VvU2B5QF7V2PHk89onuDajgMszSExmNUgy1Kk3nimuiT/Hh7UNq8&#10;o7JHdlFgBfBcdLK708aiIfnRxSYTsmKcOx1wcXEAjtMJ5Iar1mZRuLb+zIJsla7S2Iuj2cqLg7L0&#10;bqtl7M2qcJ6Ub8rlsgx/2bxhnHesaaiwaY4SC+M/a+FB7JM4TiLTkrPGhrOQtNqsl1yhHQGJV+5z&#10;NQfLk5t/CcMVAbg8oxRGcfA2yrxqls69uIoTL5sHqReE2dtsFsRZXFaXlO6YoP9OCY0FzpIocV06&#10;A/2MW+C+l9xI3jMDQ4SzvsDpyYnkVoIr0bjWGsL4tD4rhYX/VApo97HRTrBWo5P817J5BL0qCXIC&#10;5cG4g0Un1Q+MRhgdBdbft0RRjPh7AZrPwji2s8Zt4mQewUadW9bnFiJqCFVgg9G0XJppPm0HxTYd&#10;ZApdYYS8hXfSMidh+4YmVIfXBePBMTmMMjt/zvfO62ngLn4DAAD//wMAUEsDBBQABgAIAAAAIQCX&#10;LLGr3AAAAAQBAAAPAAAAZHJzL2Rvd25yZXYueG1sTI9PS8NAEMXvgt9hGcGL2E3rHyRmUqQgFhGK&#10;qfa8zY5JMDubZrdJ/PaOXvTy4PGG936TLSfXqoH60HhGmM8SUMSltw1XCG/bx8s7UCEatqb1TAhf&#10;FGCZn55kJrV+5FcailgpKeGQGoQ6xi7VOpQ1ORNmviOW7MP3zkSxfaVtb0Ypd61eJMmtdqZhWahN&#10;R6uays/i6BDGcjPsti9PenOxW3s+rA+r4v0Z8fxsergHFWmKf8fwgy/okAvT3h/ZBtUiyCPxVyW7&#10;mi/E7hGubxLQeab/w+ffAAAA//8DAFBLAQItABQABgAIAAAAIQC2gziS/gAAAOEBAAATAAAAAAAA&#10;AAAAAAAAAAAAAABbQ29udGVudF9UeXBlc10ueG1sUEsBAi0AFAAGAAgAAAAhADj9If/WAAAAlAEA&#10;AAsAAAAAAAAAAAAAAAAALwEAAF9yZWxzLy5yZWxzUEsBAi0AFAAGAAgAAAAhAEisWDK2AgAAuAUA&#10;AA4AAAAAAAAAAAAAAAAALgIAAGRycy9lMm9Eb2MueG1sUEsBAi0AFAAGAAgAAAAhAJcssavcAAAA&#10;BAEAAA8AAAAAAAAAAAAAAAAAEAUAAGRycy9kb3ducmV2LnhtbFBLBQYAAAAABAAEAPMAAAAZBgAA&#10;AAA=&#10;" filled="f" stroked="f">
                <o:lock v:ext="edit" aspectratio="t"/>
                <w10:anchorlock xmlns:w10="urn:schemas-microsoft-com:office:word"/>
              </v:rect>
            </w:pict>
          </mc:Fallback>
        </mc:AlternateContent>
      </w:r>
    </w:p>
    <w:p w:rsidR="00073FEC" w:rsidRPr="001973D0" w:rsidRDefault="00073FEC" w:rsidP="005A7579">
      <w:pPr>
        <w:jc w:val="right"/>
        <w:rPr>
          <w:rFonts w:ascii="Times New Roman" w:eastAsia="Times New Roman" w:hAnsi="Times New Roman" w:cs="Times New Roman"/>
          <w:noProof/>
          <w:sz w:val="24"/>
          <w:szCs w:val="9"/>
        </w:rPr>
      </w:pPr>
    </w:p>
    <w:p w:rsidR="00073FEC" w:rsidRPr="001973D0" w:rsidRDefault="00073FEC" w:rsidP="005A7579">
      <w:pPr>
        <w:jc w:val="right"/>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lang w:bidi="ar-SA"/>
        </w:rPr>
        <w:drawing>
          <wp:inline distT="0" distB="0" distL="0" distR="0" wp14:anchorId="1CDBAF10" wp14:editId="32D7C65D">
            <wp:extent cx="1983501" cy="347662"/>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983501" cy="347662"/>
                    </a:xfrm>
                    <a:prstGeom prst="rect">
                      <a:avLst/>
                    </a:prstGeom>
                  </pic:spPr>
                </pic:pic>
              </a:graphicData>
            </a:graphic>
          </wp:inline>
        </w:drawing>
      </w:r>
    </w:p>
    <w:p w:rsidR="005A7579" w:rsidRDefault="005A7579" w:rsidP="005A7579">
      <w:pPr>
        <w:jc w:val="right"/>
        <w:rPr>
          <w:rFonts w:ascii="Times New Roman" w:hAnsi="Times New Roman"/>
          <w:b/>
          <w:noProof/>
          <w:color w:val="231F20"/>
          <w:sz w:val="24"/>
        </w:rPr>
      </w:pPr>
    </w:p>
    <w:p w:rsidR="00073FEC" w:rsidRPr="001973D0" w:rsidRDefault="00073FEC" w:rsidP="005A7579">
      <w:pPr>
        <w:ind w:left="5954"/>
        <w:jc w:val="both"/>
        <w:rPr>
          <w:rFonts w:ascii="Times New Roman" w:hAnsi="Times New Roman"/>
          <w:b/>
          <w:noProof/>
          <w:color w:val="231F20"/>
          <w:sz w:val="24"/>
        </w:rPr>
      </w:pPr>
      <w:r>
        <w:rPr>
          <w:rFonts w:ascii="Times New Roman" w:hAnsi="Times New Roman"/>
          <w:b/>
          <w:noProof/>
          <w:color w:val="231F20"/>
          <w:sz w:val="24"/>
        </w:rPr>
        <w:t>Rokasgrāmatas un vadlīnijas</w:t>
      </w:r>
    </w:p>
    <w:p w:rsidR="00073FEC" w:rsidRDefault="00073FEC"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Default="005A7579" w:rsidP="00073FEC">
      <w:pPr>
        <w:jc w:val="both"/>
        <w:rPr>
          <w:rFonts w:ascii="Times New Roman" w:eastAsia="Calibri" w:hAnsi="Times New Roman" w:cs="Calibri"/>
          <w:b/>
          <w:bCs/>
          <w:noProof/>
          <w:sz w:val="24"/>
          <w:szCs w:val="28"/>
        </w:rPr>
      </w:pPr>
    </w:p>
    <w:p w:rsidR="005A7579" w:rsidRPr="001973D0" w:rsidRDefault="005A7579" w:rsidP="00073FEC">
      <w:pPr>
        <w:jc w:val="both"/>
        <w:rPr>
          <w:rFonts w:ascii="Times New Roman" w:eastAsia="Calibri" w:hAnsi="Times New Roman" w:cs="Calibri"/>
          <w:b/>
          <w:bCs/>
          <w:noProof/>
          <w:sz w:val="24"/>
          <w:szCs w:val="28"/>
        </w:rPr>
      </w:pPr>
    </w:p>
    <w:p w:rsidR="00073FEC" w:rsidRPr="005A7579" w:rsidRDefault="00073FEC" w:rsidP="00073FEC">
      <w:pPr>
        <w:jc w:val="both"/>
        <w:rPr>
          <w:rFonts w:ascii="Times New Roman" w:hAnsi="Times New Roman"/>
          <w:b/>
          <w:noProof/>
          <w:color w:val="231F20"/>
          <w:sz w:val="40"/>
          <w:szCs w:val="40"/>
        </w:rPr>
      </w:pPr>
      <w:r w:rsidRPr="005A7579">
        <w:rPr>
          <w:rFonts w:ascii="Times New Roman" w:hAnsi="Times New Roman"/>
          <w:b/>
          <w:noProof/>
          <w:color w:val="231F20"/>
          <w:sz w:val="40"/>
          <w:szCs w:val="40"/>
        </w:rPr>
        <w:t>Valdības budžeta deficīta un parāda rokasgrāmata</w:t>
      </w:r>
    </w:p>
    <w:p w:rsidR="005A7579" w:rsidRDefault="005A7579" w:rsidP="00073FEC">
      <w:pPr>
        <w:jc w:val="both"/>
        <w:rPr>
          <w:rFonts w:ascii="Times New Roman" w:hAnsi="Times New Roman"/>
          <w:b/>
          <w:noProof/>
          <w:color w:val="939598"/>
          <w:sz w:val="24"/>
        </w:rPr>
      </w:pPr>
    </w:p>
    <w:p w:rsidR="00073FEC" w:rsidRPr="005A7579" w:rsidRDefault="00073FEC" w:rsidP="00073FEC">
      <w:pPr>
        <w:jc w:val="both"/>
        <w:rPr>
          <w:rFonts w:ascii="Times New Roman" w:eastAsia="Calibri" w:hAnsi="Times New Roman" w:cs="Calibri"/>
          <w:noProof/>
          <w:sz w:val="32"/>
          <w:szCs w:val="32"/>
        </w:rPr>
      </w:pPr>
      <w:r w:rsidRPr="005A7579">
        <w:rPr>
          <w:rFonts w:ascii="Times New Roman" w:hAnsi="Times New Roman"/>
          <w:b/>
          <w:noProof/>
          <w:color w:val="939598"/>
          <w:sz w:val="32"/>
          <w:szCs w:val="32"/>
        </w:rPr>
        <w:t>EKS 2010 īstenošana</w:t>
      </w:r>
    </w:p>
    <w:p w:rsidR="00073FEC" w:rsidRDefault="00073FEC"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Pr="001973D0" w:rsidRDefault="005A7579" w:rsidP="00073FEC">
      <w:pPr>
        <w:jc w:val="both"/>
        <w:rPr>
          <w:rFonts w:ascii="Times New Roman" w:eastAsia="Calibri" w:hAnsi="Times New Roman" w:cs="Calibri"/>
          <w:b/>
          <w:bCs/>
          <w:noProof/>
          <w:sz w:val="24"/>
          <w:szCs w:val="20"/>
        </w:rPr>
      </w:pPr>
    </w:p>
    <w:p w:rsidR="00073FEC" w:rsidRPr="005A7579" w:rsidRDefault="00073FEC" w:rsidP="00073FEC">
      <w:pPr>
        <w:jc w:val="both"/>
        <w:rPr>
          <w:rFonts w:ascii="Times New Roman" w:eastAsia="Calibri" w:hAnsi="Times New Roman" w:cs="Calibri"/>
          <w:noProof/>
          <w:sz w:val="28"/>
          <w:szCs w:val="28"/>
        </w:rPr>
      </w:pPr>
      <w:r w:rsidRPr="005A7579">
        <w:rPr>
          <w:rFonts w:ascii="Times New Roman" w:hAnsi="Times New Roman"/>
          <w:b/>
          <w:noProof/>
          <w:color w:val="231F20"/>
          <w:sz w:val="28"/>
          <w:szCs w:val="28"/>
        </w:rPr>
        <w:t>2016. gada izdevums</w:t>
      </w:r>
    </w:p>
    <w:p w:rsidR="00073FEC" w:rsidRDefault="00073FEC" w:rsidP="00073FEC">
      <w:pPr>
        <w:jc w:val="both"/>
        <w:rPr>
          <w:rFonts w:ascii="Times New Roman" w:eastAsia="Calibri" w:hAnsi="Times New Roman" w:cs="Calibri"/>
          <w:b/>
          <w:bCs/>
          <w:noProof/>
          <w:sz w:val="24"/>
          <w:szCs w:val="13"/>
        </w:rPr>
      </w:pPr>
    </w:p>
    <w:p w:rsidR="005A7579" w:rsidRDefault="005A7579" w:rsidP="00073FEC">
      <w:pPr>
        <w:jc w:val="both"/>
        <w:rPr>
          <w:rFonts w:ascii="Times New Roman" w:eastAsia="Calibri" w:hAnsi="Times New Roman" w:cs="Calibri"/>
          <w:b/>
          <w:bCs/>
          <w:noProof/>
          <w:sz w:val="24"/>
          <w:szCs w:val="13"/>
        </w:rPr>
      </w:pPr>
    </w:p>
    <w:p w:rsidR="005A7579" w:rsidRDefault="005A7579" w:rsidP="00073FEC">
      <w:pPr>
        <w:jc w:val="both"/>
        <w:rPr>
          <w:rFonts w:ascii="Times New Roman" w:eastAsia="Calibri" w:hAnsi="Times New Roman" w:cs="Calibri"/>
          <w:b/>
          <w:bCs/>
          <w:noProof/>
          <w:sz w:val="24"/>
          <w:szCs w:val="13"/>
        </w:rPr>
      </w:pPr>
    </w:p>
    <w:p w:rsidR="005A7579" w:rsidRDefault="005A7579" w:rsidP="00073FEC">
      <w:pPr>
        <w:jc w:val="both"/>
        <w:rPr>
          <w:rFonts w:ascii="Times New Roman" w:eastAsia="Calibri" w:hAnsi="Times New Roman" w:cs="Calibri"/>
          <w:b/>
          <w:bCs/>
          <w:noProof/>
          <w:sz w:val="24"/>
          <w:szCs w:val="13"/>
        </w:rPr>
      </w:pPr>
    </w:p>
    <w:p w:rsidR="005A7579" w:rsidRPr="001973D0" w:rsidRDefault="005A7579" w:rsidP="00073FEC">
      <w:pPr>
        <w:jc w:val="both"/>
        <w:rPr>
          <w:rFonts w:ascii="Times New Roman" w:eastAsia="Calibri" w:hAnsi="Times New Roman" w:cs="Calibri"/>
          <w:b/>
          <w:bCs/>
          <w:noProof/>
          <w:sz w:val="24"/>
          <w:szCs w:val="13"/>
        </w:rPr>
      </w:pPr>
    </w:p>
    <w:p w:rsidR="00073FEC" w:rsidRPr="001973D0" w:rsidRDefault="00073FEC" w:rsidP="005A7579">
      <w:pPr>
        <w:jc w:val="right"/>
        <w:rPr>
          <w:rFonts w:ascii="Times New Roman" w:eastAsia="Calibri" w:hAnsi="Times New Roman" w:cs="Calibri"/>
          <w:noProof/>
          <w:sz w:val="24"/>
          <w:szCs w:val="20"/>
        </w:rPr>
      </w:pPr>
      <w:r>
        <w:rPr>
          <w:rFonts w:ascii="Times New Roman" w:eastAsia="Calibri" w:hAnsi="Times New Roman" w:cs="Calibri"/>
          <w:noProof/>
          <w:sz w:val="24"/>
          <w:szCs w:val="20"/>
          <w:lang w:bidi="ar-SA"/>
        </w:rPr>
        <w:drawing>
          <wp:inline distT="0" distB="0" distL="0" distR="0" wp14:anchorId="1AE1B78D" wp14:editId="604B66ED">
            <wp:extent cx="1768395" cy="24269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3" cstate="print"/>
                    <a:stretch>
                      <a:fillRect/>
                    </a:stretch>
                  </pic:blipFill>
                  <pic:spPr>
                    <a:xfrm>
                      <a:off x="0" y="0"/>
                      <a:ext cx="1768395" cy="242697"/>
                    </a:xfrm>
                    <a:prstGeom prst="rect">
                      <a:avLst/>
                    </a:prstGeom>
                  </pic:spPr>
                </pic:pic>
              </a:graphicData>
            </a:graphic>
          </wp:inline>
        </w:drawing>
      </w:r>
    </w:p>
    <w:p w:rsidR="00073FEC" w:rsidRDefault="00073FEC" w:rsidP="00073FEC">
      <w:pPr>
        <w:rPr>
          <w:rFonts w:ascii="Times New Roman" w:eastAsia="Calibri" w:hAnsi="Times New Roman" w:cs="Calibri"/>
          <w:b/>
          <w:bCs/>
          <w:noProof/>
          <w:sz w:val="24"/>
          <w:szCs w:val="20"/>
        </w:rPr>
      </w:pPr>
      <w:r>
        <w:br w:type="page"/>
      </w:r>
    </w:p>
    <w:p w:rsidR="00073FEC" w:rsidRDefault="00073FEC"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Default="005A7579" w:rsidP="00073FEC">
      <w:pPr>
        <w:jc w:val="both"/>
        <w:rPr>
          <w:rFonts w:ascii="Times New Roman" w:eastAsia="Calibri" w:hAnsi="Times New Roman" w:cs="Calibri"/>
          <w:b/>
          <w:bCs/>
          <w:noProof/>
          <w:sz w:val="24"/>
          <w:szCs w:val="20"/>
        </w:rPr>
      </w:pPr>
    </w:p>
    <w:p w:rsidR="005A7579" w:rsidRPr="001973D0" w:rsidRDefault="005A7579" w:rsidP="00073FEC">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73FEC" w:rsidRPr="00070967" w:rsidTr="00523A0A">
        <w:tc>
          <w:tcPr>
            <w:tcW w:w="9291" w:type="dxa"/>
          </w:tcPr>
          <w:p w:rsidR="00073FEC" w:rsidRPr="00070967" w:rsidRDefault="00073FEC" w:rsidP="005A7579">
            <w:pPr>
              <w:spacing w:before="82" w:line="243" w:lineRule="auto"/>
              <w:ind w:right="1256"/>
              <w:jc w:val="center"/>
              <w:rPr>
                <w:rFonts w:ascii="Times New Roman" w:hAnsi="Times New Roman" w:cs="Times New Roman"/>
                <w:b/>
                <w:i/>
                <w:noProof/>
                <w:sz w:val="24"/>
                <w:szCs w:val="24"/>
              </w:rPr>
            </w:pPr>
            <w:r>
              <w:rPr>
                <w:rFonts w:ascii="Times New Roman" w:hAnsi="Times New Roman"/>
                <w:b/>
                <w:i/>
                <w:noProof/>
                <w:sz w:val="24"/>
              </w:rPr>
              <w:t>Europe Direct dienests palīdzēs Jums rast atbildes uz jautājumiem par Eiropas Savienību.</w:t>
            </w:r>
          </w:p>
          <w:p w:rsidR="00073FEC" w:rsidRPr="00070967" w:rsidRDefault="00073FEC" w:rsidP="005A7579">
            <w:pPr>
              <w:spacing w:before="2"/>
              <w:jc w:val="center"/>
              <w:rPr>
                <w:rFonts w:ascii="Times New Roman" w:eastAsia="Calibri" w:hAnsi="Times New Roman" w:cs="Times New Roman"/>
                <w:b/>
                <w:bCs/>
                <w:noProof/>
                <w:sz w:val="24"/>
                <w:szCs w:val="24"/>
              </w:rPr>
            </w:pPr>
          </w:p>
          <w:p w:rsidR="00073FEC" w:rsidRPr="00070967" w:rsidRDefault="00073FEC" w:rsidP="005A7579">
            <w:pPr>
              <w:ind w:right="1"/>
              <w:jc w:val="center"/>
              <w:rPr>
                <w:rFonts w:ascii="Times New Roman" w:eastAsia="Arial" w:hAnsi="Times New Roman" w:cs="Times New Roman"/>
                <w:noProof/>
                <w:sz w:val="24"/>
                <w:szCs w:val="24"/>
              </w:rPr>
            </w:pPr>
            <w:r>
              <w:rPr>
                <w:rFonts w:ascii="Times New Roman" w:hAnsi="Times New Roman"/>
                <w:b/>
                <w:noProof/>
                <w:sz w:val="24"/>
              </w:rPr>
              <w:t>Bezmaksas tālruņa numurs</w:t>
            </w:r>
            <w:r>
              <w:rPr>
                <w:rFonts w:ascii="Times New Roman" w:hAnsi="Times New Roman"/>
                <w:noProof/>
                <w:sz w:val="24"/>
              </w:rPr>
              <w:t>(*)</w:t>
            </w:r>
            <w:r>
              <w:rPr>
                <w:rFonts w:ascii="Times New Roman" w:hAnsi="Times New Roman"/>
                <w:b/>
                <w:noProof/>
                <w:sz w:val="24"/>
              </w:rPr>
              <w:t>:</w:t>
            </w:r>
          </w:p>
          <w:p w:rsidR="00073FEC" w:rsidRPr="005A7579" w:rsidRDefault="00073FEC" w:rsidP="005A7579">
            <w:pPr>
              <w:spacing w:before="8"/>
              <w:jc w:val="center"/>
              <w:rPr>
                <w:rFonts w:ascii="Times New Roman" w:hAnsi="Times New Roman" w:cs="Times New Roman"/>
                <w:b/>
                <w:noProof/>
                <w:sz w:val="28"/>
                <w:szCs w:val="28"/>
              </w:rPr>
            </w:pPr>
            <w:r w:rsidRPr="005A7579">
              <w:rPr>
                <w:rFonts w:ascii="Times New Roman" w:hAnsi="Times New Roman"/>
                <w:b/>
                <w:noProof/>
                <w:sz w:val="28"/>
                <w:szCs w:val="28"/>
              </w:rPr>
              <w:t>00 800 6 7 8 9 10 11</w:t>
            </w:r>
          </w:p>
          <w:p w:rsidR="00073FEC" w:rsidRPr="00070967" w:rsidRDefault="00073FEC" w:rsidP="00523A0A">
            <w:pPr>
              <w:spacing w:before="178"/>
              <w:ind w:right="259"/>
              <w:jc w:val="both"/>
              <w:rPr>
                <w:rFonts w:ascii="Times New Roman" w:hAnsi="Times New Roman" w:cs="Times New Roman"/>
                <w:noProof/>
                <w:sz w:val="24"/>
                <w:szCs w:val="24"/>
              </w:rPr>
            </w:pPr>
            <w:r>
              <w:rPr>
                <w:rFonts w:ascii="Times New Roman" w:hAnsi="Times New Roman"/>
                <w:noProof/>
                <w:sz w:val="24"/>
              </w:rPr>
              <w:t>(*) Par sniegto informāciju tāpat kā par lielāko daļu tālruņa izsaukumu netiek iekasēta maksa (lai gan atsevišķi operatori, taksofoni vai viesnīcas šādu maksu var iekasēt).</w:t>
            </w:r>
          </w:p>
        </w:tc>
      </w:tr>
    </w:tbl>
    <w:p w:rsidR="00073FEC" w:rsidRPr="001973D0" w:rsidRDefault="00073FEC" w:rsidP="00073FEC">
      <w:pPr>
        <w:jc w:val="both"/>
        <w:rPr>
          <w:rFonts w:ascii="Times New Roman" w:eastAsia="Calibri" w:hAnsi="Times New Roman" w:cs="Calibri"/>
          <w:b/>
          <w:bCs/>
          <w:noProof/>
          <w:sz w:val="24"/>
        </w:rPr>
      </w:pPr>
    </w:p>
    <w:p w:rsidR="005A7579" w:rsidRDefault="00073FEC" w:rsidP="00073FEC">
      <w:pPr>
        <w:jc w:val="both"/>
        <w:rPr>
          <w:rFonts w:ascii="Times New Roman" w:hAnsi="Times New Roman"/>
          <w:noProof/>
          <w:sz w:val="24"/>
        </w:rPr>
      </w:pPr>
      <w:r>
        <w:rPr>
          <w:rFonts w:ascii="Times New Roman" w:hAnsi="Times New Roman"/>
          <w:noProof/>
          <w:sz w:val="24"/>
        </w:rPr>
        <w:t>Plašāku informāciju par Eiropas Savienību skatie</w:t>
      </w:r>
      <w:r w:rsidR="005A7579">
        <w:rPr>
          <w:rFonts w:ascii="Times New Roman" w:hAnsi="Times New Roman"/>
          <w:noProof/>
          <w:sz w:val="24"/>
        </w:rPr>
        <w:t>t internetā (</w:t>
      </w:r>
      <w:hyperlink r:id="rId14" w:history="1">
        <w:r w:rsidR="005A7579" w:rsidRPr="00492C35">
          <w:rPr>
            <w:rStyle w:val="Hyperlink"/>
            <w:rFonts w:ascii="Times New Roman" w:hAnsi="Times New Roman"/>
            <w:noProof/>
            <w:sz w:val="24"/>
          </w:rPr>
          <w:t>http://europa.eu</w:t>
        </w:r>
      </w:hyperlink>
      <w:r w:rsidR="005A7579">
        <w:rPr>
          <w:rFonts w:ascii="Times New Roman" w:hAnsi="Times New Roman"/>
          <w:noProof/>
          <w:sz w:val="24"/>
        </w:rPr>
        <w:t>).</w:t>
      </w:r>
    </w:p>
    <w:p w:rsidR="005A7579" w:rsidRDefault="005A7579" w:rsidP="00073FEC">
      <w:pPr>
        <w:jc w:val="both"/>
        <w:rPr>
          <w:rFonts w:ascii="Times New Roman" w:hAnsi="Times New Roman"/>
          <w:noProof/>
          <w:sz w:val="24"/>
        </w:rPr>
      </w:pPr>
    </w:p>
    <w:p w:rsidR="00073FEC" w:rsidRPr="001973D0" w:rsidRDefault="00073FEC" w:rsidP="00073FEC">
      <w:pPr>
        <w:jc w:val="both"/>
        <w:rPr>
          <w:rFonts w:ascii="Times New Roman" w:eastAsia="Arial" w:hAnsi="Times New Roman" w:cs="Arial"/>
          <w:noProof/>
          <w:sz w:val="24"/>
          <w:szCs w:val="18"/>
        </w:rPr>
      </w:pPr>
      <w:r>
        <w:rPr>
          <w:rFonts w:ascii="Times New Roman" w:hAnsi="Times New Roman"/>
          <w:noProof/>
          <w:sz w:val="24"/>
        </w:rPr>
        <w:t>Luksemburga: Eiropas Savienības Publikāciju birojs, 2016. gads</w:t>
      </w:r>
    </w:p>
    <w:p w:rsidR="005A7579" w:rsidRDefault="005A7579" w:rsidP="00073FEC">
      <w:pPr>
        <w:jc w:val="both"/>
        <w:rPr>
          <w:rFonts w:ascii="Times New Roman" w:hAnsi="Times New Roman"/>
          <w:noProof/>
          <w:sz w:val="24"/>
        </w:rPr>
      </w:pPr>
    </w:p>
    <w:p w:rsidR="00073FEC" w:rsidRPr="001973D0" w:rsidRDefault="00073FEC" w:rsidP="00073FEC">
      <w:pPr>
        <w:jc w:val="both"/>
        <w:rPr>
          <w:rFonts w:ascii="Times New Roman" w:hAnsi="Times New Roman"/>
          <w:noProof/>
          <w:sz w:val="24"/>
        </w:rPr>
      </w:pPr>
      <w:r>
        <w:rPr>
          <w:rFonts w:ascii="Times New Roman" w:hAnsi="Times New Roman"/>
          <w:noProof/>
          <w:sz w:val="24"/>
        </w:rPr>
        <w:t>ISBN: 978-92-79-55319-6</w:t>
      </w:r>
    </w:p>
    <w:p w:rsidR="00073FEC" w:rsidRPr="001973D0" w:rsidRDefault="00073FEC" w:rsidP="00073FEC">
      <w:pPr>
        <w:jc w:val="both"/>
        <w:rPr>
          <w:rFonts w:ascii="Times New Roman" w:hAnsi="Times New Roman"/>
          <w:noProof/>
          <w:sz w:val="24"/>
        </w:rPr>
      </w:pPr>
      <w:r>
        <w:rPr>
          <w:rFonts w:ascii="Times New Roman" w:hAnsi="Times New Roman"/>
          <w:noProof/>
          <w:sz w:val="24"/>
        </w:rPr>
        <w:t>ISSN 2315-0815 doi: 10.2785/83458</w:t>
      </w:r>
    </w:p>
    <w:p w:rsidR="00073FEC" w:rsidRPr="001973D0" w:rsidRDefault="00073FEC" w:rsidP="00073FEC">
      <w:pPr>
        <w:jc w:val="both"/>
        <w:rPr>
          <w:rFonts w:ascii="Times New Roman" w:hAnsi="Times New Roman"/>
          <w:noProof/>
          <w:sz w:val="24"/>
        </w:rPr>
      </w:pPr>
      <w:r>
        <w:rPr>
          <w:rFonts w:ascii="Times New Roman" w:hAnsi="Times New Roman"/>
          <w:noProof/>
          <w:sz w:val="24"/>
        </w:rPr>
        <w:t>Kat. Nr.: KS-GQ-16-001-EN-N</w:t>
      </w:r>
    </w:p>
    <w:p w:rsidR="00073FEC" w:rsidRPr="001973D0" w:rsidRDefault="00073FEC" w:rsidP="00073FEC">
      <w:pPr>
        <w:jc w:val="both"/>
        <w:rPr>
          <w:rFonts w:ascii="Times New Roman" w:eastAsia="Arial" w:hAnsi="Times New Roman" w:cs="Arial"/>
          <w:noProof/>
          <w:sz w:val="24"/>
          <w:szCs w:val="18"/>
        </w:rPr>
      </w:pPr>
    </w:p>
    <w:p w:rsidR="00073FEC" w:rsidRPr="001973D0" w:rsidRDefault="00073FEC" w:rsidP="00073FEC">
      <w:pPr>
        <w:jc w:val="both"/>
        <w:rPr>
          <w:rFonts w:ascii="Times New Roman" w:hAnsi="Times New Roman"/>
          <w:noProof/>
          <w:sz w:val="24"/>
        </w:rPr>
      </w:pPr>
      <w:r>
        <w:rPr>
          <w:rFonts w:ascii="Times New Roman" w:hAnsi="Times New Roman"/>
          <w:noProof/>
          <w:sz w:val="24"/>
        </w:rPr>
        <w:t>© Eiropas Savienība, 2016. gads.</w:t>
      </w:r>
    </w:p>
    <w:p w:rsidR="00073FEC" w:rsidRPr="001973D0" w:rsidRDefault="00073FEC" w:rsidP="00073FEC">
      <w:pPr>
        <w:jc w:val="both"/>
        <w:rPr>
          <w:rFonts w:ascii="Times New Roman" w:hAnsi="Times New Roman"/>
          <w:noProof/>
          <w:sz w:val="24"/>
        </w:rPr>
      </w:pPr>
      <w:r>
        <w:rPr>
          <w:rFonts w:ascii="Times New Roman" w:hAnsi="Times New Roman"/>
          <w:noProof/>
          <w:sz w:val="24"/>
        </w:rPr>
        <w:t>Pārpublicēt atļauts tikai ar norādi uz avotu.</w:t>
      </w:r>
    </w:p>
    <w:p w:rsidR="00073FEC" w:rsidRPr="001973D0" w:rsidRDefault="00073FEC" w:rsidP="00073FEC">
      <w:pPr>
        <w:jc w:val="both"/>
        <w:rPr>
          <w:rFonts w:ascii="Times New Roman" w:eastAsia="Arial" w:hAnsi="Times New Roman" w:cs="Arial"/>
          <w:noProof/>
          <w:sz w:val="24"/>
          <w:szCs w:val="18"/>
        </w:rPr>
      </w:pPr>
      <w:r>
        <w:rPr>
          <w:rFonts w:ascii="Times New Roman" w:hAnsi="Times New Roman"/>
          <w:noProof/>
          <w:sz w:val="24"/>
        </w:rPr>
        <w:t xml:space="preserve">Plašāku informāciju var saņemt: </w:t>
      </w:r>
      <w:r>
        <w:rPr>
          <w:rFonts w:ascii="Times New Roman" w:hAnsi="Times New Roman"/>
          <w:noProof/>
          <w:color w:val="0000FF"/>
          <w:sz w:val="24"/>
        </w:rPr>
        <w:t>http://ec.europa.eu/eurostat/about/our-partners/copyright</w:t>
      </w:r>
    </w:p>
    <w:p w:rsidR="00073FEC" w:rsidRDefault="00073FEC" w:rsidP="00073FEC">
      <w:pPr>
        <w:rPr>
          <w:rFonts w:ascii="Times New Roman" w:eastAsia="Arial" w:hAnsi="Times New Roman"/>
          <w:b/>
          <w:bCs/>
          <w:noProof/>
          <w:sz w:val="24"/>
        </w:rPr>
      </w:pPr>
      <w:bookmarkStart w:id="0" w:name="PREFACE"/>
      <w:bookmarkEnd w:id="0"/>
      <w:r>
        <w:br w:type="page"/>
      </w:r>
    </w:p>
    <w:p w:rsidR="00073FEC" w:rsidRDefault="00073FEC" w:rsidP="00073FEC">
      <w:pPr>
        <w:pStyle w:val="Heading6"/>
        <w:jc w:val="both"/>
        <w:rPr>
          <w:rFonts w:ascii="Times New Roman" w:hAnsi="Times New Roman"/>
          <w:noProof/>
          <w:sz w:val="24"/>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PRIEKŠVĀRDS</w:t>
      </w:r>
    </w:p>
    <w:p w:rsidR="00073FEC" w:rsidRPr="001973D0" w:rsidRDefault="00073FEC" w:rsidP="00073FEC">
      <w:pPr>
        <w:jc w:val="both"/>
        <w:rPr>
          <w:rFonts w:ascii="Times New Roman" w:eastAsia="Arial" w:hAnsi="Times New Roman" w:cs="Arial"/>
          <w:b/>
          <w:bCs/>
          <w:noProof/>
          <w:sz w:val="24"/>
          <w:szCs w:val="18"/>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Saistībā ar pārmērīga budžeta deficīta novēršanas procedūru (</w:t>
      </w:r>
      <w:r>
        <w:rPr>
          <w:rFonts w:ascii="Times New Roman" w:hAnsi="Times New Roman"/>
          <w:i/>
          <w:noProof/>
          <w:sz w:val="24"/>
        </w:rPr>
        <w:t>EDP</w:t>
      </w:r>
      <w:r>
        <w:rPr>
          <w:rFonts w:ascii="Times New Roman" w:hAnsi="Times New Roman"/>
          <w:noProof/>
          <w:sz w:val="24"/>
        </w:rPr>
        <w:t>)</w:t>
      </w:r>
      <w:r>
        <w:rPr>
          <w:rStyle w:val="FootnoteReference"/>
          <w:rFonts w:ascii="Times New Roman" w:hAnsi="Times New Roman"/>
          <w:noProof/>
          <w:sz w:val="24"/>
        </w:rPr>
        <w:footnoteReference w:id="1"/>
      </w:r>
      <w:r>
        <w:rPr>
          <w:rFonts w:ascii="Times New Roman" w:hAnsi="Times New Roman"/>
          <w:noProof/>
          <w:sz w:val="24"/>
        </w:rPr>
        <w:t xml:space="preserve">, kas sākotnēji noteikta Māstrihtas Līgumā (104. pantā) un šobrīd noteikta Līguma par Eiropas Savienības darbību (LESD) 2012. gada konsolidētajā redakcijā (126. pantā), </w:t>
      </w:r>
      <w:r>
        <w:rPr>
          <w:rFonts w:ascii="Times New Roman" w:hAnsi="Times New Roman"/>
          <w:i/>
          <w:noProof/>
          <w:sz w:val="24"/>
        </w:rPr>
        <w:t>Eurostat</w:t>
      </w:r>
      <w:r>
        <w:rPr>
          <w:rFonts w:ascii="Times New Roman" w:hAnsi="Times New Roman"/>
          <w:noProof/>
          <w:sz w:val="24"/>
        </w:rPr>
        <w:t xml:space="preserve"> uzdevums kopš 1994. gada ir nodrošināt šā konceptuālā pamatprincipu kopuma pareizu piemērošanu, lai iegūtu ticamus un salīdzināmus statistikas datus visā Eiropas Savienībā.</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Šā konceptuālā kopuma pamatelements ir pārskatītā Eiropas nacionālo un reģionālo kontu sistēma Eiropas Savienībā (turpmāk – “EKS 2010”), kas publicēta 2013. gada maijā, stājusies spēkā (ar Regulu (ES) Nr. 549/2013) kopš 2014. gada 1. septembra, aizstājot iepriekšējo EKS 95. Papildus </w:t>
      </w:r>
      <w:r>
        <w:rPr>
          <w:rFonts w:ascii="Times New Roman" w:hAnsi="Times New Roman"/>
          <w:i/>
          <w:noProof/>
          <w:sz w:val="24"/>
        </w:rPr>
        <w:t>Eurostat</w:t>
      </w:r>
      <w:r>
        <w:rPr>
          <w:rFonts w:ascii="Times New Roman" w:hAnsi="Times New Roman"/>
          <w:noProof/>
          <w:sz w:val="24"/>
        </w:rPr>
        <w:t xml:space="preserve"> publicē Valdības budžeta deficīta un parāda rokasgrāmatu – EKS īstenošana [</w:t>
      </w:r>
      <w:r>
        <w:rPr>
          <w:rFonts w:ascii="Times New Roman" w:hAnsi="Times New Roman"/>
          <w:i/>
          <w:noProof/>
          <w:sz w:val="24"/>
        </w:rPr>
        <w:t>Manual on Government Deficit and debt – ESA Implementation</w:t>
      </w:r>
      <w:r>
        <w:rPr>
          <w:rFonts w:ascii="Times New Roman" w:hAnsi="Times New Roman"/>
          <w:noProof/>
          <w:sz w:val="24"/>
        </w:rPr>
        <w:t xml:space="preserve"> (</w:t>
      </w:r>
      <w:r>
        <w:rPr>
          <w:rFonts w:ascii="Times New Roman" w:hAnsi="Times New Roman"/>
          <w:i/>
          <w:noProof/>
          <w:sz w:val="24"/>
        </w:rPr>
        <w:t>MGDD</w:t>
      </w:r>
      <w:r>
        <w:rPr>
          <w:rFonts w:ascii="Times New Roman" w:hAnsi="Times New Roman"/>
          <w:noProof/>
          <w:sz w:val="24"/>
        </w:rPr>
        <w:t>)].</w:t>
      </w:r>
    </w:p>
    <w:p w:rsidR="00073FEC" w:rsidRPr="001973D0" w:rsidRDefault="00073FEC" w:rsidP="00073FEC">
      <w:pPr>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i/>
          <w:noProof/>
          <w:sz w:val="24"/>
        </w:rPr>
        <w:t>MGDD</w:t>
      </w:r>
      <w:r>
        <w:rPr>
          <w:rFonts w:ascii="Times New Roman" w:hAnsi="Times New Roman"/>
          <w:noProof/>
          <w:sz w:val="24"/>
        </w:rPr>
        <w:t xml:space="preserve">, kas pirmoreiz publicēta 1999. gadā, sniedz atbilstošu traktējumu statistikas jautājumiem, kas radušies Eiropas Savienībā valdības finanšu statistikas jomā. Tā ir kļuvusi par saistošu EKS 2010 papildinājumu un nozīmīgu rīku statistiķiem un speciālistiem, kas nodarbojas ar valsts finanšu jautājumiem. Tā palīdz arī labāk saprast metodoloģiju, kas tiek piemērota attiecībā uz valdības finanšu datiem saistībā ar </w:t>
      </w:r>
      <w:r>
        <w:rPr>
          <w:rFonts w:ascii="Times New Roman" w:hAnsi="Times New Roman"/>
          <w:i/>
          <w:noProof/>
          <w:sz w:val="24"/>
        </w:rPr>
        <w:t>EDP</w:t>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i/>
          <w:noProof/>
          <w:sz w:val="24"/>
        </w:rPr>
        <w:t>MGDD</w:t>
      </w:r>
      <w:r>
        <w:rPr>
          <w:rFonts w:ascii="Times New Roman" w:hAnsi="Times New Roman"/>
          <w:noProof/>
          <w:sz w:val="24"/>
        </w:rPr>
        <w:t xml:space="preserve"> jaunajā redakcijā, kas ir līdzīgi strukturēta, galvenā uzmanība ir pievērsta dažiem metodoloģijas aspektiem, kas tika rūpīgi izvērtēti 2015. gadā saistībā ar konkrētiem jautājumiem, ko skatījusi </w:t>
      </w:r>
      <w:r>
        <w:rPr>
          <w:rFonts w:ascii="Times New Roman" w:hAnsi="Times New Roman"/>
          <w:i/>
          <w:noProof/>
          <w:sz w:val="24"/>
        </w:rPr>
        <w:t>Eurostat</w:t>
      </w:r>
      <w:r>
        <w:rPr>
          <w:rFonts w:ascii="Times New Roman" w:hAnsi="Times New Roman"/>
          <w:noProof/>
          <w:sz w:val="24"/>
        </w:rPr>
        <w:t xml:space="preserve"> </w:t>
      </w:r>
      <w:r>
        <w:rPr>
          <w:rFonts w:ascii="Times New Roman" w:hAnsi="Times New Roman"/>
          <w:i/>
          <w:noProof/>
          <w:sz w:val="24"/>
        </w:rPr>
        <w:t>darba grupa metodoloģijas jautājumos</w:t>
      </w:r>
      <w:r>
        <w:rPr>
          <w:rFonts w:ascii="Times New Roman" w:hAnsi="Times New Roman"/>
          <w:noProof/>
          <w:sz w:val="24"/>
        </w:rPr>
        <w:t xml:space="preserve"> (priekšsēdētājs</w:t>
      </w:r>
      <w:r w:rsidR="005A7579">
        <w:rPr>
          <w:rFonts w:ascii="Times New Roman" w:hAnsi="Times New Roman"/>
          <w:noProof/>
          <w:sz w:val="24"/>
        </w:rPr>
        <w:t xml:space="preserve"> </w:t>
      </w:r>
      <w:r>
        <w:rPr>
          <w:rFonts w:ascii="Times New Roman" w:hAnsi="Times New Roman"/>
          <w:noProof/>
          <w:sz w:val="24"/>
        </w:rPr>
        <w:t>Luka Askoli [</w:t>
      </w:r>
      <w:r>
        <w:rPr>
          <w:rFonts w:ascii="Times New Roman" w:hAnsi="Times New Roman"/>
          <w:i/>
          <w:noProof/>
          <w:sz w:val="24"/>
        </w:rPr>
        <w:t>Luca Ascoli</w:t>
      </w:r>
      <w:r>
        <w:rPr>
          <w:rFonts w:ascii="Times New Roman" w:hAnsi="Times New Roman"/>
          <w:noProof/>
          <w:sz w:val="24"/>
        </w:rPr>
        <w:t xml:space="preserve">]), kuras sastāvā ir </w:t>
      </w:r>
      <w:r>
        <w:rPr>
          <w:rFonts w:ascii="Times New Roman" w:hAnsi="Times New Roman"/>
          <w:i/>
          <w:noProof/>
          <w:sz w:val="24"/>
        </w:rPr>
        <w:t>Eurostat</w:t>
      </w:r>
      <w:r>
        <w:rPr>
          <w:rFonts w:ascii="Times New Roman" w:hAnsi="Times New Roman"/>
          <w:noProof/>
          <w:sz w:val="24"/>
        </w:rPr>
        <w:t xml:space="preserve">, ES dalībvalstu un citu iestāžu eksperti </w:t>
      </w:r>
      <w:r>
        <w:rPr>
          <w:rFonts w:ascii="Times New Roman" w:hAnsi="Times New Roman"/>
          <w:i/>
          <w:noProof/>
          <w:sz w:val="24"/>
        </w:rPr>
        <w:t>EDP</w:t>
      </w:r>
      <w:r>
        <w:rPr>
          <w:rFonts w:ascii="Times New Roman" w:hAnsi="Times New Roman"/>
          <w:noProof/>
          <w:sz w:val="24"/>
        </w:rPr>
        <w:t xml:space="preserve"> statistikas, valdības finanšu statistikas un nacionālo kontu jomā.</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Salīdzinot ar iepriekšējo </w:t>
      </w:r>
      <w:r>
        <w:rPr>
          <w:rFonts w:ascii="Times New Roman" w:hAnsi="Times New Roman"/>
          <w:i/>
          <w:noProof/>
          <w:sz w:val="24"/>
        </w:rPr>
        <w:t>MGDD</w:t>
      </w:r>
      <w:r>
        <w:rPr>
          <w:rFonts w:ascii="Times New Roman" w:hAnsi="Times New Roman"/>
          <w:noProof/>
          <w:sz w:val="24"/>
        </w:rPr>
        <w:t xml:space="preserve"> redakciju, tika atjauninātas vai no jauna iekļautas šādas daļas: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 daļā (Vispārējās valdības sektora norobežošana) tika atjauninātas divas iedaļas, proti, I.2.3. iedaļa “Valdības kontrolētas institucionālās vienības jēdziens” un I.2.4.3. apakšiedaļa “Kvantitatīvs tirgus/ārpustirgus tests”. Tika iekļautas trīs jaunas apakšiedaļas, proti, I.2.4.4. “Publiskās vienības likvidācijas procesā”, I.2.4.5. “Pārkārtoti darījumi” un I.2.4.7. “Sabiedriskās TV un radioapraides īpašais gadījums”, savukārt I.6. nodaļa “Īpaši publiski subjekti” tika pārkārtota.</w:t>
      </w:r>
    </w:p>
    <w:p w:rsidR="00073FEC" w:rsidRPr="001973D0" w:rsidRDefault="00073FEC" w:rsidP="00073FEC">
      <w:pPr>
        <w:jc w:val="both"/>
        <w:rPr>
          <w:rFonts w:ascii="Times New Roman" w:eastAsia="Arial" w:hAnsi="Times New Roman" w:cs="Arial"/>
          <w:noProof/>
          <w:sz w:val="24"/>
          <w:szCs w:val="20"/>
        </w:rPr>
      </w:pPr>
    </w:p>
    <w:p w:rsidR="00073FEC" w:rsidRPr="001973D0" w:rsidRDefault="00BC2CD1" w:rsidP="00073FEC">
      <w:pPr>
        <w:pStyle w:val="BodyText"/>
        <w:spacing w:before="0"/>
        <w:ind w:left="0" w:firstLine="0"/>
        <w:jc w:val="both"/>
        <w:rPr>
          <w:rFonts w:ascii="Times New Roman" w:hAnsi="Times New Roman"/>
          <w:noProof/>
          <w:sz w:val="24"/>
        </w:rPr>
      </w:pPr>
      <w:r>
        <w:rPr>
          <w:rFonts w:ascii="Times New Roman" w:hAnsi="Times New Roman"/>
          <w:noProof/>
          <w:sz w:val="24"/>
        </w:rPr>
        <w:t>II daļā (Ierakstī</w:t>
      </w:r>
      <w:r w:rsidR="00073FEC">
        <w:rPr>
          <w:rFonts w:ascii="Times New Roman" w:hAnsi="Times New Roman"/>
          <w:noProof/>
          <w:sz w:val="24"/>
        </w:rPr>
        <w:t>šanas laiks): militārie izdevumi – tika grozīta II.5.2. apakšiedaļa “Traktējums nacionālajos kontos” . Tika pārkārtota II.6. nodaļa “Dotācijas no ES budžeta un iemaksas ES budžetā” un pievienota jauna apakšnodaļa: II.6.2. “ES dalībvalstu iemaksas ES budžetā”.</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III daļā “Attiecības starp valdību un finanšu sektoru” tika pārskatīta III.3. nodaļa “Kapitāla iepludināšana publiskās kvazisabiedrībās” un pievienota jauna nodaļa III.7. “Ekspluatācijas pārtraukšanas izmaksu pārneses ietekme uz valdības kontiem”.</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VI daļā (Noma, licences un koncesijas) tika pārskatītas trīs nodaļas, proti, VI.3. “Līgumi ar valdības sektoram nepiederošām vienībām saistībā ar pamatlīdzekļiem”, VI.4. “Publiskā un privātā partnerība” un VI.5. “Emisijas tirdzniecības kvotas”.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lastRenderedPageBreak/>
        <w:t>VII daļā (Ar parādu saistītie darījumi un garantijas) tika pārskatīta VII.4. nodaļa “Valdības garantijas” (VII.4.1. iedaļa “Jautājuma pamatojums” un VII.4.2. iedaļa “Vienreizējas garantijas”) un attiecīgi arī IV daļā (Attiecības starp valdību un finanšu sektoru) IV.5. nodaļas “Finanšu sanācija” IV.5.2.4. apakšiedaļa.</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Visbeidzot, VIII daļā (Vispārējās valdības parāda apmēra noteikšana) tika grozīta VIII.3. nodaļa “Mijmaiņas darījumu uzskaite”.</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Par 2016. gada redakcijas sagatavošanu bija atbildīgi Luka Askoli [</w:t>
      </w:r>
      <w:r>
        <w:rPr>
          <w:rFonts w:ascii="Times New Roman" w:hAnsi="Times New Roman"/>
          <w:i/>
          <w:noProof/>
          <w:sz w:val="24"/>
        </w:rPr>
        <w:t>Luca Ascoli</w:t>
      </w:r>
      <w:r>
        <w:rPr>
          <w:rFonts w:ascii="Times New Roman" w:hAnsi="Times New Roman"/>
          <w:noProof/>
          <w:sz w:val="24"/>
        </w:rPr>
        <w:t>], Denī Besnārs [</w:t>
      </w:r>
      <w:r>
        <w:rPr>
          <w:rFonts w:ascii="Times New Roman" w:hAnsi="Times New Roman"/>
          <w:i/>
          <w:noProof/>
          <w:sz w:val="24"/>
        </w:rPr>
        <w:t>Denis Besnard</w:t>
      </w:r>
      <w:r>
        <w:rPr>
          <w:rFonts w:ascii="Times New Roman" w:hAnsi="Times New Roman"/>
          <w:noProof/>
          <w:sz w:val="24"/>
        </w:rPr>
        <w:t>] un Lenka Valenta [</w:t>
      </w:r>
      <w:r>
        <w:rPr>
          <w:rFonts w:ascii="Times New Roman" w:hAnsi="Times New Roman"/>
          <w:i/>
          <w:noProof/>
          <w:sz w:val="24"/>
        </w:rPr>
        <w:t>Lenka Valenta</w:t>
      </w:r>
      <w:r>
        <w:rPr>
          <w:rFonts w:ascii="Times New Roman" w:hAnsi="Times New Roman"/>
          <w:noProof/>
          <w:sz w:val="24"/>
        </w:rPr>
        <w:t xml:space="preserve">] no </w:t>
      </w:r>
      <w:r>
        <w:rPr>
          <w:rFonts w:ascii="Times New Roman" w:hAnsi="Times New Roman"/>
          <w:i/>
          <w:noProof/>
          <w:sz w:val="24"/>
        </w:rPr>
        <w:t>Eurostat</w:t>
      </w:r>
      <w:r>
        <w:rPr>
          <w:rFonts w:ascii="Times New Roman" w:hAnsi="Times New Roman"/>
          <w:noProof/>
          <w:sz w:val="24"/>
        </w:rPr>
        <w:t xml:space="preserve"> D-1 struktūrvienības (Pārmērīga budžeta deficīta novēršanas procedūra un metodika)</w:t>
      </w:r>
      <w:r>
        <w:rPr>
          <w:rStyle w:val="FootnoteReference"/>
          <w:rFonts w:ascii="Times New Roman" w:hAnsi="Times New Roman"/>
          <w:noProof/>
          <w:sz w:val="24"/>
        </w:rPr>
        <w:footnoteReference w:id="2"/>
      </w:r>
      <w:r>
        <w:rPr>
          <w:rFonts w:ascii="Times New Roman" w:hAnsi="Times New Roman"/>
          <w:noProof/>
          <w:sz w:val="24"/>
        </w:rPr>
        <w:t>, un tā tika sagatavota sadarbībā ar ekspertiem no</w:t>
      </w:r>
      <w:r>
        <w:rPr>
          <w:rFonts w:ascii="Times New Roman" w:hAnsi="Times New Roman"/>
          <w:i/>
          <w:noProof/>
          <w:sz w:val="24"/>
        </w:rPr>
        <w:t xml:space="preserve"> Darba grupa metodoloģijas jautājumos</w:t>
      </w:r>
      <w:r>
        <w:rPr>
          <w:rFonts w:ascii="Times New Roman" w:hAnsi="Times New Roman"/>
          <w:noProof/>
          <w:sz w:val="24"/>
        </w:rPr>
        <w:t xml:space="preserve"> un citiem D direktorāta kolēģiem, kas sniedza būtisku ieguldījumu </w:t>
      </w:r>
      <w:r>
        <w:rPr>
          <w:rFonts w:ascii="Times New Roman" w:hAnsi="Times New Roman"/>
          <w:i/>
          <w:noProof/>
          <w:sz w:val="24"/>
        </w:rPr>
        <w:t>MGDD</w:t>
      </w:r>
      <w:r>
        <w:rPr>
          <w:rFonts w:ascii="Times New Roman" w:hAnsi="Times New Roman"/>
          <w:noProof/>
          <w:sz w:val="24"/>
        </w:rPr>
        <w:t xml:space="preserve"> pašreizējās redakcijas tapšanā. Šajā saistībā īpašs paldies Luisam Biedmam [</w:t>
      </w:r>
      <w:r>
        <w:rPr>
          <w:rFonts w:ascii="Times New Roman" w:hAnsi="Times New Roman"/>
          <w:i/>
          <w:noProof/>
          <w:sz w:val="24"/>
        </w:rPr>
        <w:t>Luis Biedma</w:t>
      </w:r>
      <w:r>
        <w:rPr>
          <w:rFonts w:ascii="Times New Roman" w:hAnsi="Times New Roman"/>
          <w:noProof/>
          <w:sz w:val="24"/>
        </w:rPr>
        <w:t>] par apakšiedaļu “ES dalībvalstu iemaksas ES budžetā” un Lurdesai Prado-Urenjai [</w:t>
      </w:r>
      <w:r>
        <w:rPr>
          <w:rFonts w:ascii="Times New Roman" w:hAnsi="Times New Roman"/>
          <w:i/>
          <w:noProof/>
          <w:sz w:val="24"/>
        </w:rPr>
        <w:t>Lourdes Prado-Ureña]</w:t>
      </w:r>
      <w:r>
        <w:rPr>
          <w:rFonts w:ascii="Times New Roman" w:hAnsi="Times New Roman"/>
          <w:noProof/>
          <w:sz w:val="24"/>
        </w:rPr>
        <w:t xml:space="preserve"> par nodaļu “Nodokļu</w:t>
      </w:r>
      <w:r w:rsidR="00EA6A81">
        <w:rPr>
          <w:rFonts w:ascii="Times New Roman" w:hAnsi="Times New Roman"/>
          <w:noProof/>
          <w:sz w:val="24"/>
        </w:rPr>
        <w:t xml:space="preserve"> un sociālo iemaksu ierakstīšana</w:t>
      </w:r>
      <w:r>
        <w:rPr>
          <w:rFonts w:ascii="Times New Roman" w:hAnsi="Times New Roman"/>
          <w:noProof/>
          <w:sz w:val="24"/>
        </w:rPr>
        <w:t>”.</w:t>
      </w:r>
    </w:p>
    <w:p w:rsidR="00073FEC" w:rsidRDefault="00073FEC" w:rsidP="00073FEC">
      <w:pPr>
        <w:jc w:val="both"/>
        <w:rPr>
          <w:rFonts w:ascii="Times New Roman" w:hAnsi="Times New Roman"/>
          <w:noProof/>
          <w:sz w:val="24"/>
        </w:rPr>
      </w:pPr>
    </w:p>
    <w:p w:rsidR="005A7579" w:rsidRDefault="005A7579" w:rsidP="00073FEC">
      <w:pPr>
        <w:jc w:val="both"/>
        <w:rPr>
          <w:rFonts w:ascii="Times New Roman" w:hAnsi="Times New Roman"/>
          <w:noProof/>
          <w:sz w:val="24"/>
        </w:rPr>
      </w:pPr>
    </w:p>
    <w:p w:rsidR="005A7579" w:rsidRDefault="005A7579" w:rsidP="00073FEC">
      <w:pPr>
        <w:jc w:val="both"/>
        <w:rPr>
          <w:rFonts w:ascii="Times New Roman" w:hAnsi="Times New Roman"/>
          <w:noProof/>
          <w:sz w:val="24"/>
        </w:rPr>
      </w:pPr>
    </w:p>
    <w:p w:rsidR="005A7579" w:rsidRPr="001973D0" w:rsidRDefault="005A7579" w:rsidP="00073FEC">
      <w:pPr>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2016. gada februāris</w:t>
      </w:r>
    </w:p>
    <w:p w:rsidR="00073FEC" w:rsidRDefault="00073FEC" w:rsidP="00073FEC">
      <w:pPr>
        <w:jc w:val="both"/>
        <w:rPr>
          <w:rFonts w:ascii="Times New Roman" w:eastAsia="Arial" w:hAnsi="Times New Roman" w:cs="Arial"/>
          <w:noProof/>
          <w:sz w:val="24"/>
          <w:szCs w:val="30"/>
        </w:rPr>
      </w:pPr>
    </w:p>
    <w:p w:rsidR="005A7579" w:rsidRPr="001973D0" w:rsidRDefault="005A7579" w:rsidP="00073FEC">
      <w:pPr>
        <w:jc w:val="both"/>
        <w:rPr>
          <w:rFonts w:ascii="Times New Roman" w:eastAsia="Arial" w:hAnsi="Times New Roman" w:cs="Arial"/>
          <w:noProof/>
          <w:sz w:val="24"/>
          <w:szCs w:val="30"/>
        </w:rPr>
      </w:pPr>
    </w:p>
    <w:p w:rsidR="00073FEC" w:rsidRDefault="00073FEC" w:rsidP="005A7579">
      <w:pPr>
        <w:pStyle w:val="BodyText"/>
        <w:spacing w:before="0"/>
        <w:ind w:left="2835" w:firstLine="0"/>
        <w:jc w:val="center"/>
        <w:rPr>
          <w:rFonts w:ascii="Times New Roman" w:hAnsi="Times New Roman"/>
          <w:noProof/>
          <w:sz w:val="24"/>
        </w:rPr>
      </w:pPr>
      <w:r>
        <w:rPr>
          <w:rFonts w:ascii="Times New Roman" w:hAnsi="Times New Roman"/>
          <w:noProof/>
          <w:sz w:val="24"/>
        </w:rPr>
        <w:t>Eduardo Baredo Kapelots [</w:t>
      </w:r>
      <w:r>
        <w:rPr>
          <w:rFonts w:ascii="Times New Roman" w:hAnsi="Times New Roman"/>
          <w:i/>
          <w:noProof/>
          <w:sz w:val="24"/>
        </w:rPr>
        <w:t>Eduardo Barredo Capelot</w:t>
      </w:r>
      <w:r>
        <w:rPr>
          <w:rFonts w:ascii="Times New Roman" w:hAnsi="Times New Roman"/>
          <w:noProof/>
          <w:sz w:val="24"/>
        </w:rPr>
        <w:t>]</w:t>
      </w:r>
    </w:p>
    <w:p w:rsidR="00073FEC" w:rsidRPr="001973D0" w:rsidRDefault="00073FEC" w:rsidP="005A7579">
      <w:pPr>
        <w:pStyle w:val="BodyText"/>
        <w:spacing w:before="0"/>
        <w:ind w:left="2835" w:firstLine="0"/>
        <w:jc w:val="center"/>
        <w:rPr>
          <w:rFonts w:ascii="Times New Roman" w:hAnsi="Times New Roman"/>
          <w:noProof/>
          <w:sz w:val="24"/>
        </w:rPr>
      </w:pPr>
      <w:r>
        <w:rPr>
          <w:rFonts w:ascii="Times New Roman" w:hAnsi="Times New Roman"/>
          <w:noProof/>
          <w:sz w:val="24"/>
        </w:rPr>
        <w:t>Direktors</w:t>
      </w:r>
    </w:p>
    <w:p w:rsidR="00073FEC" w:rsidRPr="001973D0" w:rsidRDefault="00073FEC" w:rsidP="005A7579">
      <w:pPr>
        <w:pStyle w:val="BodyText"/>
        <w:spacing w:before="0"/>
        <w:ind w:left="2835" w:firstLine="0"/>
        <w:jc w:val="center"/>
        <w:rPr>
          <w:rFonts w:ascii="Times New Roman" w:hAnsi="Times New Roman"/>
          <w:noProof/>
          <w:sz w:val="24"/>
        </w:rPr>
      </w:pPr>
      <w:r>
        <w:rPr>
          <w:rFonts w:ascii="Times New Roman" w:hAnsi="Times New Roman"/>
          <w:noProof/>
          <w:sz w:val="24"/>
        </w:rPr>
        <w:t>D direktorāts: Valdības finanšu statistika (VFS) un kvalitāte</w:t>
      </w:r>
    </w:p>
    <w:p w:rsidR="00073FEC" w:rsidRDefault="00073FEC" w:rsidP="00073FEC">
      <w:pPr>
        <w:rPr>
          <w:rFonts w:ascii="Times New Roman" w:eastAsia="Arial" w:hAnsi="Times New Roman" w:cs="Arial"/>
          <w:noProof/>
          <w:sz w:val="24"/>
          <w:szCs w:val="20"/>
        </w:rPr>
      </w:pPr>
      <w:r>
        <w:br w:type="page"/>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5A7579">
      <w:pPr>
        <w:pStyle w:val="Heading6"/>
        <w:jc w:val="center"/>
        <w:rPr>
          <w:rFonts w:ascii="Times New Roman" w:hAnsi="Times New Roman"/>
          <w:noProof/>
          <w:sz w:val="24"/>
        </w:rPr>
      </w:pPr>
      <w:bookmarkStart w:id="1" w:name="INTRODUCTION:_SCOPE_AND_DEFINITIONS"/>
      <w:bookmarkEnd w:id="1"/>
      <w:r>
        <w:rPr>
          <w:rFonts w:ascii="Times New Roman" w:hAnsi="Times New Roman"/>
          <w:noProof/>
          <w:sz w:val="24"/>
        </w:rPr>
        <w:t>IEVADS. DARBĪBAS JOMA UN DEFINĪCIJAS</w:t>
      </w:r>
    </w:p>
    <w:p w:rsidR="00073FEC" w:rsidRPr="001973D0" w:rsidRDefault="00073FEC" w:rsidP="00073FEC">
      <w:pPr>
        <w:jc w:val="both"/>
        <w:rPr>
          <w:rFonts w:ascii="Times New Roman" w:eastAsia="Arial" w:hAnsi="Times New Roman" w:cs="Arial"/>
          <w:b/>
          <w:bCs/>
          <w:noProof/>
          <w:sz w:val="24"/>
          <w:szCs w:val="31"/>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Pārmērīga budžeta deficīta novēršanas procedūra (</w:t>
      </w:r>
      <w:r>
        <w:rPr>
          <w:rFonts w:ascii="Times New Roman" w:hAnsi="Times New Roman"/>
          <w:i/>
          <w:noProof/>
          <w:sz w:val="24"/>
        </w:rPr>
        <w:t>EDP</w:t>
      </w:r>
      <w:r>
        <w:rPr>
          <w:rFonts w:ascii="Times New Roman" w:hAnsi="Times New Roman"/>
          <w:noProof/>
          <w:sz w:val="24"/>
        </w:rPr>
        <w:t>)</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Māstrihtas līgums, kas tika noslēgts 1992. gadā, paredzēja eiro ieviešanu. Tajā noteikts veids, kā Eiropas Savienībā notiks daudzpusējā fiskālā uzraudzība. Noteikumi attiecībā uz </w:t>
      </w:r>
      <w:r>
        <w:rPr>
          <w:rFonts w:ascii="Times New Roman" w:hAnsi="Times New Roman"/>
          <w:i/>
          <w:noProof/>
          <w:sz w:val="24"/>
        </w:rPr>
        <w:t>EDP</w:t>
      </w:r>
      <w:r>
        <w:rPr>
          <w:rFonts w:ascii="Times New Roman" w:hAnsi="Times New Roman"/>
          <w:noProof/>
          <w:sz w:val="24"/>
        </w:rPr>
        <w:t xml:space="preserve"> šobrīd ir noteikti Līguma par Eiropas Savienības darbību (LESD) 2012. gada konsolidētajā versijā.</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Uzraudzības pamatā ir </w:t>
      </w:r>
      <w:r>
        <w:rPr>
          <w:rFonts w:ascii="Times New Roman" w:hAnsi="Times New Roman"/>
          <w:i/>
          <w:noProof/>
          <w:sz w:val="24"/>
        </w:rPr>
        <w:t>EDP</w:t>
      </w:r>
      <w:r>
        <w:rPr>
          <w:rFonts w:ascii="Times New Roman" w:hAnsi="Times New Roman"/>
          <w:noProof/>
          <w:sz w:val="24"/>
        </w:rPr>
        <w:t>, kurā Padomei ir noteikti grafiki un termiņi saskaņā ar Komisijas un arī Ekonomikas un finanšu komitejas ziņojumiem, pamatojoties uz to atzinumiem par to, kā izvērtēt, vai kādā dalībvalstī pastāv pārmērīgs budžeta deficīts.</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LESD nosaka pienākumu ES dalībvalstīm nodrošināt budžeta disciplīnu, ievērojot divus kritērijus: deficīta attiecība pret IKP un valsts parāda attiecība pret IKP nedrīkst pārsniegt atsauces vērtību attiecīgi 3 % un 60 % atbilstīgi tam, kā ir noteikts LESD pievienotajā protokolā</w:t>
      </w:r>
      <w:r>
        <w:rPr>
          <w:rStyle w:val="FootnoteReference"/>
          <w:rFonts w:ascii="Times New Roman" w:hAnsi="Times New Roman"/>
          <w:noProof/>
          <w:sz w:val="24"/>
        </w:rPr>
        <w:footnoteReference w:id="3"/>
      </w:r>
      <w:r>
        <w:rPr>
          <w:rFonts w:ascii="Times New Roman" w:hAnsi="Times New Roman"/>
          <w:noProof/>
          <w:sz w:val="24"/>
        </w:rPr>
        <w:t xml:space="preserve"> par </w:t>
      </w:r>
      <w:r>
        <w:rPr>
          <w:rFonts w:ascii="Times New Roman" w:hAnsi="Times New Roman"/>
          <w:i/>
          <w:noProof/>
          <w:sz w:val="24"/>
        </w:rPr>
        <w:t>EDP</w:t>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Padomes Regula (EK) Nr. 479/2009, kas grozīta ar Padomes Regulu (ES) Nr. 679/2010 un Komisijas Regulu (ES) Nr. 220/2014, nosaka, ka ES dalībvalstis paziņo ar </w:t>
      </w:r>
      <w:r>
        <w:rPr>
          <w:rFonts w:ascii="Times New Roman" w:hAnsi="Times New Roman"/>
          <w:i/>
          <w:noProof/>
          <w:sz w:val="24"/>
        </w:rPr>
        <w:t>EDP</w:t>
      </w:r>
      <w:r>
        <w:rPr>
          <w:rFonts w:ascii="Times New Roman" w:hAnsi="Times New Roman"/>
          <w:noProof/>
          <w:sz w:val="24"/>
        </w:rPr>
        <w:t xml:space="preserve"> saistītos datus </w:t>
      </w:r>
      <w:r>
        <w:rPr>
          <w:rFonts w:ascii="Times New Roman" w:hAnsi="Times New Roman"/>
          <w:i/>
          <w:noProof/>
          <w:sz w:val="24"/>
        </w:rPr>
        <w:t>Eurostat</w:t>
      </w:r>
      <w:r>
        <w:rPr>
          <w:rFonts w:ascii="Times New Roman" w:hAnsi="Times New Roman"/>
          <w:noProof/>
          <w:sz w:val="24"/>
        </w:rPr>
        <w:t xml:space="preserve"> divas reizes gadā marta un septembra beigās. </w:t>
      </w:r>
      <w:r>
        <w:rPr>
          <w:rFonts w:ascii="Times New Roman" w:hAnsi="Times New Roman"/>
          <w:i/>
          <w:noProof/>
          <w:sz w:val="24"/>
        </w:rPr>
        <w:t>EDP</w:t>
      </w:r>
      <w:r>
        <w:rPr>
          <w:rFonts w:ascii="Times New Roman" w:hAnsi="Times New Roman"/>
          <w:noProof/>
          <w:sz w:val="24"/>
        </w:rPr>
        <w:t xml:space="preserve"> datus iesniedz saskaņotu tabulu veidā, proti, izmantojot </w:t>
      </w:r>
      <w:r>
        <w:rPr>
          <w:rFonts w:ascii="Times New Roman" w:hAnsi="Times New Roman"/>
          <w:i/>
          <w:noProof/>
          <w:sz w:val="24"/>
        </w:rPr>
        <w:t>EDP</w:t>
      </w:r>
      <w:r>
        <w:rPr>
          <w:rFonts w:ascii="Times New Roman" w:hAnsi="Times New Roman"/>
          <w:noProof/>
          <w:sz w:val="24"/>
        </w:rPr>
        <w:t xml:space="preserve"> notifikācijas tabulas. Šīs tabulas ir īpaši veidotas, lai nodrošinātu vienotu sistēmu un saikni ar valsts budžeta rādītājiem un attiecību starp valdības neto aizdevumiem/aizņēmumiem (B.9) un valdības parāda pārmaiņām. </w:t>
      </w:r>
      <w:r>
        <w:rPr>
          <w:rFonts w:ascii="Times New Roman" w:hAnsi="Times New Roman"/>
          <w:i/>
          <w:noProof/>
          <w:sz w:val="24"/>
        </w:rPr>
        <w:t>EDP</w:t>
      </w:r>
      <w:r>
        <w:rPr>
          <w:rFonts w:ascii="Times New Roman" w:hAnsi="Times New Roman"/>
          <w:noProof/>
          <w:sz w:val="24"/>
        </w:rPr>
        <w:t xml:space="preserve"> datiem ir pilnīgi jāatbilst VFS datiem, kas iesniegti EKS 2010 datu nosūtīšanas programmā.</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Jaunākās </w:t>
      </w:r>
      <w:r>
        <w:rPr>
          <w:rFonts w:ascii="Times New Roman" w:hAnsi="Times New Roman"/>
          <w:i/>
          <w:noProof/>
          <w:sz w:val="24"/>
        </w:rPr>
        <w:t>EDP</w:t>
      </w:r>
      <w:r>
        <w:rPr>
          <w:rFonts w:ascii="Times New Roman" w:hAnsi="Times New Roman"/>
          <w:noProof/>
          <w:sz w:val="24"/>
        </w:rPr>
        <w:t xml:space="preserve"> notifikācijas tabulas katrai ES dalībvalstij, kā arī iepriekšējo periodu notifikācijas tabulas, tostarp īss to satura skaidrojums un sīkāka informācija par valdības finanšu statistiku, ir atrodama </w:t>
      </w:r>
      <w:r>
        <w:rPr>
          <w:rFonts w:ascii="Times New Roman" w:hAnsi="Times New Roman"/>
          <w:i/>
          <w:noProof/>
          <w:sz w:val="24"/>
        </w:rPr>
        <w:t>Eurostat EDP</w:t>
      </w:r>
      <w:r>
        <w:rPr>
          <w:rFonts w:ascii="Times New Roman" w:hAnsi="Times New Roman"/>
          <w:noProof/>
          <w:sz w:val="24"/>
        </w:rPr>
        <w:t>/VFS veltītajā tīmekļa vietnē.</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Statistikas metodoloģija</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Šo deficīta un parāda atsauces vērtību pamatā ir Eiropas kontu sistēmā (EKS 2010) noteiktie jēdzieni. Vispārējās valdības sektora pārpalikumu (+)/deficītu (-) nacionālajos kontos sauc par neto aizdevumu (+)/aizņēmumu (-) (B.9). Valdības (</w:t>
      </w:r>
      <w:r>
        <w:rPr>
          <w:rFonts w:ascii="Times New Roman" w:hAnsi="Times New Roman"/>
          <w:i/>
          <w:noProof/>
          <w:sz w:val="24"/>
        </w:rPr>
        <w:t>EDP</w:t>
      </w:r>
      <w:r>
        <w:rPr>
          <w:rFonts w:ascii="Times New Roman" w:hAnsi="Times New Roman"/>
          <w:noProof/>
          <w:sz w:val="24"/>
        </w:rPr>
        <w:t>) parāds ir noteikts kā kopējais konsolidētais bruto parāds nominālajā vērtībā šādās valdības saistību kategorijās (atbilstoši EKS 2010 noteiktajam): valūta un noguldījumi, parāda vērtspapīri un aizdevumi.</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EKS 2010 ir izstrādāta, pamatojoties uz visā pasaulē atzīto nacionālo kontu rokasgrāmatu (NKS 2008), un kopumā tai atbilst. EKS 2010 ir tiesību akts, kas sagatavots lietotājam saprotamā formā. Tā kā EKS 2010 ir konceptuāla sistēma, </w:t>
      </w:r>
      <w:r>
        <w:rPr>
          <w:rFonts w:ascii="Times New Roman" w:hAnsi="Times New Roman"/>
          <w:i/>
          <w:noProof/>
          <w:sz w:val="24"/>
        </w:rPr>
        <w:t>Eurostat</w:t>
      </w:r>
      <w:r>
        <w:rPr>
          <w:rFonts w:ascii="Times New Roman" w:hAnsi="Times New Roman"/>
          <w:noProof/>
          <w:sz w:val="24"/>
        </w:rPr>
        <w:t xml:space="preserve"> tā bija jāpapildina ar papildu vadlīnijām, proti, ar šo Valsts budžeta deficīta un parāda rokasgrāmatu un </w:t>
      </w:r>
      <w:r>
        <w:rPr>
          <w:rFonts w:ascii="Times New Roman" w:hAnsi="Times New Roman"/>
          <w:i/>
          <w:noProof/>
          <w:sz w:val="24"/>
        </w:rPr>
        <w:t>Eurostat</w:t>
      </w:r>
      <w:r>
        <w:rPr>
          <w:rFonts w:ascii="Times New Roman" w:hAnsi="Times New Roman"/>
          <w:noProof/>
          <w:sz w:val="24"/>
        </w:rPr>
        <w:t xml:space="preserve"> lēmumiem, norādījumiem, skaidrojumiem, un ar divpusējām konsultācijām ar dalībvalstīm.</w:t>
      </w:r>
    </w:p>
    <w:p w:rsidR="00073FEC" w:rsidRPr="001973D0" w:rsidRDefault="00073FEC" w:rsidP="00073FEC">
      <w:pPr>
        <w:jc w:val="both"/>
        <w:rPr>
          <w:rFonts w:ascii="Times New Roman" w:eastAsia="Arial" w:hAnsi="Times New Roman" w:cs="Arial"/>
          <w:noProof/>
          <w:sz w:val="24"/>
          <w:szCs w:val="20"/>
        </w:rPr>
      </w:pPr>
    </w:p>
    <w:p w:rsidR="00073FEC" w:rsidRPr="00B30F99" w:rsidRDefault="00073FEC" w:rsidP="00073FEC">
      <w:pPr>
        <w:jc w:val="both"/>
        <w:rPr>
          <w:rFonts w:ascii="Times New Roman" w:eastAsia="Arial" w:hAnsi="Times New Roman" w:cs="Arial"/>
          <w:noProof/>
          <w:sz w:val="24"/>
        </w:rPr>
      </w:pPr>
      <w:r>
        <w:rPr>
          <w:rFonts w:ascii="Times New Roman" w:hAnsi="Times New Roman"/>
          <w:noProof/>
          <w:sz w:val="24"/>
        </w:rPr>
        <w:t xml:space="preserve">Eiropas Savienības Statistikas biroja un dalībvalstu statistiķi, kā arī citas ieinteresētās puses tiekas vairākas reizes gadā </w:t>
      </w:r>
      <w:r>
        <w:rPr>
          <w:rFonts w:ascii="Times New Roman" w:hAnsi="Times New Roman"/>
          <w:i/>
          <w:noProof/>
          <w:sz w:val="24"/>
        </w:rPr>
        <w:t>Pārmērīga budžeta deficīta novēršanas procedūras statistikas darba grupā</w:t>
      </w:r>
      <w:r>
        <w:rPr>
          <w:rFonts w:ascii="Times New Roman" w:hAnsi="Times New Roman"/>
          <w:noProof/>
          <w:sz w:val="24"/>
        </w:rPr>
        <w:t xml:space="preserve">, lai apspriestu metodoloģiskos un praktiskos jautājumus saistībā ar valdības statistiku. Šajā rokasgrāmatā sniegtās vadlīnijas ir izstrādātas, ņemot vērā šīs darba grupas kompetenci, </w:t>
      </w:r>
      <w:r>
        <w:rPr>
          <w:rFonts w:ascii="Times New Roman" w:hAnsi="Times New Roman"/>
          <w:noProof/>
          <w:sz w:val="24"/>
        </w:rPr>
        <w:lastRenderedPageBreak/>
        <w:t xml:space="preserve">kā arī ieceltās </w:t>
      </w:r>
      <w:r>
        <w:rPr>
          <w:rFonts w:ascii="Times New Roman" w:hAnsi="Times New Roman"/>
          <w:i/>
          <w:noProof/>
          <w:sz w:val="24"/>
        </w:rPr>
        <w:t>Darba grupas metodoloģijas jautājumos</w:t>
      </w:r>
      <w:r>
        <w:rPr>
          <w:rFonts w:ascii="Times New Roman" w:hAnsi="Times New Roman"/>
          <w:noProof/>
          <w:sz w:val="24"/>
        </w:rPr>
        <w:t xml:space="preserve"> veikto darbu.</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Galvenie jēdzieni valdības budžeta deficīta un parāda apmēra noteikšanai</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EKS 2010 ir makroekonomiskās statistikas ve</w:t>
      </w:r>
      <w:r w:rsidR="00EA6A81">
        <w:rPr>
          <w:rFonts w:ascii="Times New Roman" w:hAnsi="Times New Roman"/>
          <w:noProof/>
          <w:sz w:val="24"/>
        </w:rPr>
        <w:t>idošanas sistēma. Tajā ieraksta</w:t>
      </w:r>
      <w:r>
        <w:rPr>
          <w:rFonts w:ascii="Times New Roman" w:hAnsi="Times New Roman"/>
          <w:noProof/>
          <w:sz w:val="24"/>
        </w:rPr>
        <w:t xml:space="preserve"> darījumu ekonomisko realizāciju, nevis to juridisko formu. Tas var nozīmēt nepieciešamību izvērtēt sarežģītas finanšu operācijas, lai izprastu, kas uzņemas finanšu riskus un kas kontrolē ieguvumus, neatkarīgi no tā, kā ir noformēti līgumi. Saistībā ar valdības budžeta deficīta un parāda apmēra noteikšanu šie centieni konstatēt ekonomisko realitāti ietekmē turpmāk norādītos jautājumus.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numPr>
          <w:ilvl w:val="2"/>
          <w:numId w:val="32"/>
        </w:numPr>
        <w:tabs>
          <w:tab w:val="left" w:pos="1184"/>
        </w:tabs>
        <w:spacing w:before="0"/>
        <w:ind w:left="709" w:hanging="709"/>
        <w:jc w:val="both"/>
        <w:rPr>
          <w:rFonts w:ascii="Times New Roman" w:hAnsi="Times New Roman"/>
          <w:noProof/>
          <w:sz w:val="24"/>
        </w:rPr>
      </w:pPr>
      <w:r>
        <w:rPr>
          <w:rFonts w:ascii="Times New Roman" w:hAnsi="Times New Roman"/>
          <w:noProof/>
          <w:sz w:val="24"/>
        </w:rPr>
        <w:t>Vienību klasifikācija: vai vienība ir vai nav iekļauta valdības sektorā? Valsts budžeta deficītu un valsts parādu tieši ietekmē vienības, kuras ietilpst valdības sektorā. To nosaka, izvērtējot, vai vienību kontrolē vai nekontrolē valdība, un to, vai vienība ir ārpustirgus vai tirgus vienība (to var finansēt galvenokārt no pašas vienības pārdevumiem). Privāti kontrolētās institucionālās tirgus vienības neietilpst valdības sektorā.</w:t>
      </w:r>
    </w:p>
    <w:p w:rsidR="00073FEC" w:rsidRPr="001973D0" w:rsidRDefault="00073FEC" w:rsidP="00073FEC">
      <w:pPr>
        <w:ind w:left="709" w:hanging="709"/>
        <w:jc w:val="both"/>
        <w:rPr>
          <w:rFonts w:ascii="Times New Roman" w:eastAsia="Arial" w:hAnsi="Times New Roman" w:cs="Arial"/>
          <w:noProof/>
          <w:sz w:val="24"/>
          <w:szCs w:val="21"/>
        </w:rPr>
      </w:pPr>
    </w:p>
    <w:p w:rsidR="00073FEC" w:rsidRPr="001973D0" w:rsidRDefault="00073FEC" w:rsidP="00073FEC">
      <w:pPr>
        <w:pStyle w:val="BodyText"/>
        <w:numPr>
          <w:ilvl w:val="2"/>
          <w:numId w:val="32"/>
        </w:numPr>
        <w:tabs>
          <w:tab w:val="left" w:pos="1184"/>
        </w:tabs>
        <w:spacing w:before="0"/>
        <w:ind w:left="709" w:hanging="709"/>
        <w:jc w:val="both"/>
        <w:rPr>
          <w:rFonts w:ascii="Times New Roman" w:hAnsi="Times New Roman"/>
          <w:noProof/>
          <w:sz w:val="24"/>
        </w:rPr>
      </w:pPr>
      <w:r>
        <w:rPr>
          <w:rFonts w:ascii="Times New Roman" w:hAnsi="Times New Roman"/>
          <w:noProof/>
          <w:sz w:val="24"/>
        </w:rPr>
        <w:t>Da</w:t>
      </w:r>
      <w:r w:rsidR="00EA6A81">
        <w:rPr>
          <w:rFonts w:ascii="Times New Roman" w:hAnsi="Times New Roman"/>
          <w:noProof/>
          <w:sz w:val="24"/>
        </w:rPr>
        <w:t>rījumu laiks: EKS 2010 ieraksta</w:t>
      </w:r>
      <w:r>
        <w:rPr>
          <w:rFonts w:ascii="Times New Roman" w:hAnsi="Times New Roman"/>
          <w:noProof/>
          <w:sz w:val="24"/>
        </w:rPr>
        <w:t xml:space="preserve"> darījumus pēc uzkrāšanas principa, t. i., pēc tā, kad notiek ekonomiskā darbība, nevis pēc tā, kad ir samaksāta skaidra nauda. Šīs atšķirības var būt lielas un tāpēc var nozīmīgi ietekmēt valdības deficītu/pārpalikumu.</w:t>
      </w:r>
    </w:p>
    <w:p w:rsidR="00073FEC" w:rsidRPr="001973D0" w:rsidRDefault="00073FEC" w:rsidP="00073FEC">
      <w:pPr>
        <w:ind w:left="709" w:hanging="709"/>
        <w:jc w:val="both"/>
        <w:rPr>
          <w:rFonts w:ascii="Times New Roman" w:eastAsia="Arial" w:hAnsi="Times New Roman" w:cs="Arial"/>
          <w:noProof/>
          <w:sz w:val="24"/>
          <w:szCs w:val="21"/>
        </w:rPr>
      </w:pPr>
    </w:p>
    <w:p w:rsidR="00073FEC" w:rsidRPr="001973D0" w:rsidRDefault="00073FEC" w:rsidP="00073FEC">
      <w:pPr>
        <w:pStyle w:val="BodyText"/>
        <w:numPr>
          <w:ilvl w:val="2"/>
          <w:numId w:val="32"/>
        </w:numPr>
        <w:tabs>
          <w:tab w:val="left" w:pos="1184"/>
        </w:tabs>
        <w:spacing w:before="0"/>
        <w:ind w:left="709" w:hanging="709"/>
        <w:jc w:val="both"/>
        <w:rPr>
          <w:rFonts w:ascii="Times New Roman" w:hAnsi="Times New Roman"/>
          <w:noProof/>
          <w:sz w:val="24"/>
        </w:rPr>
      </w:pPr>
      <w:r>
        <w:rPr>
          <w:rFonts w:ascii="Times New Roman" w:hAnsi="Times New Roman"/>
          <w:noProof/>
          <w:sz w:val="24"/>
        </w:rPr>
        <w:t>Darījuma būtība: EKS 2010 tiek nošķirti nefinanšu darījumi, piemēram, patēriņš, darba algas un samaksa, subsīdijas vai dotācijas zaudējumu segšanai, kas tieši ietekmē valdības deficītu, un finanšu darījumi, piemēram, finanšu aktīvu iegāde vai aizdevumu atmaksa, kas deficītu neietekmē.</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Rokasgrāmatas struktūra</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Atsaucēm uz rokasgrāmatas tekstu tiek izmantoti turpmāk minētie apzīmējumi, pamatojoties uz nākamajā lappusē iekļautā satura rādītāja uzbūvi.</w:t>
      </w:r>
    </w:p>
    <w:p w:rsidR="00073FEC" w:rsidRPr="001973D0" w:rsidRDefault="00073FEC" w:rsidP="00073FEC">
      <w:pPr>
        <w:jc w:val="both"/>
        <w:rPr>
          <w:rFonts w:ascii="Times New Roman" w:eastAsia="Arial" w:hAnsi="Times New Roman" w:cs="Arial"/>
          <w:noProof/>
          <w:sz w:val="24"/>
          <w:szCs w:val="32"/>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 daļa.</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I.1. nodaļa.</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I.1.1. iedaļa.</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I.1.1.1. apakšiedaļa.</w:t>
      </w:r>
    </w:p>
    <w:p w:rsidR="00073FEC" w:rsidRPr="001973D0" w:rsidRDefault="00073FEC" w:rsidP="00073FEC">
      <w:pPr>
        <w:jc w:val="both"/>
        <w:rPr>
          <w:rFonts w:ascii="Times New Roman" w:eastAsia="Arial" w:hAnsi="Times New Roman" w:cs="Arial"/>
          <w:noProof/>
          <w:sz w:val="24"/>
          <w:szCs w:val="32"/>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Visu astoņu daļu sākumā sniegts pārskats, bet beigās – atslēgvārdi un atsauces. Saites uz tiesību aktiem sniegtas pielikumā.</w:t>
      </w:r>
    </w:p>
    <w:p w:rsidR="00073FEC" w:rsidRDefault="00073FEC" w:rsidP="00073FEC">
      <w:pPr>
        <w:rPr>
          <w:rFonts w:ascii="Times New Roman" w:eastAsia="Calibri" w:hAnsi="Times New Roman"/>
          <w:b/>
          <w:bCs/>
          <w:noProof/>
          <w:sz w:val="24"/>
          <w:szCs w:val="28"/>
        </w:rPr>
      </w:pPr>
      <w:r>
        <w:br w:type="page"/>
      </w:r>
    </w:p>
    <w:p w:rsidR="00073FEC" w:rsidRPr="001973D0" w:rsidRDefault="00073FEC" w:rsidP="00073FEC">
      <w:pPr>
        <w:pStyle w:val="Heading3"/>
        <w:ind w:left="0"/>
        <w:jc w:val="both"/>
        <w:rPr>
          <w:rFonts w:ascii="Times New Roman" w:hAnsi="Times New Roman"/>
          <w:noProof/>
          <w:sz w:val="24"/>
        </w:rPr>
      </w:pPr>
    </w:p>
    <w:p w:rsidR="00073FEC" w:rsidRPr="00F12820" w:rsidRDefault="00073FEC" w:rsidP="00073FEC">
      <w:pPr>
        <w:pStyle w:val="Heading3"/>
        <w:ind w:left="0"/>
        <w:jc w:val="both"/>
        <w:rPr>
          <w:rFonts w:ascii="Times New Roman" w:hAnsi="Times New Roman"/>
          <w:noProof/>
        </w:rPr>
      </w:pPr>
      <w:bookmarkStart w:id="2" w:name="_Toc471135862"/>
      <w:r w:rsidRPr="00F12820">
        <w:rPr>
          <w:rFonts w:ascii="Times New Roman" w:hAnsi="Times New Roman"/>
          <w:noProof/>
        </w:rPr>
        <w:t>Saīsinājumu un akronīmu saraksts</w:t>
      </w:r>
      <w:bookmarkEnd w:id="2"/>
    </w:p>
    <w:p w:rsidR="00073FEC" w:rsidRPr="001973D0" w:rsidRDefault="00073FEC" w:rsidP="00073FEC">
      <w:pPr>
        <w:jc w:val="both"/>
        <w:rPr>
          <w:rFonts w:ascii="Times New Roman" w:eastAsia="Arial" w:hAnsi="Times New Roman" w:cs="Arial"/>
          <w:b/>
          <w:bCs/>
          <w:noProof/>
          <w:sz w:val="24"/>
          <w:szCs w:val="26"/>
        </w:rPr>
      </w:pP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AAU</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Assigned Amount Units</w:t>
      </w:r>
      <w:r>
        <w:rPr>
          <w:rFonts w:ascii="Times New Roman" w:hAnsi="Times New Roman"/>
          <w:noProof/>
          <w:sz w:val="24"/>
        </w:rPr>
        <w:t>] – noteiktā daudzuma vienības</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ANO</w:t>
      </w:r>
      <w:r>
        <w:rPr>
          <w:rFonts w:ascii="Times New Roman" w:hAnsi="Times New Roman"/>
          <w:noProof/>
          <w:sz w:val="24"/>
        </w:rPr>
        <w:t>– Apvienoto Nāciju Organizācija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BPM6</w:t>
      </w:r>
      <w:r>
        <w:rPr>
          <w:rFonts w:ascii="Times New Roman" w:hAnsi="Times New Roman"/>
          <w:b/>
          <w:noProof/>
          <w:sz w:val="24"/>
        </w:rPr>
        <w:t xml:space="preserve"> </w:t>
      </w:r>
      <w:r>
        <w:rPr>
          <w:rFonts w:ascii="Times New Roman" w:hAnsi="Times New Roman"/>
          <w:noProof/>
          <w:sz w:val="24"/>
        </w:rPr>
        <w:t>– Maksājumu bilances un starptautisko ieguldījumu bilances rokasgrāmatas 6. izdevums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BPI</w:t>
      </w:r>
      <w:r>
        <w:rPr>
          <w:rFonts w:ascii="Times New Roman" w:hAnsi="Times New Roman"/>
          <w:noProof/>
          <w:sz w:val="24"/>
        </w:rPr>
        <w:t xml:space="preserve"> – bezpeļņas institūcija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CDS</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Credit default swap</w:t>
      </w:r>
      <w:r>
        <w:rPr>
          <w:rFonts w:ascii="Times New Roman" w:hAnsi="Times New Roman"/>
          <w:noProof/>
          <w:sz w:val="24"/>
        </w:rPr>
        <w:t>] – kredītsaistību nepildīšanas mijmaiņas līgums</w:t>
      </w:r>
    </w:p>
    <w:p w:rsidR="00F12820" w:rsidRDefault="00F12820" w:rsidP="00F12820">
      <w:pPr>
        <w:jc w:val="both"/>
        <w:rPr>
          <w:rFonts w:ascii="Times New Roman" w:hAnsi="Times New Roman"/>
          <w:noProof/>
          <w:sz w:val="24"/>
        </w:rPr>
      </w:pPr>
      <w:r>
        <w:rPr>
          <w:rFonts w:ascii="Times New Roman" w:hAnsi="Times New Roman"/>
          <w:b/>
          <w:i/>
          <w:noProof/>
          <w:sz w:val="24"/>
        </w:rPr>
        <w:t>DTA</w:t>
      </w:r>
      <w:r>
        <w:rPr>
          <w:rFonts w:ascii="Times New Roman" w:hAnsi="Times New Roman"/>
          <w:noProof/>
          <w:sz w:val="24"/>
        </w:rPr>
        <w:t xml:space="preserve"> [</w:t>
      </w:r>
      <w:r>
        <w:rPr>
          <w:rFonts w:ascii="Times New Roman" w:hAnsi="Times New Roman"/>
          <w:i/>
          <w:noProof/>
          <w:sz w:val="24"/>
        </w:rPr>
        <w:t>Deferred tax assets</w:t>
      </w:r>
      <w:r>
        <w:rPr>
          <w:rFonts w:ascii="Times New Roman" w:hAnsi="Times New Roman"/>
          <w:noProof/>
          <w:sz w:val="24"/>
        </w:rPr>
        <w:t>] – atliktā nodokļa aktīvi</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ECB</w:t>
      </w:r>
      <w:r>
        <w:rPr>
          <w:rFonts w:ascii="Times New Roman" w:hAnsi="Times New Roman"/>
          <w:noProof/>
          <w:sz w:val="24"/>
        </w:rPr>
        <w:t xml:space="preserve"> –Eiropas Centrālā banka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EDP</w:t>
      </w:r>
      <w:r>
        <w:rPr>
          <w:rFonts w:ascii="Times New Roman" w:hAnsi="Times New Roman"/>
          <w:noProof/>
          <w:sz w:val="24"/>
        </w:rPr>
        <w:t xml:space="preserve"> –pārmērīga budžeta deficīta novēršanas procedūra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EDPS</w:t>
      </w:r>
      <w:r>
        <w:rPr>
          <w:rFonts w:ascii="Times New Roman" w:hAnsi="Times New Roman"/>
          <w:b/>
          <w:noProof/>
          <w:sz w:val="24"/>
        </w:rPr>
        <w:t xml:space="preserve"> DG</w:t>
      </w:r>
      <w:r>
        <w:rPr>
          <w:rFonts w:ascii="Times New Roman" w:hAnsi="Times New Roman"/>
          <w:noProof/>
          <w:sz w:val="24"/>
        </w:rPr>
        <w:t xml:space="preserve"> – pārmērīga budžeta deficīta novēršanas procedūras statistikas darba grupa</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EFSI</w:t>
      </w:r>
      <w:r>
        <w:rPr>
          <w:rFonts w:ascii="Times New Roman" w:hAnsi="Times New Roman"/>
          <w:noProof/>
          <w:sz w:val="24"/>
        </w:rPr>
        <w:t xml:space="preserve"> – Eiropas Finanšu stabilitātes instruments</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EFSM</w:t>
      </w:r>
      <w:r>
        <w:rPr>
          <w:rFonts w:ascii="Times New Roman" w:hAnsi="Times New Roman"/>
          <w:noProof/>
          <w:sz w:val="24"/>
        </w:rPr>
        <w:t xml:space="preserve"> – Eiropas Finanšu stabilitātes mehānisms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EIB</w:t>
      </w:r>
      <w:r>
        <w:rPr>
          <w:rFonts w:ascii="Times New Roman" w:hAnsi="Times New Roman"/>
          <w:noProof/>
          <w:sz w:val="24"/>
        </w:rPr>
        <w:t xml:space="preserve"> –Eiropas Investīciju banka</w:t>
      </w:r>
    </w:p>
    <w:p w:rsidR="00F12820" w:rsidRDefault="00F12820" w:rsidP="00F12820">
      <w:pPr>
        <w:jc w:val="both"/>
        <w:rPr>
          <w:rFonts w:ascii="Times New Roman" w:hAnsi="Times New Roman"/>
          <w:noProof/>
          <w:sz w:val="24"/>
        </w:rPr>
      </w:pPr>
      <w:r>
        <w:rPr>
          <w:rFonts w:ascii="Times New Roman" w:hAnsi="Times New Roman"/>
          <w:b/>
          <w:noProof/>
          <w:sz w:val="24"/>
        </w:rPr>
        <w:t xml:space="preserve">EK </w:t>
      </w:r>
      <w:r>
        <w:rPr>
          <w:rFonts w:ascii="Times New Roman" w:hAnsi="Times New Roman"/>
          <w:noProof/>
          <w:sz w:val="24"/>
        </w:rPr>
        <w:t>– Eiropas Komisija</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EKS 2010</w:t>
      </w:r>
      <w:r>
        <w:rPr>
          <w:rFonts w:ascii="Times New Roman" w:hAnsi="Times New Roman"/>
          <w:noProof/>
          <w:sz w:val="24"/>
        </w:rPr>
        <w:t xml:space="preserve"> – Eiropas kontu sistēma 2010</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EMS</w:t>
      </w:r>
      <w:r>
        <w:rPr>
          <w:rFonts w:ascii="Times New Roman" w:hAnsi="Times New Roman"/>
          <w:noProof/>
          <w:sz w:val="24"/>
        </w:rPr>
        <w:t xml:space="preserve"> – Ekonomikas un monetārā savienība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ESAO</w:t>
      </w:r>
      <w:r>
        <w:rPr>
          <w:rFonts w:ascii="Times New Roman" w:hAnsi="Times New Roman"/>
          <w:noProof/>
          <w:sz w:val="24"/>
        </w:rPr>
        <w:t xml:space="preserve"> – Ekonomiskās sadarbības un attīstības organizācija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ESCB</w:t>
      </w:r>
      <w:r>
        <w:rPr>
          <w:rFonts w:ascii="Times New Roman" w:hAnsi="Times New Roman"/>
          <w:noProof/>
          <w:sz w:val="24"/>
        </w:rPr>
        <w:t xml:space="preserve"> –Eiropas Centrālo banku sistēma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ES</w:t>
      </w:r>
      <w:r>
        <w:rPr>
          <w:rFonts w:ascii="Times New Roman" w:hAnsi="Times New Roman"/>
          <w:noProof/>
          <w:sz w:val="24"/>
        </w:rPr>
        <w:t xml:space="preserve"> – Eiropas Savienība</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ESIF</w:t>
      </w:r>
      <w:r>
        <w:rPr>
          <w:rFonts w:ascii="Times New Roman" w:hAnsi="Times New Roman"/>
          <w:noProof/>
          <w:sz w:val="24"/>
        </w:rPr>
        <w:t xml:space="preserve"> – Eiropas strukturālie un investīciju fondi</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ESM</w:t>
      </w:r>
      <w:r>
        <w:rPr>
          <w:rFonts w:ascii="Times New Roman" w:hAnsi="Times New Roman"/>
          <w:noProof/>
          <w:sz w:val="24"/>
        </w:rPr>
        <w:t xml:space="preserve"> – Eiropas Stabilitātes mehānisms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ETS</w:t>
      </w:r>
      <w:r>
        <w:rPr>
          <w:rFonts w:ascii="Times New Roman" w:hAnsi="Times New Roman"/>
          <w:b/>
          <w:noProof/>
          <w:sz w:val="24"/>
        </w:rPr>
        <w:t xml:space="preserve"> </w:t>
      </w:r>
      <w:r>
        <w:rPr>
          <w:rFonts w:ascii="Times New Roman" w:hAnsi="Times New Roman"/>
          <w:noProof/>
          <w:sz w:val="24"/>
        </w:rPr>
        <w:t>– [</w:t>
      </w:r>
      <w:r>
        <w:rPr>
          <w:rFonts w:ascii="Times New Roman" w:hAnsi="Times New Roman"/>
          <w:i/>
          <w:noProof/>
          <w:sz w:val="24"/>
        </w:rPr>
        <w:t>Emission Trading System</w:t>
      </w:r>
      <w:r>
        <w:rPr>
          <w:rFonts w:ascii="Times New Roman" w:hAnsi="Times New Roman"/>
          <w:noProof/>
          <w:sz w:val="24"/>
        </w:rPr>
        <w:t>] – Emisijas kvotu tirdzniecības sistēma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Eurostat</w:t>
      </w:r>
      <w:r>
        <w:rPr>
          <w:rFonts w:ascii="Times New Roman" w:hAnsi="Times New Roman"/>
          <w:noProof/>
          <w:sz w:val="24"/>
        </w:rPr>
        <w:t xml:space="preserve"> – Eiropas Kopienu Statistikas birojs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GFCF</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Gross fixed capital formation</w:t>
      </w:r>
      <w:r>
        <w:rPr>
          <w:rFonts w:ascii="Times New Roman" w:hAnsi="Times New Roman"/>
          <w:noProof/>
          <w:sz w:val="24"/>
        </w:rPr>
        <w:t>] – bruto pamatkapitāla veidošana (pamatlīdzekļu tīrā iegāde)</w:t>
      </w:r>
    </w:p>
    <w:p w:rsidR="00F12820" w:rsidRDefault="00F12820" w:rsidP="00F12820">
      <w:pPr>
        <w:jc w:val="both"/>
        <w:rPr>
          <w:rFonts w:ascii="Times New Roman" w:hAnsi="Times New Roman"/>
          <w:noProof/>
          <w:sz w:val="24"/>
        </w:rPr>
      </w:pPr>
      <w:r>
        <w:rPr>
          <w:rFonts w:ascii="Times New Roman" w:hAnsi="Times New Roman"/>
          <w:b/>
          <w:i/>
          <w:noProof/>
          <w:sz w:val="24"/>
        </w:rPr>
        <w:t>IFRS</w:t>
      </w:r>
      <w:r>
        <w:rPr>
          <w:rFonts w:ascii="Times New Roman" w:hAnsi="Times New Roman"/>
          <w:noProof/>
          <w:sz w:val="24"/>
        </w:rPr>
        <w:t xml:space="preserve"> – Starptautiskie finanšu pārskatu standarti</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IKP</w:t>
      </w:r>
      <w:r>
        <w:rPr>
          <w:rFonts w:ascii="Times New Roman" w:hAnsi="Times New Roman"/>
          <w:noProof/>
          <w:sz w:val="24"/>
        </w:rPr>
        <w:t xml:space="preserve"> – iekšzemes kopprodukts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IPSAS</w:t>
      </w:r>
      <w:r>
        <w:rPr>
          <w:rFonts w:ascii="Times New Roman" w:hAnsi="Times New Roman"/>
          <w:noProof/>
          <w:sz w:val="24"/>
        </w:rPr>
        <w:t xml:space="preserve"> – Starptautiskie publiskā sektora grāmatvedības standarti</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IRS</w:t>
      </w:r>
      <w:r>
        <w:rPr>
          <w:rFonts w:ascii="Times New Roman" w:hAnsi="Times New Roman"/>
          <w:noProof/>
          <w:sz w:val="24"/>
        </w:rPr>
        <w:t xml:space="preserve"> [</w:t>
      </w:r>
      <w:r>
        <w:rPr>
          <w:rFonts w:ascii="Times New Roman" w:hAnsi="Times New Roman"/>
          <w:i/>
          <w:noProof/>
          <w:sz w:val="24"/>
        </w:rPr>
        <w:t>Interest rate swap</w:t>
      </w:r>
      <w:r>
        <w:rPr>
          <w:rFonts w:ascii="Times New Roman" w:hAnsi="Times New Roman"/>
          <w:noProof/>
          <w:sz w:val="24"/>
        </w:rPr>
        <w:t>] – procentu likmju mijmaiņas darījums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ISWGNA</w:t>
      </w:r>
      <w:r>
        <w:rPr>
          <w:rFonts w:ascii="Times New Roman" w:hAnsi="Times New Roman"/>
          <w:b/>
          <w:noProof/>
          <w:sz w:val="24"/>
        </w:rPr>
        <w:t xml:space="preserve"> </w:t>
      </w:r>
      <w:r>
        <w:rPr>
          <w:rFonts w:ascii="Times New Roman" w:hAnsi="Times New Roman"/>
          <w:noProof/>
          <w:sz w:val="24"/>
        </w:rPr>
        <w:t>– Tautsaimniecības pārskatu starpsekretariātu darba grupa (ANO, EK, IVF, ESAO, PB)</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ĪNDS</w:t>
      </w:r>
      <w:r>
        <w:rPr>
          <w:rFonts w:ascii="Times New Roman" w:hAnsi="Times New Roman"/>
          <w:noProof/>
          <w:sz w:val="24"/>
        </w:rPr>
        <w:t xml:space="preserve"> – īpašam nolūkam dibināta sabiedrība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LESD</w:t>
      </w:r>
      <w:r>
        <w:rPr>
          <w:rFonts w:ascii="Times New Roman" w:hAnsi="Times New Roman"/>
          <w:noProof/>
          <w:sz w:val="24"/>
        </w:rPr>
        <w:t xml:space="preserve"> – Līgums par Eiropas Savienības darbību</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LSCB</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Loan Specific Cash Buffer</w:t>
      </w:r>
      <w:r>
        <w:rPr>
          <w:rFonts w:ascii="Times New Roman" w:hAnsi="Times New Roman"/>
          <w:noProof/>
          <w:sz w:val="24"/>
        </w:rPr>
        <w:t>] – aizdevuma naudas rezerve</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MGDD</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Manual on Government Deficit and Debt – ESA implementation</w:t>
      </w:r>
      <w:r>
        <w:rPr>
          <w:rFonts w:ascii="Times New Roman" w:hAnsi="Times New Roman"/>
          <w:noProof/>
          <w:sz w:val="24"/>
        </w:rPr>
        <w:t>] – Valdības budžeta deficīta un parāda rokasgrāmata – EKS īstenošana</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NKI</w:t>
      </w:r>
      <w:r>
        <w:rPr>
          <w:rFonts w:ascii="Times New Roman" w:hAnsi="Times New Roman"/>
          <w:noProof/>
          <w:sz w:val="24"/>
        </w:rPr>
        <w:t xml:space="preserve"> – nacionālais kopienākums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NKS 2008</w:t>
      </w:r>
      <w:r>
        <w:rPr>
          <w:rFonts w:ascii="Times New Roman" w:hAnsi="Times New Roman"/>
          <w:noProof/>
          <w:sz w:val="24"/>
        </w:rPr>
        <w:t xml:space="preserve"> – 2008. gada nacionālo kontu sistēma</w:t>
      </w:r>
    </w:p>
    <w:p w:rsidR="00F12820" w:rsidRDefault="00F12820" w:rsidP="00F12820">
      <w:pPr>
        <w:jc w:val="both"/>
        <w:rPr>
          <w:rFonts w:ascii="Times New Roman" w:eastAsia="Arial" w:hAnsi="Times New Roman" w:cs="Arial"/>
          <w:noProof/>
          <w:sz w:val="24"/>
          <w:szCs w:val="20"/>
        </w:rPr>
      </w:pPr>
      <w:r>
        <w:rPr>
          <w:rFonts w:ascii="Times New Roman" w:hAnsi="Times New Roman"/>
          <w:b/>
          <w:i/>
          <w:noProof/>
          <w:sz w:val="24"/>
        </w:rPr>
        <w:t>PAYE</w:t>
      </w:r>
      <w:r>
        <w:rPr>
          <w:rFonts w:ascii="Times New Roman" w:hAnsi="Times New Roman"/>
          <w:noProof/>
          <w:sz w:val="24"/>
        </w:rPr>
        <w:t xml:space="preserve"> [</w:t>
      </w:r>
      <w:r>
        <w:rPr>
          <w:rFonts w:ascii="Times New Roman" w:hAnsi="Times New Roman"/>
          <w:i/>
          <w:noProof/>
          <w:sz w:val="24"/>
        </w:rPr>
        <w:t>A pay-as-you-earn tax</w:t>
      </w:r>
      <w:r>
        <w:rPr>
          <w:rFonts w:ascii="Times New Roman" w:hAnsi="Times New Roman"/>
          <w:noProof/>
          <w:sz w:val="24"/>
        </w:rPr>
        <w:t>] – “maksā, kad nopelni” nodoklis</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noProof/>
          <w:sz w:val="24"/>
        </w:rPr>
        <w:t>PB</w:t>
      </w:r>
      <w:r>
        <w:rPr>
          <w:rFonts w:ascii="Times New Roman" w:hAnsi="Times New Roman"/>
          <w:noProof/>
          <w:sz w:val="24"/>
        </w:rPr>
        <w:t xml:space="preserve"> – Pasaules Banka</w:t>
      </w:r>
    </w:p>
    <w:p w:rsidR="00F12820" w:rsidRDefault="00F12820" w:rsidP="00F12820">
      <w:pPr>
        <w:jc w:val="both"/>
        <w:rPr>
          <w:rFonts w:ascii="Times New Roman" w:eastAsia="Arial" w:hAnsi="Times New Roman" w:cs="Arial"/>
          <w:noProof/>
          <w:sz w:val="24"/>
          <w:szCs w:val="20"/>
        </w:rPr>
      </w:pPr>
      <w:r>
        <w:rPr>
          <w:rFonts w:ascii="Times New Roman" w:hAnsi="Times New Roman"/>
          <w:b/>
          <w:noProof/>
          <w:sz w:val="24"/>
        </w:rPr>
        <w:t>PVN</w:t>
      </w:r>
      <w:r>
        <w:rPr>
          <w:rFonts w:ascii="Times New Roman" w:hAnsi="Times New Roman"/>
          <w:noProof/>
          <w:sz w:val="24"/>
        </w:rPr>
        <w:t xml:space="preserve"> – pievienotās vērtības nodoklis</w:t>
      </w:r>
    </w:p>
    <w:p w:rsidR="00F12820" w:rsidRDefault="00122CCC" w:rsidP="00F12820">
      <w:pPr>
        <w:jc w:val="both"/>
        <w:rPr>
          <w:rFonts w:ascii="Times New Roman" w:eastAsia="Arial" w:hAnsi="Times New Roman" w:cs="Arial"/>
          <w:noProof/>
          <w:sz w:val="24"/>
          <w:szCs w:val="20"/>
        </w:rPr>
      </w:pPr>
      <w:r>
        <w:rPr>
          <w:rFonts w:ascii="Times New Roman" w:hAnsi="Times New Roman"/>
          <w:b/>
          <w:i/>
          <w:noProof/>
          <w:sz w:val="24"/>
        </w:rPr>
        <w:t>P&amp;I</w:t>
      </w:r>
      <w:r>
        <w:rPr>
          <w:rFonts w:ascii="Times New Roman" w:hAnsi="Times New Roman"/>
          <w:noProof/>
          <w:sz w:val="24"/>
        </w:rPr>
        <w:t xml:space="preserve"> – pētniecība un izstrāde</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RoE</w:t>
      </w:r>
      <w:r>
        <w:rPr>
          <w:rFonts w:ascii="Times New Roman" w:hAnsi="Times New Roman"/>
          <w:b/>
          <w:noProof/>
          <w:sz w:val="24"/>
        </w:rPr>
        <w:t xml:space="preserve"> </w:t>
      </w:r>
      <w:r>
        <w:rPr>
          <w:rFonts w:ascii="Times New Roman" w:hAnsi="Times New Roman"/>
          <w:noProof/>
          <w:sz w:val="24"/>
        </w:rPr>
        <w:t>[</w:t>
      </w:r>
      <w:r>
        <w:rPr>
          <w:rFonts w:ascii="Times New Roman" w:hAnsi="Times New Roman"/>
          <w:i/>
          <w:noProof/>
          <w:sz w:val="24"/>
        </w:rPr>
        <w:t>Return on equity</w:t>
      </w:r>
      <w:r w:rsidR="00122CCC">
        <w:rPr>
          <w:rFonts w:ascii="Times New Roman" w:hAnsi="Times New Roman"/>
          <w:noProof/>
          <w:sz w:val="24"/>
        </w:rPr>
        <w:t>] – pašu kapitāla atdeve</w:t>
      </w:r>
    </w:p>
    <w:p w:rsidR="00F12820" w:rsidRPr="001973D0" w:rsidRDefault="00F12820" w:rsidP="00F12820">
      <w:pPr>
        <w:jc w:val="both"/>
        <w:rPr>
          <w:rFonts w:ascii="Times New Roman" w:eastAsia="Arial" w:hAnsi="Times New Roman" w:cs="Arial"/>
          <w:noProof/>
          <w:sz w:val="24"/>
          <w:szCs w:val="20"/>
        </w:rPr>
      </w:pPr>
      <w:r>
        <w:rPr>
          <w:rFonts w:ascii="Times New Roman" w:hAnsi="Times New Roman"/>
          <w:b/>
          <w:i/>
          <w:noProof/>
          <w:sz w:val="24"/>
        </w:rPr>
        <w:t>RoW</w:t>
      </w:r>
      <w:r>
        <w:rPr>
          <w:rFonts w:ascii="Times New Roman" w:hAnsi="Times New Roman"/>
          <w:noProof/>
          <w:sz w:val="24"/>
        </w:rPr>
        <w:t xml:space="preserve"> [</w:t>
      </w:r>
      <w:r>
        <w:rPr>
          <w:rFonts w:ascii="Times New Roman" w:hAnsi="Times New Roman"/>
          <w:i/>
          <w:noProof/>
          <w:sz w:val="24"/>
        </w:rPr>
        <w:t>the rest of the world</w:t>
      </w:r>
      <w:r>
        <w:rPr>
          <w:rFonts w:ascii="Times New Roman" w:hAnsi="Times New Roman"/>
          <w:noProof/>
          <w:sz w:val="24"/>
        </w:rPr>
        <w:t>] – pārējā pasaule</w:t>
      </w:r>
    </w:p>
    <w:p w:rsidR="00122CCC" w:rsidRDefault="00F12820" w:rsidP="00122CCC">
      <w:pPr>
        <w:jc w:val="both"/>
        <w:rPr>
          <w:rFonts w:ascii="Times New Roman" w:hAnsi="Times New Roman"/>
          <w:b/>
          <w:noProof/>
          <w:sz w:val="24"/>
        </w:rPr>
      </w:pPr>
      <w:r>
        <w:rPr>
          <w:rFonts w:ascii="Times New Roman" w:hAnsi="Times New Roman"/>
          <w:b/>
          <w:noProof/>
          <w:sz w:val="24"/>
        </w:rPr>
        <w:t>SVF</w:t>
      </w:r>
      <w:r>
        <w:rPr>
          <w:rFonts w:ascii="Times New Roman" w:hAnsi="Times New Roman"/>
          <w:noProof/>
          <w:sz w:val="24"/>
        </w:rPr>
        <w:t xml:space="preserve"> – Starptautiskais Valūtas fonds</w:t>
      </w:r>
    </w:p>
    <w:p w:rsidR="00F12820" w:rsidRPr="001973D0" w:rsidRDefault="00122CCC" w:rsidP="00F12820">
      <w:pPr>
        <w:jc w:val="both"/>
        <w:rPr>
          <w:rFonts w:ascii="Times New Roman" w:eastAsia="Arial" w:hAnsi="Times New Roman" w:cs="Arial"/>
          <w:noProof/>
          <w:sz w:val="24"/>
          <w:szCs w:val="20"/>
        </w:rPr>
      </w:pPr>
      <w:r>
        <w:rPr>
          <w:rFonts w:ascii="Times New Roman" w:hAnsi="Times New Roman"/>
          <w:b/>
          <w:noProof/>
          <w:sz w:val="24"/>
        </w:rPr>
        <w:t>VCB</w:t>
      </w:r>
      <w:r>
        <w:rPr>
          <w:rFonts w:ascii="Times New Roman" w:hAnsi="Times New Roman"/>
          <w:noProof/>
          <w:sz w:val="24"/>
        </w:rPr>
        <w:t xml:space="preserve"> – valsts centrālā banka</w:t>
      </w:r>
    </w:p>
    <w:p w:rsidR="00073FEC" w:rsidRPr="001973D0" w:rsidRDefault="00073FEC" w:rsidP="00073FEC">
      <w:pPr>
        <w:jc w:val="both"/>
        <w:rPr>
          <w:rFonts w:ascii="Times New Roman" w:eastAsia="Arial" w:hAnsi="Times New Roman" w:cs="Arial"/>
          <w:noProof/>
          <w:sz w:val="24"/>
          <w:szCs w:val="20"/>
        </w:rPr>
      </w:pPr>
      <w:r>
        <w:rPr>
          <w:rFonts w:ascii="Times New Roman" w:hAnsi="Times New Roman"/>
          <w:b/>
          <w:noProof/>
          <w:sz w:val="24"/>
        </w:rPr>
        <w:t>VFS</w:t>
      </w:r>
      <w:r>
        <w:rPr>
          <w:rFonts w:ascii="Times New Roman" w:hAnsi="Times New Roman"/>
          <w:noProof/>
          <w:sz w:val="24"/>
        </w:rPr>
        <w:t xml:space="preserve"> – valdības finanšu statistika</w:t>
      </w:r>
    </w:p>
    <w:p w:rsidR="00073FEC" w:rsidRDefault="00073FEC" w:rsidP="00073FEC">
      <w:pPr>
        <w:rPr>
          <w:rFonts w:ascii="Times New Roman" w:eastAsia="Calibri" w:hAnsi="Times New Roman"/>
          <w:b/>
          <w:bCs/>
          <w:noProof/>
          <w:sz w:val="24"/>
          <w:szCs w:val="28"/>
        </w:rPr>
      </w:pPr>
      <w:r>
        <w:br w:type="page"/>
      </w:r>
    </w:p>
    <w:p w:rsidR="00073FEC" w:rsidRPr="00F12820" w:rsidRDefault="00073FEC" w:rsidP="00073FEC">
      <w:pPr>
        <w:pStyle w:val="Heading3"/>
        <w:ind w:left="0"/>
        <w:jc w:val="both"/>
        <w:rPr>
          <w:rFonts w:ascii="Times New Roman" w:hAnsi="Times New Roman"/>
          <w:noProof/>
        </w:rPr>
      </w:pPr>
      <w:bookmarkStart w:id="3" w:name="_Toc471135863"/>
      <w:r w:rsidRPr="00F12820">
        <w:rPr>
          <w:rFonts w:ascii="Times New Roman" w:hAnsi="Times New Roman"/>
          <w:noProof/>
        </w:rPr>
        <w:lastRenderedPageBreak/>
        <w:t>Saturs</w:t>
      </w:r>
      <w:bookmarkEnd w:id="3"/>
    </w:p>
    <w:sdt>
      <w:sdtPr>
        <w:rPr>
          <w:rFonts w:ascii="Times New Roman" w:eastAsiaTheme="minorHAnsi" w:hAnsi="Times New Roman" w:cs="Times New Roman"/>
          <w:color w:val="auto"/>
          <w:sz w:val="24"/>
          <w:szCs w:val="24"/>
          <w:lang w:val="lv-LV" w:eastAsia="lv-LV" w:bidi="lv-LV"/>
        </w:rPr>
        <w:id w:val="1667512725"/>
        <w:docPartObj>
          <w:docPartGallery w:val="Table of Contents"/>
          <w:docPartUnique/>
        </w:docPartObj>
      </w:sdtPr>
      <w:sdtEndPr>
        <w:rPr>
          <w:b/>
          <w:bCs/>
          <w:noProof/>
        </w:rPr>
      </w:sdtEndPr>
      <w:sdtContent>
        <w:bookmarkStart w:id="4" w:name="_GoBack" w:displacedByCustomXml="prev"/>
        <w:bookmarkEnd w:id="4" w:displacedByCustomXml="prev"/>
        <w:p w:rsidR="001F5CF9" w:rsidRPr="001F5CF9" w:rsidRDefault="001F5CF9" w:rsidP="001F5CF9">
          <w:pPr>
            <w:pStyle w:val="TOCHeading"/>
            <w:rPr>
              <w:rFonts w:ascii="Times New Roman" w:hAnsi="Times New Roman" w:cs="Times New Roman"/>
              <w:noProof/>
              <w:sz w:val="24"/>
              <w:szCs w:val="24"/>
            </w:rPr>
          </w:pPr>
          <w:r w:rsidRPr="001F5CF9">
            <w:rPr>
              <w:rFonts w:ascii="Times New Roman" w:hAnsi="Times New Roman" w:cs="Times New Roman"/>
              <w:sz w:val="24"/>
              <w:szCs w:val="24"/>
            </w:rPr>
            <w:fldChar w:fldCharType="begin"/>
          </w:r>
          <w:r w:rsidRPr="001F5CF9">
            <w:rPr>
              <w:rFonts w:ascii="Times New Roman" w:hAnsi="Times New Roman" w:cs="Times New Roman"/>
              <w:sz w:val="24"/>
              <w:szCs w:val="24"/>
            </w:rPr>
            <w:instrText xml:space="preserve"> TOC \o "1-3" \h \z \u </w:instrText>
          </w:r>
          <w:r w:rsidRPr="001F5CF9">
            <w:rPr>
              <w:rFonts w:ascii="Times New Roman" w:hAnsi="Times New Roman" w:cs="Times New Roman"/>
              <w:sz w:val="24"/>
              <w:szCs w:val="24"/>
            </w:rPr>
            <w:fldChar w:fldCharType="separate"/>
          </w:r>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864" w:history="1">
            <w:r w:rsidR="001F5CF9" w:rsidRPr="001F5CF9">
              <w:rPr>
                <w:rStyle w:val="Hyperlink"/>
                <w:rFonts w:ascii="Times New Roman" w:hAnsi="Times New Roman" w:cs="Times New Roman"/>
                <w:noProof/>
                <w:sz w:val="24"/>
                <w:szCs w:val="24"/>
              </w:rPr>
              <w:t>I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Vispārējās valdības sektora norobežošana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65" w:history="1">
            <w:r w:rsidR="001F5CF9" w:rsidRPr="001F5CF9">
              <w:rPr>
                <w:rStyle w:val="Hyperlink"/>
                <w:rFonts w:ascii="Times New Roman" w:hAnsi="Times New Roman" w:cs="Times New Roman"/>
                <w:noProof/>
                <w:sz w:val="24"/>
                <w:szCs w:val="24"/>
              </w:rPr>
              <w:t>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66" w:history="1">
            <w:r w:rsidR="001F5CF9" w:rsidRPr="001F5CF9">
              <w:rPr>
                <w:rStyle w:val="Hyperlink"/>
                <w:rFonts w:ascii="Times New Roman" w:hAnsi="Times New Roman" w:cs="Times New Roman"/>
                <w:noProof/>
                <w:sz w:val="24"/>
                <w:szCs w:val="24"/>
              </w:rPr>
              <w:t>I.2. Kritēriji vienību klasificēšanai vispārējās valdības sektorā</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67" w:history="1">
            <w:r w:rsidR="001F5CF9" w:rsidRPr="001F5CF9">
              <w:rPr>
                <w:rStyle w:val="Hyperlink"/>
                <w:rFonts w:ascii="Times New Roman" w:hAnsi="Times New Roman" w:cs="Times New Roman"/>
                <w:noProof/>
                <w:sz w:val="24"/>
                <w:szCs w:val="24"/>
              </w:rPr>
              <w:t>I.3. Pensiju institūcijas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38</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68" w:history="1">
            <w:r w:rsidR="001F5CF9" w:rsidRPr="001F5CF9">
              <w:rPr>
                <w:rStyle w:val="Hyperlink"/>
                <w:rFonts w:ascii="Times New Roman" w:hAnsi="Times New Roman" w:cs="Times New Roman"/>
                <w:noProof/>
                <w:sz w:val="24"/>
                <w:szCs w:val="24"/>
              </w:rPr>
              <w:t>I.4. Tirgu regulējošas institūcijas lauksaimniecības nozarē</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45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69" w:history="1">
            <w:r w:rsidR="001F5CF9" w:rsidRPr="001F5CF9">
              <w:rPr>
                <w:rStyle w:val="Hyperlink"/>
                <w:rFonts w:ascii="Times New Roman" w:hAnsi="Times New Roman" w:cs="Times New Roman"/>
                <w:noProof/>
                <w:sz w:val="24"/>
                <w:szCs w:val="24"/>
              </w:rPr>
              <w:t>I.5. Vienības, kas veic finansiālās darbības – vispārīgi jautājumi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_Toc471135869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51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0" w:history="1">
            <w:r w:rsidR="001F5CF9" w:rsidRPr="001F5CF9">
              <w:rPr>
                <w:rStyle w:val="Hyperlink"/>
                <w:rFonts w:ascii="Times New Roman" w:hAnsi="Times New Roman" w:cs="Times New Roman"/>
                <w:noProof/>
                <w:sz w:val="24"/>
                <w:szCs w:val="24"/>
              </w:rPr>
              <w:t>I.6. Īpaši publiski subjekti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55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1" w:history="1">
            <w:r w:rsidR="001F5CF9" w:rsidRPr="001F5CF9">
              <w:rPr>
                <w:rStyle w:val="Hyperlink"/>
                <w:rFonts w:ascii="Times New Roman" w:hAnsi="Times New Roman" w:cs="Times New Roman"/>
                <w:noProof/>
                <w:sz w:val="24"/>
                <w:szCs w:val="24"/>
              </w:rPr>
              <w:t>I.7. Valdības parāda pārvaldības biroji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69</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2" w:history="1">
            <w:r w:rsidR="001F5CF9" w:rsidRPr="001F5CF9">
              <w:rPr>
                <w:rStyle w:val="Hyperlink"/>
                <w:rFonts w:ascii="Times New Roman" w:hAnsi="Times New Roman" w:cs="Times New Roman"/>
                <w:noProof/>
                <w:sz w:val="24"/>
                <w:szCs w:val="24"/>
              </w:rPr>
              <w:t>I.8. Kopuzņēmumi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3" w:history="1">
            <w:r w:rsidR="001F5CF9" w:rsidRPr="001F5CF9">
              <w:rPr>
                <w:rStyle w:val="Hyperlink"/>
                <w:rFonts w:ascii="Times New Roman" w:hAnsi="Times New Roman" w:cs="Times New Roman"/>
                <w:noProof/>
                <w:sz w:val="24"/>
                <w:szCs w:val="24"/>
              </w:rPr>
              <w:t>I.9. Eiropas subjekti, kas saistīti ar eirozonas valstu parādu krīzi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72</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4" w:history="1">
            <w:r w:rsidR="001F5CF9" w:rsidRPr="001F5CF9">
              <w:rPr>
                <w:rStyle w:val="Hyperlink"/>
                <w:rFonts w:ascii="Times New Roman" w:hAnsi="Times New Roman" w:cs="Times New Roman"/>
                <w:noProof/>
                <w:sz w:val="24"/>
                <w:szCs w:val="24"/>
              </w:rPr>
              <w:t>I.10.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75</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875" w:history="1">
            <w:r w:rsidR="001F5CF9" w:rsidRPr="001F5CF9">
              <w:rPr>
                <w:rStyle w:val="Hyperlink"/>
                <w:rFonts w:ascii="Times New Roman" w:hAnsi="Times New Roman" w:cs="Times New Roman"/>
                <w:noProof/>
                <w:sz w:val="24"/>
                <w:szCs w:val="24"/>
              </w:rPr>
              <w:t>II daļa.</w:t>
            </w:r>
            <w:r w:rsidR="001F5CF9" w:rsidRPr="001F5CF9">
              <w:rPr>
                <w:rFonts w:ascii="Times New Roman" w:eastAsiaTheme="minorEastAsia" w:hAnsi="Times New Roman" w:cs="Times New Roman"/>
                <w:b w:val="0"/>
                <w:bCs w:val="0"/>
                <w:noProof/>
                <w:sz w:val="24"/>
                <w:szCs w:val="24"/>
                <w:lang w:bidi="ar-SA"/>
              </w:rPr>
              <w:t xml:space="preserve"> </w:t>
            </w:r>
            <w:r w:rsidR="00372B0D">
              <w:rPr>
                <w:rStyle w:val="Hyperlink"/>
                <w:rFonts w:ascii="Times New Roman" w:hAnsi="Times New Roman" w:cs="Times New Roman"/>
                <w:noProof/>
                <w:sz w:val="24"/>
                <w:szCs w:val="24"/>
              </w:rPr>
              <w:t>Ierakstīšanas</w:t>
            </w:r>
            <w:r w:rsidR="001F5CF9" w:rsidRPr="001F5CF9">
              <w:rPr>
                <w:rStyle w:val="Hyperlink"/>
                <w:rFonts w:ascii="Times New Roman" w:hAnsi="Times New Roman" w:cs="Times New Roman"/>
                <w:noProof/>
                <w:sz w:val="24"/>
                <w:szCs w:val="24"/>
              </w:rPr>
              <w:t xml:space="preserve"> laiks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6" w:history="1">
            <w:r w:rsidR="001F5CF9" w:rsidRPr="001F5CF9">
              <w:rPr>
                <w:rStyle w:val="Hyperlink"/>
                <w:rFonts w:ascii="Times New Roman" w:hAnsi="Times New Roman" w:cs="Times New Roman"/>
                <w:noProof/>
                <w:sz w:val="24"/>
                <w:szCs w:val="24"/>
              </w:rPr>
              <w:t>II.1.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7" w:history="1">
            <w:r w:rsidR="001F5CF9" w:rsidRPr="001F5CF9">
              <w:rPr>
                <w:rStyle w:val="Hyperlink"/>
                <w:rFonts w:ascii="Times New Roman" w:hAnsi="Times New Roman" w:cs="Times New Roman"/>
                <w:noProof/>
                <w:sz w:val="24"/>
                <w:szCs w:val="24"/>
              </w:rPr>
              <w:t>II.2. Nodokļu un sociālo ie</w:t>
            </w:r>
            <w:r w:rsidR="001C544B">
              <w:rPr>
                <w:rStyle w:val="Hyperlink"/>
                <w:rFonts w:ascii="Times New Roman" w:hAnsi="Times New Roman" w:cs="Times New Roman"/>
                <w:noProof/>
                <w:sz w:val="24"/>
                <w:szCs w:val="24"/>
              </w:rPr>
              <w:t>maksu ierakstīšana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78</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8" w:history="1">
            <w:r w:rsidR="001F5CF9" w:rsidRPr="001F5CF9">
              <w:rPr>
                <w:rStyle w:val="Hyperlink"/>
                <w:rFonts w:ascii="Times New Roman" w:hAnsi="Times New Roman" w:cs="Times New Roman"/>
                <w:noProof/>
                <w:sz w:val="24"/>
                <w:szCs w:val="24"/>
              </w:rPr>
              <w:t>II.3. Maksājuma termiņa maiņa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85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79" w:history="1">
            <w:r>
              <w:rPr>
                <w:rStyle w:val="Hyperlink"/>
                <w:rFonts w:ascii="Times New Roman" w:hAnsi="Times New Roman" w:cs="Times New Roman"/>
                <w:noProof/>
                <w:sz w:val="24"/>
                <w:szCs w:val="24"/>
              </w:rPr>
              <w:t>II.4. Procentu ierakstīšan</w:t>
            </w:r>
            <w:r>
              <w:rPr>
                <w:rStyle w:val="Hyperlink"/>
                <w:rFonts w:ascii="Times New Roman" w:hAnsi="Times New Roman" w:cs="Times New Roman"/>
                <w:noProof/>
                <w:sz w:val="24"/>
                <w:szCs w:val="24"/>
              </w:rPr>
              <w:t>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_Toc471135879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87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0" w:history="1">
            <w:r w:rsidR="001F5CF9" w:rsidRPr="001F5CF9">
              <w:rPr>
                <w:rStyle w:val="Hyperlink"/>
                <w:rFonts w:ascii="Times New Roman" w:hAnsi="Times New Roman" w:cs="Times New Roman"/>
                <w:noProof/>
                <w:sz w:val="24"/>
                <w:szCs w:val="24"/>
              </w:rPr>
              <w:t>II.5. Militārie izdevumi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111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1" w:history="1">
            <w:r w:rsidR="001F5CF9" w:rsidRPr="001F5CF9">
              <w:rPr>
                <w:rStyle w:val="Hyperlink"/>
                <w:rFonts w:ascii="Times New Roman" w:hAnsi="Times New Roman" w:cs="Times New Roman"/>
                <w:noProof/>
                <w:sz w:val="24"/>
                <w:szCs w:val="24"/>
              </w:rPr>
              <w:t>II.6. Dotācijas no ES budžeta un iemaksas ES budžetā</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125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2" w:history="1">
            <w:r w:rsidR="001F5CF9" w:rsidRPr="001F5CF9">
              <w:rPr>
                <w:rStyle w:val="Hyperlink"/>
                <w:rFonts w:ascii="Times New Roman" w:hAnsi="Times New Roman" w:cs="Times New Roman"/>
                <w:noProof/>
                <w:sz w:val="24"/>
                <w:szCs w:val="24"/>
              </w:rPr>
              <w:t>II.7. Tiesas nolēmumi ar atpakaļejošu spēku</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140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3" w:history="1">
            <w:r w:rsidR="001F5CF9" w:rsidRPr="001F5CF9">
              <w:rPr>
                <w:rStyle w:val="Hyperlink"/>
                <w:rFonts w:ascii="Times New Roman" w:hAnsi="Times New Roman" w:cs="Times New Roman"/>
                <w:noProof/>
                <w:sz w:val="24"/>
                <w:szCs w:val="24"/>
              </w:rPr>
              <w:t>II.8.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142</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884" w:history="1">
            <w:r w:rsidR="001F5CF9" w:rsidRPr="001F5CF9">
              <w:rPr>
                <w:rStyle w:val="Hyperlink"/>
                <w:rFonts w:ascii="Times New Roman" w:hAnsi="Times New Roman" w:cs="Times New Roman"/>
                <w:noProof/>
                <w:sz w:val="24"/>
                <w:szCs w:val="24"/>
              </w:rPr>
              <w:t>III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Vispārējā valdība un valdības kontrolēti subjekti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143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5" w:history="1">
            <w:r w:rsidR="001F5CF9" w:rsidRPr="001F5CF9">
              <w:rPr>
                <w:rStyle w:val="Hyperlink"/>
                <w:rFonts w:ascii="Times New Roman" w:hAnsi="Times New Roman" w:cs="Times New Roman"/>
                <w:noProof/>
                <w:sz w:val="24"/>
                <w:szCs w:val="24"/>
              </w:rPr>
              <w:t>III.1.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143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6" w:history="1">
            <w:r w:rsidR="001F5CF9" w:rsidRPr="001F5CF9">
              <w:rPr>
                <w:rStyle w:val="Hyperlink"/>
                <w:rFonts w:ascii="Times New Roman" w:hAnsi="Times New Roman" w:cs="Times New Roman"/>
                <w:noProof/>
                <w:sz w:val="24"/>
                <w:szCs w:val="24"/>
              </w:rPr>
              <w:t>III.2. Kapitāla iepludināšana publiskās sabiedrībās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145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89" w:history="1">
            <w:r w:rsidR="001F5CF9" w:rsidRPr="001F5CF9">
              <w:rPr>
                <w:rStyle w:val="Hyperlink"/>
                <w:rFonts w:ascii="Times New Roman" w:hAnsi="Times New Roman" w:cs="Times New Roman"/>
                <w:noProof/>
                <w:sz w:val="24"/>
                <w:szCs w:val="24"/>
              </w:rPr>
              <w:t>III.3. Kapitāla iepludināšana publiskās kvazisabiedrībās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_Toc471135889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161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0" w:history="1">
            <w:r w:rsidR="001F5CF9" w:rsidRPr="001F5CF9">
              <w:rPr>
                <w:rStyle w:val="Hyperlink"/>
                <w:rFonts w:ascii="Times New Roman" w:hAnsi="Times New Roman" w:cs="Times New Roman"/>
                <w:noProof/>
                <w:sz w:val="24"/>
                <w:szCs w:val="24"/>
              </w:rPr>
              <w:t>III.4. Kapitāla iepludināšana natūrā</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167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1" w:history="1">
            <w:r w:rsidR="001F5CF9" w:rsidRPr="001F5CF9">
              <w:rPr>
                <w:rStyle w:val="Hyperlink"/>
                <w:rFonts w:ascii="Times New Roman" w:hAnsi="Times New Roman" w:cs="Times New Roman"/>
                <w:noProof/>
                <w:sz w:val="24"/>
                <w:szCs w:val="24"/>
              </w:rPr>
              <w:t>III.5. Dividen</w:t>
            </w:r>
            <w:r w:rsidR="00826349">
              <w:rPr>
                <w:rStyle w:val="Hyperlink"/>
                <w:rFonts w:ascii="Times New Roman" w:hAnsi="Times New Roman" w:cs="Times New Roman"/>
                <w:noProof/>
                <w:sz w:val="24"/>
                <w:szCs w:val="24"/>
              </w:rPr>
              <w:t>des, superdividendes, starpperioda</w:t>
            </w:r>
            <w:r w:rsidR="001F5CF9" w:rsidRPr="001F5CF9">
              <w:rPr>
                <w:rStyle w:val="Hyperlink"/>
                <w:rFonts w:ascii="Times New Roman" w:hAnsi="Times New Roman" w:cs="Times New Roman"/>
                <w:noProof/>
                <w:sz w:val="24"/>
                <w:szCs w:val="24"/>
              </w:rPr>
              <w:t xml:space="preserve"> dividendes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171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2" w:history="1">
            <w:r w:rsidR="001F5CF9" w:rsidRPr="001F5CF9">
              <w:rPr>
                <w:rStyle w:val="Hyperlink"/>
                <w:rFonts w:ascii="Times New Roman" w:hAnsi="Times New Roman" w:cs="Times New Roman"/>
                <w:noProof/>
                <w:sz w:val="24"/>
                <w:szCs w:val="24"/>
              </w:rPr>
              <w:t>III.6. Pensiju saistību nodošanas ietekme uz valdības kontiem.</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175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3" w:history="1">
            <w:r w:rsidR="001F5CF9" w:rsidRPr="001F5CF9">
              <w:rPr>
                <w:rStyle w:val="Hyperlink"/>
                <w:rFonts w:ascii="Times New Roman" w:hAnsi="Times New Roman" w:cs="Times New Roman"/>
                <w:noProof/>
                <w:sz w:val="24"/>
                <w:szCs w:val="24"/>
              </w:rPr>
              <w:t>III.7. Ekspluatācijas pārtraukšanas izmaksu pārneses ietekme uz valdības kontiem</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186</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4" w:history="1">
            <w:r w:rsidR="001F5CF9" w:rsidRPr="001F5CF9">
              <w:rPr>
                <w:rStyle w:val="Hyperlink"/>
                <w:rFonts w:ascii="Times New Roman" w:hAnsi="Times New Roman" w:cs="Times New Roman"/>
                <w:noProof/>
                <w:sz w:val="24"/>
                <w:szCs w:val="24"/>
              </w:rPr>
              <w:t>III.8. pielikums. EKS 2010 darījumu izlase</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193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5" w:history="1">
            <w:r w:rsidR="001F5CF9" w:rsidRPr="001F5CF9">
              <w:rPr>
                <w:rStyle w:val="Hyperlink"/>
                <w:rFonts w:ascii="Times New Roman" w:hAnsi="Times New Roman" w:cs="Times New Roman"/>
                <w:noProof/>
                <w:sz w:val="24"/>
                <w:szCs w:val="24"/>
              </w:rPr>
              <w:t>III.9.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198</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896" w:history="1">
            <w:r w:rsidR="001F5CF9" w:rsidRPr="001F5CF9">
              <w:rPr>
                <w:rStyle w:val="Hyperlink"/>
                <w:rFonts w:ascii="Times New Roman" w:hAnsi="Times New Roman" w:cs="Times New Roman"/>
                <w:noProof/>
                <w:sz w:val="24"/>
                <w:szCs w:val="24"/>
              </w:rPr>
              <w:t>IV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Attiecības starp valdību un finanšu sektoru</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199</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7" w:history="1">
            <w:r w:rsidR="001F5CF9" w:rsidRPr="001F5CF9">
              <w:rPr>
                <w:rStyle w:val="Hyperlink"/>
                <w:rFonts w:ascii="Times New Roman" w:hAnsi="Times New Roman" w:cs="Times New Roman"/>
                <w:noProof/>
                <w:sz w:val="24"/>
                <w:szCs w:val="24"/>
              </w:rPr>
              <w:t>IV.1.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199</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8" w:history="1">
            <w:r w:rsidR="001F5CF9" w:rsidRPr="001F5CF9">
              <w:rPr>
                <w:rStyle w:val="Hyperlink"/>
                <w:rFonts w:ascii="Times New Roman" w:hAnsi="Times New Roman" w:cs="Times New Roman"/>
                <w:noProof/>
                <w:sz w:val="24"/>
                <w:szCs w:val="24"/>
              </w:rPr>
              <w:t>IV.2. Maksājumi starp centrālo banku un valdību</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200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899" w:history="1">
            <w:r w:rsidR="001F5CF9" w:rsidRPr="001F5CF9">
              <w:rPr>
                <w:rStyle w:val="Hyperlink"/>
                <w:rFonts w:ascii="Times New Roman" w:hAnsi="Times New Roman" w:cs="Times New Roman"/>
                <w:noProof/>
                <w:sz w:val="24"/>
                <w:szCs w:val="24"/>
              </w:rPr>
              <w:t>IV.3. Zelta tirdzniecība un ārvalstu valūtu maiņa centrālajā bankā</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_Toc471135899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208</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0" w:history="1">
            <w:r w:rsidR="00345AF2">
              <w:rPr>
                <w:rStyle w:val="Hyperlink"/>
                <w:rFonts w:ascii="Times New Roman" w:hAnsi="Times New Roman" w:cs="Times New Roman"/>
                <w:noProof/>
                <w:sz w:val="24"/>
                <w:szCs w:val="24"/>
              </w:rPr>
              <w:t>IV.4. Neatgūtās banknotes</w:t>
            </w:r>
            <w:r w:rsidR="001F5CF9" w:rsidRPr="001F5CF9">
              <w:rPr>
                <w:rStyle w:val="Hyperlink"/>
                <w:rFonts w:ascii="Times New Roman" w:hAnsi="Times New Roman" w:cs="Times New Roman"/>
                <w:noProof/>
                <w:sz w:val="24"/>
                <w:szCs w:val="24"/>
              </w:rPr>
              <w:t xml:space="preserve"> un monētas pēc naudas nomaiņas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215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1" w:history="1">
            <w:r w:rsidR="001F5CF9" w:rsidRPr="001F5CF9">
              <w:rPr>
                <w:rStyle w:val="Hyperlink"/>
                <w:rFonts w:ascii="Times New Roman" w:hAnsi="Times New Roman" w:cs="Times New Roman"/>
                <w:noProof/>
                <w:sz w:val="24"/>
                <w:szCs w:val="24"/>
              </w:rPr>
              <w:t>IV.5. Finanšu sanācija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224</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2" w:history="1">
            <w:r w:rsidR="001F5CF9" w:rsidRPr="001F5CF9">
              <w:rPr>
                <w:rStyle w:val="Hyperlink"/>
                <w:rFonts w:ascii="Times New Roman" w:hAnsi="Times New Roman" w:cs="Times New Roman"/>
                <w:noProof/>
                <w:sz w:val="24"/>
                <w:szCs w:val="24"/>
              </w:rPr>
              <w:t>IV.6. Kapitāla pieaugums daudzpusējās attīstības bankās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241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3" w:history="1">
            <w:r w:rsidR="001F5CF9" w:rsidRPr="001F5CF9">
              <w:rPr>
                <w:rStyle w:val="Hyperlink"/>
                <w:rFonts w:ascii="Times New Roman" w:hAnsi="Times New Roman" w:cs="Times New Roman"/>
                <w:noProof/>
                <w:sz w:val="24"/>
                <w:szCs w:val="24"/>
              </w:rPr>
              <w:t>IV.7.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245</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904" w:history="1">
            <w:r w:rsidR="001F5CF9" w:rsidRPr="001F5CF9">
              <w:rPr>
                <w:rStyle w:val="Hyperlink"/>
                <w:rFonts w:ascii="Times New Roman" w:hAnsi="Times New Roman" w:cs="Times New Roman"/>
                <w:noProof/>
                <w:sz w:val="24"/>
                <w:szCs w:val="24"/>
              </w:rPr>
              <w:t>V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Aktīvu pārdošana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246</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5" w:history="1">
            <w:r w:rsidR="001F5CF9" w:rsidRPr="001F5CF9">
              <w:rPr>
                <w:rStyle w:val="Hyperlink"/>
                <w:rFonts w:ascii="Times New Roman" w:hAnsi="Times New Roman" w:cs="Times New Roman"/>
                <w:noProof/>
                <w:sz w:val="24"/>
                <w:szCs w:val="24"/>
              </w:rPr>
              <w:t>V.1.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246</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6" w:history="1">
            <w:r w:rsidR="001F5CF9" w:rsidRPr="001F5CF9">
              <w:rPr>
                <w:rStyle w:val="Hyperlink"/>
                <w:rFonts w:ascii="Times New Roman" w:hAnsi="Times New Roman" w:cs="Times New Roman"/>
                <w:noProof/>
                <w:sz w:val="24"/>
                <w:szCs w:val="24"/>
              </w:rPr>
              <w:t>V.2. Finanšu un nefinanšu aktīvu pārdošana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247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7" w:history="1">
            <w:r w:rsidR="001F5CF9" w:rsidRPr="001F5CF9">
              <w:rPr>
                <w:rStyle w:val="Hyperlink"/>
                <w:rFonts w:ascii="Times New Roman" w:hAnsi="Times New Roman" w:cs="Times New Roman"/>
                <w:noProof/>
                <w:sz w:val="24"/>
                <w:szCs w:val="24"/>
              </w:rPr>
              <w:t>V.3. Privatizācijas ieņēmumi no publiskām sabiedrībām</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253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8" w:history="1">
            <w:r w:rsidR="001F5CF9" w:rsidRPr="001F5CF9">
              <w:rPr>
                <w:rStyle w:val="Hyperlink"/>
                <w:rFonts w:ascii="Times New Roman" w:hAnsi="Times New Roman" w:cs="Times New Roman"/>
                <w:noProof/>
                <w:sz w:val="24"/>
                <w:szCs w:val="24"/>
              </w:rPr>
              <w:t>V.4. Privatizācijas sertifikātu restitūcija un izmantošana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256</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09" w:history="1">
            <w:r w:rsidR="001F5CF9" w:rsidRPr="001F5CF9">
              <w:rPr>
                <w:rStyle w:val="Hyperlink"/>
                <w:rFonts w:ascii="Times New Roman" w:hAnsi="Times New Roman" w:cs="Times New Roman"/>
                <w:noProof/>
                <w:sz w:val="24"/>
                <w:szCs w:val="24"/>
              </w:rPr>
              <w:t>V.5. Vispārējās valdības veiktās vērtspapīrošanas operācijas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_Toc471135909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265</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0" w:history="1">
            <w:r w:rsidR="001F5CF9" w:rsidRPr="001F5CF9">
              <w:rPr>
                <w:rStyle w:val="Hyperlink"/>
                <w:rFonts w:ascii="Times New Roman" w:hAnsi="Times New Roman" w:cs="Times New Roman"/>
                <w:noProof/>
                <w:sz w:val="24"/>
                <w:szCs w:val="24"/>
              </w:rPr>
              <w:t>V.6. Zemas procentu likmes aizdevumi un valdības zemas procentu likmes aizdevumu pārdošana trešām pusēm</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287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1" w:history="1">
            <w:r w:rsidR="001F5CF9" w:rsidRPr="001F5CF9">
              <w:rPr>
                <w:rStyle w:val="Hyperlink"/>
                <w:rFonts w:ascii="Times New Roman" w:hAnsi="Times New Roman" w:cs="Times New Roman"/>
                <w:noProof/>
                <w:sz w:val="24"/>
                <w:szCs w:val="24"/>
              </w:rPr>
              <w:t>V.7.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289</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912" w:history="1">
            <w:r w:rsidR="001F5CF9" w:rsidRPr="001F5CF9">
              <w:rPr>
                <w:rStyle w:val="Hyperlink"/>
                <w:rFonts w:ascii="Times New Roman" w:hAnsi="Times New Roman" w:cs="Times New Roman"/>
                <w:noProof/>
                <w:sz w:val="24"/>
                <w:szCs w:val="24"/>
              </w:rPr>
              <w:t>VI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Noma, licences un koncesijas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290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3" w:history="1">
            <w:r w:rsidR="001F5CF9" w:rsidRPr="001F5CF9">
              <w:rPr>
                <w:rStyle w:val="Hyperlink"/>
                <w:rFonts w:ascii="Times New Roman" w:hAnsi="Times New Roman" w:cs="Times New Roman"/>
                <w:noProof/>
                <w:sz w:val="24"/>
                <w:szCs w:val="24"/>
              </w:rPr>
              <w:t>VI.1.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290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4" w:history="1">
            <w:r w:rsidR="001F5CF9" w:rsidRPr="001F5CF9">
              <w:rPr>
                <w:rStyle w:val="Hyperlink"/>
                <w:rFonts w:ascii="Times New Roman" w:hAnsi="Times New Roman" w:cs="Times New Roman"/>
                <w:noProof/>
                <w:sz w:val="24"/>
                <w:szCs w:val="24"/>
              </w:rPr>
              <w:t>VI.2. Pārdošana ar saņemšanu atpakaļ nomā</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299</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5" w:history="1">
            <w:r w:rsidR="001F5CF9" w:rsidRPr="001F5CF9">
              <w:rPr>
                <w:rStyle w:val="Hyperlink"/>
                <w:rFonts w:ascii="Times New Roman" w:hAnsi="Times New Roman" w:cs="Times New Roman"/>
                <w:noProof/>
                <w:sz w:val="24"/>
                <w:szCs w:val="24"/>
              </w:rPr>
              <w:t>VI.3. Līgumi ar valdības sektoram nepiederošām vienībām saistībā ar pamatlīdzekļiem</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303</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6" w:history="1">
            <w:r w:rsidR="001F5CF9" w:rsidRPr="001F5CF9">
              <w:rPr>
                <w:rStyle w:val="Hyperlink"/>
                <w:rFonts w:ascii="Times New Roman" w:hAnsi="Times New Roman" w:cs="Times New Roman"/>
                <w:noProof/>
                <w:sz w:val="24"/>
                <w:szCs w:val="24"/>
              </w:rPr>
              <w:t>VI.4. Publiskā un privātā partnerība (PPP)</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314</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7" w:history="1">
            <w:r w:rsidR="001F5CF9" w:rsidRPr="001F5CF9">
              <w:rPr>
                <w:rStyle w:val="Hyperlink"/>
                <w:rFonts w:ascii="Times New Roman" w:hAnsi="Times New Roman" w:cs="Times New Roman"/>
                <w:noProof/>
                <w:sz w:val="24"/>
                <w:szCs w:val="24"/>
              </w:rPr>
              <w:t>VI.5. Emisijas tirdzniecības kvotas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337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18" w:history="1">
            <w:r w:rsidR="001F5CF9" w:rsidRPr="001F5CF9">
              <w:rPr>
                <w:rStyle w:val="Hyperlink"/>
                <w:rFonts w:ascii="Times New Roman" w:hAnsi="Times New Roman" w:cs="Times New Roman"/>
                <w:noProof/>
                <w:sz w:val="24"/>
                <w:szCs w:val="24"/>
              </w:rPr>
              <w:t>VI.6.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346</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04"/>
              <w:tab w:val="right" w:leader="dot" w:pos="9065"/>
            </w:tabs>
            <w:ind w:left="0"/>
            <w:rPr>
              <w:rFonts w:ascii="Times New Roman" w:eastAsiaTheme="minorEastAsia" w:hAnsi="Times New Roman" w:cs="Times New Roman"/>
              <w:b w:val="0"/>
              <w:bCs w:val="0"/>
              <w:noProof/>
              <w:sz w:val="24"/>
              <w:szCs w:val="24"/>
              <w:lang w:bidi="ar-SA"/>
            </w:rPr>
          </w:pPr>
          <w:hyperlink w:anchor="_Toc471135919" w:history="1">
            <w:r w:rsidR="001F5CF9" w:rsidRPr="001F5CF9">
              <w:rPr>
                <w:rStyle w:val="Hyperlink"/>
                <w:rFonts w:ascii="Times New Roman" w:hAnsi="Times New Roman" w:cs="Times New Roman"/>
                <w:noProof/>
                <w:sz w:val="24"/>
                <w:szCs w:val="24"/>
              </w:rPr>
              <w:t>VII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Ar parādu saistītie darījumi un garantijas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_Toc471135919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347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0" w:history="1">
            <w:r w:rsidR="001F5CF9" w:rsidRPr="001F5CF9">
              <w:rPr>
                <w:rStyle w:val="Hyperlink"/>
                <w:rFonts w:ascii="Times New Roman" w:hAnsi="Times New Roman" w:cs="Times New Roman"/>
                <w:noProof/>
                <w:sz w:val="24"/>
                <w:szCs w:val="24"/>
              </w:rPr>
              <w:t>VII.1.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347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1" w:history="1">
            <w:r w:rsidR="001F5CF9" w:rsidRPr="001F5CF9">
              <w:rPr>
                <w:rStyle w:val="Hyperlink"/>
                <w:rFonts w:ascii="Times New Roman" w:hAnsi="Times New Roman" w:cs="Times New Roman"/>
                <w:noProof/>
                <w:sz w:val="24"/>
                <w:szCs w:val="24"/>
              </w:rPr>
              <w:t>VII.2. Parāda pārņemšana un parāda atcelšana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348</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2" w:history="1">
            <w:r w:rsidR="001F5CF9" w:rsidRPr="001F5CF9">
              <w:rPr>
                <w:rStyle w:val="Hyperlink"/>
                <w:rFonts w:ascii="Times New Roman" w:hAnsi="Times New Roman" w:cs="Times New Roman"/>
                <w:noProof/>
                <w:sz w:val="24"/>
                <w:szCs w:val="24"/>
              </w:rPr>
              <w:t>VII.3. Parāda atmaksas grafika pārskatīšana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_Toc471135922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358</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3" w:history="1">
            <w:r w:rsidR="001F5CF9" w:rsidRPr="001F5CF9">
              <w:rPr>
                <w:rStyle w:val="Hyperlink"/>
                <w:rFonts w:ascii="Times New Roman" w:hAnsi="Times New Roman" w:cs="Times New Roman"/>
                <w:noProof/>
                <w:sz w:val="24"/>
                <w:szCs w:val="24"/>
              </w:rPr>
              <w:t>VII.4. Valdības garantijas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_Toc471135923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370</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4" w:history="1">
            <w:r w:rsidR="001F5CF9" w:rsidRPr="001F5CF9">
              <w:rPr>
                <w:rStyle w:val="Hyperlink"/>
                <w:rFonts w:ascii="Times New Roman" w:hAnsi="Times New Roman" w:cs="Times New Roman"/>
                <w:noProof/>
                <w:sz w:val="24"/>
                <w:szCs w:val="24"/>
              </w:rPr>
              <w:t>VII.5.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_Toc471135924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390</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left" w:pos="1937"/>
              <w:tab w:val="right" w:leader="dot" w:pos="9065"/>
            </w:tabs>
            <w:ind w:left="0"/>
            <w:rPr>
              <w:rFonts w:ascii="Times New Roman" w:eastAsiaTheme="minorEastAsia" w:hAnsi="Times New Roman" w:cs="Times New Roman"/>
              <w:b w:val="0"/>
              <w:bCs w:val="0"/>
              <w:noProof/>
              <w:sz w:val="24"/>
              <w:szCs w:val="24"/>
              <w:lang w:bidi="ar-SA"/>
            </w:rPr>
          </w:pPr>
          <w:hyperlink w:anchor="_Toc471135925" w:history="1">
            <w:r w:rsidR="001F5CF9" w:rsidRPr="001F5CF9">
              <w:rPr>
                <w:rStyle w:val="Hyperlink"/>
                <w:rFonts w:ascii="Times New Roman" w:hAnsi="Times New Roman" w:cs="Times New Roman"/>
                <w:noProof/>
                <w:sz w:val="24"/>
                <w:szCs w:val="24"/>
              </w:rPr>
              <w:t>VIII daļa.</w:t>
            </w:r>
            <w:r w:rsidR="001F5CF9" w:rsidRPr="001F5CF9">
              <w:rPr>
                <w:rFonts w:ascii="Times New Roman" w:eastAsiaTheme="minorEastAsia" w:hAnsi="Times New Roman" w:cs="Times New Roman"/>
                <w:b w:val="0"/>
                <w:bCs w:val="0"/>
                <w:noProof/>
                <w:sz w:val="24"/>
                <w:szCs w:val="24"/>
                <w:lang w:bidi="ar-SA"/>
              </w:rPr>
              <w:t xml:space="preserve"> </w:t>
            </w:r>
            <w:r w:rsidR="001F5CF9" w:rsidRPr="001F5CF9">
              <w:rPr>
                <w:rStyle w:val="Hyperlink"/>
                <w:rFonts w:ascii="Times New Roman" w:hAnsi="Times New Roman" w:cs="Times New Roman"/>
                <w:noProof/>
                <w:sz w:val="24"/>
                <w:szCs w:val="24"/>
              </w:rPr>
              <w:t>Vispārējās valdības parāda apmēra noteikšana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_Toc471135925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391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6" w:history="1">
            <w:r w:rsidR="001F5CF9" w:rsidRPr="001F5CF9">
              <w:rPr>
                <w:rStyle w:val="Hyperlink"/>
                <w:rFonts w:ascii="Times New Roman" w:hAnsi="Times New Roman" w:cs="Times New Roman"/>
                <w:noProof/>
                <w:sz w:val="24"/>
                <w:szCs w:val="24"/>
              </w:rPr>
              <w:t>VIII.1. Pārskats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_Toc471135926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391</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7" w:history="1">
            <w:r w:rsidR="001F5CF9" w:rsidRPr="001F5CF9">
              <w:rPr>
                <w:rStyle w:val="Hyperlink"/>
                <w:rFonts w:ascii="Times New Roman" w:hAnsi="Times New Roman" w:cs="Times New Roman"/>
                <w:noProof/>
                <w:sz w:val="24"/>
                <w:szCs w:val="24"/>
              </w:rPr>
              <w:t>VIII.2. Vispārējās valdības parāda aprēķināšana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_Toc471135927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392</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8" w:history="1">
            <w:r w:rsidR="001F5CF9" w:rsidRPr="001F5CF9">
              <w:rPr>
                <w:rStyle w:val="Hyperlink"/>
                <w:rFonts w:ascii="Times New Roman" w:hAnsi="Times New Roman" w:cs="Times New Roman"/>
                <w:noProof/>
                <w:sz w:val="24"/>
                <w:szCs w:val="24"/>
              </w:rPr>
              <w:t>VIII.3.</w:t>
            </w:r>
            <w:r w:rsidR="00536492">
              <w:rPr>
                <w:rStyle w:val="Hyperlink"/>
                <w:rFonts w:ascii="Times New Roman" w:hAnsi="Times New Roman" w:cs="Times New Roman"/>
                <w:noProof/>
                <w:sz w:val="24"/>
                <w:szCs w:val="24"/>
              </w:rPr>
              <w:t> Mijmaiņas darījumu ierakstīšana</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_Toc471135928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397</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29" w:history="1">
            <w:r w:rsidR="001F5CF9" w:rsidRPr="001F5CF9">
              <w:rPr>
                <w:rStyle w:val="Hyperlink"/>
                <w:rFonts w:ascii="Times New Roman" w:hAnsi="Times New Roman" w:cs="Times New Roman"/>
                <w:noProof/>
                <w:sz w:val="24"/>
                <w:szCs w:val="24"/>
              </w:rPr>
              <w:t>VIII.4. Pārdošanas ar atpirkšanu līgumi un vērtspapīru aizdevumi</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_Toc471135929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412</w:t>
            </w:r>
            <w:r w:rsidR="001F5CF9" w:rsidRPr="001F5CF9">
              <w:rPr>
                <w:rFonts w:ascii="Times New Roman" w:hAnsi="Times New Roman" w:cs="Times New Roman"/>
                <w:noProof/>
                <w:webHidden/>
                <w:sz w:val="24"/>
                <w:szCs w:val="24"/>
              </w:rPr>
              <w:fldChar w:fldCharType="end"/>
            </w:r>
          </w:hyperlink>
        </w:p>
        <w:p w:rsidR="001F5CF9" w:rsidRPr="001F5CF9" w:rsidRDefault="001B0687" w:rsidP="00EA118C">
          <w:pPr>
            <w:pStyle w:val="TOC2"/>
            <w:tabs>
              <w:tab w:val="right" w:leader="dot" w:pos="9065"/>
            </w:tabs>
            <w:ind w:left="426" w:firstLine="0"/>
            <w:rPr>
              <w:rFonts w:ascii="Times New Roman" w:eastAsiaTheme="minorEastAsia" w:hAnsi="Times New Roman" w:cs="Times New Roman"/>
              <w:noProof/>
              <w:sz w:val="24"/>
              <w:szCs w:val="24"/>
              <w:lang w:bidi="ar-SA"/>
            </w:rPr>
          </w:pPr>
          <w:hyperlink w:anchor="_Toc471135930" w:history="1">
            <w:r w:rsidR="001F5CF9" w:rsidRPr="001F5CF9">
              <w:rPr>
                <w:rStyle w:val="Hyperlink"/>
                <w:rFonts w:ascii="Times New Roman" w:hAnsi="Times New Roman" w:cs="Times New Roman"/>
                <w:noProof/>
                <w:sz w:val="24"/>
                <w:szCs w:val="24"/>
              </w:rPr>
              <w:t>VIII.5. Atslēgvārdi un atsauces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_Toc471135930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418</w:t>
            </w:r>
            <w:r w:rsidR="001F5CF9" w:rsidRPr="001F5CF9">
              <w:rPr>
                <w:rFonts w:ascii="Times New Roman" w:hAnsi="Times New Roman" w:cs="Times New Roman"/>
                <w:noProof/>
                <w:webHidden/>
                <w:sz w:val="24"/>
                <w:szCs w:val="24"/>
              </w:rPr>
              <w:fldChar w:fldCharType="end"/>
            </w:r>
          </w:hyperlink>
        </w:p>
        <w:p w:rsidR="001F5CF9" w:rsidRPr="001F5CF9" w:rsidRDefault="001B0687" w:rsidP="001F5CF9">
          <w:pPr>
            <w:pStyle w:val="TOC1"/>
            <w:tabs>
              <w:tab w:val="right" w:leader="dot" w:pos="9065"/>
            </w:tabs>
            <w:ind w:left="0"/>
            <w:rPr>
              <w:rFonts w:ascii="Times New Roman" w:eastAsiaTheme="minorEastAsia" w:hAnsi="Times New Roman" w:cs="Times New Roman"/>
              <w:b w:val="0"/>
              <w:bCs w:val="0"/>
              <w:noProof/>
              <w:sz w:val="24"/>
              <w:szCs w:val="24"/>
              <w:lang w:bidi="ar-SA"/>
            </w:rPr>
          </w:pPr>
          <w:hyperlink w:anchor="_Toc471135931" w:history="1">
            <w:r w:rsidR="001F5CF9" w:rsidRPr="001F5CF9">
              <w:rPr>
                <w:rStyle w:val="Hyperlink"/>
                <w:rFonts w:ascii="Times New Roman" w:hAnsi="Times New Roman" w:cs="Times New Roman"/>
                <w:noProof/>
                <w:sz w:val="24"/>
                <w:szCs w:val="24"/>
              </w:rPr>
              <w:t>Pielikums. Tiesību akti (atsauces un saites)</w:t>
            </w:r>
            <w:r w:rsidR="001F5CF9" w:rsidRPr="001F5CF9">
              <w:rPr>
                <w:rFonts w:ascii="Times New Roman" w:hAnsi="Times New Roman" w:cs="Times New Roman"/>
                <w:noProof/>
                <w:webHidden/>
                <w:sz w:val="24"/>
                <w:szCs w:val="24"/>
              </w:rPr>
              <w:tab/>
            </w:r>
            <w:r w:rsidR="001F5CF9" w:rsidRPr="001F5CF9">
              <w:rPr>
                <w:rFonts w:ascii="Times New Roman" w:hAnsi="Times New Roman" w:cs="Times New Roman"/>
                <w:noProof/>
                <w:webHidden/>
                <w:sz w:val="24"/>
                <w:szCs w:val="24"/>
              </w:rPr>
              <w:fldChar w:fldCharType="begin"/>
            </w:r>
            <w:r w:rsidR="001F5CF9" w:rsidRPr="001F5CF9">
              <w:rPr>
                <w:rFonts w:ascii="Times New Roman" w:hAnsi="Times New Roman" w:cs="Times New Roman"/>
                <w:noProof/>
                <w:webHidden/>
                <w:sz w:val="24"/>
                <w:szCs w:val="24"/>
              </w:rPr>
              <w:instrText xml:space="preserve"> PAGEREF _Toc471135931 \h </w:instrText>
            </w:r>
            <w:r w:rsidR="001F5CF9" w:rsidRPr="001F5CF9">
              <w:rPr>
                <w:rFonts w:ascii="Times New Roman" w:hAnsi="Times New Roman" w:cs="Times New Roman"/>
                <w:noProof/>
                <w:webHidden/>
                <w:sz w:val="24"/>
                <w:szCs w:val="24"/>
              </w:rPr>
            </w:r>
            <w:r w:rsidR="001F5CF9" w:rsidRPr="001F5CF9">
              <w:rPr>
                <w:rFonts w:ascii="Times New Roman" w:hAnsi="Times New Roman" w:cs="Times New Roman"/>
                <w:noProof/>
                <w:webHidden/>
                <w:sz w:val="24"/>
                <w:szCs w:val="24"/>
              </w:rPr>
              <w:fldChar w:fldCharType="separate"/>
            </w:r>
            <w:r w:rsidR="00D60523">
              <w:rPr>
                <w:rFonts w:ascii="Times New Roman" w:hAnsi="Times New Roman" w:cs="Times New Roman"/>
                <w:noProof/>
                <w:webHidden/>
                <w:sz w:val="24"/>
                <w:szCs w:val="24"/>
              </w:rPr>
              <w:t>419</w:t>
            </w:r>
            <w:r w:rsidR="001F5CF9" w:rsidRPr="001F5CF9">
              <w:rPr>
                <w:rFonts w:ascii="Times New Roman" w:hAnsi="Times New Roman" w:cs="Times New Roman"/>
                <w:noProof/>
                <w:webHidden/>
                <w:sz w:val="24"/>
                <w:szCs w:val="24"/>
              </w:rPr>
              <w:fldChar w:fldCharType="end"/>
            </w:r>
          </w:hyperlink>
        </w:p>
        <w:p w:rsidR="00F12820" w:rsidRDefault="001F5CF9" w:rsidP="00073FEC">
          <w:r w:rsidRPr="001F5CF9">
            <w:rPr>
              <w:rFonts w:ascii="Times New Roman" w:hAnsi="Times New Roman" w:cs="Times New Roman"/>
              <w:b/>
              <w:bCs/>
              <w:noProof/>
              <w:sz w:val="24"/>
              <w:szCs w:val="24"/>
            </w:rPr>
            <w:fldChar w:fldCharType="end"/>
          </w:r>
        </w:p>
      </w:sdtContent>
    </w:sdt>
    <w:p w:rsidR="00073FEC" w:rsidRDefault="00073FEC" w:rsidP="00073FEC">
      <w:pPr>
        <w:rPr>
          <w:rFonts w:ascii="Times New Roman" w:eastAsia="Calibri" w:hAnsi="Times New Roman"/>
          <w:b/>
          <w:bCs/>
          <w:noProof/>
          <w:sz w:val="24"/>
          <w:szCs w:val="28"/>
        </w:rPr>
      </w:pPr>
      <w:r>
        <w:br w:type="page"/>
      </w:r>
    </w:p>
    <w:p w:rsidR="00073FEC" w:rsidRPr="0006739A" w:rsidRDefault="00073FEC" w:rsidP="00073FEC">
      <w:pPr>
        <w:rPr>
          <w:rFonts w:ascii="Times New Roman" w:eastAsia="Calibri" w:hAnsi="Times New Roman"/>
          <w:b/>
          <w:bCs/>
          <w:noProof/>
          <w:sz w:val="24"/>
          <w:szCs w:val="28"/>
        </w:rPr>
      </w:pPr>
    </w:p>
    <w:p w:rsidR="00073FEC" w:rsidRPr="001973D0" w:rsidRDefault="00073FEC" w:rsidP="0006739A">
      <w:pPr>
        <w:pStyle w:val="Heading1"/>
        <w:tabs>
          <w:tab w:val="left" w:pos="1134"/>
        </w:tabs>
        <w:rPr>
          <w:noProof/>
        </w:rPr>
      </w:pPr>
      <w:bookmarkStart w:id="5" w:name="Part_I_Delimitation_of_the_general_gover"/>
      <w:bookmarkStart w:id="6" w:name="_bookmark0"/>
      <w:bookmarkStart w:id="7" w:name="_Toc471135864"/>
      <w:bookmarkEnd w:id="5"/>
      <w:bookmarkEnd w:id="6"/>
      <w:r>
        <w:rPr>
          <w:noProof/>
        </w:rPr>
        <w:t>I daļa.</w:t>
      </w:r>
      <w:r>
        <w:tab/>
      </w:r>
      <w:r w:rsidRPr="0006739A">
        <w:t>Vispārējās</w:t>
      </w:r>
      <w:r>
        <w:rPr>
          <w:noProof/>
        </w:rPr>
        <w:t xml:space="preserve"> valdības sektora norobežošana</w:t>
      </w:r>
      <w:bookmarkEnd w:id="7"/>
    </w:p>
    <w:p w:rsidR="00073FEC" w:rsidRPr="001973D0" w:rsidRDefault="00073FEC" w:rsidP="00073FEC">
      <w:pPr>
        <w:jc w:val="both"/>
        <w:rPr>
          <w:rFonts w:ascii="Times New Roman" w:eastAsia="Arial" w:hAnsi="Times New Roman" w:cs="Arial"/>
          <w:b/>
          <w:bCs/>
          <w:noProof/>
          <w:sz w:val="24"/>
          <w:szCs w:val="31"/>
        </w:rPr>
      </w:pPr>
    </w:p>
    <w:p w:rsidR="00073FEC" w:rsidRDefault="00073FEC" w:rsidP="0006739A">
      <w:pPr>
        <w:pStyle w:val="Heading2"/>
        <w:rPr>
          <w:noProof/>
        </w:rPr>
      </w:pPr>
      <w:bookmarkStart w:id="8" w:name="I.1_Overview"/>
      <w:bookmarkStart w:id="9" w:name="_bookmark1"/>
      <w:bookmarkStart w:id="10" w:name="_Toc471135865"/>
      <w:bookmarkEnd w:id="8"/>
      <w:bookmarkEnd w:id="9"/>
      <w:r>
        <w:rPr>
          <w:noProof/>
        </w:rPr>
        <w:t>I.1. </w:t>
      </w:r>
      <w:r w:rsidRPr="0006739A">
        <w:t>Pārskats</w:t>
      </w:r>
      <w:bookmarkEnd w:id="10"/>
    </w:p>
    <w:p w:rsidR="00073FEC" w:rsidRPr="001973D0" w:rsidRDefault="00073FEC" w:rsidP="00073FEC">
      <w:pPr>
        <w:pStyle w:val="Heading2"/>
        <w:tabs>
          <w:tab w:val="left" w:pos="1592"/>
        </w:tabs>
        <w:rPr>
          <w:noProof/>
          <w:sz w:val="24"/>
        </w:rPr>
      </w:pPr>
    </w:p>
    <w:p w:rsidR="00073FEC" w:rsidRPr="001973D0" w:rsidRDefault="00073FEC" w:rsidP="00073FEC">
      <w:pPr>
        <w:numPr>
          <w:ilvl w:val="0"/>
          <w:numId w:val="31"/>
        </w:numPr>
        <w:tabs>
          <w:tab w:val="left" w:pos="1308"/>
        </w:tabs>
        <w:ind w:left="709" w:hanging="709"/>
        <w:jc w:val="both"/>
        <w:rPr>
          <w:rFonts w:ascii="Times New Roman" w:eastAsia="Arial" w:hAnsi="Times New Roman" w:cs="Arial"/>
          <w:noProof/>
          <w:sz w:val="24"/>
        </w:rPr>
      </w:pPr>
      <w:r>
        <w:rPr>
          <w:rFonts w:ascii="Times New Roman" w:hAnsi="Times New Roman"/>
          <w:noProof/>
          <w:sz w:val="24"/>
        </w:rPr>
        <w:t xml:space="preserve">Valdības budžeta deficīta un parāda statistikā uzskaita vispārējās valdības sektora darbību (S.13) atbilstīgi tam, kā noteikts nacionālajos kontos. Saskaņā ar EKS 2010 2.111. punktu, kurā vispārīgi noteiktas galvenās iezīmes, šis sektors </w:t>
      </w:r>
      <w:r>
        <w:rPr>
          <w:rFonts w:ascii="Times New Roman" w:hAnsi="Times New Roman"/>
          <w:i/>
          <w:noProof/>
          <w:sz w:val="24"/>
        </w:rPr>
        <w:t>ietver institucionālās vienības, kuras ir ārpustirgus ražotāji un kuru produkcija ir paredzēta individuālajam un kolektīvajam patēriņam, un kuras galvenokārt finansē no obligātajiem maksājumiem, ko veic citiem sektoriem piederošas vienības un institucionālās vienības, kuras nodarbojas galvenokārt ar nacionālā ienākuma un bagātības pārdali</w:t>
      </w:r>
      <w:r>
        <w:rPr>
          <w:rFonts w:ascii="Times New Roman" w:hAnsi="Times New Roman"/>
          <w:noProof/>
          <w:sz w:val="24"/>
        </w:rPr>
        <w:t>. Tas nenozīmē, ka nelielu daļu no valdības vienību līdzekļiem nevar veidot cita veida līdzekļi (piemēram, īpašuma ienākumi un ienākumi no preču un pakalpojumu pārdošanas), taču galvenā atšķirība ir šo vienību tiesības iekasēt nodokļus</w:t>
      </w:r>
      <w:r>
        <w:rPr>
          <w:rStyle w:val="FootnoteReference"/>
          <w:rFonts w:ascii="Times New Roman" w:hAnsi="Times New Roman"/>
          <w:noProof/>
          <w:sz w:val="24"/>
        </w:rPr>
        <w:footnoteReference w:id="4"/>
      </w:r>
      <w:r>
        <w:rPr>
          <w:rFonts w:ascii="Times New Roman" w:hAnsi="Times New Roman"/>
          <w:noProof/>
          <w:sz w:val="24"/>
        </w:rPr>
        <w:t xml:space="preserve">. Šajā saistībā EKS 2010 20.02. punktā tiek uzsvērtas arī “pilnvaras paaugstināt nodokļus un citas obligātās nodevas un izdot likumus, kas ietekmē ekonomikas vienību rīcību”. EKS 2010 20.06. punktā papildus norādīts arī tas, ka </w:t>
      </w:r>
      <w:r>
        <w:rPr>
          <w:rFonts w:ascii="Times New Roman" w:hAnsi="Times New Roman"/>
          <w:i/>
          <w:noProof/>
          <w:sz w:val="24"/>
        </w:rPr>
        <w:t>valdības vienības ir juridiskas personas, kuras izveidotas politiskā procesā un kurām ir likumdošanas, tiesiskas vai izpildvaras pilnvaras pār citām institucionālajām vienībām noteiktā jomā</w:t>
      </w:r>
      <w:r>
        <w:rPr>
          <w:rFonts w:ascii="Times New Roman" w:hAnsi="Times New Roman"/>
          <w:noProof/>
          <w:sz w:val="24"/>
        </w:rPr>
        <w:t>. Tomēr šī definīcija pilnīgi atbilst vienīgi tām vienībām, kuras ir EKS 2010 20.10. punktā noteiktās “primārās” vienības, taču konkrētu darbību veikšanai var izvedot arī cita veida vienības. Ja tās atbilst institucionālo vienību kritērijiem (sk. turpmāk), jāuzskata, ka tās ir atsevišķas valdības vienības.</w:t>
      </w:r>
    </w:p>
    <w:p w:rsidR="00073FEC" w:rsidRPr="001973D0" w:rsidRDefault="00073FEC" w:rsidP="00073FEC">
      <w:pPr>
        <w:pStyle w:val="BodyText"/>
        <w:numPr>
          <w:ilvl w:val="0"/>
          <w:numId w:val="31"/>
        </w:numPr>
        <w:tabs>
          <w:tab w:val="left" w:pos="1308"/>
        </w:tabs>
        <w:spacing w:before="0"/>
        <w:ind w:left="709" w:hanging="709"/>
        <w:jc w:val="both"/>
        <w:rPr>
          <w:rFonts w:ascii="Times New Roman" w:hAnsi="Times New Roman"/>
          <w:noProof/>
          <w:sz w:val="24"/>
        </w:rPr>
      </w:pPr>
      <w:r>
        <w:rPr>
          <w:rFonts w:ascii="Times New Roman" w:hAnsi="Times New Roman"/>
          <w:noProof/>
          <w:sz w:val="24"/>
        </w:rPr>
        <w:t>Lai pareizi norobežotu vispārējās valdības sektoru, būtiska nozīme ir tam, ka institucionālās vienības tiek kvalificētas kā ārpustirgus ražotāji, t.i., vienības, kas “nodrošina visu savu izlaidi (preces un pakalpojumus) vai lielāko daļu no savas izlaides par brīvu vai par cenām, kas nav “ekonomiski nozīmīgas” (EKS 2010 20.19.punkts). Līdz ar to vispārējās valdības sektorā neietilpst neviena valdības kontrolēta vienība (noteikta, pamatojoties uz atšķirīgiem kritērijiem sk. EKS 2010 20.307. punktu), kas tiek uzskatīta par tirgus ražotāju (“publiska sabiedrība”). Publiskajā sektorā ietilpst visas vispārējās valdības vienības un publiskajā sektorā neietilpstošās publiskās sabiedrības (sk. EKS 2010 20.303. punktu).</w:t>
      </w:r>
    </w:p>
    <w:p w:rsidR="00073FEC" w:rsidRDefault="00073FEC" w:rsidP="00073FEC">
      <w:pPr>
        <w:pStyle w:val="BodyText"/>
        <w:numPr>
          <w:ilvl w:val="0"/>
          <w:numId w:val="31"/>
        </w:numPr>
        <w:tabs>
          <w:tab w:val="left" w:pos="1308"/>
        </w:tabs>
        <w:spacing w:before="0"/>
        <w:ind w:left="709" w:hanging="709"/>
        <w:jc w:val="both"/>
        <w:rPr>
          <w:rFonts w:ascii="Times New Roman" w:hAnsi="Times New Roman"/>
          <w:noProof/>
          <w:sz w:val="24"/>
        </w:rPr>
      </w:pPr>
      <w:r>
        <w:rPr>
          <w:rFonts w:ascii="Times New Roman" w:hAnsi="Times New Roman"/>
          <w:noProof/>
          <w:sz w:val="24"/>
        </w:rPr>
        <w:t>Saskaņā ar EKS vispārējai valdībai ir četri apakšsektori, t. i., centr</w:t>
      </w:r>
      <w:r w:rsidR="00EA6A81">
        <w:rPr>
          <w:rFonts w:ascii="Times New Roman" w:hAnsi="Times New Roman"/>
          <w:noProof/>
          <w:sz w:val="24"/>
        </w:rPr>
        <w:t>ālā</w:t>
      </w:r>
      <w:r w:rsidR="008F33D8">
        <w:rPr>
          <w:rFonts w:ascii="Times New Roman" w:hAnsi="Times New Roman"/>
          <w:noProof/>
          <w:sz w:val="24"/>
        </w:rPr>
        <w:t xml:space="preserve"> valdība</w:t>
      </w:r>
      <w:r w:rsidR="00EA6A81">
        <w:rPr>
          <w:rFonts w:ascii="Times New Roman" w:hAnsi="Times New Roman"/>
          <w:noProof/>
          <w:sz w:val="24"/>
        </w:rPr>
        <w:t>, pavalsts</w:t>
      </w:r>
      <w:r w:rsidR="008F33D8">
        <w:rPr>
          <w:rFonts w:ascii="Times New Roman" w:hAnsi="Times New Roman"/>
          <w:noProof/>
          <w:sz w:val="24"/>
        </w:rPr>
        <w:t xml:space="preserve"> valdība</w:t>
      </w:r>
      <w:r w:rsidR="00EA6A81">
        <w:rPr>
          <w:rFonts w:ascii="Times New Roman" w:hAnsi="Times New Roman"/>
          <w:noProof/>
          <w:sz w:val="24"/>
        </w:rPr>
        <w:t xml:space="preserve"> un</w:t>
      </w:r>
      <w:r>
        <w:rPr>
          <w:rFonts w:ascii="Times New Roman" w:hAnsi="Times New Roman"/>
          <w:noProof/>
          <w:sz w:val="24"/>
        </w:rPr>
        <w:t xml:space="preserve"> </w:t>
      </w:r>
      <w:r w:rsidR="00EA6A81">
        <w:rPr>
          <w:rFonts w:ascii="Times New Roman" w:hAnsi="Times New Roman"/>
          <w:noProof/>
          <w:sz w:val="24"/>
        </w:rPr>
        <w:t>paš</w:t>
      </w:r>
      <w:r>
        <w:rPr>
          <w:rFonts w:ascii="Times New Roman" w:hAnsi="Times New Roman"/>
          <w:noProof/>
          <w:sz w:val="24"/>
        </w:rPr>
        <w:t>valdība</w:t>
      </w:r>
      <w:r w:rsidR="00EA6A81">
        <w:rPr>
          <w:rFonts w:ascii="Times New Roman" w:hAnsi="Times New Roman"/>
          <w:noProof/>
          <w:sz w:val="24"/>
        </w:rPr>
        <w:t>, kā arī sociālās nodrošināšanas</w:t>
      </w:r>
      <w:r>
        <w:rPr>
          <w:rFonts w:ascii="Times New Roman" w:hAnsi="Times New Roman"/>
          <w:noProof/>
          <w:sz w:val="24"/>
        </w:rPr>
        <w:t xml:space="preserve"> fondi. Līdzīgi kā EKS 2010 (sk. 20. nodaļu “Valdības konti”) var būt svarīgi (jo īpaši no praktiskās uzskaites viedokļa) “pamata” jeb “primārās” vienības (piemēram, “budžeta centrālā valdība” vai “reģionālo/vietējo varas iestāžu budžeti”) nošķirt no citiem valdības subjektiem, kam ir atsevišķs juridiskais statuss un dažādu pakāpju autonomija un kas ietilpst galveno vienību kontrolētajā konkrētajā valdības apakšsektorā (un bieži lielāko finansējuma daļu saņem no šīm vienībām).</w:t>
      </w:r>
    </w:p>
    <w:p w:rsidR="00073FEC" w:rsidRPr="001973D0" w:rsidRDefault="00073FEC" w:rsidP="00073FEC">
      <w:pPr>
        <w:pStyle w:val="BodyText"/>
        <w:tabs>
          <w:tab w:val="left" w:pos="1308"/>
        </w:tabs>
        <w:spacing w:before="0"/>
        <w:ind w:left="0" w:firstLine="0"/>
        <w:rPr>
          <w:rFonts w:ascii="Times New Roman" w:hAnsi="Times New Roman"/>
          <w:noProof/>
          <w:sz w:val="24"/>
        </w:rPr>
      </w:pPr>
    </w:p>
    <w:p w:rsidR="00073FEC" w:rsidRPr="000A4DB3" w:rsidRDefault="00073FEC" w:rsidP="00073FEC">
      <w:pPr>
        <w:pStyle w:val="BodyText"/>
        <w:numPr>
          <w:ilvl w:val="1"/>
          <w:numId w:val="31"/>
        </w:numPr>
        <w:tabs>
          <w:tab w:val="left" w:pos="1600"/>
        </w:tabs>
        <w:spacing w:before="0"/>
        <w:ind w:left="1134" w:hanging="425"/>
        <w:jc w:val="both"/>
        <w:rPr>
          <w:rFonts w:ascii="Times New Roman" w:hAnsi="Times New Roman"/>
          <w:noProof/>
          <w:sz w:val="24"/>
        </w:rPr>
      </w:pPr>
      <w:r>
        <w:rPr>
          <w:rFonts w:ascii="Times New Roman" w:hAnsi="Times New Roman"/>
          <w:noProof/>
          <w:sz w:val="24"/>
        </w:rPr>
        <w:t>Centrālās valdības (S.1311) apakšsektorā ietilpst visas valsts administratīvās struktūras (piemēram, ministrijas, valdes, iestādes u. c.), kas kopā tiek uzskatītas par vienu vienību</w:t>
      </w:r>
      <w:r>
        <w:rPr>
          <w:rStyle w:val="FootnoteReference"/>
          <w:rFonts w:ascii="Times New Roman" w:hAnsi="Times New Roman"/>
          <w:noProof/>
          <w:sz w:val="24"/>
        </w:rPr>
        <w:footnoteReference w:id="5"/>
      </w:r>
      <w:r>
        <w:rPr>
          <w:rFonts w:ascii="Times New Roman" w:hAnsi="Times New Roman"/>
          <w:noProof/>
          <w:sz w:val="24"/>
        </w:rPr>
        <w:t xml:space="preserve">, un citas centrālās struktūras, kuru kompetencē (kas veidota no </w:t>
      </w:r>
      <w:r>
        <w:rPr>
          <w:rFonts w:ascii="Times New Roman" w:hAnsi="Times New Roman"/>
          <w:noProof/>
          <w:sz w:val="24"/>
        </w:rPr>
        <w:lastRenderedPageBreak/>
        <w:t>likumdošanas, tiesiskām, nodokļu iekasēšanas un izpildvaras pilnvarām) parasti ietilpst visa ekonomiskā teritorija (kas noteikta EKS 2010 2.05. un 2.06. punktā).</w:t>
      </w:r>
      <w:r>
        <w:rPr>
          <w:rStyle w:val="FootnoteReference"/>
          <w:rFonts w:ascii="Times New Roman" w:hAnsi="Times New Roman"/>
          <w:noProof/>
          <w:sz w:val="24"/>
        </w:rPr>
        <w:footnoteReference w:id="6"/>
      </w:r>
      <w:r>
        <w:rPr>
          <w:rFonts w:ascii="Times New Roman" w:hAnsi="Times New Roman"/>
          <w:noProof/>
          <w:sz w:val="24"/>
        </w:rPr>
        <w:t xml:space="preserve"> Šajā apakšsektorā ietilpst arī bezpeļņas institūcijas (BPI), kuras ir ārpustirgus ražotāji un kuras kontrolē centrālā valdība, kam ir kompetence pār visu ekonomisko teritoriju. Centrālās valdības apakšsektors ir sadalīts divās daļās, proti, “budžeta centrālā valdība” un “citas centrālās valdības struktūras” (EKS 2010 20.62.punkts);</w:t>
      </w:r>
    </w:p>
    <w:p w:rsidR="00073FEC" w:rsidRPr="001973D0" w:rsidRDefault="00073FEC" w:rsidP="00073FEC">
      <w:pPr>
        <w:pStyle w:val="BodyText"/>
        <w:numPr>
          <w:ilvl w:val="1"/>
          <w:numId w:val="31"/>
        </w:numPr>
        <w:tabs>
          <w:tab w:val="left" w:pos="1600"/>
        </w:tabs>
        <w:spacing w:before="0"/>
        <w:ind w:left="1134" w:hanging="425"/>
        <w:jc w:val="both"/>
        <w:rPr>
          <w:rFonts w:ascii="Times New Roman" w:hAnsi="Times New Roman"/>
          <w:noProof/>
          <w:sz w:val="24"/>
        </w:rPr>
      </w:pPr>
      <w:r>
        <w:rPr>
          <w:rFonts w:ascii="Times New Roman" w:hAnsi="Times New Roman"/>
          <w:noProof/>
          <w:sz w:val="24"/>
        </w:rPr>
        <w:t>Pavalsts valdība (S.1312) ir veidota no atsevišķām institucionālajām vienībām, kas veic dažas valdības funkcijas ģeogrāfiskajā līmenī, kurš zemāks par centrālās valdības līme</w:t>
      </w:r>
      <w:r w:rsidR="00EA6A81">
        <w:rPr>
          <w:rFonts w:ascii="Times New Roman" w:hAnsi="Times New Roman"/>
          <w:noProof/>
          <w:sz w:val="24"/>
        </w:rPr>
        <w:t>ni, bet augstāks par paš</w:t>
      </w:r>
      <w:r>
        <w:rPr>
          <w:rFonts w:ascii="Times New Roman" w:hAnsi="Times New Roman"/>
          <w:noProof/>
          <w:sz w:val="24"/>
        </w:rPr>
        <w:t>valdību līmeni. Šīm valdības vienībām ir pilnīga un ekskluzīva kompetence pavalsts vai reģiona teritorijā (konstitūcijā vai pamatlikumā noteiktajās jomās); parasti būtiskas likumdošanas pilnvaras ir elements, kas liecina par šo apakšsektora līmeni, kurā var ietilpt arī citas pakļautībā esošas struktūras un pavalsts valdības kontrolētas ārpustirgus BPI.</w:t>
      </w:r>
    </w:p>
    <w:p w:rsidR="00073FEC" w:rsidRPr="001973D0" w:rsidRDefault="00F454B7" w:rsidP="00073FEC">
      <w:pPr>
        <w:pStyle w:val="BodyText"/>
        <w:numPr>
          <w:ilvl w:val="1"/>
          <w:numId w:val="31"/>
        </w:numPr>
        <w:tabs>
          <w:tab w:val="left" w:pos="1600"/>
        </w:tabs>
        <w:spacing w:before="0"/>
        <w:ind w:left="1134" w:hanging="425"/>
        <w:jc w:val="both"/>
        <w:rPr>
          <w:rFonts w:ascii="Times New Roman" w:hAnsi="Times New Roman"/>
          <w:noProof/>
          <w:sz w:val="24"/>
        </w:rPr>
      </w:pPr>
      <w:r>
        <w:rPr>
          <w:rFonts w:ascii="Times New Roman" w:hAnsi="Times New Roman"/>
          <w:noProof/>
          <w:sz w:val="24"/>
        </w:rPr>
        <w:t>Paš</w:t>
      </w:r>
      <w:r w:rsidR="00073FEC">
        <w:rPr>
          <w:rFonts w:ascii="Times New Roman" w:hAnsi="Times New Roman"/>
          <w:noProof/>
          <w:sz w:val="24"/>
        </w:rPr>
        <w:t>valdībā (S.1313) ietilpst pārvaldes iestādes, kuru kompetencē (kas bieži vien ir neliela, raugoties no likumdošanas un tiesisko pilnvaru viedokļa) ietilpst vien vietējā ekonomiskās teritorijas daļa. EKS 2010 20.65. punktā noteikts, ka “</w:t>
      </w:r>
      <w:r w:rsidR="008F33D8">
        <w:rPr>
          <w:rFonts w:ascii="Times New Roman" w:hAnsi="Times New Roman"/>
          <w:noProof/>
          <w:sz w:val="24"/>
        </w:rPr>
        <w:t>paš</w:t>
      </w:r>
      <w:r w:rsidR="00073FEC">
        <w:rPr>
          <w:rFonts w:ascii="Times New Roman" w:hAnsi="Times New Roman"/>
          <w:noProof/>
          <w:sz w:val="24"/>
        </w:rPr>
        <w:t>valdības statistika aptver ļoti dažādas valdības vienības”, un tajā norād</w:t>
      </w:r>
      <w:r>
        <w:rPr>
          <w:rFonts w:ascii="Times New Roman" w:hAnsi="Times New Roman"/>
          <w:noProof/>
          <w:sz w:val="24"/>
        </w:rPr>
        <w:t>īts arī tas, ka dažādu paš</w:t>
      </w:r>
      <w:r w:rsidR="00073FEC">
        <w:rPr>
          <w:rFonts w:ascii="Times New Roman" w:hAnsi="Times New Roman"/>
          <w:noProof/>
          <w:sz w:val="24"/>
        </w:rPr>
        <w:t>valdības vienību funkcionālā atbildība var pārklāties vienā ģeogrāfiskajā zonā; var pievienot arī lielu daudzumu ārpustirgus ražotāju ar dažādām statutārajām tiesībām, un tās var kontrolēt arī daudzas ārpustirgus BPI</w:t>
      </w:r>
      <w:r w:rsidR="00073FEC">
        <w:rPr>
          <w:rStyle w:val="FootnoteReference"/>
          <w:rFonts w:ascii="Times New Roman" w:hAnsi="Times New Roman"/>
          <w:noProof/>
          <w:sz w:val="24"/>
        </w:rPr>
        <w:footnoteReference w:id="7"/>
      </w:r>
      <w:r w:rsidR="00073FEC">
        <w:rPr>
          <w:rFonts w:ascii="Times New Roman" w:hAnsi="Times New Roman"/>
          <w:noProof/>
          <w:sz w:val="24"/>
        </w:rPr>
        <w:t>, kuras arī ir šeit iekļautas;</w:t>
      </w:r>
    </w:p>
    <w:p w:rsidR="00073FEC" w:rsidRDefault="00F454B7" w:rsidP="00073FEC">
      <w:pPr>
        <w:pStyle w:val="BodyText"/>
        <w:numPr>
          <w:ilvl w:val="1"/>
          <w:numId w:val="31"/>
        </w:numPr>
        <w:tabs>
          <w:tab w:val="left" w:pos="1600"/>
        </w:tabs>
        <w:spacing w:before="0"/>
        <w:ind w:left="1134" w:hanging="425"/>
        <w:jc w:val="both"/>
        <w:rPr>
          <w:rFonts w:ascii="Times New Roman" w:hAnsi="Times New Roman"/>
          <w:noProof/>
          <w:sz w:val="24"/>
        </w:rPr>
      </w:pPr>
      <w:r>
        <w:rPr>
          <w:rFonts w:ascii="Times New Roman" w:hAnsi="Times New Roman"/>
          <w:noProof/>
          <w:sz w:val="24"/>
        </w:rPr>
        <w:t>Sociālās nodrošināšanas</w:t>
      </w:r>
      <w:r w:rsidR="00073FEC">
        <w:rPr>
          <w:rFonts w:ascii="Times New Roman" w:hAnsi="Times New Roman"/>
          <w:noProof/>
          <w:sz w:val="24"/>
        </w:rPr>
        <w:t xml:space="preserve"> fondi (S.1314) ietver visas centrālās, pavalsts un vietējās institucionālās vienības, kas nodarbojas galvenokārt ar sociālo pabalstu piešķiršanu un kas atbilst šādiem diviem kritērijiem</w:t>
      </w:r>
      <w:r w:rsidR="00073FEC">
        <w:rPr>
          <w:rStyle w:val="FootnoteReference"/>
          <w:rFonts w:ascii="Times New Roman" w:hAnsi="Times New Roman"/>
          <w:noProof/>
          <w:sz w:val="24"/>
        </w:rPr>
        <w:footnoteReference w:id="8"/>
      </w:r>
      <w:r w:rsidR="00073FEC">
        <w:rPr>
          <w:rFonts w:ascii="Times New Roman" w:hAnsi="Times New Roman"/>
          <w:noProof/>
          <w:sz w:val="24"/>
        </w:rPr>
        <w:t>:</w:t>
      </w:r>
    </w:p>
    <w:p w:rsidR="00073FEC" w:rsidRPr="001973D0" w:rsidRDefault="00073FEC" w:rsidP="00073FEC">
      <w:pPr>
        <w:pStyle w:val="BodyText"/>
        <w:tabs>
          <w:tab w:val="left" w:pos="1600"/>
        </w:tabs>
        <w:spacing w:before="0"/>
        <w:ind w:left="0" w:firstLine="0"/>
        <w:rPr>
          <w:rFonts w:ascii="Times New Roman" w:hAnsi="Times New Roman"/>
          <w:noProof/>
          <w:sz w:val="24"/>
        </w:rPr>
      </w:pPr>
    </w:p>
    <w:p w:rsidR="00073FEC" w:rsidRPr="001973D0" w:rsidRDefault="00073FEC" w:rsidP="00073FEC">
      <w:pPr>
        <w:pStyle w:val="BodyText"/>
        <w:numPr>
          <w:ilvl w:val="2"/>
          <w:numId w:val="31"/>
        </w:numPr>
        <w:tabs>
          <w:tab w:val="left" w:pos="2016"/>
        </w:tabs>
        <w:spacing w:before="0"/>
        <w:ind w:left="1701" w:hanging="567"/>
        <w:jc w:val="both"/>
        <w:rPr>
          <w:rFonts w:ascii="Times New Roman" w:hAnsi="Times New Roman"/>
          <w:noProof/>
          <w:sz w:val="24"/>
        </w:rPr>
      </w:pPr>
      <w:r>
        <w:rPr>
          <w:rFonts w:ascii="Times New Roman" w:hAnsi="Times New Roman"/>
          <w:noProof/>
          <w:sz w:val="24"/>
        </w:rPr>
        <w:t>saskaņā ar tiesību aktiem konkrētām iedzīvotāju grupām ir pienākums piedalīties attiecīgajā shēmā vai veikt iemaksas;</w:t>
      </w:r>
    </w:p>
    <w:p w:rsidR="00073FEC" w:rsidRDefault="00073FEC" w:rsidP="00073FEC">
      <w:pPr>
        <w:pStyle w:val="BodyText"/>
        <w:numPr>
          <w:ilvl w:val="2"/>
          <w:numId w:val="31"/>
        </w:numPr>
        <w:tabs>
          <w:tab w:val="left" w:pos="2016"/>
        </w:tabs>
        <w:spacing w:before="0"/>
        <w:ind w:left="1701" w:hanging="567"/>
        <w:jc w:val="both"/>
        <w:rPr>
          <w:rFonts w:ascii="Times New Roman" w:hAnsi="Times New Roman"/>
          <w:noProof/>
          <w:sz w:val="24"/>
        </w:rPr>
      </w:pPr>
      <w:r>
        <w:rPr>
          <w:rFonts w:ascii="Times New Roman" w:hAnsi="Times New Roman"/>
          <w:noProof/>
          <w:sz w:val="24"/>
        </w:rPr>
        <w:t>valdība ir atbildīga par iestādes pārvaldību attiecībā uz iemaksu un pabalstu noteikšanu vai apstiprināšanu neatkarīgi no tā, vai vispārējā valdība pilda uzraudzības iestādes vai darba devēja pienākumus (EKS 2010 2.117. punkts).</w:t>
      </w:r>
    </w:p>
    <w:p w:rsidR="00073FEC" w:rsidRPr="001973D0" w:rsidRDefault="00073FEC" w:rsidP="00073FEC">
      <w:pPr>
        <w:pStyle w:val="BodyText"/>
        <w:tabs>
          <w:tab w:val="left" w:pos="2016"/>
        </w:tabs>
        <w:spacing w:before="0"/>
        <w:ind w:left="0" w:firstLine="0"/>
        <w:rPr>
          <w:rFonts w:ascii="Times New Roman" w:hAnsi="Times New Roman"/>
          <w:noProof/>
          <w:sz w:val="24"/>
        </w:rPr>
      </w:pPr>
    </w:p>
    <w:p w:rsidR="00073FEC" w:rsidRPr="001973D0" w:rsidRDefault="00073FEC" w:rsidP="00073FEC">
      <w:pPr>
        <w:pStyle w:val="BodyText"/>
        <w:numPr>
          <w:ilvl w:val="0"/>
          <w:numId w:val="31"/>
        </w:numPr>
        <w:tabs>
          <w:tab w:val="left" w:pos="1308"/>
        </w:tabs>
        <w:spacing w:before="0"/>
        <w:ind w:left="709" w:hanging="709"/>
        <w:jc w:val="both"/>
        <w:rPr>
          <w:rFonts w:ascii="Times New Roman" w:hAnsi="Times New Roman"/>
          <w:noProof/>
          <w:sz w:val="24"/>
        </w:rPr>
      </w:pPr>
      <w:r>
        <w:rPr>
          <w:rFonts w:ascii="Times New Roman" w:hAnsi="Times New Roman"/>
          <w:noProof/>
          <w:sz w:val="24"/>
        </w:rPr>
        <w:t>Statistikas iestādes bieži saskaras ar vienībām, kuras nav iespējams viennozīmīgi klasificēt noteiktā sektorā un kuras veido robežgadījumus. Šajā nodaļā sniegti norādījumi tam, kā risināt šādas problēmas, lai nodrošinātu pilnīgu salīdzināmību visā Eiropas Savienībā.</w:t>
      </w:r>
    </w:p>
    <w:p w:rsidR="00073FEC" w:rsidRPr="001973D0" w:rsidRDefault="00073FEC" w:rsidP="00073FEC">
      <w:pPr>
        <w:pStyle w:val="BodyText"/>
        <w:numPr>
          <w:ilvl w:val="0"/>
          <w:numId w:val="31"/>
        </w:numPr>
        <w:tabs>
          <w:tab w:val="left" w:pos="1308"/>
        </w:tabs>
        <w:spacing w:before="0"/>
        <w:ind w:left="709" w:hanging="709"/>
        <w:jc w:val="both"/>
        <w:rPr>
          <w:rFonts w:ascii="Times New Roman" w:hAnsi="Times New Roman"/>
          <w:noProof/>
          <w:sz w:val="24"/>
        </w:rPr>
      </w:pPr>
      <w:r>
        <w:rPr>
          <w:rFonts w:ascii="Times New Roman" w:hAnsi="Times New Roman"/>
          <w:noProof/>
          <w:sz w:val="24"/>
        </w:rPr>
        <w:t>Valdības neto aizdevumu/aizņēmumu (B.9) (kā arī valsts parādu</w:t>
      </w:r>
      <w:r>
        <w:rPr>
          <w:rStyle w:val="FootnoteReference"/>
          <w:rFonts w:ascii="Times New Roman" w:hAnsi="Times New Roman"/>
          <w:noProof/>
          <w:sz w:val="24"/>
        </w:rPr>
        <w:footnoteReference w:id="9"/>
      </w:r>
      <w:r>
        <w:rPr>
          <w:rFonts w:ascii="Times New Roman" w:hAnsi="Times New Roman"/>
          <w:noProof/>
          <w:sz w:val="24"/>
        </w:rPr>
        <w:t>) galvenokārt ietekmē vienības, kas klasificētas valdības sektorā, tādējādi liela nozīme ir vienību klasifikācijai pareizajā sektorā.</w:t>
      </w:r>
    </w:p>
    <w:p w:rsidR="00073FEC" w:rsidRDefault="00073FEC" w:rsidP="00073FEC">
      <w:pPr>
        <w:rPr>
          <w:rFonts w:ascii="Times New Roman" w:eastAsia="Arial" w:hAnsi="Times New Roman" w:cs="Arial"/>
          <w:noProof/>
          <w:sz w:val="24"/>
          <w:szCs w:val="20"/>
        </w:rPr>
      </w:pPr>
      <w:r>
        <w:br w:type="page"/>
      </w:r>
    </w:p>
    <w:p w:rsidR="00073FEC" w:rsidRDefault="00073FEC" w:rsidP="0006739A">
      <w:pPr>
        <w:pStyle w:val="Heading2"/>
        <w:rPr>
          <w:noProof/>
        </w:rPr>
      </w:pPr>
      <w:bookmarkStart w:id="11" w:name="I.2_Criteria_for_classifying_units_to_th"/>
      <w:bookmarkStart w:id="12" w:name="_bookmark2"/>
      <w:bookmarkStart w:id="13" w:name="_Toc471135866"/>
      <w:bookmarkEnd w:id="11"/>
      <w:bookmarkEnd w:id="12"/>
      <w:r>
        <w:rPr>
          <w:noProof/>
        </w:rPr>
        <w:lastRenderedPageBreak/>
        <w:t xml:space="preserve">I.2. Kritēriji </w:t>
      </w:r>
      <w:r w:rsidRPr="0006739A">
        <w:t>vienību</w:t>
      </w:r>
      <w:r>
        <w:rPr>
          <w:noProof/>
        </w:rPr>
        <w:t xml:space="preserve"> klasificēšanai vispārējās valdības sektorā</w:t>
      </w:r>
      <w:bookmarkEnd w:id="13"/>
    </w:p>
    <w:p w:rsidR="00073FEC" w:rsidRPr="001973D0" w:rsidRDefault="00073FEC" w:rsidP="00073FEC">
      <w:pPr>
        <w:pStyle w:val="Heading2"/>
        <w:tabs>
          <w:tab w:val="left" w:pos="1642"/>
        </w:tabs>
        <w:rPr>
          <w:noProof/>
          <w:sz w:val="24"/>
        </w:rPr>
      </w:pPr>
    </w:p>
    <w:p w:rsidR="00073FEC" w:rsidRDefault="00073FEC" w:rsidP="00073FEC">
      <w:pPr>
        <w:pStyle w:val="Heading4"/>
        <w:tabs>
          <w:tab w:val="left" w:pos="1642"/>
        </w:tabs>
        <w:ind w:left="0" w:firstLine="0"/>
        <w:rPr>
          <w:rFonts w:ascii="Times New Roman" w:hAnsi="Times New Roman"/>
          <w:noProof/>
          <w:u w:val="none"/>
        </w:rPr>
      </w:pPr>
      <w:bookmarkStart w:id="14" w:name="I.2.1_The_definition_of_the_general_gove"/>
      <w:bookmarkEnd w:id="14"/>
      <w:r>
        <w:rPr>
          <w:rFonts w:ascii="Times New Roman" w:hAnsi="Times New Roman"/>
          <w:noProof/>
          <w:u w:val="none"/>
        </w:rPr>
        <w:t>I.2.1. Vispārējās valdības sektora definīcija</w:t>
      </w:r>
    </w:p>
    <w:p w:rsidR="00073FEC" w:rsidRPr="001973D0" w:rsidRDefault="00073FEC" w:rsidP="00073FEC">
      <w:pPr>
        <w:pStyle w:val="Heading4"/>
        <w:tabs>
          <w:tab w:val="left" w:pos="1642"/>
        </w:tabs>
        <w:ind w:left="0" w:firstLine="0"/>
        <w:rPr>
          <w:rFonts w:ascii="Times New Roman" w:hAnsi="Times New Roman"/>
          <w:noProof/>
          <w:u w:val="none"/>
        </w:rPr>
      </w:pPr>
    </w:p>
    <w:p w:rsidR="00073FEC"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Vispārējās valdības sektorā (S.13) ietilpst visas institucionālās vienības, kas ir ārpustirgus ražotāji, kurus kontrolē valdība, kuru produkcija ir paredzēta individuālajam un kolektīvajam patēriņam un kurus finansē no obligātajiem maksājumiem, ko veic citiem sektoriem piederošas vienības; šeit ietilpst arī institucionālās vienības, kuras galvenokārt nodarbojas ar nacionālā ienākuma un bagātības pārdali, proti, darbību, ko galvenokārt veic valdība. Tas ietver:</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pStyle w:val="BodyText"/>
        <w:numPr>
          <w:ilvl w:val="1"/>
          <w:numId w:val="30"/>
        </w:numPr>
        <w:tabs>
          <w:tab w:val="left" w:pos="1642"/>
        </w:tabs>
        <w:spacing w:before="0"/>
        <w:ind w:left="1134" w:hanging="425"/>
        <w:jc w:val="both"/>
        <w:rPr>
          <w:rFonts w:ascii="Times New Roman" w:hAnsi="Times New Roman"/>
          <w:noProof/>
          <w:sz w:val="24"/>
          <w:szCs w:val="14"/>
        </w:rPr>
      </w:pPr>
      <w:r>
        <w:rPr>
          <w:rFonts w:ascii="Times New Roman" w:hAnsi="Times New Roman"/>
          <w:noProof/>
          <w:sz w:val="24"/>
        </w:rPr>
        <w:t>vispārējās valdības iestādes, kuras izveidotas tiesiskā procesā, lai tām būtu tiesību aktos paredzētās pilnvaras pār citām vienībām, un kuras administrē un finansē pasākumu grupu, galvenokārt ražojot ārpustirgus preces un pakalpojumus, kuri ir paredzēti sabiedrības labumam;</w:t>
      </w:r>
      <w:r>
        <w:rPr>
          <w:rStyle w:val="FootnoteReference"/>
          <w:rFonts w:ascii="Times New Roman" w:hAnsi="Times New Roman"/>
          <w:noProof/>
          <w:sz w:val="24"/>
        </w:rPr>
        <w:footnoteReference w:id="10"/>
      </w:r>
    </w:p>
    <w:p w:rsidR="00073FEC" w:rsidRPr="001973D0" w:rsidRDefault="00073FEC" w:rsidP="00073FEC">
      <w:pPr>
        <w:pStyle w:val="BodyText"/>
        <w:numPr>
          <w:ilvl w:val="1"/>
          <w:numId w:val="30"/>
        </w:numPr>
        <w:tabs>
          <w:tab w:val="left" w:pos="1642"/>
        </w:tabs>
        <w:spacing w:before="0"/>
        <w:ind w:left="1134" w:hanging="425"/>
        <w:jc w:val="both"/>
        <w:rPr>
          <w:rFonts w:ascii="Times New Roman" w:hAnsi="Times New Roman"/>
          <w:noProof/>
          <w:sz w:val="24"/>
        </w:rPr>
      </w:pPr>
      <w:r>
        <w:rPr>
          <w:rFonts w:ascii="Times New Roman" w:hAnsi="Times New Roman"/>
          <w:noProof/>
          <w:sz w:val="24"/>
        </w:rPr>
        <w:t>ārpustirgus publiski ražotāji, t. i., sabiedrības un kvazisabiedrības, ko kontrolē valdība, ja to produkcija ir galvenokārt ārpustirgus produkcija;</w:t>
      </w:r>
    </w:p>
    <w:p w:rsidR="00073FEC" w:rsidRPr="001973D0" w:rsidRDefault="00073FEC" w:rsidP="00073FEC">
      <w:pPr>
        <w:pStyle w:val="BodyText"/>
        <w:numPr>
          <w:ilvl w:val="1"/>
          <w:numId w:val="30"/>
        </w:numPr>
        <w:tabs>
          <w:tab w:val="left" w:pos="1642"/>
        </w:tabs>
        <w:spacing w:before="0"/>
        <w:ind w:left="1134" w:hanging="425"/>
        <w:jc w:val="both"/>
        <w:rPr>
          <w:rFonts w:ascii="Times New Roman" w:hAnsi="Times New Roman"/>
          <w:noProof/>
          <w:sz w:val="24"/>
        </w:rPr>
      </w:pPr>
      <w:r>
        <w:rPr>
          <w:rFonts w:ascii="Times New Roman" w:hAnsi="Times New Roman"/>
          <w:noProof/>
          <w:sz w:val="24"/>
        </w:rPr>
        <w:t>bezpeļņas institūcijas, kas atzītas par neatkarīgiem juridiskiem subjektiem, kuri ir ārpustirgus ražotāji un kurus kontrolē vispārējā valdība;</w:t>
      </w:r>
    </w:p>
    <w:p w:rsidR="00073FEC" w:rsidRDefault="00073FEC" w:rsidP="00073FEC">
      <w:pPr>
        <w:pStyle w:val="BodyText"/>
        <w:numPr>
          <w:ilvl w:val="1"/>
          <w:numId w:val="30"/>
        </w:numPr>
        <w:tabs>
          <w:tab w:val="left" w:pos="1642"/>
        </w:tabs>
        <w:spacing w:before="0"/>
        <w:ind w:left="1134" w:hanging="425"/>
        <w:jc w:val="both"/>
        <w:rPr>
          <w:rFonts w:ascii="Times New Roman" w:hAnsi="Times New Roman"/>
          <w:noProof/>
          <w:sz w:val="24"/>
          <w:szCs w:val="14"/>
        </w:rPr>
      </w:pPr>
      <w:r>
        <w:rPr>
          <w:rFonts w:ascii="Times New Roman" w:hAnsi="Times New Roman"/>
          <w:noProof/>
          <w:sz w:val="24"/>
        </w:rPr>
        <w:t>pensiju fondi, kuri atzīti par atsevišķām institucionālām vienībām (“autonomas vienības”), kuros saskaņā ar tiesību aktiem ir jāveic iemaksas un kuru līdzekļus saistībā ar iemaksu un pabalstu norēķiniem vai apstiprināšanu pārvalda valdība.</w:t>
      </w:r>
      <w:r>
        <w:rPr>
          <w:rStyle w:val="FootnoteReference"/>
          <w:rFonts w:ascii="Times New Roman" w:hAnsi="Times New Roman"/>
          <w:noProof/>
          <w:sz w:val="24"/>
        </w:rPr>
        <w:footnoteReference w:id="11"/>
      </w:r>
    </w:p>
    <w:p w:rsidR="00073FEC" w:rsidRPr="001973D0" w:rsidRDefault="00073FEC" w:rsidP="00073FEC">
      <w:pPr>
        <w:pStyle w:val="BodyText"/>
        <w:tabs>
          <w:tab w:val="left" w:pos="1642"/>
        </w:tabs>
        <w:spacing w:before="0"/>
        <w:ind w:left="0" w:firstLine="0"/>
        <w:rPr>
          <w:rFonts w:ascii="Times New Roman" w:hAnsi="Times New Roman"/>
          <w:noProof/>
          <w:sz w:val="24"/>
          <w:szCs w:val="14"/>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Vispārējās valdības sektorā ietilpst četri iepriekš minētie apakšsektori, lai gan pavalsts valdību apakšsektoru iespējams attiecināt vien uz dažām ES dalībvalstīm. Tajā neietilpst publiskie tirgus ražotāji (publiskās sabiedrības, kvazisabiedrības vai, pamatojoties uz speciāliem tiesību aktiem, vienības, kas atzītas par neatkarīgām juridiskām personām), kas ir klasificēti nefinanšu (S.11) vai finanšu (S.12) sabiedrību sektoros.</w:t>
      </w:r>
    </w:p>
    <w:p w:rsidR="00073FEC"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Lai nolemtu, vai vienība jāklasificē kā vispārējās valdības vienība, jānosaka, vai tā ir:</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pStyle w:val="BodyText"/>
        <w:numPr>
          <w:ilvl w:val="1"/>
          <w:numId w:val="30"/>
        </w:numPr>
        <w:tabs>
          <w:tab w:val="left" w:pos="1915"/>
        </w:tabs>
        <w:spacing w:before="0"/>
        <w:ind w:left="1134" w:hanging="425"/>
        <w:jc w:val="both"/>
        <w:rPr>
          <w:rFonts w:ascii="Times New Roman" w:hAnsi="Times New Roman"/>
          <w:noProof/>
          <w:sz w:val="24"/>
        </w:rPr>
      </w:pPr>
      <w:r>
        <w:rPr>
          <w:rFonts w:ascii="Times New Roman" w:hAnsi="Times New Roman"/>
          <w:noProof/>
          <w:sz w:val="24"/>
        </w:rPr>
        <w:t>institucionāla vienība;</w:t>
      </w:r>
    </w:p>
    <w:p w:rsidR="00073FEC" w:rsidRPr="001973D0" w:rsidRDefault="00073FEC" w:rsidP="00073FEC">
      <w:pPr>
        <w:pStyle w:val="BodyText"/>
        <w:numPr>
          <w:ilvl w:val="1"/>
          <w:numId w:val="30"/>
        </w:numPr>
        <w:tabs>
          <w:tab w:val="left" w:pos="1915"/>
        </w:tabs>
        <w:spacing w:before="0"/>
        <w:ind w:left="1134" w:hanging="425"/>
        <w:jc w:val="both"/>
        <w:rPr>
          <w:rFonts w:ascii="Times New Roman" w:hAnsi="Times New Roman"/>
          <w:noProof/>
          <w:sz w:val="24"/>
        </w:rPr>
      </w:pPr>
      <w:r>
        <w:rPr>
          <w:rFonts w:ascii="Times New Roman" w:hAnsi="Times New Roman"/>
          <w:noProof/>
          <w:sz w:val="24"/>
        </w:rPr>
        <w:t>valdības kontrolēta institucionāla vienība;</w:t>
      </w:r>
    </w:p>
    <w:p w:rsidR="00073FEC" w:rsidRPr="001973D0" w:rsidRDefault="00073FEC" w:rsidP="00073FEC">
      <w:pPr>
        <w:pStyle w:val="BodyText"/>
        <w:numPr>
          <w:ilvl w:val="1"/>
          <w:numId w:val="30"/>
        </w:numPr>
        <w:tabs>
          <w:tab w:val="left" w:pos="1915"/>
        </w:tabs>
        <w:spacing w:before="0"/>
        <w:ind w:left="1134" w:hanging="425"/>
        <w:jc w:val="both"/>
        <w:rPr>
          <w:rFonts w:ascii="Times New Roman" w:hAnsi="Times New Roman"/>
          <w:noProof/>
          <w:sz w:val="24"/>
        </w:rPr>
      </w:pPr>
      <w:r>
        <w:rPr>
          <w:rFonts w:ascii="Times New Roman" w:hAnsi="Times New Roman"/>
          <w:noProof/>
          <w:sz w:val="24"/>
        </w:rPr>
        <w:t>ārpustirgus institucionāla vienība.</w:t>
      </w:r>
    </w:p>
    <w:p w:rsidR="00073FEC" w:rsidRDefault="00073FEC" w:rsidP="00073FEC">
      <w:pPr>
        <w:pStyle w:val="BodyText"/>
        <w:spacing w:before="0"/>
        <w:ind w:left="1134" w:hanging="425"/>
        <w:jc w:val="both"/>
        <w:rPr>
          <w:rFonts w:ascii="Times New Roman" w:hAnsi="Times New Roman"/>
          <w:noProof/>
          <w:sz w:val="24"/>
        </w:rPr>
      </w:pP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Turpmāk ir sīkāk aplūkoti šie kritēriji, tostarp kvalitatīvie kritēriji, kā arī daži īpaši subjekti, ko kontrolē valdība, uz kuriem neattiecas tirgus/ārpustirgus tests.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42"/>
        </w:tabs>
        <w:ind w:left="0" w:firstLine="0"/>
        <w:rPr>
          <w:rFonts w:ascii="Times New Roman" w:hAnsi="Times New Roman"/>
          <w:noProof/>
          <w:u w:val="none"/>
        </w:rPr>
      </w:pPr>
      <w:bookmarkStart w:id="15" w:name="I.2.2_Concept_of_an_institutional_unit"/>
      <w:bookmarkEnd w:id="15"/>
      <w:r>
        <w:rPr>
          <w:rFonts w:ascii="Times New Roman" w:hAnsi="Times New Roman"/>
          <w:noProof/>
          <w:u w:val="none"/>
        </w:rPr>
        <w:t>I.2.2. Institucionālās vienības jēdziens</w:t>
      </w:r>
    </w:p>
    <w:p w:rsidR="00073FEC" w:rsidRPr="001973D0" w:rsidRDefault="00073FEC" w:rsidP="00073FEC">
      <w:pPr>
        <w:pStyle w:val="Heading4"/>
        <w:tabs>
          <w:tab w:val="left" w:pos="1642"/>
        </w:tabs>
        <w:ind w:left="0" w:firstLine="0"/>
        <w:rPr>
          <w:rFonts w:ascii="Times New Roman" w:hAnsi="Times New Roman"/>
          <w:noProof/>
          <w:u w:val="none"/>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2.12. punktā ir iekļauti noteikumi, saskaņā ar kuriem subjektu var uzskatīt par institucionālu vienību:</w:t>
      </w:r>
    </w:p>
    <w:p w:rsidR="00073FEC" w:rsidRPr="001973D0" w:rsidRDefault="00073FEC" w:rsidP="00073FEC">
      <w:pPr>
        <w:jc w:val="both"/>
        <w:rPr>
          <w:rFonts w:ascii="Times New Roman" w:eastAsia="Arial" w:hAnsi="Times New Roman" w:cs="Arial"/>
          <w:noProof/>
          <w:sz w:val="24"/>
          <w:szCs w:val="16"/>
        </w:rPr>
      </w:pPr>
    </w:p>
    <w:p w:rsidR="00073FEC" w:rsidRDefault="00073FEC" w:rsidP="00073FEC">
      <w:pPr>
        <w:ind w:left="709"/>
        <w:jc w:val="both"/>
        <w:rPr>
          <w:rFonts w:ascii="Times New Roman" w:hAnsi="Times New Roman"/>
          <w:noProof/>
          <w:sz w:val="24"/>
        </w:rPr>
      </w:pPr>
      <w:r>
        <w:rPr>
          <w:rFonts w:ascii="Times New Roman" w:hAnsi="Times New Roman"/>
          <w:i/>
          <w:noProof/>
          <w:sz w:val="24"/>
        </w:rPr>
        <w:t xml:space="preserve">Rezidentvienību uzskata par tādu, kas veido institucionālu vienību ekonomiskā teritorijā, kurā atrodas tās galveno ekonomisko interešu centrs, ja tai piemīt lēmumu </w:t>
      </w:r>
      <w:r>
        <w:rPr>
          <w:rFonts w:ascii="Times New Roman" w:hAnsi="Times New Roman"/>
          <w:i/>
          <w:noProof/>
          <w:sz w:val="24"/>
        </w:rPr>
        <w:lastRenderedPageBreak/>
        <w:t>pieņemšanas autonomija un tai ir pilns kontu komplekts, vai arī tai ir iespēja izveidot pilnu kontu komplektu</w:t>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rPr>
      </w:pPr>
    </w:p>
    <w:p w:rsidR="00073FEC"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Lai varētu teikt, ka vienībai ir lēmumu pieņemšanas autonomija attiecībā uz tās galveno funkciju, tai jābūt:</w:t>
      </w:r>
    </w:p>
    <w:p w:rsidR="00073FEC" w:rsidRPr="001973D0" w:rsidRDefault="00073FEC" w:rsidP="00073FEC">
      <w:pPr>
        <w:pStyle w:val="BodyText"/>
        <w:tabs>
          <w:tab w:val="left" w:pos="1242"/>
        </w:tabs>
        <w:spacing w:before="0"/>
        <w:ind w:left="0" w:firstLine="0"/>
        <w:rPr>
          <w:rFonts w:ascii="Times New Roman" w:hAnsi="Times New Roman"/>
          <w:noProof/>
          <w:sz w:val="24"/>
        </w:rPr>
      </w:pPr>
    </w:p>
    <w:p w:rsidR="00073FEC" w:rsidRPr="001973D0" w:rsidRDefault="00073FEC" w:rsidP="00073FEC">
      <w:pPr>
        <w:pStyle w:val="BodyText"/>
        <w:numPr>
          <w:ilvl w:val="1"/>
          <w:numId w:val="30"/>
        </w:numPr>
        <w:tabs>
          <w:tab w:val="left" w:pos="1602"/>
        </w:tabs>
        <w:spacing w:before="0"/>
        <w:ind w:left="1134" w:hanging="425"/>
        <w:jc w:val="both"/>
        <w:rPr>
          <w:rFonts w:ascii="Times New Roman" w:hAnsi="Times New Roman"/>
          <w:noProof/>
          <w:sz w:val="24"/>
        </w:rPr>
      </w:pPr>
      <w:r>
        <w:rPr>
          <w:rFonts w:ascii="Times New Roman" w:hAnsi="Times New Roman"/>
          <w:noProof/>
          <w:sz w:val="24"/>
        </w:rPr>
        <w:t>“tiesībām turēt savā īpašumā preces vai aktīvus; spējīgai apmainīties ar preču vai aktīvu īpašumtiesībām, kārtojot darījumus ar citām institucionālajām vienībām;”</w:t>
      </w:r>
    </w:p>
    <w:p w:rsidR="00073FEC" w:rsidRPr="001973D0" w:rsidRDefault="00073FEC" w:rsidP="00073FEC">
      <w:pPr>
        <w:pStyle w:val="BodyText"/>
        <w:numPr>
          <w:ilvl w:val="1"/>
          <w:numId w:val="30"/>
        </w:numPr>
        <w:tabs>
          <w:tab w:val="left" w:pos="1602"/>
        </w:tabs>
        <w:spacing w:before="0"/>
        <w:ind w:left="1134" w:hanging="425"/>
        <w:jc w:val="both"/>
        <w:rPr>
          <w:rFonts w:ascii="Times New Roman" w:hAnsi="Times New Roman"/>
          <w:noProof/>
          <w:sz w:val="24"/>
        </w:rPr>
      </w:pPr>
      <w:r>
        <w:rPr>
          <w:rFonts w:ascii="Times New Roman" w:hAnsi="Times New Roman"/>
          <w:noProof/>
          <w:sz w:val="24"/>
        </w:rPr>
        <w:t>“spējīgai pieņemt ekonomiskus lēmumus un iesaistīties ekonomiskās darbībās, par kurām tā ir atbildīga saskaņā ar tiesību aktiem;”</w:t>
      </w:r>
    </w:p>
    <w:p w:rsidR="00073FEC" w:rsidRPr="001973D0" w:rsidRDefault="00073FEC" w:rsidP="00073FEC">
      <w:pPr>
        <w:pStyle w:val="BodyText"/>
        <w:numPr>
          <w:ilvl w:val="1"/>
          <w:numId w:val="30"/>
        </w:numPr>
        <w:tabs>
          <w:tab w:val="left" w:pos="1602"/>
        </w:tabs>
        <w:spacing w:before="0"/>
        <w:ind w:left="1134" w:hanging="425"/>
        <w:jc w:val="both"/>
        <w:rPr>
          <w:rFonts w:ascii="Times New Roman" w:hAnsi="Times New Roman"/>
          <w:noProof/>
          <w:sz w:val="24"/>
        </w:rPr>
      </w:pPr>
      <w:r>
        <w:rPr>
          <w:rFonts w:ascii="Times New Roman" w:hAnsi="Times New Roman"/>
          <w:noProof/>
          <w:sz w:val="24"/>
        </w:rPr>
        <w:t>“spējīgai uzņemties saistības savā vārdā, uzņemties citus pienākumus vai nākotnes saistības, kā arī stāties līgumattiecībās;”</w:t>
      </w:r>
    </w:p>
    <w:p w:rsidR="00073FEC" w:rsidRDefault="00073FEC" w:rsidP="00073FEC">
      <w:pPr>
        <w:pStyle w:val="BodyText"/>
        <w:numPr>
          <w:ilvl w:val="1"/>
          <w:numId w:val="30"/>
        </w:numPr>
        <w:tabs>
          <w:tab w:val="left" w:pos="1602"/>
        </w:tabs>
        <w:spacing w:before="0"/>
        <w:ind w:left="1134" w:hanging="425"/>
        <w:jc w:val="both"/>
        <w:rPr>
          <w:rFonts w:ascii="Times New Roman" w:hAnsi="Times New Roman"/>
          <w:noProof/>
          <w:sz w:val="24"/>
        </w:rPr>
      </w:pPr>
      <w:r>
        <w:rPr>
          <w:rFonts w:ascii="Times New Roman" w:hAnsi="Times New Roman"/>
          <w:noProof/>
          <w:sz w:val="24"/>
        </w:rPr>
        <w:t>“spējīgai izveidot pilnu kontu komplektu, kas aptver uzskaites ierakstus par visiem uzskaites periodā veiktajiem darījumiem, kā arī sastādīt aktīvu un saistību bilanci”.</w:t>
      </w:r>
      <w:r>
        <w:rPr>
          <w:rStyle w:val="FootnoteReference"/>
          <w:rFonts w:ascii="Times New Roman" w:hAnsi="Times New Roman"/>
          <w:noProof/>
          <w:sz w:val="24"/>
        </w:rPr>
        <w:footnoteReference w:id="12"/>
      </w:r>
      <w:r>
        <w:rPr>
          <w:rFonts w:ascii="Times New Roman" w:hAnsi="Times New Roman"/>
          <w:noProof/>
          <w:sz w:val="24"/>
        </w:rPr>
        <w:t xml:space="preserve"> Lielāku uzmanību ir pelnījuši turpmāk minētie gadījumi.</w:t>
      </w:r>
    </w:p>
    <w:p w:rsidR="00073FEC" w:rsidRPr="001973D0" w:rsidRDefault="00073FEC" w:rsidP="00073FEC">
      <w:pPr>
        <w:pStyle w:val="BodyText"/>
        <w:tabs>
          <w:tab w:val="left" w:pos="1602"/>
        </w:tabs>
        <w:spacing w:before="0"/>
        <w:ind w:left="0" w:firstLine="0"/>
        <w:rPr>
          <w:rFonts w:ascii="Times New Roman" w:hAnsi="Times New Roman"/>
          <w:noProof/>
          <w:sz w:val="24"/>
        </w:rPr>
      </w:pPr>
    </w:p>
    <w:p w:rsidR="00073FEC" w:rsidRPr="001973D0" w:rsidRDefault="00073FEC" w:rsidP="00073FEC">
      <w:pPr>
        <w:pStyle w:val="BodyText"/>
        <w:numPr>
          <w:ilvl w:val="2"/>
          <w:numId w:val="30"/>
        </w:numPr>
        <w:tabs>
          <w:tab w:val="left" w:pos="2016"/>
        </w:tabs>
        <w:spacing w:before="0"/>
        <w:ind w:left="1701" w:hanging="567"/>
        <w:jc w:val="both"/>
        <w:rPr>
          <w:rFonts w:ascii="Times New Roman" w:hAnsi="Times New Roman"/>
          <w:noProof/>
          <w:sz w:val="24"/>
        </w:rPr>
      </w:pPr>
      <w:r>
        <w:rPr>
          <w:rFonts w:ascii="Times New Roman" w:hAnsi="Times New Roman"/>
          <w:noProof/>
          <w:sz w:val="24"/>
        </w:rPr>
        <w:t>Ja subjekts neuztur pilnu kontu komplektu vai to nav iespējams sagatavot, tā nepilnīgais kontu komplekts ir jāiekļauj institucionālās vienības kontos.</w:t>
      </w:r>
    </w:p>
    <w:p w:rsidR="00073FEC" w:rsidRPr="001973D0" w:rsidRDefault="00073FEC" w:rsidP="00073FEC">
      <w:pPr>
        <w:pStyle w:val="BodyText"/>
        <w:numPr>
          <w:ilvl w:val="2"/>
          <w:numId w:val="30"/>
        </w:numPr>
        <w:tabs>
          <w:tab w:val="left" w:pos="2016"/>
        </w:tabs>
        <w:spacing w:before="0"/>
        <w:ind w:left="1701" w:hanging="567"/>
        <w:jc w:val="both"/>
        <w:rPr>
          <w:rFonts w:ascii="Times New Roman" w:hAnsi="Times New Roman"/>
          <w:noProof/>
          <w:sz w:val="24"/>
        </w:rPr>
      </w:pPr>
      <w:r>
        <w:rPr>
          <w:rFonts w:ascii="Times New Roman" w:hAnsi="Times New Roman"/>
          <w:noProof/>
          <w:sz w:val="24"/>
        </w:rPr>
        <w:t>Ja subjekts uztur pilnu kontu komplektu, taču tam nav lēmumu pieņemšanas autonomijas jautājumos, kas saistīti ar tā galvenās funkcijas īstenošanu, tad subjekts jāuzskata par daļu no vienības, kura to kontrolē.</w:t>
      </w:r>
    </w:p>
    <w:p w:rsidR="00073FEC" w:rsidRPr="001973D0" w:rsidRDefault="00073FEC" w:rsidP="00073FEC">
      <w:pPr>
        <w:pStyle w:val="BodyText"/>
        <w:numPr>
          <w:ilvl w:val="2"/>
          <w:numId w:val="30"/>
        </w:numPr>
        <w:tabs>
          <w:tab w:val="left" w:pos="2016"/>
        </w:tabs>
        <w:spacing w:before="0"/>
        <w:ind w:left="1701" w:hanging="567"/>
        <w:jc w:val="both"/>
        <w:rPr>
          <w:rFonts w:ascii="Times New Roman" w:hAnsi="Times New Roman"/>
          <w:noProof/>
          <w:sz w:val="24"/>
        </w:rPr>
      </w:pPr>
      <w:r>
        <w:rPr>
          <w:rFonts w:ascii="Times New Roman" w:hAnsi="Times New Roman"/>
          <w:noProof/>
          <w:sz w:val="24"/>
        </w:rPr>
        <w:t>Individuālas vienības, kas ietilpst grupā un uztur pilnu kontu komplektu, uzskata par institucionālām vienībām pat tad, ja par grupas kopējo darbības virzienu ir atbildīga centrālā struktūra (galvenais birojs) (sk. turpmāk I.6. nodaļu “Īpaši publiski subjekti”).</w:t>
      </w:r>
    </w:p>
    <w:p w:rsidR="00073FEC" w:rsidRDefault="00073FEC" w:rsidP="00073FEC">
      <w:pPr>
        <w:pStyle w:val="BodyText"/>
        <w:numPr>
          <w:ilvl w:val="2"/>
          <w:numId w:val="30"/>
        </w:numPr>
        <w:tabs>
          <w:tab w:val="left" w:pos="2016"/>
        </w:tabs>
        <w:spacing w:before="0"/>
        <w:ind w:left="1701" w:hanging="567"/>
        <w:jc w:val="both"/>
        <w:rPr>
          <w:rFonts w:ascii="Times New Roman" w:hAnsi="Times New Roman"/>
          <w:noProof/>
          <w:sz w:val="24"/>
        </w:rPr>
      </w:pPr>
      <w:r>
        <w:rPr>
          <w:rFonts w:ascii="Times New Roman" w:hAnsi="Times New Roman"/>
          <w:noProof/>
          <w:sz w:val="24"/>
        </w:rPr>
        <w:t>Uzskata, ka subjektiem, kuri uztur pilnu kontu komplektu un kuriem nav atsevišķa juridiska statusa, bet kuru ekonomiskā darbība un darbība finanšu jomā līdzinās sabiedrību darbībai (t.i., tirgus ražotāji) un kuri atšķiras no saviem valdības īpašniekiem, ir lēmumu pieņemšanas autonomija, un šos subjektus klasificē kā kvazisabiedrības sabiedrību sektorā, ārpus vispārējās valdības sektora.</w:t>
      </w:r>
    </w:p>
    <w:p w:rsidR="00073FEC" w:rsidRPr="001973D0" w:rsidRDefault="00073FEC" w:rsidP="00073FEC">
      <w:pPr>
        <w:pStyle w:val="BodyText"/>
        <w:tabs>
          <w:tab w:val="left" w:pos="2016"/>
        </w:tabs>
        <w:spacing w:before="0"/>
        <w:ind w:left="0" w:firstLine="0"/>
        <w:rPr>
          <w:rFonts w:ascii="Times New Roman" w:hAnsi="Times New Roman"/>
          <w:noProof/>
          <w:sz w:val="24"/>
        </w:rPr>
      </w:pPr>
    </w:p>
    <w:p w:rsidR="00073FEC"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Kopumā visu institucionālās vienības darbību klasificē vienā sektorā. Izņēmumi ir, piemēram, šādi gadījumi:</w:t>
      </w:r>
    </w:p>
    <w:p w:rsidR="00073FEC" w:rsidRPr="001973D0" w:rsidRDefault="00073FEC" w:rsidP="00073FEC">
      <w:pPr>
        <w:pStyle w:val="BodyText"/>
        <w:tabs>
          <w:tab w:val="left" w:pos="1242"/>
        </w:tabs>
        <w:spacing w:before="0"/>
        <w:ind w:left="0" w:firstLine="0"/>
        <w:rPr>
          <w:rFonts w:ascii="Times New Roman" w:hAnsi="Times New Roman"/>
          <w:noProof/>
          <w:sz w:val="24"/>
        </w:rPr>
      </w:pPr>
    </w:p>
    <w:p w:rsidR="00073FEC" w:rsidRPr="001973D0" w:rsidRDefault="00073FEC" w:rsidP="00073FEC">
      <w:pPr>
        <w:pStyle w:val="BodyText"/>
        <w:numPr>
          <w:ilvl w:val="0"/>
          <w:numId w:val="29"/>
        </w:numPr>
        <w:tabs>
          <w:tab w:val="left" w:pos="1701"/>
        </w:tabs>
        <w:spacing w:before="0"/>
        <w:ind w:left="1701" w:hanging="567"/>
        <w:jc w:val="both"/>
        <w:rPr>
          <w:rFonts w:ascii="Times New Roman" w:hAnsi="Times New Roman"/>
          <w:noProof/>
          <w:sz w:val="24"/>
        </w:rPr>
      </w:pPr>
      <w:r>
        <w:rPr>
          <w:rFonts w:ascii="Times New Roman" w:hAnsi="Times New Roman"/>
          <w:noProof/>
          <w:sz w:val="24"/>
        </w:rPr>
        <w:t>kad par kvazisabiedrību iespējams atzīt kādu ārpustirgus institucionālās vienības daļu (kuru tad neklasificē valdības sektorā);</w:t>
      </w:r>
    </w:p>
    <w:p w:rsidR="00073FEC" w:rsidRPr="001973D0" w:rsidRDefault="00073FEC" w:rsidP="00073FEC">
      <w:pPr>
        <w:pStyle w:val="BodyText"/>
        <w:numPr>
          <w:ilvl w:val="0"/>
          <w:numId w:val="29"/>
        </w:numPr>
        <w:tabs>
          <w:tab w:val="left" w:pos="1701"/>
        </w:tabs>
        <w:spacing w:before="0"/>
        <w:ind w:left="1701" w:hanging="567"/>
        <w:jc w:val="both"/>
        <w:rPr>
          <w:rFonts w:ascii="Times New Roman" w:hAnsi="Times New Roman"/>
          <w:noProof/>
          <w:sz w:val="24"/>
        </w:rPr>
      </w:pPr>
      <w:r>
        <w:rPr>
          <w:rFonts w:ascii="Times New Roman" w:hAnsi="Times New Roman"/>
          <w:noProof/>
          <w:sz w:val="24"/>
        </w:rPr>
        <w:t>kad valsts finanšu iestāde valdības vārdā pārvalda īpašam nolūkam paredzētus līdzekļus (daži uzkrājumi un plūsmas var būt pārvirzīti);</w:t>
      </w:r>
    </w:p>
    <w:p w:rsidR="00073FEC" w:rsidRPr="001973D0" w:rsidRDefault="00073FEC" w:rsidP="00073FEC">
      <w:pPr>
        <w:pStyle w:val="BodyText"/>
        <w:numPr>
          <w:ilvl w:val="0"/>
          <w:numId w:val="29"/>
        </w:numPr>
        <w:tabs>
          <w:tab w:val="left" w:pos="1701"/>
        </w:tabs>
        <w:spacing w:before="0"/>
        <w:ind w:left="1701" w:hanging="567"/>
        <w:jc w:val="both"/>
        <w:rPr>
          <w:rFonts w:ascii="Times New Roman" w:hAnsi="Times New Roman"/>
          <w:noProof/>
          <w:sz w:val="24"/>
        </w:rPr>
      </w:pPr>
      <w:r>
        <w:rPr>
          <w:rFonts w:ascii="Times New Roman" w:hAnsi="Times New Roman"/>
          <w:noProof/>
          <w:sz w:val="24"/>
        </w:rPr>
        <w:t>noteikta veida pensiju fondi (sk. 1.3. nodaļu);</w:t>
      </w:r>
    </w:p>
    <w:p w:rsidR="00073FEC" w:rsidRDefault="00073FEC" w:rsidP="00073FEC">
      <w:pPr>
        <w:pStyle w:val="BodyText"/>
        <w:numPr>
          <w:ilvl w:val="0"/>
          <w:numId w:val="29"/>
        </w:numPr>
        <w:tabs>
          <w:tab w:val="left" w:pos="1701"/>
        </w:tabs>
        <w:spacing w:before="0"/>
        <w:ind w:left="1701" w:hanging="567"/>
        <w:jc w:val="both"/>
        <w:rPr>
          <w:rFonts w:ascii="Times New Roman" w:hAnsi="Times New Roman"/>
          <w:noProof/>
          <w:sz w:val="24"/>
        </w:rPr>
      </w:pPr>
      <w:r>
        <w:rPr>
          <w:rFonts w:ascii="Times New Roman" w:hAnsi="Times New Roman"/>
          <w:noProof/>
          <w:sz w:val="24"/>
        </w:rPr>
        <w:t>dažas tirgu regulējošās aģentūras (sk. I.4. nodaļu).</w:t>
      </w:r>
    </w:p>
    <w:p w:rsidR="00073FEC" w:rsidRPr="001973D0" w:rsidRDefault="00073FEC" w:rsidP="00073FEC">
      <w:pPr>
        <w:pStyle w:val="BodyText"/>
        <w:tabs>
          <w:tab w:val="left" w:pos="1602"/>
        </w:tabs>
        <w:spacing w:before="0"/>
        <w:ind w:left="0" w:firstLine="0"/>
        <w:jc w:val="both"/>
        <w:rPr>
          <w:rFonts w:ascii="Times New Roman" w:hAnsi="Times New Roman"/>
          <w:noProof/>
          <w:sz w:val="24"/>
        </w:rPr>
      </w:pPr>
    </w:p>
    <w:p w:rsidR="00073FEC" w:rsidRPr="000A4DB3"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Jāuzsver, ka EKS 2010 sektoru klasifikācijas kritēriju pamatā nav subjekta juridiskā forma. Dažkārt var secināt, ka subjektam nav nepieciešamās lēmumu pieņemšanas autonomijas, par ko ne vienmēr liecina tā juridiskais statuss.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42"/>
        </w:tabs>
        <w:ind w:left="0" w:firstLine="0"/>
        <w:rPr>
          <w:rFonts w:ascii="Times New Roman" w:hAnsi="Times New Roman"/>
          <w:noProof/>
          <w:u w:val="none"/>
        </w:rPr>
      </w:pPr>
      <w:bookmarkStart w:id="16" w:name="I.2.3_Concept_of_a_government-controlled"/>
      <w:bookmarkEnd w:id="16"/>
      <w:r>
        <w:rPr>
          <w:rFonts w:ascii="Times New Roman" w:hAnsi="Times New Roman"/>
          <w:noProof/>
          <w:u w:val="none"/>
        </w:rPr>
        <w:lastRenderedPageBreak/>
        <w:t>I.2.3. Valdības kontrolētas institucionālās vienības jēdziens</w:t>
      </w:r>
    </w:p>
    <w:p w:rsidR="00073FEC" w:rsidRPr="001973D0" w:rsidRDefault="00073FEC" w:rsidP="00073FEC">
      <w:pPr>
        <w:pStyle w:val="Heading4"/>
        <w:tabs>
          <w:tab w:val="left" w:pos="1642"/>
        </w:tabs>
        <w:ind w:left="0" w:firstLine="0"/>
        <w:rPr>
          <w:rFonts w:ascii="Times New Roman" w:hAnsi="Times New Roman"/>
          <w:noProof/>
          <w:u w:val="none"/>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Valdības kontrolēta institucionālā vienība (publiskais ražotājs) ir institucionāla rezidentvienība, ko tieši vai netieši kontrolē vispārējās valdības rezidentvienības vai citi publiskie ražotāji. Visi pārējie rezidentražotāji ir privātie ražotāji.</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Visi publiskie ražotāji ir “publiskā sektora” sastāvdaļa, kā noteikts EKS 2010 20.303. punktā: </w:t>
      </w:r>
      <w:r>
        <w:rPr>
          <w:rFonts w:ascii="Times New Roman" w:hAnsi="Times New Roman"/>
          <w:i/>
          <w:noProof/>
          <w:sz w:val="24"/>
        </w:rPr>
        <w:t>Publisko sektoru veido vispārējā valdība un publiskās sabiedrības</w:t>
      </w:r>
      <w:r>
        <w:rPr>
          <w:rFonts w:ascii="Times New Roman" w:hAnsi="Times New Roman"/>
          <w:noProof/>
          <w:sz w:val="24"/>
        </w:rPr>
        <w:t xml:space="preserve"> [..]. Termins “sabiedrība” ir jāsaprot visai plašā nozīmē, jo sabiedrības var būt subjekti, kam nav sabiedrības juridiskā statusa, bet kas var būt pilnībā iekļautas sabiedrībās (jo īpaši, ja to bilancē saistību pusē tiek norādīts pašu kapitāls vai kas līdzvērtīgs). Turklāt valdības kontrolētas bezpeļņas institūcijas (t. i., institūcijas, kurām kopumā nav ļauts sadalīt peļņu saviem īpašniekiem), kas tiek atzītas par tirgus ražotājiem (sk. turpmāk), ietilpst publiskajā sektorā (bet netiek iekļautas vispārējās valdības sektorā).</w:t>
      </w:r>
    </w:p>
    <w:p w:rsidR="00073FEC" w:rsidRPr="008C6C7F"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Atkarībā no tā, kādā pakāpē institucionālo vienību kontrolē valdība (proti, galvenā valdības vienība, kā norādīts EKS 2010 20.08.–20.09. un 20.29. punktā, bet, iespējams, arī citi subjekti, kas klasificēti kā valdības vienības) vai publiska vienība, kas nav klasificēta valdības sektorā, varētu noteikt, vai institucionālā vienība ir vai nav publiskā sektora sastāvdaļa. Otrajā posmā šīs vienības iekļaušana valdības sektorā (S.13) varētu būt atkarīga no kritērijiem, kas aprakstīti I.2.4. iedaļā (Tirgus vai ārpustirgus institucionālas vienības jēdziens).</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Valdības kontroles jēdziens nacionālajos kontos ir vienādi piemērojams gan finanšu, gan nefinanšu sabiedrībām un sīkāk izklāstīts turpmākajos punktos. Jautājums par bezpeļņas institūciju un izglītības vienību kontroli ir turpmāk skatīts atsevišķi.</w:t>
      </w:r>
    </w:p>
    <w:p w:rsidR="00073FEC" w:rsidRPr="001973D0" w:rsidRDefault="00073FEC" w:rsidP="00073FEC">
      <w:pPr>
        <w:numPr>
          <w:ilvl w:val="0"/>
          <w:numId w:val="30"/>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 xml:space="preserve">EKS 2010 20.18. punktā termins kontrole pār subjektu ir definēts kā </w:t>
      </w:r>
      <w:r>
        <w:rPr>
          <w:rFonts w:ascii="Times New Roman" w:hAnsi="Times New Roman"/>
          <w:i/>
          <w:noProof/>
          <w:sz w:val="24"/>
        </w:rPr>
        <w:t>spēja noteikt šā subjekta vispārējo politiku vai programmu</w:t>
      </w:r>
      <w:r>
        <w:rPr>
          <w:rFonts w:ascii="Times New Roman" w:hAnsi="Times New Roman"/>
          <w:noProof/>
          <w:sz w:val="24"/>
        </w:rPr>
        <w:t>. Šajā saistībā ir jāapsver šādi rādītāji (sīkāka informācija par katru kritēriju pieejama EKS 2010 20.309. punktā).</w:t>
      </w:r>
    </w:p>
    <w:p w:rsidR="00073FEC"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Katrs no turpmāk 1)–3) punktā uzskaitītajiem kritērijiem atsevišķi varētu būt pietiekams, lai noteiktu valdības kontroli.</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numPr>
          <w:ilvl w:val="0"/>
          <w:numId w:val="28"/>
        </w:numPr>
        <w:tabs>
          <w:tab w:val="left" w:pos="1642"/>
        </w:tabs>
        <w:ind w:left="1134" w:hanging="425"/>
        <w:jc w:val="both"/>
        <w:rPr>
          <w:rFonts w:ascii="Times New Roman" w:eastAsia="Arial" w:hAnsi="Times New Roman" w:cs="Arial"/>
          <w:noProof/>
          <w:sz w:val="24"/>
        </w:rPr>
      </w:pPr>
      <w:r>
        <w:rPr>
          <w:rFonts w:ascii="Times New Roman" w:hAnsi="Times New Roman"/>
          <w:i/>
          <w:noProof/>
          <w:sz w:val="24"/>
          <w:u w:val="single" w:color="000000"/>
        </w:rPr>
        <w:t>Tiesības iecelt, atlaist, apstiprināt vai noteikt veto attiecībā uz lielāko daļu no amatpersonām, direktoru padomes u.c.</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Par iecelšanu var lemt dažādas valdības vienības (kas klasificētas vai nu tajos pašos apakšsektoros vai atšķirīgos apakšsektoros).</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Tiesības iecelt, noteikt veto vai atbrīvot no pienākumu izpildes lielāko daļu subjekta galveno komiteju (vai apakškomiteju) locekļu, kam ir izšķiroša loma attiecībā uz šā subjekta vispārējās politikas galvenajiem faktoriem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Attiecībā uz iepriekšminēto kritēriju jautājumam par veto pilnvarām ir jāpievērš īpaša uzmanība. Veto dod tiesības iebilst dažiem lēmumiem vai uzspiest lēmumu, ko sedz veto pilnvaras. Kopumā, ja valdībai vai kādai citai publiskai vienībai ir veto pilnvaras, ar to vien jau būtu pietiekami, lai secinātu, ka vienību kontrolē valdība vai cita publiska vienība, ja vien valdībai vai publiskai vienībai ir šādas tiesības. Tomēr var būt gadījumi, kad citām vienībām, kuras ir ieinteresētas sabiedrībā, arī ir veto pilnvaras līdzīgu lēmumu pieņemšanā, vai gadījumi, kad ir nepieciešams vienprātīgs lēmums. Nav būtiski, cik daudzām vienībām, kas nav valdība vai cita publiska vienība, ir veto pilnvaras, un tās var uzlūkot kopā.</w:t>
      </w:r>
    </w:p>
    <w:p w:rsidR="00073FEC" w:rsidRPr="001973D0" w:rsidRDefault="00073FEC" w:rsidP="00073FEC">
      <w:pPr>
        <w:pStyle w:val="BodyText"/>
        <w:spacing w:before="0"/>
        <w:ind w:left="1134" w:firstLine="0"/>
        <w:jc w:val="both"/>
        <w:rPr>
          <w:rFonts w:ascii="Times New Roman" w:hAnsi="Times New Roman"/>
          <w:noProof/>
          <w:sz w:val="24"/>
          <w:szCs w:val="14"/>
        </w:rPr>
      </w:pPr>
      <w:r>
        <w:rPr>
          <w:rFonts w:ascii="Times New Roman" w:hAnsi="Times New Roman"/>
          <w:noProof/>
          <w:sz w:val="24"/>
        </w:rPr>
        <w:t xml:space="preserve">Vienības kontrole parasti nozīmē, ka kontrolējošai vienībai pašai pieder “pēdējais vārds” attiecībā uz galvenajiem nozīmīgajiem lēmumiem. Var būt dažādi gadījumi. Piemēram, valdības kontroli novērtē pēc tā, vai valdības (un citu publiskā sektora subjektu) veto pilnvaras sedz lielāku skaitu lēmumu un/vai svarīgākus lēmumus nekā veto pilnvaras, kas ir citiem īpašniekiem. Piemēram, valdībai varētu būt </w:t>
      </w:r>
      <w:r>
        <w:rPr>
          <w:rFonts w:ascii="Times New Roman" w:hAnsi="Times New Roman"/>
          <w:noProof/>
          <w:sz w:val="24"/>
        </w:rPr>
        <w:lastRenderedPageBreak/>
        <w:t>galvenās pilnvaras attiecībā uz lēmumu pieņemšanu par vienības likvidēšanu, tās apvienošanu ar citu vienību, statusa mainīšanu vai darbības būtisku mainīšanu. Citos gadījumos valdībai un privātiem akcionāriem varētu būt vienāds veto pilnvaru līmenis. Tas nozīmē, ka jebkurš akcionārs varētu aizkavēt lēmumu saskaņā ar principu “pilnvaras pārbaudīt pilnvaras”. Tomēr šajā gadījumā kontroli varētu novērtēt arī pēc cita papildu kritērija, proti, kāda ir vienības būtība, kurā valdībai ir veto pilnvaras. Piemēram, ja konkrētā vienība iegūst sev resursus galvenokārt no publiskajām vienībām saskaņā ar pārdošanas līgumiem un citiem nolīgumiem (piemēram, PPP), varētu domāt, ka valdībai vai kādai citai publiskai vienībai ir lielāka ietekme uz šo vienību, un tādējādi varētu uzskatīt, ka šo vienību kontrolē valdība.</w:t>
      </w:r>
      <w:r>
        <w:rPr>
          <w:rStyle w:val="FootnoteReference"/>
          <w:rFonts w:ascii="Times New Roman" w:hAnsi="Times New Roman"/>
          <w:noProof/>
          <w:sz w:val="24"/>
        </w:rPr>
        <w:footnoteReference w:id="13"/>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0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Īpašumtiesības uz balsstiesību vairākumu</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Ja tiesības ir vairākām publiskām vienībām, jo īpaši, ja nevienai nav vairākuma, īpašumtiesības skata kopumā (kopā). Skaitot balsstiesības, izvērtē gan tiešās, gan netiešās īpašumtiesības. Piemēram, ja centrālajai valdībai pieder 30 % un publiskai sabiedrībai pieder 40 % sabiedrības, turklāt 75 % šīs publiskās sabiedrības pieder centrālajai valdībai, bet 25 % ir privātā īpašumā, šāda sabiedrība ir uzskatāma par valdības kontrolētu sabiedrību. Rūpīgi ir jāizvērtē arī tas, ka dažas akcijas sniedz tiesības balsot ar vairākām balsīm. Kamēr valdība tieši vai netieši var faktiski kontrolēt vairāk nekā 50 % balsstiesību, vienība ir publiskā sektora sastāvdaļa. Parasti sabiedrība, no kuras mazāk par 50 % pieder publiskā sektora īpašniekiem, netiks uzskatīta par publiskā sektora daļu, pamatojoties uz īpašumtiesību kritēriju, taču tā joprojām varētu ietilpt publiskajā sektorā, ja tiek izpildīti pārējie iepriekš minētie kontroles kritēriji.</w:t>
      </w:r>
    </w:p>
    <w:p w:rsidR="00073FEC" w:rsidRPr="008C6C7F"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Var būt gadījumi, kad publiskajām un/vai valdības vienībām ir mazākums balsstiesību, taču pārējiem akcionāriem individuāli tās ir daudz mazākā apmērā un pat ļoti mazā apmērā būtiskā samazinājumā. Šādā gadījumā maz ticams, ka privāto akcionāru apvienība, kurai ir vismaz 50 % + 1 tiesības, varētu iebilst valdībai vai publiskajai vienībai un tādējādi nodrošināt kontroli pār sabiedrību. Teorētiski saskaņā ar EKS 2010 būtu jāuzskata, ka valdība vai cita publiskā vienība nekontrolē vienību. Tomēr dažos gadījumos būtu svarīga pragmatiska pieeja, ja, ņemot vērā novēroto balsošanas iznākumu, tiek novērtēts, ka publiskais sektors lielākoties iegūst balsu vairākumu, lai arī tam balsstiesības ir zem 50 % (tomēr jebkurā gadījumā tās ir lielākas par likumā noteikto “bloķējošo mazākumu”, ja tāds ir noteikts). Šādos gadījumos vienība būtu uzskatāma par publiskā sektora sastāvdaļu.</w:t>
      </w:r>
      <w:r>
        <w:rPr>
          <w:rStyle w:val="FootnoteReference"/>
          <w:rFonts w:ascii="Times New Roman" w:hAnsi="Times New Roman"/>
          <w:noProof/>
          <w:sz w:val="24"/>
        </w:rPr>
        <w:footnoteReference w:id="14"/>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Saskaņā ar EKS 2010 20.310. punktu minētie 1)–3) apakšpunkta kontroles kritēriji ir paši par sevi pietiekami, lai izveidotu kontroli. Tomēr gadījumā, ja tie nav pašpietiekami, būtu jāizvērtē vēl arī citi kritēriji, t. i., 4)–9) apakšpunktā minētie kritēriji, ņemot vērā EKS 2010 20.310. punktā minēto, ka “vairāki atsevišķi rādītāji kopā var norādīt uz kontroli”. Katrs šāds gadījums ir jāanalizē atsevišķi. Var būt arī </w:t>
      </w:r>
      <w:r>
        <w:rPr>
          <w:rFonts w:ascii="Times New Roman" w:hAnsi="Times New Roman"/>
          <w:noProof/>
          <w:sz w:val="24"/>
        </w:rPr>
        <w:lastRenderedPageBreak/>
        <w:t>gadījumi, kad šajā saistībā pietiek ar vienu, bet svarīgu kritēriju. Tādējādi vienība, kas neatbilst 1)–3) apakšpunktā minētajiem kontroles kritērijiem (pat ja vairākums ir privātajā īpašumā), joprojām varētu būt iekļauta publiskajā sektorā.</w:t>
      </w:r>
    </w:p>
    <w:p w:rsidR="00073FEC" w:rsidRPr="001973D0" w:rsidRDefault="00073FEC" w:rsidP="00073FEC">
      <w:pPr>
        <w:jc w:val="both"/>
        <w:rPr>
          <w:rFonts w:ascii="Times New Roman" w:eastAsia="Arial" w:hAnsi="Times New Roman" w:cs="Arial"/>
          <w:noProof/>
          <w:sz w:val="24"/>
          <w:szCs w:val="27"/>
        </w:rPr>
      </w:pPr>
    </w:p>
    <w:p w:rsidR="00073FEC" w:rsidRPr="001973D0" w:rsidRDefault="00073FEC" w:rsidP="00073FEC">
      <w:pPr>
        <w:numPr>
          <w:ilvl w:val="0"/>
          <w:numId w:val="28"/>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Tiesības iecelt vai atlaist vadošos darbiniekus, vai noteikt veto attiecībā uz tiem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Tas attiecas uz vispārējās politikas noteikšanu, ko realizē neliels “ietekmīgu valdes locekļu” skaits, piemēram, galvenās izpildpersonas un priekšsēdētājs. Tas liecinās par kontroli tikai tad, ja šādām personām ir piešķirtas zināmas pilnvaras (dažādos veidos), kas </w:t>
      </w:r>
      <w:r>
        <w:rPr>
          <w:rFonts w:ascii="Times New Roman" w:hAnsi="Times New Roman"/>
          <w:i/>
          <w:noProof/>
          <w:sz w:val="24"/>
        </w:rPr>
        <w:t>de facto</w:t>
      </w:r>
      <w:r>
        <w:rPr>
          <w:rFonts w:ascii="Times New Roman" w:hAnsi="Times New Roman"/>
          <w:noProof/>
          <w:sz w:val="24"/>
        </w:rPr>
        <w:t xml:space="preserve"> dod tām izšķirošo vārdu vairumā lēmumu, kuri attiecas uz subjektu.</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Īpašo akciju un iespēju tiesības</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Parasti kā piemēru var minēt “zelta akcijas” (jo īpaši attiecībā uz privatizācijām). Ja šādas akcijas attiektos tikai uz dažiem īpašiem iespējamiem notikumiem un būtu ierobežotas tvēruma un/vai laika ziņā (kā tas parasti arī ir), kā arī tām nebūtu izšķiroša ietekme uz subjekta esošo stratēģiju, akcijas kā tādas nebūtu uzskatāmas par izšķirošu kritēriju.</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Parasti, ja valdībai ir šāda veida “atrunu tiesības”, tās varētu kļūt par pamatu pārklasifikācijai šo tiesību aktivēšanas laikā vai pat agrāk, ja kļūst skaidrs, ka valdība/publiskais sektors nākotnē īstenos izšķirošo kontroli pār vienības stratēģiju un citiem būtiskiem lēmumiem.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Akciju pirkuma tiesību esamībai, kas varētu nozīmēt, ka kamēr vien šīs akcijas pastāv, valdība/publiskā vienība varētu izpildīt pirmo kontroles kritēriju virkni, varētu būtu tāda pati ietekme, jo pat tikai izvēles tiesību īstenošanas draudi varētu dot valdībai/publiskajam sektoram izšķirošu ietekmi attiecībā uz kontrolētās vienības stratēģiju un citiem nozīmīgiem lēmumiem.</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Kontroles tiesības, izmantojot līgumsaistības</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Parasti tas nozīmē, ka publiskā sektora subjekti ekskluzīvi izmanto subjekta ražotās preces un pakalpojumus, kas varētu liecināt par dominējošo ietekmi uz paša subjekta stratēģiju. Tas varētu arī raisīt jautājumus par to, kādā pēc būtības tirgū vienība darbojas, ja tās produkciju pērk valdība (sk. I.2.4.2. apakšiedaļu “Ar ražotājiem saistīti īpaši gadījumi”).</w:t>
      </w:r>
    </w:p>
    <w:p w:rsidR="00073FEC" w:rsidRPr="001973D0" w:rsidRDefault="00073FEC" w:rsidP="00073FEC">
      <w:pPr>
        <w:ind w:left="1134" w:hanging="425"/>
        <w:jc w:val="both"/>
        <w:rPr>
          <w:rFonts w:ascii="Times New Roman" w:hAnsi="Times New Roman"/>
          <w:noProof/>
          <w:sz w:val="24"/>
        </w:rPr>
      </w:pPr>
    </w:p>
    <w:p w:rsidR="00073FEC" w:rsidRPr="001973D0" w:rsidRDefault="00073FEC" w:rsidP="00073FEC">
      <w:pPr>
        <w:numPr>
          <w:ilvl w:val="0"/>
          <w:numId w:val="28"/>
        </w:numPr>
        <w:tabs>
          <w:tab w:val="left" w:pos="160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Tiesības kontrolēt, kas izriet no aizdevuma līgumiem/atļaujām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Lai norādītu kontroli, valdībai/publiskajam sektoram ir jābūt dominējošai lomai, nosakot aizņēmuma nosacījumus (maksājuma termiņu, likmes, veidus, atrašanās vietu, darījuma partneri, nodrošinājumus utt.), un/vai stingri jākontrolē, kā līdzekļus izlieto subjekts (piemēram, konkrētam iekārtu vai citu uzņēmumu akciju iepirkumam).</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0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Kontrole, izmantojot pārmērīgu regulējumu</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Dažām darbībām (piemēram, komunālajiem pakalpojumiem) stingrs regulējums varētu būtiski ierobežot subjekta manevra iespējas attiecībā uz tā vispārējās politikas noteikšanu. Kopumā subjekts varētu būt dibināts konkrētas darbības veikšanai (ko deleģē valdība), un tas nevar lemt par šīs darbības izmaiņām vai papildinājumiem. Tādējādi šo kritēriju piemēro, ja pastāv stingrāki nosacījumi vienības darbību izbeigšanai vai dažādošanai.</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0"/>
          <w:numId w:val="28"/>
        </w:numPr>
        <w:tabs>
          <w:tab w:val="left" w:pos="160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Citi</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EKS 2010 20.309. punktā noteikts, ka tas var būt saistīts ar subjekta statūtu </w:t>
      </w:r>
      <w:r>
        <w:rPr>
          <w:rFonts w:ascii="Times New Roman" w:hAnsi="Times New Roman"/>
          <w:noProof/>
          <w:sz w:val="24"/>
        </w:rPr>
        <w:lastRenderedPageBreak/>
        <w:t>noteikumiem, kas paredz, ka dažiem nozīmīgiem lēmumiem, piemēram, par subjekta rezultātu sadalījumu, darbību izstrādi vai izbeigšanu, apvienošanās un iegādes darbībām, likvidēšanu vai izmaiņām statūtos, ir nepieciešams publiskā sektora apstiprinājums. Daži šāda veida noteikumi liecina par kontroli. EKS 2010 arī ir minēts, ka subjektu varētu pilnībā vai gandrīz pilnībā finansēt publiskais sektors, taču par kontroli tas liecinātu tikai tad, ja ar to pietiek, lai diktētu vispārējo politiku, un/vai ja subjektam nav piekļuves (</w:t>
      </w:r>
      <w:r>
        <w:rPr>
          <w:rFonts w:ascii="Times New Roman" w:hAnsi="Times New Roman"/>
          <w:i/>
          <w:noProof/>
          <w:sz w:val="24"/>
        </w:rPr>
        <w:t>de iure</w:t>
      </w:r>
      <w:r>
        <w:rPr>
          <w:rFonts w:ascii="Times New Roman" w:hAnsi="Times New Roman"/>
          <w:noProof/>
          <w:sz w:val="24"/>
        </w:rPr>
        <w:t xml:space="preserve"> vai </w:t>
      </w:r>
      <w:r>
        <w:rPr>
          <w:rFonts w:ascii="Times New Roman" w:hAnsi="Times New Roman"/>
          <w:i/>
          <w:noProof/>
          <w:sz w:val="24"/>
        </w:rPr>
        <w:t>de facto</w:t>
      </w:r>
      <w:r>
        <w:rPr>
          <w:rFonts w:ascii="Times New Roman" w:hAnsi="Times New Roman"/>
          <w:noProof/>
          <w:sz w:val="24"/>
        </w:rPr>
        <w:t>) citiem finanšu avotiem.</w:t>
      </w:r>
    </w:p>
    <w:p w:rsidR="00073FEC" w:rsidRPr="001973D0" w:rsidRDefault="00073FEC" w:rsidP="00073FEC">
      <w:pPr>
        <w:jc w:val="both"/>
        <w:rPr>
          <w:rFonts w:ascii="Times New Roman" w:eastAsia="Arial" w:hAnsi="Times New Roman" w:cs="Arial"/>
          <w:noProof/>
          <w:sz w:val="24"/>
          <w:szCs w:val="27"/>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Bezpeļņas institūciju kontrole</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Šādu kontroles jēdzienu piemēro arī bezpeļņas institūcijām, kurām katrā ES dalībvalstī var būt atšķirīgas pazīmes un atšķirīga nozīmība (lieluma, ietekmes uz neto aizdevumu/aizņēmumu (B.9) un parādu ziņā utt.) un kuras var veikt darbību dažādu veidu aģentu labā.</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Līdzīgi kā attiecībā uz sabiedrībām (un līdzvērtīgiem subjektiem) kontrole attiecībā uz BPI ietver spēju noteikt BPI vispārējo politiku vai programmu. Tomēr šajā gadījuma pastāv būtiska atšķirība starp tirgus un ārpustirgus BPI, kas noteikta saskaņā ar kritērijiem, kuri sniegti turpmāk I.2.4.3. apakšiedaļā par kvantitatīvo tirgus/ārpustirgus testu.</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BPI, ko kontrolē valdība un kas tiek uzskatītas par tirgus ražotājiem (piemēram, jo tās pārdod savus pakalpojumus sabiedrībām vai mājsaimniecībām par ekonomiski nozīmīgām cenām), tiek klasificētas nefinanšu sabiedrību sektorā (S.11). Savukārt EKS 2010 20.13. punktā teikts, ka “tās bezpeļņas institūcijas, kuras ir ārpustirgus ražotāji un ko kontrolē valdības vienības, ir vispārējās valdības sektora vienības”. Saistībā ar BPI kontroli EKS 2010 20.15. punktā noteikts, ka jāapsver turpmāk norādītie pieci kritēriji</w:t>
      </w:r>
      <w:r>
        <w:rPr>
          <w:rStyle w:val="FootnoteReference"/>
          <w:rFonts w:ascii="Times New Roman" w:hAnsi="Times New Roman"/>
          <w:noProof/>
          <w:sz w:val="24"/>
        </w:rPr>
        <w:footnoteReference w:id="15"/>
      </w:r>
      <w:r>
        <w:rPr>
          <w:rFonts w:ascii="Times New Roman" w:hAnsi="Times New Roman"/>
          <w:noProof/>
          <w:sz w:val="24"/>
        </w:rPr>
        <w:t>.</w:t>
      </w:r>
    </w:p>
    <w:p w:rsidR="00073FEC" w:rsidRPr="001973D0" w:rsidRDefault="00073FEC" w:rsidP="00073FEC">
      <w:pPr>
        <w:jc w:val="both"/>
        <w:rPr>
          <w:rFonts w:ascii="Times New Roman" w:hAnsi="Times New Roman"/>
          <w:noProof/>
          <w:sz w:val="24"/>
        </w:rPr>
      </w:pPr>
    </w:p>
    <w:p w:rsidR="00073FEC" w:rsidRPr="001973D0" w:rsidRDefault="00073FEC" w:rsidP="00073FEC">
      <w:pPr>
        <w:numPr>
          <w:ilvl w:val="1"/>
          <w:numId w:val="30"/>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Amatpersonu iecelšana</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Valdība var būt tiesīga iecelt BPI amatpersonas saskaņā ar BPI organizatorisko struktūru, tās statūtiem vai citiem pamataktiem.</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1"/>
          <w:numId w:val="30"/>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Citi pamatakta noteikumi</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Attiecībā uz šo punktu NKS 2008 4.92. punkts ir precīzāk formulēts nekā EKS 2010. Konkrēti, ja valdība jau ir statūtos noteikusi funkcijas, mērķus un darbības noteikumus, amatpersonu iecelšanai varētu būt sekundāra nozīme. Taču valdības kontrole varētu realizēties, ja valdībai būtu tiesības atcelt personālu un apstiprināt budžetu vai finanšu sadali. Varētu uzskatīt, ka BPI kontrolē valdība, ja būtu nepieciešams valdības apstiprinājums, lai mainītu subjekta statūtus (vai subjekta veiktās darbības veidu), vai ja subjekts nedrīkstētu sevi likvidēt vai pārtraukt jebkādas attiecības ar valdību bez šāda apstiprinājuma.</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1"/>
          <w:numId w:val="30"/>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Līgumiskas vienošanās</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Dažas BPI var noslēgt līgumus ar valdības vienībām, lai veiktu valdības noteiktos uzdevumus, darbojoties kā specializēts uzņēmums, jo īpaši sociālajā jomā. Ja šādu līgumu izpilde ir galvenā, ja ne vienīgā BPI darbības sastāvdaļa, ir skaidrs, ka valdībai būtu jābūt spējīgai ietekmēt BPI vispārējo politiku. Tomēr kontrole būtu jāizvērtē, ja būtu nepieciešams valdības apstiprinājums, lai izbeigtu ar valdību </w:t>
      </w:r>
      <w:r>
        <w:rPr>
          <w:rFonts w:ascii="Times New Roman" w:hAnsi="Times New Roman"/>
          <w:noProof/>
          <w:sz w:val="24"/>
        </w:rPr>
        <w:lastRenderedPageBreak/>
        <w:t>noslēgtos līgumus.</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1"/>
          <w:numId w:val="30"/>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Finansēšanas līmenis</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Lai arī EKS 2010 20.15. punktā nav skaidri noteikts, kādam būtu jābūt finansēšanas līmenim, NKS 2008 4.92. punktā norādīts, ka BPI, kuru galvenokārt finansē valdība, var būt valdības kontrolēta BPI. “Galvenokārt” ir jāsaprot kā vismaz vairāk par 50 %. Kontrole būtu jānovērtē, ja šāda finansēšana notiktu pastāvīgi (nevis uz laiku) un/vai ja rezultātā tiktu stingri uzraudzīts līdzekļu izlietojums un valdība spēcīgi ietekmētu subjekta vispārējo politiku.</w:t>
      </w:r>
    </w:p>
    <w:p w:rsidR="00073FEC" w:rsidRPr="001973D0" w:rsidRDefault="00073FEC" w:rsidP="00073FEC">
      <w:pPr>
        <w:ind w:left="1134" w:hanging="425"/>
        <w:jc w:val="both"/>
        <w:rPr>
          <w:rFonts w:ascii="Times New Roman" w:eastAsia="Arial" w:hAnsi="Times New Roman" w:cs="Arial"/>
          <w:noProof/>
          <w:sz w:val="24"/>
        </w:rPr>
      </w:pPr>
    </w:p>
    <w:p w:rsidR="00073FEC" w:rsidRPr="001973D0" w:rsidRDefault="00073FEC" w:rsidP="00073FEC">
      <w:pPr>
        <w:numPr>
          <w:ilvl w:val="1"/>
          <w:numId w:val="30"/>
        </w:numPr>
        <w:tabs>
          <w:tab w:val="left" w:pos="1642"/>
        </w:tabs>
        <w:ind w:left="1134" w:hanging="425"/>
        <w:jc w:val="both"/>
        <w:rPr>
          <w:rFonts w:ascii="Times New Roman" w:hAnsi="Times New Roman"/>
          <w:i/>
          <w:noProof/>
          <w:sz w:val="24"/>
          <w:u w:val="single" w:color="000000"/>
        </w:rPr>
      </w:pPr>
      <w:r>
        <w:rPr>
          <w:rFonts w:ascii="Times New Roman" w:hAnsi="Times New Roman"/>
          <w:i/>
          <w:noProof/>
          <w:sz w:val="24"/>
          <w:u w:val="single" w:color="000000"/>
        </w:rPr>
        <w:t>Riska līmenis</w:t>
      </w:r>
    </w:p>
    <w:p w:rsidR="00073FEC"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Šis rādītājs nav izstrādāts EKS 2010, bet NKS 2008 4.92. punktā valdība ļauj sevi “pakļaut visiem ar BPI darbībām saistītiem finanšu riskiem vai būtisku to daļu”. Šādā gadījumā šī kārtība varētu nozīmēt to, ka valdība īsteno kontroli. Finanšu riski attiecas uz valdības </w:t>
      </w:r>
      <w:r>
        <w:rPr>
          <w:rFonts w:ascii="Times New Roman" w:hAnsi="Times New Roman"/>
          <w:i/>
          <w:noProof/>
          <w:sz w:val="24"/>
        </w:rPr>
        <w:t>ex ante</w:t>
      </w:r>
      <w:r>
        <w:rPr>
          <w:rFonts w:ascii="Times New Roman" w:hAnsi="Times New Roman"/>
          <w:noProof/>
          <w:sz w:val="24"/>
        </w:rPr>
        <w:t xml:space="preserve"> apņemšanos uzņemties BPI saistības, ja pārtrūkst citi iespējamie ieņēmumu avoti, kas nav no valdības saņemtie, utt.</w:t>
      </w:r>
    </w:p>
    <w:p w:rsidR="00073FEC" w:rsidRPr="001973D0"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noteikts, ka dažos gadījumos var pietikt ar vienu rādītāju, lai konstatētu kontroli, tomēr biežāk ir nepieciešams apsvērt vairākus rādītājus kopā, un ļoti bieži var būt vajadzība analizēt katru gadījumu atsevišķi. Jebkurā gadījumā izšķirošais punkts ir BPI spēja vai nespēja pašai noteikt savu vispārējo politiku.</w:t>
      </w:r>
    </w:p>
    <w:p w:rsidR="00073FEC" w:rsidRPr="001973D0" w:rsidRDefault="00073FEC" w:rsidP="00073FEC">
      <w:pPr>
        <w:jc w:val="both"/>
        <w:rPr>
          <w:rFonts w:ascii="Times New Roman" w:eastAsia="Arial" w:hAnsi="Times New Roman" w:cs="Arial"/>
          <w:noProof/>
          <w:sz w:val="24"/>
          <w:szCs w:val="27"/>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Izglītības vienību kontrole</w:t>
      </w:r>
    </w:p>
    <w:p w:rsidR="00073FEC" w:rsidRPr="001973D0" w:rsidRDefault="00073FEC" w:rsidP="00073FEC">
      <w:pPr>
        <w:pStyle w:val="Heading6"/>
        <w:jc w:val="both"/>
        <w:rPr>
          <w:rFonts w:ascii="Times New Roman" w:hAnsi="Times New Roman"/>
          <w:noProof/>
          <w:sz w:val="24"/>
        </w:rPr>
      </w:pPr>
    </w:p>
    <w:p w:rsidR="00073FEC" w:rsidRPr="005C4628"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Daudzas izglītības vienības (skolas, koledžas, profesionālās apmācības iestādes, universitātes utt.) ir bezpeļņas institūcijas, ko pārsvarā finansē valdība. Tās ir praktisks piemērs tam, kā tiek piemēroti iepriekšējā punktā minētie EKS 2010 kontroles kritēriji. Vairumu no tām finansē valdība vairāk kā 50 % apmērā, jo citi avoti, piemēram, vecāku vai studentu maksātās maksas vai dāvinājumi, bieži vien ir nebūtisks finansējuma avots. Dažās valstīs valdība (dažādos līmeņos) var tieši pārņemt dažus izdevumus, piemēram, pasniedzēju algas vai ēku uzturēšanu.</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Principā tas vien, ka izglītības vienība tiek finansēta, vēl nebūtu uzskatāms par noteicošu kritēriju, lai to klasificētu kā valdības atbalstītu izglītības vienību. Visticamāk valdība īsteno kādu ietekmi attiecībā uz savu līdzekļu izlietojumu. Tomēr, ja valdības ietekme izpaužas tikai attiecībā uz izglītības vienībai noteikto standartu ievērošanu (saistībā ar mācību programmām, izglītības kvalitāti, materiāltehniskiem apstākļiem, pasniedzēju kompetenci utt.) neatkarīgi no tās statūtiem, tad tā nav kontrole. Nereti ir arī tā, ka izglītības sistēmā ietilpst dažādu veidu skolas (valdības vienības, privātas BPI utt.). Tāpēc līdzīgu standartu vai normu piemērošana lielam vienību skaitam, šķiet, ir nozīmīga pazīme šādu BPI gadījumā.</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Tas ir jānošķir no valdības tiešas iesaistīšanās ar skolu saistītajos nozīmīgajos lēmumos. Piemērojot vispārējo noteikumu, ja valdība ieceļ vadītājus (vai apstiprina viņu iecelšanu, vai patur tiesības viņus atcelt) vai dod norādījumus attiecībā uz skolas vadīšanu ikdienā, tādējādi ierobežojot lēmuma pieņemšanas iespējas izglītības vienības amatpersonām, vienība būtu jāklasificē vispārējās valdības sektorā. Šādos apstākļos uzskatāms, ka valdība kontrolē vienību, ja ir nepieciešams tās apstiprinājums, lai izveidotu jaunas klases vai lai specializētos kādās mācīšanas jomās, izdarītu nozīmīgus izdevumus bruto pamatkapitāla veidošanā (kurus galvenokārt varētu finansēt valdība), aizņemtos, pieņemtu darbā pasniedzējus, vai ja valdība var nepieļaut, ka izglītības iestāde izbeidz attiecības ar to.</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592"/>
        </w:tabs>
        <w:ind w:left="0" w:firstLine="0"/>
        <w:rPr>
          <w:rFonts w:ascii="Times New Roman" w:hAnsi="Times New Roman"/>
          <w:noProof/>
          <w:u w:val="none"/>
        </w:rPr>
      </w:pPr>
      <w:bookmarkStart w:id="17" w:name="I.2.4_Concept_of_a_market_or_non-market_"/>
      <w:bookmarkEnd w:id="17"/>
      <w:r>
        <w:rPr>
          <w:rFonts w:ascii="Times New Roman" w:hAnsi="Times New Roman"/>
          <w:noProof/>
          <w:u w:val="none"/>
        </w:rPr>
        <w:lastRenderedPageBreak/>
        <w:t>I.2.4. Tirgus vai ārpustirgus institucionālas vienības jēdziens</w:t>
      </w:r>
    </w:p>
    <w:p w:rsidR="00073FEC" w:rsidRPr="001973D0" w:rsidRDefault="00073FEC" w:rsidP="00073FEC">
      <w:pPr>
        <w:pStyle w:val="Heading4"/>
        <w:tabs>
          <w:tab w:val="left" w:pos="1592"/>
        </w:tabs>
        <w:ind w:left="0" w:firstLine="0"/>
        <w:rPr>
          <w:rFonts w:ascii="Times New Roman" w:hAnsi="Times New Roman"/>
          <w:noProof/>
          <w:u w:val="none"/>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Ja valsts institucionālās vienības galvenā funkcija ir nacionālā ienākuma un bagātības pārdale, tad šo vienību klasificē vispārējās valdības sektorā.</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Ja publiskas (valdības kontrolē esošas) institucionālas vienības galvenā funkcija ir finanšu starpniecība, kas noteikta EKS 2010 2.57. punktā, tā jāklasificē finanšu sabiedrību sektorā ārpus vispārējās valdības sektora, t.i., šajā gadījumā tirgus/ārpustirgus tests (sk. turpmāk) nav jāpiemēro (EKS 2010 20.34. punkts). Tomēr ir jāpārbauda, vai subjekts faktiski nodarbojas ar finanšu starpniecību (pārvalda/iegādājas finanšu aktīvus un uzņemas saistības savā vārdā) un/vai finanšu palīgdarbībām (sk. EKS 2010 2.95. un 2.96. punktu). Ja vienība neveic minētās darbības, tā jāklasificē vispārējās valdības sektorā.</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Pārējos gadījumos ir jāpārbauda, vai vienība atbilst tirgus vai ārpustirgus klasifikācijai; proti, ja vienība finansē savas darbības no ieņēmumiem, kas gūti, pārdodot preces un pakalpojumus par ekonomiski nozīmīgām cenām, tad tā ir tirgus ražotājs. Tirgus ražotājus klasificē sabiedrību sektoros.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Vispārējās valdības sektorā ietilpst vienīgi publiskās ārpustirgus institucionālas vienības. Ja šīs ārpustirgus institucionālās vienības veic kādu papildu tirgus darbību, tās ir sekundārās vietējās darbības veida vienības (DVV), kas nav atzītas par kvazisabiedrībām un ir jāiekļauj vispārējās valdības sektorā (sk. EKS 2010 2.144. punktu un turpmākos punktus).</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56"/>
        </w:tabs>
        <w:rPr>
          <w:rFonts w:ascii="Times New Roman" w:hAnsi="Times New Roman"/>
          <w:noProof/>
          <w:sz w:val="24"/>
        </w:rPr>
      </w:pPr>
      <w:bookmarkStart w:id="18" w:name="I.2.4.1_The_concept_of_&amp;quot;economicall"/>
      <w:bookmarkEnd w:id="18"/>
      <w:r>
        <w:rPr>
          <w:rFonts w:ascii="Times New Roman" w:hAnsi="Times New Roman"/>
          <w:noProof/>
          <w:sz w:val="24"/>
        </w:rPr>
        <w:t>I.2.4.1. Jēdziens “ekonomiski nozīmīgas cenas”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EKS 2010 noteikts, ka tirgus ražotāji no ārpustirgus ražotājiem atšķiras ar to, vai preces un pakalpojumi tiek pārdoti par ekonomiski nozīmīgām cenām (sk. EKS 2010 20.19. punktu un turpmākos punktus). Cenu dēvē par ekonomiski nozīmīgu cenu, ja </w:t>
      </w:r>
      <w:r>
        <w:rPr>
          <w:rFonts w:ascii="Times New Roman" w:hAnsi="Times New Roman"/>
          <w:i/>
          <w:noProof/>
          <w:sz w:val="24"/>
        </w:rPr>
        <w:t>tā būtiski ietekmē produktu daudzumu, kādu ražotāji vēlas piegādāt, un produktu daudzumu, kādu pircēji vēlas pirkt</w:t>
      </w:r>
      <w:r>
        <w:rPr>
          <w:rFonts w:ascii="Times New Roman" w:hAnsi="Times New Roman"/>
          <w:noProof/>
          <w:sz w:val="24"/>
        </w:rPr>
        <w:t>. Lai novērtētu tirgus darbību, būtiski pievērst uzmanību ražotāju un patērētāju spējai reaģēt uz ekonomiskiem “signāliem”. Attiecīgi cenu dēvē par ekonomiski nenozīmīgu cenu, ja tai ir neliela ietekme uz daudzumu, kādu ražotājs ir gatavs piegādāt, vai šādas ietekmes nav vispār, un tikai neliela ietekme uz pieprasīto daudzumu. Līdz ar to tā ir cena, kas nenosaka novērotos piedāvājuma un pieprasījuma līmeņus.</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Tirgus ražotāji savu produkciju pārdod par ekonomiski nozīmīgām cenām. Ārpustirgus ražotāji parasti savu produkciju piedāvā bez maksas vai par cenām, kas nav ekonomiski nozīmīgas cenas. Publisks tirgus ražotājs rīkosies kā uzņēmējdarbības vienība atbilstoši tirgus konjunktūrai, un tas var pārtraukt darbību, ja nespēj nodrošināt savu pastāvēšanu par attiecīgajām cenām bez valdības pastāvīga atbalsta, vai šādā gadījumā tas tiktu pārstrukturēts.</w:t>
      </w:r>
      <w:r>
        <w:rPr>
          <w:rStyle w:val="FootnoteReference"/>
          <w:rFonts w:ascii="Times New Roman" w:hAnsi="Times New Roman"/>
          <w:noProof/>
          <w:sz w:val="24"/>
        </w:rPr>
        <w:footnoteReference w:id="16"/>
      </w:r>
    </w:p>
    <w:p w:rsidR="00073FEC" w:rsidRDefault="00073FEC" w:rsidP="00073FEC">
      <w:pPr>
        <w:rPr>
          <w:rFonts w:ascii="Times New Roman" w:hAnsi="Times New Roman"/>
          <w:noProof/>
          <w:sz w:val="24"/>
        </w:rPr>
      </w:pPr>
      <w:r>
        <w:br w:type="page"/>
      </w:r>
    </w:p>
    <w:p w:rsidR="00073FEC" w:rsidRPr="001973D0" w:rsidRDefault="00073FEC" w:rsidP="00073FEC">
      <w:pPr>
        <w:jc w:val="both"/>
        <w:rPr>
          <w:rFonts w:ascii="Times New Roman" w:hAnsi="Times New Roman"/>
          <w:noProof/>
          <w:sz w:val="24"/>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Lēmuma pieņemšanas shēma</w:t>
      </w:r>
    </w:p>
    <w:p w:rsidR="00073FEC" w:rsidRPr="001973D0" w:rsidRDefault="00073FEC" w:rsidP="00073FEC">
      <w:pPr>
        <w:jc w:val="both"/>
        <w:rPr>
          <w:rFonts w:ascii="Times New Roman" w:eastAsia="Arial" w:hAnsi="Times New Roman" w:cs="Arial"/>
          <w:b/>
          <w:bCs/>
          <w:noProof/>
          <w:sz w:val="24"/>
          <w:szCs w:val="10"/>
        </w:rPr>
      </w:pPr>
    </w:p>
    <w:p w:rsidR="00073FEC" w:rsidRPr="001973D0" w:rsidRDefault="003473E9" w:rsidP="003473E9">
      <w:pPr>
        <w:jc w:val="center"/>
        <w:rPr>
          <w:rFonts w:ascii="Times New Roman" w:eastAsia="Arial" w:hAnsi="Times New Roman" w:cs="Arial"/>
          <w:b/>
          <w:bCs/>
          <w:noProof/>
          <w:sz w:val="24"/>
          <w:szCs w:val="20"/>
        </w:rPr>
      </w:pPr>
      <w:r w:rsidRPr="003473E9">
        <w:rPr>
          <w:rFonts w:ascii="Times New Roman" w:eastAsia="Arial" w:hAnsi="Times New Roman" w:cs="Arial"/>
          <w:b/>
          <w:bCs/>
          <w:noProof/>
          <w:sz w:val="24"/>
          <w:szCs w:val="20"/>
          <w:lang w:bidi="ar-SA"/>
        </w:rPr>
        <w:drawing>
          <wp:inline distT="0" distB="0" distL="0" distR="0">
            <wp:extent cx="5664260" cy="5866410"/>
            <wp:effectExtent l="0" t="0" r="0" b="127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2707" cy="5875158"/>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b/>
          <w:bCs/>
          <w:noProof/>
          <w:sz w:val="24"/>
          <w:szCs w:val="20"/>
        </w:rPr>
      </w:pPr>
    </w:p>
    <w:p w:rsidR="00073FEC" w:rsidRDefault="00073FEC" w:rsidP="00073FEC">
      <w:pPr>
        <w:pStyle w:val="Heading6"/>
        <w:tabs>
          <w:tab w:val="left" w:pos="2056"/>
        </w:tabs>
        <w:rPr>
          <w:rFonts w:ascii="Times New Roman" w:hAnsi="Times New Roman"/>
          <w:noProof/>
          <w:sz w:val="24"/>
        </w:rPr>
      </w:pPr>
      <w:bookmarkStart w:id="19" w:name="I.2.4.2_Specific_cases_of_producers"/>
      <w:bookmarkEnd w:id="19"/>
      <w:r>
        <w:rPr>
          <w:rFonts w:ascii="Times New Roman" w:hAnsi="Times New Roman"/>
          <w:noProof/>
          <w:sz w:val="24"/>
        </w:rPr>
        <w:t>I.2.4.2. Ar ražotājiem saistīti īpaši gadījumi</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Neatkarīgi no I.2.4.3. apakšiedaļā aprakstītā kvantitatīvā tirgus/ārpustirgus testa rezultātiem var būt gadījumi, kad ir nepieciešama īpaša analīze, ja ražotājs “pēc būtības” netiek uzskatīts par tirgus ražotāju. Tas varētu attiekties uz publisko ražotāju. Privātiem ražotājiem (proti, ražotājiem, kurus, kā minēts iepriekš, nekontrolē publiskais sektors) cena pēc definīcijas tiek uzskatīta par ekonomiski nozīmīgu peļņas ierobežojumu dēļ.</w:t>
      </w:r>
      <w:r>
        <w:rPr>
          <w:rStyle w:val="FootnoteReference"/>
          <w:rFonts w:ascii="Times New Roman" w:hAnsi="Times New Roman"/>
          <w:noProof/>
          <w:sz w:val="24"/>
        </w:rPr>
        <w:footnoteReference w:id="17"/>
      </w:r>
      <w:r>
        <w:rPr>
          <w:rFonts w:ascii="Times New Roman" w:hAnsi="Times New Roman"/>
          <w:noProof/>
          <w:sz w:val="24"/>
        </w:rPr>
        <w:t xml:space="preserve"> Savukārt publiskos uzņēmumus (galvenokārt sabiedrības) mēdz dibināt valsts politikas mērķiem, sniedzot tiem lielāku vai mazāku valsts atbalstu, kas var ietekmēt to produkcijas cenu. To tirgus/ārpustirgus būtība ir jāizvērtē, veicot gan turpmāko </w:t>
      </w:r>
      <w:r>
        <w:rPr>
          <w:rFonts w:ascii="Times New Roman" w:hAnsi="Times New Roman"/>
          <w:noProof/>
          <w:sz w:val="24"/>
        </w:rPr>
        <w:lastRenderedPageBreak/>
        <w:t>kvantitatīvo testu, kas parāda, kādos apstākļos tie var veikt tirgus darbību, gan izmantojot kvantitatīvos kritērijus, lai noteiktu, vai šie uzņēmumi veic tirgus darbību. Kvantitatīvā testa rezultāts nav uzskatāms par vienīgo būtisko kritēriju, ar kuru nosaka subjekta klasifikāciju. Ir jāizvērtē arī uzņēmumu darbības savdabība un pastāvošās īpašās saites ar valdību. Pieņem, ka attiecīgajai informācijai būtu jābūt pieejamai statistiķiem.</w:t>
      </w:r>
      <w:r>
        <w:rPr>
          <w:rStyle w:val="FootnoteReference"/>
          <w:rFonts w:ascii="Times New Roman" w:hAnsi="Times New Roman"/>
          <w:noProof/>
          <w:sz w:val="24"/>
        </w:rPr>
        <w:footnoteReference w:id="18"/>
      </w:r>
    </w:p>
    <w:p w:rsidR="00073FEC" w:rsidRPr="001973D0" w:rsidRDefault="00073FEC" w:rsidP="00073FEC">
      <w:pPr>
        <w:jc w:val="both"/>
        <w:rPr>
          <w:rFonts w:ascii="Times New Roman" w:eastAsia="Arial" w:hAnsi="Times New Roman" w:cs="Arial"/>
          <w:noProof/>
          <w:sz w:val="24"/>
          <w:szCs w:val="32"/>
        </w:rPr>
      </w:pPr>
    </w:p>
    <w:p w:rsidR="00073FEC" w:rsidRPr="001973D0" w:rsidRDefault="00073FEC" w:rsidP="00073FEC">
      <w:pPr>
        <w:pStyle w:val="BodyText"/>
        <w:numPr>
          <w:ilvl w:val="1"/>
          <w:numId w:val="30"/>
        </w:numPr>
        <w:tabs>
          <w:tab w:val="left" w:pos="1632"/>
        </w:tabs>
        <w:spacing w:before="0"/>
        <w:ind w:left="1134" w:hanging="425"/>
        <w:jc w:val="both"/>
        <w:rPr>
          <w:rFonts w:ascii="Times New Roman" w:hAnsi="Times New Roman"/>
          <w:noProof/>
          <w:sz w:val="24"/>
          <w:u w:val="single" w:color="000000"/>
        </w:rPr>
      </w:pPr>
      <w:r>
        <w:rPr>
          <w:rFonts w:ascii="Times New Roman" w:hAnsi="Times New Roman"/>
          <w:noProof/>
          <w:sz w:val="24"/>
          <w:u w:val="single" w:color="000000"/>
        </w:rPr>
        <w:t>Publiskais ražotājs nav institucionāla vienība</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Tirgus/ārpustirgus dalījumam ir nozīme vienīgi tad, ja ražotājs ir institucionāla vienība un nav pilnvarots valdības palīgpakalpojumu sniedzējs, kā noteikts EKS 2010 3.12. punktā. Šādā gadījumā subjekts apkalpo gandrīz vienīgi valdību un ir jāiekļauj tajā valdības vienībā, no kuras tas ir atkarīgs. Ir arī gadījumi, kad valdības kontrolēta vienība ir jāklasificē valdības sektorā, tādējādi kvantitatīvais tests nav piemērots (sk. I.6. nodaļu “Īpaši publiski subjekti”).</w:t>
      </w:r>
    </w:p>
    <w:p w:rsidR="00073FEC" w:rsidRPr="001973D0" w:rsidRDefault="00073FEC" w:rsidP="00073FEC">
      <w:pPr>
        <w:pStyle w:val="BodyText"/>
        <w:numPr>
          <w:ilvl w:val="1"/>
          <w:numId w:val="30"/>
        </w:numPr>
        <w:tabs>
          <w:tab w:val="left" w:pos="1632"/>
        </w:tabs>
        <w:spacing w:before="0"/>
        <w:ind w:left="1134" w:hanging="425"/>
        <w:jc w:val="both"/>
        <w:rPr>
          <w:rFonts w:ascii="Times New Roman" w:hAnsi="Times New Roman"/>
          <w:noProof/>
          <w:sz w:val="24"/>
          <w:u w:val="single" w:color="000000"/>
        </w:rPr>
      </w:pPr>
      <w:r>
        <w:rPr>
          <w:rFonts w:ascii="Times New Roman" w:hAnsi="Times New Roman"/>
          <w:noProof/>
          <w:sz w:val="24"/>
          <w:u w:val="single" w:color="000000"/>
        </w:rPr>
        <w:t>Publiskais ražotājs pārdod savu produkciju gan valdībai, gan citiem patērētājiem (sabiedrībām, mājsaimniecībām, nerezidentiem)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Ja publiskais ražotājs ir piegādātājs, kam (vienīgajam) ir monopols piegādāt savas preces un pakalpojumus ekonomikā, pieņem, ka tas ir tirgus ražotājs, ja vairāk nekā 50 % tā produkcijas tiek pārdoti privātām vienībām. Gadījumā, ja vairāk nekā 50 % tā produkcijas tiek pārdoti valdības vienībām, taču valdība iegādājas šīs preces un pakalpojumus ar tādiem pašiem nosacījumiem, kādi ir citām privātām vienībām, t. i., pilnā saskaņā ar komercnoteikumiem (par ļoti līdzīgām cenām par tām pašām precēm vai pakalpojumiem), veicot ekonomisko analīzi, uzskatāms, ka valdība darbojas kā “noteiktās cenas ņēmējs”, un pārdevējs tiek uzskatīts par tirgus ražotāju. Šādos gadījumos, visticamāk, ražotājs reaģētu uz tirgus signāliem.</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Ja ir vairāki piegādātāji (t. i., arī privātie ražotāji tautsaimniecībā vai no ārvalstīm) un valdība pērk no ražotāja nozīmīgu daļu tā produkcijas (t. i., vairāk nekā 50 %), taču ir vairāki konkurējoši ražotāji, uzskatāms, ka publiskais ražotājs ir tirgus ražotājs, ja līgumslēgšanas process ar valdību notiek faktiskā atklātā un godīgā konkurencē (piemēram, atklātā konkursa procedūrā). Visticamāk, ražotājs reaģētu uz tirgus signāliem, savukārt pircējiem būtu brīva izvēle, pamatojoties uz cenu un/vai citiem aspektiem.</w:t>
      </w:r>
    </w:p>
    <w:p w:rsidR="00073FEC" w:rsidRPr="001973D0" w:rsidRDefault="00073FEC" w:rsidP="00073FEC">
      <w:pPr>
        <w:pStyle w:val="BodyText"/>
        <w:numPr>
          <w:ilvl w:val="1"/>
          <w:numId w:val="30"/>
        </w:numPr>
        <w:tabs>
          <w:tab w:val="left" w:pos="1592"/>
        </w:tabs>
        <w:spacing w:before="0"/>
        <w:ind w:left="1134" w:hanging="425"/>
        <w:jc w:val="both"/>
        <w:rPr>
          <w:rFonts w:ascii="Times New Roman" w:hAnsi="Times New Roman"/>
          <w:noProof/>
          <w:sz w:val="24"/>
          <w:u w:val="single" w:color="000000"/>
        </w:rPr>
      </w:pPr>
      <w:r>
        <w:rPr>
          <w:rFonts w:ascii="Times New Roman" w:hAnsi="Times New Roman"/>
          <w:noProof/>
          <w:sz w:val="24"/>
          <w:u w:val="single" w:color="000000"/>
        </w:rPr>
        <w:t>Publiskais ražotājs pārdod savu produkciju vienīgi valdībai</w:t>
      </w:r>
    </w:p>
    <w:p w:rsidR="00073FEC" w:rsidRPr="001973D0" w:rsidRDefault="00073FEC" w:rsidP="00073FEC">
      <w:pPr>
        <w:pStyle w:val="BodyText"/>
        <w:spacing w:before="0"/>
        <w:ind w:left="1134" w:firstLine="0"/>
        <w:jc w:val="both"/>
        <w:rPr>
          <w:rFonts w:ascii="Times New Roman" w:hAnsi="Times New Roman" w:cs="Arial"/>
          <w:noProof/>
          <w:sz w:val="24"/>
        </w:rPr>
      </w:pPr>
      <w:r>
        <w:rPr>
          <w:rFonts w:ascii="Times New Roman" w:hAnsi="Times New Roman"/>
          <w:noProof/>
          <w:sz w:val="24"/>
        </w:rPr>
        <w:t>Šādā gadījumā valdība ir dominējošā pozīcijā (monopsons). Nacionālo kontu speciālistiem ir sīki jāizskata šādas situācijas, jo valdībai kopumā ir ievērojama ietekme uz cenu līmeni (tā ir faktiskā “cenas noteicēja”).</w:t>
      </w:r>
    </w:p>
    <w:p w:rsidR="00073FEC"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Ja publiskais ražotājs, iespējams, tehnisku vai ekonomisku iemeslu dēļ (piemēram, ekonomikas apmēra dēļ) ir vienīgais šāda veida preces vai pakalpojuma sniedzējs valdībai, parasti tas tiks uzskatīts par ārpustirgus ražotāju. Izņēmums ir gadījums, kad ir skaidra un atvērta konkurence ar privātiem ražotājiem. To jo īpaši apliecinātu atvērta un godīga konkursa procedūra, kurā notiek sākotnējā atlase, pamatojoties uz komercnoteikumiem. Turklāt, ja šāda konkurence patiešām pastāv,</w:t>
      </w:r>
      <w:r>
        <w:rPr>
          <w:rStyle w:val="FootnoteReference"/>
          <w:rFonts w:ascii="Times New Roman" w:hAnsi="Times New Roman"/>
          <w:noProof/>
          <w:sz w:val="24"/>
        </w:rPr>
        <w:footnoteReference w:id="19"/>
      </w:r>
      <w:r>
        <w:rPr>
          <w:rFonts w:ascii="Times New Roman" w:hAnsi="Times New Roman"/>
          <w:noProof/>
          <w:sz w:val="24"/>
        </w:rPr>
        <w:t xml:space="preserve"> publiskā ražotāja konkrētais stāvoklis nav nemainīgs, ja līgumu pēc noteikta perioda atjaunina konkurenci nodrošinošā procesā.</w:t>
      </w:r>
      <w:r>
        <w:rPr>
          <w:rStyle w:val="FootnoteReference"/>
          <w:rFonts w:ascii="Times New Roman" w:hAnsi="Times New Roman"/>
          <w:noProof/>
          <w:sz w:val="24"/>
        </w:rPr>
        <w:footnoteReference w:id="20"/>
      </w:r>
    </w:p>
    <w:p w:rsidR="00073FEC" w:rsidRPr="001973D0" w:rsidRDefault="00073FEC" w:rsidP="00073FEC">
      <w:pPr>
        <w:pStyle w:val="BodyText"/>
        <w:spacing w:before="0"/>
        <w:ind w:left="0" w:firstLine="0"/>
        <w:jc w:val="both"/>
        <w:rPr>
          <w:rFonts w:ascii="Times New Roman" w:hAnsi="Times New Roman"/>
          <w:noProof/>
          <w:sz w:val="24"/>
          <w:szCs w:val="14"/>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Jebkurā gadījumā, ja šis publiskais ražotājs nav vienīgais valdības piegādātājs un reāli un atklāti konkurē ar citiem ražotājiem, tā tirgus/ārpustirgus būtība ir jāpārbauda kvantitatīvā testā.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rPr>
          <w:rFonts w:ascii="Times New Roman" w:hAnsi="Times New Roman"/>
          <w:noProof/>
          <w:sz w:val="24"/>
        </w:rPr>
      </w:pPr>
      <w:bookmarkStart w:id="20" w:name="I.2.4.3_The_quantitative_market/non-mark"/>
      <w:bookmarkEnd w:id="20"/>
      <w:r>
        <w:rPr>
          <w:rFonts w:ascii="Times New Roman" w:hAnsi="Times New Roman"/>
          <w:noProof/>
          <w:sz w:val="24"/>
        </w:rPr>
        <w:t>I.2.4.3. Kvantitatīvs tirgus/ārpustirgus tests</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Lai ražotāju uzskatītu par tirgus ražotāju, tam sava produkcija ir jāpārdod par ekonomiski nozīmīgu cenu, ko praksē novērtē pārbaudot, vai ražotāja pārdošanas ienākumi sedz lielāko daļu no tā ražošanas izmaksām. Lai nošķirtu tirgus ražotājus un citus ārpustirgus ražotājus, izmanto kvantitatīvo tirgus/ārpustirgus testu (50 % kritērijs), kurā salīdzina “pārdošanas ienākumus” un “ražošanas izmaksas”.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Saskaņā ar EKS 2010 20.30. punktu un EKS 2010 3.33. punktu preču un pakalpojumu “pārdošanas ienākumi” ir pārdošanas ieņēmumi, kam pieskaitīti visi maksājumi, kurus veic vispārējā valdība vai ES iestādes</w:t>
      </w:r>
      <w:r>
        <w:rPr>
          <w:rStyle w:val="FootnoteReference"/>
          <w:rFonts w:ascii="Times New Roman" w:hAnsi="Times New Roman"/>
          <w:noProof/>
          <w:sz w:val="24"/>
        </w:rPr>
        <w:footnoteReference w:id="21"/>
      </w:r>
      <w:r>
        <w:rPr>
          <w:rFonts w:ascii="Times New Roman" w:hAnsi="Times New Roman"/>
          <w:noProof/>
          <w:sz w:val="24"/>
        </w:rPr>
        <w:t xml:space="preserve"> un kurus nodrošina jebkuram šāda veida darbībā iesaistītam ražotājam. Citus avotus, piemēram, turēšanas ienākumus, dividendes, ieguldījumu dotācijas vai citus kapitāla pārvedumus nedrīkst iekļaut jēdzienā “pārdošanas ienākumi”. Šajā saistībā par pārdošanas ienākumu sastāvdaļu neuzskata produktu nodokļus (D.21) un arī pašražošanu.</w:t>
      </w:r>
    </w:p>
    <w:p w:rsidR="00073FEC" w:rsidRPr="00113D4B"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 xml:space="preserve">Lai šos maksājumus (uz kuriem jābūt tiesībām ikvienam ražotājam, kurš veic attiecīgo darbību) varētu iekļaut “pārdošanas ienākumos”, tiem jābūt tieši saistītiem ar produkcijas apmēru vai vērtību, un tos nedrīkst iekļaut, pamatojoties vienīgi uz to, ka ražotājs ir iesaistīts šādā ražošanā. Piemēram, attiecībā uz sabiedriskā transporta jomu valdība kā subsīdijas izmaksāšanas kritēriju var noteikt pārdoto biļešu skaitu, subsīdijas izmaksājot tādā apmērā, kas būtu tieši atkarīgs no izmantojuma, un subsīdijām sedzot starpību starp cenu, kas tiek piemērota attiecībā uz lietotājiem (kuru parasti ierobežo valdība), un attiecīgās produkcijas izmaksām. Turpretī maksājumi, kas tiek veikti ražotājam neatkarīgi no gala lietotājiem pārdoto biļešu skaita kā vispārējs kopsummas maksājums, lai ar to segtu darbības deficītu, kurš rodas tādēļ, ka noteiktā cena nepietiekami sedz izmaksas, netiktu iekļauti pārdošanas ienākumos attiecībā uz 50 % kritēriju. Praksē maksājumus, kas iekļauti “pārdošanas ienākumu” jēdzienā, dēvē par produktu subsīdijām (D.31), kas saskaņā ar EKS 2010 4.33. punktu ir subsīdijas, kuras </w:t>
      </w:r>
      <w:r>
        <w:rPr>
          <w:rFonts w:ascii="Times New Roman" w:hAnsi="Times New Roman"/>
          <w:i/>
          <w:noProof/>
          <w:sz w:val="24"/>
        </w:rPr>
        <w:t>maksā par vienu saražoto vai importēto preces vai pakalpojuma vienību</w:t>
      </w:r>
      <w:r>
        <w:rPr>
          <w:rFonts w:ascii="Times New Roman" w:hAnsi="Times New Roman"/>
          <w:noProof/>
          <w:sz w:val="24"/>
        </w:rPr>
        <w:t xml:space="preserve">. Tomēr EKS 2010 3.33. punkta a) apakšpunktā skaidri noteikts, ka par pārdošanas ienākumiem neuzskata </w:t>
      </w:r>
      <w:r>
        <w:rPr>
          <w:rFonts w:ascii="Times New Roman" w:hAnsi="Times New Roman"/>
          <w:i/>
          <w:noProof/>
          <w:sz w:val="24"/>
        </w:rPr>
        <w:t>vispārējās valdības maksājumus publisko sabiedrību un kvazisabiedrību kopējā deficīta segšanai</w:t>
      </w:r>
      <w:r>
        <w:rPr>
          <w:rFonts w:ascii="Times New Roman" w:hAnsi="Times New Roman"/>
          <w:noProof/>
          <w:sz w:val="24"/>
        </w:rPr>
        <w:t>”, kas ir “</w:t>
      </w:r>
      <w:r>
        <w:rPr>
          <w:rFonts w:ascii="Times New Roman" w:hAnsi="Times New Roman"/>
          <w:i/>
          <w:noProof/>
          <w:sz w:val="24"/>
        </w:rPr>
        <w:t>daļa no citām produktu subsīdijām kā definēts EKS 2010 4.35. punkta c) apakšpunktā</w:t>
      </w:r>
      <w:r>
        <w:rPr>
          <w:rFonts w:ascii="Times New Roman" w:hAnsi="Times New Roman"/>
          <w:noProof/>
          <w:sz w:val="24"/>
        </w:rPr>
        <w:t>.</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Citas ražošanas subsīdijas (D.39) (EKS 2010 4.36. punkts) un citi valdības pārvedumi netiek ņemti vērā. Tāpēc ikviena subsīdija, kuras kopējā izmaksājamā summa ir noteikta iepriekš (iespējams, jau daļēji vai pilnīgi izmaksāta pirms darbības pilnīgas pabeigšanas) saistībā ar kopējā budžeta apspriedi, kurā uzmanība pievērsta tādiem faktoriem kā, piemēram, ēku uzturēšana, ieguldījumi tehniskajā aprīkojumā, darba ņēmēju atalgojums utt., piemērojot 50 % kritēriju, nav uzskatāmi par “pārdošanas ienākumiem”.</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rPr>
        <w:t>Ražošanas izmaksas</w:t>
      </w:r>
      <w:r>
        <w:rPr>
          <w:rFonts w:ascii="Times New Roman" w:hAnsi="Times New Roman"/>
          <w:noProof/>
          <w:sz w:val="24"/>
        </w:rPr>
        <w:t xml:space="preserve">” saistībā ar tirgus/ārpustirgus testu tiek definētas kā starppatēriņa summa (P.2), darba ņēmēju atalgojums (D.1), pamatkapitāla patēriņš (P.51c), citi maksājamie ražošanas nodokļi (D.29) un neto procentu maksa (savukārt citas saņemamās ražošanas subsīdijas (D.39) netiek atskaitītas). Lai nodrošinātu konsekvenci starp pārdošanas ienākumu un ražošanas izmaksu jēdzieniem, kad tiek piemērots 50 % kritērijs, ražošanas izmaksās neietver piedēvētās izmaksas, kas radušās kapitāla </w:t>
      </w:r>
      <w:r>
        <w:rPr>
          <w:rFonts w:ascii="Times New Roman" w:hAnsi="Times New Roman"/>
          <w:noProof/>
          <w:sz w:val="24"/>
        </w:rPr>
        <w:lastRenderedPageBreak/>
        <w:t>pašveidošanas rezultātā.</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 xml:space="preserve">Neto procentu maksu EKS 2010 20.31. punktā definē kā: </w:t>
      </w:r>
      <w:r>
        <w:rPr>
          <w:rFonts w:ascii="Times New Roman" w:hAnsi="Times New Roman"/>
          <w:i/>
          <w:noProof/>
          <w:sz w:val="24"/>
        </w:rPr>
        <w:t>maksājamos procentus (D.41), no kuriem atskaita saņemamos procentus (D.41)</w:t>
      </w:r>
      <w:r>
        <w:rPr>
          <w:rFonts w:ascii="Times New Roman" w:hAnsi="Times New Roman"/>
          <w:noProof/>
          <w:sz w:val="24"/>
        </w:rPr>
        <w:t>. Uzskatāms, ka neto procentu maksa ir kapitāla izmaksu ticams tuvinājums, jo tās ir galvenokārt izmaksas saistībā ar ražošanā izmantoto (pamat)līdzekļu finansēšanu, ko pieņem par kapitāla alternatīvajām izmaksām. Dažos gadījumos neto procentu maksa var būt negatīva (piemēram, kad ienākums no procentus ienesošajiem aktīviem ir lielāks par maksājamajiem procentiem vai kad vienībai nav saistību, bet ir tikai aktīvi, kas ienes procentus, utt.). Ja neto procentu maksa kļūst negatīva, to tirgus/ārpustirgus testa aprēķinos aizstāj ar nulli, lai varētu saprast, ka neto procentu maksa ir kapitāla izmaksu tuvinājums. Kopumā negatīvas neto procentu maksas gadījumā ir rūpīgi jāpārbauda vienības ekonomiskā būtība, t. i., tirgus/ārpustirgus testa piemērojamība konkrētajā gadījumā, kā arī iepriekš minētie kvalitatīvie kritēriji (sk. I.2.4.2. apakšiedaļu).</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Jāuzsver, ka tirgus/ārpustirgus testu piemēro publiskajiem ražotājiem (valdības kontrolētajām institucionālajām vienībām) pēc tam, kad ir pārbaudīti kvalitatīvie kritēriji, kā norādīts iepriekš I.2.4.2. apakšiedaļā. Tirgus/ārpustirgus testu izmanto publiskajām nefinanšu vienībām, un tas attiecas arī uz vairumu publisko vienību, kas nodarbojas ar finanšu palīgdarbībām. Tirgus/ārpustirgus testu neizmanto vienībām, kas nodarbojas ar finanšu starpniecību, publiskajām kontrolakciju sabiedrībām un dažām citām īpašām publiskām vienībām. Valdības kontrolētajām vienībām vispirms ir jāpārbauda kvalitatīvie kritēriji, jo tie ir prioritārāki par kvantitatīvo kritēriju. Ja kaut viens no I.2.4.2. apakšiedaļā aprakstītajiem kvalitatīvajiem kritērijiem netiek izpildīts, tas varētu būt pietiekams apstāklis, lai publisko vienību klasificētu vispārējās valdības sektorā (tad varētu nepiemērot tirgus/ārpustirgus testu). Ja kvalitatīvie kritēriji tiek izpildīti, tirgus/ārpustirgus testu varētu izmantot vienības sektora klasifikācijas novērtēšanai. Savukārt tirgus/ārpustirgus tests neattiecas uz īpašiem publiskiem subjektiem, kas raksturoti šīs rokasgrāmatas I.6. nodaļā.</w:t>
      </w:r>
    </w:p>
    <w:p w:rsidR="00073FEC" w:rsidRPr="006277F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Tirgus/ārpustirgus tests ir jāpiemēro, pārlūkojot vairākus gadus ilgu laika posmu attiecībā uz katru institucionālo vienību atsevišķi (pat tad, ja subjekti ietilpst grupā). Kopumā tikai tad, ja tirgus/ārpustirgus tests uzrāda vairāk par 50 % vairākus gadus (vismaz 3 gadus) vai ja dažos gadījumos, kad vienība ir izgājusi tirgus/ārpustirgus testu </w:t>
      </w:r>
      <w:r>
        <w:rPr>
          <w:rFonts w:ascii="Times New Roman" w:hAnsi="Times New Roman"/>
          <w:i/>
          <w:noProof/>
          <w:sz w:val="24"/>
        </w:rPr>
        <w:t>t-1</w:t>
      </w:r>
      <w:r>
        <w:rPr>
          <w:rFonts w:ascii="Times New Roman" w:hAnsi="Times New Roman"/>
          <w:noProof/>
          <w:sz w:val="24"/>
        </w:rPr>
        <w:t xml:space="preserve"> gadā un ir stingri gaidāms, ka tā turpināsies arī tuvākajā nākotnē, tad vienību varētu klasificēt ārpus valdības. Dažos gadījumos, kad vienība nav izgājusi testu vienu gadu un ir gaidāms, ka tā neizies to arī nākamos divus gadus, šādu vienību vajadzētu nekavējoties klasificēt valdības sektorā. Nelielas izmaiņas (vai rezultāts, kas uzskatāms par nesistemātisku izņēmuma gadījumu) attiecībā starp pārdošanas ienākumiem un ražošanas izmaksā vienā gadā pret otru nebūt nenozīmē, ka ir jāpārklasificē institucionālās vienības (un to vietējās DVV un produkcija).</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Tirgus/ārpustirgus tests ļauj arī noteikt, vai valdības subjektu var uzskatīt par kvazisabiedrību (kas pieder valdībai), proti, kvazisabiedrību var izveidot tikai tad, ja subjekts ir tirgus ražotājs.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jaundibinātiem publiskiem uzņēmumiem varētu būt grūti uzreiz piemērot tirgus/ārpustirgus testu, jo trūkst datu un/vai tāpēc, ka pakāpeniski pieaug uzņēmuma darbības apmērs.</w:t>
      </w:r>
      <w:r>
        <w:rPr>
          <w:rStyle w:val="FootnoteReference"/>
          <w:rFonts w:ascii="Times New Roman" w:hAnsi="Times New Roman"/>
          <w:noProof/>
          <w:sz w:val="24"/>
        </w:rPr>
        <w:footnoteReference w:id="22"/>
      </w:r>
      <w:r>
        <w:rPr>
          <w:rFonts w:ascii="Times New Roman" w:hAnsi="Times New Roman"/>
          <w:noProof/>
          <w:sz w:val="24"/>
        </w:rPr>
        <w:t xml:space="preserve"> T'āpēc klasifikācija būtu jāveic, pamatojoties uz reālu uzņēmējdarbības plānu</w:t>
      </w:r>
      <w:r>
        <w:rPr>
          <w:rStyle w:val="FootnoteReference"/>
          <w:rFonts w:ascii="Times New Roman" w:hAnsi="Times New Roman"/>
          <w:noProof/>
          <w:sz w:val="24"/>
        </w:rPr>
        <w:footnoteReference w:id="23"/>
      </w:r>
      <w:r>
        <w:rPr>
          <w:rFonts w:ascii="Times New Roman" w:hAnsi="Times New Roman"/>
          <w:noProof/>
          <w:sz w:val="24"/>
        </w:rPr>
        <w:t xml:space="preserve">, īpašu uzmanība pievēršot tam, lai pārbaudītu, vai ir ticams, ka </w:t>
      </w:r>
      <w:r>
        <w:rPr>
          <w:rFonts w:ascii="Times New Roman" w:hAnsi="Times New Roman"/>
          <w:noProof/>
          <w:sz w:val="24"/>
        </w:rPr>
        <w:lastRenderedPageBreak/>
        <w:t>vienība varētu kļūt par tirgus ražotāju īsā laika posmā. Dažos gadījumos, kad jaunā vienība izveidota, apvienojot iepriekš atsevišķas vienības, darbības prognozes var veikt, pamatojoties uz iepriekšējo laika posmu rezultātiem.</w:t>
      </w:r>
    </w:p>
    <w:p w:rsidR="00073FEC" w:rsidRPr="001973D0" w:rsidRDefault="00073FEC" w:rsidP="00073FEC">
      <w:pPr>
        <w:jc w:val="both"/>
        <w:rPr>
          <w:rFonts w:ascii="Times New Roman" w:hAnsi="Times New Roman"/>
          <w:noProof/>
          <w:sz w:val="24"/>
        </w:rPr>
      </w:pPr>
    </w:p>
    <w:p w:rsidR="00073FEC" w:rsidRDefault="00073FEC" w:rsidP="00073FEC">
      <w:pPr>
        <w:pStyle w:val="Heading6"/>
        <w:tabs>
          <w:tab w:val="left" w:pos="1555"/>
        </w:tabs>
        <w:rPr>
          <w:rFonts w:ascii="Times New Roman" w:hAnsi="Times New Roman"/>
          <w:noProof/>
          <w:sz w:val="24"/>
        </w:rPr>
      </w:pPr>
      <w:bookmarkStart w:id="21" w:name="I.2.4.4_Public_units_in_liquidation"/>
      <w:bookmarkEnd w:id="21"/>
      <w:r>
        <w:rPr>
          <w:rFonts w:ascii="Times New Roman" w:hAnsi="Times New Roman"/>
          <w:noProof/>
          <w:sz w:val="24"/>
        </w:rPr>
        <w:t>I.2.4.4. Publiskas vienības likvidācijas procesā</w:t>
      </w:r>
    </w:p>
    <w:p w:rsidR="00073FEC" w:rsidRPr="001973D0" w:rsidRDefault="00073FEC" w:rsidP="00073FEC">
      <w:pPr>
        <w:pStyle w:val="Heading6"/>
        <w:tabs>
          <w:tab w:val="left" w:pos="1555"/>
        </w:tabs>
        <w:rPr>
          <w:rFonts w:ascii="Times New Roman" w:hAnsi="Times New Roman"/>
          <w:noProof/>
          <w:sz w:val="24"/>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iedaļā ar likvidāciju saprot situāciju, kurā vienība (sabiedrība vai līdzīgs subjekts) sāk izbeigt savu ražošanas darbību. Turpmāk sniegtie metodoloģiskie noteikumi attiecas uz publiskām (valdības kontrolētām) vienībām, kas nodarbojas ar preču un pakalpojumu ražošanu vai ar finanšu starpniecību (kā noteikts EKS 2010 2. nodaļā), izņemot tās vienības, kurām ir piemērotas īpašas risināšanas un darbības atjaunošanas procedūras (kuras parasti klasificētas kategorijā “noguldījumus pieņemošas sabiedrības”, izņemot centrālo banku (S.122)).</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Ja vienība, kas nav klasificēta valdības sektorā (t. i., atbilst kritērijiem, kas ļauj to uzskatīt par tirgus ražotāju</w:t>
      </w:r>
      <w:r>
        <w:rPr>
          <w:rStyle w:val="FootnoteReference"/>
          <w:rFonts w:ascii="Times New Roman" w:hAnsi="Times New Roman"/>
          <w:noProof/>
          <w:sz w:val="24"/>
        </w:rPr>
        <w:footnoteReference w:id="24"/>
      </w:r>
      <w:r>
        <w:rPr>
          <w:rFonts w:ascii="Times New Roman" w:hAnsi="Times New Roman"/>
          <w:noProof/>
          <w:sz w:val="24"/>
        </w:rPr>
        <w:t>), sāk likvidācijas procesu, tās aktīvi tiek pakāpeniski realizēti (pārvērsti naudā) vai nu tos pārdodot, vai arī atgūstot prasījumus, ko tur vienība (piemēram, komerciālos prasījumus pret klientiem). Attiecīgos ieņēmumus izmanto, lai samaksātu dažādiem kreditoriem iepriekš noteiktā kārtībā, pamatojoties uz tiesību normām (piemēram, attiecībā uz personālu vai nodokļiem) un ievērojot parādu kreditoriem būtību (prioritārais, zemāka līmeņa, subordinētais parāds). Atlikusī nauda, ja tāda paliek, tiek sadalīta akcionāriem, jo tīrā vērtība un pašu kapitāls var būt negatīvs. EKS 2010 5.141. punktā noteikts, ka [..]</w:t>
      </w:r>
      <w:r>
        <w:rPr>
          <w:rFonts w:ascii="Times New Roman" w:hAnsi="Times New Roman"/>
          <w:i/>
          <w:noProof/>
          <w:sz w:val="24"/>
        </w:rPr>
        <w:t xml:space="preserve"> pašu kapitāls ir finanšu aktīvs, kas ir prasība pret sabiedrības atlikušo vērtību, kad izpildītas visas citas prasības</w:t>
      </w:r>
      <w:r>
        <w:rPr>
          <w:rFonts w:ascii="Times New Roman" w:hAnsi="Times New Roman"/>
          <w:noProof/>
          <w:sz w:val="24"/>
        </w:rPr>
        <w:t>. Kopumā, ja likvidācija notiek “brīvprātīgi”, vienība neuzrādīs negatīvu neto vērtību un valdība, visticamāk, saņems kādu naudu.</w:t>
      </w:r>
    </w:p>
    <w:p w:rsidR="00073FEC" w:rsidRPr="00C6394D"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Likvidācija var tikt ierosināta saskaņā ar tiesisko regulējumu, ja vienība nespēj izpildīt savas saistības pret kreditoriem (“bankrota” gadījums). Tas var notikt arī pēc noteiktu īpašu pasākumu (tādu kā moratorija vai restrukturizācijas) neizdošanās, kuri tika veikti, lai nodrošinātu vienības ilgtermiņa maksātspēju. Par likvidāciju dažādu iemeslu dēļ var brīvprātīgi izlemt arī vienības īpašnieks. Tomēr šīs atšķirības dēļ nevar rasties dažādi nacionālo kontu noteikumi, kas būtu piemērojami neatkarīgi no tā, kādu iemeslu dēļ notiek likvidācija. Faktiski varētu uzskatīt, ka publiskās vienības likvidācija vienmēr notiek, pamatojoties uz kontrolējošās vienības apzinātu lēmumu, jo īpaši, kad valdība nospriež, ka nav vērts turpināt vienībai sniegt atbalstu.</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Var arī gadīties, ka valdības kontrolējošā vienība nolemj, ka publiskai vienībai, kas nav klasificēta valdības sektorā, ir piemērojams “neaktīvas vienības” statuss. Tas nozīmē, ka vienība kļūst “neaktīva”, taču netiek pieņemts oficiāls lēmums to slēgt. Šāds stāvoklis var ilgt kādu laiku vai daudzus gadus.</w:t>
      </w:r>
      <w:r>
        <w:rPr>
          <w:rStyle w:val="FootnoteReference"/>
          <w:rFonts w:ascii="Times New Roman" w:hAnsi="Times New Roman"/>
          <w:noProof/>
          <w:sz w:val="24"/>
        </w:rPr>
        <w:footnoteReference w:id="25"/>
      </w:r>
      <w:r>
        <w:rPr>
          <w:rFonts w:ascii="Times New Roman" w:hAnsi="Times New Roman"/>
          <w:noProof/>
          <w:sz w:val="24"/>
        </w:rPr>
        <w:t xml:space="preserve"> Turpmāk minētie noteikumi arī ir piemērojami šim gadījumam</w:t>
      </w:r>
      <w:r>
        <w:rPr>
          <w:rStyle w:val="FootnoteReference"/>
          <w:rFonts w:ascii="Times New Roman" w:hAnsi="Times New Roman"/>
          <w:noProof/>
          <w:sz w:val="24"/>
        </w:rPr>
        <w:footnoteReference w:id="26"/>
      </w:r>
      <w:r>
        <w:rPr>
          <w:rFonts w:ascii="Times New Roman" w:hAnsi="Times New Roman"/>
          <w:noProof/>
          <w:sz w:val="24"/>
        </w:rPr>
        <w:t>,</w:t>
      </w:r>
      <w:r>
        <w:rPr>
          <w:rStyle w:val="FootnoteReference"/>
          <w:rFonts w:ascii="Times New Roman" w:hAnsi="Times New Roman"/>
          <w:noProof/>
          <w:sz w:val="24"/>
        </w:rPr>
        <w:footnoteReference w:id="27"/>
      </w:r>
      <w:r>
        <w:rPr>
          <w:rFonts w:ascii="Times New Roman" w:hAnsi="Times New Roman"/>
          <w:noProof/>
          <w:sz w:val="24"/>
        </w:rPr>
        <w:t>.</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Likvidācijas process var ilgt kādu laiku neatkarīgi no tā, cik ilgs laiks ir nepieciešams </w:t>
      </w:r>
      <w:r>
        <w:rPr>
          <w:rFonts w:ascii="Times New Roman" w:hAnsi="Times New Roman"/>
          <w:noProof/>
          <w:sz w:val="24"/>
        </w:rPr>
        <w:lastRenderedPageBreak/>
        <w:t>aktīvu realizācijai/pārvēršanai naudā, ko ir grūti paredzēt un kas ir daudzējādā ziņā atkarīgs no ārējiem faktoriem. Citiem vārdiem, šajā procesā vienība joprojām var nodarboties ar kādu ražošanas darbību un no tās gūt ieņēmumus. Piemēram, vienībai var būt joprojām kādi agrāk piešķirti pasūtījumi. Tomēr tas ir uz laiku, un, kā likums, nav gaidāms, ka vienība vēl veiks savu kādreizējo saimniecisko darbību. Turklāt parasti tā ir slēgta jaunai uzņēmējdarbībai. Tas nebūt nenozīmē, ka šajā procesā nevarētu notikt aktīva dažu aktīvu un saistību pārvaldība, piemēram, atlikušās produkcijas vai krājumos turētās produkcijas pārdošana, atkārtotas sarunas, pārstrukturēšana un citas tehniskas arbitrāžas, taču parasti vienībai vairs nav pieejas kapitāla tirgiem.</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Var būtiski atšķirties tas, kādā veidā notiek likvidācija – to var veikt vienības iepriekšējā vadība vai jauna vadība, vai arī “administrators”/“likvidators”, kas ir pilnvarots pieņemt galvenos lēmumus saistībā ar likvidāciju akcionāru vietā.</w:t>
      </w:r>
      <w:r>
        <w:rPr>
          <w:rStyle w:val="FootnoteReference"/>
          <w:rFonts w:ascii="Times New Roman" w:hAnsi="Times New Roman"/>
          <w:noProof/>
          <w:sz w:val="24"/>
        </w:rPr>
        <w:footnoteReference w:id="28"/>
      </w:r>
      <w:r>
        <w:rPr>
          <w:rFonts w:ascii="Times New Roman" w:hAnsi="Times New Roman"/>
          <w:noProof/>
          <w:sz w:val="24"/>
        </w:rPr>
        <w:t xml:space="preserve"> Likvidatoru nevar uzskatīt par personu, kas kontrolē vienību tādā izpratnē, kā definēts EKS 2010 2.35. punktā, t. i., kam ir spēja noteikt vispārējo politiku, jo viņa funkcija ir vienkārši izmaksāt kompensācijas likvidējamās vienības kreditoriem, realizējot aktīvu vērtību. Tomēr tas, ka valdība kontrolē vai nekontrolē likvidācijas procesu, nav būtisks kritērijs saistībā ar likvidējamās publiskās vienības sektora klasificēšanu. Svarīgi ir tikai tas, ka vienība pirms likvidācijas procesa sākšanas tika uzskatīta par publisku vienību. Turklāt valdība šajā procesā uzņemas līdzīgus riskus kā jebkurš cits akcionārs.</w:t>
      </w:r>
    </w:p>
    <w:p w:rsidR="00073FEC" w:rsidRPr="00C6394D"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ES dalībvalstīs var būt ļoti atšķirīgas likvidācijas procedūras. Ir tādas valstis, kurās publiskajām sabiedrībām īpašais juridiskais statuss sniedz priekšrocības tādā ziņā, ka parastās ar bankrotu saistītās procedūras (ko parasti pieprasa kreditori, kuriem ir prasījumi pret vienībām) nav piemērojamas. Savukārt dažām publiskām sabiedrībām var būt piešķirts pilnībā “komerciāls” statuss, un tādējādi tām ir piemērojamas tādas pašas tiesību normas kā ikvienam citam tirgus ražotājam tādā situācijā. Tomēr šis ES dalībvalstu neviendabīgums nedrīkst ietekmēt likvidējamo vienību turpmāk norādīto klasifikāciju.</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Ikvienai publiskai vienībai, kas nav iekļauta finanšu sabiedrību sektorā</w:t>
      </w:r>
      <w:r>
        <w:rPr>
          <w:rStyle w:val="FootnoteReference"/>
          <w:rFonts w:ascii="Times New Roman" w:hAnsi="Times New Roman"/>
          <w:noProof/>
          <w:sz w:val="24"/>
        </w:rPr>
        <w:footnoteReference w:id="29"/>
      </w:r>
      <w:r>
        <w:rPr>
          <w:rFonts w:ascii="Times New Roman" w:hAnsi="Times New Roman"/>
          <w:noProof/>
          <w:sz w:val="24"/>
        </w:rPr>
        <w:t>, lai tā kvalificētos par publisku vienību, ko klasificē ārpus valdības sektora, ir jāatbilst (cita starpā)</w:t>
      </w:r>
      <w:r>
        <w:rPr>
          <w:rStyle w:val="FootnoteReference"/>
          <w:rFonts w:ascii="Times New Roman" w:hAnsi="Times New Roman"/>
          <w:noProof/>
          <w:sz w:val="24"/>
        </w:rPr>
        <w:footnoteReference w:id="30"/>
      </w:r>
      <w:r>
        <w:rPr>
          <w:rFonts w:ascii="Times New Roman" w:hAnsi="Times New Roman"/>
          <w:noProof/>
          <w:sz w:val="24"/>
        </w:rPr>
        <w:t xml:space="preserve"> 50 % kritērijam neatkarīgi no tā, vai vienība atrodas vai neatrodas likvidācijas procesā. Šajā saistībā ir jāuzsver, ka EKS 2010 šādām publiskām vienībām netiek piemēroti nekādi izņēmumi, nosakot, ka 50 % kritēriju nepiemēro, lai lemtu par vienības klasifikāciju, ja uzsākas tās likvidācijas process. Tādējādi 50 % kritērija ievērošana ir uzskatāma par “nosacījumu </w:t>
      </w:r>
      <w:r>
        <w:rPr>
          <w:rFonts w:ascii="Times New Roman" w:hAnsi="Times New Roman"/>
          <w:i/>
          <w:noProof/>
          <w:sz w:val="24"/>
        </w:rPr>
        <w:t>sine qua non</w:t>
      </w:r>
      <w:r>
        <w:rPr>
          <w:rFonts w:ascii="Times New Roman" w:hAnsi="Times New Roman"/>
          <w:noProof/>
          <w:sz w:val="24"/>
        </w:rPr>
        <w:t>”, lai publiskās nefinanšu sabiedrības</w:t>
      </w:r>
      <w:r>
        <w:rPr>
          <w:rStyle w:val="FootnoteReference"/>
          <w:rFonts w:ascii="Times New Roman" w:hAnsi="Times New Roman"/>
          <w:noProof/>
          <w:sz w:val="24"/>
        </w:rPr>
        <w:footnoteReference w:id="31"/>
      </w:r>
      <w:r>
        <w:rPr>
          <w:rFonts w:ascii="Times New Roman" w:hAnsi="Times New Roman"/>
          <w:noProof/>
          <w:sz w:val="24"/>
        </w:rPr>
        <w:t xml:space="preserve"> klasificētu ārpus valdības.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Šādos apstākļos atkarībā no kvantitatīvā tirgus/ārpustirgus testa (50 % kritērija) rezultātiem parasti</w:t>
      </w:r>
      <w:r>
        <w:rPr>
          <w:rStyle w:val="FootnoteReference"/>
          <w:rFonts w:ascii="Times New Roman" w:hAnsi="Times New Roman"/>
          <w:noProof/>
          <w:sz w:val="24"/>
        </w:rPr>
        <w:footnoteReference w:id="32"/>
      </w:r>
      <w:r>
        <w:rPr>
          <w:rFonts w:ascii="Times New Roman" w:hAnsi="Times New Roman"/>
          <w:noProof/>
          <w:sz w:val="24"/>
        </w:rPr>
        <w:t xml:space="preserve"> vienība būtu jāklasificē ārpus valdības sektora, ja tā izpilda tirgus/ārpustirgus testu, un jāpārklasificē valdības sektorā, ja vairs neizpilda to, ar iespējamu ietekmi uz valdības neto aizdevumu/aizņēmumu (B.9) un valdības (konsolidēto) parādu. Saskaņā ar vispārējo noteikumu pārklasificēšanu veic vēlākais tad, kad ir pagājuši trīs gadi pēc kārtas, kuros netiek izpildīts 50 % kritērijs. Taču, ja tirgus/ārpustirgus tests ir zem 50 % vienā gadā un tiek uzskatīts, ka nākamajos divos </w:t>
      </w:r>
      <w:r>
        <w:rPr>
          <w:rFonts w:ascii="Times New Roman" w:hAnsi="Times New Roman"/>
          <w:noProof/>
          <w:sz w:val="24"/>
        </w:rPr>
        <w:lastRenderedPageBreak/>
        <w:t>gados ir maz ticams, ka tirgus/ārpustirgus testa rezultāts varētu būt pretējs, pārklasifikācija ir jāīsteno, tiklīdz tirgus/ārpustirgus tests vairs netiek izpildīts. Savukārt attiecībā uz likvidācijas procesā esošu publisko vienību, ja jau no paša sākuma ir zināms, ka vienība pakāpeniski izbeigs savu ražošanas darbību, pārklasifikācija valdības sektorā būtu jāveic tajā gadā, kad vienība pirmo reizi neizpilda 50 % kritēriju.</w:t>
      </w:r>
    </w:p>
    <w:p w:rsidR="00073FEC" w:rsidRPr="001973D0" w:rsidRDefault="00073FEC" w:rsidP="00073FEC">
      <w:pPr>
        <w:pStyle w:val="BodyText"/>
        <w:numPr>
          <w:ilvl w:val="0"/>
          <w:numId w:val="30"/>
        </w:numPr>
        <w:tabs>
          <w:tab w:val="left" w:pos="1303"/>
        </w:tabs>
        <w:spacing w:before="0"/>
        <w:ind w:left="709" w:hanging="709"/>
        <w:jc w:val="both"/>
        <w:rPr>
          <w:rFonts w:ascii="Times New Roman" w:hAnsi="Times New Roman"/>
          <w:noProof/>
          <w:sz w:val="24"/>
        </w:rPr>
      </w:pPr>
      <w:r>
        <w:rPr>
          <w:rFonts w:ascii="Times New Roman" w:hAnsi="Times New Roman"/>
          <w:noProof/>
          <w:sz w:val="24"/>
        </w:rPr>
        <w:t>Attiecībā uz publiskajām vienībām, izņemot tām, kurām ir piemērotas īpašas risināšanas un darbības atjaunošanas procedūras (parasti klasificētas apakšsektorā S.122), kuras pirms likvidācijas uzsākšanas nodarbojās ar finanšu starpniecību, ir jāpārbauda, vai šādas likvidācijas procesā esošas vienības joprojām ir vai nav uzskatāmas par finanšu starpniekiem. Tiklīdz šīm vienībām vairs nav ļauts veidot jaunas saistības un iegādāties jaunus aktīvus, tās vairs nevar uzskatīt par vienībām, kas nodarbojas ar finanšu starpniecību (kā noteikts EKS 2010).</w:t>
      </w:r>
      <w:r>
        <w:rPr>
          <w:rStyle w:val="FootnoteReference"/>
          <w:rFonts w:ascii="Times New Roman" w:hAnsi="Times New Roman"/>
          <w:noProof/>
          <w:sz w:val="24"/>
        </w:rPr>
        <w:footnoteReference w:id="33"/>
      </w:r>
      <w:r>
        <w:rPr>
          <w:rFonts w:ascii="Times New Roman" w:hAnsi="Times New Roman"/>
          <w:noProof/>
          <w:sz w:val="24"/>
        </w:rPr>
        <w:t xml:space="preserve"> Vairumā gadījumu tas varētu notikt tiklīdz vienība uzsāk likvidāciju. Tādējādi tās ir pārklasificējamas valdības sektorā.</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Gadījumā, ja valdības kontrolēta vienība, kurai ir finanšu sanācijas struktūras pazīmes, uzsāk likvidāciju, ievēro IV.5. nodaļā “Finanšu sanācija” sniegtos noteikumus.</w:t>
      </w:r>
    </w:p>
    <w:p w:rsidR="00073FEC" w:rsidRPr="00C6394D"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Var gadīties, ka, uzsākot likvidācijas procesu, publiskās vienības parādu pilnībā vai daļēji tiešā veidā ir garantējusi valdība (beznosacījuma un pēc pirmā pieprasījuma). Turklāt ir ļoti liela varbūtība, ka bankrota procedūras rezultātā tiek ierosināta automātiska garantiju pieprasīšana, jo to kopumā uzskata par saistību nepildīšanu, kas ļauj parāda turētājiem īstenot savas tiesības.</w:t>
      </w:r>
      <w:r>
        <w:rPr>
          <w:rStyle w:val="FootnoteReference"/>
          <w:rFonts w:ascii="Times New Roman" w:hAnsi="Times New Roman"/>
          <w:noProof/>
          <w:sz w:val="24"/>
        </w:rPr>
        <w:footnoteReference w:id="34"/>
      </w:r>
      <w:r>
        <w:rPr>
          <w:rFonts w:ascii="Times New Roman" w:hAnsi="Times New Roman"/>
          <w:noProof/>
          <w:sz w:val="24"/>
        </w:rPr>
        <w:t xml:space="preserve"> Tāpat pastāv iespēja, ka vienībai, kura pirms likvidācijas uzsākšanas bija nonākusi pat ļoti smagās finanšu grūtībās , parāds vēl netika pieprasīts (un tādējādi to uzņēmās valdība), ja vienība saņem pārvedumus no valdības.</w:t>
      </w:r>
      <w:r>
        <w:rPr>
          <w:rStyle w:val="FootnoteReference"/>
          <w:rFonts w:ascii="Times New Roman" w:hAnsi="Times New Roman"/>
          <w:noProof/>
          <w:sz w:val="24"/>
        </w:rPr>
        <w:footnoteReference w:id="35"/>
      </w:r>
      <w:r>
        <w:rPr>
          <w:rFonts w:ascii="Times New Roman" w:hAnsi="Times New Roman"/>
          <w:noProof/>
          <w:sz w:val="24"/>
        </w:rPr>
        <w:t xml:space="preserve"> Šādos apstākļos uzskatāms, ka kontrolējošā valdības vienība ir uzņēmusies parādu, sākoties likvidācijas procesam, t. i., kapitāla pārveduma izdevumus (D.99) par labu attie</w:t>
      </w:r>
      <w:r w:rsidR="00F454B7">
        <w:rPr>
          <w:rFonts w:ascii="Times New Roman" w:hAnsi="Times New Roman"/>
          <w:noProof/>
          <w:sz w:val="24"/>
        </w:rPr>
        <w:t>cīgajiem kreditoriem ieraksta</w:t>
      </w:r>
      <w:r>
        <w:rPr>
          <w:rFonts w:ascii="Times New Roman" w:hAnsi="Times New Roman"/>
          <w:noProof/>
          <w:sz w:val="24"/>
        </w:rPr>
        <w:t xml:space="preserve"> vienlaikus ar valdības parāda pieaugumu</w:t>
      </w:r>
      <w:r>
        <w:rPr>
          <w:rStyle w:val="FootnoteReference"/>
          <w:rFonts w:ascii="Times New Roman" w:hAnsi="Times New Roman"/>
          <w:noProof/>
          <w:sz w:val="24"/>
        </w:rPr>
        <w:footnoteReference w:id="36"/>
      </w:r>
      <w:r>
        <w:rPr>
          <w:rFonts w:ascii="Times New Roman" w:hAnsi="Times New Roman"/>
          <w:noProof/>
          <w:sz w:val="24"/>
        </w:rPr>
        <w:t>, ievērojot parastos noteikumus, kas attiecas uz garantijām.</w:t>
      </w:r>
      <w:r>
        <w:rPr>
          <w:rStyle w:val="FootnoteReference"/>
          <w:rFonts w:ascii="Times New Roman" w:hAnsi="Times New Roman"/>
          <w:noProof/>
          <w:sz w:val="24"/>
        </w:rPr>
        <w:footnoteReference w:id="37"/>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Dažos gadījumos atsevišķiem finanšu instrumentiem, ko iepriekš izdevusi likvidējamā vienība, varētu nebūt skaidru garantiju, taču varētu būt kādi tieši noteikumi (jo īpaši tiesību aktos vai īpašos noteikumos), kas nosaka valdībai pienākumu neatsaucami pārņemt visas vienības parādu saistības. Arī šajā gadījumā piemēro iepriekšējā punktā minētos noteikumus.</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Pēc parādu saistību nodošanas likvidācijas procesa laikā finanšu kontos ievada finanšu aktīvu realizāciju/monetizāciju, neietekmējot valdības neto aizdevumu/aizņēmumu (B.9), ja vienība ir pārklasificēta valdī</w:t>
      </w:r>
      <w:r w:rsidR="008F33D8">
        <w:rPr>
          <w:rFonts w:ascii="Times New Roman" w:hAnsi="Times New Roman"/>
          <w:noProof/>
          <w:sz w:val="24"/>
        </w:rPr>
        <w:t>bas sektorā, vai arī to ieraksta</w:t>
      </w:r>
      <w:r>
        <w:rPr>
          <w:rFonts w:ascii="Times New Roman" w:hAnsi="Times New Roman"/>
          <w:noProof/>
          <w:sz w:val="24"/>
        </w:rPr>
        <w:t xml:space="preserve"> kā kapitāla pārvedumu, ja vienība vēl nav pārklasificēta, norādot pozitīvu ietekmi uz valdības neto aizdevumu/aizņēmumu (B.9).</w:t>
      </w:r>
    </w:p>
    <w:p w:rsidR="008D3039" w:rsidRDefault="008D3039">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6"/>
        <w:tabs>
          <w:tab w:val="left" w:pos="1595"/>
        </w:tabs>
        <w:rPr>
          <w:rFonts w:ascii="Times New Roman" w:hAnsi="Times New Roman"/>
          <w:noProof/>
          <w:sz w:val="24"/>
        </w:rPr>
      </w:pPr>
      <w:bookmarkStart w:id="22" w:name="I.2.4.5_Rearranged_transaction"/>
      <w:bookmarkEnd w:id="22"/>
      <w:r>
        <w:rPr>
          <w:rFonts w:ascii="Times New Roman" w:hAnsi="Times New Roman"/>
          <w:noProof/>
          <w:sz w:val="24"/>
        </w:rPr>
        <w:t>I.2.4.5. Pārkārtots darījums</w:t>
      </w:r>
    </w:p>
    <w:p w:rsidR="00073FEC" w:rsidRPr="001973D0" w:rsidRDefault="00073FEC" w:rsidP="00073FEC">
      <w:pPr>
        <w:jc w:val="both"/>
        <w:rPr>
          <w:rFonts w:ascii="Times New Roman" w:eastAsia="Arial" w:hAnsi="Times New Roman" w:cs="Arial"/>
          <w:b/>
          <w:bCs/>
          <w:noProof/>
          <w:sz w:val="24"/>
          <w:szCs w:val="20"/>
        </w:rPr>
      </w:pPr>
    </w:p>
    <w:p w:rsidR="00073FEC" w:rsidRDefault="00073FEC" w:rsidP="00073FEC">
      <w:pPr>
        <w:pStyle w:val="Heading6"/>
        <w:tabs>
          <w:tab w:val="left" w:pos="1839"/>
        </w:tabs>
        <w:rPr>
          <w:rFonts w:ascii="Times New Roman" w:hAnsi="Times New Roman"/>
          <w:noProof/>
          <w:sz w:val="24"/>
        </w:rPr>
      </w:pPr>
      <w:bookmarkStart w:id="23" w:name="I.2.4.5.1._Introduction"/>
      <w:bookmarkEnd w:id="23"/>
      <w:r>
        <w:rPr>
          <w:rFonts w:ascii="Times New Roman" w:hAnsi="Times New Roman"/>
          <w:noProof/>
          <w:sz w:val="24"/>
        </w:rPr>
        <w:t>I.2.4.5.1. Ievads</w:t>
      </w:r>
    </w:p>
    <w:p w:rsidR="00073FEC" w:rsidRPr="001973D0" w:rsidRDefault="00073FEC" w:rsidP="00073FEC">
      <w:pPr>
        <w:pStyle w:val="Heading6"/>
        <w:tabs>
          <w:tab w:val="left" w:pos="1839"/>
        </w:tabs>
        <w:rPr>
          <w:rFonts w:ascii="Times New Roman" w:hAnsi="Times New Roman"/>
          <w:noProof/>
          <w:sz w:val="24"/>
        </w:rPr>
      </w:pP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EKS 2010 1. nodaļā, kas veltīta vispārējam raksturojumam un pamatprincipiem, ir raksturots jēdziens “pārkārtoti darījumi”, kas ietver terminus “pārvirzīšana”, “sadalīšana” un “galvenā darītāja atpazīšana”. Saistībā ar terminu “pārvirzīšana” EKS 2010 izšķir divus gadījumus.</w:t>
      </w:r>
      <w:r>
        <w:rPr>
          <w:rStyle w:val="FootnoteReference"/>
          <w:rFonts w:ascii="Times New Roman" w:hAnsi="Times New Roman"/>
          <w:noProof/>
          <w:sz w:val="24"/>
        </w:rPr>
        <w:footnoteReference w:id="38"/>
      </w:r>
    </w:p>
    <w:p w:rsidR="00073FEC" w:rsidRPr="00C6394D" w:rsidRDefault="00073FEC" w:rsidP="00073FEC">
      <w:pPr>
        <w:numPr>
          <w:ilvl w:val="0"/>
          <w:numId w:val="30"/>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 xml:space="preserve">Pirmais pārvirzīšanas veids EKS 2010 1.73. punktā ir definēts šādi: </w:t>
      </w:r>
      <w:r>
        <w:rPr>
          <w:rFonts w:ascii="Times New Roman" w:hAnsi="Times New Roman"/>
          <w:i/>
          <w:noProof/>
          <w:sz w:val="24"/>
        </w:rPr>
        <w:t>Darījumu, ko iesaistītās vienības uztver kā tādu, kas notiek tieši starp vienībām A un C, var ierakstīt kontos kā tādu, kas netieši notiek caur trešo vienību B. Tādējādi vienu darījumu starp A un C ieraksta kā divus darījumus: vienu starp A un B un otru starp B un C. Tādā gadījumā darījumu pārvirza</w:t>
      </w:r>
      <w:r>
        <w:rPr>
          <w:rFonts w:ascii="Times New Roman" w:hAnsi="Times New Roman"/>
          <w:noProof/>
          <w:sz w:val="24"/>
        </w:rPr>
        <w:t>. Šajā saistībā EKS 2010 1.74. punktā ir sniegts sociālo iemaksu piemērs, kas ir darījums starp darba devēju un sociālās nodrošināšanas fondu (vai jebkuru citu sociālās aizsardzības vienību), taču kas nacionālajos kontos ir sadalīts divos darījumos, iesaistot darba ņēmējus, kas parāda, ka viņi saņem lielākus ieņēmumus no darba devēja un pēc tam atdod tos sociālās aizsardzības vienībai.</w:t>
      </w:r>
    </w:p>
    <w:p w:rsidR="00073FEC" w:rsidRPr="001973D0" w:rsidRDefault="00073FEC" w:rsidP="00073FEC">
      <w:pPr>
        <w:numPr>
          <w:ilvl w:val="0"/>
          <w:numId w:val="30"/>
        </w:numPr>
        <w:tabs>
          <w:tab w:val="left" w:pos="1242"/>
        </w:tabs>
        <w:ind w:left="709" w:hanging="709"/>
        <w:jc w:val="both"/>
        <w:rPr>
          <w:rFonts w:ascii="Times New Roman" w:eastAsia="Arial" w:hAnsi="Times New Roman" w:cs="Arial"/>
          <w:noProof/>
          <w:sz w:val="24"/>
        </w:rPr>
      </w:pPr>
      <w:r>
        <w:rPr>
          <w:rFonts w:ascii="Times New Roman" w:hAnsi="Times New Roman"/>
          <w:noProof/>
          <w:sz w:val="24"/>
        </w:rPr>
        <w:t xml:space="preserve">Otrs pārvirzīšanas veids EKS 2010 1.75. punktā ir definēts šādi: </w:t>
      </w:r>
      <w:r>
        <w:rPr>
          <w:rFonts w:ascii="Times New Roman" w:hAnsi="Times New Roman"/>
          <w:i/>
          <w:noProof/>
          <w:sz w:val="24"/>
        </w:rPr>
        <w:t>Cits pārvirzīšanas veids attiecas uz darījumiem, ko ieraksta kā darījumus starp divām vai vairākām institucionālām vienībām, kaut gan saskaņā ar iesaistīto personu viedokli nekāds darījums vispār nenotiek. Piemērs ir no atsevišķiem apdrošināšanas fondiem nopelnītais īpašuma ienākums, kuru patur apdrošināšanas uzņēmumi. Sistēmā šo īpašuma ienākumu ieraksta kā tādu, ko apdrošināšanas uzņēmumi maksā polišu turētājiem, kuri tad atmaksā šo pašu summu atpakaļ apdrošināšanas uzņēmumiem kā prēmiju papildinājumus.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saistībā “pārvir</w:t>
      </w:r>
      <w:r w:rsidR="002D7A1C">
        <w:rPr>
          <w:rFonts w:ascii="Times New Roman" w:hAnsi="Times New Roman"/>
          <w:noProof/>
          <w:sz w:val="24"/>
        </w:rPr>
        <w:t>zīšana” ir darījuma ierakstīšana</w:t>
      </w:r>
      <w:r>
        <w:rPr>
          <w:rFonts w:ascii="Times New Roman" w:hAnsi="Times New Roman"/>
          <w:noProof/>
          <w:sz w:val="24"/>
        </w:rPr>
        <w:t xml:space="preserve"> tādā veidā, it kā tas būtu noticis ar citu vienību starpniecību nekā faktiski, vai arī it kā tas no ekonomiskā viedokļa būtu noticis, kaut gan faktiski darījums nav bijis. Pārvirzīšana ir jāveic, kad vienība, kas faktiski ir darījuma izcelsmes objekts, neparādās faktiskajos uzskaites ierakstos administratīvās kārtības dēļ vai tāpēc, ka tie parāda faktiskās maksājumu plūsmas. Parasti nacionālajos kontos “faktiskais darījums”, t. i., darījums, kas parādās pamatdatu avotos, apkopošanas procesā vajadzības gadījumā ir jāignorē un jāpārvirza uz attiecīgajām vienībām. Taču kā praktiska alternatīva, kas tieši tādā pašā veidā ietekmē valdības neto aizdevumu/aizņēmumu (B.9) vai valdības parādu, ir sākotnējā darījuma “dublēšana”, pievienojot nosacītus darījumus starp vienībām, no kuriem viens tādējādi ir uzskatāms tikai par starpniecības darījumu (B iepriekš minētajā piemērā).</w:t>
      </w:r>
    </w:p>
    <w:p w:rsidR="00073FEC" w:rsidRPr="001973D0" w:rsidRDefault="00073FEC" w:rsidP="00073FEC">
      <w:pPr>
        <w:numPr>
          <w:ilvl w:val="0"/>
          <w:numId w:val="30"/>
        </w:numPr>
        <w:tabs>
          <w:tab w:val="left" w:pos="1242"/>
        </w:tabs>
        <w:ind w:left="709" w:hanging="709"/>
        <w:jc w:val="both"/>
        <w:rPr>
          <w:rFonts w:ascii="Times New Roman" w:eastAsia="Arial" w:hAnsi="Times New Roman" w:cs="Arial"/>
          <w:noProof/>
          <w:sz w:val="24"/>
          <w:szCs w:val="14"/>
        </w:rPr>
      </w:pPr>
      <w:r>
        <w:rPr>
          <w:rFonts w:ascii="Times New Roman" w:hAnsi="Times New Roman"/>
          <w:noProof/>
          <w:sz w:val="24"/>
        </w:rPr>
        <w:t xml:space="preserve">Terminu “pārvirzīšana” visai bieži lieto arī darbībām, kuras drīzāk attiecas uz EKS 2010 definēto jēdzienu “galvenā darītāja atpazīšana”, kas raksturots EKS 2010 1.78. punktā: </w:t>
      </w:r>
      <w:r>
        <w:rPr>
          <w:rFonts w:ascii="Times New Roman" w:hAnsi="Times New Roman"/>
          <w:i/>
          <w:noProof/>
          <w:sz w:val="24"/>
        </w:rPr>
        <w:t>Ja vienība veic darījumu citas vienības vārdā (galvenais darītājs) un saņem finansējumu no šīs vienības, darījumu ieraksta tikai galvenā darītāja kontos. Parasti šo principu nepārkāpj, mēģinot, piemēram, iedalīt nodokļus vai subsīdijas galīgajiem maksātājiem vai galīgajiem labuma guvējiem saskaņā ar pieņēmumiem. Piemērs: nodokļu iekasēšana, ko viena valdības vienība veic citas vienības vārdā. Nodokļus attiecina uz to valdības vienību, kura ir tiesīga piemērot nodokli (kā galvenais darītājs vai kā galvenā darītāja deleģēta vienība) un kurai ir pilnvaras noteikt nodokļa likmi</w:t>
      </w:r>
      <w:r>
        <w:rPr>
          <w:rFonts w:ascii="Times New Roman" w:hAnsi="Times New Roman"/>
          <w:noProof/>
          <w:sz w:val="24"/>
        </w:rPr>
        <w:t>.</w:t>
      </w:r>
      <w:r>
        <w:rPr>
          <w:rStyle w:val="FootnoteReference"/>
          <w:rFonts w:ascii="Times New Roman" w:hAnsi="Times New Roman"/>
          <w:noProof/>
          <w:sz w:val="24"/>
        </w:rPr>
        <w:footnoteReference w:id="39"/>
      </w:r>
      <w:r>
        <w:rPr>
          <w:rFonts w:ascii="Times New Roman" w:hAnsi="Times New Roman"/>
          <w:noProof/>
          <w:sz w:val="24"/>
        </w:rPr>
        <w:t xml:space="preserve"> Šajā </w:t>
      </w:r>
      <w:r>
        <w:rPr>
          <w:rFonts w:ascii="Times New Roman" w:hAnsi="Times New Roman"/>
          <w:noProof/>
          <w:sz w:val="24"/>
        </w:rPr>
        <w:lastRenderedPageBreak/>
        <w:t>gadījumā ir skaidrs, ka B vienība, kas veic darījumu citas A vienības vārdā, darbojas tikai kā starpnieks (aģents), un tādējādi B vienības kontos nek</w:t>
      </w:r>
      <w:r w:rsidR="002D7A1C">
        <w:rPr>
          <w:rFonts w:ascii="Times New Roman" w:hAnsi="Times New Roman"/>
          <w:noProof/>
          <w:sz w:val="24"/>
        </w:rPr>
        <w:t>as nav jāieraksta</w:t>
      </w:r>
      <w:r>
        <w:rPr>
          <w:rFonts w:ascii="Times New Roman" w:hAnsi="Times New Roman"/>
          <w:noProof/>
          <w:sz w:val="24"/>
        </w:rPr>
        <w:t>.</w:t>
      </w:r>
      <w:r>
        <w:rPr>
          <w:rStyle w:val="FootnoteReference"/>
          <w:rFonts w:ascii="Times New Roman" w:hAnsi="Times New Roman"/>
          <w:noProof/>
          <w:sz w:val="24"/>
        </w:rPr>
        <w:footnoteReference w:id="40"/>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Nacionālajos kontos pārvirzīšana atšķiras (</w:t>
      </w:r>
      <w:r>
        <w:rPr>
          <w:rFonts w:ascii="Times New Roman" w:hAnsi="Times New Roman"/>
          <w:i/>
          <w:noProof/>
          <w:sz w:val="24"/>
        </w:rPr>
        <w:t>stricto sensu</w:t>
      </w:r>
      <w:r>
        <w:rPr>
          <w:rFonts w:ascii="Times New Roman" w:hAnsi="Times New Roman"/>
          <w:noProof/>
          <w:sz w:val="24"/>
        </w:rPr>
        <w:t>) no galvenā darītāja atpazīšanas tādā ziņā, ka galvenā darītāja atpazīšanas gadījumā iesaistītie darījumi (kas tiek veikti, izmantojot B vienību</w:t>
      </w:r>
      <w:r w:rsidR="002D7A1C">
        <w:rPr>
          <w:rFonts w:ascii="Times New Roman" w:hAnsi="Times New Roman"/>
          <w:noProof/>
          <w:sz w:val="24"/>
        </w:rPr>
        <w:t>) principā vispār nav jāieraksta</w:t>
      </w:r>
      <w:r>
        <w:rPr>
          <w:rFonts w:ascii="Times New Roman" w:hAnsi="Times New Roman"/>
          <w:noProof/>
          <w:sz w:val="24"/>
        </w:rPr>
        <w:t xml:space="preserve"> B vienības kontos, pat ja tie parādās tās finanšu pārskatos, savukārt pārvirzīšanas gadījumā, tieši pretēji, nosacītie</w:t>
      </w:r>
      <w:r w:rsidR="002D7A1C">
        <w:rPr>
          <w:rFonts w:ascii="Times New Roman" w:hAnsi="Times New Roman"/>
          <w:noProof/>
          <w:sz w:val="24"/>
        </w:rPr>
        <w:t xml:space="preserve"> papildus darījumi ir jāieraksta</w:t>
      </w:r>
      <w:r>
        <w:rPr>
          <w:rFonts w:ascii="Times New Roman" w:hAnsi="Times New Roman"/>
          <w:noProof/>
          <w:sz w:val="24"/>
        </w:rPr>
        <w:t>.</w:t>
      </w:r>
      <w:r>
        <w:rPr>
          <w:rStyle w:val="FootnoteReference"/>
          <w:rFonts w:ascii="Times New Roman" w:hAnsi="Times New Roman"/>
          <w:noProof/>
          <w:sz w:val="24"/>
        </w:rPr>
        <w:footnoteReference w:id="41"/>
      </w:r>
    </w:p>
    <w:p w:rsidR="00073FEC" w:rsidRPr="00C6394D"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Šādos pārkārtojumos valdība var būt iesaistīta, pirmkārt, tāpēc, ka tā ir darījumu ierosinātāja saistībā ar politiku, kuras mērķis ir ietekmēt ekonomikas dalībnieku rīcību, un, otrkārt, tāpēc, ka valdības kontrolē ir publiskas vienības, kurām valdība var uzticēt veikt kādus uzdevumus. Bieži vien tas attiecas uz attīstību veicinošām vai attīstības bankām, kā arī uz citām publiskām vienībām, un dažkārt pat uz privātiem subjektiem, kuri var nodarboties ar noteiktu valdības politikas/intervences pasākumu īstenošanu.</w:t>
      </w:r>
      <w:r>
        <w:rPr>
          <w:rStyle w:val="FootnoteReference"/>
          <w:rFonts w:ascii="Times New Roman" w:hAnsi="Times New Roman"/>
          <w:noProof/>
          <w:sz w:val="24"/>
        </w:rPr>
        <w:footnoteReference w:id="42"/>
      </w:r>
    </w:p>
    <w:p w:rsidR="00073FEC"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Šīs apakšiedaļas mērķis ir norādīt, kādos apstākļos dažus darījumus pārvirza, izmantojot valdības kontus. Šādu darījumu piemēri ir:</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aizdevumi, kas izsniegti kādām vienībām pēc valdības pieprasījuma;</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parakstīšanās uz obligācijām, parādzīmēm vai vekseļiem saistībā ar valsts politiku;</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noieta tirgus instrumenti cenu stabilizācijas mērķiem;</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publisko sabiedrību akciju iegāde valdības vārdā;</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publisku sabiedrību paturēšana privatizācijas procesā;</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subsīdiju vai ieguldījumu dotāciju piešķiršana dažām vienībām saistībā ar valsts politiku;</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finanšu aktīvu pārvaldība valdības vienību vārdā;</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piedalīšanās nomas darbībās ar valdības vienībām;</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tirgus risku ierobežošana valdības vārdā;</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ieguldījumi pamatlīdzekļos valsts politikas vajadzībām;</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preču un pakalpojumu iegāde, lai atbalstītu kādas sabiedrības;</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rPr>
      </w:pPr>
      <w:r>
        <w:rPr>
          <w:rFonts w:ascii="Times New Roman" w:hAnsi="Times New Roman"/>
          <w:noProof/>
          <w:sz w:val="24"/>
        </w:rPr>
        <w:t>obligāto iemaksu iekasēšana saistībā ar valdības noteikto īpašo kārtību</w:t>
      </w:r>
      <w:r>
        <w:rPr>
          <w:rStyle w:val="FootnoteReference"/>
          <w:rFonts w:ascii="Times New Roman" w:hAnsi="Times New Roman"/>
          <w:noProof/>
          <w:sz w:val="24"/>
        </w:rPr>
        <w:footnoteReference w:id="43"/>
      </w:r>
      <w:r>
        <w:rPr>
          <w:rFonts w:ascii="Times New Roman" w:hAnsi="Times New Roman"/>
          <w:noProof/>
          <w:sz w:val="24"/>
        </w:rPr>
        <w:t>;</w:t>
      </w:r>
    </w:p>
    <w:p w:rsidR="00073FEC" w:rsidRPr="001973D0" w:rsidRDefault="00073FEC" w:rsidP="00073FEC">
      <w:pPr>
        <w:pStyle w:val="BodyText"/>
        <w:numPr>
          <w:ilvl w:val="0"/>
          <w:numId w:val="27"/>
        </w:numPr>
        <w:tabs>
          <w:tab w:val="left" w:pos="1632"/>
        </w:tabs>
        <w:spacing w:before="0"/>
        <w:ind w:left="1134" w:hanging="425"/>
        <w:jc w:val="both"/>
        <w:rPr>
          <w:rFonts w:ascii="Times New Roman" w:hAnsi="Times New Roman"/>
          <w:noProof/>
          <w:sz w:val="24"/>
          <w:szCs w:val="14"/>
        </w:rPr>
      </w:pPr>
      <w:r>
        <w:rPr>
          <w:rFonts w:ascii="Times New Roman" w:hAnsi="Times New Roman"/>
          <w:noProof/>
          <w:sz w:val="24"/>
        </w:rPr>
        <w:t>pakalpojumu maksas saņemšana, kam ir nodokļu pazīmes nacionālajos kontos (piemēram, maksa par sabiedrisko radio/TV); utt.</w:t>
      </w:r>
      <w:r>
        <w:rPr>
          <w:rStyle w:val="FootnoteReference"/>
          <w:rFonts w:ascii="Times New Roman" w:hAnsi="Times New Roman"/>
          <w:noProof/>
          <w:sz w:val="24"/>
        </w:rPr>
        <w:footnoteReference w:id="44"/>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1789"/>
        </w:tabs>
        <w:rPr>
          <w:rFonts w:ascii="Times New Roman" w:hAnsi="Times New Roman"/>
          <w:noProof/>
          <w:sz w:val="24"/>
        </w:rPr>
      </w:pPr>
      <w:bookmarkStart w:id="24" w:name="I.2.4.5.2_Rearranging_of_government_tran"/>
      <w:bookmarkEnd w:id="24"/>
      <w:r>
        <w:rPr>
          <w:rFonts w:ascii="Times New Roman" w:hAnsi="Times New Roman"/>
          <w:noProof/>
          <w:sz w:val="24"/>
        </w:rPr>
        <w:t>I.2.4.5.2. Valdības darījumu pārkārtošana, ko veic valdības sektoram nepiederošas vienības</w:t>
      </w:r>
    </w:p>
    <w:p w:rsidR="00073FEC" w:rsidRPr="001973D0" w:rsidRDefault="00073FEC" w:rsidP="00073FEC">
      <w:pPr>
        <w:pStyle w:val="Heading6"/>
        <w:tabs>
          <w:tab w:val="left" w:pos="1789"/>
        </w:tabs>
        <w:rPr>
          <w:rFonts w:ascii="Times New Roman" w:hAnsi="Times New Roman"/>
          <w:noProof/>
          <w:sz w:val="24"/>
        </w:rPr>
      </w:pPr>
    </w:p>
    <w:p w:rsidR="00073FEC" w:rsidRPr="001973D0" w:rsidRDefault="00073FEC" w:rsidP="00073FEC">
      <w:pPr>
        <w:pStyle w:val="BodyText"/>
        <w:numPr>
          <w:ilvl w:val="0"/>
          <w:numId w:val="30"/>
        </w:numPr>
        <w:tabs>
          <w:tab w:val="left" w:pos="1282"/>
        </w:tabs>
        <w:spacing w:before="0"/>
        <w:ind w:left="1134" w:hanging="425"/>
        <w:jc w:val="both"/>
        <w:rPr>
          <w:rFonts w:ascii="Times New Roman" w:hAnsi="Times New Roman"/>
          <w:noProof/>
          <w:sz w:val="24"/>
        </w:rPr>
      </w:pPr>
      <w:r>
        <w:rPr>
          <w:rFonts w:ascii="Times New Roman" w:hAnsi="Times New Roman"/>
          <w:noProof/>
          <w:sz w:val="24"/>
          <w:u w:val="single" w:color="000000"/>
        </w:rPr>
        <w:t>Pirmā veida “pārvirzīšanu</w:t>
      </w:r>
      <w:r>
        <w:rPr>
          <w:rFonts w:ascii="Times New Roman" w:hAnsi="Times New Roman"/>
          <w:noProof/>
          <w:sz w:val="24"/>
        </w:rPr>
        <w:t xml:space="preserve">” var raksturot kā darbību, kad vienība pilnībā darbojas </w:t>
      </w:r>
      <w:r>
        <w:rPr>
          <w:rFonts w:ascii="Times New Roman" w:hAnsi="Times New Roman"/>
          <w:noProof/>
          <w:sz w:val="24"/>
        </w:rPr>
        <w:lastRenderedPageBreak/>
        <w:t>kā valdības “pārstāvis”, veicot kādus konkrētus darījumus. Precīzāk, valdības sektoram nepiederošai vienībai, vairumā gadījumu publiskai sabiedrībai, kā norādīts iepriekš, lūdz veikt darījumu, par kuru valdība uzņemas riskus un iespējamās atlīdzības. Ir zināms, ka vienība darbojas valdības vārdā. Vienība savā veidā pat varētu tikt uzskatīta par valdības “grāmatvedības rīku”. Tas varētu parādīties oficiālos paziņojumos vai dokumentos, vai pat vienības gada pārskatā, skaidri norādot, ka vienība nenes atbildību par darījumu, tādējādi nepakļaujot sevi riskam.</w:t>
      </w:r>
      <w:r>
        <w:rPr>
          <w:rStyle w:val="FootnoteReference"/>
          <w:rFonts w:ascii="Times New Roman" w:hAnsi="Times New Roman"/>
          <w:noProof/>
          <w:sz w:val="24"/>
        </w:rPr>
        <w:footnoteReference w:id="45"/>
      </w:r>
      <w:r>
        <w:rPr>
          <w:rFonts w:ascii="Times New Roman" w:hAnsi="Times New Roman"/>
          <w:noProof/>
          <w:sz w:val="24"/>
        </w:rPr>
        <w:t xml:space="preserve"> Valdība var dot priekšroku šāda veida vienības pakalpojumiem, nevis tieši veikt darījumu, vairāku iemeslu dēļ, piemēram, vienība ir specializējusies konkrētā jomā, tai ir augstāka efektivitāte nekā valdības administrācijai, tai ir regulāra saikne ar labuma guvējiem, ir cerība, ka tiks panākts vēlamais uzskaites efekts publisko finanšu jomā, utt.</w:t>
      </w:r>
    </w:p>
    <w:p w:rsidR="00073FEC" w:rsidRPr="001973D0"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rPr>
        <w:t>Būtiski ir ņemt vērā to, ka šāda veida darbības bieži vien nav vienības “parastās” uzņēmējdarbības daļa vai ka dažos gadījumos tā var būt pastāvīga, taču sekundāra uzņēmējdarbība, kas ir nošķirta no kopējās darbības. Turklāt vienības iesaistīšana ir tikai tehniska, tas nozīmē, ka valdība pilnībā nosaka darījuma būtību un raksturojumu. Dažos gadījumos vienībai tiek uzdots pārbaudīt, vai labuma guvējs izpilda noteiktos kritērijus, taču vienībai netiek dota nekāda “interpretācijas” brīvība vai “elastīgums”.</w:t>
      </w:r>
    </w:p>
    <w:p w:rsidR="00073FEC" w:rsidRPr="001973D0"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rPr>
        <w:t>Nefinanšu darījumu gadījumā, piemēram, kad “novirza” subsīdijas vai ieguldījumu dotācijas labuma guvējiem, ir iespējams, ka valdība varētu sniegt resursus arī par darījumu veikšanu. Tā kā valdība negaida nekādu līdzekļu atdošanu atpakaļ, parasti finansējumu iekļauj valdības nefinanšu kontā. Šādā gadījumā jautājums ir par plūsmu klasificē</w:t>
      </w:r>
      <w:r w:rsidR="002D7A1C">
        <w:rPr>
          <w:rFonts w:ascii="Times New Roman" w:hAnsi="Times New Roman"/>
          <w:noProof/>
          <w:sz w:val="24"/>
        </w:rPr>
        <w:t>šanu, un ir atbilstīgi jāieraksta</w:t>
      </w:r>
      <w:r>
        <w:rPr>
          <w:rFonts w:ascii="Times New Roman" w:hAnsi="Times New Roman"/>
          <w:noProof/>
          <w:sz w:val="24"/>
        </w:rPr>
        <w:t xml:space="preserve"> labuma guvējiem ieskaitītās subsīdijas tieši valdības kontos.</w:t>
      </w:r>
    </w:p>
    <w:p w:rsidR="00073FEC" w:rsidRPr="001973D0"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rPr>
        <w:t>Citos gadījumos valdība var lūgt vienību iesaistīties finanšu darījumā uz valdības rēķina. Bieži vien tas notiek saistībā ar aizdevumu izmaksu konkrētiem mērķiem (piemēram, ārvalstu valdībām), taču var arī gadīties, ka valdība lūdz vienībai ieguldīt kādus līdzekļus noteiktās finanšu aktīvu kategorijās (piemēram, “dzēšanas” fondu pārvaldība (parāda amortizācijai), vides vai dabas stihiju līdzekļu pārvaldība). Valdība var arī lūgt, lai vienība tur kādu</w:t>
      </w:r>
      <w:r w:rsidR="002D7A1C">
        <w:rPr>
          <w:rFonts w:ascii="Times New Roman" w:hAnsi="Times New Roman"/>
          <w:noProof/>
          <w:sz w:val="24"/>
        </w:rPr>
        <w:t xml:space="preserve"> akciju daļu tās vārdā (ieraksta</w:t>
      </w:r>
      <w:r>
        <w:rPr>
          <w:rFonts w:ascii="Times New Roman" w:hAnsi="Times New Roman"/>
          <w:noProof/>
          <w:sz w:val="24"/>
        </w:rPr>
        <w:t xml:space="preserve"> kā tādas, ja ir izredzes gūt peļņu). Darījumu var pilnībā finansēt valdība, un šādā gadījumā tas jau varētu ietekmēt valdības saistības. Taču citos gadījumos darījumu finansē pati vienība, un šādā gadījumā attiecīgas saistības novirza valdībai ar nosacīta aizdevuma starpniecību, ko vienība noslēdz ar valdību, kurā tiek “atspoguļoti” saņemtā aizņēmuma raksturlielumi.</w:t>
      </w:r>
    </w:p>
    <w:p w:rsidR="00073FEC" w:rsidRPr="001973D0"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rPr>
        <w:t>Tā kā valdība būtībā veic darījumu tikai uz sava rēķina, tai ir jāuzņemas riski un jāsaņem atlīdzība. Jāatzīmē, lai arī tiek prasīts, ka valdībai būtu jāuzņemas visu kategoriju finansiālie riski (attiecīgā gadījumā kredīta, darījuma partnera, tirgus, valūtas riski), darbības riskus</w:t>
      </w:r>
      <w:r>
        <w:rPr>
          <w:rStyle w:val="FootnoteReference"/>
          <w:rFonts w:ascii="Times New Roman" w:hAnsi="Times New Roman"/>
          <w:noProof/>
          <w:sz w:val="24"/>
        </w:rPr>
        <w:footnoteReference w:id="46"/>
      </w:r>
      <w:r>
        <w:rPr>
          <w:rFonts w:ascii="Times New Roman" w:hAnsi="Times New Roman"/>
          <w:noProof/>
          <w:sz w:val="24"/>
        </w:rPr>
        <w:t>, kas saistīti ar darbību veikšanu (tīri tehnisko izpildījumu, piemēram, pārrakstīšanās kļūdas, sistēmu atteices, krāpšanas utt.), varētu uzņemties vienība, kas atbildīga par darījuma praktisko īstenošanu.</w:t>
      </w:r>
    </w:p>
    <w:p w:rsidR="00073FEC" w:rsidRPr="001973D0"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u w:val="single" w:color="000000"/>
        </w:rPr>
        <w:t xml:space="preserve">Otrā veida pārvirzīšana </w:t>
      </w:r>
      <w:r>
        <w:rPr>
          <w:rFonts w:ascii="Times New Roman" w:hAnsi="Times New Roman"/>
          <w:noProof/>
          <w:sz w:val="24"/>
        </w:rPr>
        <w:t>varētu būt gadījumos, kad vienība darbojas valdības interesēs, neuzņemoties risku (kā minēts iepriekšējā punktā), taču ir “ieinteresēta” saņemt atlīdzību. Salīdzinājumā ar pirmo minēto gadījumu vienība parasti ir vairāk iesaistīta darījuma īstenošanā. Piemēram, tā varētu būt motivēta darboties pēc iespējas labāk, un atlīdzība varētu būt lielāka saimnieciskās darbības peļņas norma no darījuma īstenošanas izmaksām, ko valdība bieži vien maksā.</w:t>
      </w:r>
    </w:p>
    <w:p w:rsidR="00073FEC" w:rsidRPr="00816FE3" w:rsidRDefault="00073FEC" w:rsidP="00073FEC">
      <w:pPr>
        <w:pStyle w:val="BodyText"/>
        <w:numPr>
          <w:ilvl w:val="0"/>
          <w:numId w:val="30"/>
        </w:numPr>
        <w:tabs>
          <w:tab w:val="left" w:pos="1242"/>
        </w:tabs>
        <w:spacing w:before="0"/>
        <w:ind w:left="1134" w:hanging="425"/>
        <w:jc w:val="both"/>
        <w:rPr>
          <w:rFonts w:ascii="Times New Roman" w:hAnsi="Times New Roman"/>
          <w:noProof/>
          <w:sz w:val="24"/>
        </w:rPr>
      </w:pPr>
      <w:r>
        <w:rPr>
          <w:rFonts w:ascii="Times New Roman" w:hAnsi="Times New Roman"/>
          <w:noProof/>
          <w:sz w:val="24"/>
        </w:rPr>
        <w:lastRenderedPageBreak/>
        <w:t>Darījumu pārvirza valdībai tikai tad, ja tiek vienlaikus izpildīti divi nosacījumi. Pirmkārt, ir jābūt apliecinājumam, ka valdība ir pieprasījusi vienībai veikt konkrēto darījumu, sniedzot norādījumus dažādos veidos (oficiāla vēstule, oficiāls paziņojums utt.), vai jebkurā gadījumā ir jābūt apliecinājumam, ka darījums veikts pēc valdības pieprasījuma. Lai arī darījuma ārpustirgus būtība bieži vien ir pietiekams nosacījums pārvirzīšanai, tas bieži vien varētu nebūt nepieciešamais nosacījums. Līdzīgi tas varētu būt izņēmuma darījums vienībai (atkāpjoties no savas uzņēmējdarbības modeļa) vai varētu būt daļa no vairākkārtīgi un/vai vairāku gadu posmā veiktu darījumu kopuma. Saistībā ar otro nosacījumu valdība varētu ļaut vienībai atlasīt labuma guvējus, jo īpaši, ja norādījumos tie nav noteikti, bet ir sniegts precīzu kritēriju saraksts, nevis tikai minētas vispārējas lielākas kategorijas (piemēram, “MVU”, “jaunuzņēmumi”, “ģimenes ar zemiem ienākumiem” utt.). Taču, tā kā valdības kontrolējošā vienība uzņemas riskus, šai valdības vienībai ir jāspēj pietiekami stingri kontrolēt, vai tās sniegtie norādījumi tiek faktiski izpildīti, kas skaidri norādītu, ka valdības vienībai būtu jāuzņemas lielākā daļa risku.</w:t>
      </w:r>
    </w:p>
    <w:p w:rsidR="00073FEC" w:rsidRPr="001973D0" w:rsidRDefault="00073FEC" w:rsidP="00073FEC">
      <w:pPr>
        <w:pStyle w:val="BodyText"/>
        <w:numPr>
          <w:ilvl w:val="0"/>
          <w:numId w:val="30"/>
        </w:numPr>
        <w:tabs>
          <w:tab w:val="left" w:pos="1282"/>
        </w:tabs>
        <w:spacing w:before="0"/>
        <w:ind w:left="1134" w:hanging="425"/>
        <w:jc w:val="both"/>
        <w:rPr>
          <w:rFonts w:ascii="Times New Roman" w:hAnsi="Times New Roman"/>
          <w:noProof/>
          <w:sz w:val="24"/>
        </w:rPr>
      </w:pPr>
      <w:r>
        <w:rPr>
          <w:rFonts w:ascii="Times New Roman" w:hAnsi="Times New Roman"/>
          <w:noProof/>
          <w:sz w:val="24"/>
        </w:rPr>
        <w:t>Valdībai pārvir</w:t>
      </w:r>
      <w:r w:rsidR="002D7A1C">
        <w:rPr>
          <w:rFonts w:ascii="Times New Roman" w:hAnsi="Times New Roman"/>
          <w:noProof/>
          <w:sz w:val="24"/>
        </w:rPr>
        <w:t>zītos darījumus vienmēr ieraksta</w:t>
      </w:r>
      <w:r>
        <w:rPr>
          <w:rFonts w:ascii="Times New Roman" w:hAnsi="Times New Roman"/>
          <w:noProof/>
          <w:sz w:val="24"/>
        </w:rPr>
        <w:t xml:space="preserve"> “bruto” (nevis neto aprēķinu, kas parāda tikai galīgo ietekmi uz valdības neto aizdevumu/aizņēmumu (B.9)), un bruto pierakstu veic pat tad, ja nav ietekmes uz valdības neto aizdevumu/aizņēmumu (B.9) un uz atlikušo valdības parāda summu. Galvenais iemesls ir tāds, ka valdības finanšu statistiku neierobežo valdības neto aizdevuma/aizņēmuma un parāda summa. Daudzi citi rādītāji tiek plaši izmantoti, piemēram, valsts izdevumu un ieņēmumu līmenis, nodokļu slogs utt. Turklāt, lai nodrošinātu salīdzināmību, svarīgi ir ievērot kopīgus pārvirzīšanas īstenošanas noteikumus.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6"/>
        <w:tabs>
          <w:tab w:val="left" w:pos="1778"/>
        </w:tabs>
        <w:rPr>
          <w:rFonts w:ascii="Times New Roman" w:hAnsi="Times New Roman"/>
          <w:noProof/>
          <w:sz w:val="24"/>
        </w:rPr>
      </w:pPr>
      <w:bookmarkStart w:id="25" w:name="I.2.4.5.3_Accounting_(simplified)_exampl"/>
      <w:bookmarkEnd w:id="25"/>
      <w:r>
        <w:rPr>
          <w:rFonts w:ascii="Times New Roman" w:hAnsi="Times New Roman"/>
          <w:noProof/>
          <w:sz w:val="24"/>
        </w:rPr>
        <w:t>I.2.4.5.3. Uzskaites (vienkāršots) piemērs</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Publiska sabiedrība no mājsaimniecībām ir saņēmusi maksas (piemēram, saistībā ar sabiedriskā radio un TV licencēm), kas nacionālajos kontos ir pārklasificētas par nodokli (obligāts maksājums, nav saistības ar licences faktisku lietošanu). Maksas tiek pārvirzītas valdībai.</w:t>
      </w:r>
    </w:p>
    <w:p w:rsidR="00073FEC" w:rsidRPr="001973D0" w:rsidRDefault="00073FEC" w:rsidP="00073FEC">
      <w:pPr>
        <w:jc w:val="both"/>
        <w:rPr>
          <w:rFonts w:ascii="Times New Roman" w:eastAsia="Arial" w:hAnsi="Times New Roman" w:cs="Arial"/>
          <w:noProof/>
          <w:sz w:val="24"/>
          <w:szCs w:val="20"/>
        </w:rPr>
      </w:pPr>
    </w:p>
    <w:p w:rsidR="00073FEC" w:rsidRPr="001973D0" w:rsidRDefault="003473E9" w:rsidP="003473E9">
      <w:pPr>
        <w:jc w:val="center"/>
        <w:rPr>
          <w:rFonts w:ascii="Times New Roman" w:eastAsia="Arial" w:hAnsi="Times New Roman" w:cs="Arial"/>
          <w:noProof/>
          <w:sz w:val="24"/>
          <w:szCs w:val="20"/>
        </w:rPr>
      </w:pPr>
      <w:r w:rsidRPr="003473E9">
        <w:rPr>
          <w:rFonts w:ascii="Times New Roman" w:eastAsia="Arial" w:hAnsi="Times New Roman" w:cs="Arial"/>
          <w:noProof/>
          <w:sz w:val="24"/>
          <w:szCs w:val="20"/>
          <w:lang w:bidi="ar-SA"/>
        </w:rPr>
        <w:drawing>
          <wp:inline distT="0" distB="0" distL="0" distR="0">
            <wp:extent cx="5762625" cy="3132943"/>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3132943"/>
                    </a:xfrm>
                    <a:prstGeom prst="rect">
                      <a:avLst/>
                    </a:prstGeom>
                    <a:noFill/>
                    <a:ln>
                      <a:noFill/>
                    </a:ln>
                  </pic:spPr>
                </pic:pic>
              </a:graphicData>
            </a:graphic>
          </wp:inline>
        </w:drawing>
      </w:r>
    </w:p>
    <w:p w:rsidR="008D3039" w:rsidRDefault="008D3039">
      <w:pPr>
        <w:widowControl/>
        <w:spacing w:after="160" w:line="259" w:lineRule="auto"/>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073FEC" w:rsidRPr="001973D0" w:rsidRDefault="00073FEC" w:rsidP="00073FEC">
      <w:pPr>
        <w:jc w:val="both"/>
        <w:rPr>
          <w:rFonts w:ascii="Times New Roman" w:eastAsia="Calibri" w:hAnsi="Times New Roman" w:cs="Calibri"/>
          <w:noProof/>
          <w:sz w:val="24"/>
          <w:szCs w:val="20"/>
        </w:rPr>
      </w:pPr>
    </w:p>
    <w:p w:rsidR="00073FEC" w:rsidRDefault="00073FEC" w:rsidP="00073FEC">
      <w:pPr>
        <w:pStyle w:val="Heading6"/>
        <w:tabs>
          <w:tab w:val="left" w:pos="2016"/>
        </w:tabs>
        <w:rPr>
          <w:rFonts w:ascii="Times New Roman" w:hAnsi="Times New Roman"/>
          <w:noProof/>
          <w:sz w:val="24"/>
        </w:rPr>
      </w:pPr>
      <w:bookmarkStart w:id="26" w:name="I.2.4.6_Specific_case_of_public_hospital"/>
      <w:bookmarkEnd w:id="26"/>
      <w:r>
        <w:rPr>
          <w:rFonts w:ascii="Times New Roman" w:hAnsi="Times New Roman"/>
          <w:noProof/>
          <w:sz w:val="24"/>
        </w:rPr>
        <w:t>I.2.4.6. Publisko slimnīcu īpašais gadījums</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Saistībā ar publisko ražotāju sektoru klasifikāciju publiskās slimnīcas</w:t>
      </w:r>
      <w:r>
        <w:rPr>
          <w:rStyle w:val="FootnoteReference"/>
          <w:rFonts w:ascii="Times New Roman" w:hAnsi="Times New Roman"/>
          <w:noProof/>
          <w:sz w:val="24"/>
        </w:rPr>
        <w:footnoteReference w:id="47"/>
      </w:r>
      <w:r>
        <w:rPr>
          <w:rFonts w:ascii="Times New Roman" w:hAnsi="Times New Roman"/>
          <w:noProof/>
          <w:sz w:val="24"/>
        </w:rPr>
        <w:t xml:space="preserve"> ir īpašs gadījums</w:t>
      </w:r>
      <w:r>
        <w:rPr>
          <w:rStyle w:val="FootnoteReference"/>
          <w:rFonts w:ascii="Times New Roman" w:hAnsi="Times New Roman"/>
          <w:noProof/>
          <w:sz w:val="24"/>
        </w:rPr>
        <w:footnoteReference w:id="48"/>
      </w:r>
      <w:r>
        <w:rPr>
          <w:rFonts w:ascii="Times New Roman" w:hAnsi="Times New Roman"/>
          <w:noProof/>
          <w:sz w:val="24"/>
        </w:rPr>
        <w:t>. Tā ir galvenokārt tāpēc, ka viens no valdības galvenajiem pienākumiem ir organizēt veselības aprūpes pakalpojumus katrā ES dalībvalstī, jo tā ir valsts politikas sastāvdaļa, lai nodrošinātu, ka visai kopienai ir pieejami veselības aprūpes pakalpojumu sniedzēji.</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 var organizēt veselības aprūpes pakalpojumu sniegšanu daudzos veidos. Piemēram, valdība var reglamentēt publisko un/vai privāto slimnīcu nodrošināšanu ģeogrāfisko zonu dalījumā vai noteikt ierobežojumus attiecībā uz vienādu pakalpojumu sniegšanu, vai regulēt vispārējo cenu sistēmu, nosakot vai nenosakot cenu katram konkrētam ārstēšanas veidam. Šīs apakšiedaļas mērķis tādējādi ir identificēt galvenos punktus, kas statistikas veidotājiem jāņem vērā, nodarbojoties ar publisko slimnīcu klasifikāciju, proti un galvenokārt, kāda ir valdības kontroles pakāpe, vai pastāv faktiska konkurence ar privātām slimnīcām un vai publiskās slimnīcas necieš finansiālus zaudējumus.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Kontroli pār slimnīcu var noteikt no EKS 2010 20.309. punktā (un I.2.3. sadaļā “Valdības kontrolētas institucionālās vienības jēdziens”) minēto rādītāju saraksta. Ja valdība nosaka publiskās slimnīcas vispārējo politiku, uzskatāms, ka valdība kontrolē slimnīcu. Šajā saistībā ir svarīgi novērtēt, kādā pakāpē valdība īsteno šo kontroli. Dažos gadījumos publiskā slimnīca </w:t>
      </w:r>
      <w:r>
        <w:rPr>
          <w:rFonts w:ascii="Times New Roman" w:hAnsi="Times New Roman"/>
          <w:i/>
          <w:noProof/>
          <w:sz w:val="24"/>
        </w:rPr>
        <w:t>de facto</w:t>
      </w:r>
      <w:r>
        <w:rPr>
          <w:rFonts w:ascii="Times New Roman" w:hAnsi="Times New Roman"/>
          <w:noProof/>
          <w:sz w:val="24"/>
        </w:rPr>
        <w:t xml:space="preserve"> nevar darboties pilnīgi autonomi. Jo īpaši tas varētu būt gadījumos, kad par tās kapitāla veidošanu (paplašināšanu/ēku renovāciju vai dārga aprīkojuma iegādi) lemj/uzliek veto kontrolējošā vienība vai iestāde, kas atbild par veselības aizsardzības politikas īstenošanu. Ja ir nepieciešama valdības atļauja tehnikas vai sarežģīta aprīkojuma iegādei vai aizņēmuma saņemšanai tirgos, kas nepieciešams, lai finansētu jaunu aktīvu iegādi, valdība (un nevis slimnīca) ir tā, kurai ir piešķirtas pilnvaras pieņemt ekonomiskos lēmumus par slimnīcas aktīviem un saistībām. Šādos gadījumos publiskās slimnīcas klasificē vispārējās valdības sektorā</w:t>
      </w:r>
      <w:r>
        <w:rPr>
          <w:rStyle w:val="FootnoteReference"/>
          <w:rFonts w:ascii="Times New Roman" w:hAnsi="Times New Roman"/>
          <w:noProof/>
          <w:sz w:val="24"/>
        </w:rPr>
        <w:footnoteReference w:id="49"/>
      </w:r>
      <w:r>
        <w:rPr>
          <w:rFonts w:ascii="Times New Roman" w:hAnsi="Times New Roman"/>
          <w:noProof/>
          <w:sz w:val="24"/>
        </w:rPr>
        <w:t>.</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Rūpīgi jāpārbauda, vai pastāv faktiska tirgus konkurence, pārliecinoties, vai publiskās slimnīcas patiešām praksē konkurē ar privātajām slimnīcām. Konkurenci var novērtēt, pārbaudot, vai privātās slimnīcas darbojas visās dažādajās jomās un vai privātais sektors vēlas ieiet tirgū visās jomās. Šajā ziņā ir svarīgi pārliecināties, vai tirgus atvērtība ir vai nav tikai teorētiska. Citiem vārdiem, ir jāpārbauda, vai publiskās un privātās slimnīcas faktiski praksē sniedz tos pašus pakalpojumus visās jomās un vai pacientiem vai zāļu parakstītājiem ir iespējama reāla izvēle. Gadījumos, kad tirgus konkurence varētu būt tikai tīri teorētiska un būtībā nav konstatējama, publiskās slimnīcas klasificē valdības sektorā.</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Tādējādi faktiskas tirgus konkurences situācijā slimnīca var izlemt, kurus veselības aprūpes pakalpojumus tā vēlas sniegt, pamatojoties uz ienesīguma apsvērumiem, vai arī </w:t>
      </w:r>
      <w:r>
        <w:rPr>
          <w:rFonts w:ascii="Times New Roman" w:hAnsi="Times New Roman"/>
          <w:noProof/>
          <w:sz w:val="24"/>
        </w:rPr>
        <w:lastRenderedPageBreak/>
        <w:t xml:space="preserve">tā var lemt par cenu pielāgošanu, lai ietekmētu pieprasījumu. Ir situācijas, kad cenas vienpusēji var noteikt valdība (kas parasti ir dominējošais pircējs) vai saskaņā ar pušu līgumisku vienošanos, plašākā kontekstā – saskaņā ar ekonomikas dalībnieku (valdības, slimnīcu un veselības apdrošināšanas vienību) vienošanos. Šajā saistībā būtu jāpārliecinās, vai konkrēta cenu sistēma pastāv tikai attiecībā uz publiskām slimnīcām, kura atšķirtos no privāto slimnīcu cenu sistēmas (attiecīgi šādā gadījumā publiskās slimnīcas ir jāpārklasificē vispārējās valdības sektorā), nevis, ka pastāv cenu noteikšanas sistēma, kas ir piemērojama gan privātajām, gan publiskajām slimnīcām. Turklāt ir arī jāpārbauda, vai cenas tiek noteiktas tādā veidā, ka nepieļauj </w:t>
      </w:r>
      <w:r>
        <w:rPr>
          <w:rFonts w:ascii="Times New Roman" w:hAnsi="Times New Roman"/>
          <w:i/>
          <w:noProof/>
          <w:sz w:val="24"/>
        </w:rPr>
        <w:t>de facto</w:t>
      </w:r>
      <w:r>
        <w:rPr>
          <w:rFonts w:ascii="Times New Roman" w:hAnsi="Times New Roman"/>
          <w:noProof/>
          <w:sz w:val="24"/>
        </w:rPr>
        <w:t xml:space="preserve"> tirgus konkurenci, piemēram, vai nevar novērot, ka dažu medicīnas pakalpojumu cenas ir pārāk zemas, lai varētu privātas vienības mudināt piedalīties šādu pakalpojumu sniegšanā, jo tas būtu nerentabli.</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 xml:space="preserve">Publiskām slimnīcām, ņemot vērā savu publiskā ražotāja statusu sabiedrības veselības nozarē, varētu būt pienākums sniegt šādus pakalpojumus (kas obligāti jāsniedz kādām vienībām), kuri visticamāk </w:t>
      </w:r>
      <w:r>
        <w:rPr>
          <w:rFonts w:ascii="Times New Roman" w:hAnsi="Times New Roman"/>
          <w:i/>
          <w:noProof/>
          <w:sz w:val="24"/>
        </w:rPr>
        <w:t>de facto</w:t>
      </w:r>
      <w:r>
        <w:rPr>
          <w:rFonts w:ascii="Times New Roman" w:hAnsi="Times New Roman"/>
          <w:noProof/>
          <w:sz w:val="24"/>
        </w:rPr>
        <w:t xml:space="preserve"> nesedz ražošanas izmaksas, tādējādi tās parasti darbotos ar zaudējumiem. Savukārt privāta slimnīca var nenākt tirgū saistībā ar nerentablu pakalpojumu sniegšanu, un, visticamāk, izlems to nedarīt, jo nevarēs izdzīvot, ja pastāvīgi cietīs zaudējumus. Tādējādi privātas slimnīcas varētu sniegt tikai ierobežotu veselības aprūpes pakalpojumu klāstu, kas ir rentabli, savukārt publiskās slimnīcas varētu sniegt plašāku veselības aprūpes pakalpojumu klāstu un attiecīgi ciest zaudējumus.</w:t>
      </w:r>
      <w:r>
        <w:rPr>
          <w:rStyle w:val="FootnoteReference"/>
          <w:rFonts w:ascii="Times New Roman" w:hAnsi="Times New Roman"/>
          <w:noProof/>
          <w:sz w:val="24"/>
        </w:rPr>
        <w:footnoteReference w:id="50"/>
      </w:r>
      <w:r>
        <w:rPr>
          <w:rFonts w:ascii="Times New Roman" w:hAnsi="Times New Roman"/>
          <w:noProof/>
          <w:sz w:val="24"/>
        </w:rPr>
        <w:t xml:space="preserve"> Šādos apstākļos, kad konkurence varētu būt ierobežota un publiskās slimnīcas vairumā gadījumu varētu gandrīz pastāvīgi ciest zaudējumus valdības politikas dēļ, publiskās slimnīcas būtu jāpārklasificē attiecīgajā kontrolējošās valdības apakšsektorā, kas ir atbildīgs par regulārā vai neregulārā deficīta segšanu.</w:t>
      </w:r>
      <w:r>
        <w:rPr>
          <w:rStyle w:val="FootnoteReference"/>
          <w:rFonts w:ascii="Times New Roman" w:hAnsi="Times New Roman"/>
          <w:noProof/>
          <w:sz w:val="24"/>
        </w:rPr>
        <w:footnoteReference w:id="51"/>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Valdība var atbalstīt publiskās slimnīcas dažādos veidos, piemēram, regulāri vai neregulāri (piemēram, reizi 5 gados) segt to zaudējumus, tā var būt gatava uzņemties uzkrāto parādu (kā pēdējās instances debitors), finansēt pilnībā vai lielā apmērā iekārtu (jo īpaši ļoti dārgu iekārtu) iegādi utt.</w:t>
      </w:r>
      <w:r>
        <w:rPr>
          <w:rStyle w:val="FootnoteReference"/>
          <w:rFonts w:ascii="Times New Roman" w:hAnsi="Times New Roman"/>
          <w:noProof/>
          <w:sz w:val="24"/>
        </w:rPr>
        <w:footnoteReference w:id="52"/>
      </w:r>
      <w:r>
        <w:rPr>
          <w:rFonts w:ascii="Times New Roman" w:hAnsi="Times New Roman"/>
          <w:noProof/>
          <w:sz w:val="24"/>
        </w:rPr>
        <w:t xml:space="preserve"> Ikviena valdības iejaukšanās (vai nu novērota no pieredzes, vai paredzēta, ņemot vērā oficiālas apņemšanās), kas varētu ietvert publisko slimnīcu uzņēmējdarbības risku segšanu, varētu uzsvērt atšķirību attiecībā uz privāto sektoru un tādējādi atainot situāciju, kurā </w:t>
      </w:r>
      <w:r>
        <w:rPr>
          <w:rFonts w:ascii="Times New Roman" w:hAnsi="Times New Roman"/>
          <w:i/>
          <w:noProof/>
          <w:sz w:val="24"/>
        </w:rPr>
        <w:t>de facto</w:t>
      </w:r>
      <w:r>
        <w:rPr>
          <w:rFonts w:ascii="Times New Roman" w:hAnsi="Times New Roman"/>
          <w:noProof/>
          <w:sz w:val="24"/>
        </w:rPr>
        <w:t xml:space="preserve"> nepastāv faktiska tirgus konkurence. Tāpēc, ja slimnīcas ir publiskas un faktiskas tirgus konkurences nosacījumi netiek izpildīti (ko apliecina tostarp tas, ka publiskas/valsts slimnīcas cieš regulārus zaudējumus vai uzkrāj ievērojamus parādus, un tiek pastāvīgi novērots valdības atbalsts kopumā, nevis konkrētām publiskām slimnīcām atsevišķi), publiskās slimnīcas ir jāklasificē valdības sektorā.</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Šajā saistībā jāuzsver, ka publisko slimnīcu klasifikācija valdības sektorā sniedz arī precīzāku ainu par valdības kontiem, jo zaudējumi katru gadu regulāri tiks uzskaitīti valdības neto aizdevumā/aizņēmumā (B.9) saskaņā ar atsevišķu slimnīcu darbības rezultātiem katrā gadā, nevis saskaņā ar to, kad valdība varētu izlemt segt zaudējumus, kas radušies (piemēram), uzņemoties slimnīcu parādu ik pēc </w:t>
      </w:r>
      <w:r>
        <w:rPr>
          <w:rFonts w:ascii="Times New Roman" w:hAnsi="Times New Roman"/>
          <w:i/>
          <w:noProof/>
          <w:sz w:val="24"/>
        </w:rPr>
        <w:t>X</w:t>
      </w:r>
      <w:r>
        <w:rPr>
          <w:rFonts w:ascii="Times New Roman" w:hAnsi="Times New Roman"/>
          <w:noProof/>
          <w:sz w:val="24"/>
        </w:rPr>
        <w:t xml:space="preserve"> gadiem un, iespējams, izvēloties vislabvēlīgāko momentu valdības kontu ietekmēšanai.</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Neatkarīgi no iepriekš teiktā</w:t>
      </w:r>
      <w:r>
        <w:rPr>
          <w:rStyle w:val="FootnoteReference"/>
          <w:rFonts w:ascii="Times New Roman" w:hAnsi="Times New Roman"/>
          <w:noProof/>
          <w:sz w:val="24"/>
        </w:rPr>
        <w:footnoteReference w:id="53"/>
      </w:r>
      <w:r>
        <w:rPr>
          <w:rFonts w:ascii="Times New Roman" w:hAnsi="Times New Roman"/>
          <w:noProof/>
          <w:sz w:val="24"/>
        </w:rPr>
        <w:t xml:space="preserve">, tajos gadījumos, kad cenu noteikšanas sistēma tiktu </w:t>
      </w:r>
      <w:r>
        <w:rPr>
          <w:rFonts w:ascii="Times New Roman" w:hAnsi="Times New Roman"/>
          <w:noProof/>
          <w:sz w:val="24"/>
        </w:rPr>
        <w:lastRenderedPageBreak/>
        <w:t xml:space="preserve">piemērota visā pilnībā gan publiskajām, gan privātajām slimnīcām attiecībā uz vairumu darbību, ko veic publiskās slimnīcas, kas pakļautas konkurencei, un publiskās slimnīcas nesaņemtu kompensāciju, pamatojoties vienkārši uz savām izmaksām, un neciestu zaudējumus gandrīz pastāvīgi, ko pēc tam segtu valdība (jo šādā veidā valdība varētu pamatā </w:t>
      </w:r>
      <w:r>
        <w:rPr>
          <w:rFonts w:ascii="Times New Roman" w:hAnsi="Times New Roman"/>
          <w:i/>
          <w:noProof/>
          <w:sz w:val="24"/>
        </w:rPr>
        <w:t>de facto</w:t>
      </w:r>
      <w:r>
        <w:rPr>
          <w:rFonts w:ascii="Times New Roman" w:hAnsi="Times New Roman"/>
          <w:noProof/>
          <w:sz w:val="24"/>
        </w:rPr>
        <w:t xml:space="preserve"> atlīdzināt slimnīcām zaudējumus uz radušos izmaksu bāzes), turpmākos maksājumus var uzskatīt par tirgus darbību rezultātu un tāpēc izmantot tirgus/ārpustirgus testa kontekstā, kas varētu būt pēdējais solis lēmumu pieņemšanas shēmā attiecībā uz publisko slimnīcu sektoru klasifikāciju.</w:t>
      </w:r>
    </w:p>
    <w:p w:rsidR="00073FEC" w:rsidRDefault="00073FEC" w:rsidP="00073FEC">
      <w:pPr>
        <w:rPr>
          <w:rFonts w:ascii="Times New Roman" w:eastAsia="Arial" w:hAnsi="Times New Roman" w:cs="Arial"/>
          <w:noProof/>
          <w:sz w:val="24"/>
          <w:szCs w:val="20"/>
        </w:rPr>
      </w:pPr>
    </w:p>
    <w:p w:rsidR="00073FEC" w:rsidRPr="001973D0" w:rsidRDefault="00073FEC" w:rsidP="00073FEC">
      <w:pPr>
        <w:pStyle w:val="Heading4"/>
        <w:ind w:left="0" w:firstLine="0"/>
        <w:jc w:val="both"/>
        <w:rPr>
          <w:rFonts w:ascii="Times New Roman" w:hAnsi="Times New Roman"/>
          <w:noProof/>
          <w:u w:val="none"/>
        </w:rPr>
      </w:pPr>
      <w:r>
        <w:rPr>
          <w:rFonts w:ascii="Times New Roman" w:hAnsi="Times New Roman"/>
          <w:noProof/>
          <w:u w:val="none"/>
          <w:lang w:bidi="ar-SA"/>
        </w:rPr>
        <w:drawing>
          <wp:anchor distT="0" distB="0" distL="114300" distR="114300" simplePos="0" relativeHeight="251659264" behindDoc="1" locked="0" layoutInCell="1" allowOverlap="1" wp14:anchorId="1C1B36B8" wp14:editId="5B0EF09B">
            <wp:simplePos x="0" y="0"/>
            <wp:positionH relativeFrom="page">
              <wp:posOffset>1454150</wp:posOffset>
            </wp:positionH>
            <wp:positionV relativeFrom="paragraph">
              <wp:posOffset>230505</wp:posOffset>
            </wp:positionV>
            <wp:extent cx="32385" cy="12693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 cy="12693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u w:val="none"/>
        </w:rPr>
        <w:t>Lēmumu pieņemšanas shēma attiecībā uz publiskām slimnīcām</w:t>
      </w:r>
    </w:p>
    <w:p w:rsidR="00073FEC" w:rsidRPr="001973D0" w:rsidRDefault="00073FEC" w:rsidP="00073FEC">
      <w:pPr>
        <w:jc w:val="both"/>
        <w:rPr>
          <w:rFonts w:ascii="Times New Roman" w:eastAsia="Arial" w:hAnsi="Times New Roman" w:cs="Arial"/>
          <w:b/>
          <w:bCs/>
          <w:noProof/>
          <w:sz w:val="24"/>
          <w:szCs w:val="15"/>
        </w:rPr>
      </w:pPr>
    </w:p>
    <w:p w:rsidR="00073FEC" w:rsidRPr="001973D0" w:rsidRDefault="003473E9" w:rsidP="008D3039">
      <w:pPr>
        <w:jc w:val="center"/>
        <w:rPr>
          <w:rFonts w:ascii="Times New Roman" w:eastAsia="Arial" w:hAnsi="Times New Roman" w:cs="Arial"/>
          <w:noProof/>
          <w:sz w:val="24"/>
          <w:szCs w:val="20"/>
        </w:rPr>
      </w:pPr>
      <w:r w:rsidRPr="003473E9">
        <w:rPr>
          <w:rFonts w:ascii="Times New Roman" w:eastAsia="Arial" w:hAnsi="Times New Roman" w:cs="Arial"/>
          <w:noProof/>
          <w:sz w:val="24"/>
          <w:szCs w:val="20"/>
          <w:lang w:bidi="ar-SA"/>
        </w:rPr>
        <w:drawing>
          <wp:inline distT="0" distB="0" distL="0" distR="0">
            <wp:extent cx="5723906" cy="6677797"/>
            <wp:effectExtent l="0" t="0" r="0" b="889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9521" cy="6684348"/>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b/>
          <w:bCs/>
          <w:noProof/>
          <w:sz w:val="24"/>
          <w:szCs w:val="20"/>
        </w:rPr>
      </w:pPr>
    </w:p>
    <w:p w:rsidR="00073FEC" w:rsidRPr="001973D0" w:rsidRDefault="00073FEC" w:rsidP="00073FEC">
      <w:pPr>
        <w:pStyle w:val="Heading6"/>
        <w:tabs>
          <w:tab w:val="left" w:pos="1555"/>
        </w:tabs>
        <w:rPr>
          <w:rFonts w:ascii="Times New Roman" w:hAnsi="Times New Roman"/>
          <w:noProof/>
          <w:sz w:val="24"/>
        </w:rPr>
      </w:pPr>
      <w:r>
        <w:rPr>
          <w:rFonts w:ascii="Times New Roman" w:hAnsi="Times New Roman"/>
          <w:noProof/>
          <w:sz w:val="24"/>
        </w:rPr>
        <w:t>I.2.4.7. Valsts TV un radioapraides īpašais gadījums</w:t>
      </w:r>
    </w:p>
    <w:p w:rsidR="00073FEC" w:rsidRPr="001973D0" w:rsidRDefault="00073FEC" w:rsidP="00073FEC">
      <w:pPr>
        <w:jc w:val="both"/>
        <w:rPr>
          <w:rFonts w:ascii="Times New Roman" w:eastAsia="Arial" w:hAnsi="Times New Roman" w:cs="Arial"/>
          <w:b/>
          <w:bCs/>
          <w:noProof/>
          <w:sz w:val="24"/>
          <w:szCs w:val="18"/>
        </w:rPr>
      </w:pP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Apraide ir audio un video satura raidīšana plašai auditorijai, izmantojot elektroniskos plašsaziņas sakaru līdzekļus. Pēdējās desmitgadēs apraides pakalpojumu institucionāla vide ir būtiski mainījusies, un sabiedrisko apraidi ir ievērojami papildinājusi privātā apraide. Turklāt apraides tehnoloģijas ir ievērojami attīstījušās.</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Valsts apraide pastāv visās ES dalībvalstīs, tomēr ne visas dalībvalstis ir izveidojušas lietotāju mērķmaksājumus</w:t>
      </w:r>
      <w:r>
        <w:rPr>
          <w:rStyle w:val="FootnoteReference"/>
          <w:rFonts w:ascii="Times New Roman" w:hAnsi="Times New Roman"/>
          <w:noProof/>
          <w:sz w:val="24"/>
        </w:rPr>
        <w:footnoteReference w:id="54"/>
      </w:r>
      <w:r>
        <w:rPr>
          <w:rFonts w:ascii="Times New Roman" w:hAnsi="Times New Roman"/>
          <w:noProof/>
          <w:sz w:val="24"/>
        </w:rPr>
        <w:t>, ko iekasē no mājsaimniecībām (kā arī uzņēmumiem un citiem subjektiem). Dažās ES dalībvalstīs valdība var tieši noteikt šādus lietotāja maksājumus vai dot valsts apraides iestādei tiesības tos iekasēt. Citās ES dalībvalstīs lietotājiem netiek prasīts īpašs maksājums, un valsts apraide tiek finansēta no citiem avotiem.</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Valsts apraides pirmssākumos maksājums attiecās uz monopolistisko TV un radio pakalpojumu, savukārt tagad situācija ir būtiski mainījusies, jo privāto apraides organizāciju skaits ir daudzkāršojies. Tādējādi agrāk bija skaidra un tieša saikne starp lietotāja maksājumu un pakalpojumu, kas saņemts, skatoties/klausoties valsts apraides organizāciju (vienīgo pastāvošo subjektu, kas nodrošina apraidi), taču tagad tāda tieša saikne vairs nepastāv.</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Iekasējot maksājumu par valsts apraidi, galvenais jautājums ir noteikt, kā klasificēt šo maksājumu nacionālajos kontos, t. i., vai nu kā nodokli (obligātu</w:t>
      </w:r>
      <w:r>
        <w:rPr>
          <w:rStyle w:val="FootnoteReference"/>
          <w:rFonts w:ascii="Times New Roman" w:hAnsi="Times New Roman"/>
          <w:noProof/>
          <w:sz w:val="24"/>
        </w:rPr>
        <w:footnoteReference w:id="55"/>
      </w:r>
      <w:r>
        <w:rPr>
          <w:rFonts w:ascii="Times New Roman" w:hAnsi="Times New Roman"/>
          <w:noProof/>
          <w:sz w:val="24"/>
        </w:rPr>
        <w:t>, neatlīdzināmu darījumu) vai kā maksu par pakalpojumu (atlīdzināmu darījumu).</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ES dalībvalstīs ir atšķirīgs lietotāju maksas par valsts apraidi iekasēšanas pamatojums, taču var izšķirt divus pamata gadījumus. Pirmajā gadījumā lietotājs maksā par valsts apraidi, pamatojoties uz kādu vispārēju nosacījumu, piemēram, potenciālā lietotāja (indivīda, mājsaimniecības vai cita attiecīgā subjekta) pastāvīgo dzīvesvietu, lietotāja pieslēgumu elektroenerģijas tīklam, elektrības patēriņu, ienākumu līmeni utt. Otrajā gadījumā lietotājs maksā par valsts apraidi, pamatojoties uz TV/radio vai citas attiecīgās ierīces (tālruņa, klēpjdatora, personālā datora utt.) īpašumtiesībām/pieejamību.</w:t>
      </w:r>
    </w:p>
    <w:p w:rsidR="00073FEC" w:rsidRPr="001973D0"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Katrā gadījumā ir svarīgi izanalizēt, ir vai nav iespējams </w:t>
      </w:r>
      <w:r>
        <w:rPr>
          <w:rFonts w:ascii="Times New Roman" w:hAnsi="Times New Roman"/>
          <w:i/>
          <w:noProof/>
          <w:sz w:val="24"/>
        </w:rPr>
        <w:t>izvairīties</w:t>
      </w:r>
      <w:r>
        <w:rPr>
          <w:rFonts w:ascii="Times New Roman" w:hAnsi="Times New Roman"/>
          <w:noProof/>
          <w:sz w:val="24"/>
        </w:rPr>
        <w:t xml:space="preserve"> no prasītās maksas par valsts apraides pakalpojumiem, ja persona nevēlas skatīties/klausīties valsts TV/radio (t. i., persona nevēlas izmantot valsts apraides pakalpojumus).</w:t>
      </w:r>
    </w:p>
    <w:p w:rsidR="00073FEC" w:rsidRPr="00F7427B" w:rsidRDefault="00073FEC" w:rsidP="00073FEC">
      <w:pPr>
        <w:pStyle w:val="BodyText"/>
        <w:numPr>
          <w:ilvl w:val="0"/>
          <w:numId w:val="3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Ja nav iespējams </w:t>
      </w:r>
      <w:r>
        <w:rPr>
          <w:rFonts w:ascii="Times New Roman" w:hAnsi="Times New Roman"/>
          <w:i/>
          <w:noProof/>
          <w:sz w:val="24"/>
        </w:rPr>
        <w:t>izvairīties</w:t>
      </w:r>
      <w:r>
        <w:rPr>
          <w:rFonts w:ascii="Times New Roman" w:hAnsi="Times New Roman"/>
          <w:noProof/>
          <w:sz w:val="24"/>
        </w:rPr>
        <w:t xml:space="preserve"> no maksājuma veikšanas par valsts apraides pakalpojumiem (piemēram, apliecinot, ka personas rīcībā nav attiecīgo ierīču, uz kurām attiecas obligātie maksājumi, vai ka persona neizmanto sabiedriskās apraides pakalpojumus), šis obligātais maksājums uzskatāms par neatlīdzināmu un </w:t>
      </w:r>
      <w:r w:rsidR="002D7A1C">
        <w:rPr>
          <w:rFonts w:ascii="Times New Roman" w:hAnsi="Times New Roman"/>
          <w:noProof/>
          <w:sz w:val="24"/>
        </w:rPr>
        <w:t>nacionālajos kontos ierakstāms</w:t>
      </w:r>
      <w:r>
        <w:rPr>
          <w:rFonts w:ascii="Times New Roman" w:hAnsi="Times New Roman"/>
          <w:noProof/>
          <w:sz w:val="24"/>
        </w:rPr>
        <w:t xml:space="preserve"> kā nodoklis (D.59 d) punkts, ja to maksā mājsaimniecības, D.29 e) punkts, ja maksā pārējie sektori). Šādā gadījumā uzskatāms, ka maksājumu par valsts apraidi uzliek valsts apraides iespējamajiem patērētājiem, kam nepieder (vai nav pieejamas) ierīces, kas ļautu izmantot valsts apraides pakalpojumu, vai kas nevēlas izmantot valsts apraides pakalpojumus. Līdzīgi maksājumu var piemērot attiecīgo ierīču īpašniekiem (vai personām, kam tās ir pieejamas), kuri nevēlas izmantot piedāvāto valsts apraides </w:t>
      </w:r>
      <w:r>
        <w:rPr>
          <w:rFonts w:ascii="Times New Roman" w:hAnsi="Times New Roman"/>
          <w:noProof/>
          <w:sz w:val="24"/>
        </w:rPr>
        <w:lastRenderedPageBreak/>
        <w:t>pakalpojumu, bet vēlas izmantot tikai privātās apraides pakalpojumus</w:t>
      </w:r>
      <w:r>
        <w:rPr>
          <w:rStyle w:val="FootnoteReference"/>
          <w:rFonts w:ascii="Times New Roman" w:hAnsi="Times New Roman"/>
          <w:noProof/>
          <w:sz w:val="24"/>
        </w:rPr>
        <w:footnoteReference w:id="56"/>
      </w:r>
      <w:r>
        <w:rPr>
          <w:rFonts w:ascii="Times New Roman" w:hAnsi="Times New Roman"/>
          <w:noProof/>
          <w:sz w:val="24"/>
        </w:rPr>
        <w:t>. Tādējādi (iespējamajam) lietotājam ir liegta iespēja brīvi izvēlēties un tiek uzlikts pienākums finansēt valsts apraides pakalpojumus.</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Ja ir iespējams </w:t>
      </w:r>
      <w:r>
        <w:rPr>
          <w:rFonts w:ascii="Times New Roman" w:hAnsi="Times New Roman"/>
          <w:i/>
          <w:noProof/>
          <w:sz w:val="24"/>
        </w:rPr>
        <w:t>izvairīties</w:t>
      </w:r>
      <w:r>
        <w:rPr>
          <w:rFonts w:ascii="Times New Roman" w:hAnsi="Times New Roman"/>
          <w:noProof/>
          <w:sz w:val="24"/>
        </w:rPr>
        <w:t xml:space="preserve"> no valsts apraides pakalpojumu lietošanas, vienlaikus neietekmējot iespēju izmantot privātās apraides pakalpojumus, proti, būtu jāmaksā tikai tiem lietotājiem, kas vēlas izmantot valsts apraides pakalpojumus, tādējādi tas nozīmē, ka viņi piekrīt pakalpojuma cenai. Maksājumu līdz ar to var uzskatīt par atlīdzināmu un tādējādi nacionālajos kontos to aplūko kā maksu par pakalpojumu.</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Ja lietotāja maksājums par valsts apraidi tiek uzskatīts par nodokli nacionālajos kontos un ja to iekasē subjekts, kas nav klasificēts valdības sektorā, šādu maksājumu principā pārvirza, izmantojot vispārējās valdības kontus (S.13), jo tikai vispārējai valdībai (un īpašos apstākļos pārējai pasaulei) ir pilnvaras iekasēt nodokļus. Sk. I.2.4.5. apakšiedaļā “Pārkārtoti darījumi” sniegto uzskaites piemēru.</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Ja lietotāja maksājumu iekasē valdība un tad to nodod sabiedriskajai raidorganizācijai, kas klasificēta ārpus vispārējās valdības sektora, valdības maksājumus sabiedris</w:t>
      </w:r>
      <w:r w:rsidR="002D7A1C">
        <w:rPr>
          <w:rFonts w:ascii="Times New Roman" w:hAnsi="Times New Roman"/>
          <w:noProof/>
          <w:sz w:val="24"/>
        </w:rPr>
        <w:t>kajai raidorganizācijai ieraksta</w:t>
      </w:r>
      <w:r>
        <w:rPr>
          <w:rFonts w:ascii="Times New Roman" w:hAnsi="Times New Roman"/>
          <w:noProof/>
          <w:sz w:val="24"/>
        </w:rPr>
        <w:t xml:space="preserve"> kā citas ražošanas subsīdijas (D.39). Ja valsts apraides organizācija ir klasificēta vispārējā valdības sektorā un šī vienība izpilda nosacījumus saistībā ar tās atzīšanu par darījuma galveno veicēju, kā norādīts EKS 2010 1.78. punkt</w:t>
      </w:r>
      <w:r w:rsidR="002D7A1C">
        <w:rPr>
          <w:rFonts w:ascii="Times New Roman" w:hAnsi="Times New Roman"/>
          <w:noProof/>
          <w:sz w:val="24"/>
        </w:rPr>
        <w:t>ā, lietotāja maksājumus ieraksta</w:t>
      </w:r>
      <w:r>
        <w:rPr>
          <w:rFonts w:ascii="Times New Roman" w:hAnsi="Times New Roman"/>
          <w:noProof/>
          <w:sz w:val="24"/>
        </w:rPr>
        <w:t xml:space="preserve"> tieši šajā vi</w:t>
      </w:r>
      <w:r w:rsidR="002D7A1C">
        <w:rPr>
          <w:rFonts w:ascii="Times New Roman" w:hAnsi="Times New Roman"/>
          <w:noProof/>
          <w:sz w:val="24"/>
        </w:rPr>
        <w:t>enībā. Pretējā gadījumā ieraksta</w:t>
      </w:r>
      <w:r>
        <w:rPr>
          <w:rFonts w:ascii="Times New Roman" w:hAnsi="Times New Roman"/>
          <w:noProof/>
          <w:sz w:val="24"/>
        </w:rPr>
        <w:t xml:space="preserve"> kārtējo pārvedumu (D.73) no vienības, kas izpilda EKS 2010 1.78. punkta nosacījumus, valsts apraides vienībai.</w:t>
      </w:r>
    </w:p>
    <w:p w:rsidR="00073FEC" w:rsidRPr="001973D0"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Tas, kā tiek klasificēti lietotāja maksājumi par valsts apraides pakalpojumiem (TV un/vai radio), var ietekmēt šos pakalpojumus sniedzošo publisko institucionālo vienību sektoru klasifikāciju. Lai noteiktu, kādā sektorā ir klasificējama valsts raidorganizācija, piemēro EKS 2010 kvalitatīvos un kvantitatīvos (tirgus/ārpustirgus testa) kritērijus (sk. šīs rokasgrāmatas I.2.4. apakšiedaļu).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27" w:name="I.2.4.8_The_borderline_between_taxes_and"/>
      <w:bookmarkEnd w:id="27"/>
      <w:r>
        <w:rPr>
          <w:rFonts w:ascii="Times New Roman" w:hAnsi="Times New Roman"/>
          <w:noProof/>
          <w:sz w:val="24"/>
        </w:rPr>
        <w:t>I.2.4.8. Robežlīnija starp nodokļiem un pakalpojumu pārdošanu</w:t>
      </w:r>
    </w:p>
    <w:p w:rsidR="00073FEC" w:rsidRPr="001973D0" w:rsidRDefault="00073FEC" w:rsidP="00073FEC">
      <w:pPr>
        <w:pStyle w:val="Heading6"/>
        <w:tabs>
          <w:tab w:val="left" w:pos="2056"/>
        </w:tabs>
        <w:rPr>
          <w:rFonts w:ascii="Times New Roman" w:hAnsi="Times New Roman"/>
          <w:noProof/>
          <w:sz w:val="24"/>
        </w:rPr>
      </w:pPr>
    </w:p>
    <w:p w:rsidR="00073FEC" w:rsidRPr="00F7427B" w:rsidRDefault="00073FEC" w:rsidP="00073FEC">
      <w:pPr>
        <w:pStyle w:val="BodyText"/>
        <w:numPr>
          <w:ilvl w:val="0"/>
          <w:numId w:val="30"/>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Kad novērtē, vai vienība pēc būtības ir tirgus vienība vai ārpustirgus vienība, jāpārbauda, vai vienības ienākumi no valdības sektoram nepiederošiem avotiem nav klasificējami kā pārdošanas ienākumi vai kā citādi. Piemēram, maksājumi par atļauju veikt konkrētu uzņēmējdarbību vai individuālu darbību (ko parasti apliecina ar licenci) traktējami kā pakalpojuma pārdošanas ienākumi tikai tad, ja ieņēmumi tiek izmantoti tam, lai nodrošinātu kādu likumīgu regulējošu funkciju, kas saistīta ar šādu atļauju (piemēram, personas kompetences vai kvalifikācijas pārbaude, uzņēmējdarbībā izmantoto telpu atbilstības vai drošības pārbaude, izmantotā aprīkojuma uzticamības vai drošības pārbaude, saražoto preču vai pakalpojumu kvalitātes vai atbilstības standartam pārbaude), </w:t>
      </w:r>
      <w:r>
        <w:rPr>
          <w:rFonts w:ascii="Times New Roman" w:hAnsi="Times New Roman"/>
          <w:noProof/>
          <w:sz w:val="24"/>
          <w:u w:val="single"/>
        </w:rPr>
        <w:t>un</w:t>
      </w:r>
      <w:r>
        <w:rPr>
          <w:rFonts w:ascii="Times New Roman" w:hAnsi="Times New Roman"/>
          <w:noProof/>
          <w:sz w:val="24"/>
        </w:rPr>
        <w:t xml:space="preserve"> ja maksājumi ievērojami nepārsniedz šādu pakalpojumu sniegšanas izmaksas. Tomēr jāņem vērā arī tas, cik lielā mērā maksātājiem ir pienākums šādas atļaujas saņemt, jo var būt situācijas, kad ekonomikas subjekti nedrīkst veikt konkrēto darbību, ja nav saņēmuši konkrētu atļauju, un līdz ar to cena neietekmē pieprasīto atļauju skaitu. Šādi maksājumi jātraktē kā nodokļi tad, ja kāds no šiem nosacījumiem nav izpildīts (sk. EKS 2010 4.79. punkta d) apakšpunktu), un līdz ar to vienība klasificēta kā vispārējās valdības vienība vai dažos gadījumos maksājumi virzīti caur valdību, jo </w:t>
      </w:r>
      <w:r>
        <w:rPr>
          <w:rFonts w:ascii="Times New Roman" w:hAnsi="Times New Roman"/>
          <w:noProof/>
          <w:sz w:val="24"/>
        </w:rPr>
        <w:lastRenderedPageBreak/>
        <w:t>tikai valdībai ir tiesības iekasēt nodokļus.</w:t>
      </w:r>
    </w:p>
    <w:p w:rsidR="00073FEC" w:rsidRDefault="00073FEC" w:rsidP="00073FEC">
      <w:pPr>
        <w:rPr>
          <w:rFonts w:ascii="Times New Roman" w:eastAsia="Arial" w:hAnsi="Times New Roman" w:cs="Arial"/>
          <w:noProof/>
          <w:sz w:val="24"/>
          <w:szCs w:val="20"/>
        </w:rPr>
      </w:pPr>
      <w:r>
        <w:br w:type="page"/>
      </w:r>
    </w:p>
    <w:p w:rsidR="00073FEC" w:rsidRDefault="00073FEC" w:rsidP="003473E9">
      <w:pPr>
        <w:pStyle w:val="Heading2"/>
        <w:rPr>
          <w:noProof/>
        </w:rPr>
      </w:pPr>
      <w:bookmarkStart w:id="28" w:name="I.3__Pension_institutions"/>
      <w:bookmarkStart w:id="29" w:name="_bookmark3"/>
      <w:bookmarkStart w:id="30" w:name="_Toc471135867"/>
      <w:bookmarkEnd w:id="28"/>
      <w:bookmarkEnd w:id="29"/>
      <w:r>
        <w:rPr>
          <w:noProof/>
        </w:rPr>
        <w:lastRenderedPageBreak/>
        <w:t xml:space="preserve">I.3. Pensiju </w:t>
      </w:r>
      <w:r w:rsidRPr="003473E9">
        <w:t>institūcijas</w:t>
      </w:r>
      <w:bookmarkEnd w:id="30"/>
    </w:p>
    <w:p w:rsidR="00073FEC" w:rsidRPr="001973D0" w:rsidRDefault="00073FEC" w:rsidP="00073FEC">
      <w:pPr>
        <w:pStyle w:val="Heading2"/>
        <w:tabs>
          <w:tab w:val="left" w:pos="1642"/>
        </w:tabs>
        <w:rPr>
          <w:noProof/>
          <w:sz w:val="24"/>
        </w:rPr>
      </w:pPr>
    </w:p>
    <w:p w:rsidR="00073FEC" w:rsidRPr="001973D0" w:rsidRDefault="00073FEC" w:rsidP="00073FEC">
      <w:pPr>
        <w:pStyle w:val="Heading4"/>
        <w:tabs>
          <w:tab w:val="left" w:pos="1632"/>
        </w:tabs>
        <w:ind w:left="0" w:firstLine="0"/>
        <w:rPr>
          <w:rFonts w:ascii="Times New Roman" w:hAnsi="Times New Roman"/>
          <w:noProof/>
          <w:u w:val="thick" w:color="000000"/>
        </w:rPr>
      </w:pPr>
      <w:bookmarkStart w:id="31" w:name="I.3.1_Background"/>
      <w:bookmarkEnd w:id="31"/>
      <w:r>
        <w:rPr>
          <w:rFonts w:ascii="Times New Roman" w:hAnsi="Times New Roman"/>
          <w:noProof/>
          <w:u w:val="none"/>
        </w:rPr>
        <w:t>I.3.1. </w:t>
      </w:r>
      <w:r>
        <w:rPr>
          <w:rFonts w:ascii="Times New Roman" w:hAnsi="Times New Roman"/>
          <w:noProof/>
          <w:u w:val="thick" w:color="000000"/>
        </w:rPr>
        <w:t>Vispārēja informācija</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56"/>
        </w:tabs>
        <w:rPr>
          <w:rFonts w:ascii="Times New Roman" w:hAnsi="Times New Roman"/>
          <w:noProof/>
          <w:sz w:val="24"/>
        </w:rPr>
      </w:pPr>
      <w:bookmarkStart w:id="32" w:name="I.3.1.1_Main_definitions"/>
      <w:bookmarkEnd w:id="32"/>
      <w:r>
        <w:rPr>
          <w:rFonts w:ascii="Times New Roman" w:hAnsi="Times New Roman"/>
          <w:noProof/>
          <w:sz w:val="24"/>
        </w:rPr>
        <w:t>I.3.1.1. Galvenās definīcijas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Pensiju shēmas vairumā gadījumu nodrošina ienākumus pēc pensionēšanās un apgādnieka zaudējuma pensiju pārdzīvojušajam laulātajam. Dažkārt pensiju shēmā var būt apdrošināti arī papildu riski (piemēram, slimības atvaļinājums, invaliditāte). Tās var būt kā “sociālās apdrošināšanas shēmas”, kurās iekļautas gan “sociālās nodrošināšanas shēmas” un “ar nodarbinātību saistītas sociālās apdrošināšanas shēmas, kas nav sociālās nodrošināšanas shēmas”. Aizsardzību pret šiem riskiem var arī apdrošināt, izmantojot privātu apdrošināšanas polisi un citus (ilg)termiņa uzkrājumu instrumentus, ko personas noorganizē pēc saviem ieskatiem.</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Subjekti, kuri pārvalda sociālās nodrošināšanas shēmas, parasti tiks klasificēti vispārējās valdības sektorā (S.13), turpretī subjekti, kas pārvalda citas ar nodarbinātību saistītas sociālās apdrošināšanas shēmas, parasti tiks klasificēti apakšsektorā “Apdrošināšanas sabiedrības” (S.128), “Pensiju fondi” (S.129) vai darba devēju sektorā (S.11, S.12, S.13 vai S.14). Subjekti, kas pārvalda privātās apdrošināšanas polises, tiks klasificēti apakšsektorā “Apdrošināšanas sabiedrības” (S.128). Subjekti, kas pārvalda uzkrājumu instrumentus, tiek iekļauti galvenokārt finanšu sabiedrību sektorā (S.12). Dažkārt atkarībā no valsts tiesiskā regulējuma šie subjekti var darboties arī kā apdrošinātāji “ar nodarbinātību saistītās sociālās apdrošināšanas shēmās, kas nav sociālās nodrošināšanas shēmas”.</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Nacionālajos kontos sociālā apdrošināšana nozīmē kolektīvi organizētu aizsardzību pret virkni “sociālo risku vai vajadzību”, piemēram, vecuma pensijas gadījumā pret risku saņemt nepietiekamus ienākumus vecumdienās. Galveno naudas plūsmu sociālās apdrošināšanas shēmā veido “sociālās iemaksas” (iemaksas shēmā) un “sociālie pabalsti” (izmaksas no shēmas).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33" w:name="I.3.1.2_Social_assistance"/>
      <w:bookmarkEnd w:id="33"/>
      <w:r>
        <w:rPr>
          <w:rFonts w:ascii="Times New Roman" w:hAnsi="Times New Roman"/>
          <w:noProof/>
          <w:sz w:val="24"/>
        </w:rPr>
        <w:t>I.3.1.2. Sociālā palīdzība</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Nacionālajos kontos sociālā apdrošināšana tiek nošķirta no sociālās palīdzības. EKS 2010 noteikts, ka sociālās palīdzības maksājumi paredzēti tam, lai “apmierinātu tās pašas vajadzības, ko apmierina sociālās apdrošināšanas pabalsti, bet tos neizmaksā saskaņā ar sociālās apdrošināšanas shēmu, kurā jāpiedalās, parasti veicot sociālās iemaksas” (sk. EKS 2010 4.105. punktu), un tie “nav atkarīgi no iepriekš veiktām iemaksām un ir vispārīgi saistīti ar pieejamā ienākuma aprēķiniem” (sk. EKS 2010 4.85. punktu).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34" w:name="I.3.1.3_Unfunded_and_funded_pension_sche"/>
      <w:bookmarkEnd w:id="34"/>
      <w:r>
        <w:rPr>
          <w:rFonts w:ascii="Times New Roman" w:hAnsi="Times New Roman"/>
          <w:noProof/>
          <w:sz w:val="24"/>
        </w:rPr>
        <w:t>I.3.1.3. Nefondētas un fondētas pensiju shēmas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Apspriežot sociālās apdrošināšanas shēmu uzskaiti, “nefondētās” shēmas jānošķir no “fondētajām” shēmām.</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Nefondētās shēmas, ko bieži dēvē par “paaudžu solidaritātes shēmām”, ir shēmas, kad par shēmu atbildīgā vienība savos kontos nenorāda vai tikai daļēji norāda nenokārtotās saistības izmaksāt pensijas pabalstus nākotnē. Pensiju pabalsti, kas jāizmaksā gada laikā, galvenokārt tiek finansēti no tajā pašā gadā saņemtajām pensiju iemaksām.</w:t>
      </w:r>
    </w:p>
    <w:p w:rsidR="00073FEC" w:rsidRPr="00F7427B"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Fondētās pensiju shēmās par shēmu atbildīgā vienība pilnīgi norāda neizmaksātās tiesības uz pensiju. Bilancē tiks iekļauts atsevišķs ieraksts, kurā būs atspoguļotas tiesības </w:t>
      </w:r>
      <w:r>
        <w:rPr>
          <w:rFonts w:ascii="Times New Roman" w:hAnsi="Times New Roman"/>
          <w:noProof/>
          <w:sz w:val="24"/>
        </w:rPr>
        <w:lastRenderedPageBreak/>
        <w:t>uz pensiju. Bilancē tiks norādīti arī līdzekļi, kas paredzēti pensiju pabalstu finansēšanai nākotnē. Gada laikā saņemtās pensiju iemaksas tiks apvienotas ar procentu plūsmu, kas iegūta no ieguldījumiem, lai papildinātu shēmas aktīvo dalībnieku (un to dalībnieku, kuriem atlikta tiesību uz pensiju izmantošana) un pensionāru tiesības uz pensiju. Šādā gadījumā attiecīgi pieaugs īpašajam mērķim paredzētie līdzekļi.</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Parasti īpašam mērķim paredzētie aktīvi ievērojami pārsniegs tiesību uz pensiju vērtību; šī starpība pastāv kā rezerve, ko var izmantot attiecībā uz iespējamo risku ietekmi (jo īpaši attiecībā uz cenu riskiem finanšu tirgos, procentu likmju izmaiņām vai ilgdzīvošanas risku). Pārraudzības iestādes var noteikt ierobežojumus attiecībā uz šo rezervju minimālo summu.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Īstermiņa iztrūkumi gadījumos, kad īpašam mērķim paredzēto līdzekļu summa ir mazāka par neizmaksāto tiesību uz pensiju summu (kas var būt palielināta ar obligāto rezervju summu), ne vienmēr apdraud fondētās shēmas klasifikāciju. Fondētas shēmas klasifikācija tiktu saglabāta, ja darba devējs un dažkārt arī aktīvie dalībnieki veiktu papildu pensiju iemaksas un/vai ja pensiju pabalsti tiktu samazināti līdz līmenim, kāds nepieciešams, lai atjaunotu minimālo rezerves līmeni.</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Ja shēmā nav nodrošināti pietiekami līdzekļi, proti, rezerves apmērs samazinās zem obligātā līmeņa vai pat kļūst negatīvs, un darba devējs iegulda shēmā līdze</w:t>
      </w:r>
      <w:r w:rsidR="0000682C">
        <w:rPr>
          <w:rFonts w:ascii="Times New Roman" w:hAnsi="Times New Roman"/>
          <w:noProof/>
          <w:sz w:val="24"/>
        </w:rPr>
        <w:t>kļus, šis ieguldījums jāieraksta</w:t>
      </w:r>
      <w:r>
        <w:rPr>
          <w:rFonts w:ascii="Times New Roman" w:hAnsi="Times New Roman"/>
          <w:noProof/>
          <w:sz w:val="24"/>
        </w:rPr>
        <w:t xml:space="preserve"> kā darba devēja iemaksa.</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Sociālās apdrošināšanas shēmas, kas daļēji tiek finansētas ar konkrētu nolūku tā, ka īpašam mērķim paredzētie ieguldījumi ir ievērojami zemāki par shēmas saistībām, klasificē kā nefondētās shēmas.</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Nefondētu un fondētu pensiju shēmu dalībniekiem kolektīvi turētie un pārvaldītie aktīvi tieši nepieder (līdzīgi tam, kā kopfondu gadījumā), taču viņiem ir individuālas tiesības uz pensijas vienību (tiesības uz pensiju).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rPr>
          <w:rFonts w:ascii="Times New Roman" w:hAnsi="Times New Roman"/>
          <w:noProof/>
          <w:sz w:val="24"/>
        </w:rPr>
      </w:pPr>
      <w:bookmarkStart w:id="35" w:name="I.3.1.4_Defined_contribution_and_defined"/>
      <w:bookmarkEnd w:id="35"/>
      <w:r>
        <w:rPr>
          <w:rFonts w:ascii="Times New Roman" w:hAnsi="Times New Roman"/>
          <w:noProof/>
          <w:sz w:val="24"/>
        </w:rPr>
        <w:t>I.3.1.4.</w:t>
      </w:r>
      <w:r w:rsidR="005A7579">
        <w:rPr>
          <w:rFonts w:ascii="Times New Roman" w:hAnsi="Times New Roman"/>
          <w:noProof/>
          <w:sz w:val="24"/>
        </w:rPr>
        <w:t xml:space="preserve"> </w:t>
      </w:r>
      <w:r>
        <w:rPr>
          <w:rFonts w:ascii="Times New Roman" w:hAnsi="Times New Roman"/>
          <w:noProof/>
          <w:sz w:val="24"/>
        </w:rPr>
        <w:t>Definētu iemaksu shēmas un definētu pabalstu shēmas</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Definētu iemaksu shēmās personas pensijas pabalsti ir atkarīgi no uzkrāto aktīvu vērtības pensionēšanās brīdī vai pēc tās. Līdz ar to individuālām mājsaimniecībām jāuzņemas finanšu risks, kas saistīts ar īpašam mērķim paredzēto aktīvu izpildi, proti, tām nākas saskarties ar neskaidrību par pensijas līmeni nākotnē. Bieži (lai arī ne vienmēr) dalībniekiem shēmā var būt iespēja individuāli izvēlēties savu līdzekļu ieguldīšanas virzienu vienā vai vairākos tirgus segmentos vai ieguldījumu pārvaldnieku.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Aktīvu uzkrāšana un piešķiršana individuāliem dalībniekiem notiek ļoti līdzīgi tam, kā tiek veikti ieguldījumi ar kopieguldījumu fonda starpniecību. Parasti shēmas dalībnieki nevar piekļūt saviem uzkrājumiem pirms pensionēšanās, sk. arī EKS 2010 17.54. punktu. Lai attiecībā uz pensiju pabalstiem samazinātu ar finanšu tirgus norisēm saistīto risku, aktīvu komplektu konkrētam dalībniekam vai dalībnieku grupai dažus gadus pirms dalībnieku pensionēšanās var pārnest uz stabilākiem instrumentiem.</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Parasti definētu iemaksu shēmas ir fondētas shēmas, lai gan var pastāvēt arī nefondētas definētu iemaksu shēmas. Nefondētajās definētu iemaksu shēmās personas pensijas tiesību apmērs pensionēšanās brīdī tiks aprēķināts, pamatojoties uz finanšu tirgus indeksu.</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Definētu pabalstu shēmās pabalsti tiek aprēķināti saskaņā ar īpašu shēmas formulu. Bieži vien šādas formulas galvenie mainīgie ir darba stāžs un algas apmērs (pēdējā alga, vidējā alga). Senāk piešķiramo pabalstu summa bija pilnīgi atkarīga no rezultāta, kas aprēķināts, izmantojot šo formulu, dažkārt apvienojot to ar garantēto minimālo summu. Daudzos gadījumos darba devējam nācās ieguldīt papildu līdzekļus, lai dzēstu shēmas deficītu. Tas nozīmē, ka gadījumā, ja ieguldījumu vērtība bija mazāka par pensiju tiesību summu, kam pieskaitīta rezerve (daļa no rezerves), darba devējam nācās veikt papildu </w:t>
      </w:r>
      <w:r>
        <w:rPr>
          <w:rFonts w:ascii="Times New Roman" w:hAnsi="Times New Roman"/>
          <w:noProof/>
          <w:sz w:val="24"/>
        </w:rPr>
        <w:lastRenderedPageBreak/>
        <w:t>ieguldījumu shēmā.</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Tomēr pēdējos gados darba devēji arvien biežāk atsakās uzņemties pilnīgu atbildību par shēmas papildināšanu vajadzības gadījumā. Attiecīgi ir grozīta shēmas formula un/vai mazināts pensijas beznosacījumu apsolījums shēmas dalībniekiem, proti, pensijas apsolījums atbilstīgi formulai bieži vien tika pārveidots par nosacījuma tiesībām uz pensiju. Līdz ar to formula atspoguļo paredzētās tiesības uz pensiju bez tiesiska spēka attiecībā uz to piemērošanu noteiktos apstākļos (sk. arī EKS 2010 17.57. punktu).</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Daudzos gadījumos uzraudzības noteikumos paredzēts, ka šajās definētu pabalstu shēmās īpašam nolūkam paredzēto aktīvu vērtībai ievērojami jāpārsniedz pensiju tiesību vērtība. Šī obligātā rezerve var būt noteikta līmenī, kas augstāks pat par 30 % no pensiju tiesību vērtības. Var šķist, ka definētu pabalstu shēma ir nefondēta shēma. Tomēr atbilstīgi spēkā esošajiem kontu uzskaites noteikumiem nefondēto definēto pabalstu shēmas praktiski nav iespējams iekļaut sabiedrību sektorā; lielākajā daļā piemērojamo kontu uzskaites direktīvu norādīts, ka visām sabiedrību saistībām jābūt iekļautām to bilancē. Līdz ar to nefondētās definētu pabalstu shēmas galvenokārt tiks saistītas ar valdību.</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Dažām sociālās apdrošināšanas shēmām piemīt gan definētu iemaksu shēmas, gan definētu pabalstu shēmas iezīmes. Šīs shēmas nacionālajos kontos un valdības finanšu statistikā tiek traktētas kā definētu pabalstu shēmas.</w:t>
      </w:r>
      <w:r>
        <w:rPr>
          <w:rStyle w:val="FootnoteReference"/>
          <w:rFonts w:ascii="Times New Roman" w:hAnsi="Times New Roman"/>
          <w:noProof/>
          <w:sz w:val="24"/>
        </w:rPr>
        <w:footnoteReference w:id="57"/>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31"/>
        </w:tabs>
        <w:ind w:left="0" w:firstLine="0"/>
        <w:jc w:val="both"/>
        <w:rPr>
          <w:rFonts w:ascii="Times New Roman" w:hAnsi="Times New Roman"/>
          <w:noProof/>
          <w:u w:val="thick" w:color="000000"/>
        </w:rPr>
      </w:pPr>
      <w:bookmarkStart w:id="36" w:name="I.3.2_Treatment_in_national_accounts"/>
      <w:bookmarkEnd w:id="36"/>
      <w:r>
        <w:rPr>
          <w:rFonts w:ascii="Times New Roman" w:hAnsi="Times New Roman"/>
          <w:noProof/>
          <w:u w:val="none"/>
        </w:rPr>
        <w:t>I.3.2. </w:t>
      </w:r>
      <w:r>
        <w:rPr>
          <w:rFonts w:ascii="Times New Roman" w:hAnsi="Times New Roman"/>
          <w:noProof/>
          <w:u w:val="thick" w:color="000000"/>
        </w:rPr>
        <w:t>Traktējums nacionālajos kontos</w:t>
      </w:r>
    </w:p>
    <w:p w:rsidR="00073FEC" w:rsidRPr="00F7427B" w:rsidRDefault="00073FEC" w:rsidP="00073FEC">
      <w:pPr>
        <w:pStyle w:val="Heading4"/>
        <w:tabs>
          <w:tab w:val="left" w:pos="1631"/>
        </w:tabs>
        <w:ind w:left="0" w:firstLine="0"/>
        <w:jc w:val="both"/>
        <w:rPr>
          <w:rFonts w:ascii="Times New Roman" w:hAnsi="Times New Roman"/>
          <w:noProof/>
          <w:u w:val="thick" w:color="000000"/>
        </w:rPr>
      </w:pPr>
    </w:p>
    <w:p w:rsidR="00073FEC"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sociālā apdrošināšana ir nošķirta no jebkādas citas individuālas aizsardzības pret sociālajiem riskiem vai nodrošinājuma vajadzību apmierināšanai (skatīt EKS 2010 4.84. punktu). Lai individuālu polisi varētu uzskatīt par sociālās apdrošināšanas shēmas daļu, varbūtībām vai apstākļiem, pret ko dalībnieki ir apdrošināti, jāatbilst EKS 2010 noteiktajiem riskiem vai vajadzībām. Turklāt jābūt izpildītam vienam vai vairākiem šādiem nosacījumiem:</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pStyle w:val="BodyText"/>
        <w:numPr>
          <w:ilvl w:val="1"/>
          <w:numId w:val="26"/>
        </w:numPr>
        <w:tabs>
          <w:tab w:val="left" w:pos="1632"/>
        </w:tabs>
        <w:spacing w:before="0"/>
        <w:ind w:left="1134" w:hanging="425"/>
        <w:jc w:val="both"/>
        <w:rPr>
          <w:rFonts w:ascii="Times New Roman" w:hAnsi="Times New Roman"/>
          <w:noProof/>
          <w:sz w:val="24"/>
        </w:rPr>
      </w:pPr>
      <w:r>
        <w:rPr>
          <w:rFonts w:ascii="Times New Roman" w:hAnsi="Times New Roman"/>
          <w:noProof/>
          <w:sz w:val="24"/>
        </w:rPr>
        <w:t>dalība shēmā ir obligāta vai nu saskaņā ar tiesību aktiem, vai arī saskaņā ar darba ņēmēja vai darba ņēmēju grupas nodarbinātības nosacījumiem;</w:t>
      </w:r>
    </w:p>
    <w:p w:rsidR="00073FEC" w:rsidRPr="001973D0" w:rsidRDefault="00073FEC" w:rsidP="00073FEC">
      <w:pPr>
        <w:pStyle w:val="BodyText"/>
        <w:numPr>
          <w:ilvl w:val="1"/>
          <w:numId w:val="26"/>
        </w:numPr>
        <w:tabs>
          <w:tab w:val="left" w:pos="1632"/>
        </w:tabs>
        <w:spacing w:before="0"/>
        <w:ind w:left="1134" w:hanging="425"/>
        <w:jc w:val="both"/>
        <w:rPr>
          <w:rFonts w:ascii="Times New Roman" w:hAnsi="Times New Roman"/>
          <w:noProof/>
          <w:sz w:val="24"/>
        </w:rPr>
      </w:pPr>
      <w:r>
        <w:rPr>
          <w:rFonts w:ascii="Times New Roman" w:hAnsi="Times New Roman"/>
          <w:noProof/>
          <w:sz w:val="24"/>
        </w:rPr>
        <w:t>shēma ir kolektīva, to izmanto noteiktas darbinieku, darba ņēmēju, pašnodarbinātu personu vai nenodarbinātu personu grupas labā, un tā paredzēta vienīgi minētās grupas locekļiem;</w:t>
      </w:r>
    </w:p>
    <w:p w:rsidR="00073FEC" w:rsidRPr="001973D0" w:rsidRDefault="00073FEC" w:rsidP="00073FEC">
      <w:pPr>
        <w:pStyle w:val="BodyText"/>
        <w:numPr>
          <w:ilvl w:val="1"/>
          <w:numId w:val="26"/>
        </w:numPr>
        <w:tabs>
          <w:tab w:val="left" w:pos="1632"/>
        </w:tabs>
        <w:spacing w:before="0"/>
        <w:ind w:left="1134" w:hanging="425"/>
        <w:jc w:val="both"/>
        <w:rPr>
          <w:rFonts w:ascii="Times New Roman" w:hAnsi="Times New Roman"/>
          <w:noProof/>
          <w:sz w:val="24"/>
        </w:rPr>
      </w:pPr>
      <w:r>
        <w:rPr>
          <w:rFonts w:ascii="Times New Roman" w:hAnsi="Times New Roman"/>
          <w:noProof/>
          <w:sz w:val="24"/>
        </w:rPr>
        <w:t>darba devējs veic (faktisku vai aprēķinātu) iemaksu shēmā darba ņēmēja vārdā neatkarīgi no tā, vai darba ņēmējs veic vai neveic iemaksu.</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rPr>
          <w:rFonts w:ascii="Times New Roman" w:hAnsi="Times New Roman"/>
          <w:noProof/>
          <w:sz w:val="24"/>
        </w:rPr>
      </w:pPr>
      <w:bookmarkStart w:id="37" w:name="I.3.2.1_Sector_classification_of_the_uni"/>
      <w:bookmarkEnd w:id="37"/>
      <w:r>
        <w:rPr>
          <w:rFonts w:ascii="Times New Roman" w:hAnsi="Times New Roman"/>
          <w:noProof/>
          <w:sz w:val="24"/>
        </w:rPr>
        <w:t>I.3.2.1.</w:t>
      </w:r>
      <w:r w:rsidR="005A7579">
        <w:rPr>
          <w:rFonts w:ascii="Times New Roman" w:hAnsi="Times New Roman"/>
          <w:noProof/>
          <w:sz w:val="24"/>
        </w:rPr>
        <w:t xml:space="preserve"> </w:t>
      </w:r>
      <w:r>
        <w:rPr>
          <w:rFonts w:ascii="Times New Roman" w:hAnsi="Times New Roman"/>
          <w:noProof/>
          <w:sz w:val="24"/>
        </w:rPr>
        <w:t>Par sociālās apdrošināšanas shēmas pārvaldību atbildīgās vienības sektora klasifikācija</w:t>
      </w:r>
    </w:p>
    <w:p w:rsidR="00073FEC" w:rsidRPr="001973D0" w:rsidRDefault="00073FEC" w:rsidP="00073FEC">
      <w:pPr>
        <w:pStyle w:val="Heading6"/>
        <w:tabs>
          <w:tab w:val="left" w:pos="2016"/>
        </w:tabs>
        <w:rPr>
          <w:rFonts w:ascii="Times New Roman" w:hAnsi="Times New Roman"/>
          <w:noProof/>
          <w:sz w:val="24"/>
        </w:rPr>
      </w:pPr>
    </w:p>
    <w:p w:rsidR="00073FEC"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Sociālās apdrošināšanas institūcijas jāklasificē atbilstīgi to iezīmēm.</w:t>
      </w:r>
    </w:p>
    <w:p w:rsidR="00073FEC" w:rsidRPr="001973D0" w:rsidRDefault="00073FEC" w:rsidP="00073FEC">
      <w:pPr>
        <w:pStyle w:val="BodyText"/>
        <w:tabs>
          <w:tab w:val="left" w:pos="1242"/>
        </w:tabs>
        <w:spacing w:before="0"/>
        <w:ind w:left="0" w:firstLine="0"/>
        <w:rPr>
          <w:rFonts w:ascii="Times New Roman" w:hAnsi="Times New Roman"/>
          <w:noProof/>
          <w:sz w:val="24"/>
        </w:rPr>
      </w:pPr>
    </w:p>
    <w:p w:rsidR="00073FEC" w:rsidRPr="001973D0" w:rsidRDefault="00073FEC" w:rsidP="00073FEC">
      <w:pPr>
        <w:pStyle w:val="BodyText"/>
        <w:numPr>
          <w:ilvl w:val="1"/>
          <w:numId w:val="26"/>
        </w:numPr>
        <w:tabs>
          <w:tab w:val="left" w:pos="1599"/>
        </w:tabs>
        <w:spacing w:before="0"/>
        <w:ind w:left="1134" w:hanging="425"/>
        <w:jc w:val="both"/>
        <w:rPr>
          <w:rFonts w:ascii="Times New Roman" w:hAnsi="Times New Roman"/>
          <w:noProof/>
          <w:sz w:val="24"/>
        </w:rPr>
      </w:pPr>
      <w:r>
        <w:rPr>
          <w:rFonts w:ascii="Times New Roman" w:hAnsi="Times New Roman"/>
          <w:noProof/>
          <w:sz w:val="24"/>
        </w:rPr>
        <w:t xml:space="preserve">Uzskata, ka valsts pārvaldes vienība ir atbildīga par shēmas pārvaldību un apjomu, ja pienākums piedalīties tajā ir noteikts ar likumu vai īpašiem noteikumiem un valdības vienības finansē un kontrolē galveno plūsmu līmeni, nosakot (vai vismaz apstiprinot) attiecīgos noteikumus. Jāņem vērā, ka pārvaldības, kontroles un finansēšanas pienākums atšķiras no pienākuma, kas valdībai var būt jāveic institūciju uzraudzības jomā, lai nodrošinātu, ka tās tiek vadītas saskaņā ar </w:t>
      </w:r>
      <w:r>
        <w:rPr>
          <w:rFonts w:ascii="Times New Roman" w:hAnsi="Times New Roman"/>
          <w:noProof/>
          <w:sz w:val="24"/>
        </w:rPr>
        <w:lastRenderedPageBreak/>
        <w:t>piesardzības principiem, sk. EKS 2010 4.89. punkta a) apakšpunktu.</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Šādas shēmas kvalificē kā “sociālās nodrošināšanas shēmas” (EKS 2010 2.117. punkts, 4.89. punkta a) apakšpunkts). Ja šādas shēmas pārvaldošo valdības struktūrvienību ir iespējams skaidri identificēt, to klasificē apakšsektorā “Sociālās nodrošināšanas fondi”. Ja šī struktūrvienība nav atsevišķa (kvazi)institucionāla vienība, tā jāklasificē tajā valdības apakšsektorā, kurā ir klasificēta šo struktūrvienību ietverošā lielākā vienība.</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Šo klasifikāciju piemēro neatkarīgi no tā, vai shēma ir fondēta vai nefondēta shēma. Par nefondētu shēmu bieži vien uzskata valsts pensiju shēmu, kurā pensiju pabalsti parasti pēc būtības ir veidoti saskaņā ar “vienoto likmi” un var būt atkarīgi vienīgi no līdzdalības gadu vai iemaksu veikšanas gadu skaita. Savukārt finansētās definētu iemaksu pensiju shēmas un privātās institūcijas, kas pārvalda shēmas ieguldījumus, netiek klasificētas vispārējās valdības sektorā.</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Finanšu ieguldījumi, kas tiek turēti nefondētajā shēmā (galvenokārt likviditātes </w:t>
      </w:r>
      <w:r w:rsidR="0000682C">
        <w:rPr>
          <w:rFonts w:ascii="Times New Roman" w:hAnsi="Times New Roman"/>
          <w:noProof/>
          <w:sz w:val="24"/>
        </w:rPr>
        <w:t>rezerve), tiek ierakstīti</w:t>
      </w:r>
      <w:r>
        <w:rPr>
          <w:rFonts w:ascii="Times New Roman" w:hAnsi="Times New Roman"/>
          <w:noProof/>
          <w:sz w:val="24"/>
        </w:rPr>
        <w:t xml:space="preserve"> kā shēmas subjekta aktīvi, nevis pabalsta saņēmēju aktīvi.</w:t>
      </w:r>
    </w:p>
    <w:p w:rsidR="00073FEC" w:rsidRDefault="00073FEC" w:rsidP="00073FEC">
      <w:pPr>
        <w:pStyle w:val="BodyText"/>
        <w:numPr>
          <w:ilvl w:val="1"/>
          <w:numId w:val="26"/>
        </w:numPr>
        <w:tabs>
          <w:tab w:val="left" w:pos="1599"/>
        </w:tabs>
        <w:spacing w:before="0"/>
        <w:ind w:left="1134" w:hanging="425"/>
        <w:jc w:val="both"/>
        <w:rPr>
          <w:rFonts w:ascii="Times New Roman" w:hAnsi="Times New Roman"/>
          <w:noProof/>
          <w:sz w:val="24"/>
        </w:rPr>
      </w:pPr>
      <w:r>
        <w:rPr>
          <w:rFonts w:ascii="Times New Roman" w:hAnsi="Times New Roman"/>
          <w:noProof/>
          <w:sz w:val="24"/>
        </w:rPr>
        <w:t>Ar nodarbinātību saistītās sociālās apdrošināšanas shēmas, kas nav sociālās nodrošināšanas shēmas (tostarp ierēdņu shēmas), var būt organizētas turpmāk minētajos veidos.</w:t>
      </w:r>
    </w:p>
    <w:p w:rsidR="00073FEC" w:rsidRPr="001973D0" w:rsidRDefault="00073FEC" w:rsidP="00073FEC">
      <w:pPr>
        <w:pStyle w:val="BodyText"/>
        <w:tabs>
          <w:tab w:val="left" w:pos="1599"/>
        </w:tabs>
        <w:spacing w:before="0"/>
        <w:ind w:left="0" w:firstLine="0"/>
        <w:rPr>
          <w:rFonts w:ascii="Times New Roman" w:hAnsi="Times New Roman"/>
          <w:noProof/>
          <w:sz w:val="24"/>
        </w:rPr>
      </w:pPr>
    </w:p>
    <w:p w:rsidR="00073FEC" w:rsidRPr="001973D0" w:rsidRDefault="00073FEC" w:rsidP="00073FEC">
      <w:pPr>
        <w:numPr>
          <w:ilvl w:val="2"/>
          <w:numId w:val="26"/>
        </w:numPr>
        <w:tabs>
          <w:tab w:val="left" w:pos="2016"/>
        </w:tabs>
        <w:ind w:left="1701" w:hanging="567"/>
        <w:jc w:val="both"/>
        <w:rPr>
          <w:rFonts w:ascii="Times New Roman" w:hAnsi="Times New Roman"/>
          <w:i/>
          <w:noProof/>
          <w:sz w:val="24"/>
        </w:rPr>
      </w:pPr>
      <w:r>
        <w:rPr>
          <w:rFonts w:ascii="Times New Roman" w:hAnsi="Times New Roman"/>
          <w:i/>
          <w:noProof/>
          <w:sz w:val="24"/>
        </w:rPr>
        <w:t>Darba devēja vienība.</w:t>
      </w:r>
    </w:p>
    <w:p w:rsidR="00073FEC" w:rsidRPr="001973D0"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Šajā gadījumā darba ņēmējs organizē shēmas tikai saviem darbiniekiem (vai dažkārt tikai kādai to daļai), tieši pārvalda shēmas un ir pilnīgi atbildīgs par visām saistītajām plūsmām (dažas var būt aprēķinātās plūsmas nacionālajos kontos).</w:t>
      </w:r>
    </w:p>
    <w:p w:rsidR="00073FEC" w:rsidRPr="001973D0"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Šīs shēmas kvalificējamas kā “neautonomas darba devēja pensiju shēmas”; ja tās ir fondētas shēmas, tās bieži vien dēvē arī par “grāmatvedības rezervju sistēmu” (sk. EKS 2010 2.106. punktu).</w:t>
      </w:r>
    </w:p>
    <w:p w:rsidR="00073FEC" w:rsidRPr="001973D0"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Visas plūsmas, aktīvi un saistības tiek iedalītas darba devēja vienībā un sektorā. Proti, šādas shēmas var klasificēt visos institucionālajos sektoros, izņemot mājsaimniecības.</w:t>
      </w:r>
    </w:p>
    <w:p w:rsidR="00073FEC" w:rsidRPr="001973D0"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Vienība, kas pārvalda shēmu valdības darbinieku labā, parasti tiek uzskatīta par atsevišķu (kvazi)institucionālu vienību (atšķirībā no shēmām, kas saistītas ar sabiedrībām), kas jāklasificē kā pensiju fonds (sk. nākamo aizzīmi).</w:t>
      </w:r>
    </w:p>
    <w:p w:rsidR="00073FEC" w:rsidRPr="001973D0" w:rsidRDefault="00073FEC" w:rsidP="00073FEC">
      <w:pPr>
        <w:numPr>
          <w:ilvl w:val="2"/>
          <w:numId w:val="26"/>
        </w:numPr>
        <w:tabs>
          <w:tab w:val="left" w:pos="2016"/>
        </w:tabs>
        <w:ind w:left="1701" w:hanging="567"/>
        <w:jc w:val="both"/>
        <w:rPr>
          <w:rFonts w:ascii="Times New Roman" w:hAnsi="Times New Roman"/>
          <w:i/>
          <w:noProof/>
          <w:sz w:val="24"/>
        </w:rPr>
      </w:pPr>
      <w:r>
        <w:rPr>
          <w:rFonts w:ascii="Times New Roman" w:hAnsi="Times New Roman"/>
          <w:i/>
          <w:noProof/>
          <w:sz w:val="24"/>
        </w:rPr>
        <w:t>Atsevišķa un speciāla vienība (pensiju fonds).</w:t>
      </w:r>
    </w:p>
    <w:p w:rsidR="00073FEC"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Ja darba devējs uztur shēmu vienīgi saviem darbiniekiem (vai dažos gadījumos tikai kādai to daļai) vai kopā ar citiem darba devējiem un šo shēmu pārvalda atsevišķs un tam īpaši paredzēts subjekts, kurš neietilpst darba devēja vienībā, šo vienību dēvē par pensiju fondu. Pensiju fonds ir pilnīgi atbildīgs par visām saistītajām plūsmām un uzkrājumiem.</w:t>
      </w:r>
    </w:p>
    <w:p w:rsidR="00073FEC" w:rsidRPr="001973D0"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Šīs shēmas kvalificējamas kā “autonomas darba devēja pensiju shēmas”. Visas plūsmas, aktīvi un saistības ir iedalīti saistītajos pensiju fondos attiecīgajā apakšsektorā (S.129).</w:t>
      </w:r>
    </w:p>
    <w:p w:rsidR="00073FEC" w:rsidRPr="001973D0" w:rsidRDefault="00073FEC" w:rsidP="00073FEC">
      <w:pPr>
        <w:numPr>
          <w:ilvl w:val="2"/>
          <w:numId w:val="26"/>
        </w:numPr>
        <w:tabs>
          <w:tab w:val="left" w:pos="2056"/>
        </w:tabs>
        <w:ind w:left="1701" w:hanging="567"/>
        <w:jc w:val="both"/>
        <w:rPr>
          <w:rFonts w:ascii="Times New Roman" w:hAnsi="Times New Roman"/>
          <w:i/>
          <w:noProof/>
          <w:sz w:val="24"/>
        </w:rPr>
      </w:pPr>
      <w:r>
        <w:rPr>
          <w:rFonts w:ascii="Times New Roman" w:hAnsi="Times New Roman"/>
          <w:i/>
          <w:noProof/>
          <w:sz w:val="24"/>
        </w:rPr>
        <w:t>Apdrošinātājs.</w:t>
      </w:r>
    </w:p>
    <w:p w:rsidR="00073FEC"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Šajā gadījumā darba devējs nodrošina shēmu vienīgi saviem darbiniekiem (vai dažos gadījumos to daļai) vai kopā ar citiem darba devējiem, pamatojoties uz apdrošināšanas līgumu ar dzīvības apdrošinātāju, kurš uzņemas pilnu atbildību par visām saistītajām plūsmām un uzkrājumiem. Šīs plūsmas un uzkrājumi ietilpst dzīvības apdrošinātāja plūsmās un uzkrājumos. Visas plūsmas, aktīvi un saistības tiek iekļautas apdrošinātāja sabiedrības apakšsektorā (S.128).</w:t>
      </w:r>
    </w:p>
    <w:p w:rsidR="00073FEC" w:rsidRPr="001973D0"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lastRenderedPageBreak/>
        <w:t>Pensiju fondu un dzīvības apdrošinātāju funkcija jānošķir no lielākās daļas citu tādu institūciju klašu funkcijas, kas var nodarboties ar pensiju shēmu pārvaldību darba ņēmēju vārdā.</w:t>
      </w:r>
      <w:r>
        <w:rPr>
          <w:rStyle w:val="FootnoteReference"/>
          <w:rFonts w:ascii="Times New Roman" w:hAnsi="Times New Roman"/>
          <w:noProof/>
          <w:sz w:val="24"/>
        </w:rPr>
        <w:footnoteReference w:id="58"/>
      </w:r>
      <w:r>
        <w:rPr>
          <w:rFonts w:ascii="Times New Roman" w:hAnsi="Times New Roman"/>
          <w:noProof/>
          <w:sz w:val="24"/>
        </w:rPr>
        <w:t xml:space="preserve"> Šīs citas institūcijas parasti organizē shēmu, neuzņemoties atbildību par shēmas saistībām – tās nodrošina vienīgi administrēšanu un veic palīgdarbības, tāpēc tās arī atbilstīgi jāklasificē. Jo īpaši šādas darbības veic apdrošinātāji, bankas un speciāli pensiju palīgpakalpojumu sniedzēji. Pats pensijas subjekts jāklasificē atsevišķi. Atkarībā no valsts tiesību aktiem dažkārt šīs citu klašu institūcijas var būt atbildīgas par shēmas saistībām. Pensiju shēmas darījumi jānorāda attiecīgo institūciju institucionālajā sektorā.</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Pēdējos gados dažas valstis ir izveidojušas fondētas definētu iemaksu pensiju shēmas, attiecībā uz kurām tā nosaka dalības pienākumu vai mudina piedalīties tajās un kurās tā var organizēt iemaksu savākšanu no darba devējiem/darba ņēmējiem/pašnodarbinātām personām un izmaksāt pensijas pabalstus pensionāriem. Valdība var arī noteikt iemaksu līmeni un lemt par piemērojamajiem noteikumiem. Valdība bieži ieguldījumu pārvaldību nodod privātsektora pārvaldniekiem (bankām, apdrošinātājiem un brokeriem). Fondētajās definētu iemaksu pensiju shēmās pensiju pabalsti galvenokārt ir atkarīgi no uzkrātajiem aktīviem. Šādos apstākļos netiek izpildīti visi EKS 2010 noteiktie kritēriji, saskaņā ar kuriem šādas shēmas klasificē kā sociālās nodrošināšanas shēmas, jo valdība nenosaka pensiju pabalstu līmeni un neveic shēmas “kontroli un finansēšanu”.</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Turklāt, ņemot vērā, ka visu ieguldījumu risku uzņemas polišu turētāji/pabalstu saņēmēji, šīs shēmas var pielīdzināt ieguldījumu fondam. Tas nozīmē, ka subjekts, kurš pārvalda šādu pensiju shēmu un veido atsevišķu institucionālu vienību, jāklasificē kā finanšu iestāde atbilstošajā apakšsektorā.</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Tas, ka valdība garantē fondētās definētu iemaksu pensiju shēmas pabalstu līmeni, tādējādi uzņemoties daļu riska, nav pietiekams iemesls, lai klasificētu šo shēmu kā sociālās nodrošināšanas shēmu. Šādi to varētu klasificēt tikai tad, ja periodiski vairāku gadu garumā tiek pieprasīts piemērot garantiju un līdz ar to ir skaidrs, ka valdības garantija nav paredzēta izmantošanai ārkārtas vai pārejošos gadījumos. Šāda situācija var motivēt valdību pilnīgi pārņemt kontroli pār shēmu un koriģēt iemaksu un pabalstu līmeņus. Šāda pārklasificēšana var notikt pirms garantijas izmantošanas pieprasījuma iesniegšanas, ja ir pietiekami pierādījumi tam, ka šāds pieprasījums ir neizbēgams tuvākajā nākotnē. Pārklasificēšanu varētu apsvērt, ja valdības līdzdalība pabalstu izmaksāšanā no fondētās definētu iemaksu shēmas pārsniegtu no pašas shēmas līdzekļiem veikto izmaksu apmēru.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Līdz ar to gadījumā, ja valdība nav izsniegusi garantiju, iemaksu un pabalstu plūsmas šādā fondētā definētu </w:t>
      </w:r>
      <w:r w:rsidR="00F3294B">
        <w:rPr>
          <w:rFonts w:ascii="Times New Roman" w:hAnsi="Times New Roman"/>
          <w:noProof/>
          <w:sz w:val="24"/>
        </w:rPr>
        <w:t>iemaksu pensiju shēmā neieraksta</w:t>
      </w:r>
      <w:r>
        <w:rPr>
          <w:rFonts w:ascii="Times New Roman" w:hAnsi="Times New Roman"/>
          <w:noProof/>
          <w:sz w:val="24"/>
        </w:rPr>
        <w:t xml:space="preserve"> kā valsts ieņēmumus vai izdevumus un šīs plūsmas neietekmē valdības budžeta neto aizdevumu/aizņēmumu (B.9).</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rPr>
          <w:rFonts w:ascii="Times New Roman" w:hAnsi="Times New Roman"/>
          <w:noProof/>
          <w:sz w:val="24"/>
        </w:rPr>
      </w:pPr>
      <w:bookmarkStart w:id="38" w:name="I.3.2.2_Government_guarantee_to_a_funded"/>
      <w:bookmarkEnd w:id="38"/>
      <w:r>
        <w:rPr>
          <w:rFonts w:ascii="Times New Roman" w:hAnsi="Times New Roman"/>
          <w:noProof/>
          <w:sz w:val="24"/>
        </w:rPr>
        <w:t>I.3.2.2. Valdības garantija fondētajai shēmai</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Pat ja valsts nav atbildīga par tādas shēmas pārvaldību, kas nav klasif</w:t>
      </w:r>
      <w:r w:rsidR="007753C4">
        <w:rPr>
          <w:rFonts w:ascii="Times New Roman" w:hAnsi="Times New Roman"/>
          <w:noProof/>
          <w:sz w:val="24"/>
        </w:rPr>
        <w:t>icēta kā sociālās drošības</w:t>
      </w:r>
      <w:r>
        <w:rPr>
          <w:rFonts w:ascii="Times New Roman" w:hAnsi="Times New Roman"/>
          <w:noProof/>
          <w:sz w:val="24"/>
        </w:rPr>
        <w:t xml:space="preserve"> shēma, tā var būt “ļoti ieinteresēta” shēmas ilgtspējā, jo tā ir daļa no valsts sociālās aizsardzības politikas. Valdība var rūpīgi uzraudzīt valdības sektoram nepiederošas pensiju shēmas, lai nodrošinātu, ka neviens sabiedrības loceklis nepaliek bez pienācīgas pensijas.</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Šajā saistībā, ja valdība uzskata, ka valdības sektoram nepiederošā pensiju shēmā pastāv </w:t>
      </w:r>
      <w:r>
        <w:rPr>
          <w:rFonts w:ascii="Times New Roman" w:hAnsi="Times New Roman"/>
          <w:noProof/>
          <w:sz w:val="24"/>
        </w:rPr>
        <w:lastRenderedPageBreak/>
        <w:t>nepieņemami augsts nenoteiktības līmenis, piemēram, darbības risku, nepietiekama uzkrāto rezervju līmeņa vai tirgus sabrukuma dēļ, valdība var piešķirt skaidru garantiju, lai aizsargātu dalībniekus. Valdība darbojas kā pēdējās instances maksātājs, lai nodrošinātu, ka pabalsti tiek izmaksāti tādā apmērā, kāds uzskatāms par apmierinošu.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Iepriekš minētajos apstākļos valdības garantija fondētajai shēmai, kas nav klasificēta kā sociālās nodrošināšanas shēma, nenozīmē, ka saņēmēja pensiju shēma būtu jāpārklasificē par sociālās nodrošināšanas shēmu.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Valdības garantija jāuzskata par vienreizēju garantiju (neparedzētu izdevum</w:t>
      </w:r>
      <w:r w:rsidR="00246EA1">
        <w:rPr>
          <w:rFonts w:ascii="Times New Roman" w:hAnsi="Times New Roman"/>
          <w:noProof/>
          <w:sz w:val="24"/>
        </w:rPr>
        <w:t>u saistībām), kas nav ierakstīta</w:t>
      </w:r>
      <w:r>
        <w:rPr>
          <w:rFonts w:ascii="Times New Roman" w:hAnsi="Times New Roman"/>
          <w:noProof/>
          <w:sz w:val="24"/>
        </w:rPr>
        <w:t xml:space="preserve"> nacionālajos kontos kā valdības saistības saskaņā ar vispārējiem EKS 2010 principiem. Šajā ziņā valdība uzņemas tikai potenciālu risku, kas rodas tikai īpašos apstākļos. Līdz ar to valdības i</w:t>
      </w:r>
      <w:r w:rsidR="00246EA1">
        <w:rPr>
          <w:rFonts w:ascii="Times New Roman" w:hAnsi="Times New Roman"/>
          <w:noProof/>
          <w:sz w:val="24"/>
        </w:rPr>
        <w:t>zdevumus un ieņēmumus neieraksta</w:t>
      </w:r>
      <w:r>
        <w:rPr>
          <w:rFonts w:ascii="Times New Roman" w:hAnsi="Times New Roman"/>
          <w:noProof/>
          <w:sz w:val="24"/>
        </w:rPr>
        <w:t xml:space="preserve"> tik ilgi, kamēr garantija nav pieprasīta.</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 var atbalstīt shēmu ārkārtas vai pārejošos gadījumos, piemēram, finanšu tirgus īstermiņa satricinājuma gadījumos (kā 1987., 1994. vai 2008. gadā) tā, ka valdības intervence ir ierobežota laika un/vai apjoma ziņā. Tas nenozīmē, ka shēma ir jāpārklasificē par sociālās nodrošināšanas shēmu, ja vien valdība nav pārņēmusi kontroli pār shēmu un nav tieši koriģējusi iemaksu un pabalstu apmēru. Tas nozīmē, ka sākumā valdības atbalsts neizraisa tūlītēju shēmas pārklasificēšanu, lai arī tas ietekmē valdības budžeta neto aizdevumu/aizņēmumu (B.9).</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Ja valdības atbalsts shēmai nav piešķirts ārkārtēju un pārejošu iemeslu dēļ, bet tiek sniegts regulāri, un to var uzskatīt par pastāvīgu atbalstu, nacionālo kontu speciālistiem ir rūpīgi jāpārbauda, vai valdība nav ieguvusi noteiktu kontroli pār shēmu un vai tādējādi nepastāv nosacījumi tās klasificēšanai par sociālās nodrošināšanas shēmu.</w:t>
      </w:r>
    </w:p>
    <w:p w:rsidR="00073FEC" w:rsidRPr="001973D0" w:rsidRDefault="00073FEC" w:rsidP="00073FEC">
      <w:pPr>
        <w:pStyle w:val="BodyText"/>
        <w:numPr>
          <w:ilvl w:val="0"/>
          <w:numId w:val="26"/>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Fondētās definētu iemaksu shēmas gadījumā šādu pārklasificēšanu par sociālās </w:t>
      </w:r>
      <w:r w:rsidR="008E1226">
        <w:rPr>
          <w:rFonts w:ascii="Times New Roman" w:hAnsi="Times New Roman"/>
          <w:noProof/>
          <w:sz w:val="24"/>
        </w:rPr>
        <w:t>nodrošināšanas</w:t>
      </w:r>
      <w:r>
        <w:rPr>
          <w:rFonts w:ascii="Times New Roman" w:hAnsi="Times New Roman"/>
          <w:noProof/>
          <w:sz w:val="24"/>
        </w:rPr>
        <w:t xml:space="preserve"> shēmu vajadzētu veikt tikai tad, ja valsts faktiski nodrošinātu pabalstu izmaksu un izmaksātā summa pārsniegtu summu, kura izmaksājama no fondā uzkrātajiem aktīviem.</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Fondētās definētu pabalstu shēmas gadījumā šādu pārklasificēšanu par sociālās nodrošināšanas shēmu vajadzētu veikt tikai tad, ja valdība faktiski nodrošinātu pabalstu izmaksu par summu, kas pārsniedz 50 % no pensiju aktuārās vērtības no paša fonda resursiem.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32"/>
        </w:tabs>
        <w:ind w:left="0" w:firstLine="0"/>
        <w:rPr>
          <w:rFonts w:ascii="Times New Roman" w:hAnsi="Times New Roman"/>
          <w:noProof/>
          <w:u w:val="thick" w:color="000000"/>
        </w:rPr>
      </w:pPr>
      <w:bookmarkStart w:id="39" w:name="I.3.3_Rationale_of_the_treatment"/>
      <w:bookmarkEnd w:id="39"/>
      <w:r>
        <w:rPr>
          <w:rFonts w:ascii="Times New Roman" w:hAnsi="Times New Roman"/>
          <w:noProof/>
          <w:u w:val="none"/>
        </w:rPr>
        <w:t>I.3.3. </w:t>
      </w:r>
      <w:r>
        <w:rPr>
          <w:rFonts w:ascii="Times New Roman" w:hAnsi="Times New Roman"/>
          <w:noProof/>
          <w:u w:val="thick" w:color="000000"/>
        </w:rPr>
        <w:t>Traktējuma pamatojums</w:t>
      </w:r>
    </w:p>
    <w:p w:rsidR="00073FEC" w:rsidRPr="001973D0" w:rsidRDefault="00073FEC" w:rsidP="00073FEC">
      <w:pPr>
        <w:pStyle w:val="Heading4"/>
        <w:tabs>
          <w:tab w:val="left" w:pos="1632"/>
        </w:tabs>
        <w:ind w:left="0" w:firstLine="0"/>
        <w:rPr>
          <w:rFonts w:ascii="Times New Roman" w:hAnsi="Times New Roman"/>
          <w:noProof/>
          <w:u w:val="thick" w:color="000000"/>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Pensiju līmenis ir atkarīgs no uzkrāto aktīvu vērtības, kas ir ieguldīti tirgū no fondētās definētu iemaksu shēmas. Līdz ar to valdība nekontrolē individuālo pensiju pabalstu līmeni, jo tā tieši neietekmē aktīvu darbības rezultātus tirgū.</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Visi pensiju fondi, kuros dalībnieki uzņemas finanšu riskus, ir jātraktē vienādi neatkarīgi no tā, vai shēmu pārvaldošā vienība ir valsts vai privāta vienība, kā arī neatkarīgi no shēmas obligātā vai brīvprātīgā rakstura. Tie ir mājsaimniecību uzkrātie ietaupījumi. Aktīvu pārvaldība citu vienību vārdā ir finanšu starpniecība, kas parasti neietilpst valdības funkcijās. Pārvaldot šādas shēmas, valdības darbība nav saistīta ar valsts politikas mērķiem, jo šajā gadījumā valdība darbojas līdzīgi finanšu iestādei.</w:t>
      </w: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Fondētās definētu iemaksu shēmas klasifikācija pārvaldošā subjekta apakšsektorā, bieži vien S125 “apdrošināšanas sabiedrības”, S.128 vai/un “pensiju fondi” (S.129), bet, iespējams, (atkarībā no valsts tiesību aktiem) arī citā (apakš)sektorā, nozīmē to, ka, lai arī nākotnē izmaksājamo pens</w:t>
      </w:r>
      <w:r w:rsidR="008E1226">
        <w:rPr>
          <w:rFonts w:ascii="Times New Roman" w:hAnsi="Times New Roman"/>
          <w:noProof/>
          <w:sz w:val="24"/>
        </w:rPr>
        <w:t>iju saistības netiek ierakstītas</w:t>
      </w:r>
      <w:r>
        <w:rPr>
          <w:rFonts w:ascii="Times New Roman" w:hAnsi="Times New Roman"/>
          <w:noProof/>
          <w:sz w:val="24"/>
        </w:rPr>
        <w:t xml:space="preserve"> kā valdības saistības, tomēr valdības vērtspapīri, ko pārvaldītājs subjekts tur pensiju shēmas pensiju fo</w:t>
      </w:r>
      <w:r w:rsidR="008E1226">
        <w:rPr>
          <w:rFonts w:ascii="Times New Roman" w:hAnsi="Times New Roman"/>
          <w:noProof/>
          <w:sz w:val="24"/>
        </w:rPr>
        <w:t>nda vārdā, ir pareizi jāieraksta</w:t>
      </w:r>
      <w:r>
        <w:rPr>
          <w:rFonts w:ascii="Times New Roman" w:hAnsi="Times New Roman"/>
          <w:noProof/>
          <w:sz w:val="24"/>
        </w:rPr>
        <w:t xml:space="preserve"> valdības parādā (nekonsolidētā). Šādos apstākļos subjekta pensiju fonda portfeļa struktūra nekādi neietekmē valdības parāda uzskaiti.</w:t>
      </w:r>
    </w:p>
    <w:p w:rsidR="008D3039" w:rsidRDefault="008D3039">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32"/>
        </w:tabs>
        <w:ind w:left="0" w:firstLine="0"/>
        <w:rPr>
          <w:rFonts w:ascii="Times New Roman" w:hAnsi="Times New Roman"/>
          <w:noProof/>
          <w:u w:val="thick" w:color="000000"/>
        </w:rPr>
      </w:pPr>
      <w:bookmarkStart w:id="40" w:name="I.3.4_Transfer_of_pension_entitlements_f"/>
      <w:bookmarkEnd w:id="40"/>
      <w:r>
        <w:rPr>
          <w:rFonts w:ascii="Times New Roman" w:hAnsi="Times New Roman"/>
          <w:noProof/>
          <w:u w:val="none"/>
        </w:rPr>
        <w:t>I.3.4. </w:t>
      </w:r>
      <w:r>
        <w:rPr>
          <w:rFonts w:ascii="Times New Roman" w:hAnsi="Times New Roman"/>
          <w:noProof/>
          <w:u w:val="thick" w:color="000000"/>
        </w:rPr>
        <w:t>Pensiju tiesību pārvedums no otrā līmeņa</w:t>
      </w:r>
    </w:p>
    <w:p w:rsidR="00073FEC" w:rsidRPr="001973D0" w:rsidRDefault="00073FEC" w:rsidP="00073FEC">
      <w:pPr>
        <w:pStyle w:val="Heading4"/>
        <w:tabs>
          <w:tab w:val="left" w:pos="1632"/>
        </w:tabs>
        <w:ind w:left="0" w:firstLine="0"/>
        <w:rPr>
          <w:rFonts w:ascii="Times New Roman" w:hAnsi="Times New Roman"/>
          <w:noProof/>
          <w:u w:val="thick" w:color="000000"/>
        </w:rPr>
      </w:pPr>
    </w:p>
    <w:p w:rsidR="00073FEC" w:rsidRPr="001973D0" w:rsidRDefault="00073FEC"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Dažkārt pensijas, kas uzkrātas otrajā līmenī, kopā ar saistītajiem aktīviem tiek pārvestas uz valsts pensiju sistēmas pirmo līmeni. Šāds pārvedums var būt brīvprātīgs, valdības veicināts vai obligāts. Traktējums būs atkarīgs no šādu pārvedumu iezīmēm to uzsākšanas brīdī, kuras līdz tam nav pilnīgi zināmas, proti, no atsevišķu kontu nozīmes nākotnē, kontu nākotnes vērtības aprēķināšanas u.c. jautājumiem. </w:t>
      </w:r>
      <w:r>
        <w:rPr>
          <w:rFonts w:ascii="Times New Roman" w:hAnsi="Times New Roman"/>
          <w:i/>
          <w:noProof/>
          <w:sz w:val="24"/>
        </w:rPr>
        <w:t>Eurostat</w:t>
      </w:r>
      <w:r>
        <w:rPr>
          <w:rFonts w:ascii="Times New Roman" w:hAnsi="Times New Roman"/>
          <w:noProof/>
          <w:sz w:val="24"/>
        </w:rPr>
        <w:t xml:space="preserve"> un valstu statistikas iestādes divpusēji pārbaudīs ietekmi uz valdības kontiem.</w:t>
      </w:r>
    </w:p>
    <w:p w:rsidR="00073FEC" w:rsidRPr="001973D0" w:rsidRDefault="008E1226" w:rsidP="00073FEC">
      <w:pPr>
        <w:pStyle w:val="BodyText"/>
        <w:numPr>
          <w:ilvl w:val="0"/>
          <w:numId w:val="26"/>
        </w:numPr>
        <w:tabs>
          <w:tab w:val="left" w:pos="1282"/>
        </w:tabs>
        <w:spacing w:before="0"/>
        <w:ind w:left="709" w:hanging="709"/>
        <w:jc w:val="both"/>
        <w:rPr>
          <w:rFonts w:ascii="Times New Roman" w:hAnsi="Times New Roman"/>
          <w:noProof/>
          <w:sz w:val="24"/>
        </w:rPr>
      </w:pPr>
      <w:r>
        <w:rPr>
          <w:rFonts w:ascii="Times New Roman" w:hAnsi="Times New Roman"/>
          <w:noProof/>
          <w:sz w:val="24"/>
        </w:rPr>
        <w:t>Sākotnēji tiks ierakstīta</w:t>
      </w:r>
      <w:r w:rsidR="00073FEC">
        <w:rPr>
          <w:rFonts w:ascii="Times New Roman" w:hAnsi="Times New Roman"/>
          <w:noProof/>
          <w:sz w:val="24"/>
        </w:rPr>
        <w:t xml:space="preserve"> identiska nodoto pensiju tiesību un saistīto aktīvu vērtība. Saskaņā ar šo pieņēmumam pārvedumam pēc būtības ir finanšu raksturs. Attiecīgi pārvedums neietekmē valdības neto aizdevumu/aizņēmumu (B.9). Tomēr valdības parāds var tikt netieši ietekmēts, konsolidējot aktīvos ietilpstošās valdības obligācijas.</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41" w:name="I.4_Market_regulatory_agencies_in_agricu"/>
      <w:bookmarkStart w:id="42" w:name="_bookmark4"/>
      <w:bookmarkStart w:id="43" w:name="_Toc471135868"/>
      <w:bookmarkEnd w:id="41"/>
      <w:bookmarkEnd w:id="42"/>
      <w:r>
        <w:rPr>
          <w:noProof/>
        </w:rPr>
        <w:lastRenderedPageBreak/>
        <w:t>I.4. Tirgu regulējošas institūcijas lauksaimniecības nozarē</w:t>
      </w:r>
      <w:bookmarkEnd w:id="43"/>
    </w:p>
    <w:p w:rsidR="00073FEC" w:rsidRPr="001973D0" w:rsidRDefault="00073FEC" w:rsidP="00073FEC">
      <w:pPr>
        <w:pStyle w:val="Heading2"/>
        <w:tabs>
          <w:tab w:val="left" w:pos="1602"/>
        </w:tabs>
        <w:rPr>
          <w:noProof/>
          <w:sz w:val="24"/>
        </w:rPr>
      </w:pPr>
    </w:p>
    <w:p w:rsidR="00073FEC" w:rsidRDefault="00073FEC" w:rsidP="00073FEC">
      <w:pPr>
        <w:pStyle w:val="Heading4"/>
        <w:tabs>
          <w:tab w:val="left" w:pos="1592"/>
        </w:tabs>
        <w:ind w:left="0" w:firstLine="0"/>
        <w:rPr>
          <w:rFonts w:ascii="Times New Roman" w:hAnsi="Times New Roman"/>
          <w:noProof/>
          <w:u w:val="thick" w:color="000000"/>
        </w:rPr>
      </w:pPr>
      <w:bookmarkStart w:id="44" w:name="I.4.1_Background"/>
      <w:bookmarkEnd w:id="44"/>
      <w:r>
        <w:rPr>
          <w:rFonts w:ascii="Times New Roman" w:hAnsi="Times New Roman"/>
          <w:noProof/>
          <w:u w:val="none"/>
        </w:rPr>
        <w:t>I.4.1. </w:t>
      </w:r>
      <w:r>
        <w:rPr>
          <w:rFonts w:ascii="Times New Roman" w:hAnsi="Times New Roman"/>
          <w:noProof/>
          <w:u w:val="thick" w:color="000000"/>
        </w:rPr>
        <w:t>Vispārēja informācija</w:t>
      </w:r>
    </w:p>
    <w:p w:rsidR="00073FEC" w:rsidRPr="001973D0" w:rsidRDefault="00073FEC" w:rsidP="00073FEC">
      <w:pPr>
        <w:pStyle w:val="Heading4"/>
        <w:tabs>
          <w:tab w:val="left" w:pos="1592"/>
        </w:tabs>
        <w:ind w:left="0" w:firstLine="0"/>
        <w:rPr>
          <w:rFonts w:ascii="Times New Roman" w:hAnsi="Times New Roman"/>
          <w:noProof/>
          <w:u w:val="thick" w:color="000000"/>
        </w:rPr>
      </w:pP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Šajā punktā apspriesta tirgu regulējošu institūciju</w:t>
      </w:r>
      <w:r>
        <w:rPr>
          <w:rStyle w:val="FootnoteReference"/>
          <w:rFonts w:ascii="Times New Roman" w:hAnsi="Times New Roman"/>
          <w:noProof/>
          <w:sz w:val="24"/>
        </w:rPr>
        <w:footnoteReference w:id="59"/>
      </w:r>
      <w:r>
        <w:rPr>
          <w:rFonts w:ascii="Times New Roman" w:hAnsi="Times New Roman"/>
          <w:noProof/>
          <w:sz w:val="24"/>
        </w:rPr>
        <w:t xml:space="preserve"> sektora klasifikācija un to krājumu traktējums, kad šādas institūcijas darbojas lauksaimniecības jomā. Šos noteikumus var piemērot arī attiecībā uz tirgus aģentūrām, kuras iesaistās citos tirgos, piemēram, izejvielu tirgū (Eiropas Savienībā tas pašlaik netiek novērots).</w:t>
      </w:r>
      <w:r>
        <w:rPr>
          <w:rStyle w:val="FootnoteReference"/>
          <w:rFonts w:ascii="Times New Roman" w:hAnsi="Times New Roman"/>
          <w:noProof/>
          <w:sz w:val="24"/>
        </w:rPr>
        <w:footnoteReference w:id="60"/>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Tās ir valsts aģentūras, kas rīkojas Eiropas Savienības vai citu vienību vārdā, kuras veic gan tirgus, gan resursu pārdales darbības. Tās galvenokārt nodarbojas ar lauksaimniecības produkciju. Institucionālie nosacījumi katrā valstī ir atšķirīgi. Parasti to darbība ietver lauksaimniecības produkcijas iepirkšanu un glabāšanu, tiešo subsīdiju piešķiršanu lauksaimniekiem, nodevu iekasēšanu no ražotājiem un importa, subsīdiju piešķiršanu eksportam, dotāciju piešķiršanu ražošanas līdzekļu iegādei un apkārtējās vides sakārtošanai.</w:t>
      </w:r>
      <w:r>
        <w:rPr>
          <w:rStyle w:val="FootnoteReference"/>
          <w:rFonts w:ascii="Times New Roman" w:hAnsi="Times New Roman"/>
          <w:noProof/>
          <w:sz w:val="24"/>
        </w:rPr>
        <w:footnoteReference w:id="61"/>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szCs w:val="14"/>
        </w:rPr>
      </w:pPr>
      <w:r>
        <w:rPr>
          <w:rFonts w:ascii="Times New Roman" w:hAnsi="Times New Roman"/>
          <w:i/>
          <w:noProof/>
          <w:sz w:val="24"/>
        </w:rPr>
        <w:t>Eurostat</w:t>
      </w:r>
      <w:r>
        <w:rPr>
          <w:rFonts w:ascii="Times New Roman" w:hAnsi="Times New Roman"/>
          <w:noProof/>
          <w:sz w:val="24"/>
        </w:rPr>
        <w:t xml:space="preserve"> 2005. gada lēmumā par to, kā uzskaitāmi pārvedumi ES dalībvalstīm no ES budžeta, noteikts, ka ES pārvedumi nedrīkst ietekmēt valdības neto aizdevumu/aizņēmumu (B.9), jo tiek uzskatīts, ka valdība rīkojas ES “vārdā”. </w:t>
      </w:r>
      <w:r>
        <w:rPr>
          <w:rFonts w:ascii="Times New Roman" w:hAnsi="Times New Roman"/>
          <w:i/>
          <w:noProof/>
          <w:sz w:val="24"/>
        </w:rPr>
        <w:t>Eurostat</w:t>
      </w:r>
      <w:r>
        <w:rPr>
          <w:rFonts w:ascii="Times New Roman" w:hAnsi="Times New Roman"/>
          <w:noProof/>
          <w:sz w:val="24"/>
        </w:rPr>
        <w:t xml:space="preserve"> lēmumā galvenā uzmanība bija veltīta dažu EKS darījumu, piemēram, subsīdiju vai ieguldījuma dotāciju, uzskaitei. Iepriekš jau tika norādīts, ka tirgu regulējošas institūcijas pērk un pārdod produktus lielākoties ES vārdā, lai, veidojot krājumus vai rezerves, stabilizētu cenas. Nacionālo kontu izpratnē vispārējās valdības nav šo krājumu ekonomiskās īpašnieces. Tomēr krājumos veikto izmaiņu nodošana ES (“Pārējā pasaule” (S.2)) nozīmētu to, ka tirgu regulējošo institūciju</w:t>
      </w:r>
      <w:r w:rsidR="008E1226">
        <w:rPr>
          <w:rFonts w:ascii="Times New Roman" w:hAnsi="Times New Roman"/>
          <w:noProof/>
          <w:sz w:val="24"/>
        </w:rPr>
        <w:t xml:space="preserve"> iepirkumu/realizāciju ieraksta</w:t>
      </w:r>
      <w:r>
        <w:rPr>
          <w:rFonts w:ascii="Times New Roman" w:hAnsi="Times New Roman"/>
          <w:noProof/>
          <w:sz w:val="24"/>
        </w:rPr>
        <w:t xml:space="preserve"> kā eksportu/importu ar ES iestādēm, kas nebūtu lietderīgs risinājums no konceptuālā un uzskaites viedokļa.</w:t>
      </w:r>
      <w:r>
        <w:rPr>
          <w:rStyle w:val="FootnoteReference"/>
          <w:rFonts w:ascii="Times New Roman" w:hAnsi="Times New Roman"/>
          <w:noProof/>
          <w:sz w:val="24"/>
        </w:rPr>
        <w:footnoteReference w:id="62"/>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592"/>
        </w:tabs>
        <w:ind w:left="0" w:firstLine="0"/>
        <w:rPr>
          <w:rFonts w:ascii="Times New Roman" w:hAnsi="Times New Roman"/>
          <w:noProof/>
          <w:u w:val="thick" w:color="000000"/>
        </w:rPr>
      </w:pPr>
      <w:bookmarkStart w:id="45" w:name="I.4.2_Treatment_in_national_accounts"/>
      <w:bookmarkEnd w:id="45"/>
      <w:r>
        <w:rPr>
          <w:rFonts w:ascii="Times New Roman" w:hAnsi="Times New Roman"/>
          <w:noProof/>
          <w:u w:val="none"/>
        </w:rPr>
        <w:t>I.4.2. </w:t>
      </w:r>
      <w:r>
        <w:rPr>
          <w:rFonts w:ascii="Times New Roman" w:hAnsi="Times New Roman"/>
          <w:noProof/>
          <w:u w:val="thick" w:color="000000"/>
        </w:rPr>
        <w:t>Traktējums nacionālajos kontos</w:t>
      </w:r>
    </w:p>
    <w:p w:rsidR="00073FEC" w:rsidRPr="001973D0" w:rsidRDefault="00073FEC" w:rsidP="00073FEC">
      <w:pPr>
        <w:pStyle w:val="Heading4"/>
        <w:tabs>
          <w:tab w:val="left" w:pos="1592"/>
        </w:tabs>
        <w:ind w:left="0" w:firstLine="0"/>
        <w:rPr>
          <w:rFonts w:ascii="Times New Roman" w:hAnsi="Times New Roman"/>
          <w:noProof/>
          <w:u w:val="thick" w:color="000000"/>
        </w:rPr>
      </w:pP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20.53.–20.54. punktā noteikts skaidrs dalījums starp “tirgu regulējošām organizācijām”, kuras nodarbojas vienīgi vai galvenokārt ar subsīdiju piešķiršanu, un tām, kuras nodarbojas vienīgi vai galvenokārt ar lauksaimniecības vai pārtikas preču pirkšanu, glabāšanu un pārdošanu.</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Tirgu regulējošās aģentūras, kuras izsniedz subsīdijas, tiek klasificētas vispārējās valdības sektorā (centrālās valdības apakšsektorā). Tirgu regulējošas aģentūras, kuras iesaistītas tirgus darījumos, klasificē nefinanšu sabiedrību sektorā.</w:t>
      </w:r>
    </w:p>
    <w:p w:rsidR="00073FEC" w:rsidRPr="00274C6B"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Tomēr tirgu regulējošu aģentūru darbības jomā var ietilpt arī abu iepriekš minēto veidu darbības. Attiecībā uz šādiem gadījumiem EKS 2010 20.54. punktā noteikts, ka aģentūru var sadalīt divās institucionālās vienībās, un to var darīt, ja ir pierādījumi, kas liecina par to, ka vienas vienības darbības viena daļa būtiski atšķiras no otras daļas (kā </w:t>
      </w:r>
      <w:r>
        <w:rPr>
          <w:rFonts w:ascii="Times New Roman" w:hAnsi="Times New Roman"/>
          <w:noProof/>
          <w:sz w:val="24"/>
        </w:rPr>
        <w:lastRenderedPageBreak/>
        <w:t>tas var būt, piemēram, kvazisabiedrību gadījumā). Šādā gadījumā institucionālo vienību, kas veic tirgus intervences darbības, klasificē nefinanšu sabiedrību sektorā. Otru institucionālo vienību, kas izsniedz subsīdijas, klasificē vispārējās valdības sektorā.</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Ja divas atsevišķas institucionālas vienības nav iespējams nošķirt (jo īpaši ar uzskaiti saistītu apsvērumu dēļ vai tādēļ, ka nav skaidra vadības dalījuma), “galvenā darbība” jānosaka saskaņā ar turpmāko noteikumu. Ja šo vienību izmaksas, kas radušās tirgus intervences laikā, salīdzinājumā ar kopējām izmaksām ir mazākas par 80 %, vienības klasificē vispārējās valdības sektorā; ja savukārt to izmaksas, kas radušās tirgus intervences laikā, salīdzinājumā ar kopējām izmaksām ir lielākas par 80 %, tās klasificē nefinanšu sabiedrību sektorā.</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Radušās izmaksas aprēķina tāpat kā ārpustirgus pakalpojumu produkcijas vērtību, t. i., kā starppatēriņa, darbinieku atalgojuma, pamatkapitāla patēriņa un citu ražošanas nodokļu summu, no kuras atņem citas ražošanas subsīdijas, bet neiekļauj procentu maksājumus (sk. EKS 2010 3.49. punktu).</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Šādos gadījumos, kad ES vārdā darbojošās tirgu regulējošas aģentūras (t. i., ES kopējās politikas kontekstā) klasificē kā vispārējo valdību, sabiedrību sektorā (S.11) ir ieteicams izveidot kvazisabiedrību, nevis nosacītu vienību, lai atspoguļotu izmaiņas lauksaimniecības krājumos un izvairītos no šādu iz</w:t>
      </w:r>
      <w:r w:rsidR="008E1226">
        <w:rPr>
          <w:rFonts w:ascii="Times New Roman" w:hAnsi="Times New Roman"/>
          <w:noProof/>
          <w:sz w:val="24"/>
        </w:rPr>
        <w:t>maiņu ierakstīšanas</w:t>
      </w:r>
      <w:r>
        <w:rPr>
          <w:rFonts w:ascii="Times New Roman" w:hAnsi="Times New Roman"/>
          <w:noProof/>
          <w:sz w:val="24"/>
        </w:rPr>
        <w:t xml:space="preserve"> nacionālajos valdības kontos (kā izmaiņas valsts krājumos, kuras ietekmē valdības budžeta neto aizdevumu/aizņēmumu (B.9)) vai pārējās pasaules kontos (kā eksportu un importu).</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Šādas uzskaites pamatā galvenokārt ir uzskats, ka šādu krājumu ekonomiskā īpašniece ir ES, nevis valsts, un ka tirgu regulējošās aģentūras faktiski rīkojas ES vārdā, proti, ES veic kontroli, kā arī uzņemas ar šādiem krājumiem saistītos riskus un ieguvumus. Šāds traktējums saskan arī ar EKS 2010 minēto vienošanos par tirgu regulējošu aģentūru (S.11) sektora klasifikāciju.</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632"/>
        </w:tabs>
        <w:ind w:left="0" w:firstLine="0"/>
        <w:rPr>
          <w:rFonts w:ascii="Times New Roman" w:hAnsi="Times New Roman"/>
          <w:noProof/>
          <w:u w:val="thick" w:color="000000"/>
        </w:rPr>
      </w:pPr>
      <w:bookmarkStart w:id="46" w:name="I.4.3_Rationale_of_the_treatment"/>
      <w:bookmarkEnd w:id="46"/>
      <w:r>
        <w:rPr>
          <w:rFonts w:ascii="Times New Roman" w:hAnsi="Times New Roman"/>
          <w:noProof/>
          <w:u w:val="none"/>
        </w:rPr>
        <w:t>I.4.3. </w:t>
      </w:r>
      <w:r>
        <w:rPr>
          <w:rFonts w:ascii="Times New Roman" w:hAnsi="Times New Roman"/>
          <w:noProof/>
          <w:u w:val="thick" w:color="000000"/>
        </w:rPr>
        <w:t>Traktējuma pamatojums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56"/>
        </w:tabs>
        <w:rPr>
          <w:rFonts w:ascii="Times New Roman" w:hAnsi="Times New Roman"/>
          <w:noProof/>
          <w:sz w:val="24"/>
        </w:rPr>
      </w:pPr>
      <w:bookmarkStart w:id="47" w:name="I.4.3.1_80_%_criteria"/>
      <w:bookmarkEnd w:id="47"/>
      <w:r>
        <w:rPr>
          <w:rFonts w:ascii="Times New Roman" w:hAnsi="Times New Roman"/>
          <w:noProof/>
          <w:sz w:val="24"/>
        </w:rPr>
        <w:t>I.4.3.1. 80 % kritērijs</w:t>
      </w:r>
    </w:p>
    <w:p w:rsidR="00073FEC" w:rsidRPr="001973D0" w:rsidRDefault="00073FEC" w:rsidP="00073FEC">
      <w:pPr>
        <w:pStyle w:val="Heading6"/>
        <w:tabs>
          <w:tab w:val="left" w:pos="2056"/>
        </w:tabs>
        <w:rPr>
          <w:rFonts w:ascii="Times New Roman" w:hAnsi="Times New Roman"/>
          <w:noProof/>
          <w:sz w:val="24"/>
        </w:rPr>
      </w:pPr>
    </w:p>
    <w:p w:rsidR="00073FEC"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Turpmāk sniegti galvenie iemesli, kāpēc ir noteikta tik augsta robežvērtība “80 %”.</w:t>
      </w:r>
    </w:p>
    <w:p w:rsidR="00073FEC" w:rsidRPr="001973D0" w:rsidRDefault="00073FEC" w:rsidP="00073FEC">
      <w:pPr>
        <w:pStyle w:val="BodyText"/>
        <w:tabs>
          <w:tab w:val="left" w:pos="1282"/>
        </w:tabs>
        <w:spacing w:before="0"/>
        <w:ind w:left="0" w:firstLine="0"/>
        <w:rPr>
          <w:rFonts w:ascii="Times New Roman" w:hAnsi="Times New Roman"/>
          <w:noProof/>
          <w:sz w:val="24"/>
        </w:rPr>
      </w:pPr>
    </w:p>
    <w:p w:rsidR="00073FEC" w:rsidRPr="001973D0" w:rsidRDefault="00073FEC" w:rsidP="00073FEC">
      <w:pPr>
        <w:pStyle w:val="BodyText"/>
        <w:numPr>
          <w:ilvl w:val="1"/>
          <w:numId w:val="25"/>
        </w:numPr>
        <w:tabs>
          <w:tab w:val="left" w:pos="1642"/>
        </w:tabs>
        <w:spacing w:before="0"/>
        <w:ind w:left="1134" w:hanging="425"/>
        <w:jc w:val="both"/>
        <w:rPr>
          <w:rFonts w:ascii="Times New Roman" w:hAnsi="Times New Roman"/>
          <w:noProof/>
          <w:sz w:val="24"/>
        </w:rPr>
      </w:pPr>
      <w:r>
        <w:rPr>
          <w:rFonts w:ascii="Times New Roman" w:hAnsi="Times New Roman"/>
          <w:noProof/>
          <w:sz w:val="24"/>
        </w:rPr>
        <w:t>Subsīdiju piešķiršana uzņēmuma (tirgus ražotāja) nav “ierasta” darbība.</w:t>
      </w:r>
    </w:p>
    <w:p w:rsidR="00073FEC" w:rsidRPr="001973D0" w:rsidRDefault="00073FEC" w:rsidP="00073FEC">
      <w:pPr>
        <w:pStyle w:val="BodyText"/>
        <w:numPr>
          <w:ilvl w:val="1"/>
          <w:numId w:val="25"/>
        </w:numPr>
        <w:tabs>
          <w:tab w:val="left" w:pos="1642"/>
        </w:tabs>
        <w:spacing w:before="0"/>
        <w:ind w:left="1134" w:hanging="425"/>
        <w:jc w:val="both"/>
        <w:rPr>
          <w:rFonts w:ascii="Times New Roman" w:hAnsi="Times New Roman"/>
          <w:noProof/>
          <w:sz w:val="24"/>
        </w:rPr>
      </w:pPr>
      <w:r>
        <w:rPr>
          <w:rFonts w:ascii="Times New Roman" w:hAnsi="Times New Roman"/>
          <w:noProof/>
          <w:sz w:val="24"/>
        </w:rPr>
        <w:t>Daudzos gadījumos aģentūra pēc juridiskā statusa ir valsts iestāde.</w:t>
      </w:r>
    </w:p>
    <w:p w:rsidR="00073FEC" w:rsidRPr="001973D0" w:rsidRDefault="00073FEC" w:rsidP="00073FEC">
      <w:pPr>
        <w:pStyle w:val="BodyText"/>
        <w:numPr>
          <w:ilvl w:val="1"/>
          <w:numId w:val="25"/>
        </w:numPr>
        <w:tabs>
          <w:tab w:val="left" w:pos="1642"/>
        </w:tabs>
        <w:spacing w:before="0"/>
        <w:ind w:left="1134" w:hanging="425"/>
        <w:jc w:val="both"/>
        <w:rPr>
          <w:rFonts w:ascii="Times New Roman" w:hAnsi="Times New Roman"/>
          <w:noProof/>
          <w:sz w:val="24"/>
        </w:rPr>
      </w:pPr>
      <w:r>
        <w:rPr>
          <w:rFonts w:ascii="Times New Roman" w:hAnsi="Times New Roman"/>
          <w:noProof/>
          <w:sz w:val="24"/>
        </w:rPr>
        <w:t>Saistībā ar kopējo lauksaimniecības politiku subsīdiju piešķiršana ir ievērojami izplatītāka darbība nekā tirgus intervences pasākumi.</w:t>
      </w:r>
    </w:p>
    <w:p w:rsidR="00073FEC" w:rsidRPr="001973D0" w:rsidRDefault="00073FEC" w:rsidP="00073FEC">
      <w:pPr>
        <w:pStyle w:val="BodyText"/>
        <w:numPr>
          <w:ilvl w:val="1"/>
          <w:numId w:val="25"/>
        </w:numPr>
        <w:tabs>
          <w:tab w:val="left" w:pos="1642"/>
        </w:tabs>
        <w:spacing w:before="0"/>
        <w:ind w:left="1134" w:hanging="425"/>
        <w:jc w:val="both"/>
        <w:rPr>
          <w:rFonts w:ascii="Times New Roman" w:hAnsi="Times New Roman"/>
          <w:noProof/>
          <w:sz w:val="24"/>
        </w:rPr>
      </w:pPr>
      <w:r>
        <w:rPr>
          <w:rFonts w:ascii="Times New Roman" w:hAnsi="Times New Roman"/>
          <w:noProof/>
          <w:sz w:val="24"/>
        </w:rPr>
        <w:t>Vajadzīgs tāds traktējums, kas nodrošinātu tirgu regulējošu aģentūru klasifikācijas stabilitāti ilgākā laika posmā.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48" w:name="I.4.3.2_Economic_ownership_of_the_invent"/>
      <w:bookmarkEnd w:id="48"/>
      <w:r>
        <w:rPr>
          <w:rFonts w:ascii="Times New Roman" w:hAnsi="Times New Roman"/>
          <w:noProof/>
          <w:sz w:val="24"/>
        </w:rPr>
        <w:t>I.4.3.2. Krājumu ekonomiskās īpašumtiesības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Ņemot vērā to, ka tirgu regulējoša aģentūra “rīkojas ES vārdā” un neizmanto šos krājumus savā ražošanas procesā, šī institucionālā vienība nav šādu no tās tirgus intervencēm izrietošo krājumu ekonomiskā īpašniece. Par šādu krājumu ekonomisko īpašnieci ir uzskatāma ES.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Tomēr šajā gadījumā nešķiet vēlami vai pamatoti veikt eksporta/importa attiecību uzskaiti ar ES, jo tas nozīmētu, ka eksporta </w:t>
      </w:r>
      <w:r w:rsidR="008E1226">
        <w:rPr>
          <w:rFonts w:ascii="Times New Roman" w:hAnsi="Times New Roman"/>
          <w:noProof/>
          <w:sz w:val="24"/>
        </w:rPr>
        <w:t>un importa plūsmas ir jāieraksta</w:t>
      </w:r>
      <w:r>
        <w:rPr>
          <w:rFonts w:ascii="Times New Roman" w:hAnsi="Times New Roman"/>
          <w:noProof/>
          <w:sz w:val="24"/>
        </w:rPr>
        <w:t xml:space="preserve"> ikreiz, kad aģentūra veic pirkumu vai pārdevumu, kā rezultātā tiktu iegūti kopējie rādītāji ar ierobežotu analītisko vērtību. Turklāt regulējošo institūciju tirgus intervences tiek veiktas valsts līmenī, t. i., valstu tirgos, neatkarīgi no tā, ka tās rīkojas ES vārdā.</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Ir svarīgi analizēt tirgu regulējošo institūciju veidoto krājumu ekonomiskās </w:t>
      </w:r>
      <w:r>
        <w:rPr>
          <w:rFonts w:ascii="Times New Roman" w:hAnsi="Times New Roman"/>
          <w:noProof/>
          <w:sz w:val="24"/>
        </w:rPr>
        <w:lastRenderedPageBreak/>
        <w:t>īpašumtiesības. Saistībā ar valstu intervenci tirgū Komisija uzņemas visus finanšu riskus, tostarp visus zaudējumus, kurus izraisa intervence tirgū, jo ES kopējās lauksaimniecības politikas mērķis šajā jomā ir novērst jebkādas no tirgus intervencēm izrietošās finansiālās sekas ES dalībvalstij. Pretēja situācija rodas arī gadījumā, ja paaugstinās cenas, kad ES dalībvalsts pilnīgi atmaksā Komisijai starpību (peļņa no pārdošanas). Turklāt ES dalībvalsts ir atbildīga par to, lai tiktu veikti visi pasākumi, kas nepieciešami krājumu iekonservēšanai labā stāvoklī, bet vienlaikus tai nav kontroles pār šīm precēm, jo lēmumus par pirkšanu un tālākpārdošanu pieņem ES iestādes.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rPr>
          <w:rFonts w:ascii="Times New Roman" w:hAnsi="Times New Roman"/>
          <w:noProof/>
          <w:sz w:val="24"/>
        </w:rPr>
      </w:pPr>
      <w:bookmarkStart w:id="49" w:name="I.4.3.3_Classifying_the_inventories_in_t"/>
      <w:bookmarkEnd w:id="49"/>
      <w:r>
        <w:rPr>
          <w:rFonts w:ascii="Times New Roman" w:hAnsi="Times New Roman"/>
          <w:noProof/>
          <w:sz w:val="24"/>
        </w:rPr>
        <w:t>I.4.3.3. Krājum</w:t>
      </w:r>
      <w:r w:rsidR="008E1226">
        <w:rPr>
          <w:rFonts w:ascii="Times New Roman" w:hAnsi="Times New Roman"/>
          <w:noProof/>
          <w:sz w:val="24"/>
        </w:rPr>
        <w:t>u klasificēšana nefinanšu sabiedrību</w:t>
      </w:r>
      <w:r>
        <w:rPr>
          <w:rFonts w:ascii="Times New Roman" w:hAnsi="Times New Roman"/>
          <w:noProof/>
          <w:sz w:val="24"/>
        </w:rPr>
        <w:t xml:space="preserve"> sektorā</w:t>
      </w:r>
    </w:p>
    <w:p w:rsidR="00073FEC" w:rsidRPr="001973D0" w:rsidRDefault="00073FEC" w:rsidP="00073FEC">
      <w:pPr>
        <w:pStyle w:val="Heading6"/>
        <w:tabs>
          <w:tab w:val="left" w:pos="2016"/>
        </w:tabs>
        <w:rPr>
          <w:rFonts w:ascii="Times New Roman" w:hAnsi="Times New Roman"/>
          <w:noProof/>
          <w:sz w:val="24"/>
        </w:rPr>
      </w:pPr>
    </w:p>
    <w:p w:rsidR="00073FEC" w:rsidRDefault="00073FEC" w:rsidP="00073FEC">
      <w:pPr>
        <w:pStyle w:val="Heading7"/>
        <w:spacing w:before="0"/>
        <w:ind w:left="0"/>
        <w:jc w:val="both"/>
        <w:rPr>
          <w:rFonts w:ascii="Times New Roman" w:hAnsi="Times New Roman"/>
          <w:noProof/>
          <w:sz w:val="24"/>
        </w:rPr>
      </w:pPr>
      <w:r>
        <w:rPr>
          <w:rFonts w:ascii="Times New Roman" w:hAnsi="Times New Roman"/>
          <w:noProof/>
          <w:sz w:val="24"/>
        </w:rPr>
        <w:t>Nosacīta vienība vai kvazisabiedrība</w:t>
      </w:r>
    </w:p>
    <w:p w:rsidR="00073FEC" w:rsidRPr="001973D0" w:rsidRDefault="00073FEC" w:rsidP="00073FEC">
      <w:pPr>
        <w:pStyle w:val="Heading7"/>
        <w:spacing w:before="0"/>
        <w:ind w:left="0"/>
        <w:jc w:val="both"/>
        <w:rPr>
          <w:rFonts w:ascii="Times New Roman" w:hAnsi="Times New Roman"/>
          <w:noProof/>
          <w:sz w:val="24"/>
        </w:rPr>
      </w:pPr>
    </w:p>
    <w:p w:rsidR="00073FEC" w:rsidRPr="00274C6B"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Nacionālajos kontos iespējamais risinājums (lai izvairītos no ek</w:t>
      </w:r>
      <w:r w:rsidR="008E1226">
        <w:rPr>
          <w:rFonts w:ascii="Times New Roman" w:hAnsi="Times New Roman"/>
          <w:noProof/>
          <w:sz w:val="24"/>
        </w:rPr>
        <w:t>sporta un importa ierakstīšanas</w:t>
      </w:r>
      <w:r>
        <w:rPr>
          <w:rFonts w:ascii="Times New Roman" w:hAnsi="Times New Roman"/>
          <w:noProof/>
          <w:sz w:val="24"/>
        </w:rPr>
        <w:t xml:space="preserve"> pēc katras krājumu papildināšanas vai samazināšanas) varētu būt šādu lauksaimniecības krājumu (P.52) uzskaites iekļaušana nefinanšu sabiedrību sektorā (S.11). Tas atbilstu argumentam par to, ka vispārējā valdība nav tirgus intervences pasākumos radīto krājumu ekonomiskā īpašniece. Šī pieeja zināmā mērā atbilstu tam, ko nosaka iepriekš minētais EKS 2010 2.114 .punkts.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Iepriekš minētā pieeja nozīmē to, ka būtu jārada mākslīga vienība, lai atspoguļotu darījumus ar krājumiem S.11 sektorā gadījumos, kuros tirgu regulējošās aģentūras ir klasificētas centrālajā valdībā (S.1311).</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Viens no iespējamajiem risinājumiem varētu būt ES piederošas nosacītas rezidentvienības atzīšana. Nosacītas rezidentvienības izveidošana šķiet kopumā atbilst EKS 2010 2.29. punktam, kurā paskaidrots, ka pat tad, ja attiecībā uz nosacītām rezidentvienībām tiek uzturēta tikai daļa no kontiem un tām nav lēmumu pieņemšanas autonomijas, saskaņā ar vienošanos tās traktē kā institucionālas vienības. Šāda nosacīta rezidentvienība turētu krājumus, un tiktu uzskatīts, ka tā veic ar tiem darījumus. Tas nozīmē, ka subjekta īpašniece nacionālajos kontos ir ES.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Cita iespēja varētu būt kvazisabiedrības atzīšana nacionālajos kontos ar tādu pašu mērķi kā iepriekš minētās nosacītās rezidentvienības gadījumā (t. i., atspoguļot darījumus ar krājumiem gadījumā, ja tirgu regulējošo aģentūru klasificē centrālās valdības sektorā). Parasti EKS ir pieejams pilnīgs kontu komplekts. Tas netiek garantēts, taču, ciktāl ES atlīdzina zaudējumus, kas izriet no krājumu turēšanas, tiek uzskatīts, ka ir pieejama atbilstoša un vispusīga informācija. Tas nozīmē, ka nacionālajos kontos par subjekta īpašnieci tiek uzskatīta valdība.</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Ar abiem šiem traktējumiem var izvairīties no tā, ka krājumu iegādes u</w:t>
      </w:r>
      <w:r w:rsidR="008E1226">
        <w:rPr>
          <w:rFonts w:ascii="Times New Roman" w:hAnsi="Times New Roman"/>
          <w:noProof/>
          <w:sz w:val="24"/>
        </w:rPr>
        <w:t>n pārdošanas izmaiņas jāieraksta</w:t>
      </w:r>
      <w:r>
        <w:rPr>
          <w:rFonts w:ascii="Times New Roman" w:hAnsi="Times New Roman"/>
          <w:noProof/>
          <w:sz w:val="24"/>
        </w:rPr>
        <w:t xml:space="preserve"> kā eksports/imports uz ES.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Kopumā var secināt, ka S.11 sektorā pastāv divas klasificēšanas iespējas atkarībā no tā, ko uzskata par krājumus turošā subjekta īpašnieku:</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b/>
          <w:noProof/>
          <w:sz w:val="24"/>
        </w:rPr>
        <w:t>1. iespēja</w:t>
      </w:r>
      <w:r>
        <w:rPr>
          <w:rFonts w:ascii="Times New Roman" w:hAnsi="Times New Roman"/>
          <w:noProof/>
          <w:sz w:val="24"/>
        </w:rPr>
        <w:t xml:space="preserve"> – kvazisabiedrības atzīšana, kas nozīmē, ka valsts pārvalde ir struktūras īpašniece;</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b/>
          <w:noProof/>
          <w:sz w:val="24"/>
        </w:rPr>
        <w:t>2 .iespēja</w:t>
      </w:r>
      <w:r>
        <w:t xml:space="preserve"> </w:t>
      </w:r>
      <w:r>
        <w:rPr>
          <w:rFonts w:ascii="Times New Roman" w:hAnsi="Times New Roman"/>
          <w:noProof/>
          <w:sz w:val="24"/>
        </w:rPr>
        <w:t>– nosacītas vienības atzīšana, kas nozīmē, ka subjekta īpašnieks ir pārējā pasaule (</w:t>
      </w:r>
      <w:r>
        <w:rPr>
          <w:rFonts w:ascii="Times New Roman" w:hAnsi="Times New Roman"/>
          <w:i/>
          <w:noProof/>
          <w:sz w:val="24"/>
        </w:rPr>
        <w:t>RoW</w:t>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50" w:name="I.4.3.4_Net_worth_of_general_government"/>
      <w:bookmarkEnd w:id="50"/>
      <w:r>
        <w:rPr>
          <w:rFonts w:ascii="Times New Roman" w:hAnsi="Times New Roman"/>
          <w:noProof/>
          <w:sz w:val="24"/>
        </w:rPr>
        <w:t>I.4.3.4. Vispārējās valdības neto vērtība</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Ņemot vērā uzskatu, ka krājumi pieder ES, ir svarīgi noteikt, vai izmaiņas subjekta pašu līdzekļos, ko izraisa krājumu peļņa un zaudējumi pēc tirgus vērtības (kas vienā periodā var būt lielāka nekā citā periodā), ietekmētu vispārējās valdības neto vērtību vai pārējās pasaules neto vērtību, vai arī neietekmētu nevienu no tām.</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lastRenderedPageBreak/>
        <w:t>Ir svarīgi noteikt, vai kvazisabiedrība vai nosacītā vienība nodrošinātu atšķirīgu vai ļoti atšķirīgu peļņu no vispārējās valdības neto vērtības viedokļa. Sākotnēji var secināt, ka rezultāts būs atšķirīgs, ciktāl tas attiecas uz ES neto vērtību. Nosacītas vienības gadījumā to ietekmē krājumu peļņa un zaudējumi, savukārt kvazisabiedrības gadījumā tā nenotiek.</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Ja aģentūra ir valdības dibināts subjekts, tad var pastāvēt kāda pašu kapitāla saikne, kas atspoguļosies kā vispārējās valdības aktīvs, ja aģentūra tiek klasificēta ārpus vispārējās valdības. Tomēr izmaiņas krājumu cenā nevajadzētu atspoguļot subjekta pašu kapitāla vērtībā (t. i., tās nevajadzētu atspoguļot valdības aktīva cenā), jo saskaņā ar definīciju attiecībā uz valdību šāda peļņa un zaudējumi neuzkrājas, bet gan tos pēc tam nodod ES vai arī kompensēs ar ES subsīdijām. Tādējādi būtībā peļņa un zaudējumi vispirms nozīmētu, ka ES vajadzētu būt konkrētiem kreditoru/debitoru parādiem, kā rezultātā institūcijas pašu līdzekļiem būtu jāpaliek bez izmaiņām.</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EKS noteikts, ka </w:t>
      </w:r>
      <w:r>
        <w:rPr>
          <w:rFonts w:ascii="Times New Roman" w:hAnsi="Times New Roman"/>
          <w:i/>
          <w:noProof/>
          <w:sz w:val="24"/>
        </w:rPr>
        <w:t>pašu līdzekļi</w:t>
      </w:r>
      <w:r>
        <w:rPr>
          <w:rFonts w:ascii="Times New Roman" w:hAnsi="Times New Roman"/>
          <w:noProof/>
          <w:sz w:val="24"/>
        </w:rPr>
        <w:t xml:space="preserve"> ir vienību neto aktīvi, kuros nav iekļautas pašu kapitāla saistības, turpretī </w:t>
      </w:r>
      <w:r>
        <w:rPr>
          <w:rFonts w:ascii="Times New Roman" w:hAnsi="Times New Roman"/>
          <w:i/>
          <w:noProof/>
          <w:sz w:val="24"/>
        </w:rPr>
        <w:t>neto vērtība</w:t>
      </w:r>
      <w:r>
        <w:rPr>
          <w:rFonts w:ascii="Times New Roman" w:hAnsi="Times New Roman"/>
          <w:noProof/>
          <w:sz w:val="24"/>
        </w:rPr>
        <w:t xml:space="preserve"> ir vienību neto aktīvi, kuros ir iekļautas pašu kapitāla saistības. Līdz ar to </w:t>
      </w:r>
      <w:r>
        <w:rPr>
          <w:rFonts w:ascii="Times New Roman" w:hAnsi="Times New Roman"/>
          <w:i/>
          <w:noProof/>
          <w:sz w:val="24"/>
        </w:rPr>
        <w:t>neto vērtību</w:t>
      </w:r>
      <w:r>
        <w:rPr>
          <w:rFonts w:ascii="Times New Roman" w:hAnsi="Times New Roman"/>
          <w:noProof/>
          <w:sz w:val="24"/>
        </w:rPr>
        <w:t xml:space="preserve"> iegūst, ja no </w:t>
      </w:r>
      <w:r>
        <w:rPr>
          <w:rFonts w:ascii="Times New Roman" w:hAnsi="Times New Roman"/>
          <w:i/>
          <w:noProof/>
          <w:sz w:val="24"/>
        </w:rPr>
        <w:t>pašu līdzekļu</w:t>
      </w:r>
      <w:r>
        <w:rPr>
          <w:rFonts w:ascii="Times New Roman" w:hAnsi="Times New Roman"/>
          <w:noProof/>
          <w:sz w:val="24"/>
        </w:rPr>
        <w:t xml:space="preserve"> vērtības atņem pašu kapitāla saistību vērtību (t.i., emitēto pašu kapitālu). Sk. EKS 2010 7.02. un 7.06. punktu. Līdz ar to EKS neto vērtību nedrīkst jaukt ar daļu turētāju pašu kapitāla vai neto vērtības jēdzienu, kurš tiek piemērots uzņēmumu grāmatvedībā. Faktiski uzņēmumu grāmatvedībā piemērotais neto vērtības jēdziens vairāk atbilst EKS piemērotajam pašu līdzekļu jēdzienam.</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Tomēr kopumā kreditoru/debitoru parādu atspoguļošanas laiks izriet</w:t>
      </w:r>
      <w:r w:rsidR="008E1226">
        <w:rPr>
          <w:rFonts w:ascii="Times New Roman" w:hAnsi="Times New Roman"/>
          <w:noProof/>
          <w:sz w:val="24"/>
        </w:rPr>
        <w:t xml:space="preserve"> arī no laika, kad ir ierakstīta</w:t>
      </w:r>
      <w:r>
        <w:rPr>
          <w:rFonts w:ascii="Times New Roman" w:hAnsi="Times New Roman"/>
          <w:noProof/>
          <w:sz w:val="24"/>
        </w:rPr>
        <w:t xml:space="preserve"> subsīdija, kuras uzskaite ir īpaši reglamentēta EKS.</w:t>
      </w:r>
    </w:p>
    <w:p w:rsidR="00073FEC" w:rsidRPr="001973D0" w:rsidRDefault="008E1226"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Šis subsīdiju ierakstīšanas</w:t>
      </w:r>
      <w:r w:rsidR="00073FEC">
        <w:rPr>
          <w:rFonts w:ascii="Times New Roman" w:hAnsi="Times New Roman"/>
          <w:noProof/>
          <w:sz w:val="24"/>
        </w:rPr>
        <w:t xml:space="preserve"> laiks visticamāk ietekmēs aģentūras pašu līdzekļus. Tomēr būtībā tam nevajadzētu ietekmēt aģentūras pašu kapitāla vērtību. Ja pati aģentūra ir jāpārdod, tās novērtējums nebūs atkarīgs no tās krājumu vērtības, jo ES ir pienākums segt zaudējumus, tiklīdz tie radīsies, un arī aģentūrai ir pienākums atdot peļņu ES.</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Attiecīgi peļņai un zaudējumiem no krājumiem visos gadījumos (nosacīta vienība vai kvazisabiedrība) ir jābūt neitrāliem attiecībā uz vispārējās valdības neto vērtību, pat ja tie ir neitrāli arī attiecībā uz ES neto vērtību (kvazisabiedrība). Tādējādi turēšanas guvumi un zaudējumi no tirgus regulatīvās aģentūras krājumiem ietekmē tikai nefinanšu sabiedrību (S.11) neto vērtību, kamēr tiek gaidīta ar debitoru/kreditoru parādiem saistītās subsīdijas atzīšana.</w:t>
      </w:r>
    </w:p>
    <w:p w:rsidR="00073FEC" w:rsidRPr="00274C6B"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Tomēr tas nozīmē, ka kvazisabiedrības pašu kapitāla novērtējumam ir jāatbilst finansējumam, kas sniegts līdz tam, un tā vērtība nevar būt vienāda tās pašu līdzekļiem; tādējādi vienības neto vērtība būs vai nu pozitīva, vai negatīva, lai gan tikai īsos laika posmos, nerealizētās vai neatzītās un līdz ar to vēl nekompensētās vai ES neatdotās peļņas un zaudējumu no krājumiem dēļ. Šādas atkāpes tomēr var uzskatīt par pamatotu tuvinājumu saskaņā ar vienošanos, atbilstoši kurai kvazisabiedrības neto vērtībai jābūt vienādai ar nulli (EKS 2010 7.09. punkts).</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rPr>
          <w:rFonts w:ascii="Times New Roman" w:hAnsi="Times New Roman"/>
          <w:noProof/>
          <w:sz w:val="24"/>
        </w:rPr>
      </w:pPr>
      <w:bookmarkStart w:id="51" w:name="I.4.3.5_Valuation_of_transactions_in_inv"/>
      <w:bookmarkEnd w:id="51"/>
      <w:r>
        <w:rPr>
          <w:rFonts w:ascii="Times New Roman" w:hAnsi="Times New Roman"/>
          <w:noProof/>
          <w:sz w:val="24"/>
        </w:rPr>
        <w:t>I.4.3.5. Darījumu ar krājumiem novērtēšana</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Saistībā ar nosacītām vai kvazisabiedrības vienībām ar tirgus intervencēm saistītie darījum</w:t>
      </w:r>
      <w:r w:rsidR="008E1226">
        <w:rPr>
          <w:rFonts w:ascii="Times New Roman" w:hAnsi="Times New Roman"/>
          <w:noProof/>
          <w:sz w:val="24"/>
        </w:rPr>
        <w:t>i nacionālajos kontos jāieraksta</w:t>
      </w:r>
      <w:r>
        <w:rPr>
          <w:rFonts w:ascii="Times New Roman" w:hAnsi="Times New Roman"/>
          <w:noProof/>
          <w:sz w:val="24"/>
        </w:rPr>
        <w:t>, piemērojot EKS 2010 4.33. un 4.35. punktu. Šie EKS punkti joprojām būtu piemērojami attiecībā uz nosacīto vai kvazisabiedrību vienību gadījumiem.</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Tālākpārdošanas darījuma vērtībā jāiekļauj ES subsīdija. Tādējādi izmaiņas krājumos ar laiku mēdz kompensēties. ES veiktā atmaksa atbilst starpībai starp pirkuma un tālākpārdevuma cenām, un nacionālajos kontos to atspoguļo kā ES izmaksātās subsīdijas.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rPr>
          <w:rFonts w:ascii="Times New Roman" w:hAnsi="Times New Roman"/>
          <w:noProof/>
          <w:sz w:val="24"/>
        </w:rPr>
      </w:pPr>
      <w:bookmarkStart w:id="52" w:name="I.4.3.6_Accounting_treatment_in_the_fina"/>
      <w:bookmarkEnd w:id="52"/>
      <w:r>
        <w:rPr>
          <w:rFonts w:ascii="Times New Roman" w:hAnsi="Times New Roman"/>
          <w:noProof/>
          <w:sz w:val="24"/>
        </w:rPr>
        <w:t>I.4.3.6. Grāmatvedības traktējums finanšu kontos</w:t>
      </w:r>
    </w:p>
    <w:p w:rsidR="00073FEC" w:rsidRPr="001973D0" w:rsidRDefault="00073FEC" w:rsidP="00073FEC">
      <w:pPr>
        <w:pStyle w:val="Heading6"/>
        <w:tabs>
          <w:tab w:val="left" w:pos="2016"/>
        </w:tabs>
        <w:rPr>
          <w:rFonts w:ascii="Times New Roman" w:hAnsi="Times New Roman"/>
          <w:noProof/>
          <w:sz w:val="24"/>
        </w:rPr>
      </w:pP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Turpmāk ir izklāstīts tas</w:t>
      </w:r>
      <w:r w:rsidR="008E1226">
        <w:rPr>
          <w:rFonts w:ascii="Times New Roman" w:hAnsi="Times New Roman"/>
          <w:noProof/>
          <w:sz w:val="24"/>
        </w:rPr>
        <w:t>, kā finanšu kontos ierakstāma</w:t>
      </w:r>
      <w:r>
        <w:rPr>
          <w:rFonts w:ascii="Times New Roman" w:hAnsi="Times New Roman"/>
          <w:noProof/>
          <w:sz w:val="24"/>
        </w:rPr>
        <w:t xml:space="preserve"> saistība starp nosacītu vai kvazisabiedrības vienību, no vienas puses, un ES un/vai valdību, no otras puses.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Ja piemēro </w:t>
      </w:r>
      <w:r>
        <w:rPr>
          <w:rFonts w:ascii="Times New Roman" w:hAnsi="Times New Roman"/>
          <w:b/>
          <w:noProof/>
          <w:sz w:val="24"/>
        </w:rPr>
        <w:t>nosacītas vienības pieeju</w:t>
      </w:r>
      <w:r w:rsidR="008E1226">
        <w:rPr>
          <w:rFonts w:ascii="Times New Roman" w:hAnsi="Times New Roman"/>
          <w:noProof/>
          <w:sz w:val="24"/>
        </w:rPr>
        <w:t>, ierakstīšanu veic šādi: ieraksta</w:t>
      </w:r>
      <w:r>
        <w:rPr>
          <w:rFonts w:ascii="Times New Roman" w:hAnsi="Times New Roman"/>
          <w:noProof/>
          <w:sz w:val="24"/>
        </w:rPr>
        <w:t xml:space="preserve"> ES pašu kapitāla iegādi (F.5), kam jāatbilst ES aizņēmumam (F.4) no subjekta, kurš finansē tirgu regulējošās aģentūras (kas nereti ir pati valdība). Tas nozīmētu pašreizējās uzskaites mainīšanu pārējās pasaules finanšu kontos.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Ja piemēro </w:t>
      </w:r>
      <w:r>
        <w:rPr>
          <w:rFonts w:ascii="Times New Roman" w:hAnsi="Times New Roman"/>
          <w:b/>
          <w:noProof/>
          <w:sz w:val="24"/>
        </w:rPr>
        <w:t>kvazisabiedrības pieeju</w:t>
      </w:r>
      <w:r>
        <w:rPr>
          <w:rFonts w:ascii="Times New Roman" w:hAnsi="Times New Roman"/>
          <w:noProof/>
          <w:sz w:val="24"/>
        </w:rPr>
        <w:t>, pārējās pasaules kontos ierakstus neveic, jo darījumiem ar pašu kapitālu kvazisabiedrības saistību pusē ir ekvivalents ieraksts valdības kontos.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Tādējādi abos gadījumos neto izmaiņas krājumos, kurus </w:t>
      </w:r>
      <w:r>
        <w:rPr>
          <w:rFonts w:ascii="Times New Roman" w:hAnsi="Times New Roman"/>
          <w:i/>
          <w:noProof/>
          <w:sz w:val="24"/>
        </w:rPr>
        <w:t>de facto</w:t>
      </w:r>
      <w:r>
        <w:rPr>
          <w:rFonts w:ascii="Times New Roman" w:hAnsi="Times New Roman"/>
          <w:noProof/>
          <w:sz w:val="24"/>
        </w:rPr>
        <w:t xml:space="preserve"> finansējis valdības sektorā esošs subjekts (aizņemoties no trešām pusēm vai izmantojot savus </w:t>
      </w:r>
      <w:r w:rsidR="00AA1194">
        <w:rPr>
          <w:rFonts w:ascii="Times New Roman" w:hAnsi="Times New Roman"/>
          <w:noProof/>
          <w:sz w:val="24"/>
        </w:rPr>
        <w:t>apgrozāmos līdzekļus), ieraksta</w:t>
      </w:r>
      <w:r>
        <w:rPr>
          <w:rFonts w:ascii="Times New Roman" w:hAnsi="Times New Roman"/>
          <w:noProof/>
          <w:sz w:val="24"/>
        </w:rPr>
        <w:t xml:space="preserve"> vispārējās valdības finanšu kontos, nevis nefinanšu kontos, kā citkārt būtu jārīkojas šajā gadījumā (saskaņā ar izmaiņām krājumos – P.52), vai nu kā darījumu ar pašu kapitālu (F.5 – kvazisabiedrības gadījumā) vai kā aizdevumus ES (F.4 – nosacītas vienības gadījumā).</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Teorētiska nosacītas vienības priekšrocība salīdzinājumā ar kvazisabiedrību ir ES patieso ekonomisko īpašumtiesību atspoguļošana. Tomēr galvenais nosacītas vienības pieejas trūkums ir tas, ka ieraksti jāveic pārējās pasaules (</w:t>
      </w:r>
      <w:r>
        <w:rPr>
          <w:rFonts w:ascii="Times New Roman" w:hAnsi="Times New Roman"/>
          <w:i/>
          <w:noProof/>
          <w:sz w:val="24"/>
        </w:rPr>
        <w:t>RoW</w:t>
      </w:r>
      <w:r>
        <w:rPr>
          <w:rFonts w:ascii="Times New Roman" w:hAnsi="Times New Roman"/>
          <w:noProof/>
          <w:sz w:val="24"/>
        </w:rPr>
        <w:t>) finanšu kontos, kuri pat nepastāv, ja regulējošās institūcijas vienību vispirms klasificē ārpus vispārējās valdības. Tādējādi šķiet, ka nosacītas rezidentvienības pieeja rada acīmredzami nevienlīdzīgu traktējumu starp tām tirgu regulējošajām institūcijām, kuras ir klasificētas vispārējā valdībā, un tām tirgu regulējošajām institūcijām, kuras ir klasificētas ārpus vispārējās valdības. Tas, šķiet, ir pretrunā nepieciešamībai nodrošināt vienveidīgu traktējumu visās ES dalībvalstīs.</w:t>
      </w:r>
    </w:p>
    <w:p w:rsidR="00073FEC" w:rsidRPr="001973D0" w:rsidRDefault="00073FEC" w:rsidP="00073FEC">
      <w:pPr>
        <w:pStyle w:val="BodyText"/>
        <w:numPr>
          <w:ilvl w:val="0"/>
          <w:numId w:val="25"/>
        </w:numPr>
        <w:tabs>
          <w:tab w:val="left" w:pos="1242"/>
        </w:tabs>
        <w:spacing w:before="0"/>
        <w:ind w:left="709" w:hanging="709"/>
        <w:jc w:val="both"/>
        <w:rPr>
          <w:rFonts w:ascii="Times New Roman" w:hAnsi="Times New Roman"/>
          <w:noProof/>
          <w:sz w:val="24"/>
        </w:rPr>
      </w:pPr>
      <w:r>
        <w:rPr>
          <w:rFonts w:ascii="Times New Roman" w:hAnsi="Times New Roman"/>
          <w:noProof/>
          <w:sz w:val="24"/>
        </w:rPr>
        <w:t>Turklāt ar subsīdijām vēl nesegtu krājumu tirgus vērtības izmaiņu ietekme visticamāk būs maza un īslaicīga un pēc noteikta laika vidēji būs vienāda ar nulli. Šajā saistībā var būt apšaubāms, vai ir lietderīgi piesaistīt ES valsts aizdevumu un vienlaikus ES finansēt krājumus.</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Visbeidzot ir jāatgādina, ka tādas uzskaites stingra ievērošana, kas atspoguļo ekonomisko īpašumtiesību maiņu, netieši nozīmē importa un eksporta uzskaiti, kas netiek uzskatīta par īpaši lietderīgu analīzes vajadzībām (maksājumu bilances nolūkiem). Tomēr var norādīt, ka abas iespējas vienādi ietekmē valdības neto aizdevumu/aizņēmumu un parādu.</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56"/>
        </w:tabs>
        <w:rPr>
          <w:rFonts w:ascii="Times New Roman" w:hAnsi="Times New Roman"/>
          <w:noProof/>
          <w:sz w:val="24"/>
        </w:rPr>
      </w:pPr>
      <w:bookmarkStart w:id="53" w:name="I.4.3.7_&amp;quot;Shell&amp;quot;_treatment"/>
      <w:bookmarkEnd w:id="53"/>
      <w:r>
        <w:rPr>
          <w:rFonts w:ascii="Times New Roman" w:hAnsi="Times New Roman"/>
          <w:noProof/>
          <w:sz w:val="24"/>
        </w:rPr>
        <w:t>I.4.3.7. “Čaulas” traktējums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Gadījumos, kad nosacītu vienību vai kvazisabiedrību uzskata par “čaulu”, nacionālajos kontos vienkāršības labad pieņem, ka tā tikai tur krājumus un kārto darījumus ar tiem, finanšu kontos veicot atbilstošu ierakstu: pašu kapitāla saistības. “Čaulas” pieeja noz</w:t>
      </w:r>
      <w:r w:rsidR="00AA1194">
        <w:rPr>
          <w:rFonts w:ascii="Times New Roman" w:hAnsi="Times New Roman"/>
          <w:noProof/>
          <w:sz w:val="24"/>
        </w:rPr>
        <w:t>īmē arī to, ka netiks ierakstīta</w:t>
      </w:r>
      <w:r>
        <w:rPr>
          <w:rFonts w:ascii="Times New Roman" w:hAnsi="Times New Roman"/>
          <w:noProof/>
          <w:sz w:val="24"/>
        </w:rPr>
        <w:t xml:space="preserve"> nekāda atkārtoti ieguldītā peļņa.</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Pastāv arī cita iespēja, proti, šīs vienības var uzskatīt par pilnīgākiem subjektiem, atspoguļojot pilnīgāku nacionālo kontu secību, piemēram, iegūstot peļņu un radot izmaksas.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56"/>
        </w:tabs>
        <w:rPr>
          <w:rFonts w:ascii="Times New Roman" w:hAnsi="Times New Roman"/>
          <w:noProof/>
          <w:sz w:val="24"/>
        </w:rPr>
      </w:pPr>
      <w:bookmarkStart w:id="54" w:name="I.4.3.8_Time_of_recording_of_the_subsidy"/>
      <w:bookmarkEnd w:id="54"/>
      <w:r>
        <w:rPr>
          <w:rFonts w:ascii="Times New Roman" w:hAnsi="Times New Roman"/>
          <w:noProof/>
          <w:sz w:val="24"/>
        </w:rPr>
        <w:t>I.</w:t>
      </w:r>
      <w:r w:rsidR="00AA1194">
        <w:rPr>
          <w:rFonts w:ascii="Times New Roman" w:hAnsi="Times New Roman"/>
          <w:noProof/>
          <w:sz w:val="24"/>
        </w:rPr>
        <w:t>4.3.8. Subsīdijas ierakstīšanas</w:t>
      </w:r>
      <w:r>
        <w:rPr>
          <w:rFonts w:ascii="Times New Roman" w:hAnsi="Times New Roman"/>
          <w:noProof/>
          <w:sz w:val="24"/>
        </w:rPr>
        <w:t xml:space="preserve"> laiks</w:t>
      </w:r>
    </w:p>
    <w:p w:rsidR="00073FEC" w:rsidRPr="001973D0" w:rsidRDefault="00073FEC" w:rsidP="00073FEC">
      <w:pPr>
        <w:pStyle w:val="Heading6"/>
        <w:tabs>
          <w:tab w:val="left" w:pos="2056"/>
        </w:tabs>
        <w:rPr>
          <w:rFonts w:ascii="Times New Roman" w:hAnsi="Times New Roman"/>
          <w:noProof/>
          <w:sz w:val="24"/>
        </w:rPr>
      </w:pPr>
    </w:p>
    <w:p w:rsidR="00073FEC" w:rsidRPr="001973D0" w:rsidRDefault="00073FEC" w:rsidP="00073FEC">
      <w:pPr>
        <w:numPr>
          <w:ilvl w:val="0"/>
          <w:numId w:val="25"/>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EKS 2010 4.39. punkta a) apakšpunktā ir noteikts, ka “</w:t>
      </w:r>
      <w:r>
        <w:rPr>
          <w:rFonts w:ascii="Times New Roman" w:hAnsi="Times New Roman"/>
          <w:i/>
          <w:noProof/>
          <w:sz w:val="24"/>
        </w:rPr>
        <w:t xml:space="preserve">subsīdijas, kas veidojas kā starpība starp pirkuma cenu un valdības noteikto pārdošanas cenu, ieraksta tad, kad </w:t>
      </w:r>
      <w:r>
        <w:rPr>
          <w:rFonts w:ascii="Times New Roman" w:hAnsi="Times New Roman"/>
          <w:i/>
          <w:noProof/>
          <w:sz w:val="24"/>
        </w:rPr>
        <w:lastRenderedPageBreak/>
        <w:t>aģentūra preces nopērk</w:t>
      </w:r>
      <w:r>
        <w:rPr>
          <w:rFonts w:ascii="Times New Roman" w:hAnsi="Times New Roman"/>
          <w:noProof/>
          <w:sz w:val="24"/>
        </w:rPr>
        <w:t>”.</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Ja laika posmā </w:t>
      </w:r>
      <w:r>
        <w:rPr>
          <w:rFonts w:ascii="Times New Roman" w:hAnsi="Times New Roman"/>
          <w:i/>
          <w:noProof/>
          <w:sz w:val="24"/>
        </w:rPr>
        <w:t>T</w:t>
      </w:r>
      <w:r>
        <w:rPr>
          <w:rFonts w:ascii="Times New Roman" w:hAnsi="Times New Roman"/>
          <w:noProof/>
          <w:sz w:val="24"/>
        </w:rPr>
        <w:t xml:space="preserve"> aģentūra pērk produktu par 120 un laika posmā </w:t>
      </w:r>
      <w:r>
        <w:rPr>
          <w:rFonts w:ascii="Times New Roman" w:hAnsi="Times New Roman"/>
          <w:i/>
          <w:noProof/>
          <w:sz w:val="24"/>
        </w:rPr>
        <w:t>T+1</w:t>
      </w:r>
      <w:r>
        <w:rPr>
          <w:rFonts w:ascii="Times New Roman" w:hAnsi="Times New Roman"/>
          <w:noProof/>
          <w:sz w:val="24"/>
        </w:rPr>
        <w:t xml:space="preserve"> pārdod to tālāk par 100, subsīdij</w:t>
      </w:r>
      <w:r w:rsidR="00AA1194">
        <w:rPr>
          <w:rFonts w:ascii="Times New Roman" w:hAnsi="Times New Roman"/>
          <w:noProof/>
          <w:sz w:val="24"/>
        </w:rPr>
        <w:t>u attiecībā uz produktu ieraksta</w:t>
      </w:r>
      <w:r>
        <w:rPr>
          <w:rFonts w:ascii="Times New Roman" w:hAnsi="Times New Roman"/>
          <w:noProof/>
          <w:sz w:val="24"/>
        </w:rPr>
        <w:t xml:space="preserve"> laika posmā </w:t>
      </w:r>
      <w:r>
        <w:rPr>
          <w:rFonts w:ascii="Times New Roman" w:hAnsi="Times New Roman"/>
          <w:i/>
          <w:noProof/>
          <w:sz w:val="24"/>
        </w:rPr>
        <w:t>T</w:t>
      </w:r>
      <w:r>
        <w:rPr>
          <w:rFonts w:ascii="Times New Roman" w:hAnsi="Times New Roman"/>
          <w:noProof/>
          <w:sz w:val="24"/>
        </w:rPr>
        <w:t xml:space="preserve">. Tādā gadījumā laika posmā </w:t>
      </w:r>
      <w:r>
        <w:rPr>
          <w:rFonts w:ascii="Times New Roman" w:hAnsi="Times New Roman"/>
          <w:i/>
          <w:noProof/>
          <w:sz w:val="24"/>
        </w:rPr>
        <w:t>T</w:t>
      </w:r>
      <w:r>
        <w:rPr>
          <w:rFonts w:ascii="Times New Roman" w:hAnsi="Times New Roman"/>
          <w:noProof/>
          <w:sz w:val="24"/>
        </w:rPr>
        <w:t xml:space="preserve"> lauksaimnieku (S14/S11) produkcijas cena ir 120, IKP ir 100, bet pārmaiņas krājumos ir +100. Laika posmā </w:t>
      </w:r>
      <w:r>
        <w:rPr>
          <w:rFonts w:ascii="Times New Roman" w:hAnsi="Times New Roman"/>
          <w:i/>
          <w:noProof/>
          <w:sz w:val="24"/>
        </w:rPr>
        <w:t>T+1</w:t>
      </w:r>
      <w:r>
        <w:rPr>
          <w:rFonts w:ascii="Times New Roman" w:hAnsi="Times New Roman"/>
          <w:noProof/>
          <w:sz w:val="24"/>
        </w:rPr>
        <w:t xml:space="preserve"> lauksaimnieku produkcijas izlaide ir 0, IKP ir 0, gala patēriņš ir 100 un izmaiņas krājumos ir -100.</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Taču EKS 2010 4.39. punkta a) apakšpunktā konkrēti norādīts: “</w:t>
      </w:r>
      <w:r>
        <w:rPr>
          <w:rFonts w:ascii="Times New Roman" w:hAnsi="Times New Roman"/>
          <w:i/>
          <w:noProof/>
          <w:sz w:val="24"/>
        </w:rPr>
        <w:t>ja pārdošanas cena ir zināma tajā laikā</w:t>
      </w:r>
      <w:r>
        <w:rPr>
          <w:rFonts w:ascii="Times New Roman" w:hAnsi="Times New Roman"/>
          <w:noProof/>
          <w:sz w:val="24"/>
        </w:rPr>
        <w:t xml:space="preserve">”, un tieši tas ir jāizskaidro. Tālākpārdošanas cena </w:t>
      </w:r>
      <w:r>
        <w:rPr>
          <w:rFonts w:ascii="Times New Roman" w:hAnsi="Times New Roman"/>
          <w:i/>
          <w:noProof/>
          <w:sz w:val="24"/>
        </w:rPr>
        <w:t>a priori</w:t>
      </w:r>
      <w:r>
        <w:rPr>
          <w:rFonts w:ascii="Times New Roman" w:hAnsi="Times New Roman"/>
          <w:noProof/>
          <w:sz w:val="24"/>
        </w:rPr>
        <w:t xml:space="preserve"> kopumā nav iepriekš zināma. Taču paredzamā cena var būt zināma; pieņemsim, ka minētajā piemērā tā bija 106. Tādā gadījumā vienīgais neparedzētais elements ir 6 (=20-14).</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Iepriekš minētā atsauce uz EKS 2010 iekļauta ar nolūku ir izvairīties no turēšanas guvumu/zaudējumu iekļaušanas ražošanas kontā. Produkcijā vajadzētu iekļaut tikai to daļu, kuru shēmā ir paredzēts finansēt. Taču vienlaikus lauksaimniecības tirgu regulējošu aģentūru gadījumā lauksaimnieki vai aģentūra neuzņemsies nekādu turēšanas guvumu un zaudējumus, proti, visas cenu izmaiņas beigās uzņemsies ES.</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Visbeidzot, preču pārdošanas cena līdz </w:t>
      </w:r>
      <w:r>
        <w:rPr>
          <w:rFonts w:ascii="Times New Roman" w:hAnsi="Times New Roman"/>
          <w:i/>
          <w:noProof/>
          <w:sz w:val="24"/>
        </w:rPr>
        <w:t>T</w:t>
      </w:r>
      <w:r>
        <w:rPr>
          <w:rFonts w:ascii="Times New Roman" w:hAnsi="Times New Roman"/>
          <w:noProof/>
          <w:sz w:val="24"/>
        </w:rPr>
        <w:t xml:space="preserve"> gada beigām var būt nokritusies līdz 102. Tā bū</w:t>
      </w:r>
      <w:r w:rsidR="00AA1194">
        <w:rPr>
          <w:rFonts w:ascii="Times New Roman" w:hAnsi="Times New Roman"/>
          <w:noProof/>
          <w:sz w:val="24"/>
        </w:rPr>
        <w:t>s krājumu vērtība, kuru ieraksta</w:t>
      </w:r>
      <w:r>
        <w:rPr>
          <w:rFonts w:ascii="Times New Roman" w:hAnsi="Times New Roman"/>
          <w:noProof/>
          <w:sz w:val="24"/>
        </w:rPr>
        <w:t xml:space="preserve"> bilancē laika posma </w:t>
      </w:r>
      <w:r>
        <w:rPr>
          <w:rFonts w:ascii="Times New Roman" w:hAnsi="Times New Roman"/>
          <w:i/>
          <w:noProof/>
          <w:sz w:val="24"/>
        </w:rPr>
        <w:t>T</w:t>
      </w:r>
      <w:r>
        <w:rPr>
          <w:rFonts w:ascii="Times New Roman" w:hAnsi="Times New Roman"/>
          <w:noProof/>
          <w:sz w:val="24"/>
        </w:rPr>
        <w:t xml:space="preserve"> beigās.</w:t>
      </w:r>
    </w:p>
    <w:p w:rsidR="00073FEC" w:rsidRPr="001973D0" w:rsidRDefault="00073FEC" w:rsidP="00073FEC">
      <w:pPr>
        <w:pStyle w:val="BodyText"/>
        <w:numPr>
          <w:ilvl w:val="0"/>
          <w:numId w:val="25"/>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Ja EKS 2010 4.39. punkta a) apakšpunkts attiecināms arī uz gadījumiem, kuros pārdošanas cena būs zināma tikai nākamajā periodā, tad aģentūra kā subsīdiju </w:t>
      </w:r>
      <w:r>
        <w:rPr>
          <w:rFonts w:ascii="Times New Roman" w:hAnsi="Times New Roman"/>
          <w:i/>
          <w:noProof/>
          <w:sz w:val="24"/>
        </w:rPr>
        <w:t>T</w:t>
      </w:r>
      <w:r>
        <w:rPr>
          <w:rFonts w:ascii="Times New Roman" w:hAnsi="Times New Roman"/>
          <w:noProof/>
          <w:sz w:val="24"/>
        </w:rPr>
        <w:t xml:space="preserve"> periodā (līdztekus deb</w:t>
      </w:r>
      <w:r w:rsidR="00AA1194">
        <w:rPr>
          <w:rFonts w:ascii="Times New Roman" w:hAnsi="Times New Roman"/>
          <w:noProof/>
          <w:sz w:val="24"/>
        </w:rPr>
        <w:t>itora parāda iegūšanai) ieraksta</w:t>
      </w:r>
      <w:r>
        <w:rPr>
          <w:rFonts w:ascii="Times New Roman" w:hAnsi="Times New Roman"/>
          <w:noProof/>
          <w:sz w:val="24"/>
        </w:rPr>
        <w:t xml:space="preserve"> kādu no šīm summām:</w:t>
      </w:r>
    </w:p>
    <w:p w:rsidR="00073FEC"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1. risinājums – faktisko </w:t>
      </w:r>
      <w:r>
        <w:rPr>
          <w:rFonts w:ascii="Times New Roman" w:hAnsi="Times New Roman"/>
          <w:i/>
          <w:noProof/>
          <w:sz w:val="24"/>
        </w:rPr>
        <w:t>T+1</w:t>
      </w:r>
      <w:r>
        <w:rPr>
          <w:rFonts w:ascii="Times New Roman" w:hAnsi="Times New Roman"/>
          <w:noProof/>
          <w:sz w:val="24"/>
        </w:rPr>
        <w:t xml:space="preserve"> periodā novēroto summu (20);</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 xml:space="preserve">2. risinājums – gaidāmo </w:t>
      </w:r>
      <w:r>
        <w:rPr>
          <w:rFonts w:ascii="Times New Roman" w:hAnsi="Times New Roman"/>
          <w:i/>
          <w:noProof/>
          <w:sz w:val="24"/>
        </w:rPr>
        <w:t>T</w:t>
      </w:r>
      <w:r>
        <w:rPr>
          <w:rFonts w:ascii="Times New Roman" w:hAnsi="Times New Roman"/>
          <w:noProof/>
          <w:sz w:val="24"/>
        </w:rPr>
        <w:t xml:space="preserve"> periodā novēroto summu (14);</w:t>
      </w:r>
    </w:p>
    <w:p w:rsidR="00073FEC" w:rsidRPr="001973D0"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3. risinājums – summu, kas atspoguļo gada beigās novēroto tirgus cenu (18).</w:t>
      </w:r>
    </w:p>
    <w:p w:rsidR="00073FEC" w:rsidRPr="001973D0" w:rsidRDefault="00073FEC" w:rsidP="00073FEC">
      <w:pPr>
        <w:pStyle w:val="BodyText"/>
        <w:numPr>
          <w:ilvl w:val="0"/>
          <w:numId w:val="25"/>
        </w:numPr>
        <w:tabs>
          <w:tab w:val="left" w:pos="1240"/>
        </w:tabs>
        <w:spacing w:before="0"/>
        <w:ind w:left="709" w:hanging="709"/>
        <w:jc w:val="both"/>
        <w:rPr>
          <w:rFonts w:ascii="Times New Roman" w:hAnsi="Times New Roman"/>
          <w:noProof/>
          <w:sz w:val="24"/>
        </w:rPr>
      </w:pPr>
      <w:r>
        <w:rPr>
          <w:rFonts w:ascii="Times New Roman" w:hAnsi="Times New Roman"/>
          <w:noProof/>
          <w:sz w:val="24"/>
        </w:rPr>
        <w:t xml:space="preserve">Pirmā risinājuma (1.) gadījumā uzskaite ir vienkārša, taču tā nozīmē, ka dati jāpārskata, tiklīdz informācija kļūst pakāpeniski pieejama (jo īpaši attiecībā uz ceturkšņa datiem). Otrā (2.) un trešā (3.) risinājuma gadījumā rodas jautājums par </w:t>
      </w:r>
      <w:r>
        <w:rPr>
          <w:rFonts w:ascii="Times New Roman" w:hAnsi="Times New Roman"/>
          <w:i/>
          <w:noProof/>
          <w:sz w:val="24"/>
        </w:rPr>
        <w:t>T+1</w:t>
      </w:r>
      <w:r w:rsidR="00AA1194">
        <w:rPr>
          <w:rFonts w:ascii="Times New Roman" w:hAnsi="Times New Roman"/>
          <w:noProof/>
          <w:sz w:val="24"/>
        </w:rPr>
        <w:t xml:space="preserve"> perioda starpības ierakstīšanu, proti, vai tā ierakstāma</w:t>
      </w:r>
      <w:r>
        <w:rPr>
          <w:rFonts w:ascii="Times New Roman" w:hAnsi="Times New Roman"/>
          <w:noProof/>
          <w:sz w:val="24"/>
        </w:rPr>
        <w:t xml:space="preserve"> kā 6 (=20-14), vai arī kā 2 (=20-18). Viena pieeja ir iekļaut šīs plūsmas finanšu kontu pārvērtēša</w:t>
      </w:r>
      <w:r w:rsidR="00AA1194">
        <w:rPr>
          <w:rFonts w:ascii="Times New Roman" w:hAnsi="Times New Roman"/>
          <w:noProof/>
          <w:sz w:val="24"/>
        </w:rPr>
        <w:t>nas kontos (tādējādi ierakstot</w:t>
      </w:r>
      <w:r>
        <w:rPr>
          <w:rFonts w:ascii="Times New Roman" w:hAnsi="Times New Roman"/>
          <w:noProof/>
          <w:sz w:val="24"/>
        </w:rPr>
        <w:t xml:space="preserve"> subsīdijas kā paredzamās subsīdijas), kas šķiet sarežģīti. Saskaņā ar citu pieeju ražošanas subsīdiju </w:t>
      </w:r>
      <w:r>
        <w:rPr>
          <w:rFonts w:ascii="Times New Roman" w:hAnsi="Times New Roman"/>
          <w:i/>
          <w:noProof/>
          <w:sz w:val="24"/>
        </w:rPr>
        <w:t>T+1</w:t>
      </w:r>
      <w:r w:rsidR="00AA1194">
        <w:rPr>
          <w:rFonts w:ascii="Times New Roman" w:hAnsi="Times New Roman"/>
          <w:noProof/>
          <w:sz w:val="24"/>
        </w:rPr>
        <w:t xml:space="preserve"> periodā var ierakstīt</w:t>
      </w:r>
      <w:r>
        <w:rPr>
          <w:rFonts w:ascii="Times New Roman" w:hAnsi="Times New Roman"/>
          <w:noProof/>
          <w:sz w:val="24"/>
        </w:rPr>
        <w:t xml:space="preserve"> attiecībā uz atlikumu (kas var būt pozitīvs vai negatīvs), saskaņojot to ar ierakstu par izmaiņām krājumos (lai gan tas var šķist samāksloti). Šādi rīkojoties, 2. risinājuma gadījumā ieraksts pārvērtēšanas kontā attiecībā uz nefinanšu aktīviem parādās (+4=6-(20-18)=(20-14)-(20-18)=18-14)) </w:t>
      </w:r>
      <w:r>
        <w:rPr>
          <w:rFonts w:ascii="Times New Roman" w:hAnsi="Times New Roman"/>
          <w:i/>
          <w:noProof/>
          <w:sz w:val="24"/>
        </w:rPr>
        <w:t>T+1</w:t>
      </w:r>
      <w:r>
        <w:rPr>
          <w:rFonts w:ascii="Times New Roman" w:hAnsi="Times New Roman"/>
          <w:noProof/>
          <w:sz w:val="24"/>
        </w:rPr>
        <w:t xml:space="preserve"> periodā, kompensējot turēšanas zaudējumus, kas radušies </w:t>
      </w:r>
      <w:r>
        <w:rPr>
          <w:rFonts w:ascii="Times New Roman" w:hAnsi="Times New Roman"/>
          <w:i/>
          <w:noProof/>
          <w:sz w:val="24"/>
        </w:rPr>
        <w:t>T</w:t>
      </w:r>
      <w:r>
        <w:rPr>
          <w:rFonts w:ascii="Times New Roman" w:hAnsi="Times New Roman"/>
          <w:noProof/>
          <w:sz w:val="24"/>
        </w:rPr>
        <w:t xml:space="preserve"> periodā (-4=14-18). Trešā (3.) risinājuma gadījumā nenotiek nekāda pārvērtēšana ne attiecībā uz </w:t>
      </w:r>
      <w:r>
        <w:rPr>
          <w:rFonts w:ascii="Times New Roman" w:hAnsi="Times New Roman"/>
          <w:i/>
          <w:noProof/>
          <w:sz w:val="24"/>
        </w:rPr>
        <w:t>T+1</w:t>
      </w:r>
      <w:r>
        <w:rPr>
          <w:rFonts w:ascii="Times New Roman" w:hAnsi="Times New Roman"/>
          <w:noProof/>
          <w:sz w:val="24"/>
        </w:rPr>
        <w:t xml:space="preserve">, ne </w:t>
      </w:r>
      <w:r>
        <w:rPr>
          <w:rFonts w:ascii="Times New Roman" w:hAnsi="Times New Roman"/>
          <w:i/>
          <w:noProof/>
          <w:sz w:val="24"/>
        </w:rPr>
        <w:t>T</w:t>
      </w:r>
      <w:r>
        <w:rPr>
          <w:rFonts w:ascii="Times New Roman" w:hAnsi="Times New Roman"/>
          <w:noProof/>
          <w:sz w:val="24"/>
        </w:rPr>
        <w:t xml:space="preserve"> periodu. Jānorāda, ka 3. risinājuma gadījumā kvazisabiedrības neto vērtība vienmēr ir vienāda ar nulli. Pirmā un otrā risinājuma gadījumā neto vērtība novirzās no nulles gan pozitīvām, gan negatīvām summām, taču tikai ierobežotos laikposmos.</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55" w:name="I.5__Units_engaged_in_financial_activiti"/>
      <w:bookmarkStart w:id="56" w:name="_bookmark5"/>
      <w:bookmarkStart w:id="57" w:name="_Toc471135869"/>
      <w:bookmarkEnd w:id="55"/>
      <w:bookmarkEnd w:id="56"/>
      <w:r>
        <w:rPr>
          <w:noProof/>
        </w:rPr>
        <w:lastRenderedPageBreak/>
        <w:t>I.5. Vienības, kas veic finansiālās darbības – vispārīgi jautājumi</w:t>
      </w:r>
      <w:bookmarkEnd w:id="57"/>
    </w:p>
    <w:p w:rsidR="00073FEC" w:rsidRPr="001973D0" w:rsidRDefault="00073FEC" w:rsidP="00073FEC">
      <w:pPr>
        <w:pStyle w:val="Heading2"/>
        <w:tabs>
          <w:tab w:val="left" w:pos="1462"/>
        </w:tabs>
        <w:rPr>
          <w:noProof/>
          <w:sz w:val="24"/>
        </w:rPr>
      </w:pP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Šajā nodaļā apspriests tas, vai noteiktu veidu publiskās vienības (proti, kuras kontrolē valdība), kuras veic finanšu darbības, t. i., kas darbojas ar diversificētiem finanšu instrumentiem bilances abās pusēs, jāklasificē vispārējās valdības sektorā (S.13) vai kā publiskas finanšu sabiedrības finanšu sabiedrību sektorā (S.12) (sk. finanšu sabiedrību vispārējo definīciju EKS 2010 2.55. un 2.56. punktā).</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Vienības, kas nodarbojas galvenokārt ar EKS 2010 2.56.–2.58. punktā noteikto finanšu starpniecību, klasificē vienā no šiem apakšsektoriem: centrālā banka (S.121), noguldījumus pieņemošas sabiedrības, izņemot centrālo banku (S.122), naudas tirgus fondi (S.123), ieguldījumu fondi, kas nav naudas tirgus fondi (S.124), citi finanšu starpnieki, izņemot apdrošināšanas sabiedrības un pensiju fondus (S.125), apdrošināšanas sabiedrības (S.128) un pensiju fondi (S.129).</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Vienības, kas nodarbojas ar finanšu palīgdarbībām, kas noteiktas EKS 2010 2.63. punktā, klasificē finanšu palīgsabiedrību apakšsektorā (S.126). Ieteicams piesaistošās finanšu iestādes, kas noteiktas EKS 2010 2.21.–2.23. punktā un EKS 2010 2.98.–2.99. punktā, klasificēt piesaistošo finanšu iestāžu un naudas aizdevēju apakšsektorā (S.127).</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Uzraudzības iestādes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Saskaņā ar EKS 2010, ja finanšu starpnieku un finanšu tirgu uzraudzības iestādes ir atsevišķas institucionālas vienības, tās klasificē finanšu palīgsabiedrību apakšsektorā (S.126). Proti, ar banku uzraudzību un, iespējams, arī ar apdrošināšanas un pensiju uzraudzību saistītus uzdevumus bieži vien veic valsts centrālā banka. Tā tas ir eiro zonā un citās ES dalībvalstīs, kas ir vienotā uzraudzības mehānisma dalībnieces, kur nozīmīgākās banku iestādes kopš 2014. gada novembra tieši uzrauga ECB. Finanšu tirgu (un citu saistīto darbību) uzraudzību kopumā veic īpašas iestādes un dažkārt Finanšu ministrija.</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Galvenais jautājums ir izlemt, vai šos uzdevumus veic autonomi un nošķir no uzņēmējas/mātessabiedrības, t. i., vai tos veic atsevišķa institucionālā vienība saskaņā ar vispārējo EKS 2010 definīciju. Jo īpaši ir jānovērtē, vai uzraudzības iestāžu regulējošās institūcijas drīkst pieņemt lēmumus pilnīgi neatkarīgi no valdības struktūrām jeb, vispārinot, no uzņēmējas vienības (piemēram, vai centrālās bankas gadījumā starp lēmumu pieņemšanu uzraudzības un monetārās politikas jomā pastāv “Ķīnas mūris”). Svarīga iezīme ir arī no pašu resursiem veidota autonoma budžeta esamība. Ja šie nosacījumi nav izpildīti, subjektu nevar uzskatīt par autonomu un tas jāiekļauj uzņēmējas/mātes vienībā.</w:t>
      </w:r>
    </w:p>
    <w:p w:rsidR="00073FEC" w:rsidRPr="000E696C"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Kopumā finanšu iestādēm ir jāieveic iemaksas uzraudzības iestāžu kontos. Šajā gadījumā uzskatāms, ka uzraudzības iestādes sniedz pakalpojumus vienībām, kuras tiek uzraudzītas. Uzraudzības iestāžu sniegtie pakalpojumi vairo klientu/akcionāru uzticību, uzlabo vadības kvalitāti un veicina uzraudzīto finanšu institūciju rentabilitāti un attīstību. Uzraudzīto vienību īpašnieki arī gūst labumu no šīs uzraudzības, jo īpaši bankas, kur ir svarīgi izpildīt noteikumus par maksātspējas nodrošināšanu. Lai arī šīs iemaksas ir obligātas un noteiktas ar likumu vai cita veida noteikumiem, tās ir uzskatāmas par kompensāciju par pakalpojumu un tādējādi klasificējamas saskaņā ar EKS 2010 kā maksājumi par ārpustirgus produkciju (P.131), ar nosacījumu, ka tās ir noteiktas vispārējā līmenī, sedzot uzraudzības izmaksas</w:t>
      </w:r>
      <w:r>
        <w:rPr>
          <w:rStyle w:val="FootnoteReference"/>
          <w:rFonts w:ascii="Times New Roman" w:hAnsi="Times New Roman"/>
          <w:noProof/>
          <w:sz w:val="24"/>
        </w:rPr>
        <w:footnoteReference w:id="63"/>
      </w:r>
      <w:r>
        <w:rPr>
          <w:rFonts w:ascii="Times New Roman" w:hAnsi="Times New Roman"/>
          <w:noProof/>
          <w:sz w:val="24"/>
        </w:rPr>
        <w:t xml:space="preserve">. Parasti tā arī ir, jo šādas </w:t>
      </w:r>
      <w:r>
        <w:rPr>
          <w:rFonts w:ascii="Times New Roman" w:hAnsi="Times New Roman"/>
          <w:noProof/>
          <w:sz w:val="24"/>
        </w:rPr>
        <w:lastRenderedPageBreak/>
        <w:t>uzraudzības iestādes nepārvalda īpašus fondus un neuzkrāj rezerves.</w:t>
      </w:r>
      <w:r>
        <w:rPr>
          <w:rStyle w:val="FootnoteReference"/>
          <w:rFonts w:ascii="Times New Roman" w:hAnsi="Times New Roman"/>
          <w:noProof/>
          <w:sz w:val="24"/>
        </w:rPr>
        <w:footnoteReference w:id="64"/>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Aizsardzības fondi</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Finanšu sektora aizsardzības fondi ir subjekti, kas pārvalda līdzekļus, lai dažu vienību saistību nepildīšanas gadījumā varētu norēķināties ar šo vienību dažām kreditoru kategorijām. Attiecībā uz bankām primāri ir runa par noguldījumu aizsardzības shēmām, kuras var izmantot līdz konkrētai summai, lai kompensētu bankas saistību neizpildi (šādus noguldījumus sauc par “nodrošinātiem noguldījumiem”). Tas var attiekties arī uz noregulējuma fondu, kas izveidots konkrēti ar mērķi atbalstīt grūtībās nonākušas institūcijas, izmantojot dažādu veidu pasākumus un finansējumu, tādējādi izvairoties no vajadzības tūlītēji vērsties pēc valdības atbalsta. Aizsardzības fondi ir izveidoti finanšu stabilitātes nodrošināšanai. Var būt arī citi fondi, kuru mērķis ir aizsargāt ieguldītājus finanšu tirgos.</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Jāuzsver, ka kopumā šie noguldījumu aizsardzības fondi paši nelemj, kad un kādā līmenī iejaukties un aktivizēt uzkrātos līdzekļus. Kompetentai uzraudzības iestādei ir jāveic novērtējums. Aktivizēšana var notikt automātiski vai to var ierosināt ar uzraudzības iestādes lēmumu. Izmaksājamās kompensācijas apmērs var būt noteikts ar likumu (vai citu veidu regulējumu, piemēram, ES direktīvu), jo īpaši noguldījumu aizsardzības shēmai.</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Aizsardzības fondi darbojas ļoti līdzīgi “autopilotam”. Tādējādi jautājums par to lēmumu pieņemšanas pilnvarām attiecībā uz uzkrāto līdzekļu aktivizēšanu bieži vien nav svarīgs. Proti, noregulējuma fonds var būt atkarīgs arī no citas iestādes, kas lemj par aktivizēšanu. Svarīgākais šeit ir novērtēt, vai aizsardzības fondu pārvaldes struktūra ir tiesīga neatkarīgi pieņemt lēmumu vai arī sniegt tikai kādus ierosinājumus (ja tādi ir), kas jāapstiprina citai iestādei (piemēram, centrālajai bankai vai Finanšu ministrijai).</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Vēl ir arī jānovērtē, vai aizsardzības fondi var brīvi noteikt iemaksu līmeni, kas jāmaksā bankām vai citām finanšu iestādēm. Aizsardzības fondiem var būt kādas pilnvaras, jo īpaši attiecībā uz atsevišķu iemaksu “modulāciju” atbilstīgi prognozētajiem faktiskajiem riskiem, ko rada vienības. Taču parasti to manevrēšanas iespējas ir visai ierobežotas (precīzus kritērijus var noteikt cita iestāde). Aizsardzības fondi parasti nenosaka vispārējo summu. Lai arī tiem bieži vien ir tiesības pārdalīt vienībām piemērojamo iemaksu līmeni, tie nenosaka iekasējamo iemaksu vispārējo summu.</w:t>
      </w:r>
      <w:r>
        <w:rPr>
          <w:rStyle w:val="FootnoteReference"/>
          <w:rFonts w:ascii="Times New Roman" w:hAnsi="Times New Roman"/>
          <w:noProof/>
          <w:sz w:val="24"/>
        </w:rPr>
        <w:footnoteReference w:id="65"/>
      </w:r>
    </w:p>
    <w:p w:rsidR="00073FEC" w:rsidRPr="000E696C"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Turklāt, ja nav pieejami pietiekami resursi, ir svarīgi novērtēt, vai aizsardzības fonds var pieņemt pilnīgi neatkarīgu lēmumu par kompensācijas vai atbalsta finansēšanai nepieciešamo iespējamo neregulāro resursu (ārkārtas iemaksu, aizņēmumu tirgos, avansa maksājumu no Valsts kases utt.) būtību, summu, nosacījumiem un termiņiem. Ne vienmēr aizsardzības fondiem ir pieejami resursi nozīmīgas saistību neizpildes segšanai vai noregulējumam. Visticamāk, pirmajā gadā pēc fondu izveides tiem var nākties balstīties uz šādiem ārkārtas resursiem.</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Nacionālajos kontos aizsardzības fondu sektoru klasifikācija arī ir atkarīga no šādu struktūru lēmumu pieņemšanas autonomijas. Ja vairumā gadījumu attiecībā uz šiem svarīgajiem lēmumiem, kuri jānošķir no vienkāršiem administratīvajiem uzdevumiem, izskatās, ka aizsardzības fondam nav autonomijas vai lēmumu pieņemšanas pilnvaru, nacionālajos kontos šādu fondu neuzskata par institucionālo vienību un iekļauj to </w:t>
      </w:r>
      <w:r>
        <w:rPr>
          <w:rFonts w:ascii="Times New Roman" w:hAnsi="Times New Roman"/>
          <w:noProof/>
          <w:sz w:val="24"/>
        </w:rPr>
        <w:lastRenderedPageBreak/>
        <w:t>kontrolējošās vienības sastāvā. Šajā saistībā galvenie kritēriji attiecas uz lēmumu pieņemšanu par šādu aizsardzības fondu resursiem un jo īpaši par ārkārtas resursiem, kas varētu būt nepieciešami.</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Ja par pēdējo minēto punktu nav lēmumu autonomijas, fonds būtu jāpārklasificē tās vienības sektorā, kurai pieder galīgais vārds attiecībā uz to. Ja tā ir valdība, vienība jāklasificē centrālās valdības apakšsektorā. Attiecīgi tas, ka aizsardzības fondam varētu būt tiesības pieņemt lēmumus attiecībā uz uzkrāto līdzekļu ieguldīšanu (parasti, ievērojot kādus ierobežojošus norādījumus), vēl nav kritērijs, lai lemtu par lēmumu autonomiju. Neatkarīgi no iepriekš minētā, ja aizsardzības vienība nacionālajos kontos tiek atzīta par atsevišķu institucionālo vienību (ņemot vērā, ka tai ir pilnīga lēmumu pieņemšanas autonomija), to klasificē finanšu palīgsabiedrību apakšsektorā (S.126), jo tās darbību var piesaistīt finanšu palīgdarbībai.</w:t>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Maksājumus, ko attiecīgās finanšu institūcijas veic aizsardzības fondiem, klasificē kā nodokļus.</w:t>
      </w:r>
      <w:r>
        <w:rPr>
          <w:rStyle w:val="FootnoteReference"/>
          <w:rFonts w:ascii="Times New Roman" w:hAnsi="Times New Roman"/>
          <w:noProof/>
          <w:sz w:val="24"/>
        </w:rPr>
        <w:footnoteReference w:id="66"/>
      </w:r>
      <w:r>
        <w:rPr>
          <w:rFonts w:ascii="Times New Roman" w:hAnsi="Times New Roman"/>
          <w:noProof/>
          <w:sz w:val="24"/>
        </w:rPr>
        <w:t xml:space="preserve"> Tā ir tāpēc, ka aizsardzības fondi sniedz pakalpojumus ne tikai finanšu iestādēm, bet gan “visai kopienai”</w:t>
      </w:r>
      <w:r>
        <w:rPr>
          <w:rStyle w:val="FootnoteReference"/>
          <w:rFonts w:ascii="Times New Roman" w:hAnsi="Times New Roman"/>
          <w:noProof/>
          <w:sz w:val="24"/>
        </w:rPr>
        <w:footnoteReference w:id="67"/>
      </w:r>
      <w:r>
        <w:rPr>
          <w:rFonts w:ascii="Times New Roman" w:hAnsi="Times New Roman"/>
          <w:noProof/>
          <w:sz w:val="24"/>
        </w:rPr>
        <w:t>. Arī maksājošās iestādes atsevišķu iemaksu līmenis ne vienmēr ir stingri saistīts ar riskiem, kas rodas aizsardzības fondam. Ja šos aizsardzības fondus klasificē ārpus valdības sektora, minētie maksājumi jāpārvirza caur centrālās valdības apakšsektoru. Summas, ko valdība nodevusi aizsardzības fondiem, klasificē kā kārtējos pārvedumus.</w:t>
      </w:r>
    </w:p>
    <w:p w:rsidR="00073FEC" w:rsidRPr="001973D0" w:rsidRDefault="00073FEC" w:rsidP="00073FEC">
      <w:pPr>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Finanšu starpniecība un riska līmenis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Riska jautājums ir svarīgs kritērijs, klasificējot publisku finanšu iestādi</w:t>
      </w:r>
      <w:r>
        <w:rPr>
          <w:rStyle w:val="FootnoteReference"/>
          <w:rFonts w:ascii="Times New Roman" w:hAnsi="Times New Roman"/>
          <w:noProof/>
          <w:sz w:val="24"/>
        </w:rPr>
        <w:footnoteReference w:id="68"/>
      </w:r>
      <w:r>
        <w:rPr>
          <w:rFonts w:ascii="Times New Roman" w:hAnsi="Times New Roman"/>
          <w:noProof/>
          <w:sz w:val="24"/>
        </w:rPr>
        <w:t>, kuras galvenā nodarbošanās šķietami varētu būt finanšu starpniecība</w:t>
      </w:r>
      <w:r>
        <w:rPr>
          <w:rStyle w:val="FootnoteReference"/>
          <w:rFonts w:ascii="Times New Roman" w:hAnsi="Times New Roman"/>
          <w:noProof/>
          <w:sz w:val="24"/>
        </w:rPr>
        <w:footnoteReference w:id="69"/>
      </w:r>
      <w:r>
        <w:rPr>
          <w:rFonts w:ascii="Times New Roman" w:hAnsi="Times New Roman"/>
          <w:noProof/>
          <w:sz w:val="24"/>
        </w:rPr>
        <w:t>. EKS 2010 2.57. punktā noteikts, ka finanšu starpniecībā iesaistītai vienībai ir “jāpakļauj sevi riskam”.</w:t>
      </w:r>
      <w:r>
        <w:rPr>
          <w:rStyle w:val="FootnoteReference"/>
          <w:rFonts w:ascii="Times New Roman" w:hAnsi="Times New Roman"/>
          <w:noProof/>
          <w:sz w:val="24"/>
        </w:rPr>
        <w:footnoteReference w:id="70"/>
      </w:r>
    </w:p>
    <w:p w:rsidR="00073FEC" w:rsidRPr="001973D0" w:rsidRDefault="00073FEC" w:rsidP="00073FEC">
      <w:pPr>
        <w:pStyle w:val="BodyText"/>
        <w:numPr>
          <w:ilvl w:val="0"/>
          <w:numId w:val="24"/>
        </w:numPr>
        <w:tabs>
          <w:tab w:val="left" w:pos="1282"/>
        </w:tabs>
        <w:spacing w:before="0"/>
        <w:ind w:left="709" w:hanging="709"/>
        <w:jc w:val="both"/>
        <w:rPr>
          <w:rFonts w:ascii="Times New Roman" w:hAnsi="Times New Roman"/>
          <w:noProof/>
          <w:sz w:val="24"/>
        </w:rPr>
      </w:pPr>
      <w:r>
        <w:rPr>
          <w:rFonts w:ascii="Times New Roman" w:hAnsi="Times New Roman"/>
          <w:noProof/>
          <w:sz w:val="24"/>
        </w:rPr>
        <w:t>Neatkarīgi no iepriekš minētā, ja valdība tieši uzņemas vairumu risku un atlīdzību par daļu no darbībām</w:t>
      </w:r>
      <w:r>
        <w:rPr>
          <w:rStyle w:val="FootnoteReference"/>
          <w:rFonts w:ascii="Times New Roman" w:hAnsi="Times New Roman"/>
          <w:noProof/>
          <w:sz w:val="24"/>
        </w:rPr>
        <w:footnoteReference w:id="71"/>
      </w:r>
      <w:r>
        <w:rPr>
          <w:rFonts w:ascii="Times New Roman" w:hAnsi="Times New Roman"/>
          <w:noProof/>
          <w:sz w:val="24"/>
        </w:rPr>
        <w:t>, ko veic publiskā finanšu sabiedrība, šī darbība (t. i., kas ir saistīta ar krājumiem un plūsmām) ir jāpārvirza caur valdības sektoru</w:t>
      </w:r>
      <w:r>
        <w:rPr>
          <w:rStyle w:val="FootnoteReference"/>
          <w:rFonts w:ascii="Times New Roman" w:hAnsi="Times New Roman"/>
          <w:noProof/>
          <w:sz w:val="24"/>
        </w:rPr>
        <w:footnoteReference w:id="72"/>
      </w:r>
      <w:r>
        <w:rPr>
          <w:rFonts w:ascii="Times New Roman" w:hAnsi="Times New Roman"/>
          <w:noProof/>
          <w:sz w:val="24"/>
        </w:rPr>
        <w:t>.</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Tas, ka valdība ir vienīgais vai galvenais publiskās finanšu sabiedrības daļu turētājs, nenozīmē, ka finanšu sabiedrība “nepakļauj sevi riskam” savā darbībā ar finanšu instrumentiem. Vispārējā iezīme ir tā, ka daļu turētāji uzņemas galīgo risku sabiedrībā. Taču, ņemot vērā, ka finanšu iestāde izdod un uztur finanšu instrumentus savā vārdā, kreditori uzņemas risku attiecībā uz šo vienību un nevar tieši pieprasīt akcionāriem to segt. Turklāt nav skaidri zināms, kādu atbalsta līmeni akcionāri var faktiski nodrošināt.</w:t>
      </w:r>
    </w:p>
    <w:p w:rsidR="008D3039" w:rsidRDefault="008D3039">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Valdības garantijas attiecībā uz aktīviem un saistībām</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Dažos gadījumos valdība var piešķirt noteiktas garantijas finanšu iestādēm par to </w:t>
      </w:r>
      <w:r>
        <w:rPr>
          <w:rFonts w:ascii="Times New Roman" w:hAnsi="Times New Roman"/>
          <w:b/>
          <w:noProof/>
          <w:sz w:val="24"/>
        </w:rPr>
        <w:t>saistībām</w:t>
      </w:r>
      <w:r>
        <w:rPr>
          <w:rFonts w:ascii="Times New Roman" w:hAnsi="Times New Roman"/>
          <w:noProof/>
          <w:sz w:val="24"/>
        </w:rPr>
        <w:t>. Šādas valdības garantijas pilnībā vai daļēji pārņem galīgo risku. Šādas garantijas, kas atzītas kā iespējamās saistības, parasti nav kritērijs vienību pārklasificēšanai neatkarīgi no tā, kāds ir garantēto saistību apmērs vienību bilancē. Šajā gadījumā garantijas devēju var uzskatīt par “galīgo” vai “pēdējās instances” riska turētāju. Tā saistības tomēr ir atkarīgas no tās vienības saistību neizpildes, attiecībā uz kuru garantija izdota (proti, kura izdevusi instrumentu “savā vārdā”), un garantijas izsniegšanas laikā tas nav zināms (sk. VII.4. nodaļu “Valdības garantijas”).</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Tomēr, ja valdības garantijas tiek sniegtas īpašam mērķim izveidotam subjektam, ko dibinājusi valdība vai valdības kontrolē esošs subjekts, kam ir piesaistošās finanšu iestādes pazīmes (sk. I.6. nodaļu “Īpaši publiski subjekti”), garantētās saistības pēc definīcijas tiek uzskatītas par valdības parādu, jo šādas vienības tiek klasificētas vispārējās valdības sektorā.</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Dažos gadījumos valdība var arī tieši piešķirt garantijas publiskai finanšu vienībai attiecībā uz visiem vai gandrīz visiem tās</w:t>
      </w:r>
      <w:r>
        <w:rPr>
          <w:rFonts w:ascii="Times New Roman" w:hAnsi="Times New Roman"/>
          <w:b/>
          <w:noProof/>
          <w:sz w:val="24"/>
        </w:rPr>
        <w:t xml:space="preserve"> aktīviem</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Garantiju var attiecināt tikai uz aktīviem vai arī izsniegt to kopā ar garantijām attiecībā uz šīs vienības saistībām. Tādējādi jebkādus zaudējumus no ieņēmumus nenesošiem aizdevumiem vai citiem problemātiskiem aktīviem automātiski (dažos gadījumos tikai daļēji vai ar līgumiem ar procentu maksimālo/minimālo robežlikmi) sedz ar valdības pārskaitījumu. Šādos apstākļos publiskai finanšu vienībai ir vismaz daļēji pašai jāuzņemas savu finansiālo saistību segšana.</w:t>
      </w:r>
      <w:r>
        <w:rPr>
          <w:rStyle w:val="FootnoteReference"/>
          <w:rFonts w:ascii="Times New Roman" w:hAnsi="Times New Roman"/>
          <w:noProof/>
          <w:sz w:val="24"/>
        </w:rPr>
        <w:footnoteReference w:id="73"/>
      </w:r>
      <w:r>
        <w:rPr>
          <w:rFonts w:ascii="Times New Roman" w:hAnsi="Times New Roman"/>
          <w:noProof/>
          <w:sz w:val="24"/>
        </w:rPr>
        <w:t xml:space="preserve"> Attiecībā uz šādām vienībām netiek uzskatīts, ka tās “pakļauj sevi riskam” saistībā ar aktīviem, attiecībā uz kuriem izdota valdības garantija, proti, valdība</w:t>
      </w:r>
      <w:r>
        <w:rPr>
          <w:rFonts w:ascii="Times New Roman" w:hAnsi="Times New Roman"/>
          <w:i/>
          <w:noProof/>
          <w:sz w:val="24"/>
        </w:rPr>
        <w:t xml:space="preserve"> de facto</w:t>
      </w:r>
      <w:r>
        <w:rPr>
          <w:rFonts w:ascii="Times New Roman" w:hAnsi="Times New Roman"/>
          <w:noProof/>
          <w:sz w:val="24"/>
        </w:rPr>
        <w:t xml:space="preserve"> uzņemas kredītrisku.</w:t>
      </w:r>
    </w:p>
    <w:p w:rsidR="00073FEC" w:rsidRPr="001973D0" w:rsidRDefault="00073FEC" w:rsidP="00073FEC">
      <w:pPr>
        <w:pStyle w:val="BodyText"/>
        <w:numPr>
          <w:ilvl w:val="0"/>
          <w:numId w:val="24"/>
        </w:numPr>
        <w:tabs>
          <w:tab w:val="left" w:pos="1242"/>
        </w:tabs>
        <w:spacing w:before="0"/>
        <w:ind w:left="709" w:hanging="709"/>
        <w:jc w:val="both"/>
        <w:rPr>
          <w:rFonts w:ascii="Times New Roman" w:hAnsi="Times New Roman"/>
          <w:noProof/>
          <w:sz w:val="24"/>
        </w:rPr>
      </w:pPr>
      <w:r>
        <w:rPr>
          <w:rFonts w:ascii="Times New Roman" w:hAnsi="Times New Roman"/>
          <w:noProof/>
          <w:sz w:val="24"/>
        </w:rPr>
        <w:t>Ja ar šādām garantijām (ne tikai attiecībā uz visiem vai gandrīz visiem aktīviem) riski un atlīdzības faktiski tiek pārnestas uz valdību, garantēto aktīvu ekonomiskais īpašnieks ir val</w:t>
      </w:r>
      <w:r w:rsidR="00AA1194">
        <w:rPr>
          <w:rFonts w:ascii="Times New Roman" w:hAnsi="Times New Roman"/>
          <w:noProof/>
          <w:sz w:val="24"/>
        </w:rPr>
        <w:t>dība. Šie aktīvi ir ierakstāmi</w:t>
      </w:r>
      <w:r>
        <w:rPr>
          <w:rFonts w:ascii="Times New Roman" w:hAnsi="Times New Roman"/>
          <w:noProof/>
          <w:sz w:val="24"/>
        </w:rPr>
        <w:t xml:space="preserve"> valdības bilancē, t. i., jāveic šo aktīvu pārvirzīšana (sk. arī IV.5. nodaļu “Finanšu sanācija”).</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58" w:name="I.6__Specific_public_entities"/>
      <w:bookmarkStart w:id="59" w:name="_bookmark6"/>
      <w:bookmarkStart w:id="60" w:name="_Toc471135870"/>
      <w:bookmarkEnd w:id="58"/>
      <w:bookmarkEnd w:id="59"/>
      <w:r>
        <w:rPr>
          <w:noProof/>
        </w:rPr>
        <w:lastRenderedPageBreak/>
        <w:t xml:space="preserve">I.6. Īpaši </w:t>
      </w:r>
      <w:r w:rsidRPr="00565513">
        <w:t>publiski</w:t>
      </w:r>
      <w:r>
        <w:rPr>
          <w:noProof/>
        </w:rPr>
        <w:t xml:space="preserve"> subjekti</w:t>
      </w:r>
      <w:bookmarkEnd w:id="60"/>
    </w:p>
    <w:p w:rsidR="00073FEC" w:rsidRPr="001973D0" w:rsidRDefault="00073FEC" w:rsidP="00073FEC">
      <w:pPr>
        <w:pStyle w:val="Heading2"/>
        <w:tabs>
          <w:tab w:val="left" w:pos="1642"/>
        </w:tabs>
        <w:rPr>
          <w:noProof/>
          <w:sz w:val="24"/>
        </w:rPr>
      </w:pPr>
    </w:p>
    <w:p w:rsidR="00073FEC" w:rsidRPr="00E10B0F" w:rsidRDefault="00073FEC" w:rsidP="00073FEC">
      <w:pPr>
        <w:pStyle w:val="Heading4"/>
        <w:tabs>
          <w:tab w:val="left" w:pos="1390"/>
        </w:tabs>
        <w:ind w:left="0" w:firstLine="0"/>
        <w:rPr>
          <w:rFonts w:ascii="Times New Roman" w:hAnsi="Times New Roman"/>
          <w:noProof/>
          <w:u w:val="thick" w:color="000000"/>
        </w:rPr>
      </w:pPr>
      <w:bookmarkStart w:id="61" w:name="I.6.1_Overview"/>
      <w:bookmarkEnd w:id="61"/>
      <w:r>
        <w:rPr>
          <w:rFonts w:ascii="Times New Roman" w:hAnsi="Times New Roman"/>
          <w:noProof/>
          <w:u w:val="none"/>
        </w:rPr>
        <w:t>I.6.1. </w:t>
      </w:r>
      <w:r>
        <w:rPr>
          <w:rFonts w:ascii="Times New Roman" w:hAnsi="Times New Roman"/>
          <w:noProof/>
          <w:u w:val="thick" w:color="000000"/>
        </w:rPr>
        <w:t>Pārskats</w:t>
      </w:r>
    </w:p>
    <w:p w:rsidR="00073FEC" w:rsidRPr="001973D0" w:rsidRDefault="00073FEC" w:rsidP="00073FEC">
      <w:pPr>
        <w:pStyle w:val="Heading4"/>
        <w:tabs>
          <w:tab w:val="left" w:pos="1390"/>
        </w:tabs>
        <w:ind w:left="0" w:firstLine="0"/>
        <w:rPr>
          <w:rFonts w:ascii="Times New Roman" w:hAnsi="Times New Roman"/>
          <w:noProof/>
          <w:u w:val="thick" w:color="000000"/>
        </w:rPr>
      </w:pP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Šajā nodaļā sniegta informācija par dažām īpašām, valdības kontrolētām vienībām, kuras darbojas īpašā darbības jomā un attiecībā uz kurām nevar piemērot tirgus/ārpustirgus kritēriju (un I.2.4.1. apakšiedaļā sniegto lēmumu pieņemšanas shēmu), ciktāl tas ir saistīts ar sektora klasifikāciju. Ir iekļauti šādi gadījumi – īpašam nolūkam dibinātas sabiedrības (ĪNDS), publiski centrālie biroji, publiskas kontrolakciju sabiedrības un to meitasuzņēmumi, pārstrukturēšanas un privatizācijas aģentūras, tirgu regulējošās struktūras, subjekti, kam ir piesaistošās finanšu iestādes pazīmes, un centrālās uzkrājumu uzturēšanas struktūras.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390"/>
        </w:tabs>
        <w:ind w:left="0" w:firstLine="0"/>
        <w:rPr>
          <w:rFonts w:ascii="Times New Roman" w:hAnsi="Times New Roman"/>
          <w:noProof/>
          <w:u w:val="thick" w:color="000000"/>
        </w:rPr>
      </w:pPr>
      <w:bookmarkStart w:id="62" w:name="I.6.2_Special_purpose_entities_(SPE)"/>
      <w:bookmarkEnd w:id="62"/>
      <w:r>
        <w:rPr>
          <w:rFonts w:ascii="Times New Roman" w:hAnsi="Times New Roman"/>
          <w:noProof/>
          <w:u w:val="none"/>
        </w:rPr>
        <w:t>I.6.2. </w:t>
      </w:r>
      <w:r>
        <w:rPr>
          <w:rFonts w:ascii="Times New Roman" w:hAnsi="Times New Roman"/>
          <w:noProof/>
          <w:u w:val="thick" w:color="000000"/>
        </w:rPr>
        <w:t>Īpašam nolūkam dibinātas sabiedrības (ĪNDS)</w:t>
      </w:r>
    </w:p>
    <w:p w:rsidR="00073FEC" w:rsidRPr="001973D0" w:rsidRDefault="00073FEC" w:rsidP="00073FEC">
      <w:pPr>
        <w:pStyle w:val="Heading4"/>
        <w:tabs>
          <w:tab w:val="left" w:pos="1390"/>
        </w:tabs>
        <w:ind w:left="0" w:firstLine="0"/>
        <w:rPr>
          <w:rFonts w:ascii="Times New Roman" w:hAnsi="Times New Roman"/>
          <w:noProof/>
          <w:u w:val="thick" w:color="000000"/>
        </w:rPr>
      </w:pP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Kopumā īpašam nolūkam dibinātas sabiedrības (dēvētas arī par “īpašam nolūkam izveidotām sabiedrībām”) ir juridiskas personas, kas ir izveidotas, lai kārtotu ekonomiskus un finanšu darījumus saistībā ar vienu juridisku līgumu vai kas ir saistītas ar juridisku līgumu kopumu.</w:t>
      </w:r>
      <w:r>
        <w:rPr>
          <w:rStyle w:val="FootnoteReference"/>
          <w:rFonts w:ascii="Times New Roman" w:hAnsi="Times New Roman"/>
          <w:noProof/>
          <w:sz w:val="24"/>
        </w:rPr>
        <w:footnoteReference w:id="74"/>
      </w:r>
      <w:r>
        <w:rPr>
          <w:rFonts w:ascii="Times New Roman" w:hAnsi="Times New Roman"/>
          <w:noProof/>
          <w:sz w:val="24"/>
        </w:rPr>
        <w:t xml:space="preserve"> EKS 2010 2.17. punktā norādīts, ka ĪNDS parasti [..]</w:t>
      </w:r>
      <w:r>
        <w:rPr>
          <w:rFonts w:ascii="Times New Roman" w:hAnsi="Times New Roman"/>
          <w:i/>
          <w:noProof/>
          <w:sz w:val="24"/>
        </w:rPr>
        <w:t xml:space="preserve"> izveido, lai sasniegtu ierobežotus, īpašus vai pagaidu mērķus un lai ierobežotu finanšu, īpašu fiskālo vai regulatīvo risku</w:t>
      </w:r>
      <w:r>
        <w:rPr>
          <w:rFonts w:ascii="Times New Roman" w:hAnsi="Times New Roman"/>
          <w:noProof/>
          <w:sz w:val="24"/>
        </w:rPr>
        <w:t>. ĪNDS valdi parasti veido trasts, kura vienīgais mērķis ir nodrošināt, lai ĪNDS efektīvi īstenotu juridisku līgumu. Tam nav pilnvaru uzdot ĪNDS iesaistīties citā saimnieciskajā darbībā. Juridisko līgumu parasti noformē tā, lai nepieļautu ĪNDS kļūšanu par maksātnespējīgu vai lielas peļņas gūšanas iespēju.</w:t>
      </w:r>
    </w:p>
    <w:p w:rsidR="00073FEC" w:rsidRPr="001973D0" w:rsidRDefault="00073FEC" w:rsidP="00073FEC">
      <w:pPr>
        <w:numPr>
          <w:ilvl w:val="0"/>
          <w:numId w:val="23"/>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EKS 2010 2.18. punktā norādītas dažas šādām sabiedrībām “raksturīgas” pazīmes. Tās jāizmanto kā rādītāji, kas tiek pilnīgi vai daļēji konstatēti vai netiek nemaz konstatēti.</w:t>
      </w:r>
      <w:r>
        <w:rPr>
          <w:rStyle w:val="FootnoteReference"/>
          <w:rFonts w:ascii="Times New Roman" w:hAnsi="Times New Roman"/>
          <w:noProof/>
          <w:sz w:val="24"/>
        </w:rPr>
        <w:footnoteReference w:id="75"/>
      </w:r>
      <w:r>
        <w:rPr>
          <w:rFonts w:ascii="Times New Roman" w:hAnsi="Times New Roman"/>
          <w:noProof/>
          <w:sz w:val="24"/>
        </w:rPr>
        <w:t xml:space="preserve"> EKS 2010 2.19. punktā norādīts, ka, </w:t>
      </w:r>
      <w:r>
        <w:rPr>
          <w:rFonts w:ascii="Times New Roman" w:hAnsi="Times New Roman"/>
          <w:i/>
          <w:noProof/>
          <w:sz w:val="24"/>
        </w:rPr>
        <w:t>neņemot vērā to, vai vienībai piemīt visas vai neviena no šīm pazīmēm un vai to raksturo vai neraksturo kā ĪNDS vai ar līdzīgu apzīmējumu, tā jāuztver tāpat kā visas institucionālās vienības, iedalot sektorā un nozarē saskaņā ar tās galveno darbību, ja vien ĪNDS nav neatkarīgas rīcības tiesību</w:t>
      </w:r>
      <w:r>
        <w:rPr>
          <w:rFonts w:ascii="Times New Roman" w:hAnsi="Times New Roman"/>
          <w:noProof/>
          <w:sz w:val="24"/>
        </w:rPr>
        <w:t>. EKS 2010 2.20. punktā tas paskaidrots sīkāk, norādot, ka “</w:t>
      </w:r>
      <w:r>
        <w:rPr>
          <w:rFonts w:ascii="Times New Roman" w:hAnsi="Times New Roman"/>
          <w:i/>
          <w:noProof/>
          <w:sz w:val="24"/>
        </w:rPr>
        <w:t>piesaistošās finanšu iestādes, mākslīgi meitasuzņēmumi un vispārējās valdības īpašam nolūkam dibinātas sabiedrības, kam nav tiesību veikt neatkarīgu darbību, tiek iedalītas to kontrolējošās iestādes sektorā. Izņēmums ir gadījumi, kad šādas sabiedrības nav rezidentsabiedrības, un šādos gadījumos tiek atzīts, ka tās ir no kontrolējošās iestādes atdalītas vienības. Valdības gadījumā meitasvienības darbības ir jāatspoguļo valdības kontos</w:t>
      </w:r>
      <w:r>
        <w:rPr>
          <w:rFonts w:ascii="Times New Roman" w:hAnsi="Times New Roman"/>
          <w:noProof/>
          <w:sz w:val="24"/>
        </w:rPr>
        <w:t>”.</w:t>
      </w: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nav sniegta informācija par “darbību neatkarības” trūkumu, kas ir termins, kuru izmanto attiecībā uz šiem subjektiem. Iepriekš jau tika minēts, ka var būt daži pienākumi, ko veic subjekts, ja vien tam ir pašam savi darbinieki utt. Tomēr darbību neatkarības trūkums skaidri nozīmē to, ka nav lielas rīcības brīvības attiecībā uz šāda subjekta galveno funkciju (piemēram, atvieglināt valdībai aizņemšanos un pārvaldīt radušos parādu).</w:t>
      </w:r>
    </w:p>
    <w:p w:rsidR="00073FEC" w:rsidRPr="00E10B0F" w:rsidRDefault="00073FEC" w:rsidP="00073FEC">
      <w:pPr>
        <w:numPr>
          <w:ilvl w:val="0"/>
          <w:numId w:val="23"/>
        </w:numPr>
        <w:tabs>
          <w:tab w:val="left" w:pos="1242"/>
        </w:tabs>
        <w:ind w:left="709" w:hanging="709"/>
        <w:jc w:val="both"/>
        <w:rPr>
          <w:rFonts w:ascii="Times New Roman" w:eastAsia="Arial" w:hAnsi="Times New Roman" w:cs="Arial"/>
          <w:noProof/>
          <w:sz w:val="24"/>
        </w:rPr>
      </w:pPr>
      <w:r>
        <w:rPr>
          <w:rFonts w:ascii="Times New Roman" w:hAnsi="Times New Roman"/>
          <w:noProof/>
          <w:sz w:val="24"/>
        </w:rPr>
        <w:t>Valdības izveidotas ĪNDS gadījums ir traktēts EKS 2010 (sk. 2.27. un 20.47.–20.48. punktu). EKS 2.27. punktā norādīts, ka [..]</w:t>
      </w:r>
      <w:r>
        <w:rPr>
          <w:rFonts w:ascii="Times New Roman" w:hAnsi="Times New Roman"/>
          <w:i/>
          <w:noProof/>
          <w:sz w:val="24"/>
        </w:rPr>
        <w:t xml:space="preserve"> šādas vienības, ja tās ir rezidenti, </w:t>
      </w:r>
      <w:r>
        <w:rPr>
          <w:rFonts w:ascii="Times New Roman" w:hAnsi="Times New Roman"/>
          <w:i/>
          <w:noProof/>
          <w:sz w:val="24"/>
        </w:rPr>
        <w:lastRenderedPageBreak/>
        <w:t>jāuztver kā vispārējās valdības neatņemama sastāvdaļa, nevis atsevišķas vienības</w:t>
      </w:r>
      <w:r>
        <w:rPr>
          <w:rFonts w:ascii="Times New Roman" w:hAnsi="Times New Roman"/>
          <w:noProof/>
          <w:sz w:val="24"/>
        </w:rPr>
        <w:t>, t. i., tās ir apvienotas ar kontrolējošos vienību (mātesvienību), jo tās nav instituci</w:t>
      </w:r>
      <w:r w:rsidR="004D7F98">
        <w:rPr>
          <w:rFonts w:ascii="Times New Roman" w:hAnsi="Times New Roman"/>
          <w:noProof/>
          <w:sz w:val="24"/>
        </w:rPr>
        <w:t>onālās vienības. ĪNDS jāieraksta</w:t>
      </w:r>
      <w:r>
        <w:rPr>
          <w:rFonts w:ascii="Times New Roman" w:hAnsi="Times New Roman"/>
          <w:noProof/>
          <w:sz w:val="24"/>
        </w:rPr>
        <w:t xml:space="preserve"> kā atsevišķa vienība tikai tad, ja ir skaidrs, ka ĪNDS nedarbojas valdības vārdā, kas savukārt nozīmē, ka tā lielā mērā spēj lemt, piemēram, par emitējamo instrumentu veidu un termiņu un pieņemt citus lēmumus, kas saistīti ar parāda pārvaldību un/vai atbilstīgajiem aktīviem.</w:t>
      </w:r>
    </w:p>
    <w:p w:rsidR="00073FEC" w:rsidRPr="00E10B0F"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Ja subjekts neatrodas teritorijā, kurā atrodas tā mātesvienība, kā tas var būt vērtspapirizācijas darbību gadījumā vai cita iemeslu dēļ, kas saistīti ar finansēm, kad šādi subjekti bieži tiek veidoti aktīvos finanšu centros (atvieglota emisija un plašāks tirgus), ĪNDS jāuzskata par atsevišķu institucionālu vienību, un saskaņā ar EKS 2.27. punktu [..]</w:t>
      </w:r>
      <w:r>
        <w:rPr>
          <w:rFonts w:ascii="Times New Roman" w:hAnsi="Times New Roman"/>
          <w:i/>
          <w:noProof/>
          <w:sz w:val="24"/>
        </w:rPr>
        <w:t xml:space="preserve"> visi darījumi, ko tās veic ārvalstīs, jāatspoguļo attiecīgajos darījumos ar valdību</w:t>
      </w:r>
      <w:r>
        <w:rPr>
          <w:rFonts w:ascii="Times New Roman" w:hAnsi="Times New Roman"/>
          <w:noProof/>
          <w:sz w:val="24"/>
        </w:rPr>
        <w:t>.</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EKS 2010 20.48. punktā sniegts sīkāks paskaidrojums par šo punktu. Darījumi, ko veic ĪNDS, kura nav </w:t>
      </w:r>
      <w:r w:rsidR="004D7F98">
        <w:rPr>
          <w:rFonts w:ascii="Times New Roman" w:hAnsi="Times New Roman"/>
          <w:noProof/>
          <w:sz w:val="24"/>
        </w:rPr>
        <w:t>rezidentvienība, tiek ierakstīti</w:t>
      </w:r>
      <w:r>
        <w:rPr>
          <w:rFonts w:ascii="Times New Roman" w:hAnsi="Times New Roman"/>
          <w:noProof/>
          <w:sz w:val="24"/>
        </w:rPr>
        <w:t xml:space="preserve"> teritorijā, bet nosacītie “spoguļa” darījumi tiks pievienoti starp ĪNDS un valdību. Piemēram, ĪNDS aizņēmums radīs valdībai saistības (pēc ienākumu no emisijas pārveduma) un līdz ar to palielinās valdības parādu. Gadījumā, ja vērtspapirizācija notiek ar nerezidentvienības ĪNDS starpniecību, aktīvu pārdošana (finanšu un nefinanšu) kā tāda nacionālajos kontos netiktu atzīta, un pasākuma rezultātā valdība ņemtu jaunu aizdevumu.</w:t>
      </w:r>
    </w:p>
    <w:p w:rsidR="00073FEC"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2.19. punktā paredzēts gadījums, kad valdības kontrolēta ĪNDS var būt klasificēta ārpus valdības sektora (parasti S.12 sektorā). Tomēr šādā gadījumā jābūt pārliecinošiem pierādījumiem, kas apliecina, ka valdības kontrolētā ĪNDS faktiski varētu rīkoties “neatkarīgi”, nevis saskaņā ar noteiktiem ierobežojumiem, kurus pilnībā noteikusi valdība. Tomēr, ja ĪNDS ir izveidota ar mērķi apkalpot valdības vienību, par rīcības neatkarības trūkumu var liecināt cita starpā šādi apstākļi:</w:t>
      </w:r>
    </w:p>
    <w:p w:rsidR="00073FEC" w:rsidRPr="001973D0" w:rsidRDefault="00073FEC" w:rsidP="00073FEC">
      <w:pPr>
        <w:pStyle w:val="BodyText"/>
        <w:tabs>
          <w:tab w:val="left" w:pos="1242"/>
        </w:tabs>
        <w:spacing w:before="0"/>
        <w:ind w:left="0" w:firstLine="0"/>
        <w:rPr>
          <w:rFonts w:ascii="Times New Roman" w:hAnsi="Times New Roman"/>
          <w:noProof/>
          <w:sz w:val="24"/>
        </w:rPr>
      </w:pPr>
    </w:p>
    <w:p w:rsidR="00073FEC" w:rsidRPr="001973D0" w:rsidRDefault="00073FEC" w:rsidP="00073FEC">
      <w:pPr>
        <w:pStyle w:val="BodyText"/>
        <w:numPr>
          <w:ilvl w:val="1"/>
          <w:numId w:val="23"/>
        </w:numPr>
        <w:tabs>
          <w:tab w:val="left" w:pos="1952"/>
        </w:tabs>
        <w:spacing w:before="0"/>
        <w:ind w:left="1134" w:hanging="425"/>
        <w:jc w:val="both"/>
        <w:rPr>
          <w:rFonts w:ascii="Times New Roman" w:hAnsi="Times New Roman"/>
          <w:noProof/>
          <w:sz w:val="24"/>
        </w:rPr>
      </w:pPr>
      <w:r>
        <w:rPr>
          <w:rFonts w:ascii="Times New Roman" w:hAnsi="Times New Roman"/>
          <w:noProof/>
          <w:sz w:val="24"/>
        </w:rPr>
        <w:t xml:space="preserve">valdība </w:t>
      </w:r>
      <w:r>
        <w:rPr>
          <w:rFonts w:ascii="Times New Roman" w:hAnsi="Times New Roman"/>
          <w:i/>
          <w:noProof/>
          <w:sz w:val="24"/>
        </w:rPr>
        <w:t xml:space="preserve">de facto </w:t>
      </w:r>
      <w:r>
        <w:rPr>
          <w:rFonts w:ascii="Times New Roman" w:hAnsi="Times New Roman"/>
          <w:noProof/>
          <w:sz w:val="24"/>
        </w:rPr>
        <w:t>pārvalda</w:t>
      </w:r>
      <w:r>
        <w:rPr>
          <w:rStyle w:val="FootnoteReference"/>
          <w:rFonts w:ascii="Times New Roman" w:hAnsi="Times New Roman"/>
          <w:noProof/>
          <w:sz w:val="24"/>
        </w:rPr>
        <w:footnoteReference w:id="76"/>
      </w:r>
      <w:r>
        <w:rPr>
          <w:rFonts w:ascii="Times New Roman" w:hAnsi="Times New Roman"/>
          <w:noProof/>
          <w:sz w:val="24"/>
        </w:rPr>
        <w:t xml:space="preserve"> ĪNDS parādu (piemēram, šie pienākumi ir nodoti Valsts kases Parāda pārvaldības birojam); vai</w:t>
      </w:r>
    </w:p>
    <w:p w:rsidR="00073FEC" w:rsidRPr="001973D0" w:rsidRDefault="00073FEC" w:rsidP="00073FEC">
      <w:pPr>
        <w:pStyle w:val="BodyText"/>
        <w:numPr>
          <w:ilvl w:val="1"/>
          <w:numId w:val="23"/>
        </w:numPr>
        <w:tabs>
          <w:tab w:val="left" w:pos="1952"/>
        </w:tabs>
        <w:spacing w:before="0"/>
        <w:ind w:left="1134" w:hanging="425"/>
        <w:jc w:val="both"/>
        <w:rPr>
          <w:rFonts w:ascii="Times New Roman" w:hAnsi="Times New Roman"/>
          <w:noProof/>
          <w:sz w:val="24"/>
        </w:rPr>
      </w:pPr>
      <w:r>
        <w:rPr>
          <w:rFonts w:ascii="Times New Roman" w:hAnsi="Times New Roman"/>
          <w:noProof/>
          <w:sz w:val="24"/>
        </w:rPr>
        <w:t>tiesību vai spējas neesamība aktīvi pārvaldīt savus aktīvus, reaģējot uz tirgus apstākļiem (arbitrāža), jo valdībai ir tiesības apstiprināt jebkādu būtisku lēmumu attiecībā uz šo jautājumu; vai</w:t>
      </w:r>
    </w:p>
    <w:p w:rsidR="00073FEC" w:rsidRPr="001973D0" w:rsidRDefault="00073FEC" w:rsidP="00073FEC">
      <w:pPr>
        <w:pStyle w:val="BodyText"/>
        <w:numPr>
          <w:ilvl w:val="1"/>
          <w:numId w:val="23"/>
        </w:numPr>
        <w:tabs>
          <w:tab w:val="left" w:pos="1952"/>
        </w:tabs>
        <w:spacing w:before="0"/>
        <w:ind w:left="1134" w:hanging="425"/>
        <w:jc w:val="both"/>
        <w:rPr>
          <w:rFonts w:ascii="Times New Roman" w:hAnsi="Times New Roman"/>
          <w:noProof/>
          <w:sz w:val="24"/>
        </w:rPr>
      </w:pPr>
      <w:r>
        <w:rPr>
          <w:rFonts w:ascii="Times New Roman" w:hAnsi="Times New Roman"/>
          <w:noProof/>
          <w:sz w:val="24"/>
        </w:rPr>
        <w:t>iepriekš saskaņots, valdības parakstīts līgums vai vienošanās, kurā ir pilnīgi noteikta ĪNDS darbība.</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ind w:left="709"/>
        <w:jc w:val="both"/>
        <w:rPr>
          <w:rFonts w:ascii="Times New Roman" w:hAnsi="Times New Roman"/>
          <w:i/>
          <w:noProof/>
          <w:sz w:val="24"/>
          <w:u w:val="single" w:color="000000"/>
        </w:rPr>
      </w:pPr>
      <w:r>
        <w:rPr>
          <w:rFonts w:ascii="Times New Roman" w:hAnsi="Times New Roman"/>
          <w:i/>
          <w:noProof/>
          <w:sz w:val="24"/>
          <w:u w:val="single" w:color="000000"/>
        </w:rPr>
        <w:t>ĪNDS, kas veic finanšu darbības</w:t>
      </w:r>
    </w:p>
    <w:p w:rsidR="00073FEC" w:rsidRPr="00E10B0F" w:rsidRDefault="00073FEC" w:rsidP="00073FEC">
      <w:pPr>
        <w:pStyle w:val="BodyText"/>
        <w:numPr>
          <w:ilvl w:val="0"/>
          <w:numId w:val="23"/>
        </w:numPr>
        <w:tabs>
          <w:tab w:val="left" w:pos="1242"/>
        </w:tabs>
        <w:spacing w:before="0"/>
        <w:ind w:left="709" w:hanging="709"/>
        <w:jc w:val="both"/>
        <w:rPr>
          <w:rFonts w:ascii="Times New Roman" w:hAnsi="Times New Roman" w:cs="Arial"/>
          <w:noProof/>
          <w:sz w:val="24"/>
        </w:rPr>
      </w:pPr>
      <w:r>
        <w:rPr>
          <w:rFonts w:ascii="Times New Roman" w:hAnsi="Times New Roman"/>
          <w:noProof/>
          <w:sz w:val="24"/>
        </w:rPr>
        <w:t>Dažos gadījumos valdības kontrolēta ĪNDS var būt formāli izveidota ar finanšu iestādes statusu (kas nozīmē to, ka tai jāizpilda noteikti uzraudzības un regulēšanas pienākumi), lai veiktu darījumus valdības vārdā. Ja šajos gadījumos ĪNDS nedarbojas neatkarīgi un tai līdz ar to ir ļoti ierobežota lēmumu pieņemšanas autonomija un ja valdība tiešām ir ierosinājusi darījumu, tad ĪNDS darbojas tikai valdības vārdā, nepakļaujot sevi riskam, un nepieņem ar aktīvu pārvaldību saistītus lēmumus. Šajā saistībā EKS 2010 2.57. punktā ir noteikts, ka [..]</w:t>
      </w:r>
      <w:r>
        <w:rPr>
          <w:rFonts w:ascii="Times New Roman" w:hAnsi="Times New Roman"/>
          <w:i/>
          <w:noProof/>
          <w:sz w:val="24"/>
        </w:rPr>
        <w:t xml:space="preserve"> finanšu starpnieks ne tikai darbojas kā citu institucionālo vienību aģents, bet arī pakļauj sevi riskam, savā vārdā pērkot finanšu aktīvus un uzņemoties saistības</w:t>
      </w:r>
      <w:r>
        <w:rPr>
          <w:rFonts w:ascii="Times New Roman" w:hAnsi="Times New Roman"/>
          <w:noProof/>
          <w:sz w:val="24"/>
        </w:rPr>
        <w:t xml:space="preserve">. Pretējā gadījumā šādu ĪNDS klasificē valdības sektorā. Praksē katrs šāds gadījums ir jāanalizē atsevišķi. Ja ĪNDS atbilst nosacījumiem, saskaņā ar kuriem to var uzskatīt par atsevišķu institucionālu vienību, un tai vienlaikus ir </w:t>
      </w:r>
      <w:r>
        <w:rPr>
          <w:rFonts w:ascii="Times New Roman" w:hAnsi="Times New Roman"/>
          <w:noProof/>
          <w:sz w:val="24"/>
        </w:rPr>
        <w:lastRenderedPageBreak/>
        <w:t>paplašinātas tiesības ar aktīviem un pasīviem saistīto risku aktīvā pārvaldībā, kuru dēļ tās veikto darbību var klasificēt kā finanšu starpniecību, tā jāklasificē kā finanšu sabiedrība (S.12).</w:t>
      </w: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2.90. punkts kopumā attiecas uz “finanšu instrumentsabiedrībām” (FIS), kas iesaistītas vērtspapirizācijas darījumos (lai arī tās ir labāk pazīstamas kā ĪNDS) un kas jāklasificē apakšsektorā “citi finanšu starpnieki, izņemot apdrošināšanas sabiedrības un pensiju fondus” (S.125), ja tās tiek atzītas par atsevišķu institucionālu vienību.</w:t>
      </w:r>
      <w:r>
        <w:rPr>
          <w:rStyle w:val="FootnoteReference"/>
          <w:rFonts w:ascii="Times New Roman" w:hAnsi="Times New Roman"/>
          <w:noProof/>
          <w:sz w:val="24"/>
        </w:rPr>
        <w:footnoteReference w:id="77"/>
      </w:r>
      <w:r>
        <w:rPr>
          <w:rFonts w:ascii="Times New Roman" w:hAnsi="Times New Roman"/>
          <w:noProof/>
          <w:sz w:val="24"/>
        </w:rPr>
        <w:t xml:space="preserve"> Attiecībā uz finanšu sabiedrību sektoru šī FIS identificēšana atsevišķi no labuma guvēja subjekta var būt būtiska no analīzes viedokļa. Savukārt, ja vērtspapirizācijas darījumā labuma guvējs ir valdības vienība, sektoru klasifikācija jāveic, ievērojot šīs rokasgrāmatas V.5.2. iedaļas noteikumus</w:t>
      </w:r>
      <w:r>
        <w:rPr>
          <w:rStyle w:val="FootnoteReference"/>
          <w:rFonts w:ascii="Times New Roman" w:hAnsi="Times New Roman"/>
          <w:noProof/>
          <w:sz w:val="24"/>
        </w:rPr>
        <w:footnoteReference w:id="78"/>
      </w:r>
      <w:r>
        <w:rPr>
          <w:rFonts w:ascii="Times New Roman" w:hAnsi="Times New Roman"/>
          <w:noProof/>
          <w:sz w:val="24"/>
        </w:rPr>
        <w:t>. Kā minēts iepriekš, EKS 2010 2.20. punktā norādīts, ka īpašas vispārējās valdības struktūras, kurām nav rīcības neatkarības, tiek iekļautas kontrolējošās valdības vienības apakšsektorā.</w:t>
      </w:r>
    </w:p>
    <w:p w:rsidR="00073FEC" w:rsidRPr="001973D0" w:rsidRDefault="00073FEC" w:rsidP="00073FEC">
      <w:pPr>
        <w:jc w:val="both"/>
        <w:rPr>
          <w:rFonts w:ascii="Times New Roman" w:hAnsi="Times New Roman"/>
          <w:noProof/>
          <w:sz w:val="24"/>
        </w:rPr>
      </w:pPr>
    </w:p>
    <w:p w:rsidR="00073FEC" w:rsidRPr="001973D0" w:rsidRDefault="00073FEC" w:rsidP="00073FEC">
      <w:pPr>
        <w:pStyle w:val="Heading4"/>
        <w:tabs>
          <w:tab w:val="left" w:pos="1457"/>
        </w:tabs>
        <w:ind w:left="0" w:firstLine="0"/>
        <w:rPr>
          <w:rFonts w:ascii="Times New Roman" w:hAnsi="Times New Roman"/>
          <w:noProof/>
          <w:u w:val="thick" w:color="000000"/>
        </w:rPr>
      </w:pPr>
      <w:bookmarkStart w:id="63" w:name="I.6.3_Public_head_offices,_public_holdin"/>
      <w:bookmarkEnd w:id="63"/>
      <w:r>
        <w:rPr>
          <w:rFonts w:ascii="Times New Roman" w:hAnsi="Times New Roman"/>
          <w:noProof/>
          <w:u w:val="none"/>
        </w:rPr>
        <w:t>I.6.3. </w:t>
      </w:r>
      <w:r>
        <w:rPr>
          <w:rFonts w:ascii="Times New Roman" w:hAnsi="Times New Roman"/>
          <w:noProof/>
          <w:u w:val="thick" w:color="000000"/>
        </w:rPr>
        <w:t>Publiski centrālie biroji, publiskas kontrolakciju sabiedrības un to meitasuzņēmumi</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1595"/>
        </w:tabs>
        <w:rPr>
          <w:rFonts w:ascii="Times New Roman" w:hAnsi="Times New Roman"/>
          <w:noProof/>
          <w:sz w:val="24"/>
        </w:rPr>
      </w:pPr>
      <w:r>
        <w:rPr>
          <w:rFonts w:ascii="Times New Roman" w:hAnsi="Times New Roman"/>
          <w:noProof/>
          <w:sz w:val="24"/>
        </w:rPr>
        <w:t>I.6.3.1. Publiski centrālie biroji</w:t>
      </w:r>
    </w:p>
    <w:p w:rsidR="00073FEC" w:rsidRPr="001973D0" w:rsidRDefault="00073FEC" w:rsidP="00073FEC">
      <w:pPr>
        <w:pStyle w:val="Heading6"/>
        <w:tabs>
          <w:tab w:val="left" w:pos="1595"/>
        </w:tabs>
        <w:rPr>
          <w:rFonts w:ascii="Times New Roman" w:hAnsi="Times New Roman"/>
          <w:noProof/>
          <w:sz w:val="24"/>
        </w:rPr>
      </w:pPr>
    </w:p>
    <w:p w:rsidR="00073FEC" w:rsidRPr="001973D0" w:rsidRDefault="00073FEC" w:rsidP="00073FEC">
      <w:pPr>
        <w:numPr>
          <w:ilvl w:val="0"/>
          <w:numId w:val="23"/>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Saskaņā ar EKS 2010 2.12. punktu: [..]</w:t>
      </w:r>
      <w:r>
        <w:rPr>
          <w:rFonts w:ascii="Times New Roman" w:hAnsi="Times New Roman"/>
          <w:i/>
          <w:noProof/>
          <w:sz w:val="24"/>
        </w:rPr>
        <w:t xml:space="preserve"> institucionālā vienība ir ekonomisks subjekts, ko raksturo lēmumu pieņemšanas autonomija savu pamatfunkciju īstenošanā </w:t>
      </w:r>
      <w:r>
        <w:rPr>
          <w:rFonts w:ascii="Times New Roman" w:hAnsi="Times New Roman"/>
          <w:noProof/>
          <w:sz w:val="24"/>
        </w:rPr>
        <w:t>[..] Citu kritēriju starpā šo var uzskatīt par pamatkritēriju. Svarīgs aspekts ir tas, ka neatkarīgi no tā, vai subjekts tiek atzīts par institucionālu vienību, tā klasifikācija ir jānovērtē individuāli. Galvenais jautājums, kas jāapsver centrālo biroju un to meitasuzņēmumu klasifikācijā, ir tas, vai noteicošais ir šis vispārīgais noteikums vai arī pastāv vai vajadzētu pastāvēt kādiem īpašiem noteikumiem attiecībā uz šiem subjektiem. EKS 2010 2.15. punktā noteikts, ka subjektu grupās [..]</w:t>
      </w:r>
      <w:r>
        <w:rPr>
          <w:rFonts w:ascii="Times New Roman" w:hAnsi="Times New Roman"/>
          <w:i/>
          <w:noProof/>
          <w:sz w:val="24"/>
        </w:rPr>
        <w:t xml:space="preserve"> katrs grupas dalībnieks tiek uztverts kā atsevišķa institucionāla vienība, ja tas atbilst institucionālas vienības definīcijai</w:t>
      </w:r>
      <w:r>
        <w:rPr>
          <w:rFonts w:ascii="Times New Roman" w:hAnsi="Times New Roman"/>
          <w:noProof/>
          <w:sz w:val="24"/>
        </w:rPr>
        <w:t xml:space="preserve"> [..]. Pretējā gadījumā tas jāapvieno ar vienību, kas to kontrolē (sīkāka informācija ir sniegta I.6.3.3. apakšiedaļā).</w:t>
      </w:r>
    </w:p>
    <w:p w:rsidR="00073FEC" w:rsidRPr="001973D0" w:rsidRDefault="00073FEC" w:rsidP="00073FEC">
      <w:pPr>
        <w:numPr>
          <w:ilvl w:val="0"/>
          <w:numId w:val="23"/>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 xml:space="preserve">Kopumā centrālais birojs ir institucionāla vienība, kas EKS 2010 2.14. punkta a) apakšpunktā ir definēts kā </w:t>
      </w:r>
      <w:r>
        <w:rPr>
          <w:rFonts w:ascii="Times New Roman" w:hAnsi="Times New Roman"/>
          <w:i/>
          <w:noProof/>
          <w:sz w:val="24"/>
        </w:rPr>
        <w:t>vienība, kas pārvalda savus meitasuzņēmumus</w:t>
      </w:r>
      <w:r>
        <w:rPr>
          <w:rFonts w:ascii="Times New Roman" w:hAnsi="Times New Roman"/>
          <w:noProof/>
          <w:sz w:val="24"/>
        </w:rPr>
        <w:t xml:space="preserve"> un kas ir iedalīta [..]</w:t>
      </w:r>
      <w:r>
        <w:rPr>
          <w:rFonts w:ascii="Times New Roman" w:hAnsi="Times New Roman"/>
          <w:i/>
          <w:noProof/>
          <w:sz w:val="24"/>
        </w:rPr>
        <w:t xml:space="preserve"> savu meitasuzņēmumu galvenajā nefinanšu sabiedrību sektorā, ja vien visi vai lielākā daļa meitasuzņēmumu nav finanšu sabiedrības, jo tādā gadījumā tos uzskata par finanšu palīgsabiedrībām (S.126) finanšu sabiedrību sektorā </w:t>
      </w:r>
      <w:r>
        <w:rPr>
          <w:rFonts w:ascii="Times New Roman" w:hAnsi="Times New Roman"/>
          <w:noProof/>
          <w:sz w:val="24"/>
        </w:rPr>
        <w:t>[..] (sk. arī EKS 2010 20.35. punktu). Līdz ar to centrālais birojs ir ievērojami iesaistīts citu grupas vienību (meitasuzņēmumu) pārvaldībā, sniedzot tiem atsevišķus pakalpojumus, tostarp nodrošinot grupas koordināciju. Tas nozīmē, ka centrālais birojs īsteno vadības uzdevumus un pilnvaras, kas nav tikai vienkārša regulāra līdzdalība grupā ietilpstošo meitasuzņēmumu sapulcē, un centrālā biroja vadības struktūras svarīgākos lēmumus pieņem vai apstiprina zemākā līmenī.</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Saskaņā ar EKS 2010</w:t>
      </w:r>
      <w:r>
        <w:rPr>
          <w:rStyle w:val="FootnoteReference"/>
          <w:rFonts w:ascii="Times New Roman" w:hAnsi="Times New Roman"/>
          <w:noProof/>
          <w:sz w:val="24"/>
        </w:rPr>
        <w:footnoteReference w:id="79"/>
      </w:r>
      <w:r>
        <w:rPr>
          <w:rFonts w:ascii="Times New Roman" w:hAnsi="Times New Roman"/>
          <w:noProof/>
          <w:sz w:val="24"/>
        </w:rPr>
        <w:t xml:space="preserve"> centrālais birojs ir jānošķir no kontrolakciju sabiedrības </w:t>
      </w:r>
      <w:r>
        <w:rPr>
          <w:rFonts w:ascii="Times New Roman" w:hAnsi="Times New Roman"/>
          <w:noProof/>
          <w:sz w:val="24"/>
        </w:rPr>
        <w:lastRenderedPageBreak/>
        <w:t>(sk. I.6.3.2. apakšiedaļu). Tāpēc ir svarīgi katru gadījumu izvērtēt atsevišķi</w:t>
      </w:r>
      <w:r>
        <w:rPr>
          <w:rStyle w:val="FootnoteReference"/>
          <w:rFonts w:ascii="Times New Roman" w:hAnsi="Times New Roman"/>
          <w:noProof/>
          <w:sz w:val="24"/>
        </w:rPr>
        <w:footnoteReference w:id="80"/>
      </w:r>
      <w:r>
        <w:rPr>
          <w:rFonts w:ascii="Times New Roman" w:hAnsi="Times New Roman"/>
          <w:noProof/>
          <w:sz w:val="24"/>
        </w:rPr>
        <w:t>, lai pārbaudītu šādu vienību faktiskos pienākumus grupas vadības jomā, to statūtus un iekšējos noteikumus, cilvēkresursus</w:t>
      </w:r>
      <w:r>
        <w:rPr>
          <w:rStyle w:val="FootnoteReference"/>
          <w:rFonts w:ascii="Times New Roman" w:hAnsi="Times New Roman"/>
          <w:noProof/>
          <w:sz w:val="24"/>
        </w:rPr>
        <w:footnoteReference w:id="81"/>
      </w:r>
      <w:r>
        <w:rPr>
          <w:rFonts w:ascii="Times New Roman" w:hAnsi="Times New Roman"/>
          <w:noProof/>
          <w:sz w:val="24"/>
        </w:rPr>
        <w:t xml:space="preserve"> un fiziskos līdzekļus, ieņēmumu avotu un izdevumu būtību</w:t>
      </w:r>
      <w:r>
        <w:rPr>
          <w:rStyle w:val="FootnoteReference"/>
          <w:rFonts w:ascii="Times New Roman" w:hAnsi="Times New Roman"/>
          <w:noProof/>
          <w:sz w:val="24"/>
        </w:rPr>
        <w:footnoteReference w:id="82"/>
      </w:r>
      <w:r>
        <w:rPr>
          <w:rFonts w:ascii="Times New Roman" w:hAnsi="Times New Roman"/>
          <w:noProof/>
          <w:sz w:val="24"/>
        </w:rPr>
        <w:t>. Svarīgs rādītājs, kas jāņem vērā, ir arī privātu akcionāru esamība (ar faktisku ietekmi uz atsevišķiem lēmumiem, kas būtiski vismaz grupā ietilpstošajiem subjektiem).</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Centrālajam birojam ir jāsniedz pakalpojumi meitasvienībām. Praksē tā nenotiktu, ja šādas struktūras būtu izveidotas kādas ierobežojošas darbības veikšanai, piemēram, lai pārorganizētu, pārstrukturētu meitasvienības un vadītu to pilnīgu vai daļēju atsavināšanu, uz ierobežotu laika posmu un ne kā pastāvīga struktūra.</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Atzītie publiskie centrālie biroji tiek klasificēti nefinanšu sabiedrību sektorā (S.11), ja tie kontrolē tirgus nefinanšu ražotāju grupu, vai finanšu sabiedrību sektorā (kā S.126 “finanšu palīgsabiedrības”), ja tās kontrolē grupu, kura galvenokārt nodarbojas ar finanšu starpniecību. Ja darbības ir “jauktas”, publisku centrālo biroju klasificē attiecīgā sektorā, pamatojoties uz tā meitasvienību dominējošo pievienotās vērtības daļu. Gadījumā, ja publiskais centrālais birojs kontrolē galvenokārt ārpustirgus meitasuzņēmumus, šādu centrālo biroju klasificē vispārējās valdības sektorā (S.13).</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1555"/>
        </w:tabs>
        <w:rPr>
          <w:rFonts w:ascii="Times New Roman" w:hAnsi="Times New Roman"/>
          <w:noProof/>
          <w:sz w:val="24"/>
        </w:rPr>
      </w:pPr>
      <w:r>
        <w:rPr>
          <w:rFonts w:ascii="Times New Roman" w:hAnsi="Times New Roman"/>
          <w:noProof/>
          <w:sz w:val="24"/>
        </w:rPr>
        <w:t>I.6.3.2. Publiskas kontrolakciju sabiedrības</w:t>
      </w:r>
    </w:p>
    <w:p w:rsidR="00073FEC" w:rsidRPr="001973D0" w:rsidRDefault="00073FEC" w:rsidP="00073FEC">
      <w:pPr>
        <w:pStyle w:val="Heading6"/>
        <w:tabs>
          <w:tab w:val="left" w:pos="1555"/>
        </w:tabs>
        <w:jc w:val="both"/>
        <w:rPr>
          <w:rFonts w:ascii="Times New Roman" w:hAnsi="Times New Roman"/>
          <w:noProof/>
          <w:sz w:val="24"/>
        </w:rPr>
      </w:pP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Kontrolakciju sabiedrība</w:t>
      </w:r>
      <w:r>
        <w:rPr>
          <w:rStyle w:val="FootnoteReference"/>
          <w:rFonts w:ascii="Times New Roman" w:hAnsi="Times New Roman"/>
          <w:noProof/>
          <w:sz w:val="24"/>
        </w:rPr>
        <w:footnoteReference w:id="83"/>
      </w:r>
      <w:r>
        <w:rPr>
          <w:rFonts w:ascii="Times New Roman" w:hAnsi="Times New Roman"/>
          <w:noProof/>
          <w:sz w:val="24"/>
        </w:rPr>
        <w:t xml:space="preserve"> saskaņā ar EKS 2010 2.14. punkta b) apakšpunktu ir institucionālā vienība, kas tur meitasuzņēmumu aktīvus, īsteno kontroli pār tām, taču neuzņemas to pārvaldību, t. i., tās aktīvi neiesaistās grupas ikdienas darbībās. Kontrolakciju sabiedrības galvenokārt pārrauga meitasuzņēmumu ienākuma sadali un pārdala ienākumu savam(-iem) akcionāram(-iem). Precīzāk, šādi subjekti nesniedz nekādus citus pakalpojumus subjektiem, kuros tie tur aktīvus. Saskaņā ar EKS 2010 2.14. punkta b) apakšpunktu, vispārīgi raugoties, kontrolakciju sabiedrības ir jāuzskata par piesaistošām finanšu sabiedrībām (S.127), taču, šķiet, to nevar piemērot publiskām kontrolakciju sabiedrībām.</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 var kontrolēt kontrolakciju sabiedrību, kuras darbība liecina par to, ka tā darbojas vienkārši kā valdības aģents. Norādes varētu sniegt tas, kādam darbības termiņam tā ir izveidota un/vai kādi ir tai uzticētie pienākumi (parasti ierobežotā darbības jomā).</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t>Publisku kontrolakciju sabiedrību, kas tur meitasvienību aktīvus (pašu kapitālu un, iespējams, citus finanšu aktīvus) klasificē kā norādīts turpmāk.</w:t>
      </w:r>
    </w:p>
    <w:p w:rsidR="00073FEC" w:rsidRPr="001973D0" w:rsidRDefault="00073FEC" w:rsidP="00073FEC">
      <w:pPr>
        <w:jc w:val="both"/>
        <w:rPr>
          <w:rFonts w:ascii="Times New Roman" w:eastAsia="Arial" w:hAnsi="Times New Roman" w:cs="Arial"/>
          <w:noProof/>
          <w:sz w:val="24"/>
          <w:szCs w:val="16"/>
        </w:rPr>
      </w:pPr>
    </w:p>
    <w:p w:rsidR="00073FEC" w:rsidRDefault="00073FEC" w:rsidP="00073FEC">
      <w:pPr>
        <w:pStyle w:val="BodyText"/>
        <w:numPr>
          <w:ilvl w:val="0"/>
          <w:numId w:val="22"/>
        </w:numPr>
        <w:tabs>
          <w:tab w:val="left" w:pos="1632"/>
        </w:tabs>
        <w:spacing w:before="0"/>
        <w:ind w:left="1134" w:hanging="425"/>
        <w:jc w:val="both"/>
        <w:rPr>
          <w:rFonts w:ascii="Times New Roman" w:hAnsi="Times New Roman"/>
          <w:noProof/>
          <w:sz w:val="24"/>
        </w:rPr>
      </w:pPr>
      <w:r>
        <w:rPr>
          <w:rFonts w:ascii="Times New Roman" w:hAnsi="Times New Roman"/>
          <w:noProof/>
          <w:sz w:val="24"/>
        </w:rPr>
        <w:t>To klasificē vispārējās valdības sektorā, ja:</w:t>
      </w:r>
    </w:p>
    <w:p w:rsidR="00073FEC" w:rsidRPr="001973D0" w:rsidRDefault="00073FEC" w:rsidP="00073FEC">
      <w:pPr>
        <w:pStyle w:val="BodyText"/>
        <w:tabs>
          <w:tab w:val="left" w:pos="163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22"/>
        </w:numPr>
        <w:tabs>
          <w:tab w:val="left" w:pos="2056"/>
        </w:tabs>
        <w:spacing w:before="0"/>
        <w:ind w:left="1701" w:hanging="567"/>
        <w:jc w:val="both"/>
        <w:rPr>
          <w:rFonts w:ascii="Times New Roman" w:hAnsi="Times New Roman"/>
          <w:noProof/>
          <w:sz w:val="24"/>
        </w:rPr>
      </w:pPr>
      <w:r>
        <w:rPr>
          <w:rFonts w:ascii="Times New Roman" w:hAnsi="Times New Roman"/>
          <w:noProof/>
          <w:sz w:val="24"/>
        </w:rPr>
        <w:t>tā ir sava veida"čaula", jo neveic savu meitasvienību pārvaldību un faktisku vadību, bet gan darbojas kā noteikta veida “uzskaites instruments”, meitasvienību faktisko vadību īstenojot valdībai, vai ja tā sniedz palīgpakalpojumus valdības vienībai, kura to kontrolē (piemēram, vāc datus no grupas);</w:t>
      </w:r>
    </w:p>
    <w:p w:rsidR="00073FEC" w:rsidRPr="001973D0" w:rsidRDefault="00073FEC" w:rsidP="00073FEC">
      <w:pPr>
        <w:pStyle w:val="BodyText"/>
        <w:numPr>
          <w:ilvl w:val="1"/>
          <w:numId w:val="22"/>
        </w:numPr>
        <w:tabs>
          <w:tab w:val="left" w:pos="2056"/>
        </w:tabs>
        <w:spacing w:before="0"/>
        <w:ind w:left="1701" w:hanging="567"/>
        <w:jc w:val="both"/>
        <w:rPr>
          <w:rFonts w:ascii="Times New Roman" w:hAnsi="Times New Roman"/>
          <w:noProof/>
          <w:sz w:val="24"/>
        </w:rPr>
      </w:pPr>
      <w:r>
        <w:rPr>
          <w:rFonts w:ascii="Times New Roman" w:hAnsi="Times New Roman"/>
          <w:noProof/>
          <w:sz w:val="24"/>
        </w:rPr>
        <w:t>tā pastāvīgi vai dažkārt tiek izmantota tipiskām valdības darbībām, piemēram, valsts subsīdiju piešķiršanai vai pārvaldībai, kas nozīmē to, ka jāveic valsts ieņēmumu un bagātības pārdale. Tā darbojas kā valdības pārstāvis, jo valdība tai piešķir galvenos līdzekļus, kas tiek pārdalīti grupā.</w:t>
      </w:r>
    </w:p>
    <w:p w:rsidR="00073FEC" w:rsidRDefault="00073FEC" w:rsidP="00073FEC">
      <w:pPr>
        <w:pStyle w:val="BodyText"/>
        <w:spacing w:before="0"/>
        <w:ind w:left="1701" w:firstLine="0"/>
        <w:jc w:val="both"/>
        <w:rPr>
          <w:rFonts w:ascii="Times New Roman" w:hAnsi="Times New Roman"/>
          <w:noProof/>
          <w:sz w:val="24"/>
        </w:rPr>
      </w:pPr>
      <w:r>
        <w:rPr>
          <w:rFonts w:ascii="Times New Roman" w:hAnsi="Times New Roman"/>
          <w:noProof/>
          <w:sz w:val="24"/>
        </w:rPr>
        <w:t>Abos gadījumos subjektu nevar uzskatīt par neatkarīgu lēmumu pieņemšanā, un attiecīgi to nevar uzskatīt par institucionālo vienību, un tāpēc to klasificē valdības sektorā, nevis finanšu sabiedrību sektorā (S.12), kā tas varētu būt privātu kontrolakciju sabiedrību gadījumā.</w:t>
      </w:r>
    </w:p>
    <w:p w:rsidR="00073FEC" w:rsidRPr="001973D0" w:rsidRDefault="00073FEC" w:rsidP="00073FEC">
      <w:pPr>
        <w:pStyle w:val="BodyText"/>
        <w:spacing w:before="0"/>
        <w:ind w:left="0" w:firstLine="0"/>
        <w:jc w:val="both"/>
        <w:rPr>
          <w:rFonts w:ascii="Times New Roman" w:hAnsi="Times New Roman"/>
          <w:noProof/>
          <w:sz w:val="24"/>
        </w:rPr>
      </w:pPr>
    </w:p>
    <w:p w:rsidR="00073FEC" w:rsidRDefault="00073FEC" w:rsidP="00073FEC">
      <w:pPr>
        <w:pStyle w:val="BodyText"/>
        <w:numPr>
          <w:ilvl w:val="0"/>
          <w:numId w:val="22"/>
        </w:numPr>
        <w:tabs>
          <w:tab w:val="left" w:pos="1632"/>
        </w:tabs>
        <w:spacing w:before="0"/>
        <w:ind w:left="1134" w:hanging="425"/>
        <w:jc w:val="both"/>
        <w:rPr>
          <w:rFonts w:ascii="Times New Roman" w:hAnsi="Times New Roman"/>
          <w:noProof/>
          <w:sz w:val="24"/>
        </w:rPr>
      </w:pPr>
      <w:r>
        <w:rPr>
          <w:rFonts w:ascii="Times New Roman" w:hAnsi="Times New Roman"/>
          <w:noProof/>
          <w:sz w:val="24"/>
        </w:rPr>
        <w:t>To uzskata par “centrālo biroju” (sk. iepriekš). Šajā gadījumā ir jānovērtē, kādā sektorā ir klasificēti tā meitasuzņēmumi, atsaucoties uz standarta klasifikācijas noteikumiem.</w:t>
      </w:r>
    </w:p>
    <w:p w:rsidR="00073FEC" w:rsidRPr="001973D0" w:rsidRDefault="00073FEC" w:rsidP="00073FEC">
      <w:pPr>
        <w:pStyle w:val="BodyText"/>
        <w:tabs>
          <w:tab w:val="left" w:pos="1632"/>
        </w:tabs>
        <w:spacing w:before="0"/>
        <w:ind w:left="0" w:firstLine="0"/>
        <w:jc w:val="both"/>
        <w:rPr>
          <w:rFonts w:ascii="Times New Roman" w:hAnsi="Times New Roman"/>
          <w:noProof/>
          <w:sz w:val="24"/>
        </w:rPr>
      </w:pPr>
    </w:p>
    <w:p w:rsidR="00073FEC" w:rsidRDefault="00073FEC" w:rsidP="00073FEC">
      <w:pPr>
        <w:pStyle w:val="Heading6"/>
        <w:tabs>
          <w:tab w:val="left" w:pos="1595"/>
        </w:tabs>
        <w:jc w:val="both"/>
        <w:rPr>
          <w:rFonts w:ascii="Times New Roman" w:hAnsi="Times New Roman"/>
          <w:noProof/>
          <w:sz w:val="24"/>
        </w:rPr>
      </w:pPr>
      <w:r>
        <w:rPr>
          <w:rFonts w:ascii="Times New Roman" w:hAnsi="Times New Roman"/>
          <w:noProof/>
          <w:sz w:val="24"/>
        </w:rPr>
        <w:t>I.6.3.3. Publisko kontrolakciju sabiedrību un centrālo biroju meitasuzņēmumi</w:t>
      </w:r>
    </w:p>
    <w:p w:rsidR="00073FEC" w:rsidRPr="001973D0" w:rsidRDefault="00073FEC" w:rsidP="00073FEC">
      <w:pPr>
        <w:pStyle w:val="Heading6"/>
        <w:tabs>
          <w:tab w:val="left" w:pos="1595"/>
        </w:tabs>
        <w:jc w:val="both"/>
        <w:rPr>
          <w:rFonts w:ascii="Times New Roman" w:hAnsi="Times New Roman"/>
          <w:noProof/>
          <w:sz w:val="24"/>
        </w:rPr>
      </w:pP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Saskaņā ar EKS 2010 2.13. punkta e) apakšpunktu dažus meitasuzņēmumus uzskata par institucionālām vienībām, [..]</w:t>
      </w:r>
      <w:r>
        <w:rPr>
          <w:rFonts w:ascii="Times New Roman" w:hAnsi="Times New Roman"/>
          <w:i/>
          <w:noProof/>
          <w:sz w:val="24"/>
        </w:rPr>
        <w:t xml:space="preserve"> pat ja tie ir daļēji atteikušies no savas lēmumu pieņemšanas autonomijas par labu centrālajai struktūrai (centrālajam birojam) </w:t>
      </w:r>
      <w:r>
        <w:rPr>
          <w:rFonts w:ascii="Times New Roman" w:hAnsi="Times New Roman"/>
          <w:noProof/>
          <w:sz w:val="24"/>
        </w:rPr>
        <w:t>[..]. Izņemot atsevišķus grupā ietilpstošus subjektus, par kuriem uzskata, ka tie var sniegt palīgpakalpojumus, kas vienīgi sniedz pakalpojumus centrālajai struktūrai, meitasuzņēmumu klasifikācija jāvērtē katrā gadījumā atsevišķi. Ja divus juridiski saistītus subjektus nevar pamatoti uzskatīt par atsevišķiem subjektiem, tie ir jātraktē kā vienota institucionālā vienība. Taču tiklīdz katru subjektu uzskata par institucionālu vienību, ir stingri jāievēro parastie sektora klasifikācijas noteikumi.</w:t>
      </w: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Ja meitasuzņēmums ir atzīts par institucionālu vienību un ir noteikts, ka tā ir ārpustirgus vienība, tā jāklasificē vispārējās valdības sektorā, pat ja tā tikai netieši atrodas valdības kontrolē ar centrālā biroja/publiskas kontrolakciju sabiedrības starpniecību. Jāņem vērā, ka gadījumā, ja tirgus institucionālā vienība īsteno noteiktas darbības/darījumus valdības vārdā, jāpiemēro “pārkārtoto darījumu” noteikumi, kas noteikti EKS 2010 1.72. punktā un turpmākajos punktos.</w:t>
      </w:r>
    </w:p>
    <w:p w:rsidR="00073FEC" w:rsidRPr="001973D0"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Vēl viens aspekts ir saistīts ar valdības kontroli, t. i., vai ārpustirgus meitasuzņēmumu, kas atrodas tikai </w:t>
      </w:r>
      <w:r>
        <w:rPr>
          <w:rFonts w:ascii="Times New Roman" w:hAnsi="Times New Roman"/>
          <w:i/>
          <w:noProof/>
          <w:sz w:val="24"/>
        </w:rPr>
        <w:t>netiešā</w:t>
      </w:r>
      <w:r>
        <w:rPr>
          <w:rFonts w:ascii="Times New Roman" w:hAnsi="Times New Roman"/>
          <w:noProof/>
          <w:sz w:val="24"/>
        </w:rPr>
        <w:t xml:space="preserve"> valdības kontrolē, var klasificēt vispārējās valdības sektorā. EKS 2010 2.37. punktā noteikts:</w:t>
      </w:r>
    </w:p>
    <w:p w:rsidR="00073FEC" w:rsidRPr="001973D0" w:rsidRDefault="00073FEC" w:rsidP="00073FEC">
      <w:pPr>
        <w:ind w:left="1134"/>
        <w:jc w:val="both"/>
        <w:rPr>
          <w:rFonts w:ascii="Times New Roman" w:eastAsia="Arial" w:hAnsi="Times New Roman" w:cs="Arial"/>
          <w:i/>
          <w:noProof/>
          <w:sz w:val="24"/>
        </w:rPr>
      </w:pPr>
      <w:r>
        <w:rPr>
          <w:rFonts w:ascii="Times New Roman" w:hAnsi="Times New Roman"/>
          <w:i/>
          <w:noProof/>
          <w:sz w:val="24"/>
        </w:rPr>
        <w:t>Lai kontrolētu vairāk nekā pusi no akcionāru balsstiesībām, nav vajadzīgs, lai institucionālajai vienībai pašai piederētu jebkādas balsstiesības. Noteikta sabiedrība – sabiedrība C – varētu būt meitasuzņēmums citai sabiedrībai B, kurā trešajai sabiedrībai A pieder lielākā daļa balsstiesību. Sabiedrība C ir sabiedrības B meitasuzņēmums, ja: vai nu, ja sabiedrība B kontrolē vairāk nekā pusi no akcionāru balsstiesībām sabiedrībā C, vai sabiedrība B ir sabiedrības C akcionārs ar tiesībām iecelt vai atcelt lielāko daļu sabiedrības C direktoru.</w:t>
      </w:r>
    </w:p>
    <w:p w:rsidR="00073FEC" w:rsidRPr="00C52B2A" w:rsidRDefault="00073FEC" w:rsidP="00073FEC">
      <w:pPr>
        <w:pStyle w:val="BodyText"/>
        <w:numPr>
          <w:ilvl w:val="0"/>
          <w:numId w:val="23"/>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Līdz ar to </w:t>
      </w:r>
      <w:r>
        <w:rPr>
          <w:rFonts w:ascii="Times New Roman" w:hAnsi="Times New Roman"/>
          <w:i/>
          <w:noProof/>
          <w:sz w:val="24"/>
        </w:rPr>
        <w:t>sabiedrība A</w:t>
      </w:r>
      <w:r>
        <w:rPr>
          <w:rFonts w:ascii="Times New Roman" w:hAnsi="Times New Roman"/>
          <w:noProof/>
          <w:sz w:val="24"/>
        </w:rPr>
        <w:t xml:space="preserve"> kontrolē arī </w:t>
      </w:r>
      <w:r>
        <w:rPr>
          <w:rFonts w:ascii="Times New Roman" w:hAnsi="Times New Roman"/>
          <w:i/>
          <w:noProof/>
          <w:sz w:val="24"/>
        </w:rPr>
        <w:t>sabiedrību C</w:t>
      </w:r>
      <w:r>
        <w:rPr>
          <w:rFonts w:ascii="Times New Roman" w:hAnsi="Times New Roman"/>
          <w:noProof/>
          <w:sz w:val="24"/>
        </w:rPr>
        <w:t xml:space="preserve"> “kaskādē”. Jāuzsver, ka valdības kontrole pār konkrētu vienību ir jānovērtē visā pilnībā, t. i., kā (visu) valdības vienību (iespējams, no atšķirīgiem valdības apakšsektoriem) visu interešu apvienojumu. EKS 2010 2.38. punkts attiecas arī uz citiem kontroles rādītājiem (sk. I.2. nodaļu “Kritēriji vienību klasificēšanai vispārējās valdības sektorā”).</w:t>
      </w:r>
    </w:p>
    <w:p w:rsidR="00073FEC" w:rsidRPr="001973D0" w:rsidRDefault="00073FEC" w:rsidP="00073FEC">
      <w:pPr>
        <w:pStyle w:val="BodyText"/>
        <w:numPr>
          <w:ilvl w:val="0"/>
          <w:numId w:val="23"/>
        </w:numPr>
        <w:tabs>
          <w:tab w:val="left" w:pos="1242"/>
        </w:tabs>
        <w:spacing w:before="0"/>
        <w:ind w:left="709" w:hanging="709"/>
        <w:jc w:val="both"/>
        <w:rPr>
          <w:rFonts w:ascii="Times New Roman" w:hAnsi="Times New Roman"/>
          <w:noProof/>
          <w:sz w:val="24"/>
        </w:rPr>
      </w:pPr>
      <w:r>
        <w:rPr>
          <w:rFonts w:ascii="Times New Roman" w:hAnsi="Times New Roman"/>
          <w:noProof/>
          <w:sz w:val="24"/>
        </w:rPr>
        <w:lastRenderedPageBreak/>
        <w:t>Kad publiskas kontrolakciju sabiedrības/centrālā biroja meitasuzņēmumu klasificē vispārējās valdības sektorā, pašu kapitāl</w:t>
      </w:r>
      <w:r w:rsidR="00FB19E2">
        <w:rPr>
          <w:rFonts w:ascii="Times New Roman" w:hAnsi="Times New Roman"/>
          <w:noProof/>
          <w:sz w:val="24"/>
        </w:rPr>
        <w:t>a saistības (AF.5) ieraksta</w:t>
      </w:r>
      <w:r>
        <w:rPr>
          <w:rFonts w:ascii="Times New Roman" w:hAnsi="Times New Roman"/>
          <w:noProof/>
          <w:sz w:val="24"/>
        </w:rPr>
        <w:t xml:space="preserve"> vispārējās valdības sektora finanšu k</w:t>
      </w:r>
      <w:r w:rsidR="00FB19E2">
        <w:rPr>
          <w:rFonts w:ascii="Times New Roman" w:hAnsi="Times New Roman"/>
          <w:noProof/>
          <w:sz w:val="24"/>
        </w:rPr>
        <w:t>ontos. Alternatīvs ierakstīšanas</w:t>
      </w:r>
      <w:r>
        <w:rPr>
          <w:rFonts w:ascii="Times New Roman" w:hAnsi="Times New Roman"/>
          <w:noProof/>
          <w:sz w:val="24"/>
        </w:rPr>
        <w:t xml:space="preserve"> paņēmiens, kas dažkārt var būt piemērotāks risinājums, ir tā nos</w:t>
      </w:r>
      <w:r w:rsidR="00FB19E2">
        <w:rPr>
          <w:rFonts w:ascii="Times New Roman" w:hAnsi="Times New Roman"/>
          <w:noProof/>
          <w:sz w:val="24"/>
        </w:rPr>
        <w:t>acītā pašu kapitāla ierakstīšana</w:t>
      </w:r>
      <w:r>
        <w:rPr>
          <w:rFonts w:ascii="Times New Roman" w:hAnsi="Times New Roman"/>
          <w:noProof/>
          <w:sz w:val="24"/>
        </w:rPr>
        <w:t>, ko valdība tur meitasuzņēmumā. Pēdējā minētajā gadījumā šāda AF.5 summa konsolidētajos finanšu kontos tiktu atskaitīta no vispārējās valdības AF.5 pozīcijas aktīva puses.</w:t>
      </w:r>
    </w:p>
    <w:p w:rsidR="00073FEC" w:rsidRPr="001973D0" w:rsidRDefault="00073FEC" w:rsidP="00073FEC">
      <w:pPr>
        <w:pStyle w:val="BodyText"/>
        <w:spacing w:before="0"/>
        <w:ind w:left="709" w:hanging="709"/>
        <w:jc w:val="both"/>
        <w:rPr>
          <w:rFonts w:ascii="Times New Roman" w:hAnsi="Times New Roman"/>
          <w:noProof/>
          <w:sz w:val="24"/>
        </w:rPr>
      </w:pPr>
      <w:r>
        <w:rPr>
          <w:rFonts w:ascii="Times New Roman" w:hAnsi="Times New Roman"/>
          <w:b/>
          <w:i/>
          <w:noProof/>
          <w:sz w:val="24"/>
        </w:rPr>
        <w:t>23.</w:t>
      </w:r>
      <w:r>
        <w:tab/>
      </w:r>
      <w:r>
        <w:rPr>
          <w:rFonts w:ascii="Times New Roman" w:hAnsi="Times New Roman"/>
          <w:noProof/>
          <w:sz w:val="24"/>
        </w:rPr>
        <w:t>Attiecībā uz valdības pašu kapitāla saistību bruto vai neto atspoguļojumu varētu būt lietderīgi nošķirt gadījumus atkarībā no sabiedrības īpašniekiem. Ja vienīgā īpašniece ir publiska kontrolakciju sabiedrība/centrālais birojs, atbilstošs varētu būt gan neto, gan bruto atspoguļojums. Ja tomēr valdība nav vienīgā netiešā meitasuzņēmuma īpašniece, tad atbilstošāks ir bruto atspoguļojums, lai parādītu vispārējās valdības pašu kapitāla saistības ar citiem sektoriem.</w:t>
      </w:r>
    </w:p>
    <w:p w:rsidR="00073FEC" w:rsidRPr="001973D0" w:rsidRDefault="00073FEC" w:rsidP="00073FEC">
      <w:pPr>
        <w:jc w:val="both"/>
        <w:rPr>
          <w:rFonts w:ascii="Times New Roman" w:hAnsi="Times New Roman"/>
          <w:noProof/>
          <w:sz w:val="24"/>
        </w:rPr>
      </w:pPr>
    </w:p>
    <w:p w:rsidR="00073FEC" w:rsidRPr="001973D0" w:rsidRDefault="00073FEC" w:rsidP="00073FEC">
      <w:pPr>
        <w:pStyle w:val="Heading4"/>
        <w:tabs>
          <w:tab w:val="left" w:pos="1350"/>
        </w:tabs>
        <w:ind w:left="0" w:firstLine="0"/>
        <w:jc w:val="both"/>
        <w:rPr>
          <w:rFonts w:ascii="Times New Roman" w:hAnsi="Times New Roman"/>
          <w:noProof/>
          <w:u w:val="thick" w:color="000000"/>
        </w:rPr>
      </w:pPr>
      <w:bookmarkStart w:id="64" w:name="I.6.4_Restructuring_and_privatisation_ag"/>
      <w:bookmarkEnd w:id="64"/>
      <w:r>
        <w:rPr>
          <w:rFonts w:ascii="Times New Roman" w:hAnsi="Times New Roman"/>
          <w:noProof/>
          <w:u w:val="none"/>
        </w:rPr>
        <w:t>I.6.4. </w:t>
      </w:r>
      <w:r>
        <w:rPr>
          <w:rFonts w:ascii="Times New Roman" w:hAnsi="Times New Roman"/>
          <w:noProof/>
          <w:u w:val="thick" w:color="000000"/>
        </w:rPr>
        <w:t>Pārstrukturēšanas un privatizācijas aģentūras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1555"/>
        </w:tabs>
        <w:jc w:val="both"/>
        <w:rPr>
          <w:rFonts w:ascii="Times New Roman" w:hAnsi="Times New Roman"/>
          <w:noProof/>
          <w:sz w:val="24"/>
        </w:rPr>
      </w:pPr>
      <w:r>
        <w:rPr>
          <w:rFonts w:ascii="Times New Roman" w:hAnsi="Times New Roman"/>
          <w:noProof/>
          <w:sz w:val="24"/>
        </w:rPr>
        <w:t>I.6.4.1. Pārstrukturēšanas aģentūras</w:t>
      </w:r>
    </w:p>
    <w:p w:rsidR="00073FEC" w:rsidRPr="001973D0" w:rsidRDefault="00073FEC" w:rsidP="00073FEC">
      <w:pPr>
        <w:pStyle w:val="Heading6"/>
        <w:tabs>
          <w:tab w:val="left" w:pos="1555"/>
        </w:tabs>
        <w:jc w:val="both"/>
        <w:rPr>
          <w:rFonts w:ascii="Times New Roman" w:hAnsi="Times New Roman"/>
          <w:noProof/>
          <w:sz w:val="24"/>
        </w:rPr>
      </w:pPr>
    </w:p>
    <w:p w:rsidR="00073FEC" w:rsidRPr="001973D0" w:rsidRDefault="00073FEC" w:rsidP="00073FEC">
      <w:pPr>
        <w:pStyle w:val="BodyText"/>
        <w:numPr>
          <w:ilvl w:val="0"/>
          <w:numId w:val="21"/>
        </w:numPr>
        <w:tabs>
          <w:tab w:val="left" w:pos="1418"/>
        </w:tabs>
        <w:spacing w:before="0"/>
        <w:ind w:left="709" w:hanging="709"/>
        <w:jc w:val="both"/>
        <w:rPr>
          <w:rFonts w:ascii="Times New Roman" w:hAnsi="Times New Roman"/>
          <w:noProof/>
          <w:sz w:val="24"/>
        </w:rPr>
      </w:pPr>
      <w:r>
        <w:rPr>
          <w:rFonts w:ascii="Times New Roman" w:hAnsi="Times New Roman"/>
          <w:noProof/>
          <w:sz w:val="24"/>
        </w:rPr>
        <w:t>Atbilstīgi tam, kā norādīts EKS 2010 20.44. punktā, valdība var kontrolēt pārstrukturēšanas aģentūras ar mērķi noteiktā laika posmā “pārstrukturēt” atsevišķas sabiedrības (galvenokārt publiskas sabiedrības, bet dažkārt arī privātas sabiedrības) jo īpaši gadījumos, kad tās pastāvīgi rada zaudējumus; Tas parasti nozīmē būtiskas pārmaiņas uzņēmējdarbības modelī un ievērojamas pārstrukturēto subjektu cilvēcisko un fizisko spēju korekcijas. Šajā saistībā šādas pārstrukturēšanas aģentūras var nodrošināt kapitāla pārvedumus, aizdevumus, iegūt pašu kapitālu vai piešķirt vienreizējas garantijas.</w:t>
      </w:r>
    </w:p>
    <w:p w:rsidR="00073FEC" w:rsidRPr="001973D0" w:rsidRDefault="00073FEC" w:rsidP="00073FEC">
      <w:pPr>
        <w:numPr>
          <w:ilvl w:val="0"/>
          <w:numId w:val="21"/>
        </w:numPr>
        <w:tabs>
          <w:tab w:val="left" w:pos="1418"/>
        </w:tabs>
        <w:ind w:left="709" w:hanging="709"/>
        <w:jc w:val="both"/>
        <w:rPr>
          <w:rFonts w:ascii="Times New Roman" w:eastAsia="Arial" w:hAnsi="Times New Roman" w:cs="Arial"/>
          <w:noProof/>
          <w:sz w:val="24"/>
        </w:rPr>
      </w:pPr>
      <w:r>
        <w:rPr>
          <w:rFonts w:ascii="Times New Roman" w:hAnsi="Times New Roman"/>
          <w:noProof/>
          <w:sz w:val="24"/>
        </w:rPr>
        <w:t>EKS 20.44. punktā sīkāk skaidrots, ka [..]</w:t>
      </w:r>
      <w:r>
        <w:rPr>
          <w:rFonts w:ascii="Times New Roman" w:hAnsi="Times New Roman"/>
          <w:i/>
          <w:noProof/>
          <w:sz w:val="24"/>
        </w:rPr>
        <w:t xml:space="preserve"> galvenais kritērijs pārstrukturēšanas aģentūru klasificēšanai sektoros ir tas, vai šādi subjekti ir finanšu starpnieki, kāds ir to galvenās darbības tirgus raksturojums un publiskās aģentūras riska pakāpe</w:t>
      </w:r>
      <w:r>
        <w:rPr>
          <w:rFonts w:ascii="Times New Roman" w:hAnsi="Times New Roman"/>
          <w:noProof/>
          <w:sz w:val="24"/>
        </w:rPr>
        <w:t>.</w:t>
      </w:r>
      <w:r>
        <w:rPr>
          <w:rFonts w:ascii="Times New Roman" w:hAnsi="Times New Roman"/>
          <w:i/>
          <w:noProof/>
          <w:sz w:val="24"/>
        </w:rPr>
        <w:t xml:space="preserve">“ ”Daudzos gadījumos pārstrukturēšanas aģentūras riska pakāpe ir zema, jo tai ir valsts finanšu atbalsts un tā darbojas valdības vārdā </w:t>
      </w:r>
      <w:r>
        <w:rPr>
          <w:rFonts w:ascii="Times New Roman" w:hAnsi="Times New Roman"/>
          <w:noProof/>
          <w:sz w:val="24"/>
        </w:rPr>
        <w:t>[..]. Kad pārstrukturēšanas aģentūras rīkojas valdības vārdā, tās ciešā kontrolē un ar skaidru valdības finanšu atbalstu, šie subjekti jāklasificē valdības sektorā, nevis finanšu sabiedrību sektorā.</w:t>
      </w:r>
    </w:p>
    <w:p w:rsidR="00073FEC" w:rsidRPr="001973D0" w:rsidRDefault="00073FEC" w:rsidP="00073FEC">
      <w:pPr>
        <w:pStyle w:val="BodyText"/>
        <w:numPr>
          <w:ilvl w:val="0"/>
          <w:numId w:val="21"/>
        </w:numPr>
        <w:tabs>
          <w:tab w:val="left" w:pos="1418"/>
        </w:tabs>
        <w:spacing w:before="0"/>
        <w:ind w:left="709" w:hanging="709"/>
        <w:jc w:val="both"/>
        <w:rPr>
          <w:rFonts w:ascii="Times New Roman" w:hAnsi="Times New Roman"/>
          <w:noProof/>
          <w:sz w:val="24"/>
        </w:rPr>
      </w:pPr>
      <w:r>
        <w:rPr>
          <w:rFonts w:ascii="Times New Roman" w:hAnsi="Times New Roman"/>
          <w:noProof/>
          <w:sz w:val="24"/>
        </w:rPr>
        <w:t>EKS 20.44. punktā arī norādīts, ka pārstrukturēšanas aģentūras var nodarboties ar privatizāciju un sanāciju. Sanācijas struktūras (kuras bieži vien ir pārstrukturēšanas procesa daļa) ir apspriestas rokasgrāmatas IV daļā (Attiecības starp valdību un finanšu sektoru).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1616"/>
        </w:tabs>
        <w:jc w:val="both"/>
        <w:rPr>
          <w:rFonts w:ascii="Times New Roman" w:hAnsi="Times New Roman"/>
          <w:noProof/>
          <w:sz w:val="24"/>
        </w:rPr>
      </w:pPr>
      <w:r>
        <w:rPr>
          <w:rFonts w:ascii="Times New Roman" w:hAnsi="Times New Roman"/>
          <w:noProof/>
          <w:sz w:val="24"/>
        </w:rPr>
        <w:t>I.6.4.2. Privatizācijas aģentūras</w:t>
      </w:r>
    </w:p>
    <w:p w:rsidR="00073FEC" w:rsidRPr="001973D0" w:rsidRDefault="00073FEC" w:rsidP="00073FEC">
      <w:pPr>
        <w:pStyle w:val="Heading6"/>
        <w:tabs>
          <w:tab w:val="left" w:pos="1616"/>
        </w:tabs>
        <w:jc w:val="both"/>
        <w:rPr>
          <w:rFonts w:ascii="Times New Roman" w:hAnsi="Times New Roman"/>
          <w:noProof/>
          <w:sz w:val="24"/>
        </w:rPr>
      </w:pPr>
    </w:p>
    <w:p w:rsidR="00073FEC" w:rsidRPr="001973D0" w:rsidRDefault="00073FEC" w:rsidP="00073FEC">
      <w:pPr>
        <w:numPr>
          <w:ilvl w:val="0"/>
          <w:numId w:val="21"/>
        </w:numPr>
        <w:tabs>
          <w:tab w:val="left" w:pos="1242"/>
        </w:tabs>
        <w:ind w:left="709" w:hanging="709"/>
        <w:jc w:val="both"/>
        <w:rPr>
          <w:rFonts w:ascii="Times New Roman" w:eastAsia="Arial" w:hAnsi="Times New Roman" w:cs="Arial"/>
          <w:noProof/>
          <w:sz w:val="24"/>
        </w:rPr>
      </w:pPr>
      <w:r>
        <w:rPr>
          <w:rFonts w:ascii="Times New Roman" w:hAnsi="Times New Roman"/>
          <w:noProof/>
          <w:sz w:val="24"/>
        </w:rPr>
        <w:t xml:space="preserve">EKS 20.210. punktā norādīts, ka </w:t>
      </w:r>
      <w:r>
        <w:rPr>
          <w:rFonts w:ascii="Times New Roman" w:hAnsi="Times New Roman"/>
          <w:i/>
          <w:noProof/>
          <w:sz w:val="24"/>
        </w:rPr>
        <w:t xml:space="preserve">privatizācija parasti ietver valdības veiktu publisko sabiedrību akciju vai cita pašu kapitāla pārdošanu </w:t>
      </w:r>
      <w:r>
        <w:rPr>
          <w:rFonts w:ascii="Times New Roman" w:hAnsi="Times New Roman"/>
          <w:noProof/>
          <w:sz w:val="24"/>
        </w:rPr>
        <w:t>[..]. Privatizācijas aģentūras tur daļas publiskajās sabiedrībās, kuras valdība plāno realizēt. Šādas vienības nav centrālie biroji saskaņā ar EKS 2010, jo tās reāli neiesaistās (vai iesaistās minimāli) to uzņēmumu vadībā, kuru aktīvus tās tur, bet ir izveidotas tikai ar mērķi veicināt to realizāciju finanšu tirgos.</w:t>
      </w:r>
    </w:p>
    <w:p w:rsidR="00073FEC" w:rsidRPr="00515C6E"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Privatizācijas aģentūras jāklasificē vispārējās valdības sektorā, jo tās pārvalda aktīvus tās valdības vārdā, kura ir šo aktīvu galīgā īpašniece, un to “</w:t>
      </w:r>
      <w:r>
        <w:rPr>
          <w:rFonts w:ascii="Times New Roman" w:hAnsi="Times New Roman"/>
          <w:i/>
          <w:noProof/>
          <w:sz w:val="24"/>
        </w:rPr>
        <w:t>galvenā funkcija ir pārdalīt nacionālo ienākumu un bagātību, novirzot līdzekļus no vienas vienības uz citu</w:t>
      </w:r>
      <w:r>
        <w:rPr>
          <w:rFonts w:ascii="Times New Roman" w:hAnsi="Times New Roman"/>
          <w:noProof/>
          <w:sz w:val="24"/>
        </w:rPr>
        <w:t>”, sk. EKS 2045. punkta a) apakšpunktu.</w:t>
      </w:r>
    </w:p>
    <w:p w:rsidR="00073FEC" w:rsidRPr="001973D0" w:rsidRDefault="00073FEC" w:rsidP="00073FEC">
      <w:pPr>
        <w:numPr>
          <w:ilvl w:val="0"/>
          <w:numId w:val="21"/>
        </w:numPr>
        <w:tabs>
          <w:tab w:val="left" w:pos="1282"/>
        </w:tabs>
        <w:ind w:left="709" w:hanging="709"/>
        <w:jc w:val="both"/>
        <w:rPr>
          <w:rFonts w:ascii="Times New Roman" w:eastAsia="Arial" w:hAnsi="Times New Roman" w:cs="Arial"/>
          <w:noProof/>
          <w:sz w:val="24"/>
        </w:rPr>
      </w:pPr>
      <w:r>
        <w:rPr>
          <w:rFonts w:ascii="Times New Roman" w:hAnsi="Times New Roman"/>
          <w:noProof/>
          <w:sz w:val="24"/>
        </w:rPr>
        <w:t xml:space="preserve">Gadījumā, kad publisks centrālais birojs ir iesaistīts gan tirgus uzņēmējdarbībā (izmaksas sedz no pārdošanas ieņēmumiem), gan aktīvu pārvaldībā, lai veiktu </w:t>
      </w:r>
      <w:r>
        <w:rPr>
          <w:rFonts w:ascii="Times New Roman" w:hAnsi="Times New Roman"/>
          <w:noProof/>
          <w:sz w:val="24"/>
        </w:rPr>
        <w:lastRenderedPageBreak/>
        <w:t>privatizāciju attiecībā uz dažiem tā meitasuzņēmumiem, to var nebūt iespējams sadalīt divās atsevišķās institucionālās vienībās. Šādā gadījumā piemēro EKS 2010 20.45. punktu, proti, [..]</w:t>
      </w:r>
      <w:r>
        <w:rPr>
          <w:rFonts w:ascii="Times New Roman" w:hAnsi="Times New Roman"/>
          <w:i/>
          <w:noProof/>
          <w:sz w:val="24"/>
        </w:rPr>
        <w:t xml:space="preserve"> vienību klasificē kā sabiedrību, un valdības vārdā veiktos darījumus novirza caur vispārējo valdību</w:t>
      </w:r>
      <w:r>
        <w:rPr>
          <w:rFonts w:ascii="Times New Roman" w:hAnsi="Times New Roman"/>
          <w:noProof/>
          <w:sz w:val="24"/>
        </w:rPr>
        <w:t>. Tāpēc, ja kāda vienība veic darījumus citas vispārējās valdības sektorā iekļautas v</w:t>
      </w:r>
      <w:r w:rsidR="00FB19E2">
        <w:rPr>
          <w:rFonts w:ascii="Times New Roman" w:hAnsi="Times New Roman"/>
          <w:noProof/>
          <w:sz w:val="24"/>
        </w:rPr>
        <w:t>ienības vārdā, tad tos ieraksta</w:t>
      </w:r>
      <w:r>
        <w:rPr>
          <w:rFonts w:ascii="Times New Roman" w:hAnsi="Times New Roman"/>
          <w:noProof/>
          <w:sz w:val="24"/>
        </w:rPr>
        <w:t xml:space="preserve"> valdības kontos.</w:t>
      </w:r>
    </w:p>
    <w:p w:rsidR="00073FEC" w:rsidRPr="001973D0" w:rsidRDefault="00073FEC" w:rsidP="00073FEC">
      <w:pPr>
        <w:jc w:val="both"/>
        <w:rPr>
          <w:rFonts w:ascii="Times New Roman" w:eastAsia="Arial" w:hAnsi="Times New Roman" w:cs="Arial"/>
          <w:noProof/>
          <w:sz w:val="24"/>
        </w:rPr>
      </w:pPr>
    </w:p>
    <w:p w:rsidR="00073FEC" w:rsidRPr="001973D0" w:rsidRDefault="00073FEC" w:rsidP="00073FEC">
      <w:pPr>
        <w:pStyle w:val="Heading4"/>
        <w:tabs>
          <w:tab w:val="left" w:pos="1456"/>
        </w:tabs>
        <w:ind w:left="0" w:firstLine="0"/>
        <w:jc w:val="both"/>
        <w:rPr>
          <w:rFonts w:ascii="Times New Roman" w:hAnsi="Times New Roman"/>
          <w:noProof/>
          <w:u w:val="thick" w:color="000000"/>
        </w:rPr>
      </w:pPr>
      <w:bookmarkStart w:id="65" w:name="I.6.5_Market_regulatory_bodies_and_profe"/>
      <w:bookmarkEnd w:id="65"/>
      <w:r>
        <w:rPr>
          <w:rFonts w:ascii="Times New Roman" w:hAnsi="Times New Roman"/>
          <w:noProof/>
          <w:u w:val="none"/>
        </w:rPr>
        <w:t>I.6.5. </w:t>
      </w:r>
      <w:r>
        <w:rPr>
          <w:rFonts w:ascii="Times New Roman" w:hAnsi="Times New Roman"/>
          <w:noProof/>
          <w:u w:val="thick" w:color="000000"/>
        </w:rPr>
        <w:t>Tirgu regulējošās struktūras un profesionālās apvienības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1595"/>
        </w:tabs>
        <w:jc w:val="both"/>
        <w:rPr>
          <w:rFonts w:ascii="Times New Roman" w:hAnsi="Times New Roman"/>
          <w:noProof/>
          <w:sz w:val="24"/>
        </w:rPr>
      </w:pPr>
      <w:r>
        <w:rPr>
          <w:rFonts w:ascii="Times New Roman" w:hAnsi="Times New Roman"/>
          <w:noProof/>
          <w:sz w:val="24"/>
        </w:rPr>
        <w:t>I.6.5.1. Tirgu regulējošās struktūras</w:t>
      </w:r>
    </w:p>
    <w:p w:rsidR="00073FEC" w:rsidRPr="001973D0" w:rsidRDefault="00073FEC" w:rsidP="00073FEC">
      <w:pPr>
        <w:pStyle w:val="Heading6"/>
        <w:tabs>
          <w:tab w:val="left" w:pos="1595"/>
        </w:tabs>
        <w:jc w:val="both"/>
        <w:rPr>
          <w:rFonts w:ascii="Times New Roman" w:hAnsi="Times New Roman"/>
          <w:noProof/>
          <w:sz w:val="24"/>
        </w:rPr>
      </w:pP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Šajā nodaļā</w:t>
      </w:r>
      <w:r>
        <w:rPr>
          <w:rStyle w:val="FootnoteReference"/>
          <w:rFonts w:ascii="Times New Roman" w:hAnsi="Times New Roman"/>
          <w:noProof/>
          <w:sz w:val="24"/>
        </w:rPr>
        <w:footnoteReference w:id="84"/>
      </w:r>
      <w:r>
        <w:rPr>
          <w:rFonts w:ascii="Times New Roman" w:hAnsi="Times New Roman"/>
          <w:noProof/>
          <w:sz w:val="24"/>
        </w:rPr>
        <w:t xml:space="preserve"> raksturotās tirgu regulējošās struktūras (sauktas arī par iestādēm, aģentūrām, regulatoriem utt.) ir ar likumu pilnvarotas noteikt kādus noteikumus (normas, nosacījumus, saistības utt.). Šie noteikumi ir juridiski saistoši, un visiem tirgus dalībniekiem, kas darbojas konkrētā jomā, tie ir jāievēro, pretējā gadījumā tos var saukt pie atbildības (piemērot sankcijas). Tādējādi tirgu regulējošās struktūras pieņem lēmumus par dažiem galvenajiem mainīgajiem lielumiem, ietekmējot vienību darbību veikšanas un ieņēmumu saņemšanas veidu.</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Tirgu regulējošu struktūru pienākumos var ietilpt arī normu kontrolēšana, lai arī šo uzdevumu varētu deleģēt īpašai vienībai, kam nav normatīvo pilnvaru. Turklāt tirgu regulējošās struktūras var veikt </w:t>
      </w:r>
      <w:r>
        <w:rPr>
          <w:rFonts w:ascii="Times New Roman" w:hAnsi="Times New Roman"/>
          <w:i/>
          <w:noProof/>
          <w:sz w:val="24"/>
        </w:rPr>
        <w:t>ex ante</w:t>
      </w:r>
      <w:r>
        <w:rPr>
          <w:rFonts w:ascii="Times New Roman" w:hAnsi="Times New Roman"/>
          <w:noProof/>
          <w:sz w:val="24"/>
        </w:rPr>
        <w:t xml:space="preserve"> kontroli attiecībā uz pārstāvjiem, kas vēlas piedalīties darbībā, lai novērtētu viņu kompetenci, profesionālo statusu (licences, darbības atļaujas) un sniegt noteiktu apliecinājumu patērētājiem par amata kategorijas (ārstu, juristu utt.) profesionālo kompetenci un kvalifikāciju. Katrā ES dalībvalstī attiecībā uz vienībām, kas atbild par šo uzdevumu veikšanu, ir izstrādāti atšķirīgi modeļi. Pēdējās desmitgadēs šādas vienības ir izveidotas, piemēram, telekomunikāciju, transporta un enerģētikas nozarēs.</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20. nodaļas (Valdības konti) pirmajos punktos ir nepārprotamas norādes par to, kā klasificējamas vienības, kuru darbības ir vērstas uz pakalpojumu sniegšanu kopienai. Šīm vienībām ir piešķirta suverenā vara, kas “ietekmē ekonomikas vienību rīcību.” 20. nodaļā ir skaidri nošķirtas “valdības galvenās vienības” (atkarībā no valsts budžeta) un citas valdības struktūras, kas tiek atzītas par autonomām institucionālām vienībām. Taču valdība daļu no saviem suverēnajiem uzdevumiem var deleģēt vienībām, kas nav valdības struktūras un kurām bieži vien ir bezpeļņas struktūras statuss. Ja šādu vienību darbība pārsvarā ir vērsta uz šo suverēno uzdevumu izpildi, ko cieši kontrolē valdība (kas var apstiprināt dažus lēmumus, vienību budžetu vai apstiprināt kādas sankcijas), šīs vienības iekļauj valdības regulējošo institūciju kopā un klasificē valdības sektorā.</w:t>
      </w:r>
    </w:p>
    <w:p w:rsidR="00073FEC" w:rsidRPr="00515C6E"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Daudzās ES dalībvalstīs tirgu regulējošās struktūras parasti uzskata par valdības vienībām (ko iekļauj centrālās valdības apakšsektorā, jo tās realizē savas pilnvaras visā valstī), lai arī kāds būtu to juridiskais statuss, locekļu iecelšanas veids, neatkarības pakāpe no izpildvienībām utt. Tā ir tāpēc, ka tās darbojas ne tikai tirgus dalībnieku interesēs, bet arī (iespējams, galvenokārt) kolektīvu mērķu labad, t. i., visas kopienas labā, jo īpaši, lai stiprinātu patērētāju uzticību, un/vai tāpēc, ka ražošanas sistēmā šādai darbībai ir liela nozīme.</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Tirgu regulējošās struktūras var saņemt finansējumu no valdības, taču var būt tiesīgas regulāri vai neregulāri saņemt līdzekļus tieši no pilnvarotajiem pārstāvjiem. Šādu ieņēmumu klasifikācija jāveic, ievērojot EKS 2010 vispārējos noteikumus. Ja ražošanas </w:t>
      </w:r>
      <w:r>
        <w:rPr>
          <w:rFonts w:ascii="Times New Roman" w:hAnsi="Times New Roman"/>
          <w:noProof/>
          <w:sz w:val="24"/>
        </w:rPr>
        <w:lastRenderedPageBreak/>
        <w:t>vienībām (pilnvarotajiem pārstāvjiem) ir jāmaksā kopumā summa, kura atbilst izmaksām, kas regulatoram radusies saistībā ar sav</w:t>
      </w:r>
      <w:r w:rsidR="00FB19E2">
        <w:rPr>
          <w:rFonts w:ascii="Times New Roman" w:hAnsi="Times New Roman"/>
          <w:noProof/>
          <w:sz w:val="24"/>
        </w:rPr>
        <w:t>u uzdevumu veikšanu, to ieraksta</w:t>
      </w:r>
      <w:r>
        <w:rPr>
          <w:rFonts w:ascii="Times New Roman" w:hAnsi="Times New Roman"/>
          <w:noProof/>
          <w:sz w:val="24"/>
        </w:rPr>
        <w:t xml:space="preserve"> kā pakalpojuma maksu (pakalpojumu pārdošanu). Ja maksājumi būtiski pārsniedz regulēšanas izmaksas (“pilnīgi neatbilst [..] izmaksām”, kā noteikts EKS 2010 4.23. punkta e)</w:t>
      </w:r>
      <w:r w:rsidR="00FB19E2">
        <w:rPr>
          <w:rFonts w:ascii="Times New Roman" w:hAnsi="Times New Roman"/>
          <w:noProof/>
          <w:sz w:val="24"/>
        </w:rPr>
        <w:t> apakšpunktā), tās ir jāieraksta</w:t>
      </w:r>
      <w:r>
        <w:rPr>
          <w:rFonts w:ascii="Times New Roman" w:hAnsi="Times New Roman"/>
          <w:noProof/>
          <w:sz w:val="24"/>
        </w:rPr>
        <w:t xml:space="preserve"> kā nodoklis</w:t>
      </w:r>
      <w:r>
        <w:rPr>
          <w:rStyle w:val="FootnoteReference"/>
          <w:rFonts w:ascii="Times New Roman" w:hAnsi="Times New Roman"/>
          <w:noProof/>
          <w:sz w:val="24"/>
        </w:rPr>
        <w:footnoteReference w:id="85"/>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1555"/>
        </w:tabs>
        <w:jc w:val="both"/>
        <w:rPr>
          <w:rFonts w:ascii="Times New Roman" w:hAnsi="Times New Roman"/>
          <w:noProof/>
          <w:sz w:val="24"/>
        </w:rPr>
      </w:pPr>
      <w:r>
        <w:rPr>
          <w:rFonts w:ascii="Times New Roman" w:hAnsi="Times New Roman"/>
          <w:noProof/>
          <w:sz w:val="24"/>
        </w:rPr>
        <w:t>I.6.5.2. Profesionālās apvienības</w:t>
      </w:r>
    </w:p>
    <w:p w:rsidR="00073FEC" w:rsidRPr="001973D0" w:rsidRDefault="00073FEC" w:rsidP="00073FEC">
      <w:pPr>
        <w:pStyle w:val="Heading6"/>
        <w:tabs>
          <w:tab w:val="left" w:pos="1555"/>
        </w:tabs>
        <w:jc w:val="both"/>
        <w:rPr>
          <w:rFonts w:ascii="Times New Roman" w:hAnsi="Times New Roman"/>
          <w:noProof/>
          <w:sz w:val="24"/>
        </w:rPr>
      </w:pP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Bez iepriekš raksturotajām tirgu regulējošām struktūrām vairumā ES dalībvalstu pastāv daudzas “profesionālās apvienības”, kurās dalība var būt obligāta vai brīvprātīga. Šo struktūru galvenais mērķis ir “aizstāvēt” savu locekļu intereses kopumā, jo īpaši, slēdzot līgumus ar valdību vai regulējošām iestādēm, taču tās var arī neaprobežoties tikai ar to. Proti, profesionālās apvienības var arī īstenot savu locekļu un citu dalībnieku profesionālo kontroli. Kopumā profesionālās apvienības izmanto valdības noteiktās tiesību normas, tomēr tām var būt arī plašākas vai mazāk plašas valdības deleģētās normatīvās un regulējošās pilnvaras, kas ietekmē noteiktās jomās darbojošos tirgus dalībnieku darbības veidu. Valdība, piemēram, var izstrādāt vispārēju tiesisko regulējumu un šiem subjektiem tad uzdot izstrādāt praktiskas vadlīnijas par to, kā izpildīt prasības. Profesionālajām apvienībām var būt pat pilnvaras piemērot kādas (piemēram, finanšu) sankcijas profesionālas nolaidības gadījumos.</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20.02. punktā norādīts, ka valdībām “</w:t>
      </w:r>
      <w:r>
        <w:rPr>
          <w:rFonts w:ascii="Times New Roman" w:hAnsi="Times New Roman"/>
          <w:i/>
          <w:noProof/>
          <w:sz w:val="24"/>
        </w:rPr>
        <w:t>ir pilnvaras iekasēt nodokļus un citas obligātās nodevas un izdot likumus</w:t>
      </w:r>
      <w:r>
        <w:rPr>
          <w:rFonts w:ascii="Times New Roman" w:hAnsi="Times New Roman"/>
          <w:noProof/>
          <w:sz w:val="24"/>
        </w:rPr>
        <w:t>”. Termins “likumi” ir jāsaprot plašā nozīmē, jo dažas normas var nebūt likuma formā, par ko balso parlaments, taču var līdzīgā veidā ierobežot ekonomikas subjektus attiecībā uz kādu saimniecisko darbību veikšanu. Ciktāl jautājums skar resursus, visas maksas, kas tiek piemērotas kādiem ekonomikas subjektiem tikai par to, ka tie nodarbojas ar kādu darbību (vai sniedz kādus pakalpojumus), un kuras skaidri liecina, ka tās nav proporcionālas sniegtā pakalpojuma izmaksām, ir jākla</w:t>
      </w:r>
      <w:r w:rsidR="00FB19E2">
        <w:rPr>
          <w:rFonts w:ascii="Times New Roman" w:hAnsi="Times New Roman"/>
          <w:noProof/>
          <w:sz w:val="24"/>
        </w:rPr>
        <w:t>sificē kā nodoklis un jāieraksta</w:t>
      </w:r>
      <w:r>
        <w:rPr>
          <w:rFonts w:ascii="Times New Roman" w:hAnsi="Times New Roman"/>
          <w:noProof/>
          <w:sz w:val="24"/>
        </w:rPr>
        <w:t xml:space="preserve"> valdības ieņēmumos. Savukārt, ja iekasētās summas var identificēt kā sniegtā pakalpojum</w:t>
      </w:r>
      <w:r w:rsidR="00FB19E2">
        <w:rPr>
          <w:rFonts w:ascii="Times New Roman" w:hAnsi="Times New Roman"/>
          <w:noProof/>
          <w:sz w:val="24"/>
        </w:rPr>
        <w:t>a faktisku ekvivalentu, tās ieraksta</w:t>
      </w:r>
      <w:r>
        <w:rPr>
          <w:rFonts w:ascii="Times New Roman" w:hAnsi="Times New Roman"/>
          <w:noProof/>
          <w:sz w:val="24"/>
        </w:rPr>
        <w:t xml:space="preserve"> kā pakalpojumu pārdošanu (sk. arī I.2.4.5. apakšiedaļu “Robežlīnija starp nodokļiem un pakalpojumu pārdošanu”). Ja kāda privāta struktūra veic kādus reglamentējošus uzdevumus, taču netiek klasificēta valdības sektorā, jo galvenokārt nodarbojas ar savu locekļu lobēšanu/apkalpošanu, iespējamie obligātie resursi, kas identificēti kā nodokļi, ir jāpārvirza uz valdību, kas pēc tam pārskaitītu līdzvērtīgu summu šai vienībai.</w:t>
      </w:r>
    </w:p>
    <w:p w:rsidR="00073FEC" w:rsidRPr="00515C6E"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Profesionālās apvienības sniedz pakalpojumus galvenokārt saviem biedriem, un tās parasti neklasificē valdības sektorā. Taču atkarībā no valdības deleģēto uzdevumu “suverenitātes pakāpes”, no tā, kādā apmērā šīs apvienības var iespējami ietekmēt profesionālā regulējuma veidošanu, kas piemērojams visiem attiecīgajiem dalībniekiem, un no tā, kādā apmērā valdība kontrolē šo apvienību lēmumus, tās dažos gadījumos var tikt iekļautas valdības regulējošās struktūrās, ja šo uzdevumu veikšana ir apvienības darbības nozīmīgākā daļa. Profesionālajām apvienībām var būt ļauts iekasēt obligātos maksājumus no saviem locekļiem. Ja šiem resursiem nav pakalpojuma maksas pazīmju, tas nozīmē, ka tos var pārvirzīt valdībai kā nodokļus.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390"/>
        </w:tabs>
        <w:ind w:left="0" w:firstLine="0"/>
        <w:jc w:val="both"/>
        <w:rPr>
          <w:rFonts w:ascii="Times New Roman" w:hAnsi="Times New Roman"/>
          <w:noProof/>
          <w:u w:val="thick" w:color="000000"/>
        </w:rPr>
      </w:pPr>
      <w:bookmarkStart w:id="66" w:name="I.6.6_Entities_having_the_features_of_ca"/>
      <w:bookmarkEnd w:id="66"/>
      <w:r>
        <w:rPr>
          <w:rFonts w:ascii="Times New Roman" w:hAnsi="Times New Roman"/>
          <w:noProof/>
          <w:u w:val="none"/>
        </w:rPr>
        <w:t>I.6.6. </w:t>
      </w:r>
      <w:r>
        <w:rPr>
          <w:rFonts w:ascii="Times New Roman" w:hAnsi="Times New Roman"/>
          <w:noProof/>
          <w:u w:val="thick" w:color="000000"/>
        </w:rPr>
        <w:t>Subjekti, kam ir piesaistošās finanšu iestādes pazīmes</w:t>
      </w:r>
    </w:p>
    <w:p w:rsidR="00073FEC" w:rsidRPr="001973D0" w:rsidRDefault="00073FEC" w:rsidP="00073FEC">
      <w:pPr>
        <w:pStyle w:val="Heading4"/>
        <w:tabs>
          <w:tab w:val="left" w:pos="1390"/>
        </w:tabs>
        <w:ind w:left="0" w:firstLine="0"/>
        <w:jc w:val="both"/>
        <w:rPr>
          <w:rFonts w:ascii="Times New Roman" w:hAnsi="Times New Roman"/>
          <w:noProof/>
          <w:u w:val="thick" w:color="000000"/>
        </w:rPr>
      </w:pP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EKS 2010 ir izveidota jauna finanšu sabiedrību kategorija “piesaistošās finanšu </w:t>
      </w:r>
      <w:r>
        <w:rPr>
          <w:rFonts w:ascii="Times New Roman" w:hAnsi="Times New Roman"/>
          <w:noProof/>
          <w:sz w:val="24"/>
        </w:rPr>
        <w:lastRenderedPageBreak/>
        <w:t>iestādes” (ko klasificē S.127 apakšsektorā), kas aprakstīta EKS 2010 2.21.–2.23. un 2.98.–2.99. punktā. Piesaistošās finanšu iestādes ir institucionālās vienības, kas nenodarbojas ar finanšu starpniecību un finanšu palīgpakalpojumiem. Tās nevajadzētu arī jaukt ar mākslīgiem meitasuzņēmumiem, kas raksturoti EKS 2010 2.24.–2.25. punktā</w:t>
      </w:r>
      <w:r>
        <w:rPr>
          <w:rStyle w:val="FootnoteReference"/>
          <w:rFonts w:ascii="Times New Roman" w:hAnsi="Times New Roman"/>
          <w:noProof/>
          <w:sz w:val="24"/>
        </w:rPr>
        <w:footnoteReference w:id="86"/>
      </w:r>
      <w:r>
        <w:rPr>
          <w:rFonts w:ascii="Times New Roman" w:hAnsi="Times New Roman"/>
          <w:noProof/>
          <w:sz w:val="24"/>
        </w:rPr>
        <w:t>, kas nav institucionālas vienības.</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EKS 2010 2.98. punktā skaidrots, ka piesaistošās finanšu iestādes [..]</w:t>
      </w:r>
      <w:r>
        <w:rPr>
          <w:rFonts w:ascii="Times New Roman" w:hAnsi="Times New Roman"/>
          <w:i/>
          <w:noProof/>
          <w:sz w:val="24"/>
        </w:rPr>
        <w:t xml:space="preserve"> nenodarbojas ne ar finanšu starpniecību, ne ar finanšu palīgpakalpojumiem</w:t>
      </w:r>
      <w:r>
        <w:rPr>
          <w:rFonts w:ascii="Times New Roman" w:hAnsi="Times New Roman"/>
          <w:noProof/>
          <w:sz w:val="24"/>
        </w:rPr>
        <w:t>” (kā uzskaitīts EKS 2010 2.96. punktā), jo tās faktiski nepakļauj sevi riskam un turklāt “lielākā daļa to aktīvu vai saistību nav iesaistīti darījumos atklātos tirgos”. Tas varētu nozīmēt, ka to aktīvi ir neapgrozāmi instrumenti (pēc būtības vai tāpēc, ka pastāv viens vienīgs ekvivalents) vai ka šos aktīvus nefinansē bankas (noguldījumu veidā) vai finanšu tirgi (vērtspapīru veidā) atbilstoši noteicošajiem tirgus apstākļiem, bet gan divpusējās attiecībās ar šo iestāžu kontrolējošo vienību dažādos iespējamos veidos (ar aizdevumiem, pašu kapitālu, citiem vērtspapīriem).</w:t>
      </w:r>
    </w:p>
    <w:p w:rsidR="00073FEC" w:rsidRPr="00CA12F3"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Piesaistošās finanšu iestādes uzskata par institucionālām vienībām saskaņā ar EKS 2010 kritērijiem (sk. EKS 2010 2.12. punktu)</w:t>
      </w:r>
      <w:r>
        <w:rPr>
          <w:rStyle w:val="FootnoteReference"/>
          <w:rFonts w:ascii="Times New Roman" w:hAnsi="Times New Roman"/>
          <w:noProof/>
          <w:sz w:val="24"/>
        </w:rPr>
        <w:footnoteReference w:id="87"/>
      </w:r>
      <w:r>
        <w:rPr>
          <w:rFonts w:ascii="Times New Roman" w:hAnsi="Times New Roman"/>
          <w:noProof/>
          <w:sz w:val="24"/>
        </w:rPr>
        <w:t>, taču tām ir ierobežota lemšanas spēja attiecībā uz savu kārtējo vadību, un tās ir ļoti atkarīgas no sava mātesuzņēmuma</w:t>
      </w:r>
      <w:r>
        <w:rPr>
          <w:rStyle w:val="FootnoteReference"/>
          <w:rFonts w:ascii="Times New Roman" w:hAnsi="Times New Roman"/>
          <w:noProof/>
          <w:sz w:val="24"/>
        </w:rPr>
        <w:footnoteReference w:id="88"/>
      </w:r>
      <w:r>
        <w:rPr>
          <w:rFonts w:ascii="Times New Roman" w:hAnsi="Times New Roman"/>
          <w:noProof/>
          <w:sz w:val="24"/>
        </w:rPr>
        <w:t xml:space="preserve"> (kontrolējošās vienības) attiecībā uz savu darbību veikšanu. Tādējādi kontrolējošās vienības ietekme ir lielāka nekā kontroles jēdziens nacionālajos kontos, kur kontrole attiecas uz vienības vispārējās politikas un stratēģijas ietekmi, t. i., mātesuzņēmuma kontrole sniedzas tālāk par galvenajiem lēmumiem, un nozīmīga ietekme ir vērojama arī “ikdienas” darbībās, ko veic, īstenojot noteikto stratēģiju.</w:t>
      </w:r>
    </w:p>
    <w:p w:rsidR="00073FEC" w:rsidRPr="00CA12F3"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Valdības kontrolētiem subjektiem var būt funkcijas, kas ir līdzīgas piesaistošo finanšu iestāžu funkcijām, var būt līdzīgas pazīmes, proti, darbošanās galvenokārt finanšu jomā (tās neražo preces un nesniedz nefinanšu pakalpojumus), to bilancē aktīvu pusē var būt pamatā finanšu aktīvi un ieņēmumi galvenokārt no īpašuma ienākuma, un valdība var būtiski ietekmēt to vadību. No risku viedokļa pieņem, ka valdība, visticamāk, automātiski un nekavējoties tieši vai netieši uzņemas negatīvās sekas, kas rodas no šo subjektu turējumā esošo aktīvu nepietiekamiem darbības rezultātiem. Parasti šādus subjektu, ko kontrolē valdība un kam vienlaikus piemīt turpmākajos punktos raksturotās un 47. punktā apkopotās pazīmes, klasificē vispārējās valdības sektorā (S.13)</w:t>
      </w:r>
      <w:r>
        <w:rPr>
          <w:rStyle w:val="FootnoteReference"/>
          <w:rFonts w:ascii="Times New Roman" w:hAnsi="Times New Roman"/>
          <w:noProof/>
          <w:sz w:val="24"/>
        </w:rPr>
        <w:footnoteReference w:id="89"/>
      </w:r>
      <w:r>
        <w:rPr>
          <w:rFonts w:ascii="Times New Roman" w:hAnsi="Times New Roman"/>
          <w:noProof/>
          <w:sz w:val="24"/>
        </w:rPr>
        <w:t>, nevis finanšu sabiedrību sektorā (S.12).</w:t>
      </w:r>
      <w:r>
        <w:rPr>
          <w:rStyle w:val="FootnoteReference"/>
          <w:rFonts w:ascii="Times New Roman" w:hAnsi="Times New Roman"/>
          <w:noProof/>
          <w:sz w:val="24"/>
        </w:rPr>
        <w:footnoteReference w:id="90"/>
      </w:r>
    </w:p>
    <w:p w:rsidR="00073FEC" w:rsidRPr="001973D0" w:rsidRDefault="00073FEC" w:rsidP="00073FEC">
      <w:pPr>
        <w:jc w:val="both"/>
        <w:rPr>
          <w:rFonts w:ascii="Times New Roman" w:eastAsia="Arial" w:hAnsi="Times New Roman" w:cs="Arial"/>
          <w:noProof/>
          <w:sz w:val="24"/>
          <w:szCs w:val="27"/>
        </w:rPr>
      </w:pPr>
    </w:p>
    <w:p w:rsidR="00073FEC" w:rsidRPr="001973D0" w:rsidRDefault="00073FEC" w:rsidP="00073FEC">
      <w:pPr>
        <w:ind w:left="709"/>
        <w:jc w:val="both"/>
        <w:rPr>
          <w:rFonts w:ascii="Times New Roman" w:hAnsi="Times New Roman"/>
          <w:i/>
          <w:noProof/>
          <w:sz w:val="24"/>
          <w:u w:val="single" w:color="000000"/>
        </w:rPr>
      </w:pPr>
      <w:r>
        <w:rPr>
          <w:rFonts w:ascii="Times New Roman" w:hAnsi="Times New Roman"/>
          <w:i/>
          <w:noProof/>
          <w:sz w:val="24"/>
          <w:u w:val="single" w:color="000000"/>
        </w:rPr>
        <w:t>Darbību diapazons un no komercsubjektiem atšķirīga saimnieciskā rīcība</w:t>
      </w:r>
    </w:p>
    <w:p w:rsidR="00073FEC" w:rsidRPr="00CA12F3"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Valdības kontrolēts subjekts uz striktiem nosacījumiem (ja nav tiešu norādījumu par kādu konkrētu iejaukšanos) veic savu darbību, kas ietilpst ierobežotu darbību diapazonā, </w:t>
      </w:r>
      <w:r>
        <w:rPr>
          <w:rFonts w:ascii="Times New Roman" w:hAnsi="Times New Roman"/>
          <w:noProof/>
          <w:sz w:val="24"/>
        </w:rPr>
        <w:lastRenderedPageBreak/>
        <w:t>ko galvenokārt ir izstrādājis, būtiski ietekmē, cieši novēro un uzrauga mātesuzņēmums un ko nav iespējams mainīt. Lai arī vienībai tomēr ir zināma neatkarība ikdienas vadības jautājumos, tā tomēr īsteno mērķus, ko noteikusi tās kontrolējošā vienība, un tai ir piemēroti kādi konkrēti ierobežojumi. Svarīgi atzīmēt, ka mātesuzņēmums vienlaikus ietekmē arī aktīvus un saistības. Tādējādi šāda “piesaistošā” vienība darbojas atšķirīgi no privātas finanšu iestādes, t. i., tā nedarbojas kā “parasts” komerciāls subjekts, kas meklē veidus, kā paplašināt savu darbību klāstu, specializējas kādās (rentablākās) jomās, izšķiras par labu vienai vai citai stratēģijai, un kopumā meklē veidus, kā iegūt tirgus peļņas normu līdzīgās darbībās. Subjekta darbībās izšķiroša loma ir valdībai, un tai nav nepieciešama tirgus peļņas norma, t. i., tās mērķis nav nodrošināt peļņu valdībai (piemēram, minimālo atdeves likmi no pašu kapitāla). Šādas vienības nesniedz pakalpojumus valdības vienību labā, bet veic finansiālus uzdevumus gandrīz vienīgi saistībā ar valsts politikas mērķiem stingrā valdības uzraudzībā. Faktiski šie subjekti ir alternatīvs veids tam, kā šos uzdevumus tiešā veidā veiktu pati valdība.</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Šīs darbības un saimnieciskā rīcība atšķiras no tās, kāda ir valdības subjektiem, kas sniedz palīgpakalpojumus, un/vai mākslīgajiem meitasuzņēmumiem (abi nav institucionālās vienības), kas galvenokārt veic uzdevumus tikai kontrolējošai valdības vienībai (vai, iespējams, vairākām viena veida vienībām) un kuriem lielākā daļa to aktīvu nav prasījumi pret citiem sektoriem, izņemot valdību.</w:t>
      </w:r>
    </w:p>
    <w:p w:rsidR="00073FEC" w:rsidRPr="001973D0" w:rsidRDefault="00073FEC" w:rsidP="00073FEC">
      <w:pPr>
        <w:jc w:val="both"/>
        <w:rPr>
          <w:rFonts w:ascii="Times New Roman" w:eastAsia="Arial" w:hAnsi="Times New Roman" w:cs="Arial"/>
          <w:noProof/>
          <w:sz w:val="24"/>
          <w:szCs w:val="27"/>
        </w:rPr>
      </w:pPr>
    </w:p>
    <w:p w:rsidR="00073FEC" w:rsidRPr="001973D0" w:rsidRDefault="00073FEC" w:rsidP="00073FEC">
      <w:pPr>
        <w:ind w:left="709"/>
        <w:jc w:val="both"/>
        <w:rPr>
          <w:rFonts w:ascii="Times New Roman" w:hAnsi="Times New Roman"/>
          <w:i/>
          <w:noProof/>
          <w:sz w:val="24"/>
          <w:u w:val="single" w:color="000000"/>
        </w:rPr>
      </w:pPr>
      <w:r>
        <w:rPr>
          <w:rFonts w:ascii="Times New Roman" w:hAnsi="Times New Roman"/>
          <w:i/>
          <w:noProof/>
          <w:sz w:val="24"/>
          <w:u w:val="single" w:color="000000"/>
        </w:rPr>
        <w:t>Ierobežojumi aktīvu pusē</w:t>
      </w:r>
    </w:p>
    <w:p w:rsidR="00073FEC" w:rsidRPr="00CA12F3"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Ierobežojumi aktīvu pusē nozīmē, ka mātesuzņēmums/kontrolējošā vienība piemēro nosacījumus, kādos vienība drīkst darboties, bez iespējas tos mainīt (vai ar iespēju tikai pavisam nedaudz tos mainīt) pēc savas iniciatīvas, piemēram, attiecībā uz to, kādus aktīvus tā drīkst turēt, kādā veidā un apmērā tā var iejaukties, kādai jābūt peļņai no atsevišķiem aktīviem, kādi ir vienības darbības labumu guvēju raksturlielumi, kā arī attiecībā uz citiem nosacījumiem, ko kontrolējošā iestāde ir precīzi noteikusi, vienībai neatstājot nekādas vai ļoti mazas manevra iespējas.</w:t>
      </w:r>
      <w:r>
        <w:rPr>
          <w:rStyle w:val="FootnoteReference"/>
          <w:rFonts w:ascii="Times New Roman" w:hAnsi="Times New Roman"/>
          <w:noProof/>
          <w:sz w:val="24"/>
        </w:rPr>
        <w:footnoteReference w:id="91"/>
      </w:r>
      <w:r>
        <w:rPr>
          <w:rFonts w:ascii="Times New Roman" w:hAnsi="Times New Roman"/>
          <w:noProof/>
          <w:sz w:val="24"/>
        </w:rPr>
        <w:t xml:space="preserve"> Šeit varētu ietilpt arī gadījumi, kad ir nepieciešama </w:t>
      </w:r>
      <w:r>
        <w:rPr>
          <w:rFonts w:ascii="Times New Roman" w:hAnsi="Times New Roman"/>
          <w:i/>
          <w:noProof/>
          <w:sz w:val="24"/>
        </w:rPr>
        <w:t>ex ante</w:t>
      </w:r>
      <w:r>
        <w:rPr>
          <w:rFonts w:ascii="Times New Roman" w:hAnsi="Times New Roman"/>
          <w:noProof/>
          <w:sz w:val="24"/>
        </w:rPr>
        <w:t xml:space="preserve"> atļauja, lai vienība varētu veikt nozīmīgu darbības daļu (piemēram, piešķirt aizdevumus vai iegādāties akcijas). Piemēram, ja vairumam aizdevumu (skaitliskā vai pamatsummas izteiksmē), ko piešķir šāda vienība, (vai ieguldījumiem citos finanšu instrumentos) ir nepieciešama kontrolējošās vienības </w:t>
      </w:r>
      <w:r>
        <w:rPr>
          <w:rFonts w:ascii="Times New Roman" w:hAnsi="Times New Roman"/>
          <w:i/>
          <w:noProof/>
          <w:sz w:val="24"/>
        </w:rPr>
        <w:t>ex ante</w:t>
      </w:r>
      <w:r>
        <w:rPr>
          <w:rFonts w:ascii="Times New Roman" w:hAnsi="Times New Roman"/>
          <w:noProof/>
          <w:sz w:val="24"/>
        </w:rPr>
        <w:t xml:space="preserve"> atļauja, uzskatāms, ka aktīvus kontrolē šī kontrolējošā iestāde un vienībai faktiski ir piesaistošai finanšu iestādei līdzīgas pazīmes.</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Kā piemēru var minēt, teiksim, valdības kontrolētu subjektu, kam valdība uzticējusi veikt ar valsts politiku saistītas darbības, ko kopumā ierobežo kādi tieši šiem subjektiem noteiktie uzdevumi, piemēram, piešķirt aizdevumus ar labvēlīgākiem nosacījumiem nekā tirgus nosacījumi vai veikt ieguldījumu kādās īpašās vienībās vai sektoros (kā sviras rīku).</w:t>
      </w:r>
      <w:r>
        <w:rPr>
          <w:rStyle w:val="FootnoteReference"/>
          <w:rFonts w:ascii="Times New Roman" w:hAnsi="Times New Roman"/>
          <w:noProof/>
          <w:sz w:val="24"/>
        </w:rPr>
        <w:footnoteReference w:id="92"/>
      </w:r>
      <w:r>
        <w:rPr>
          <w:rFonts w:ascii="Times New Roman" w:hAnsi="Times New Roman"/>
          <w:noProof/>
          <w:sz w:val="24"/>
        </w:rPr>
        <w:t xml:space="preserve"> Šādas politikas piemēri ir ekonomikas attīstība, reģionālā politika, jaunas tehnoloģijas, klimata pārmaiņu mazināšana un pielāgošana, sociālā integrācija, nekustamā īpašuma īpašumtiesību pieejamība, terciārās izglītības pieejamība utt. Kā </w:t>
      </w:r>
      <w:r>
        <w:rPr>
          <w:rFonts w:ascii="Times New Roman" w:hAnsi="Times New Roman"/>
          <w:noProof/>
          <w:sz w:val="24"/>
        </w:rPr>
        <w:lastRenderedPageBreak/>
        <w:t>minēts iepriekš, valdības kontrolētas vienības pienākums ir veikt intervences pasākumus šaurā regulējumā, ko noteikusi valdība, pat ja valdība ne vienmēr oficiāli apstiprina/nosaka katru atsevišķu aktīvu piešķīrumu katram konkrētajam labuma guvējam, lai gan attiecībā uz nozīmīga lieluma darbībām tas bieži vien tomēr tā notiek.</w:t>
      </w:r>
    </w:p>
    <w:p w:rsidR="00073FEC" w:rsidRPr="001973D0" w:rsidRDefault="00073FEC" w:rsidP="00073FEC">
      <w:pPr>
        <w:jc w:val="both"/>
        <w:rPr>
          <w:rFonts w:ascii="Times New Roman" w:hAnsi="Times New Roman"/>
          <w:noProof/>
          <w:sz w:val="24"/>
        </w:rPr>
      </w:pPr>
    </w:p>
    <w:p w:rsidR="00073FEC" w:rsidRPr="001973D0" w:rsidRDefault="00073FEC" w:rsidP="00073FEC">
      <w:pPr>
        <w:ind w:left="709"/>
        <w:jc w:val="both"/>
        <w:rPr>
          <w:rFonts w:ascii="Times New Roman" w:hAnsi="Times New Roman"/>
          <w:i/>
          <w:noProof/>
          <w:sz w:val="24"/>
          <w:u w:val="single" w:color="000000"/>
        </w:rPr>
      </w:pPr>
      <w:r>
        <w:rPr>
          <w:rFonts w:ascii="Times New Roman" w:hAnsi="Times New Roman"/>
          <w:i/>
          <w:noProof/>
          <w:sz w:val="24"/>
          <w:u w:val="single" w:color="000000"/>
        </w:rPr>
        <w:t>Ierobežojumi saistību pusē</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Ja tiek ietekmēta subjekta saistību puse, tas nozīmē, ka vienība nevar aizņemties bez mātesuzņēmuma atļaujas vai ka to finansē galvenokārt mātesuzņēmums, vai ka dažos gadījumos lielāko daļu tās aizņēmumu garantē mātesuzņēmums. Šādos apstākļos vienība nevar lemt pati par resursiem, kas varētu ļaut tai paplašināt savu darbību jomu vai reorganizēt savus intervences pasākumus.</w:t>
      </w:r>
    </w:p>
    <w:p w:rsidR="00073FEC"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Rezumējot, vienībai, kas nodarbojas ar finanšu darbībām un ko kontrolē valdība, varētu būt piesaistošas finanšu iestādes pazīmes un tādējādi tā būtu klasificējama valdības sektorā, nevis finanšu sabiedrību sektorā (S.12), ja vienlaikus tiek izpildīti turpmāk minētie nosacījumi.</w:t>
      </w:r>
    </w:p>
    <w:p w:rsidR="00073FEC" w:rsidRPr="001973D0" w:rsidRDefault="00073FEC" w:rsidP="00073FEC">
      <w:pPr>
        <w:pStyle w:val="BodyText"/>
        <w:tabs>
          <w:tab w:val="left" w:pos="128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21"/>
        </w:numPr>
        <w:tabs>
          <w:tab w:val="left" w:pos="2341"/>
        </w:tabs>
        <w:spacing w:before="0"/>
        <w:ind w:left="1134" w:hanging="425"/>
        <w:jc w:val="both"/>
        <w:rPr>
          <w:rFonts w:ascii="Times New Roman" w:hAnsi="Times New Roman"/>
          <w:noProof/>
          <w:sz w:val="24"/>
        </w:rPr>
      </w:pPr>
      <w:r>
        <w:rPr>
          <w:rFonts w:ascii="Times New Roman" w:hAnsi="Times New Roman"/>
          <w:noProof/>
          <w:sz w:val="24"/>
        </w:rPr>
        <w:t>Vienība veic ierobežotu darbību kopumu, ievērojot striktus nosacījumus, ko noteikusi valdība (saskaņā ar valsts politikas mērķiem).</w:t>
      </w:r>
    </w:p>
    <w:p w:rsidR="00073FEC" w:rsidRDefault="00073FEC" w:rsidP="00073FEC">
      <w:pPr>
        <w:pStyle w:val="BodyText"/>
        <w:numPr>
          <w:ilvl w:val="1"/>
          <w:numId w:val="21"/>
        </w:numPr>
        <w:tabs>
          <w:tab w:val="left" w:pos="2341"/>
        </w:tabs>
        <w:spacing w:before="0"/>
        <w:ind w:left="1134" w:hanging="425"/>
        <w:jc w:val="both"/>
        <w:rPr>
          <w:rFonts w:ascii="Times New Roman" w:hAnsi="Times New Roman"/>
          <w:noProof/>
          <w:sz w:val="24"/>
        </w:rPr>
      </w:pPr>
      <w:r>
        <w:rPr>
          <w:rFonts w:ascii="Times New Roman" w:hAnsi="Times New Roman"/>
          <w:noProof/>
          <w:sz w:val="24"/>
        </w:rPr>
        <w:t>Ir apliecinājums tam, ka vienlaikus pastāv valdības ietekme vai ierobežojumi abās pusēs:</w:t>
      </w:r>
    </w:p>
    <w:p w:rsidR="00073FEC" w:rsidRPr="001973D0" w:rsidRDefault="00073FEC" w:rsidP="00073FEC">
      <w:pPr>
        <w:pStyle w:val="BodyText"/>
        <w:tabs>
          <w:tab w:val="left" w:pos="2341"/>
        </w:tabs>
        <w:spacing w:before="0"/>
        <w:ind w:left="0" w:firstLine="0"/>
        <w:jc w:val="both"/>
        <w:rPr>
          <w:rFonts w:ascii="Times New Roman" w:hAnsi="Times New Roman"/>
          <w:noProof/>
          <w:sz w:val="24"/>
        </w:rPr>
      </w:pPr>
    </w:p>
    <w:p w:rsidR="00073FEC" w:rsidRPr="001973D0" w:rsidRDefault="00073FEC" w:rsidP="00073FEC">
      <w:pPr>
        <w:pStyle w:val="BodyText"/>
        <w:numPr>
          <w:ilvl w:val="2"/>
          <w:numId w:val="21"/>
        </w:numPr>
        <w:tabs>
          <w:tab w:val="left" w:pos="2766"/>
        </w:tabs>
        <w:spacing w:before="0"/>
        <w:ind w:left="1701" w:hanging="567"/>
        <w:jc w:val="both"/>
        <w:rPr>
          <w:rFonts w:ascii="Times New Roman" w:hAnsi="Times New Roman"/>
          <w:noProof/>
          <w:sz w:val="24"/>
        </w:rPr>
      </w:pPr>
      <w:r>
        <w:rPr>
          <w:rFonts w:ascii="Times New Roman" w:hAnsi="Times New Roman"/>
          <w:noProof/>
          <w:sz w:val="24"/>
        </w:rPr>
        <w:t>vienības aktīvu pusē;</w:t>
      </w:r>
    </w:p>
    <w:p w:rsidR="00073FEC" w:rsidRDefault="00073FEC" w:rsidP="00073FEC">
      <w:pPr>
        <w:pStyle w:val="BodyText"/>
        <w:numPr>
          <w:ilvl w:val="2"/>
          <w:numId w:val="21"/>
        </w:numPr>
        <w:tabs>
          <w:tab w:val="left" w:pos="2766"/>
        </w:tabs>
        <w:spacing w:before="0"/>
        <w:ind w:left="1701" w:hanging="567"/>
        <w:jc w:val="both"/>
        <w:rPr>
          <w:rFonts w:ascii="Times New Roman" w:hAnsi="Times New Roman"/>
          <w:noProof/>
          <w:sz w:val="24"/>
        </w:rPr>
      </w:pPr>
      <w:r>
        <w:rPr>
          <w:rFonts w:ascii="Times New Roman" w:hAnsi="Times New Roman"/>
          <w:noProof/>
          <w:sz w:val="24"/>
        </w:rPr>
        <w:t>saistību pusē.</w:t>
      </w:r>
    </w:p>
    <w:p w:rsidR="00073FEC" w:rsidRPr="001973D0" w:rsidRDefault="00073FEC" w:rsidP="00073FEC">
      <w:pPr>
        <w:pStyle w:val="BodyText"/>
        <w:tabs>
          <w:tab w:val="left" w:pos="2766"/>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21"/>
        </w:numPr>
        <w:tabs>
          <w:tab w:val="left" w:pos="2341"/>
        </w:tabs>
        <w:spacing w:before="0"/>
        <w:ind w:left="1134" w:hanging="425"/>
        <w:jc w:val="both"/>
        <w:rPr>
          <w:rFonts w:ascii="Times New Roman" w:hAnsi="Times New Roman"/>
          <w:noProof/>
          <w:sz w:val="24"/>
        </w:rPr>
      </w:pPr>
      <w:r>
        <w:rPr>
          <w:rFonts w:ascii="Times New Roman" w:hAnsi="Times New Roman"/>
          <w:noProof/>
          <w:sz w:val="24"/>
        </w:rPr>
        <w:t xml:space="preserve">Vienība nedarbojas kā “parasts” komerciāls subjekts (piemēram, </w:t>
      </w:r>
      <w:r w:rsidR="007753C4">
        <w:rPr>
          <w:rFonts w:ascii="Times New Roman" w:hAnsi="Times New Roman"/>
          <w:noProof/>
          <w:sz w:val="24"/>
        </w:rPr>
        <w:t>nav sagaidāma tirgus likme</w:t>
      </w:r>
      <w:r>
        <w:rPr>
          <w:rFonts w:ascii="Times New Roman" w:hAnsi="Times New Roman"/>
          <w:noProof/>
          <w:sz w:val="24"/>
        </w:rPr>
        <w:t xml:space="preserve"> no pašu kapitāla</w:t>
      </w:r>
      <w:r w:rsidR="007753C4">
        <w:rPr>
          <w:rFonts w:ascii="Times New Roman" w:hAnsi="Times New Roman"/>
          <w:noProof/>
          <w:sz w:val="24"/>
        </w:rPr>
        <w:t xml:space="preserve"> atdeves</w:t>
      </w:r>
      <w:r>
        <w:rPr>
          <w:rFonts w:ascii="Times New Roman" w:hAnsi="Times New Roman"/>
          <w:noProof/>
          <w:sz w:val="24"/>
        </w:rPr>
        <w:t>).</w:t>
      </w:r>
    </w:p>
    <w:p w:rsidR="00073FEC" w:rsidRPr="001973D0" w:rsidRDefault="00073FEC" w:rsidP="00073FEC">
      <w:pPr>
        <w:jc w:val="both"/>
        <w:rPr>
          <w:rFonts w:ascii="Times New Roman" w:eastAsia="Arial" w:hAnsi="Times New Roman" w:cs="Arial"/>
          <w:noProof/>
          <w:sz w:val="24"/>
        </w:rPr>
      </w:pPr>
    </w:p>
    <w:p w:rsidR="00073FEC" w:rsidRPr="00CA12F3"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Piemēram, vienībai, ko kontrolē valdība un kas darbojas valdības noteiktu stingru ierobežojumu apstākļos, taču sevi tieši finansē tirgū bez valdības atbalsta (t. i., nav vajadzības saņemt valdības garantijas vai subsīdijas), varētu nebūt (visu) piesaistošas finanšu iestādes pazīmju. Tomēr, ja gan aktīvu, gan saistību pusē ir redzama ietekme vai ierobežojumi, subjekts faktiski varētu darboties kontrolējošas iestādes (valdības) labā.</w:t>
      </w:r>
    </w:p>
    <w:p w:rsidR="00073FEC" w:rsidRPr="00CA12F3"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Daži piesaistošu finanšu iestāžu piemēri ir sniegti EKS 2010 2.99. punktā, tomēr tie tieši neattiecas uz valdības kontrolēto piesaistošo finanšu iestāžu gadījumiem. Tomēr šie piemēri sniedz interesantu informāciju par dažiem šādu subjektu aspektiem. Proti, EKS 2010 2.99. punkta d) apakšpunktā minētas </w:t>
      </w:r>
      <w:r>
        <w:rPr>
          <w:rFonts w:ascii="Times New Roman" w:hAnsi="Times New Roman"/>
          <w:i/>
          <w:noProof/>
          <w:sz w:val="24"/>
        </w:rPr>
        <w:t>vienības, kas sniedz finanšu pakalpojumus tikai ar pašu līdzekļiem vai sponsoru nodrošinātiem līdzekļiem dažādiem klientiem un uzņemas saistības nepildošā parādnieka finanšu risku</w:t>
      </w:r>
      <w:r>
        <w:rPr>
          <w:rFonts w:ascii="Times New Roman" w:hAnsi="Times New Roman"/>
          <w:noProof/>
          <w:sz w:val="24"/>
        </w:rPr>
        <w:t>. Šim gadījumam ir nepieciešams pievērst īpašu uzmanību, ja šādas vienības kontrolē valdība, kura papildus tam, ka cieši kontrolē vairumu vienības darbību, kā minēts iepriekš, nodrošina vairumu tās resursu, izmantojot dažādus iespējamos finanšu instrumentus (piemēram, pašu kapitālu, noguldījumus, aizdevumus, vērtspapīrus). Svarīga pazīme, kā jau tika minēts iepriekš, ir tā, ka kopumā valdība nesniedz līdzekļus ar mērķi gūt tirgus peļņas normu (sk. piemēram, III.2. nodaļu “Kapitāla iepludināšana publiskās sabiedrībās”), bet gan dod priekšroku dažu savas politikas mērķu īstenošanai.</w:t>
      </w:r>
      <w:r>
        <w:rPr>
          <w:rStyle w:val="FootnoteReference"/>
          <w:rFonts w:ascii="Times New Roman" w:hAnsi="Times New Roman"/>
          <w:noProof/>
          <w:sz w:val="24"/>
        </w:rPr>
        <w:footnoteReference w:id="93"/>
      </w:r>
      <w:r>
        <w:rPr>
          <w:rFonts w:ascii="Times New Roman" w:hAnsi="Times New Roman"/>
          <w:noProof/>
          <w:sz w:val="24"/>
        </w:rPr>
        <w:t xml:space="preserve"> Šādos apstākļos valdības kontrolētai vienībai nav jānodrošina pietiekama peļņas norma, lai segtu ar aizņēmumu </w:t>
      </w:r>
      <w:r>
        <w:rPr>
          <w:rFonts w:ascii="Times New Roman" w:hAnsi="Times New Roman"/>
          <w:noProof/>
          <w:sz w:val="24"/>
        </w:rPr>
        <w:lastRenderedPageBreak/>
        <w:t>saistītās tirgus izmaksas, kā to darītu “parastās” finanšu iestādes.</w:t>
      </w:r>
    </w:p>
    <w:p w:rsidR="00073FEC" w:rsidRPr="001973D0" w:rsidRDefault="00073FEC" w:rsidP="00073FEC">
      <w:pPr>
        <w:jc w:val="both"/>
        <w:rPr>
          <w:rFonts w:ascii="Times New Roman" w:eastAsia="Arial" w:hAnsi="Times New Roman" w:cs="Arial"/>
          <w:noProof/>
          <w:sz w:val="24"/>
          <w:szCs w:val="27"/>
        </w:rPr>
      </w:pPr>
    </w:p>
    <w:p w:rsidR="00073FEC" w:rsidRPr="001973D0" w:rsidRDefault="00073FEC" w:rsidP="00073FEC">
      <w:pPr>
        <w:ind w:left="709"/>
        <w:jc w:val="both"/>
        <w:rPr>
          <w:rFonts w:ascii="Times New Roman" w:hAnsi="Times New Roman"/>
          <w:i/>
          <w:noProof/>
          <w:sz w:val="24"/>
          <w:u w:val="single" w:color="000000"/>
        </w:rPr>
      </w:pPr>
      <w:r>
        <w:rPr>
          <w:rFonts w:ascii="Times New Roman" w:hAnsi="Times New Roman"/>
          <w:i/>
          <w:noProof/>
          <w:sz w:val="24"/>
          <w:u w:val="single" w:color="000000"/>
        </w:rPr>
        <w:t>Daži īpaši gadījumi</w:t>
      </w:r>
    </w:p>
    <w:p w:rsidR="00073FEC" w:rsidRPr="00C262B9"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Saskaņā ar vispārējiem noteikumiem, kas aprakstīti iepriekš un apkopoti iepriekšējā punktā, jāizvērtē būtu vēl daži papildu aspekti. Piemēram, var gadīties, ka valdība nav vienīgais līdzekļu piešķīrējs (sponsors), un ir iesaistītas arī citas vienības (piemēram, bankas). Vienību varētu klasificēt kā valdības vienību neatkarīgi no tā, cik lielu finansējuma daļu sniedz valdība, ja visi līdzekļi, ko saņem vienība, nenodrošina tirgus p</w:t>
      </w:r>
      <w:r w:rsidR="00853CC5">
        <w:rPr>
          <w:rFonts w:ascii="Times New Roman" w:hAnsi="Times New Roman"/>
          <w:noProof/>
          <w:sz w:val="24"/>
        </w:rPr>
        <w:t xml:space="preserve">eļņas normu (piemēram, </w:t>
      </w:r>
      <w:r>
        <w:rPr>
          <w:rFonts w:ascii="Times New Roman" w:hAnsi="Times New Roman"/>
          <w:noProof/>
          <w:sz w:val="24"/>
        </w:rPr>
        <w:t>pašu kapitāla</w:t>
      </w:r>
      <w:r w:rsidR="00853CC5">
        <w:rPr>
          <w:rFonts w:ascii="Times New Roman" w:hAnsi="Times New Roman"/>
          <w:noProof/>
          <w:sz w:val="24"/>
        </w:rPr>
        <w:t xml:space="preserve"> atdevi</w:t>
      </w:r>
      <w:r>
        <w:rPr>
          <w:rFonts w:ascii="Times New Roman" w:hAnsi="Times New Roman"/>
          <w:noProof/>
          <w:sz w:val="24"/>
        </w:rPr>
        <w:t>, ko prasa parastie privātie akcionāri, vai parasto procentu komerclikmi).</w:t>
      </w:r>
      <w:r>
        <w:rPr>
          <w:rStyle w:val="FootnoteReference"/>
          <w:rFonts w:ascii="Times New Roman" w:hAnsi="Times New Roman"/>
          <w:noProof/>
          <w:sz w:val="24"/>
        </w:rPr>
        <w:footnoteReference w:id="94"/>
      </w:r>
      <w:r>
        <w:rPr>
          <w:rFonts w:ascii="Times New Roman" w:hAnsi="Times New Roman"/>
          <w:noProof/>
          <w:sz w:val="24"/>
        </w:rPr>
        <w:t xml:space="preserve"> Var būt arī gadījumi, kad citi resursu sniedzēji varētu darboties kā “parastie” ieguldītāji un prasīt peļņas normu, kas ir tuva parastajai tirgus peļņas normai. Tomēr, ņemot vērā, ka valdība varētu izšķiroši ietekmēt subjektu (kā aprakstīts iepriekš) un neprasīt tādu peļņas normu, kas līdzinātos citu līdzekļu sniedzēju normām, arī tādā gadījumā vienība būtu klasificējama kā valdības vienība visos gadījumos, kad valdība nodrošinātu vienībai vairāk par 50 % no kopējiem resursiem (izņemot kreditoru saistības) jebkādā veidā (pašu kapitāls, aizdevumi, vērtspapīri, garantijas).</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 var sniegt arī tiešas garantijas attiecībā uz subjekta izsniegtajiem finanšu instrumentiem, kas ļaus subjektam saņemt līdzekļus ar labākiem nosacījumiem (parasti gūstot priekšrocības, ņemot vērā sava galvotāja reitingu) vai pat saņemt piekļuvi fondu tirgum. Ja garantija attiektos uz lielāko daļu subjekta aizņēmumu, ko izsniegušas ar valdību nesaistītas struktūras, tie būtu beznosacījuma un tos kreditori varētu aktivizēt “pēc pirmā pieprasījuma”, šādu garantiju varētu pielīdzināt tiešai līdzekļu sniegšanai.</w:t>
      </w:r>
    </w:p>
    <w:p w:rsidR="00073FEC" w:rsidRPr="001973D0"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 xml:space="preserve">Vienība </w:t>
      </w:r>
      <w:r>
        <w:rPr>
          <w:rFonts w:ascii="Times New Roman" w:hAnsi="Times New Roman"/>
          <w:i/>
          <w:noProof/>
          <w:sz w:val="24"/>
        </w:rPr>
        <w:t>de facto</w:t>
      </w:r>
      <w:r>
        <w:rPr>
          <w:rFonts w:ascii="Times New Roman" w:hAnsi="Times New Roman"/>
          <w:noProof/>
          <w:sz w:val="24"/>
        </w:rPr>
        <w:t xml:space="preserve"> nepakļautu sevi riskam, un aizņēmuma izmaksas neatspoguļotu vienības riska līmeni, kurai valdības ietekmes dēļ varētu būt tikai ierobežota peļņa, ja tāda vispār varētu būt. Šādos gadījumos vienību klasificē vispārējās valdības sektorā.</w:t>
      </w:r>
    </w:p>
    <w:p w:rsidR="00073FEC" w:rsidRDefault="00073FEC" w:rsidP="00073FEC">
      <w:pPr>
        <w:pStyle w:val="BodyText"/>
        <w:spacing w:before="0"/>
        <w:ind w:left="709" w:firstLine="0"/>
        <w:jc w:val="both"/>
        <w:rPr>
          <w:rFonts w:ascii="Times New Roman" w:hAnsi="Times New Roman"/>
          <w:noProof/>
          <w:sz w:val="24"/>
        </w:rPr>
      </w:pPr>
      <w:r>
        <w:rPr>
          <w:rFonts w:ascii="Times New Roman" w:hAnsi="Times New Roman"/>
          <w:noProof/>
          <w:sz w:val="24"/>
        </w:rPr>
        <w:t>Visbeidzot, mēdz būt gadījumi, kad vienība var aizņemties tirgos, taču bez tiešām valdības garantijām attiecībā uz saviem parāda instrumentiem. Tomēr, ņemot vērā, ka valdība stingri kontrolē tās darbību un ka vienībai ir izšķiroša nozīme saistībā ar nozīmīgu valdības politiku, visticamāk, ieguldītājiem neradīsies nekādas šaubas par valdības atbalstu vajadzības gadījumā un novērtēs šādas situācijas “cenu”. Ja vienība nevarēs segt sava aizņēmuma tirgus izmaksas bez pastāvīga valdības atbalsta (kas varētu izpausties kā subsīdijas, ar kurām kompensē aktīvu procentu un saistību procentu starpību, kādas administratīvās izmaksas, sedz zaudējumus utt.), šādu vienību klasificē valdības sektorā.</w:t>
      </w:r>
    </w:p>
    <w:p w:rsidR="00073FEC" w:rsidRPr="001973D0" w:rsidRDefault="00073FEC" w:rsidP="00073FEC">
      <w:pPr>
        <w:pStyle w:val="BodyText"/>
        <w:spacing w:before="0"/>
        <w:ind w:left="0" w:firstLine="0"/>
        <w:jc w:val="both"/>
        <w:rPr>
          <w:rFonts w:ascii="Times New Roman" w:hAnsi="Times New Roman"/>
          <w:noProof/>
          <w:sz w:val="24"/>
        </w:rPr>
      </w:pPr>
    </w:p>
    <w:p w:rsidR="00073FEC" w:rsidRPr="00C262B9" w:rsidRDefault="00073FEC" w:rsidP="00073FEC">
      <w:pPr>
        <w:pStyle w:val="Heading4"/>
        <w:tabs>
          <w:tab w:val="left" w:pos="1457"/>
        </w:tabs>
        <w:ind w:left="0" w:firstLine="0"/>
        <w:jc w:val="both"/>
        <w:rPr>
          <w:rFonts w:ascii="Times New Roman" w:hAnsi="Times New Roman"/>
          <w:b w:val="0"/>
          <w:bCs w:val="0"/>
          <w:noProof/>
          <w:szCs w:val="16"/>
        </w:rPr>
      </w:pPr>
      <w:bookmarkStart w:id="67" w:name="I.6.7_Central_stock-holding_entities_(CS"/>
      <w:bookmarkEnd w:id="67"/>
      <w:r>
        <w:rPr>
          <w:rFonts w:ascii="Times New Roman" w:hAnsi="Times New Roman"/>
          <w:noProof/>
        </w:rPr>
        <w:t>I.6.7. Centrālās krājumu uzturēšanas struktūras (CKUS)</w:t>
      </w:r>
      <w:r>
        <w:rPr>
          <w:rStyle w:val="FootnoteReference"/>
          <w:rFonts w:ascii="Times New Roman" w:hAnsi="Times New Roman"/>
          <w:noProof/>
        </w:rPr>
        <w:footnoteReference w:id="95"/>
      </w:r>
    </w:p>
    <w:p w:rsidR="00073FEC" w:rsidRPr="001973D0" w:rsidRDefault="00073FEC" w:rsidP="00073FEC">
      <w:pPr>
        <w:pStyle w:val="Heading4"/>
        <w:tabs>
          <w:tab w:val="left" w:pos="1457"/>
        </w:tabs>
        <w:ind w:left="0" w:firstLine="0"/>
        <w:jc w:val="both"/>
        <w:rPr>
          <w:rFonts w:ascii="Times New Roman" w:hAnsi="Times New Roman"/>
          <w:b w:val="0"/>
          <w:bCs w:val="0"/>
          <w:noProof/>
          <w:szCs w:val="16"/>
          <w:u w:val="none"/>
        </w:rPr>
      </w:pP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Saskaņā ar 2009. gada Direktīvu</w:t>
      </w:r>
      <w:r>
        <w:rPr>
          <w:rStyle w:val="FootnoteReference"/>
          <w:rFonts w:ascii="Times New Roman" w:hAnsi="Times New Roman"/>
          <w:noProof/>
          <w:sz w:val="24"/>
        </w:rPr>
        <w:footnoteReference w:id="96"/>
      </w:r>
      <w:r>
        <w:rPr>
          <w:rFonts w:ascii="Times New Roman" w:hAnsi="Times New Roman"/>
          <w:noProof/>
          <w:sz w:val="24"/>
        </w:rPr>
        <w:t xml:space="preserve"> ES dalībvalstis var izveidot centrālo uzkrājumu uzturēšanas struktūru, lai nodrošinātu jēlnaftas un/vai naftas produktu drošības rezervju uzturēšanu, kas būtu lietojamas krīzes gadījumā. Valdība var tieši pārvaldīt šīs drošības rezerves vai arī nodot šīs pilnvaras valdības izveidotai vai ieceltai CKUS. Bez tam šajā direktīvā noteikts, ka CKUS vai valdība uz noteiktu laiku var deleģēt ar drošības </w:t>
      </w:r>
      <w:r>
        <w:rPr>
          <w:rFonts w:ascii="Times New Roman" w:hAnsi="Times New Roman"/>
          <w:noProof/>
          <w:sz w:val="24"/>
        </w:rPr>
        <w:lastRenderedPageBreak/>
        <w:t>rezervju pārvaldīšanu saistītus uzdevumus, izņemot konkrēto rezervju pārdošanu un iegādi. Šādus uzdevumus drīkst deleģēt vienīgi: 1) citai ES dalībvalstij, kuras teritorijā tādi krājumi tiek uzglabāti; vai 2) šīs ES dalībvalsts izveidotajai CKUS; vai 3) uzņēmējiem</w:t>
      </w:r>
      <w:r>
        <w:rPr>
          <w:rStyle w:val="FootnoteReference"/>
          <w:rFonts w:ascii="Times New Roman" w:hAnsi="Times New Roman"/>
          <w:noProof/>
          <w:sz w:val="24"/>
        </w:rPr>
        <w:footnoteReference w:id="97"/>
      </w:r>
      <w:r>
        <w:rPr>
          <w:rFonts w:ascii="Times New Roman" w:hAnsi="Times New Roman"/>
          <w:noProof/>
          <w:sz w:val="24"/>
        </w:rPr>
        <w:t>.</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Direktīvā noteikts, ka CKUS nav obligāti jādibina, taču, ja ES dalībvalsts ir nolēmusi izveidot šādu struktūru, tai ir jāievēro šādi nosacījumi: ES dalībvalstīm nav atļauts izveidot vairāk kā vienu CKUS, tai ir jābūt struktūrai vai dienestam, kura mērķis nav gūt peļņu un kurš darbojas vispārējās interesēs, un tās galvenais mērķis ir iegādāties, uzturēt un pārdot naftas krājumus šajā direktīvā noteiktajām vajadzībām. Maksas, ko uzņēmumi maksā par CKUS sniegtajiem pakalpojumiem, nepārsniedz pilnas sniegto pakalpojumu izmaksas, un tās nevar pieprasīt, pirms krājumi ir izveidoti.</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CKUS galvenā darbība ietver tikai naftas krājumu iegādi, uzturēšanu un pārdošanu šās direktīvas vajadzībām, un tas ir ES dalībvalstu valsts politikas jautājums. CKUS netiek izveidota nolūkā gūt kādu peļņu no savas darbības un var nest pat zaudējumus.</w:t>
      </w:r>
    </w:p>
    <w:p w:rsidR="00073FEC" w:rsidRPr="00C262B9"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CKUS darbības, mērķi un drošības rezervju raksturojumu un izlietojumu stingri reglamentē ES un valsts tiesību akti. Šie ierobežojumi paredzēti tādi, lai neapdraudētu šo krājumu pieejamību, fizisku piekļuvi tiem un to lietošanu krīzes gadījumā. Šie ierobežojumi ir jāņem vērā, izvērtējot citus valdības kontroles rādītājus. Ņemot vērā naftas rezerves krājumu stratēģisko būtību, attiecībā uz CKUS vienmēr pastāv valdības kontroles elements, ko nodrošina ar pārmērīgu regulējumu (sk. EKS 2010 20.309. punkta h) apakšpunktu).</w:t>
      </w:r>
    </w:p>
    <w:p w:rsidR="00073FEC"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Praksē izšķir četrus CKUS pamatveidus:</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20"/>
        </w:numPr>
        <w:tabs>
          <w:tab w:val="left" w:pos="2104"/>
        </w:tabs>
        <w:spacing w:before="0"/>
        <w:ind w:left="1134" w:hanging="425"/>
        <w:jc w:val="both"/>
        <w:rPr>
          <w:rFonts w:ascii="Times New Roman" w:hAnsi="Times New Roman"/>
          <w:noProof/>
          <w:sz w:val="24"/>
        </w:rPr>
      </w:pPr>
      <w:r>
        <w:rPr>
          <w:rFonts w:ascii="Times New Roman" w:hAnsi="Times New Roman"/>
          <w:noProof/>
          <w:sz w:val="24"/>
        </w:rPr>
        <w:t>CKUS ir vispārējās valdības sektora sastāvdaļa (piemēram, budžeta vai ārpusbudžeta vienība utt.);</w:t>
      </w:r>
    </w:p>
    <w:p w:rsidR="00073FEC" w:rsidRPr="001973D0" w:rsidRDefault="00073FEC" w:rsidP="00073FEC">
      <w:pPr>
        <w:pStyle w:val="BodyText"/>
        <w:numPr>
          <w:ilvl w:val="0"/>
          <w:numId w:val="20"/>
        </w:numPr>
        <w:tabs>
          <w:tab w:val="left" w:pos="2104"/>
        </w:tabs>
        <w:spacing w:before="0"/>
        <w:ind w:left="1134" w:hanging="425"/>
        <w:jc w:val="both"/>
        <w:rPr>
          <w:rFonts w:ascii="Times New Roman" w:hAnsi="Times New Roman"/>
          <w:noProof/>
          <w:sz w:val="24"/>
        </w:rPr>
      </w:pPr>
      <w:r>
        <w:rPr>
          <w:rFonts w:ascii="Times New Roman" w:hAnsi="Times New Roman"/>
          <w:noProof/>
          <w:sz w:val="24"/>
        </w:rPr>
        <w:t>CKUS ir publiska sabiedrība (t. i., to kontrolē valdība);</w:t>
      </w:r>
    </w:p>
    <w:p w:rsidR="00073FEC" w:rsidRPr="001973D0" w:rsidRDefault="00073FEC" w:rsidP="00073FEC">
      <w:pPr>
        <w:pStyle w:val="BodyText"/>
        <w:numPr>
          <w:ilvl w:val="0"/>
          <w:numId w:val="20"/>
        </w:numPr>
        <w:tabs>
          <w:tab w:val="left" w:pos="2104"/>
        </w:tabs>
        <w:spacing w:before="0"/>
        <w:ind w:left="1134" w:hanging="425"/>
        <w:jc w:val="both"/>
        <w:rPr>
          <w:rFonts w:ascii="Times New Roman" w:hAnsi="Times New Roman"/>
          <w:noProof/>
          <w:sz w:val="24"/>
        </w:rPr>
      </w:pPr>
      <w:r>
        <w:rPr>
          <w:rFonts w:ascii="Times New Roman" w:hAnsi="Times New Roman"/>
          <w:noProof/>
          <w:sz w:val="24"/>
        </w:rPr>
        <w:t>CKUS ir BPI/apvienība, kuras locekļi ir uzņēmēji;</w:t>
      </w:r>
    </w:p>
    <w:p w:rsidR="00073FEC" w:rsidRDefault="00073FEC" w:rsidP="00073FEC">
      <w:pPr>
        <w:pStyle w:val="BodyText"/>
        <w:numPr>
          <w:ilvl w:val="0"/>
          <w:numId w:val="20"/>
        </w:numPr>
        <w:tabs>
          <w:tab w:val="left" w:pos="2104"/>
        </w:tabs>
        <w:spacing w:before="0"/>
        <w:ind w:left="1134" w:hanging="425"/>
        <w:jc w:val="both"/>
        <w:rPr>
          <w:rFonts w:ascii="Times New Roman" w:hAnsi="Times New Roman"/>
          <w:noProof/>
          <w:sz w:val="24"/>
        </w:rPr>
      </w:pPr>
      <w:r>
        <w:rPr>
          <w:rFonts w:ascii="Times New Roman" w:hAnsi="Times New Roman"/>
          <w:noProof/>
          <w:sz w:val="24"/>
        </w:rPr>
        <w:t>CKUS var būt privāta sabiedrība, kas ir privātuzņēmēju īpašums.</w:t>
      </w:r>
    </w:p>
    <w:p w:rsidR="00073FEC" w:rsidRPr="001973D0" w:rsidRDefault="00073FEC" w:rsidP="00073FEC">
      <w:pPr>
        <w:pStyle w:val="BodyText"/>
        <w:tabs>
          <w:tab w:val="left" w:pos="2104"/>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Pirmajā un otrajā gadījumā valdība kontrolē CKUS vispārējo politiku (EKS 2010 20.18. punkts).</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Trešajā gadījumā galvenais jautājums ir, vai valdība faktiski kontrolē CKUS, ja tā ir apvienība/BPI, kuras locekļi ir uzņēmēji. Kontrole parasti tiek realizēta, nodrošinot balsstiesību vairākumu, paturot sev veto tiesības vai ieceļot valdes locekļu vairākumu. Citkārt valdība kontrolē CKUS, izmantojot citus līdzekļus, piemēram, ierobežo darbības, kuras CKUS drīkst veikt, kontrolē drošības rezervju izlietojumu un lemj par CKUS statūtu noteikumiem. Dažkārt tiek arī paredzēts, ka valdība garantē CKUS aizdevumus (EKS 2010 20.309. punkts). Ja vienības vienīgā vai dominējošā darbība ir izpildīt valdības noteiktās saistības, uzskatāms, ka vienība </w:t>
      </w:r>
      <w:r>
        <w:rPr>
          <w:rFonts w:ascii="Times New Roman" w:hAnsi="Times New Roman"/>
          <w:i/>
          <w:noProof/>
          <w:sz w:val="24"/>
        </w:rPr>
        <w:t>de facto</w:t>
      </w:r>
      <w:r>
        <w:rPr>
          <w:rFonts w:ascii="Times New Roman" w:hAnsi="Times New Roman"/>
          <w:noProof/>
          <w:sz w:val="24"/>
        </w:rPr>
        <w:t xml:space="preserve"> darbojas kā valdības pārstāvis, un ir klasificējama vispārējās valdības sektorā. Savukārt, ja vienība nodarbojas arī ar citām darbībām, nevis tikai izpilda valdības noteiktās rezervju turēšanas prasības, varētu secināt, ka valdība nenosaka vienības vispārējo politiku. Šādos konkrētos gadījumos vienību varētu klasificēt ārpus vispārējās valdības sektora.</w:t>
      </w:r>
    </w:p>
    <w:p w:rsidR="00073FEC" w:rsidRPr="001973D0"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Kā norādīts ceturtajā gadījumā, CKUS var būt privāta sabiedrība, kas pieder privātuzņēmējiem. Šobrīd tas nav izplatīts gadījums, jo Direktīva paredz, ka CKUS ir jābūt struktūrai vai dienestam, kura mērķis nav gūt peļņu un kurš darbojas vispārējās interesēs. Tāpēc šajā gadījumā būtu rūpīgi jāpārbauda, vai valdība kontrolē CKUS, </w:t>
      </w:r>
      <w:r>
        <w:rPr>
          <w:rFonts w:ascii="Times New Roman" w:hAnsi="Times New Roman"/>
          <w:noProof/>
          <w:sz w:val="24"/>
        </w:rPr>
        <w:lastRenderedPageBreak/>
        <w:t>izmantojot citus līdzekļus. Ja nav norāžu par valdības kontroli (sk. EKS 2010 20.309. punktu), varētu uzskatīt, ka CKUS ir privāta vienība un tā jāklasificē nefinanšu sabiedrību sektorā (S.11).</w:t>
      </w:r>
    </w:p>
    <w:p w:rsidR="00073FEC" w:rsidRPr="00E14B48" w:rsidRDefault="00073FEC" w:rsidP="00073FEC">
      <w:pPr>
        <w:pStyle w:val="BodyText"/>
        <w:numPr>
          <w:ilvl w:val="0"/>
          <w:numId w:val="21"/>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Valdības kontrolētu CKUS klasificē vispārējās valdības sektorā (S.13), ņemot vērā tās īpašo būtību (kā norādīts Direktīvā). Ja CKUS kontrolē valdība, CKUS darbības, kas saistītas ar drošības rezervju uzturēšanu, būtībā ir uzskatāmas par ārpustirgus ražošanu, jo valdības prasītais krājumu līmenis pārsniedz uzkrājumu, kas nepieciešams komerciāliem mērķiem</w:t>
      </w:r>
      <w:r>
        <w:rPr>
          <w:rStyle w:val="FootnoteReference"/>
          <w:rFonts w:ascii="Times New Roman" w:hAnsi="Times New Roman"/>
          <w:noProof/>
          <w:sz w:val="24"/>
        </w:rPr>
        <w:footnoteReference w:id="98"/>
      </w:r>
      <w:r>
        <w:rPr>
          <w:rFonts w:ascii="Times New Roman" w:hAnsi="Times New Roman"/>
          <w:noProof/>
          <w:sz w:val="24"/>
        </w:rPr>
        <w:t>. Visi maksājumi, ko veic uzņēmēji valdības kontrolētajām CKUS, ir uzskatāmi par produktu nodokļiem (D.21) (pat ja tie par tādiem netiek uzskatīti valsts tiesību aktos). Šīs nodevas, kas uzņēmējiem ir jāmaksā, nosaka valdība vai tās tiek noteiktas pēc saskaņotas formulas, un tas nozīmē, ka krājumus turošā vienība nereaģē uz tirgus signāliem (nemaina cenas, nepielāgo produkta apjomus utt.), kā tas būtu bijis tirgus darbības apstākļos.</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Ja CKUS ir privātā kontrolē, jāanalizē ir uzņēmēju veikto maksājumu šai struktūrai būtība. Ja visi maksājumi, ko veic uzņēmēji CKUS, ir brīvprātīgi un ja uzņēmēji var izvēlēties, kā uzglabāt drošības rezerves (t. i., tie var pilnībā izlemt, vai uzglabāt rezerves krājumus pašiem ar CKUS starpniecību, vai deleģēt šo pienākumu citam uzņēmējam), šos maksājumus varētu uzskatīt par pakalpojumu pārdošanu. Ja CKUS ir privātā kontrolē, to klasificē nefinanšu sabiedrību sektorā (S.11). Šādā gadījumā valdība ir deleģējusi savu pienākumu uzturēt rezerves krājumus privātam subjektam. Ja privāti kontrolētā CKUS saņem obligātos maksājumus no uzņēmējiem, šie maksājumi ir uzskatāmi par nodokļiem, un tos pārvirza caur valdības kontiem (S.13), jo valdības deleģēto pilnvaru dēļ CKUS iekasē šos maksājumus. Savukārt, ja privāti kontrolētā CKUS saņem brīvprātīgas iemaksas/maksājumus no uzņēmējiem, šīs maksas var traktēt kā pakalpojumu pārdošanu.</w:t>
      </w:r>
    </w:p>
    <w:p w:rsidR="00073FEC" w:rsidRPr="001973D0" w:rsidRDefault="00073FEC" w:rsidP="00073FEC">
      <w:pPr>
        <w:pStyle w:val="BodyText"/>
        <w:numPr>
          <w:ilvl w:val="0"/>
          <w:numId w:val="21"/>
        </w:numPr>
        <w:tabs>
          <w:tab w:val="left" w:pos="1282"/>
        </w:tabs>
        <w:spacing w:before="0"/>
        <w:ind w:left="709" w:hanging="709"/>
        <w:jc w:val="both"/>
        <w:rPr>
          <w:rFonts w:ascii="Times New Roman" w:hAnsi="Times New Roman"/>
          <w:noProof/>
          <w:sz w:val="24"/>
        </w:rPr>
      </w:pPr>
      <w:r>
        <w:rPr>
          <w:rFonts w:ascii="Times New Roman" w:hAnsi="Times New Roman"/>
          <w:noProof/>
          <w:sz w:val="24"/>
        </w:rPr>
        <w:t>Ja CKUS ir klasificēta valdības sektorā (S.13), tai joprojām var būt kāda ļoti ierobežota tirgus darbība, taču tas nedrīkstētu atstāt nekādu ietekmi uz vienības sektora klasifikāciju.</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68" w:name="I.7__Government_debt_management_offices"/>
      <w:bookmarkStart w:id="69" w:name="_bookmark7"/>
      <w:bookmarkStart w:id="70" w:name="_Toc471135871"/>
      <w:bookmarkEnd w:id="68"/>
      <w:bookmarkEnd w:id="69"/>
      <w:r>
        <w:rPr>
          <w:noProof/>
        </w:rPr>
        <w:lastRenderedPageBreak/>
        <w:t xml:space="preserve">I.7. Valdības </w:t>
      </w:r>
      <w:r w:rsidRPr="00565513">
        <w:t>parāda</w:t>
      </w:r>
      <w:r>
        <w:rPr>
          <w:noProof/>
        </w:rPr>
        <w:t xml:space="preserve"> pārvaldības biroji</w:t>
      </w:r>
      <w:bookmarkEnd w:id="70"/>
    </w:p>
    <w:p w:rsidR="00073FEC" w:rsidRPr="001973D0" w:rsidRDefault="00073FEC" w:rsidP="00073FEC">
      <w:pPr>
        <w:pStyle w:val="Heading2"/>
        <w:tabs>
          <w:tab w:val="left" w:pos="1602"/>
        </w:tabs>
        <w:jc w:val="both"/>
        <w:rPr>
          <w:noProof/>
          <w:sz w:val="24"/>
        </w:rPr>
      </w:pPr>
    </w:p>
    <w:p w:rsidR="00073FEC" w:rsidRDefault="00073FEC" w:rsidP="00073FEC">
      <w:pPr>
        <w:pStyle w:val="Heading4"/>
        <w:tabs>
          <w:tab w:val="left" w:pos="1592"/>
        </w:tabs>
        <w:ind w:left="0" w:firstLine="0"/>
        <w:jc w:val="both"/>
        <w:rPr>
          <w:rFonts w:ascii="Times New Roman" w:hAnsi="Times New Roman"/>
          <w:noProof/>
          <w:u w:val="thick" w:color="000000"/>
        </w:rPr>
      </w:pPr>
      <w:bookmarkStart w:id="71" w:name="I.7.1_Background"/>
      <w:bookmarkEnd w:id="71"/>
      <w:r>
        <w:rPr>
          <w:rFonts w:ascii="Times New Roman" w:hAnsi="Times New Roman"/>
          <w:noProof/>
          <w:u w:val="none"/>
        </w:rPr>
        <w:t>I.7.1. </w:t>
      </w:r>
      <w:r>
        <w:rPr>
          <w:rFonts w:ascii="Times New Roman" w:hAnsi="Times New Roman"/>
          <w:noProof/>
          <w:u w:val="thick" w:color="000000"/>
        </w:rPr>
        <w:t>Vispārēja informācija</w:t>
      </w:r>
    </w:p>
    <w:p w:rsidR="00073FEC" w:rsidRPr="001973D0" w:rsidRDefault="00073FEC" w:rsidP="00073FEC">
      <w:pPr>
        <w:pStyle w:val="Heading4"/>
        <w:tabs>
          <w:tab w:val="left" w:pos="1592"/>
        </w:tabs>
        <w:ind w:left="0" w:firstLine="0"/>
        <w:jc w:val="both"/>
        <w:rPr>
          <w:rFonts w:ascii="Times New Roman" w:hAnsi="Times New Roman"/>
          <w:noProof/>
          <w:u w:val="thick" w:color="000000"/>
        </w:rPr>
      </w:pPr>
    </w:p>
    <w:p w:rsidR="00073FEC" w:rsidRPr="001973D0" w:rsidRDefault="00073FEC" w:rsidP="00073FEC">
      <w:pPr>
        <w:pStyle w:val="BodyText"/>
        <w:numPr>
          <w:ilvl w:val="0"/>
          <w:numId w:val="19"/>
        </w:numPr>
        <w:tabs>
          <w:tab w:val="left" w:pos="1242"/>
        </w:tabs>
        <w:spacing w:before="0"/>
        <w:ind w:left="709" w:hanging="709"/>
        <w:jc w:val="both"/>
        <w:rPr>
          <w:rFonts w:ascii="Times New Roman" w:hAnsi="Times New Roman"/>
          <w:noProof/>
          <w:sz w:val="24"/>
        </w:rPr>
      </w:pPr>
      <w:r>
        <w:rPr>
          <w:rFonts w:ascii="Times New Roman" w:hAnsi="Times New Roman"/>
          <w:noProof/>
          <w:sz w:val="24"/>
        </w:rPr>
        <w:t>Valsts parāda pārvaldības aģentūru vai biroju funkcijas, ko bieži vien iespējams novērot centrālās valdības līmenī, dažādās valstīs atšķiras. Šīs funkcijas var aptvert virkni finanšu darbību. Visizplatītākās funkcijas ir vērtspapīru emisija, citu aizdevumu veidu iespējama izmantošana, nodrošināšanās pret riskiem, valsts likviditātes pārvaldība (jo īpaši izmantojot pārdošanas ar atpirkšanu līgumus). Šādi biroji parasti tiek izveidoti ar mērķi nodrošināt īpašu finanšu ekspertīzi un ciešākas saites ar tirgus zonām. Dažos gadījumos tie var izsniegt aizdevumus citām publiskām vienībām (piemēram, kā ārkārtas atbalstu likviditātes nodrošināšanai vai ilgtermiņa aizdevumu, jo īpaši ārvalstu valdībām). Dažās valstīs centrālā banka var veikt dažus no šiem pienākumiem valdības vietā, savukārt citās dalībvalstīs tās tieši īsteno Finanšu ministrija (Valsts kase) vai cita apakšsektora iestādes.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592"/>
        </w:tabs>
        <w:ind w:left="0" w:firstLine="0"/>
        <w:jc w:val="both"/>
        <w:rPr>
          <w:rFonts w:ascii="Times New Roman" w:hAnsi="Times New Roman"/>
          <w:noProof/>
          <w:u w:val="thick" w:color="000000"/>
        </w:rPr>
      </w:pPr>
      <w:bookmarkStart w:id="72" w:name="I.7.2_Treatment_in_national_accounts"/>
      <w:bookmarkEnd w:id="72"/>
      <w:r>
        <w:rPr>
          <w:rFonts w:ascii="Times New Roman" w:hAnsi="Times New Roman"/>
          <w:noProof/>
          <w:u w:val="none"/>
        </w:rPr>
        <w:t>I.7.2. </w:t>
      </w:r>
      <w:r>
        <w:rPr>
          <w:rFonts w:ascii="Times New Roman" w:hAnsi="Times New Roman"/>
          <w:noProof/>
          <w:u w:val="thick" w:color="000000"/>
        </w:rPr>
        <w:t>Traktējums nacionālajos kontos</w:t>
      </w:r>
    </w:p>
    <w:p w:rsidR="00073FEC" w:rsidRPr="001973D0" w:rsidRDefault="00073FEC" w:rsidP="00073FEC">
      <w:pPr>
        <w:pStyle w:val="Heading4"/>
        <w:tabs>
          <w:tab w:val="left" w:pos="1592"/>
        </w:tabs>
        <w:ind w:left="0" w:firstLine="0"/>
        <w:jc w:val="both"/>
        <w:rPr>
          <w:rFonts w:ascii="Times New Roman" w:hAnsi="Times New Roman"/>
          <w:noProof/>
          <w:u w:val="thick" w:color="000000"/>
        </w:rPr>
      </w:pPr>
    </w:p>
    <w:p w:rsidR="00073FEC" w:rsidRPr="001973D0" w:rsidRDefault="00073FEC" w:rsidP="00073FEC">
      <w:pPr>
        <w:pStyle w:val="BodyText"/>
        <w:numPr>
          <w:ilvl w:val="0"/>
          <w:numId w:val="19"/>
        </w:numPr>
        <w:tabs>
          <w:tab w:val="left" w:pos="1242"/>
        </w:tabs>
        <w:spacing w:before="0"/>
        <w:ind w:left="709" w:hanging="709"/>
        <w:jc w:val="both"/>
        <w:rPr>
          <w:rFonts w:ascii="Times New Roman" w:hAnsi="Times New Roman"/>
          <w:noProof/>
          <w:sz w:val="24"/>
        </w:rPr>
      </w:pPr>
      <w:r>
        <w:rPr>
          <w:rFonts w:ascii="Times New Roman" w:hAnsi="Times New Roman"/>
          <w:noProof/>
          <w:sz w:val="24"/>
        </w:rPr>
        <w:t>Ja valsts parāda pārvaldības biroji ir atsevišķas institucionālas vienības, tos klasificē vispārējās valdības sektorā, jo tie darbojas vispārējās valdības vārdā. Tie ir vienkāršas aģentūras, un to darbība ļoti līdzinās palīgdarbībai.</w:t>
      </w:r>
    </w:p>
    <w:p w:rsidR="00073FEC" w:rsidRPr="001973D0" w:rsidRDefault="00073FEC" w:rsidP="00073FEC">
      <w:pPr>
        <w:pStyle w:val="BodyText"/>
        <w:numPr>
          <w:ilvl w:val="0"/>
          <w:numId w:val="19"/>
        </w:numPr>
        <w:tabs>
          <w:tab w:val="left" w:pos="1242"/>
        </w:tabs>
        <w:spacing w:before="0"/>
        <w:ind w:left="709" w:hanging="709"/>
        <w:jc w:val="both"/>
        <w:rPr>
          <w:rFonts w:ascii="Times New Roman" w:hAnsi="Times New Roman"/>
          <w:noProof/>
          <w:sz w:val="24"/>
        </w:rPr>
      </w:pPr>
      <w:r>
        <w:rPr>
          <w:rFonts w:ascii="Times New Roman" w:hAnsi="Times New Roman"/>
          <w:noProof/>
          <w:sz w:val="24"/>
        </w:rPr>
        <w:t>Tos neklasificē kā finanšu sabiedrības, jo tie nenodarbojas ar finanšu starpniecību. Ienākumus no aizdevuma parāda pārvaldības biroji nodod valdībai, un tie parasti netiek norādīti parāda pārvaldības struktūras bilancē, bet gan tās valdības vienības kontā, kuru attiecīgā struktūra apkalpo. Līdzīgi aizdevuma atmaksu veic šī valdības vienība no saviem līdzekļiem vai ar parāda refinansēšanu, izmantojot jaunas emisijas, ko īsteno parāda pārvaldības birojs.</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73" w:name="I.8__Joint_ventures"/>
      <w:bookmarkStart w:id="74" w:name="_bookmark8"/>
      <w:bookmarkStart w:id="75" w:name="_Toc471135872"/>
      <w:bookmarkEnd w:id="73"/>
      <w:bookmarkEnd w:id="74"/>
      <w:r>
        <w:rPr>
          <w:noProof/>
        </w:rPr>
        <w:lastRenderedPageBreak/>
        <w:t>I.8. </w:t>
      </w:r>
      <w:r w:rsidRPr="00565513">
        <w:t>Kopuzņēmumi</w:t>
      </w:r>
      <w:bookmarkEnd w:id="75"/>
    </w:p>
    <w:p w:rsidR="00073FEC" w:rsidRPr="001973D0" w:rsidRDefault="00073FEC" w:rsidP="00073FEC">
      <w:pPr>
        <w:pStyle w:val="Heading2"/>
        <w:tabs>
          <w:tab w:val="left" w:pos="1642"/>
        </w:tabs>
        <w:jc w:val="both"/>
        <w:rPr>
          <w:noProof/>
          <w:sz w:val="24"/>
        </w:rPr>
      </w:pPr>
    </w:p>
    <w:p w:rsidR="00073FEC" w:rsidRDefault="00073FEC" w:rsidP="00073FEC">
      <w:pPr>
        <w:pStyle w:val="Heading4"/>
        <w:tabs>
          <w:tab w:val="left" w:pos="1632"/>
        </w:tabs>
        <w:ind w:left="0" w:firstLine="0"/>
        <w:jc w:val="both"/>
        <w:rPr>
          <w:rFonts w:ascii="Times New Roman" w:hAnsi="Times New Roman"/>
          <w:noProof/>
          <w:u w:val="thick" w:color="000000"/>
        </w:rPr>
      </w:pPr>
      <w:bookmarkStart w:id="76" w:name="I.8.1_Background"/>
      <w:bookmarkEnd w:id="76"/>
      <w:r>
        <w:rPr>
          <w:rFonts w:ascii="Times New Roman" w:hAnsi="Times New Roman"/>
          <w:noProof/>
          <w:u w:val="none"/>
        </w:rPr>
        <w:t>I.8.1. </w:t>
      </w:r>
      <w:r>
        <w:rPr>
          <w:rFonts w:ascii="Times New Roman" w:hAnsi="Times New Roman"/>
          <w:noProof/>
          <w:u w:val="thick" w:color="000000"/>
        </w:rPr>
        <w:t>Vispārēja informācija</w:t>
      </w:r>
    </w:p>
    <w:p w:rsidR="00073FEC" w:rsidRPr="001973D0" w:rsidRDefault="00073FEC" w:rsidP="00073FEC">
      <w:pPr>
        <w:pStyle w:val="Heading4"/>
        <w:tabs>
          <w:tab w:val="left" w:pos="1632"/>
        </w:tabs>
        <w:ind w:left="0" w:firstLine="0"/>
        <w:jc w:val="both"/>
        <w:rPr>
          <w:rFonts w:ascii="Times New Roman" w:hAnsi="Times New Roman"/>
          <w:noProof/>
          <w:u w:val="thick" w:color="000000"/>
        </w:rPr>
      </w:pPr>
    </w:p>
    <w:p w:rsidR="00073FEC" w:rsidRPr="001973D0" w:rsidRDefault="00073FEC" w:rsidP="00073FEC">
      <w:pPr>
        <w:pStyle w:val="BodyText"/>
        <w:numPr>
          <w:ilvl w:val="0"/>
          <w:numId w:val="18"/>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Kopuzņēmumu gadījumi, kuros iesaistītas valdības vienības, ir apskatīti EKS 2010 20. nodaļā “Valdības konti”. EKS 2010 20.49. punktā norādīts, ka “daudzas publiskas vienības slēdz līgumus ar privātiem subjektiem vai citām publiskām vienībām, lai kopīgi veiktu dažādas darbības tirgū vai ārpus tirgus”. Paredzēti trīs pasākumu veidi: kopīgi kontrolētas vienības (“kopuzņēmumi”), kopīgi kontrolētas darbības un kopīgi kontrolēti aktīvi. Šajā nodaļā nav apspriesti tādi kopuzņēmumi, kurus privātajā sektorā veido publiskas tirgus sabiedrības.</w:t>
      </w:r>
      <w:r>
        <w:rPr>
          <w:rStyle w:val="FootnoteReference"/>
          <w:rFonts w:ascii="Times New Roman" w:hAnsi="Times New Roman"/>
          <w:noProof/>
          <w:sz w:val="24"/>
        </w:rPr>
        <w:footnoteReference w:id="99"/>
      </w:r>
    </w:p>
    <w:p w:rsidR="00073FEC" w:rsidRPr="001973D0" w:rsidRDefault="00073FEC" w:rsidP="00073FEC">
      <w:pPr>
        <w:pStyle w:val="BodyText"/>
        <w:numPr>
          <w:ilvl w:val="0"/>
          <w:numId w:val="18"/>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Kopuzņēmumu gadījumā tiek izveidota vienība (kā sabiedrība, partnerība vai citā juridiskā formā), kas nepārprotami ir institucionāla vienība, proti, atbilst kritērijiem, kuri noteikti EKS 2010 2.12. punktā, t. i., slēdz līgumus savā vārdā un piesaista finansējumu savām vajadzībām. Kopuzņēmumi ir ne tikai tādas vienības, kurās apvienojušies divi partneri; tie var būt arī sarežģītāki veidojumi. Turklāt kopuzņēmums var būt izveidots ar nolūku īstenot pasākumus nerezidentu teritorijā un var piemērot noteikumus, kas līdzinās tiem, kurus piemēro attiecībā uz nerezidentu ĪNDS. Kopuzņēmumu var izveidot arī PPP projektos, un šajā gadījumā jāpiemēro noteikumi, kas izklāstīti VI.4. nodaļā, ciktāl tas attiecas uz partneru klasifikāciju.</w:t>
      </w:r>
      <w:r>
        <w:rPr>
          <w:rStyle w:val="FootnoteReference"/>
          <w:rFonts w:ascii="Times New Roman" w:hAnsi="Times New Roman"/>
          <w:noProof/>
          <w:sz w:val="24"/>
        </w:rPr>
        <w:footnoteReference w:id="100"/>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32"/>
        </w:tabs>
        <w:ind w:left="0" w:firstLine="0"/>
        <w:jc w:val="both"/>
        <w:rPr>
          <w:rFonts w:ascii="Times New Roman" w:hAnsi="Times New Roman"/>
          <w:noProof/>
          <w:u w:val="thick" w:color="000000"/>
        </w:rPr>
      </w:pPr>
      <w:bookmarkStart w:id="77" w:name="I.8.2_Treatment_in_national_accounts"/>
      <w:bookmarkEnd w:id="77"/>
      <w:r>
        <w:rPr>
          <w:rFonts w:ascii="Times New Roman" w:hAnsi="Times New Roman"/>
          <w:noProof/>
          <w:u w:val="none"/>
        </w:rPr>
        <w:t>I.8.2. </w:t>
      </w:r>
      <w:r>
        <w:rPr>
          <w:rFonts w:ascii="Times New Roman" w:hAnsi="Times New Roman"/>
          <w:noProof/>
          <w:u w:val="thick" w:color="000000"/>
        </w:rPr>
        <w:t>Traktējums nacionālajos kontos</w:t>
      </w:r>
    </w:p>
    <w:p w:rsidR="00073FEC" w:rsidRPr="001973D0" w:rsidRDefault="00073FEC" w:rsidP="00073FEC">
      <w:pPr>
        <w:pStyle w:val="Heading4"/>
        <w:tabs>
          <w:tab w:val="left" w:pos="1632"/>
        </w:tabs>
        <w:ind w:left="0" w:firstLine="0"/>
        <w:jc w:val="both"/>
        <w:rPr>
          <w:rFonts w:ascii="Times New Roman" w:hAnsi="Times New Roman"/>
          <w:noProof/>
          <w:u w:val="thick" w:color="000000"/>
        </w:rPr>
      </w:pPr>
    </w:p>
    <w:p w:rsidR="00073FEC" w:rsidRPr="001973D0" w:rsidRDefault="00073FEC" w:rsidP="00073FEC">
      <w:pPr>
        <w:pStyle w:val="BodyText"/>
        <w:numPr>
          <w:ilvl w:val="0"/>
          <w:numId w:val="18"/>
        </w:numPr>
        <w:tabs>
          <w:tab w:val="left" w:pos="1282"/>
        </w:tabs>
        <w:spacing w:before="0"/>
        <w:ind w:left="709" w:hanging="709"/>
        <w:jc w:val="both"/>
        <w:rPr>
          <w:rFonts w:ascii="Times New Roman" w:hAnsi="Times New Roman"/>
          <w:noProof/>
          <w:sz w:val="24"/>
        </w:rPr>
      </w:pPr>
      <w:r>
        <w:rPr>
          <w:rFonts w:ascii="Times New Roman" w:hAnsi="Times New Roman"/>
          <w:noProof/>
          <w:sz w:val="24"/>
        </w:rPr>
        <w:t>Ja kopuzņēmums vienādās procentuālās daļās pieder valdības vienībai un privātai vienībai, īpašumtiesību rādītāja vietā ieteicams ņemt vērā citus EKS 2010 20.307. punktā noteiktos kontroles rādītājus. Dažkārt valdībai var būt lielākas tiesības nekā privātajam partnerim(-iem), piemēram, veto tiesības vai prioritāte atlīdzības saņemšanā, vai tā var uzņemties lielāku risku. Šādos gadījumos jāpiemēro 5. rindkopā noteiktais princips.</w:t>
      </w:r>
    </w:p>
    <w:p w:rsidR="00073FEC" w:rsidRPr="001973D0" w:rsidRDefault="00073FEC" w:rsidP="00073FEC">
      <w:pPr>
        <w:pStyle w:val="BodyText"/>
        <w:numPr>
          <w:ilvl w:val="0"/>
          <w:numId w:val="18"/>
        </w:numPr>
        <w:tabs>
          <w:tab w:val="left" w:pos="1282"/>
        </w:tabs>
        <w:spacing w:before="0"/>
        <w:ind w:left="709" w:hanging="709"/>
        <w:jc w:val="both"/>
        <w:rPr>
          <w:rFonts w:ascii="Times New Roman" w:hAnsi="Times New Roman"/>
          <w:noProof/>
          <w:sz w:val="24"/>
        </w:rPr>
      </w:pPr>
      <w:r>
        <w:rPr>
          <w:rFonts w:ascii="Times New Roman" w:hAnsi="Times New Roman"/>
          <w:noProof/>
          <w:sz w:val="24"/>
        </w:rPr>
        <w:t>Attiecībā uz gadījumiem, kad kopuzņēmums vienādās procentuālās daļās pieder valdības vienībai un privātai vienībai un nav pierādījumu, kas apliecinātu, ka kādai no pusēm ir lielāka kontrole, EKS 2010 20.320. punktā noteikts, ka, ja kopīgi kontrolēta vienība neatbilst kritērijiem, saskaņā ar kuriem tā klasificējama kā tirgus ražotājs, tā pilnīgi jāiekļauj vispārējās valdības sektorā. Ja vienība tiek atzīta par tirgus ražotāju, tā jāiekļauj nefinanšu sabiedrību sektorā S.11, taču jāsadala, nosakot, ka viena daļa uzskatāma par valsts kontrolētu publisku sabiedrību, bet otru daļu iekļaujot privātajā sektorā.</w:t>
      </w:r>
    </w:p>
    <w:p w:rsidR="00073FEC" w:rsidRPr="00E14B48" w:rsidRDefault="00073FEC" w:rsidP="00073FEC">
      <w:pPr>
        <w:pStyle w:val="BodyText"/>
        <w:numPr>
          <w:ilvl w:val="0"/>
          <w:numId w:val="18"/>
        </w:numPr>
        <w:tabs>
          <w:tab w:val="left" w:pos="1282"/>
        </w:tabs>
        <w:spacing w:before="0"/>
        <w:ind w:left="709" w:hanging="709"/>
        <w:jc w:val="both"/>
        <w:rPr>
          <w:rFonts w:ascii="Times New Roman" w:hAnsi="Times New Roman"/>
          <w:noProof/>
          <w:sz w:val="24"/>
        </w:rPr>
      </w:pPr>
      <w:r>
        <w:rPr>
          <w:rFonts w:ascii="Times New Roman" w:hAnsi="Times New Roman"/>
          <w:noProof/>
          <w:sz w:val="24"/>
        </w:rPr>
        <w:t>Ja kopuzņēmums nepieder vienādās daļās publiskajam un privātajam īpašniekam, tad šī vienība ir jāiekļauj tās puses sektorā, kurai pieder lielākā vienības daļa. Ja tā ir valdības vienība, tā tiks klasificēta valdības sektorā ar nosacījumu, ka kopuzņēmums veic galvenokārt ārpustirgus darbību, un kā publiska sabiedrība, ja atzīts, ka vienība ir tirgus ražotājs. Tomēr ir ieteicams pārbaudīt, vai citi noteikumi attiecībā uz tiesībām un lemšanas tiesībām faktiski neparedz citādi, ciktāl tas attiecas uz faktisko kontroli pār kopīgo vienību.</w:t>
      </w:r>
    </w:p>
    <w:p w:rsidR="00073FEC" w:rsidRPr="001973D0" w:rsidRDefault="00073FEC" w:rsidP="00073FEC">
      <w:pPr>
        <w:pStyle w:val="BodyText"/>
        <w:numPr>
          <w:ilvl w:val="0"/>
          <w:numId w:val="18"/>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Ja kopuzņēmumā iesaistītas vienīgi publiskajā sektorā klasificētas vienības (piemēram, </w:t>
      </w:r>
      <w:r>
        <w:rPr>
          <w:rFonts w:ascii="Times New Roman" w:hAnsi="Times New Roman"/>
          <w:noProof/>
          <w:sz w:val="24"/>
        </w:rPr>
        <w:lastRenderedPageBreak/>
        <w:t>kopuzņēmums starp publisku sabiedrību un valdības vienību), vienības sektora klasifikācija atkarīga no tā, vai šī vienība uzskatāma par tirgus vienību vai ārpustirgus vienīb</w:t>
      </w:r>
      <w:r w:rsidR="00FB19E2">
        <w:rPr>
          <w:rFonts w:ascii="Times New Roman" w:hAnsi="Times New Roman"/>
          <w:noProof/>
          <w:sz w:val="24"/>
        </w:rPr>
        <w:t>u. Ārpustirgus vienības ieraksta</w:t>
      </w:r>
      <w:r>
        <w:rPr>
          <w:rFonts w:ascii="Times New Roman" w:hAnsi="Times New Roman"/>
          <w:noProof/>
          <w:sz w:val="24"/>
        </w:rPr>
        <w:t xml:space="preserve"> valdības sekto</w:t>
      </w:r>
      <w:r w:rsidR="00FB19E2">
        <w:rPr>
          <w:rFonts w:ascii="Times New Roman" w:hAnsi="Times New Roman"/>
          <w:noProof/>
          <w:sz w:val="24"/>
        </w:rPr>
        <w:t>rā, bet tirgus vienības ieraksta</w:t>
      </w:r>
      <w:r>
        <w:rPr>
          <w:rFonts w:ascii="Times New Roman" w:hAnsi="Times New Roman"/>
          <w:noProof/>
          <w:sz w:val="24"/>
        </w:rPr>
        <w:t xml:space="preserve"> publisko sabiedrību apakšsektorā (S.11).</w:t>
      </w:r>
    </w:p>
    <w:p w:rsidR="00073FEC" w:rsidRPr="001973D0" w:rsidRDefault="00073FEC" w:rsidP="00073FEC">
      <w:pPr>
        <w:pStyle w:val="BodyText"/>
        <w:numPr>
          <w:ilvl w:val="0"/>
          <w:numId w:val="18"/>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citiem veidojumiem, kurus nevada atsevišķa institucionāla vienība, taču kuros ir izmantoti vien atsevišķi aktīvi, jānosaka tas, kurai vienībai pieder aktīvi, pamatojoties uz to, kura vienība uzņemas lielāko daļu ar aktīviem saistīto risku un saņem no tiem lielāko atlīdzības daļu. Tomēr bruto izdevumus un ieņēmumus pārdala atbilstoši tam, kā to paredz vienošanās (EKS 2010 20.49. punkts).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592"/>
        </w:tabs>
        <w:ind w:left="0" w:firstLine="0"/>
        <w:jc w:val="both"/>
        <w:rPr>
          <w:rFonts w:ascii="Times New Roman" w:hAnsi="Times New Roman"/>
          <w:noProof/>
          <w:u w:val="thick" w:color="000000"/>
        </w:rPr>
      </w:pPr>
      <w:bookmarkStart w:id="78" w:name="I.8.3_Rationale_of_the_treatment"/>
      <w:bookmarkEnd w:id="78"/>
      <w:r>
        <w:rPr>
          <w:rFonts w:ascii="Times New Roman" w:hAnsi="Times New Roman"/>
          <w:noProof/>
          <w:u w:val="none"/>
        </w:rPr>
        <w:t>I.8.3. </w:t>
      </w:r>
      <w:r>
        <w:rPr>
          <w:rFonts w:ascii="Times New Roman" w:hAnsi="Times New Roman"/>
          <w:noProof/>
          <w:u w:val="thick" w:color="000000"/>
        </w:rPr>
        <w:t>Traktējuma pamatojums</w:t>
      </w:r>
    </w:p>
    <w:p w:rsidR="00073FEC" w:rsidRPr="001973D0" w:rsidRDefault="00073FEC" w:rsidP="00073FEC">
      <w:pPr>
        <w:pStyle w:val="Heading4"/>
        <w:tabs>
          <w:tab w:val="left" w:pos="1592"/>
        </w:tabs>
        <w:ind w:left="0" w:firstLine="0"/>
        <w:jc w:val="both"/>
        <w:rPr>
          <w:rFonts w:ascii="Times New Roman" w:hAnsi="Times New Roman"/>
          <w:noProof/>
          <w:u w:val="thick" w:color="000000"/>
        </w:rPr>
      </w:pPr>
    </w:p>
    <w:p w:rsidR="00073FEC" w:rsidRPr="001973D0" w:rsidRDefault="00073FEC" w:rsidP="00073FEC">
      <w:pPr>
        <w:pStyle w:val="BodyText"/>
        <w:numPr>
          <w:ilvl w:val="0"/>
          <w:numId w:val="18"/>
        </w:numPr>
        <w:tabs>
          <w:tab w:val="left" w:pos="1242"/>
        </w:tabs>
        <w:spacing w:before="0"/>
        <w:ind w:left="709" w:hanging="709"/>
        <w:jc w:val="both"/>
        <w:rPr>
          <w:rFonts w:ascii="Times New Roman" w:hAnsi="Times New Roman"/>
          <w:noProof/>
          <w:sz w:val="24"/>
        </w:rPr>
      </w:pPr>
      <w:r>
        <w:rPr>
          <w:rFonts w:ascii="Times New Roman" w:hAnsi="Times New Roman"/>
          <w:noProof/>
          <w:sz w:val="24"/>
        </w:rPr>
        <w:t>Gadījumā, ja atsevišķa vienība ir kopīgi izveidota ar mērķi veikt kādu noteiktu darbību, īpašumtiesību procentuālā daļa var nebūt pietiekams kritērijs, lai klasificētu vienību noteiktā sektorā. Jāanalizē arī citas kontroles pazīmes. Daudzos gadījumos valdībai faktiski ir lielāka ietekme nekā tās privātajam partnerim(-iem), un tā gūst lielāku labumu. Ir rūpīgi jāizskata vienības izveidošanas mērķis, jo īpaši to, cik liela nozīme saistībā ar izveidošanu bija piešķirta valsts interesēm.</w:t>
      </w:r>
    </w:p>
    <w:p w:rsidR="00073FEC" w:rsidRPr="001973D0" w:rsidRDefault="00073FEC" w:rsidP="00073FEC">
      <w:pPr>
        <w:pStyle w:val="BodyText"/>
        <w:numPr>
          <w:ilvl w:val="0"/>
          <w:numId w:val="18"/>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citiem veidojumu tipiem, kuros tiek izmantoti aktīvi, taču netiek kopīgi veidota atsevišķa vienība, visus aktīvus nacionālajos kontos piedēvē tikai vienai kontrolējošai vienībai un līdz ar to tās institucionālajam sektoram.</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79" w:name="I.9__European_entities_related_to_the_eu"/>
      <w:bookmarkStart w:id="80" w:name="_bookmark9"/>
      <w:bookmarkStart w:id="81" w:name="_Toc471135873"/>
      <w:bookmarkEnd w:id="79"/>
      <w:bookmarkEnd w:id="80"/>
      <w:r>
        <w:rPr>
          <w:noProof/>
        </w:rPr>
        <w:lastRenderedPageBreak/>
        <w:t xml:space="preserve">I.9. Eiropas </w:t>
      </w:r>
      <w:r w:rsidRPr="00565513">
        <w:t>subjekti</w:t>
      </w:r>
      <w:r>
        <w:rPr>
          <w:noProof/>
        </w:rPr>
        <w:t>, kas saistīti ar eirozonas valstu parādu krīzi</w:t>
      </w:r>
      <w:bookmarkEnd w:id="81"/>
    </w:p>
    <w:p w:rsidR="00073FEC" w:rsidRPr="001973D0" w:rsidRDefault="00073FEC" w:rsidP="00073FEC">
      <w:pPr>
        <w:pStyle w:val="Heading2"/>
        <w:tabs>
          <w:tab w:val="left" w:pos="1498"/>
        </w:tabs>
        <w:jc w:val="both"/>
        <w:rPr>
          <w:noProof/>
          <w:sz w:val="24"/>
        </w:rPr>
      </w:pPr>
    </w:p>
    <w:p w:rsidR="00073FEC" w:rsidRDefault="00073FEC" w:rsidP="00073FEC">
      <w:pPr>
        <w:pStyle w:val="Heading4"/>
        <w:tabs>
          <w:tab w:val="left" w:pos="1632"/>
        </w:tabs>
        <w:ind w:left="0" w:firstLine="0"/>
        <w:jc w:val="both"/>
        <w:rPr>
          <w:rFonts w:ascii="Times New Roman" w:hAnsi="Times New Roman"/>
          <w:noProof/>
          <w:u w:val="thick" w:color="000000"/>
        </w:rPr>
      </w:pPr>
      <w:bookmarkStart w:id="82" w:name="I.9.1_Background"/>
      <w:bookmarkEnd w:id="82"/>
      <w:r>
        <w:rPr>
          <w:rFonts w:ascii="Times New Roman" w:hAnsi="Times New Roman"/>
          <w:noProof/>
          <w:u w:val="none"/>
        </w:rPr>
        <w:t>I.9.1. </w:t>
      </w:r>
      <w:r>
        <w:rPr>
          <w:rFonts w:ascii="Times New Roman" w:hAnsi="Times New Roman"/>
          <w:noProof/>
          <w:u w:val="thick" w:color="000000"/>
        </w:rPr>
        <w:t>Vispārēja informācija</w:t>
      </w:r>
    </w:p>
    <w:p w:rsidR="00073FEC" w:rsidRPr="001973D0" w:rsidRDefault="00073FEC" w:rsidP="00073FEC">
      <w:pPr>
        <w:pStyle w:val="Heading4"/>
        <w:tabs>
          <w:tab w:val="left" w:pos="1632"/>
        </w:tabs>
        <w:ind w:left="0" w:firstLine="0"/>
        <w:jc w:val="both"/>
        <w:rPr>
          <w:rFonts w:ascii="Times New Roman" w:hAnsi="Times New Roman"/>
          <w:noProof/>
          <w:u w:val="thick" w:color="000000"/>
        </w:rPr>
      </w:pP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Saistībā ar Eiropas valstu parādu krīzi, kas sākās 2010. gadā, tika izveidoti jauni subjekti, kuru mērķis ir sniegt ES dalībvalstīm starpvaldību finanšu atbalstu. Vispirms eirozonas dalībvalstis</w:t>
      </w:r>
      <w:r>
        <w:rPr>
          <w:rStyle w:val="FootnoteReference"/>
          <w:rFonts w:ascii="Times New Roman" w:hAnsi="Times New Roman"/>
          <w:noProof/>
          <w:sz w:val="24"/>
        </w:rPr>
        <w:footnoteReference w:id="101"/>
      </w:r>
      <w:r>
        <w:rPr>
          <w:rFonts w:ascii="Times New Roman" w:hAnsi="Times New Roman"/>
          <w:noProof/>
          <w:sz w:val="24"/>
        </w:rPr>
        <w:t xml:space="preserve"> vienojās piešķirt Grieķijai divpusējus aizdevumus no jaunā Eiropas finanšu stabilizācijas mehānisma (EFSM), kurā iesaistīta arī Eiropas Komisija un SVF. Šis finansiālais atbalsts</w:t>
      </w:r>
      <w:r w:rsidR="00FB19E2">
        <w:rPr>
          <w:rFonts w:ascii="Times New Roman" w:hAnsi="Times New Roman"/>
          <w:noProof/>
          <w:sz w:val="24"/>
        </w:rPr>
        <w:t xml:space="preserve"> ir bez sarežģījumiem ierakstīts</w:t>
      </w:r>
      <w:r>
        <w:rPr>
          <w:rFonts w:ascii="Times New Roman" w:hAnsi="Times New Roman"/>
          <w:noProof/>
          <w:sz w:val="24"/>
        </w:rPr>
        <w:t xml:space="preserve"> valdības finanšu statistikā kā aizdevumi, kurus aizdevuma ņēmējas valstis saņēmušas tieši no eirozonas dalībvalstīm (divpusēji), Komisijas (EFSM) un SVF. Tomēr, ņemot vērā nelabvēlīgo ietekmi, papildu sekas un pārsnieguma ietekmi uz eirozonas finanšu tirgiem, ātri vien kļuva skaidrs, ka nepieciešamas specializētas institucionālas vienības.</w:t>
      </w: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 xml:space="preserve">Šajā saistībā eirozonas dalībvalstis, pamatojoties uz </w:t>
      </w:r>
      <w:r>
        <w:rPr>
          <w:rFonts w:ascii="Times New Roman" w:hAnsi="Times New Roman"/>
          <w:i/>
          <w:noProof/>
          <w:sz w:val="24"/>
        </w:rPr>
        <w:t>ECOFIN</w:t>
      </w:r>
      <w:r>
        <w:rPr>
          <w:rFonts w:ascii="Times New Roman" w:hAnsi="Times New Roman"/>
          <w:noProof/>
          <w:sz w:val="24"/>
        </w:rPr>
        <w:t xml:space="preserve"> Padomes lēmumu 2010. gada 9. maijā, izveidoja Eiropas Finanšu stabilitātes instrumentu (EFSI) ar mērķi sniegt finanšu palīdzību eirozonas dalībvalstīm ar nosacījumu, ka tajās tiek īstenota makroekonomikas korekciju programma. EFSI tika izveidots 2010. gadā kā pagaidu mehānisms (atbalsta sniegšanai 2013. gadā, taču turpinot darbību arī pēc tam līdz brīdim, kad izsīkst viss atbalsts/aizdevumi), un tas emitē obligācijas vai citus parāda instrumentus (vērtspapīrus) kapitāla tirgos. Turklāt tika nolemts, ka EFSI drīkst iesaistīties arī primārajos un sekundārajos obligāciju tirgos</w:t>
      </w:r>
      <w:r>
        <w:rPr>
          <w:rStyle w:val="FootnoteReference"/>
          <w:rFonts w:ascii="Times New Roman" w:hAnsi="Times New Roman"/>
          <w:noProof/>
          <w:sz w:val="24"/>
        </w:rPr>
        <w:footnoteReference w:id="102"/>
      </w:r>
      <w:r>
        <w:rPr>
          <w:rFonts w:ascii="Times New Roman" w:hAnsi="Times New Roman"/>
          <w:noProof/>
          <w:sz w:val="24"/>
        </w:rPr>
        <w:t>, rīkoties, pamatojoties uz piesardzības pasākumu programmu</w:t>
      </w:r>
      <w:r>
        <w:rPr>
          <w:rStyle w:val="FootnoteReference"/>
          <w:rFonts w:ascii="Times New Roman" w:hAnsi="Times New Roman"/>
          <w:noProof/>
          <w:sz w:val="24"/>
        </w:rPr>
        <w:footnoteReference w:id="103"/>
      </w:r>
      <w:r>
        <w:rPr>
          <w:rFonts w:ascii="Times New Roman" w:hAnsi="Times New Roman"/>
          <w:noProof/>
          <w:sz w:val="24"/>
        </w:rPr>
        <w:t>, izmantot vairāk oriģinālos rīkus (sk. turpmāk) un sniegt līdzekļus valdībām finanšu iestāžu rekapitalizācijai valstīs, kurās netiek īstenota programma.</w:t>
      </w: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szCs w:val="14"/>
        </w:rPr>
      </w:pPr>
      <w:r>
        <w:rPr>
          <w:rFonts w:ascii="Times New Roman" w:hAnsi="Times New Roman"/>
          <w:noProof/>
          <w:sz w:val="24"/>
        </w:rPr>
        <w:t>Lēmums par patstāvīga glābšanas mehānisma, proti, Eiropas Stabilitātes mehānisma (ESM), izveidošanu, pamatojoties uz īpašu nolīgumu, kas tika parakstīts 2011. gada 11. jūlijā, tika pieņemts 2010. gada oktobrī, vienojoties, ka dalībvalstis to atbalstīs. Pēc ratifikācijas procedūras beigām minētais nolīgums stājās spēkā 2012. gada 27. septembrī, ESM tika “inaugurēts” 2012. gada 8. oktobrī un sāka darboties 2012. gada decembrī. Pašlaik tas ir instruments, ar kuru tiek finansētas jaunas atbalsta programmas, un līdzīgi EFSI ar to ir iespējams sniegt atbalstu, izmantojot dažādus instrumentus.</w:t>
      </w:r>
      <w:r>
        <w:rPr>
          <w:rStyle w:val="FootnoteReference"/>
          <w:rFonts w:ascii="Times New Roman" w:hAnsi="Times New Roman"/>
          <w:noProof/>
          <w:sz w:val="24"/>
        </w:rPr>
        <w:footnoteReference w:id="104"/>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592"/>
        </w:tabs>
        <w:ind w:left="0" w:firstLine="0"/>
        <w:jc w:val="both"/>
        <w:rPr>
          <w:rFonts w:ascii="Times New Roman" w:hAnsi="Times New Roman"/>
          <w:b w:val="0"/>
          <w:bCs w:val="0"/>
          <w:noProof/>
          <w:szCs w:val="16"/>
          <w:u w:val="none"/>
        </w:rPr>
      </w:pPr>
      <w:bookmarkStart w:id="83" w:name="I.9.2_Treatment_in_national_accounts"/>
      <w:bookmarkEnd w:id="83"/>
      <w:r>
        <w:rPr>
          <w:rFonts w:ascii="Times New Roman" w:hAnsi="Times New Roman"/>
          <w:noProof/>
          <w:u w:val="none"/>
        </w:rPr>
        <w:t>I.9.2. </w:t>
      </w:r>
      <w:r>
        <w:rPr>
          <w:rFonts w:ascii="Times New Roman" w:hAnsi="Times New Roman"/>
          <w:noProof/>
        </w:rPr>
        <w:t>Traktējums nacionālajos kontos</w:t>
      </w:r>
      <w:r>
        <w:rPr>
          <w:rStyle w:val="FootnoteReference"/>
          <w:rFonts w:ascii="Times New Roman" w:hAnsi="Times New Roman"/>
          <w:noProof/>
        </w:rPr>
        <w:footnoteReference w:id="105"/>
      </w:r>
    </w:p>
    <w:p w:rsidR="00073FEC" w:rsidRDefault="00073FEC" w:rsidP="00073FEC">
      <w:pPr>
        <w:pStyle w:val="Heading7"/>
        <w:spacing w:before="0"/>
        <w:ind w:left="0"/>
        <w:jc w:val="both"/>
        <w:rPr>
          <w:rFonts w:ascii="Times New Roman" w:hAnsi="Times New Roman"/>
          <w:noProof/>
          <w:sz w:val="24"/>
        </w:rPr>
      </w:pPr>
    </w:p>
    <w:p w:rsidR="00073FEC" w:rsidRDefault="00073FEC" w:rsidP="00073FEC">
      <w:pPr>
        <w:pStyle w:val="Heading7"/>
        <w:spacing w:before="0"/>
        <w:ind w:left="0"/>
        <w:jc w:val="both"/>
        <w:rPr>
          <w:rFonts w:ascii="Times New Roman" w:hAnsi="Times New Roman"/>
          <w:noProof/>
          <w:sz w:val="24"/>
        </w:rPr>
      </w:pPr>
      <w:r>
        <w:rPr>
          <w:rFonts w:ascii="Times New Roman" w:hAnsi="Times New Roman"/>
          <w:noProof/>
          <w:sz w:val="24"/>
        </w:rPr>
        <w:t>Eiropas Finanšu stabilitātes instruments</w:t>
      </w:r>
    </w:p>
    <w:p w:rsidR="00073FEC" w:rsidRPr="001973D0" w:rsidRDefault="00073FEC" w:rsidP="00073FEC">
      <w:pPr>
        <w:pStyle w:val="Heading7"/>
        <w:spacing w:before="0"/>
        <w:ind w:left="0"/>
        <w:jc w:val="both"/>
        <w:rPr>
          <w:rFonts w:ascii="Times New Roman" w:hAnsi="Times New Roman"/>
          <w:noProof/>
          <w:sz w:val="24"/>
        </w:rPr>
      </w:pPr>
    </w:p>
    <w:p w:rsidR="00073FEC" w:rsidRPr="001973D0" w:rsidRDefault="00073FEC" w:rsidP="00073FEC">
      <w:pPr>
        <w:pStyle w:val="BodyText"/>
        <w:numPr>
          <w:ilvl w:val="0"/>
          <w:numId w:val="17"/>
        </w:numPr>
        <w:tabs>
          <w:tab w:val="left" w:pos="1242"/>
        </w:tabs>
        <w:spacing w:before="0"/>
        <w:ind w:left="709" w:hanging="709"/>
        <w:jc w:val="both"/>
        <w:rPr>
          <w:rFonts w:ascii="Times New Roman" w:hAnsi="Times New Roman"/>
          <w:noProof/>
          <w:sz w:val="24"/>
        </w:rPr>
      </w:pPr>
      <w:r>
        <w:rPr>
          <w:rFonts w:ascii="Times New Roman" w:hAnsi="Times New Roman"/>
          <w:i/>
          <w:noProof/>
          <w:sz w:val="24"/>
        </w:rPr>
        <w:t>Eurostat</w:t>
      </w:r>
      <w:r>
        <w:rPr>
          <w:rFonts w:ascii="Times New Roman" w:hAnsi="Times New Roman"/>
          <w:noProof/>
          <w:sz w:val="24"/>
        </w:rPr>
        <w:t xml:space="preserve"> 2011. gada 27. janvāra lēmumā par EFSI paskaidrots, ka EFSI nepiemīt visas institucionālajai vienībai raksturīgās pazīmes, kas noteiktas EKS 2010. Tas nevar rīkoties pēc savas iniciatīvas, un tam ir ierobežota lēmumu pieņemšanas autonomija galvenās funkcijas īstenošanā, proti, attiecībā uz aizdevumu piešķiršanu grūtībās </w:t>
      </w:r>
      <w:r>
        <w:rPr>
          <w:rFonts w:ascii="Times New Roman" w:hAnsi="Times New Roman"/>
          <w:noProof/>
          <w:sz w:val="24"/>
        </w:rPr>
        <w:lastRenderedPageBreak/>
        <w:t>nonākušām valstīm un to finansēšanu. Praksē lēmumi attiecībā uz tā galveno funkciju pirms to īstenošanas ir jāapstiprina (parasti vienbalsīgi) Eurogrupas</w:t>
      </w:r>
      <w:r>
        <w:rPr>
          <w:rStyle w:val="FootnoteReference"/>
          <w:rFonts w:ascii="Times New Roman" w:hAnsi="Times New Roman"/>
          <w:noProof/>
          <w:sz w:val="24"/>
        </w:rPr>
        <w:footnoteReference w:id="106"/>
      </w:r>
      <w:r>
        <w:rPr>
          <w:rFonts w:ascii="Times New Roman" w:hAnsi="Times New Roman"/>
          <w:noProof/>
          <w:sz w:val="24"/>
        </w:rPr>
        <w:t xml:space="preserve"> dalībniekiem, kuri piedalās atbalsta pasākumā. EFSI nevar uzskatīt par starptautisku finanšu institūciju, jo tam nepiemīt neviena no tai raksturīgajām pazīmēm. To nevar konsolidēt ar nevienu Eiropas institūciju, kas izveidota, pamatojoties uz Līgumiem. Visbeidzot, EFSI ir uzskaites un finanšu līdzekļu instruments, kas paredzēts tam, lai nodrošinātu visiem eirozonas dalībniekiem vienādus nosacījumus piekļuvei aizdevumiem, rīkojoties vienīgi šo dalībnieku vārdā un to pilnīgā kontrolē.</w:t>
      </w:r>
    </w:p>
    <w:p w:rsidR="00073FEC" w:rsidRPr="001973D0" w:rsidRDefault="00073FEC" w:rsidP="00073FEC">
      <w:pPr>
        <w:pStyle w:val="BodyText"/>
        <w:numPr>
          <w:ilvl w:val="0"/>
          <w:numId w:val="17"/>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Līdz ar to no teorētiskā viedokļa EFSI operācijas ir daļēji jākonsolidē nacionālo kontu tabulās ar tām institucionālajām vienībām, kurām tās pieder, šajā gadījumā ar eirozonas dalībvalstu valdībām. “Daļēji” nozīmē to, ka atbilstīgi tam, kā izskaidrots turpmāk, tehnisku iemeslu dēļ konsolidācija tiek veikta, pamatojoties uz atsevišķiem EFSI turētajiem aktīviem, nevis uz visu tā bilanci. EFSI galvenokārt nodarbojas uz aizdevumu ņemšanu tirgos, pamatojoties uz dalībvalstu izsniegtu garantiju, atbilstīgi iemaksu skalai, kas saistīta ar tām piederošo daļu ECB kapitālā.</w:t>
      </w:r>
      <w:r>
        <w:rPr>
          <w:rStyle w:val="FootnoteReference"/>
          <w:rFonts w:ascii="Times New Roman" w:hAnsi="Times New Roman"/>
          <w:noProof/>
          <w:sz w:val="24"/>
        </w:rPr>
        <w:footnoteReference w:id="107"/>
      </w:r>
      <w:r>
        <w:rPr>
          <w:rFonts w:ascii="Times New Roman" w:hAnsi="Times New Roman"/>
          <w:noProof/>
          <w:sz w:val="24"/>
        </w:rPr>
        <w:t xml:space="preserve"> Saistībā ar vērtējumu sākotnēji, proti, līdz 2011. gada decembrim, viena daļa no ieņēmumiem, kas gūti no aizdevuma līdzekļiem, netika nodota aizdevuma ņēmējām valstīm aizdevumu veidā un ieguldīta augsta reitinga parāda instrumentos. To dēvēja par aizdevuma naudas rezervi [</w:t>
      </w:r>
      <w:r>
        <w:rPr>
          <w:rFonts w:ascii="Times New Roman" w:hAnsi="Times New Roman"/>
          <w:i/>
          <w:noProof/>
          <w:sz w:val="24"/>
        </w:rPr>
        <w:t>Loan Specific Cash Buffer</w:t>
      </w:r>
      <w:r>
        <w:rPr>
          <w:rFonts w:ascii="Times New Roman" w:hAnsi="Times New Roman"/>
          <w:noProof/>
          <w:sz w:val="24"/>
        </w:rPr>
        <w:t xml:space="preserve"> (</w:t>
      </w:r>
      <w:r>
        <w:rPr>
          <w:rFonts w:ascii="Times New Roman" w:hAnsi="Times New Roman"/>
          <w:i/>
          <w:noProof/>
          <w:sz w:val="24"/>
        </w:rPr>
        <w:t>LSCB</w:t>
      </w:r>
      <w:r>
        <w:rPr>
          <w:rFonts w:ascii="Times New Roman" w:hAnsi="Times New Roman"/>
          <w:noProof/>
          <w:sz w:val="24"/>
        </w:rPr>
        <w:t xml:space="preserve">)]. EFSI parādu, kas izmantots </w:t>
      </w:r>
      <w:r>
        <w:rPr>
          <w:rFonts w:ascii="Times New Roman" w:hAnsi="Times New Roman"/>
          <w:i/>
          <w:noProof/>
          <w:sz w:val="24"/>
        </w:rPr>
        <w:t>LSCB</w:t>
      </w:r>
      <w:r w:rsidR="00FB19E2">
        <w:rPr>
          <w:rFonts w:ascii="Times New Roman" w:hAnsi="Times New Roman"/>
          <w:noProof/>
          <w:sz w:val="24"/>
        </w:rPr>
        <w:t>, neieraksta</w:t>
      </w:r>
      <w:r>
        <w:rPr>
          <w:rFonts w:ascii="Times New Roman" w:hAnsi="Times New Roman"/>
          <w:noProof/>
          <w:sz w:val="24"/>
        </w:rPr>
        <w:t xml:space="preserve"> nacionālajos kontos kā dalībvalstu garantētājiem piedēvējamu. Turklāt garantētājām dalībvalstīm pārvirza tikai EFSI aktīvu pusi, kas atbilst eirozonas dalībvalstīm sniegtajam faktiskajam atbalstam. Aizdevumi, kuros iekļauta naudas rezerve</w:t>
      </w:r>
      <w:r>
        <w:rPr>
          <w:rStyle w:val="FootnoteReference"/>
          <w:rFonts w:ascii="Times New Roman" w:hAnsi="Times New Roman"/>
          <w:noProof/>
          <w:sz w:val="24"/>
        </w:rPr>
        <w:footnoteReference w:id="108"/>
      </w:r>
      <w:r>
        <w:rPr>
          <w:rFonts w:ascii="Times New Roman" w:hAnsi="Times New Roman"/>
          <w:noProof/>
          <w:sz w:val="24"/>
        </w:rPr>
        <w:t>, kas nav izmaksāta, bet kas jāatmaksā aizdevuma ņēmējām valstīm, sākotnēji pilnīgi atbilda EFSI iegūtajiem aizdošanas nosacījumiem (pamatlikmes un atmaksāšanas termiņi). Neatkarīgi no tā, vai tiek izmantoti aizdevumi vai valsts obligācijas, kas pirktas primārajos vai sekundārajos tirgos, saņēmējām dalībvalstīm izsniegtos aizdevumus uzskata par aizdevumiem, kas piešķirti dalībvalstu garantētājiem, kuriem rezultātā atbilstīgi pieaug bruto parāds, bet kuriem attiecībā pret saņēmēju valsti ir vienādas prasījuma tiesības, kas izriet no sniegtā atbalsta. Aizdevuma ņēmējai valstij tas nozīmē vienīgi izmaiņas saņemtā aizdevuma ģeogrāfiskajā izvietojumā.</w:t>
      </w:r>
      <w:r>
        <w:rPr>
          <w:rStyle w:val="FootnoteReference"/>
          <w:rFonts w:ascii="Times New Roman" w:hAnsi="Times New Roman"/>
          <w:noProof/>
          <w:sz w:val="24"/>
        </w:rPr>
        <w:footnoteReference w:id="109"/>
      </w:r>
    </w:p>
    <w:p w:rsidR="00073FEC" w:rsidRPr="00E14B48" w:rsidRDefault="00073FEC" w:rsidP="00073FEC">
      <w:pPr>
        <w:pStyle w:val="BodyText"/>
        <w:numPr>
          <w:ilvl w:val="0"/>
          <w:numId w:val="17"/>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Turklāt 2011. gadā pēc Eurosamitos pieņemtajiem lēmumiem EFSI atbalsta shēma, no vienas puses, tika grozīta, izzūdot </w:t>
      </w:r>
      <w:r>
        <w:rPr>
          <w:rFonts w:ascii="Times New Roman" w:hAnsi="Times New Roman"/>
          <w:i/>
          <w:noProof/>
          <w:sz w:val="24"/>
        </w:rPr>
        <w:t>LSCB</w:t>
      </w:r>
      <w:r>
        <w:rPr>
          <w:rFonts w:ascii="Times New Roman" w:hAnsi="Times New Roman"/>
          <w:noProof/>
          <w:sz w:val="24"/>
        </w:rPr>
        <w:t xml:space="preserve"> (garantiju palielināšana līdz 160 %), ievērojami samazinoties skaidras naudas rezervei (drošības rezerve vairs nepastāv), bet, no otras puses, tika diversificēti un apkopoti līdzekļi (īstermiņa instrumenti), kas tika papildināti ar citiem intervences instrumentiem, kuri nebija aizdevumi.</w:t>
      </w:r>
      <w:r>
        <w:rPr>
          <w:rStyle w:val="FootnoteReference"/>
          <w:rFonts w:ascii="Times New Roman" w:hAnsi="Times New Roman"/>
          <w:noProof/>
          <w:sz w:val="24"/>
        </w:rPr>
        <w:footnoteReference w:id="110"/>
      </w:r>
      <w:r>
        <w:rPr>
          <w:rFonts w:ascii="Times New Roman" w:hAnsi="Times New Roman"/>
          <w:noProof/>
          <w:sz w:val="24"/>
        </w:rPr>
        <w:t xml:space="preserve"> Jāņem vērā arī tas, ka EFSI izveidoja likviditātes rezervi, kas netika pārdalīta dalībvalstu garantētājiem.</w:t>
      </w:r>
      <w:r>
        <w:rPr>
          <w:rStyle w:val="FootnoteReference"/>
          <w:rFonts w:ascii="Times New Roman" w:hAnsi="Times New Roman"/>
          <w:noProof/>
          <w:sz w:val="24"/>
        </w:rPr>
        <w:footnoteReference w:id="111"/>
      </w:r>
      <w:r>
        <w:rPr>
          <w:rFonts w:ascii="Times New Roman" w:hAnsi="Times New Roman"/>
          <w:noProof/>
          <w:sz w:val="24"/>
        </w:rPr>
        <w:t xml:space="preserve"> Šādos apstākļos daļa no parāda, ko EFSI faktiski savāca, netika piedēvēts kā parāds dalībvalstu garantētājiem.</w:t>
      </w:r>
    </w:p>
    <w:p w:rsidR="00073FEC" w:rsidRPr="001973D0" w:rsidRDefault="00073FEC" w:rsidP="00073FEC">
      <w:pPr>
        <w:jc w:val="both"/>
        <w:rPr>
          <w:rFonts w:ascii="Times New Roman" w:eastAsia="Arial" w:hAnsi="Times New Roman" w:cs="Arial"/>
          <w:noProof/>
          <w:sz w:val="24"/>
          <w:szCs w:val="32"/>
        </w:rPr>
      </w:pPr>
    </w:p>
    <w:p w:rsidR="00073FEC" w:rsidRDefault="00073FEC" w:rsidP="00073FEC">
      <w:pPr>
        <w:pStyle w:val="Heading7"/>
        <w:spacing w:before="0"/>
        <w:ind w:left="0"/>
        <w:jc w:val="both"/>
        <w:rPr>
          <w:rFonts w:ascii="Times New Roman" w:hAnsi="Times New Roman"/>
          <w:noProof/>
          <w:sz w:val="24"/>
        </w:rPr>
      </w:pPr>
      <w:r>
        <w:rPr>
          <w:rFonts w:ascii="Times New Roman" w:hAnsi="Times New Roman"/>
          <w:noProof/>
          <w:sz w:val="24"/>
        </w:rPr>
        <w:t>Eiropas Stabilitātes mehānisms</w:t>
      </w:r>
    </w:p>
    <w:p w:rsidR="00073FEC" w:rsidRPr="001973D0" w:rsidRDefault="00073FEC" w:rsidP="00073FEC">
      <w:pPr>
        <w:pStyle w:val="Heading7"/>
        <w:spacing w:before="0"/>
        <w:ind w:left="0"/>
        <w:jc w:val="both"/>
        <w:rPr>
          <w:rFonts w:ascii="Times New Roman" w:hAnsi="Times New Roman"/>
          <w:noProof/>
          <w:sz w:val="24"/>
        </w:rPr>
      </w:pP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ESM tiek traktēts kā institucionāla vienība, precīzāk, kā Eiropas Savienības starptautiska organizācija, pamatojoties uz vairāku šādu faktoru kopējo analīzi: pastāvība, izveide, pamatojoties uz Līgumu, starptautisks tiesiskais regulējums, ievērojama kapitāla summa, tostarp iemaksātais kapitāls 80 miljardu apmērā</w:t>
      </w:r>
      <w:r>
        <w:rPr>
          <w:rStyle w:val="FootnoteReference"/>
          <w:rFonts w:ascii="Times New Roman" w:hAnsi="Times New Roman"/>
          <w:noProof/>
          <w:sz w:val="24"/>
        </w:rPr>
        <w:footnoteReference w:id="112"/>
      </w:r>
      <w:r>
        <w:rPr>
          <w:rFonts w:ascii="Times New Roman" w:hAnsi="Times New Roman"/>
          <w:noProof/>
          <w:sz w:val="24"/>
        </w:rPr>
        <w:t>, lēmumu pieņemšanas autonomija, kas izriet no pārvaldības struktūras, kura līdzinās tai, kas novērota dažās citās starptautiskajās institūcijās finanšu jomā.</w:t>
      </w: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Līdz ar to neviena no tā īstenotajām atbalsta operācijām neietekmē to eirozonas dalībvalstu parādu, kuras nav saņēmējas valstis. Neviens aizdevums vai cita veida intervences pasākums netiek pārdalīts eirozonas dalībniekiem. Vienīgā ietekme uz šo dalībnieku parādu ir saistīta ar iespējamo nepieciešamību aizņemties naudu kādam iemaksātā kapitāla laidienam. Ciktāl runa ir par ietekmi uz dalībvalstu garantētāju neto aizdevumu/aizņēmumu, tā galvenokārt ir saistīta ar procentu starpības pastāvēšanu. Ja tomēr garantētāji vienojas par parāda atcelšanu aizdevuma ņēmējai valstij, ka</w:t>
      </w:r>
      <w:r w:rsidR="00372B0D">
        <w:rPr>
          <w:rFonts w:ascii="Times New Roman" w:hAnsi="Times New Roman"/>
          <w:noProof/>
          <w:sz w:val="24"/>
        </w:rPr>
        <w:t>pitāla pārvedums būtu jāieraksta</w:t>
      </w:r>
      <w:r>
        <w:rPr>
          <w:rFonts w:ascii="Times New Roman" w:hAnsi="Times New Roman"/>
          <w:noProof/>
          <w:sz w:val="24"/>
        </w:rPr>
        <w:t xml:space="preserve"> kā šo ES dalībvalstu izdevumi. Sākotnējā iemaksātā kapitāla faktiskais maksājums tiek uzskatīts par pašu kapitāla palielinājumu, savukārt pieprasāmais kapitāls tiek uzskatīts par iespējamajām saistībām. Faktiska pieprasījuma ietekme uz valdības kontiem tiktu traktēta kā kapitāla pārvedums tikai tad, ja ar to tiktu segti ESM zaudējumi vai iztrūkstošie maksājumi, ko parādniece valsts attiecīgi radījusi vai nav veikusi ESM.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32"/>
        </w:tabs>
        <w:ind w:left="0" w:firstLine="0"/>
        <w:jc w:val="both"/>
        <w:rPr>
          <w:rFonts w:ascii="Times New Roman" w:hAnsi="Times New Roman"/>
          <w:noProof/>
          <w:u w:val="thick" w:color="000000"/>
        </w:rPr>
      </w:pPr>
      <w:bookmarkStart w:id="84" w:name="I.9.3_Rationale_of_the_treatment"/>
      <w:bookmarkEnd w:id="84"/>
      <w:r>
        <w:rPr>
          <w:rFonts w:ascii="Times New Roman" w:hAnsi="Times New Roman"/>
          <w:noProof/>
          <w:u w:val="none"/>
        </w:rPr>
        <w:t>I.9.3. </w:t>
      </w:r>
      <w:r>
        <w:rPr>
          <w:rFonts w:ascii="Times New Roman" w:hAnsi="Times New Roman"/>
          <w:noProof/>
          <w:u w:val="thick" w:color="000000"/>
        </w:rPr>
        <w:t>Traktējuma pamatojums</w:t>
      </w:r>
    </w:p>
    <w:p w:rsidR="00073FEC" w:rsidRPr="001973D0" w:rsidRDefault="00073FEC" w:rsidP="00073FEC">
      <w:pPr>
        <w:pStyle w:val="Heading4"/>
        <w:tabs>
          <w:tab w:val="left" w:pos="1632"/>
        </w:tabs>
        <w:ind w:left="0" w:firstLine="0"/>
        <w:jc w:val="both"/>
        <w:rPr>
          <w:rFonts w:ascii="Times New Roman" w:hAnsi="Times New Roman"/>
          <w:noProof/>
          <w:u w:val="thick" w:color="000000"/>
        </w:rPr>
      </w:pPr>
    </w:p>
    <w:p w:rsidR="00073FEC" w:rsidRPr="001973D0"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Attiecībā uz EFSI ir pierādījumi, kas apliecina to, ka EFSI nevar uzskatīt par faktisku finanšu starpnieku, jo garantiju shēmā tas neuzņemas nekādu risku. Turklāt iepriekš jau tika minēts, ka daļu turētājiem nav jāuzņemas būtisks risks, jo kapitālam ir vien formāla nozīme. EFSI arī nevar uzskatīt par starptautisku organizāciju, lai arī starpvaldību vienošanās to paredzēja. Iemesls tam ir tas, ka EFSI ir privātas sabiedrības statuss, un arī tas, ka Eurogrupai ir iepriekš jāapstiprina tā svarīgākie lēmumi.</w:t>
      </w:r>
    </w:p>
    <w:p w:rsidR="00073FEC" w:rsidRPr="0002780E" w:rsidRDefault="00073FEC" w:rsidP="00073FEC">
      <w:pPr>
        <w:pStyle w:val="BodyText"/>
        <w:numPr>
          <w:ilvl w:val="0"/>
          <w:numId w:val="17"/>
        </w:numPr>
        <w:tabs>
          <w:tab w:val="left" w:pos="1282"/>
        </w:tabs>
        <w:spacing w:before="0"/>
        <w:ind w:left="709" w:hanging="709"/>
        <w:jc w:val="both"/>
        <w:rPr>
          <w:rFonts w:ascii="Times New Roman" w:hAnsi="Times New Roman"/>
          <w:noProof/>
          <w:sz w:val="24"/>
        </w:rPr>
      </w:pPr>
      <w:r>
        <w:rPr>
          <w:rFonts w:ascii="Times New Roman" w:hAnsi="Times New Roman"/>
          <w:noProof/>
          <w:sz w:val="24"/>
        </w:rPr>
        <w:t>Būtisks apstāklis ir tas, ka EFSI nav lēmumu pieņemšanas autonomijas tā galvenās funkcijas izpildē. Lēmumu iesaistīties finanšu glābšanas operācijā pieņem Eurogrupa, kura pārstāv eirozonas dalībvalstis. Lielākā daļa saistīto lēmumu ir jāpieņem vienprātīgi. Tāpat arī EFSI ir ierobežotas iniciatīvas tiesības attiecībā uz saistībām, kuras radušās tā vārdā, un tās atkarīgas no eirozonas dalībvalstu pieņemtajiem lēmumiem. Tā var aizņemties līdzekļus tikai ar garantētāju faktisku piekrišanu. Šajā ziņā tā manevra iespējas ir ierobežotas (piemēram, likviditātes rezervju termiņa, lieluma un ieguldījumu izvēle). Līdz ar to EFSI nepiemīt neatkarīga rīcībspēja, kas līdzinātos tai, kāda parasti novērojama finanšu starpniekam. Tomēr EFSI nevar konsolidēt ne Eurogrupā, kura nav institucionāla vienība, ne arī tā finanšu pārskatus var proporcionāli sadalīt starp eirozonas dalībvalstīm, ņemot vērā praktiskos sarežģījumus, kas šādā gadījumā rastos (izmaiņas iemaksu skalā, paturētajos ieņēmumos no aizdevuma līdzekļiem un kopš 2011. gada decembra arī līdzekļu apvienošanā). EFSI intervences pasākumu pārvirzīšana uz dalībvalstīm, kuras izsniedz garantijas attiecībā uz EFSI piešķirtajiem aizdevumiem, ir pareizs risinājums, kas jāpiemēro, lai atspoguļotu subjekta būtību.</w:t>
      </w:r>
    </w:p>
    <w:p w:rsidR="00073FEC" w:rsidRPr="001973D0" w:rsidRDefault="00073FEC" w:rsidP="00073FEC">
      <w:pPr>
        <w:pStyle w:val="BodyText"/>
        <w:numPr>
          <w:ilvl w:val="0"/>
          <w:numId w:val="17"/>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Svarīgi atzīmēt, ka praksē EFSI ir reģistrēts Luksemburgā kā sabiedrība ar ierobežotu </w:t>
      </w:r>
      <w:r>
        <w:rPr>
          <w:rFonts w:ascii="Times New Roman" w:hAnsi="Times New Roman"/>
          <w:noProof/>
          <w:sz w:val="24"/>
        </w:rPr>
        <w:lastRenderedPageBreak/>
        <w:t xml:space="preserve">atbildību un klasificēts kā finanšu starpnieks, kas pakļauts parastajām pārskatu sniegšanas prasībām. Tomēr ar statistiku saistītām vajadzībām tā operācijas tiek pārtraktētas atbilstīgi tam, kā minēts iepriekš. </w:t>
      </w:r>
      <w:r>
        <w:rPr>
          <w:rFonts w:ascii="Times New Roman" w:hAnsi="Times New Roman"/>
          <w:i/>
          <w:noProof/>
          <w:sz w:val="24"/>
        </w:rPr>
        <w:t>Eurostat</w:t>
      </w:r>
      <w:r>
        <w:rPr>
          <w:rFonts w:ascii="Times New Roman" w:hAnsi="Times New Roman"/>
          <w:noProof/>
          <w:sz w:val="24"/>
        </w:rPr>
        <w:t xml:space="preserve"> sadarbībā ar Luksemburgas statistikas iestādēm katru mēnesi sniedz dalībvalstīm visu informāciju, kas tām nepieciešama, lai norādītu EFSI savās maksājumu bilancēs un nacionālajos kontos saskaņā ar klasifikācijas lēmumu. Turklāt </w:t>
      </w:r>
      <w:r>
        <w:rPr>
          <w:rFonts w:ascii="Times New Roman" w:hAnsi="Times New Roman"/>
          <w:i/>
          <w:noProof/>
          <w:sz w:val="24"/>
        </w:rPr>
        <w:t>Eurostat</w:t>
      </w:r>
      <w:r>
        <w:rPr>
          <w:rFonts w:ascii="Times New Roman" w:hAnsi="Times New Roman"/>
          <w:noProof/>
          <w:sz w:val="24"/>
        </w:rPr>
        <w:t xml:space="preserve"> saistībā ar pārmērīga budžeta deficīta novēršanas procedūru divas reizes gadā publicē informāciju par starpvaldību aizdevumiem Eiropas Savienībā, kuros ietilpst pārvirzītie EFSI aizdevumi.</w:t>
      </w:r>
    </w:p>
    <w:p w:rsidR="00073FEC" w:rsidRPr="001973D0" w:rsidRDefault="00073FEC" w:rsidP="00073FEC">
      <w:pPr>
        <w:pStyle w:val="BodyText"/>
        <w:numPr>
          <w:ilvl w:val="0"/>
          <w:numId w:val="17"/>
        </w:numPr>
        <w:tabs>
          <w:tab w:val="left" w:pos="1242"/>
        </w:tabs>
        <w:spacing w:before="0"/>
        <w:ind w:left="709" w:hanging="709"/>
        <w:jc w:val="both"/>
        <w:rPr>
          <w:rFonts w:ascii="Times New Roman" w:hAnsi="Times New Roman"/>
          <w:noProof/>
          <w:sz w:val="24"/>
        </w:rPr>
      </w:pPr>
      <w:r>
        <w:rPr>
          <w:rFonts w:ascii="Times New Roman" w:hAnsi="Times New Roman"/>
          <w:noProof/>
          <w:sz w:val="24"/>
        </w:rPr>
        <w:t>Kā minēts iepriekš, ESM piemīt visas institucionālas vienības pazīmes, precīzāk, starptautiskas organizācijas pazīmes. Tā ir pastāvīga vienība (tāpat kā lielākā daļa starptautisko vienību), kas izveidota, pamatojoties uz ES Līgumu (augsts statuss tiesiskajā regulējumā), tai ir starptautiskas organizācijas statuss un liels iemaksātais kapitāls un ievērojams pieprasāmais kapitāls, ar kuru tiks nodrošināti tā intervences pasākumi. Kapitāla lielums ir būtisks aspekts, kas nosaka atšķirību starp EFSI un ESM saistībā ar tā atzīšanu par institucionālu vienību. Lai arī Eurogrupai ir liela ietekme, kas ir normāla iezīme saistībā ar tās patieso īpašo funkciju, ESM pārvaldība ļoti līdzinās tai, kas novērota citās starptautiskās institūcijās: valde, direktoru padome un izpilddirektors, kuram piešķirtas ievērojamas pilnvaras. Visbeidzot atsevišķu tādu lēmumu gadījumā, kuru ietekmi nevar uzskatīt par niecīgu, vienprātība nav obligāta, kā tas ir EFSI gadījumā. Līdz ar to subjekts atbilst parastajiem EKS 2010 institucionālās vienības kritērijiem. Attiecīgi nav iemesla pārdalīt ESM nodrošinātos atbalsta intervences pasākumus citām dalībval</w:t>
      </w:r>
      <w:r w:rsidR="00372B0D">
        <w:rPr>
          <w:rFonts w:ascii="Times New Roman" w:hAnsi="Times New Roman"/>
          <w:noProof/>
          <w:sz w:val="24"/>
        </w:rPr>
        <w:t>stīm. Parāda pieaugumu ierakstīs</w:t>
      </w:r>
      <w:r>
        <w:rPr>
          <w:rFonts w:ascii="Times New Roman" w:hAnsi="Times New Roman"/>
          <w:noProof/>
          <w:sz w:val="24"/>
        </w:rPr>
        <w:t xml:space="preserve"> vienīgi aizdevuma ņēmēja valsts. Tomēr gadījumā, ja ESM tieši piedalītos vienas valsts banku rekapitalizācijā, attiecībā uz šīs valsts valdību parād</w:t>
      </w:r>
      <w:r w:rsidR="00372B0D">
        <w:rPr>
          <w:rFonts w:ascii="Times New Roman" w:hAnsi="Times New Roman"/>
          <w:noProof/>
          <w:sz w:val="24"/>
        </w:rPr>
        <w:t>s netiktu ierakstīts</w:t>
      </w:r>
      <w:r>
        <w:rPr>
          <w:rFonts w:ascii="Times New Roman" w:hAnsi="Times New Roman"/>
          <w:noProof/>
          <w:sz w:val="24"/>
        </w:rPr>
        <w:t>, ja tā nebūtu uzņēmusies saistības pret ESM saistībā ar aktīviem/prasījumiem, ko ESM tur attiecībā uz bankām.</w:t>
      </w:r>
    </w:p>
    <w:p w:rsidR="00073FEC" w:rsidRPr="001973D0" w:rsidRDefault="00073FEC" w:rsidP="00073FEC">
      <w:pPr>
        <w:pStyle w:val="BodyText"/>
        <w:numPr>
          <w:ilvl w:val="0"/>
          <w:numId w:val="17"/>
        </w:numPr>
        <w:tabs>
          <w:tab w:val="left" w:pos="1242"/>
        </w:tabs>
        <w:spacing w:before="0"/>
        <w:ind w:left="709" w:hanging="709"/>
        <w:jc w:val="both"/>
        <w:rPr>
          <w:rFonts w:ascii="Times New Roman" w:hAnsi="Times New Roman"/>
          <w:noProof/>
          <w:sz w:val="24"/>
        </w:rPr>
      </w:pPr>
      <w:r>
        <w:rPr>
          <w:rFonts w:ascii="Times New Roman" w:hAnsi="Times New Roman"/>
          <w:noProof/>
          <w:sz w:val="24"/>
        </w:rPr>
        <w:t>Saskaņā ar EKS 2010 ESM tiks klasificēts visu ES valstu kontos kā ārējais eirozonas rezidents pārējās pasaules sektora (S.2) apakšsektorā S.21 (Eiropas Savienība) un kā ES institūcija (S.212). Eiropas institūciju (kas tiek uzskatītas par atsevišķu “dalībvalsti”) kontos ESM ir klasificēts kā “cits finanšu starpnieks” (S.125).</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Heading2"/>
        <w:tabs>
          <w:tab w:val="left" w:pos="1632"/>
        </w:tabs>
        <w:jc w:val="both"/>
        <w:rPr>
          <w:noProof/>
          <w:sz w:val="24"/>
        </w:rPr>
      </w:pPr>
      <w:bookmarkStart w:id="85" w:name="I.10__Keywords_and_accounting_references"/>
      <w:bookmarkStart w:id="86" w:name="_bookmark10"/>
      <w:bookmarkStart w:id="87" w:name="_Toc471135874"/>
      <w:bookmarkEnd w:id="85"/>
      <w:bookmarkEnd w:id="86"/>
      <w:r>
        <w:rPr>
          <w:noProof/>
          <w:sz w:val="24"/>
        </w:rPr>
        <w:t>I.10. Atslēgvārdi un atsauces</w:t>
      </w:r>
      <w:bookmarkEnd w:id="87"/>
    </w:p>
    <w:p w:rsidR="00073FEC" w:rsidRPr="001973D0" w:rsidRDefault="00073FEC" w:rsidP="00073FEC">
      <w:pPr>
        <w:jc w:val="both"/>
        <w:rPr>
          <w:rFonts w:ascii="Times New Roman" w:eastAsia="Arial" w:hAnsi="Times New Roman" w:cs="Arial"/>
          <w:b/>
          <w:bCs/>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4661"/>
        <w:gridCol w:w="4414"/>
      </w:tblGrid>
      <w:tr w:rsidR="00073FEC" w:rsidRPr="001973D0" w:rsidTr="00523A0A">
        <w:trPr>
          <w:trHeight w:hRule="exact" w:val="379"/>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Piesaistošās finanšu iestādes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2.298.–2.299.</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Kontrole</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2.37.–2.38. un 20.309.–20.310.</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Definētu pabalstu pensiju shēmas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17.57.</w:t>
            </w:r>
          </w:p>
        </w:tc>
      </w:tr>
      <w:tr w:rsidR="00073FEC" w:rsidRPr="001973D0" w:rsidTr="00523A0A">
        <w:trPr>
          <w:trHeight w:hRule="exact" w:val="418"/>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Definētu iemaksu pensiju shēmas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17.54.</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Ekonomiski nozīmīga cena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20.19.–20.22.</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Darba devēja pensiju shēmas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17.49.</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Finanšu starpniecība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2.57.–2.62.</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Vispārējās valdības sektors un apakšsektori</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2.111.–2.117.</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Kontrolakciju sabiedrība, centrālais birojs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2.14. un 20.35.–20.37.</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Institucionālā vienība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2.12.–2.13.</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Tirgus izlaide</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3.17.–3.19.</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lastRenderedPageBreak/>
              <w:t>Tirgus/ārpustirgus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3.32.–3.37. un 20.19.–20.34.</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Ārpustirgus izlaide</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3.23.</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Bezpeļņas iestāde</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2.129.–2.130.</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Pensiju fonds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2.105.–2.110.</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Publiskais/privātais ražotājs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20.303.</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Kvazisabiedrība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2.13. (f)</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Pārkārtoti darījumi</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1.75.–1.78.</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Sociālā palīdzība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4.105.</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Sociālās apdrošināšanas shēma</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4.88.–4.90.</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Sociālās nodrošināšanas fonds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2.117.</w:t>
            </w:r>
          </w:p>
        </w:tc>
      </w:tr>
      <w:tr w:rsidR="00073FEC" w:rsidRPr="001973D0" w:rsidTr="00523A0A">
        <w:trPr>
          <w:trHeight w:hRule="exact" w:val="417"/>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Sociālās nodrošināšanas shēmas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4.88.</w:t>
            </w:r>
          </w:p>
        </w:tc>
      </w:tr>
      <w:tr w:rsidR="00073FEC" w:rsidRPr="001973D0" w:rsidTr="00523A0A">
        <w:trPr>
          <w:trHeight w:hRule="exact" w:val="379"/>
        </w:trPr>
        <w:tc>
          <w:tcPr>
            <w:tcW w:w="2568"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Īpašam nolūkam dibinātas valdības vienības</w:t>
            </w:r>
          </w:p>
        </w:tc>
        <w:tc>
          <w:tcPr>
            <w:tcW w:w="2432"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2.27.–2.29.</w:t>
            </w:r>
          </w:p>
        </w:tc>
      </w:tr>
    </w:tbl>
    <w:p w:rsidR="00073FEC" w:rsidRPr="001973D0" w:rsidRDefault="00073FEC" w:rsidP="00073FEC">
      <w:pPr>
        <w:jc w:val="both"/>
        <w:rPr>
          <w:rFonts w:ascii="Times New Roman" w:eastAsia="Times New Roman" w:hAnsi="Times New Roman" w:cs="Times New Roman"/>
          <w:noProof/>
          <w:sz w:val="24"/>
          <w:szCs w:val="17"/>
        </w:rPr>
      </w:pPr>
    </w:p>
    <w:p w:rsidR="00073FEC" w:rsidRDefault="00073FEC" w:rsidP="00073FEC">
      <w:pPr>
        <w:rPr>
          <w:rFonts w:ascii="Times New Roman" w:eastAsia="Times New Roman" w:hAnsi="Times New Roman" w:cs="Times New Roman"/>
          <w:noProof/>
          <w:sz w:val="24"/>
          <w:szCs w:val="20"/>
        </w:rPr>
      </w:pPr>
      <w:r>
        <w:br w:type="page"/>
      </w:r>
    </w:p>
    <w:p w:rsidR="00073FEC" w:rsidRDefault="00073FEC" w:rsidP="00073FEC">
      <w:pPr>
        <w:pStyle w:val="Heading1"/>
        <w:tabs>
          <w:tab w:val="left" w:pos="2321"/>
        </w:tabs>
        <w:rPr>
          <w:noProof/>
          <w:sz w:val="24"/>
        </w:rPr>
      </w:pPr>
      <w:bookmarkStart w:id="88" w:name="Part_II_Time_of_recording"/>
      <w:bookmarkStart w:id="89" w:name="_bookmark11"/>
      <w:bookmarkEnd w:id="88"/>
      <w:bookmarkEnd w:id="89"/>
    </w:p>
    <w:p w:rsidR="00073FEC" w:rsidRPr="001973D0" w:rsidRDefault="00073FEC" w:rsidP="00565513">
      <w:pPr>
        <w:pStyle w:val="Heading1"/>
        <w:tabs>
          <w:tab w:val="left" w:pos="1134"/>
        </w:tabs>
        <w:rPr>
          <w:noProof/>
        </w:rPr>
      </w:pPr>
      <w:bookmarkStart w:id="90" w:name="_Toc471135875"/>
      <w:r>
        <w:rPr>
          <w:noProof/>
        </w:rPr>
        <w:t>II daļa.</w:t>
      </w:r>
      <w:r>
        <w:tab/>
      </w:r>
      <w:r w:rsidR="00372B0D">
        <w:t>Ierakstīšanas</w:t>
      </w:r>
      <w:r>
        <w:rPr>
          <w:noProof/>
        </w:rPr>
        <w:t xml:space="preserve"> laiks</w:t>
      </w:r>
      <w:bookmarkEnd w:id="90"/>
    </w:p>
    <w:p w:rsidR="00073FEC" w:rsidRPr="001973D0" w:rsidRDefault="00073FEC" w:rsidP="00073FEC">
      <w:pPr>
        <w:jc w:val="both"/>
        <w:rPr>
          <w:rFonts w:ascii="Times New Roman" w:eastAsia="Arial" w:hAnsi="Times New Roman" w:cs="Arial"/>
          <w:b/>
          <w:bCs/>
          <w:noProof/>
          <w:sz w:val="24"/>
          <w:szCs w:val="31"/>
        </w:rPr>
      </w:pPr>
    </w:p>
    <w:p w:rsidR="00073FEC" w:rsidRDefault="00073FEC" w:rsidP="00565513">
      <w:pPr>
        <w:pStyle w:val="Heading2"/>
        <w:rPr>
          <w:noProof/>
        </w:rPr>
      </w:pPr>
      <w:bookmarkStart w:id="91" w:name="II.1_Overview"/>
      <w:bookmarkStart w:id="92" w:name="_bookmark12"/>
      <w:bookmarkStart w:id="93" w:name="_Toc471135876"/>
      <w:bookmarkEnd w:id="91"/>
      <w:bookmarkEnd w:id="92"/>
      <w:r>
        <w:rPr>
          <w:noProof/>
        </w:rPr>
        <w:t>II.1. </w:t>
      </w:r>
      <w:r w:rsidRPr="00565513">
        <w:t>Pārskats</w:t>
      </w:r>
      <w:bookmarkEnd w:id="93"/>
    </w:p>
    <w:p w:rsidR="00073FEC" w:rsidRPr="001973D0" w:rsidRDefault="00073FEC" w:rsidP="00073FEC">
      <w:pPr>
        <w:pStyle w:val="Heading2"/>
        <w:tabs>
          <w:tab w:val="left" w:pos="1592"/>
        </w:tabs>
        <w:jc w:val="both"/>
        <w:rPr>
          <w:noProof/>
          <w:sz w:val="24"/>
        </w:rPr>
      </w:pPr>
    </w:p>
    <w:p w:rsidR="00073FEC" w:rsidRPr="001973D0" w:rsidRDefault="00073FEC" w:rsidP="00073FEC">
      <w:pPr>
        <w:pStyle w:val="BodyText"/>
        <w:numPr>
          <w:ilvl w:val="0"/>
          <w:numId w:val="16"/>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Saskaņā ar EKS 2010 1.101. punktu plūsmas ieraksta pēc uzkrāšanas principa, tas ir, kad ekonomiskās vērtības tiek radītas, pārveidotas vai iznīcinātas vai kad prasības un saistības rodas, tiek pārveidotas vai dzēstas. Līdz </w:t>
      </w:r>
      <w:r w:rsidR="00372B0D">
        <w:rPr>
          <w:rFonts w:ascii="Times New Roman" w:hAnsi="Times New Roman"/>
          <w:noProof/>
          <w:sz w:val="24"/>
        </w:rPr>
        <w:t>ar to produkcija tiek ierakstīta</w:t>
      </w:r>
      <w:r>
        <w:rPr>
          <w:rFonts w:ascii="Times New Roman" w:hAnsi="Times New Roman"/>
          <w:noProof/>
          <w:sz w:val="24"/>
        </w:rPr>
        <w:t xml:space="preserve">, kad tā tiek saražota, nevis kad pircējs norēķinās par preci vai pakalpojumu. </w:t>
      </w:r>
      <w:r w:rsidR="00372B0D">
        <w:rPr>
          <w:rFonts w:ascii="Times New Roman" w:hAnsi="Times New Roman"/>
          <w:noProof/>
          <w:sz w:val="24"/>
        </w:rPr>
        <w:t>Aktīvu pārdošana tiek ierakstīta</w:t>
      </w:r>
      <w:r>
        <w:rPr>
          <w:rFonts w:ascii="Times New Roman" w:hAnsi="Times New Roman"/>
          <w:noProof/>
          <w:sz w:val="24"/>
        </w:rPr>
        <w:t>, kad mainās aktīvu ekonomiskā piederība, nevis kad tiek veikts attiecīga</w:t>
      </w:r>
      <w:r w:rsidR="00EC4008">
        <w:rPr>
          <w:rFonts w:ascii="Times New Roman" w:hAnsi="Times New Roman"/>
          <w:noProof/>
          <w:sz w:val="24"/>
        </w:rPr>
        <w:t>is maksājums. Procentus ieraksta</w:t>
      </w:r>
      <w:r>
        <w:rPr>
          <w:rFonts w:ascii="Times New Roman" w:hAnsi="Times New Roman"/>
          <w:noProof/>
          <w:sz w:val="24"/>
        </w:rPr>
        <w:t xml:space="preserve"> tajā uzskaites periodā, kurā tie uzkrājas, neatkarīgi no tā, vai tie ir faktiski samaksāti </w:t>
      </w:r>
      <w:r w:rsidR="00EC4008">
        <w:rPr>
          <w:rFonts w:ascii="Times New Roman" w:hAnsi="Times New Roman"/>
          <w:noProof/>
          <w:sz w:val="24"/>
        </w:rPr>
        <w:t>konkrētajā periodā. Ierakstīšanu</w:t>
      </w:r>
      <w:r>
        <w:rPr>
          <w:rFonts w:ascii="Times New Roman" w:hAnsi="Times New Roman"/>
          <w:noProof/>
          <w:sz w:val="24"/>
        </w:rPr>
        <w:t xml:space="preserve"> atbilstoši uzkrāšanas principam piemēro attiecībā uz vairumu monetāro un nemonetāro plūsmu gan vienības iekšienē, gan starp vienībām.</w:t>
      </w:r>
    </w:p>
    <w:p w:rsidR="00073FEC" w:rsidRPr="001973D0" w:rsidRDefault="00EC4008" w:rsidP="00073FEC">
      <w:pPr>
        <w:pStyle w:val="BodyText"/>
        <w:numPr>
          <w:ilvl w:val="0"/>
          <w:numId w:val="16"/>
        </w:numPr>
        <w:tabs>
          <w:tab w:val="left" w:pos="1242"/>
        </w:tabs>
        <w:spacing w:before="0"/>
        <w:ind w:left="709" w:hanging="709"/>
        <w:jc w:val="both"/>
        <w:rPr>
          <w:rFonts w:ascii="Times New Roman" w:hAnsi="Times New Roman"/>
          <w:noProof/>
          <w:sz w:val="24"/>
        </w:rPr>
      </w:pPr>
      <w:r>
        <w:rPr>
          <w:rFonts w:ascii="Times New Roman" w:hAnsi="Times New Roman"/>
          <w:noProof/>
          <w:sz w:val="24"/>
        </w:rPr>
        <w:t>Darījumu ierakstīšanas</w:t>
      </w:r>
      <w:r w:rsidR="00073FEC">
        <w:rPr>
          <w:rFonts w:ascii="Times New Roman" w:hAnsi="Times New Roman"/>
          <w:noProof/>
          <w:sz w:val="24"/>
        </w:rPr>
        <w:t xml:space="preserve"> laiks ietekmē valdības neto aizdevumu/aizņēmumu (B.9). Tomēr ilgākā laika po</w:t>
      </w:r>
      <w:r>
        <w:rPr>
          <w:rFonts w:ascii="Times New Roman" w:hAnsi="Times New Roman"/>
          <w:noProof/>
          <w:sz w:val="24"/>
        </w:rPr>
        <w:t>smā atšķirība starp ierakstīšanu</w:t>
      </w:r>
      <w:r w:rsidR="00073FEC">
        <w:rPr>
          <w:rFonts w:ascii="Times New Roman" w:hAnsi="Times New Roman"/>
          <w:noProof/>
          <w:sz w:val="24"/>
        </w:rPr>
        <w:t xml:space="preserve"> atbilstoši uzkrāšanas principa</w:t>
      </w:r>
      <w:r>
        <w:rPr>
          <w:rFonts w:ascii="Times New Roman" w:hAnsi="Times New Roman"/>
          <w:noProof/>
          <w:sz w:val="24"/>
        </w:rPr>
        <w:t>m un naudas plūsmas ierakstīšanu izzūd, jo, ierakstīšanu</w:t>
      </w:r>
      <w:r w:rsidR="00073FEC">
        <w:rPr>
          <w:rFonts w:ascii="Times New Roman" w:hAnsi="Times New Roman"/>
          <w:noProof/>
          <w:sz w:val="24"/>
        </w:rPr>
        <w:t xml:space="preserve"> veicot atbilstīgi uzkrāšanas principam, naudas darījumi tiek vienkārši pārnesti uz citu laika posmu. Finanšu instrumenta kategoriju “Citas debitoru/kreditoru saistības” (AF.8) izmanto, lai sasaistītu laika starpību starp darījumiem un tiem atbilstošo agrāk vai vēlāk notikušo </w:t>
      </w:r>
      <w:r>
        <w:rPr>
          <w:rFonts w:ascii="Times New Roman" w:hAnsi="Times New Roman"/>
          <w:noProof/>
          <w:sz w:val="24"/>
        </w:rPr>
        <w:t>naudas plūsmu. AF.8 ierakstīšana</w:t>
      </w:r>
      <w:r w:rsidR="00073FEC">
        <w:rPr>
          <w:rFonts w:ascii="Times New Roman" w:hAnsi="Times New Roman"/>
          <w:noProof/>
          <w:sz w:val="24"/>
        </w:rPr>
        <w:t xml:space="preserve"> neietekmē valdības parādu</w:t>
      </w:r>
      <w:r w:rsidR="00073FEC">
        <w:rPr>
          <w:rStyle w:val="FootnoteReference"/>
          <w:rFonts w:ascii="Times New Roman" w:hAnsi="Times New Roman"/>
          <w:noProof/>
          <w:sz w:val="24"/>
        </w:rPr>
        <w:footnoteReference w:id="113"/>
      </w:r>
      <w:r w:rsidR="00073FEC">
        <w:rPr>
          <w:rFonts w:ascii="Times New Roman" w:hAnsi="Times New Roman"/>
          <w:noProof/>
          <w:sz w:val="24"/>
        </w:rPr>
        <w:t>, jo kreditoru saistības (kategorija, kas nosaka atšķirību starp uzkrājumu un skaidru naudu) netiek iekļautas šajā definīcijā.</w:t>
      </w:r>
    </w:p>
    <w:p w:rsidR="00073FEC" w:rsidRPr="001973D0" w:rsidRDefault="00073FEC" w:rsidP="00073FEC">
      <w:pPr>
        <w:pStyle w:val="BodyText"/>
        <w:numPr>
          <w:ilvl w:val="0"/>
          <w:numId w:val="16"/>
        </w:numPr>
        <w:tabs>
          <w:tab w:val="left" w:pos="1242"/>
        </w:tabs>
        <w:spacing w:before="0"/>
        <w:ind w:left="709" w:hanging="709"/>
        <w:jc w:val="both"/>
        <w:rPr>
          <w:rFonts w:ascii="Times New Roman" w:hAnsi="Times New Roman"/>
          <w:noProof/>
          <w:sz w:val="24"/>
        </w:rPr>
      </w:pPr>
      <w:r>
        <w:rPr>
          <w:rFonts w:ascii="Times New Roman" w:hAnsi="Times New Roman"/>
          <w:noProof/>
          <w:sz w:val="24"/>
        </w:rPr>
        <w:t>Tomēr dažos gadī</w:t>
      </w:r>
      <w:r w:rsidR="00EC4008">
        <w:rPr>
          <w:rFonts w:ascii="Times New Roman" w:hAnsi="Times New Roman"/>
          <w:noProof/>
          <w:sz w:val="24"/>
        </w:rPr>
        <w:t>jumos attiecībā uz ierakstīšanas</w:t>
      </w:r>
      <w:r>
        <w:rPr>
          <w:rFonts w:ascii="Times New Roman" w:hAnsi="Times New Roman"/>
          <w:noProof/>
          <w:sz w:val="24"/>
        </w:rPr>
        <w:t xml:space="preserve"> laiku jāpiemēro elastība. Attiecībā uz nodokļu</w:t>
      </w:r>
      <w:r w:rsidR="00EC4008">
        <w:rPr>
          <w:rFonts w:ascii="Times New Roman" w:hAnsi="Times New Roman"/>
          <w:noProof/>
          <w:sz w:val="24"/>
        </w:rPr>
        <w:t xml:space="preserve"> un sociālo iemaksu ierakstīšanu</w:t>
      </w:r>
      <w:r>
        <w:rPr>
          <w:rFonts w:ascii="Times New Roman" w:hAnsi="Times New Roman"/>
          <w:noProof/>
          <w:sz w:val="24"/>
        </w:rPr>
        <w:t xml:space="preserve"> tiek piemērots viens rūpīgi apsvērts vispārējā principa pielāgojums. Tā kā šāda veida valdības ieņēmumi bieži vie</w:t>
      </w:r>
      <w:r w:rsidR="00EC4008">
        <w:rPr>
          <w:rFonts w:ascii="Times New Roman" w:hAnsi="Times New Roman"/>
          <w:noProof/>
          <w:sz w:val="24"/>
        </w:rPr>
        <w:t>n tiek ierakstīti</w:t>
      </w:r>
      <w:r>
        <w:rPr>
          <w:rFonts w:ascii="Times New Roman" w:hAnsi="Times New Roman"/>
          <w:noProof/>
          <w:sz w:val="24"/>
        </w:rPr>
        <w:t xml:space="preserve">, pamatojoties uz naudas plūsmu publiskajos kontos un pamatavota informāciju, tie ir jāpārveido atbilstīgi uzkrāšanas principam. Īpaši noteikumi attiecībā nodokļiem un sociālajām iemaksām tika izstrādāti tā, lai vispārējās valdības (un partnersektoru) neto aizdevumā/aizņēmumā (B.9) netiktu iekļautas tās nodokļu un sociālo iemaksu summas, kas visticamāk netiks iekasētas. Rokasgrāmatas II.2.2. iedaļā ir pieejami </w:t>
      </w:r>
      <w:r w:rsidR="00EC4008">
        <w:rPr>
          <w:rFonts w:ascii="Times New Roman" w:hAnsi="Times New Roman"/>
          <w:noProof/>
          <w:sz w:val="24"/>
        </w:rPr>
        <w:t>un aprakstīti divi ierakstīšanas</w:t>
      </w:r>
      <w:r>
        <w:rPr>
          <w:rFonts w:ascii="Times New Roman" w:hAnsi="Times New Roman"/>
          <w:noProof/>
          <w:sz w:val="24"/>
        </w:rPr>
        <w:t xml:space="preserve"> risinājumi, kuri ļauj izvairīties no to valdības</w:t>
      </w:r>
      <w:r w:rsidR="00EC4008">
        <w:rPr>
          <w:rFonts w:ascii="Times New Roman" w:hAnsi="Times New Roman"/>
          <w:noProof/>
          <w:sz w:val="24"/>
        </w:rPr>
        <w:t xml:space="preserve"> ieņēmumu summu ierakstīšanas</w:t>
      </w:r>
      <w:r>
        <w:rPr>
          <w:rFonts w:ascii="Times New Roman" w:hAnsi="Times New Roman"/>
          <w:noProof/>
          <w:sz w:val="24"/>
        </w:rPr>
        <w:t>, kuras nekad netiks iekasētas.</w:t>
      </w:r>
    </w:p>
    <w:p w:rsidR="00073FEC" w:rsidRPr="001973D0" w:rsidRDefault="00EC4008" w:rsidP="00073FEC">
      <w:pPr>
        <w:pStyle w:val="BodyText"/>
        <w:numPr>
          <w:ilvl w:val="0"/>
          <w:numId w:val="16"/>
        </w:numPr>
        <w:tabs>
          <w:tab w:val="left" w:pos="1242"/>
        </w:tabs>
        <w:spacing w:before="0"/>
        <w:ind w:left="709" w:hanging="709"/>
        <w:jc w:val="both"/>
        <w:rPr>
          <w:rFonts w:ascii="Times New Roman" w:hAnsi="Times New Roman"/>
          <w:noProof/>
          <w:sz w:val="24"/>
        </w:rPr>
      </w:pPr>
      <w:r>
        <w:rPr>
          <w:rFonts w:ascii="Times New Roman" w:hAnsi="Times New Roman"/>
          <w:noProof/>
          <w:sz w:val="24"/>
        </w:rPr>
        <w:t>Nosakot pareizu ierakstīšanas</w:t>
      </w:r>
      <w:r w:rsidR="00073FEC">
        <w:rPr>
          <w:rFonts w:ascii="Times New Roman" w:hAnsi="Times New Roman"/>
          <w:noProof/>
          <w:sz w:val="24"/>
        </w:rPr>
        <w:t xml:space="preserve"> laiku saskaņā ar uzkrāšanas principu, ir jāņem vērā ekonomiskie notikumi, kā arī dažos gadījumos juridiskie un administratīvie notikumi. Piemēram, ekonomiska darbība var radīt pienākumu samaksāt nodokļus, taču nodokļa summu var noteikt tikai pēc kāda laika kopš ekonomiskās darbības veikšanas brīža, tiklīdz kādā nākotnes datumā ir nosūtīts konkrēts dokuments, kurā prasīts veikt maksājumu. EKS 2010 4.82. punktā norādīts, ka attiecībā uz dažām ekonomiskām darbībām, darījumiem vai notikumiem “ierakstāmās summas nosaka, pamatojoties tikai uz tādām maksājamām summām, ko apstiprina nodokļu aprēķini, deklarācijas vai citi instrumenti, kuri nodokļu maksātājam rada saistības kā nepārprotamu pienākumu veikt maksājumu”.</w:t>
      </w:r>
    </w:p>
    <w:p w:rsidR="00073FEC" w:rsidRPr="001973D0" w:rsidRDefault="00073FEC" w:rsidP="00073FEC">
      <w:pPr>
        <w:pStyle w:val="BodyText"/>
        <w:numPr>
          <w:ilvl w:val="0"/>
          <w:numId w:val="16"/>
        </w:numPr>
        <w:tabs>
          <w:tab w:val="left" w:pos="1242"/>
        </w:tabs>
        <w:spacing w:before="0"/>
        <w:ind w:left="709" w:hanging="709"/>
        <w:jc w:val="both"/>
        <w:rPr>
          <w:rFonts w:ascii="Times New Roman" w:hAnsi="Times New Roman"/>
          <w:noProof/>
          <w:sz w:val="24"/>
        </w:rPr>
      </w:pPr>
      <w:r>
        <w:rPr>
          <w:rFonts w:ascii="Times New Roman" w:hAnsi="Times New Roman"/>
          <w:noProof/>
          <w:sz w:val="24"/>
        </w:rPr>
        <w:t>Laiks, kad tiek radītas nodokļu saistības, dažādiem nodokļu veidiem var atšķirties. Nacionālo kontu speciālistiem jāl</w:t>
      </w:r>
      <w:r w:rsidR="00EC4008">
        <w:rPr>
          <w:rFonts w:ascii="Times New Roman" w:hAnsi="Times New Roman"/>
          <w:noProof/>
          <w:sz w:val="24"/>
        </w:rPr>
        <w:t>emj par to, kurā brīdī ierakstīt</w:t>
      </w:r>
      <w:r>
        <w:rPr>
          <w:rFonts w:ascii="Times New Roman" w:hAnsi="Times New Roman"/>
          <w:noProof/>
          <w:sz w:val="24"/>
        </w:rPr>
        <w:t xml:space="preserve"> nodokļus un sociālās iemaksas, un viņiem pilnīgi jāņem vērā tas, ka daži maksājumi praksē nekad netiks iekasēti.</w:t>
      </w: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94" w:name="II.2_Recording_of_taxes_and_social_contr"/>
      <w:bookmarkStart w:id="95" w:name="_bookmark13"/>
      <w:bookmarkStart w:id="96" w:name="_Toc471135877"/>
      <w:bookmarkEnd w:id="94"/>
      <w:bookmarkEnd w:id="95"/>
      <w:r>
        <w:rPr>
          <w:noProof/>
        </w:rPr>
        <w:lastRenderedPageBreak/>
        <w:t xml:space="preserve">II.2. Nodokļu un </w:t>
      </w:r>
      <w:r w:rsidRPr="00565513">
        <w:t>sociālo</w:t>
      </w:r>
      <w:r>
        <w:rPr>
          <w:noProof/>
        </w:rPr>
        <w:t xml:space="preserve"> iemaksu </w:t>
      </w:r>
      <w:bookmarkEnd w:id="96"/>
      <w:r w:rsidR="001C544B">
        <w:rPr>
          <w:noProof/>
        </w:rPr>
        <w:t>ierakstīšana</w:t>
      </w:r>
    </w:p>
    <w:p w:rsidR="00073FEC" w:rsidRPr="001973D0" w:rsidRDefault="00073FEC" w:rsidP="00073FEC">
      <w:pPr>
        <w:pStyle w:val="Heading2"/>
        <w:tabs>
          <w:tab w:val="left" w:pos="1592"/>
        </w:tabs>
        <w:jc w:val="both"/>
        <w:rPr>
          <w:noProof/>
          <w:sz w:val="24"/>
        </w:rPr>
      </w:pPr>
    </w:p>
    <w:p w:rsidR="00073FEC" w:rsidRDefault="00073FEC" w:rsidP="00073FEC">
      <w:pPr>
        <w:pStyle w:val="Heading4"/>
        <w:tabs>
          <w:tab w:val="left" w:pos="1592"/>
        </w:tabs>
        <w:ind w:left="0" w:firstLine="0"/>
        <w:jc w:val="both"/>
        <w:rPr>
          <w:rFonts w:ascii="Times New Roman" w:hAnsi="Times New Roman"/>
          <w:noProof/>
          <w:u w:val="thick" w:color="000000"/>
        </w:rPr>
      </w:pPr>
      <w:bookmarkStart w:id="97" w:name="II.2.1_Background"/>
      <w:bookmarkEnd w:id="97"/>
      <w:r>
        <w:rPr>
          <w:rFonts w:ascii="Times New Roman" w:hAnsi="Times New Roman"/>
          <w:noProof/>
          <w:u w:val="none"/>
        </w:rPr>
        <w:t>II.2.1. </w:t>
      </w:r>
      <w:r>
        <w:rPr>
          <w:rFonts w:ascii="Times New Roman" w:hAnsi="Times New Roman"/>
          <w:noProof/>
          <w:u w:val="thick" w:color="000000"/>
        </w:rPr>
        <w:t>Vispārēja informācija</w:t>
      </w:r>
    </w:p>
    <w:p w:rsidR="00073FEC" w:rsidRPr="001973D0" w:rsidRDefault="00073FEC" w:rsidP="00073FEC">
      <w:pPr>
        <w:pStyle w:val="Heading4"/>
        <w:tabs>
          <w:tab w:val="left" w:pos="1592"/>
        </w:tabs>
        <w:ind w:left="0" w:firstLine="0"/>
        <w:jc w:val="both"/>
        <w:rPr>
          <w:rFonts w:ascii="Times New Roman" w:hAnsi="Times New Roman"/>
          <w:noProof/>
          <w:u w:val="thick" w:color="000000"/>
        </w:rPr>
      </w:pP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Eiropas Savienībā nodokļi un sociālās iemaksas ir valdības ieņēmumu </w:t>
      </w:r>
      <w:r w:rsidR="001C544B">
        <w:rPr>
          <w:rFonts w:ascii="Times New Roman" w:hAnsi="Times New Roman"/>
          <w:noProof/>
          <w:sz w:val="24"/>
        </w:rPr>
        <w:t>galvenais avots. To ierakstīšana</w:t>
      </w:r>
      <w:r>
        <w:rPr>
          <w:rFonts w:ascii="Times New Roman" w:hAnsi="Times New Roman"/>
          <w:noProof/>
          <w:sz w:val="24"/>
        </w:rPr>
        <w:t xml:space="preserve"> nacionālajos kontos ir īpaši būtiska saistībā ar pārmērīga budžeta deficīta novērš</w:t>
      </w:r>
      <w:r w:rsidR="001C544B">
        <w:rPr>
          <w:rFonts w:ascii="Times New Roman" w:hAnsi="Times New Roman"/>
          <w:noProof/>
          <w:sz w:val="24"/>
        </w:rPr>
        <w:t>anas procedūru. To ierakstīšanas</w:t>
      </w:r>
      <w:r>
        <w:rPr>
          <w:rFonts w:ascii="Times New Roman" w:hAnsi="Times New Roman"/>
          <w:noProof/>
          <w:sz w:val="24"/>
        </w:rPr>
        <w:t xml:space="preserve"> metodēm ir jābūt pārredzamām un valdības neto aizdevumam/aizņēmumam (B.9) ir jābūt salīdzināmam. Turklāt nesamaksātos nodokļus un soc</w:t>
      </w:r>
      <w:r w:rsidR="001C544B">
        <w:rPr>
          <w:rFonts w:ascii="Times New Roman" w:hAnsi="Times New Roman"/>
          <w:noProof/>
          <w:sz w:val="24"/>
        </w:rPr>
        <w:t>iālā iemaksas nedrīkst ierakstīt</w:t>
      </w:r>
      <w:r>
        <w:rPr>
          <w:rFonts w:ascii="Times New Roman" w:hAnsi="Times New Roman"/>
          <w:noProof/>
          <w:sz w:val="24"/>
        </w:rPr>
        <w:t xml:space="preserve"> kā valdības ieņēmumus un uzkrātajām summām ilgākā laika posmā pilnīgi jāsakrīt ar samaksātajām summām.</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w:t>
      </w:r>
      <w:r>
        <w:rPr>
          <w:rStyle w:val="FootnoteReference"/>
          <w:rFonts w:ascii="Times New Roman" w:hAnsi="Times New Roman"/>
          <w:noProof/>
          <w:sz w:val="24"/>
        </w:rPr>
        <w:footnoteReference w:id="114"/>
      </w:r>
      <w:r>
        <w:rPr>
          <w:rFonts w:ascii="Times New Roman" w:hAnsi="Times New Roman"/>
          <w:noProof/>
          <w:sz w:val="24"/>
        </w:rPr>
        <w:t xml:space="preserve"> noteikts, ka nodokļi un sociālās iemaksas, kas uzkrātas (vai kas jāsaņem), bet kas visticamāk netiks iekasētas dažādu iemeslu dēļ (piemēram, uzņēmumu bankrots, nodokļu iekasēšanas sistēmas neefektivitāte, atsevišķu nodokļu maksātāju nozušana u.c.), nedrīkst iekļaut kā valdības ieņēmumus, un tādējādi tās neietekmē vispārējās valdības neto aizdevumu/aizņēmumu.</w:t>
      </w:r>
    </w:p>
    <w:p w:rsidR="00073FEC"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4.82. un 4.95. punktā norādīts, ka nodokļus un sociālās iemaksas, ko ieraksta kontos, iegūst no diviem avotiem: summām, ko apliecina nodokļu aprēķini un deklarācijas, vai gūtie naudas ieņēmumi.</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5"/>
        </w:numPr>
        <w:tabs>
          <w:tab w:val="left" w:pos="1592"/>
        </w:tabs>
        <w:spacing w:before="0"/>
        <w:ind w:left="1134" w:hanging="425"/>
        <w:jc w:val="both"/>
        <w:rPr>
          <w:rFonts w:ascii="Times New Roman" w:hAnsi="Times New Roman"/>
          <w:noProof/>
          <w:sz w:val="24"/>
          <w:szCs w:val="14"/>
        </w:rPr>
      </w:pPr>
      <w:r>
        <w:rPr>
          <w:rFonts w:ascii="Times New Roman" w:hAnsi="Times New Roman"/>
          <w:noProof/>
          <w:sz w:val="24"/>
        </w:rPr>
        <w:t xml:space="preserve">Ja izmanto nodokļu aprēķinu un deklarācijas, ieņēmumu summas precizē ar koeficientu, kas atspoguļo tās aprēķinātās un deklarētās summas, kuras nekad netiks iekasētas. Var izmantot arī alternatīvu </w:t>
      </w:r>
      <w:r w:rsidR="001C544B">
        <w:rPr>
          <w:rFonts w:ascii="Times New Roman" w:hAnsi="Times New Roman"/>
          <w:noProof/>
          <w:sz w:val="24"/>
        </w:rPr>
        <w:t>risinājumu, proti, var ierakstīt</w:t>
      </w:r>
      <w:r>
        <w:rPr>
          <w:rFonts w:ascii="Times New Roman" w:hAnsi="Times New Roman"/>
          <w:noProof/>
          <w:sz w:val="24"/>
        </w:rPr>
        <w:t xml:space="preserve"> bruto ieņēmumus un kapitāla pārvedumu uz attie</w:t>
      </w:r>
      <w:r w:rsidR="001C544B">
        <w:rPr>
          <w:rFonts w:ascii="Times New Roman" w:hAnsi="Times New Roman"/>
          <w:noProof/>
          <w:sz w:val="24"/>
        </w:rPr>
        <w:t>cīgajiem sektoriem var ierakstīt</w:t>
      </w:r>
      <w:r>
        <w:rPr>
          <w:rFonts w:ascii="Times New Roman" w:hAnsi="Times New Roman"/>
          <w:noProof/>
          <w:sz w:val="24"/>
        </w:rPr>
        <w:t xml:space="preserve"> ar to pašu precizējumu. Attiecībā uz dažādiem nodokļu veidiem un darba devēju un mājsaimniecību faktisko sociālo iemaksu veidiem piemēro tiem īpaši paredzētus koeficientus.</w:t>
      </w:r>
      <w:r>
        <w:rPr>
          <w:rStyle w:val="FootnoteReference"/>
          <w:rFonts w:ascii="Times New Roman" w:hAnsi="Times New Roman"/>
          <w:noProof/>
          <w:sz w:val="24"/>
        </w:rPr>
        <w:footnoteReference w:id="115"/>
      </w:r>
    </w:p>
    <w:p w:rsidR="00073FEC" w:rsidRDefault="00073FEC" w:rsidP="00073FEC">
      <w:pPr>
        <w:pStyle w:val="BodyText"/>
        <w:numPr>
          <w:ilvl w:val="1"/>
          <w:numId w:val="15"/>
        </w:numPr>
        <w:tabs>
          <w:tab w:val="left" w:pos="1592"/>
        </w:tabs>
        <w:spacing w:before="0"/>
        <w:ind w:left="1134" w:hanging="425"/>
        <w:jc w:val="both"/>
        <w:rPr>
          <w:rFonts w:ascii="Times New Roman" w:hAnsi="Times New Roman"/>
          <w:noProof/>
          <w:sz w:val="24"/>
        </w:rPr>
      </w:pPr>
      <w:r>
        <w:rPr>
          <w:rFonts w:ascii="Times New Roman" w:hAnsi="Times New Roman"/>
          <w:noProof/>
          <w:sz w:val="24"/>
        </w:rPr>
        <w:t>Ja izmanto kases ieņēmumus, laiku precizē tā, lai skaidrā nauda tiktu attiecināta uz uzkrāšanas laiku (kad notikušas darbības, darījumi vai citi notikumi, kas rada nodokļu saistības, vai dažu ienākuma nodokļu gadījumā, kad ir noteikta nodokļa summa). Precizējot šo laiku, par pamatu jāņem vidējais laikposms starp darbībām, darījumiem vai citiem notikumiem (vai nodokļa summas noteikšanu) un faktisko naudas saņemšanu kasē. Katram nodokļu veidam tas var atšķirties. Šo metodi sauc par “laikā precizēto naudu”.</w:t>
      </w:r>
    </w:p>
    <w:p w:rsidR="00073FEC" w:rsidRPr="001973D0" w:rsidRDefault="00073FEC" w:rsidP="00073FEC">
      <w:pPr>
        <w:pStyle w:val="BodyText"/>
        <w:tabs>
          <w:tab w:val="left" w:pos="159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Papildus jautājumam par nodokļu </w:t>
      </w:r>
      <w:r w:rsidR="001C544B">
        <w:rPr>
          <w:rFonts w:ascii="Times New Roman" w:hAnsi="Times New Roman"/>
          <w:noProof/>
          <w:sz w:val="24"/>
        </w:rPr>
        <w:t>un sociālo iemaksu ierakstīšanas</w:t>
      </w:r>
      <w:r>
        <w:rPr>
          <w:rFonts w:ascii="Times New Roman" w:hAnsi="Times New Roman"/>
          <w:noProof/>
          <w:sz w:val="24"/>
        </w:rPr>
        <w:t xml:space="preserve"> laiku šajā iedaļā tiek sniegti norādījumi arī par citiem jautājumiem nodokļu jomā, piemēram, par nodokļu atmaksas, nodokļu amnestijas </w:t>
      </w:r>
      <w:r w:rsidR="001C544B">
        <w:rPr>
          <w:rFonts w:ascii="Times New Roman" w:hAnsi="Times New Roman"/>
          <w:noProof/>
          <w:sz w:val="24"/>
        </w:rPr>
        <w:t>un nodokļu kredīta ierakstīšanas</w:t>
      </w:r>
      <w:r>
        <w:rPr>
          <w:rFonts w:ascii="Times New Roman" w:hAnsi="Times New Roman"/>
          <w:noProof/>
          <w:sz w:val="24"/>
        </w:rPr>
        <w:t xml:space="preserve"> laiku. Visbeidzot, 1. ierāmējumā (kas iekļauts šīs nodaļas beigās), ir apkopota būtiskākā informācija, kas sniegta </w:t>
      </w:r>
      <w:r>
        <w:rPr>
          <w:rFonts w:ascii="Times New Roman" w:hAnsi="Times New Roman"/>
          <w:i/>
          <w:noProof/>
          <w:sz w:val="24"/>
        </w:rPr>
        <w:t>Eurostat</w:t>
      </w:r>
      <w:r>
        <w:rPr>
          <w:rFonts w:ascii="Times New Roman" w:hAnsi="Times New Roman"/>
          <w:noProof/>
          <w:sz w:val="24"/>
        </w:rPr>
        <w:t xml:space="preserve"> vadlīnijās par atliktā nodokļa aktīvu (</w:t>
      </w:r>
      <w:r>
        <w:rPr>
          <w:rFonts w:ascii="Times New Roman" w:hAnsi="Times New Roman"/>
          <w:i/>
          <w:noProof/>
          <w:sz w:val="24"/>
        </w:rPr>
        <w:t>DTA</w:t>
      </w:r>
      <w:r>
        <w:rPr>
          <w:rFonts w:ascii="Times New Roman" w:hAnsi="Times New Roman"/>
          <w:noProof/>
          <w:sz w:val="24"/>
        </w:rPr>
        <w:t xml:space="preserve">) traktējumu nacionālajos kontos un ar </w:t>
      </w:r>
      <w:r>
        <w:rPr>
          <w:rFonts w:ascii="Times New Roman" w:hAnsi="Times New Roman"/>
          <w:i/>
          <w:noProof/>
          <w:sz w:val="24"/>
        </w:rPr>
        <w:t>DTA</w:t>
      </w:r>
      <w:r>
        <w:rPr>
          <w:rFonts w:ascii="Times New Roman" w:hAnsi="Times New Roman"/>
          <w:noProof/>
          <w:sz w:val="24"/>
        </w:rPr>
        <w:t xml:space="preserve"> saistītu specifi</w:t>
      </w:r>
      <w:r w:rsidR="001C544B">
        <w:rPr>
          <w:rFonts w:ascii="Times New Roman" w:hAnsi="Times New Roman"/>
          <w:noProof/>
          <w:sz w:val="24"/>
        </w:rPr>
        <w:t>sku nodokļu kredītu ierakstīšanu</w:t>
      </w:r>
      <w:r>
        <w:rPr>
          <w:rFonts w:ascii="Times New Roman" w:hAnsi="Times New Roman"/>
          <w:noProof/>
          <w:sz w:val="24"/>
        </w:rPr>
        <w:t>.</w:t>
      </w:r>
    </w:p>
    <w:p w:rsidR="008D3039" w:rsidRDefault="008D3039">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12"/>
        </w:tabs>
        <w:ind w:left="0" w:firstLine="0"/>
        <w:jc w:val="both"/>
        <w:rPr>
          <w:rFonts w:ascii="Times New Roman" w:hAnsi="Times New Roman"/>
          <w:noProof/>
          <w:u w:val="thick" w:color="000000"/>
        </w:rPr>
      </w:pPr>
      <w:bookmarkStart w:id="98" w:name="II.2.2_Treatment_in_national_accounts"/>
      <w:bookmarkEnd w:id="98"/>
      <w:r>
        <w:rPr>
          <w:rFonts w:ascii="Times New Roman" w:hAnsi="Times New Roman"/>
          <w:noProof/>
          <w:u w:val="none"/>
        </w:rPr>
        <w:t>II.2.2. </w:t>
      </w:r>
      <w:r>
        <w:rPr>
          <w:rFonts w:ascii="Times New Roman" w:hAnsi="Times New Roman"/>
          <w:noProof/>
          <w:u w:val="thick" w:color="000000"/>
        </w:rPr>
        <w:t>Traktējums nacionālajos kontos</w:t>
      </w:r>
    </w:p>
    <w:p w:rsidR="00073FEC" w:rsidRPr="001973D0" w:rsidRDefault="00073FEC" w:rsidP="00073FEC">
      <w:pPr>
        <w:pStyle w:val="Heading4"/>
        <w:tabs>
          <w:tab w:val="left" w:pos="1612"/>
        </w:tabs>
        <w:ind w:left="0" w:firstLine="0"/>
        <w:jc w:val="both"/>
        <w:rPr>
          <w:rFonts w:ascii="Times New Roman" w:hAnsi="Times New Roman"/>
          <w:noProof/>
          <w:u w:val="thick" w:color="000000"/>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Vispārīgi principi</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Kā noteikts nacionālo</w:t>
      </w:r>
      <w:r w:rsidR="001C544B">
        <w:rPr>
          <w:rFonts w:ascii="Times New Roman" w:hAnsi="Times New Roman"/>
          <w:noProof/>
          <w:sz w:val="24"/>
        </w:rPr>
        <w:t xml:space="preserve"> kontu noteikumos, ierakstīšanas</w:t>
      </w:r>
      <w:r>
        <w:rPr>
          <w:rFonts w:ascii="Times New Roman" w:hAnsi="Times New Roman"/>
          <w:noProof/>
          <w:sz w:val="24"/>
        </w:rPr>
        <w:t xml:space="preserve"> laika ekonomiskā būtība ir svarīgāka par tā juridisko formu, proti, tas ir laiks, kad notikusi saimnieciskā darbība, kurā radušās nodokļu saistības, bet atsevišķu ienākuma nodokļu gadījumā tas ir laiks, kad valdība ir precīzi noteikusi iekasējamā nodokļa summu, uzliekot pienākumu nodokļu maksātājam.</w:t>
      </w: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Valsts statistikas iestādes var izvēlēties jebkuru no II.2.1. iedaļas 3. punkta a) un b) apakšpunktā aprakstītajām metodēm, ar noteikumu, ka tas</w:t>
      </w:r>
      <w:r w:rsidR="001C544B">
        <w:rPr>
          <w:rFonts w:ascii="Times New Roman" w:hAnsi="Times New Roman"/>
          <w:noProof/>
          <w:sz w:val="24"/>
        </w:rPr>
        <w:t xml:space="preserve"> ir labākais veids, kā ierakstīt</w:t>
      </w:r>
      <w:r>
        <w:rPr>
          <w:rFonts w:ascii="Times New Roman" w:hAnsi="Times New Roman"/>
          <w:noProof/>
          <w:sz w:val="24"/>
        </w:rPr>
        <w:t xml:space="preserve"> ieņēmumus saskaņā ar uzkrāšanas principu, proti, vai nu pamatojoties uz koriģētiem nodokļu aprēķiniem un deklarācijām, ticami aplēšot summas, kuras, visticamāk, nekad netiks iekasētas, vai pamatojoties uz laikā precizētās naudas pieeju. </w:t>
      </w:r>
      <w:r>
        <w:rPr>
          <w:rFonts w:ascii="Times New Roman" w:hAnsi="Times New Roman"/>
          <w:i/>
          <w:noProof/>
          <w:sz w:val="24"/>
        </w:rPr>
        <w:t>Eurostat</w:t>
      </w:r>
      <w:r>
        <w:rPr>
          <w:rFonts w:ascii="Times New Roman" w:hAnsi="Times New Roman"/>
          <w:noProof/>
          <w:sz w:val="24"/>
        </w:rPr>
        <w:t xml:space="preserve"> rūpīgi analizē šīs metodes un var pieprasīt mainīt metodi, ja izrādās, ka statistikas iestāžu izraudzītā metode nav atbilstīga vai sniedz neapmierinošus rezultātus. Praktisku apsvērumu dēļ gadījumos, kad ir grūtības veikt ticamas aplēses par summām, kas, visticamāk, netiks iekasētas, vai ja nav pieejami ticami aprēķini, vēlamāka varētu būt laikā precizētās naudas pieeja. Šādos gadījumos laikā precizētā nauda ir uzkrāto summu pieņemams tuvinājums.</w:t>
      </w:r>
      <w:r>
        <w:rPr>
          <w:rStyle w:val="FootnoteReference"/>
          <w:rFonts w:ascii="Times New Roman" w:hAnsi="Times New Roman"/>
          <w:noProof/>
          <w:sz w:val="24"/>
        </w:rPr>
        <w:footnoteReference w:id="116"/>
      </w:r>
    </w:p>
    <w:p w:rsidR="00073FEC" w:rsidRDefault="001C544B"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Ja nodokļu ieņēmumus ieraksta</w:t>
      </w:r>
      <w:r w:rsidR="00073FEC">
        <w:rPr>
          <w:rFonts w:ascii="Times New Roman" w:hAnsi="Times New Roman"/>
          <w:noProof/>
          <w:sz w:val="24"/>
        </w:rPr>
        <w:t>, pamatojoties uz aprēķiniem un deklarācijām, ir divas iespējas, kā neiekļaut summas, kuras nekad netiks iekasētas:</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5"/>
        </w:numPr>
        <w:tabs>
          <w:tab w:val="left" w:pos="1612"/>
        </w:tabs>
        <w:spacing w:before="0"/>
        <w:ind w:left="1134" w:hanging="425"/>
        <w:jc w:val="both"/>
        <w:rPr>
          <w:rFonts w:ascii="Times New Roman" w:hAnsi="Times New Roman"/>
          <w:noProof/>
          <w:sz w:val="24"/>
        </w:rPr>
      </w:pPr>
      <w:r>
        <w:rPr>
          <w:rFonts w:ascii="Times New Roman" w:hAnsi="Times New Roman"/>
          <w:noProof/>
          <w:sz w:val="24"/>
        </w:rPr>
        <w:t>aprēķinātās summas var koriģēt ar koeficientu, kas izsaka summas, kuras nekad netiks iekasētas. Koeficientus vajadzētu noteikt, pamatojoties uz iepriekšējo pieredzi un pašreizējo gaidāmo prognozi attiecībā uz aprēķinātajām, taču nekad neiekasētajām summām. Attiecīgā gadījumā koeficientu aktualizē, lai tas atspoguļotu ekonomisko realitāti;</w:t>
      </w:r>
    </w:p>
    <w:p w:rsidR="00073FEC" w:rsidRDefault="00073FEC" w:rsidP="00073FEC">
      <w:pPr>
        <w:pStyle w:val="BodyText"/>
        <w:numPr>
          <w:ilvl w:val="1"/>
          <w:numId w:val="15"/>
        </w:numPr>
        <w:tabs>
          <w:tab w:val="left" w:pos="1612"/>
        </w:tabs>
        <w:spacing w:before="0"/>
        <w:ind w:left="1134" w:hanging="425"/>
        <w:jc w:val="both"/>
        <w:rPr>
          <w:rFonts w:ascii="Times New Roman" w:hAnsi="Times New Roman"/>
          <w:noProof/>
          <w:sz w:val="24"/>
        </w:rPr>
      </w:pPr>
      <w:r>
        <w:rPr>
          <w:rFonts w:ascii="Times New Roman" w:hAnsi="Times New Roman"/>
          <w:noProof/>
          <w:sz w:val="24"/>
        </w:rPr>
        <w:t>aprēķin</w:t>
      </w:r>
      <w:r w:rsidR="001C544B">
        <w:rPr>
          <w:rFonts w:ascii="Times New Roman" w:hAnsi="Times New Roman"/>
          <w:noProof/>
          <w:sz w:val="24"/>
        </w:rPr>
        <w:t>ātās iekasējamās summas ieraksta</w:t>
      </w:r>
      <w:r>
        <w:rPr>
          <w:rFonts w:ascii="Times New Roman" w:hAnsi="Times New Roman"/>
          <w:noProof/>
          <w:sz w:val="24"/>
        </w:rPr>
        <w:t xml:space="preserve"> kā valdības ieņēmumus, un starpību starp šo teorētisko summu un faktiskajiem kases i</w:t>
      </w:r>
      <w:r w:rsidR="001C544B">
        <w:rPr>
          <w:rFonts w:ascii="Times New Roman" w:hAnsi="Times New Roman"/>
          <w:noProof/>
          <w:sz w:val="24"/>
        </w:rPr>
        <w:t>eņēmumiem (kas ir aplēsti) ieraksta</w:t>
      </w:r>
      <w:r>
        <w:rPr>
          <w:rFonts w:ascii="Times New Roman" w:hAnsi="Times New Roman"/>
          <w:noProof/>
          <w:sz w:val="24"/>
        </w:rPr>
        <w:t xml:space="preserve"> kā kapitāla pārvedumu (valdības izdevumus) nodokļu maksātājiem, kuri nav izpildījuši savas saistības.</w:t>
      </w:r>
    </w:p>
    <w:p w:rsidR="00073FEC" w:rsidRPr="001973D0" w:rsidRDefault="00073FEC" w:rsidP="00073FEC">
      <w:pPr>
        <w:pStyle w:val="BodyText"/>
        <w:tabs>
          <w:tab w:val="left" w:pos="1612"/>
        </w:tabs>
        <w:spacing w:before="0"/>
        <w:ind w:left="0" w:firstLine="0"/>
        <w:jc w:val="both"/>
        <w:rPr>
          <w:rFonts w:ascii="Times New Roman" w:hAnsi="Times New Roman"/>
          <w:noProof/>
          <w:sz w:val="24"/>
        </w:rPr>
      </w:pPr>
    </w:p>
    <w:p w:rsidR="00073FEC"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Savukārt, j</w:t>
      </w:r>
      <w:r w:rsidR="001C544B">
        <w:rPr>
          <w:rFonts w:ascii="Times New Roman" w:hAnsi="Times New Roman"/>
          <w:noProof/>
          <w:sz w:val="24"/>
        </w:rPr>
        <w:t>a nodokļu ieņēmumu ierakstīšanai</w:t>
      </w:r>
      <w:r>
        <w:rPr>
          <w:rFonts w:ascii="Times New Roman" w:hAnsi="Times New Roman"/>
          <w:noProof/>
          <w:sz w:val="24"/>
        </w:rPr>
        <w:t xml:space="preserve"> izmanto naudas summas, tās ir jākoriģē laikā tā, lai šīs summas attiektos uz laiku, kad ir notikusi darbība, kas radījusi saistības. Piemēram, ja no brīža, kad tiek uzkrāts PVN, līdz brīdim, kad sabiedrības to samaksā nodokļu iestādēm, paiet 1–2 mēneši, nauda, kas tiek saņemta gada pirmajos 1–2 mēnešos, tiks attiecināta uz iepriekšējo gadu.</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 xml:space="preserve">Nodokļu atmaksas </w:t>
      </w:r>
      <w:r w:rsidR="001C544B">
        <w:rPr>
          <w:rFonts w:ascii="Times New Roman" w:hAnsi="Times New Roman"/>
          <w:noProof/>
          <w:sz w:val="24"/>
        </w:rPr>
        <w:t>ierakstīšana</w:t>
      </w:r>
    </w:p>
    <w:p w:rsidR="00073FEC" w:rsidRPr="001973D0" w:rsidRDefault="00073FEC" w:rsidP="00073FEC">
      <w:pPr>
        <w:pStyle w:val="Heading6"/>
        <w:jc w:val="both"/>
        <w:rPr>
          <w:rFonts w:ascii="Times New Roman" w:hAnsi="Times New Roman"/>
          <w:noProof/>
          <w:sz w:val="24"/>
        </w:rPr>
      </w:pPr>
    </w:p>
    <w:p w:rsidR="00073FEC" w:rsidRPr="00551BBD"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Attiecībā uz dažiem nodokļiem nodokļu maksātāji regulāri (reizi mēnesī vai ceturksnī) veic priekšapmaksu, un galīgais nodokļu norēķins tiek veikts vēlāk, kad ir iesniegtas nodokļu deklarācijas un nodokļu iestādes ir veikušas aprēķinus</w:t>
      </w:r>
      <w:r>
        <w:rPr>
          <w:rStyle w:val="FootnoteReference"/>
          <w:rFonts w:ascii="Times New Roman" w:hAnsi="Times New Roman"/>
          <w:noProof/>
          <w:sz w:val="24"/>
        </w:rPr>
        <w:footnoteReference w:id="117"/>
      </w:r>
      <w:r>
        <w:rPr>
          <w:rFonts w:ascii="Times New Roman" w:hAnsi="Times New Roman"/>
          <w:noProof/>
          <w:sz w:val="24"/>
        </w:rPr>
        <w:t xml:space="preserve">. Pēc galīgās </w:t>
      </w:r>
      <w:r>
        <w:rPr>
          <w:rFonts w:ascii="Times New Roman" w:hAnsi="Times New Roman"/>
          <w:noProof/>
          <w:sz w:val="24"/>
        </w:rPr>
        <w:lastRenderedPageBreak/>
        <w:t>korekcijas nodokļu maksātājam ir vai nu jāveic vēl kāds maksājums, vai arī nodokļu maksātājs var būt tiesīgs saņemt nodokļu atmaksu. Tiesības saņemt nodokļu atmaksu nosaka un attiecīgo summu vienmēr aprēķina un apstiprina nodokļu iestāde, un parasti tā ir saistīta ar nodokļu deklarācijām un galīgiem nodokļu norēķiniem.</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Katrā valstī nodokļu atmaksas analizē katrā atsevišķā gadījumā, ņemot vērā datu pieejamību un valstī noteiktos nodokļu deklarāciju iesniegšanas ter</w:t>
      </w:r>
      <w:r w:rsidR="001C544B">
        <w:rPr>
          <w:rFonts w:ascii="Times New Roman" w:hAnsi="Times New Roman"/>
          <w:noProof/>
          <w:sz w:val="24"/>
        </w:rPr>
        <w:t>miņus. Nodokļu atmaksas ieraksta</w:t>
      </w:r>
      <w:r>
        <w:rPr>
          <w:rFonts w:ascii="Times New Roman" w:hAnsi="Times New Roman"/>
          <w:noProof/>
          <w:sz w:val="24"/>
        </w:rPr>
        <w:t>, balstoties uz pamatotiem datiem, kas iegūti, minimāli izmantojot aplēses, un kuriem ir maza varbūtība, ka tie būs turpmāk jāpārskata. Rūpīgi uzrauga neparastas nodokļu shēmas vai notikumus, kas varētu izraisīt neparastas tendences skaitļu rindā, lai nodrošinā</w:t>
      </w:r>
      <w:r w:rsidR="001C544B">
        <w:rPr>
          <w:rFonts w:ascii="Times New Roman" w:hAnsi="Times New Roman"/>
          <w:noProof/>
          <w:sz w:val="24"/>
        </w:rPr>
        <w:t>tu pareizu ierakstīšanas</w:t>
      </w:r>
      <w:r>
        <w:rPr>
          <w:rFonts w:ascii="Times New Roman" w:hAnsi="Times New Roman"/>
          <w:noProof/>
          <w:sz w:val="24"/>
        </w:rPr>
        <w:t xml:space="preserve"> laiku.</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4.82. punktā ir pieļaujama zināma elastība attiecībā uz kārtējo ienākuma nodokļu galīgo norēķinu, ja saistības var noteikt tikai vēlākā uzskaites periodā, nevis periodā, kurā tiek uzkrāts ienākums. Šādos gadījumos ir pieļauj</w:t>
      </w:r>
      <w:r w:rsidR="001C544B">
        <w:rPr>
          <w:rFonts w:ascii="Times New Roman" w:hAnsi="Times New Roman"/>
          <w:noProof/>
          <w:sz w:val="24"/>
        </w:rPr>
        <w:t>ams, ka nodokļu atmaksu ieraksta</w:t>
      </w:r>
      <w:r>
        <w:rPr>
          <w:rFonts w:ascii="Times New Roman" w:hAnsi="Times New Roman"/>
          <w:noProof/>
          <w:sz w:val="24"/>
        </w:rPr>
        <w:t xml:space="preserve"> tad, kad valdība ir noteikusi saistības. Tā vietā, lai veiktu aplēses par nodokļu atmaksām, ja aplēšu veikšanas brīdī nav ticamas in</w:t>
      </w:r>
      <w:r w:rsidR="001C544B">
        <w:rPr>
          <w:rFonts w:ascii="Times New Roman" w:hAnsi="Times New Roman"/>
          <w:noProof/>
          <w:sz w:val="24"/>
        </w:rPr>
        <w:t>formācijas, vēlamāk ir ierakstīt</w:t>
      </w:r>
      <w:r>
        <w:rPr>
          <w:rFonts w:ascii="Times New Roman" w:hAnsi="Times New Roman"/>
          <w:noProof/>
          <w:sz w:val="24"/>
        </w:rPr>
        <w:t xml:space="preserve"> nodokļu atmaksu</w:t>
      </w:r>
      <w:r w:rsidR="001C544B">
        <w:rPr>
          <w:rFonts w:ascii="Times New Roman" w:hAnsi="Times New Roman"/>
          <w:noProof/>
          <w:sz w:val="24"/>
        </w:rPr>
        <w:t xml:space="preserve"> vēlāk, izmantojot ierakstīšanas</w:t>
      </w:r>
      <w:r>
        <w:rPr>
          <w:rFonts w:ascii="Times New Roman" w:hAnsi="Times New Roman"/>
          <w:noProof/>
          <w:sz w:val="24"/>
        </w:rPr>
        <w:t xml:space="preserve"> laiku, kad ir noteikta nodokļu atmaksa.</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Jāuzsver, ka attiecībā uz nodokļu atmaksu būtu jā</w:t>
      </w:r>
      <w:r w:rsidR="001C544B">
        <w:rPr>
          <w:rFonts w:ascii="Times New Roman" w:hAnsi="Times New Roman"/>
          <w:noProof/>
          <w:sz w:val="24"/>
        </w:rPr>
        <w:t>izvairās no naudas ierakstīšanas</w:t>
      </w:r>
      <w:r>
        <w:rPr>
          <w:rFonts w:ascii="Times New Roman" w:hAnsi="Times New Roman"/>
          <w:noProof/>
          <w:sz w:val="24"/>
        </w:rPr>
        <w:t xml:space="preserve"> prakses, ku</w:t>
      </w:r>
      <w:r w:rsidR="001C544B">
        <w:rPr>
          <w:rFonts w:ascii="Times New Roman" w:hAnsi="Times New Roman"/>
          <w:noProof/>
          <w:sz w:val="24"/>
        </w:rPr>
        <w:t>r nodokļu ieņēmumu ierakstīšanai</w:t>
      </w:r>
      <w:r>
        <w:rPr>
          <w:rFonts w:ascii="Times New Roman" w:hAnsi="Times New Roman"/>
          <w:noProof/>
          <w:sz w:val="24"/>
        </w:rPr>
        <w:t xml:space="preserve"> izmanto aprēķinus un deklarācijas, jo šāda prakse ir ne tikai metodoloģiski neatbilstīga, bet varētu radīt arī būtisku laika star</w:t>
      </w:r>
      <w:r w:rsidR="001C544B">
        <w:rPr>
          <w:rFonts w:ascii="Times New Roman" w:hAnsi="Times New Roman"/>
          <w:noProof/>
          <w:sz w:val="24"/>
        </w:rPr>
        <w:t>pību šo divu summu ierakstīšanas</w:t>
      </w:r>
      <w:r>
        <w:rPr>
          <w:rFonts w:ascii="Times New Roman" w:hAnsi="Times New Roman"/>
          <w:noProof/>
          <w:sz w:val="24"/>
        </w:rPr>
        <w:t xml:space="preserve"> brīdī.</w:t>
      </w:r>
    </w:p>
    <w:p w:rsidR="00073FEC" w:rsidRDefault="00073FEC" w:rsidP="00073FEC">
      <w:pPr>
        <w:pStyle w:val="Heading6"/>
        <w:jc w:val="both"/>
        <w:rPr>
          <w:rFonts w:ascii="Times New Roman" w:hAnsi="Times New Roman"/>
          <w:noProof/>
          <w:sz w:val="24"/>
        </w:rPr>
      </w:pPr>
    </w:p>
    <w:p w:rsidR="00073FEC" w:rsidRDefault="001C544B" w:rsidP="00073FEC">
      <w:pPr>
        <w:pStyle w:val="Heading6"/>
        <w:jc w:val="both"/>
        <w:rPr>
          <w:rFonts w:ascii="Times New Roman" w:hAnsi="Times New Roman"/>
          <w:noProof/>
          <w:sz w:val="24"/>
        </w:rPr>
      </w:pPr>
      <w:r>
        <w:rPr>
          <w:rFonts w:ascii="Times New Roman" w:hAnsi="Times New Roman"/>
          <w:noProof/>
          <w:sz w:val="24"/>
        </w:rPr>
        <w:t>Nodokļu amnestijas ierakstīšana</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Nodokļu amnestija ir iespēja noteiktai nodokļu maksātāju grupai ierobežotā laikposmā samaksāt noteiktu summu bez bailēm, ka valdība varētu veikt tiesiskas darbības, apmaiņā pret ko tai tiek atlaistas nodokļu saistības, kas attiecas uz iepriekšējiem taksācijas periodiem.</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Nodokļu amnestiju parasti piemēro ar valdības izdotu likumu vai dekrētu, lai atlaistu nodokļu maksātāju iepriekšējos gados uzkrātos nodokļu parādus. Ar šo pasākumu valdība sniedz nodokļu maksātājiem labumu un vienlaikus iekasē vienreizējus ieņēmumus, kuri, ja netiktu piemērota nodokļu amnestija, tiktu iekasēti daudz vēlāk vai, iespējams, vispār netiktu iekasēti.</w:t>
      </w:r>
    </w:p>
    <w:p w:rsidR="00073FEC"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Nodokļu maksātāji saņem divējādu labumu:</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14"/>
        </w:numPr>
        <w:tabs>
          <w:tab w:val="left" w:pos="1602"/>
        </w:tabs>
        <w:spacing w:before="0"/>
        <w:ind w:left="1701" w:hanging="567"/>
        <w:jc w:val="both"/>
        <w:rPr>
          <w:rFonts w:ascii="Times New Roman" w:hAnsi="Times New Roman"/>
          <w:noProof/>
          <w:sz w:val="24"/>
        </w:rPr>
      </w:pPr>
      <w:r>
        <w:rPr>
          <w:rFonts w:ascii="Times New Roman" w:hAnsi="Times New Roman"/>
          <w:noProof/>
          <w:sz w:val="24"/>
        </w:rPr>
        <w:t>iespēju sniegt informāciju par iepriekšējiem taksācijas periodiem (par nedeklarētajiem iepriekšējiem nodokļiem vai ar nodokli apliekamajiem aktīviem, kas iepriekš nav paziņoti);</w:t>
      </w:r>
    </w:p>
    <w:p w:rsidR="00073FEC" w:rsidRPr="001973D0" w:rsidRDefault="00073FEC" w:rsidP="00073FEC">
      <w:pPr>
        <w:pStyle w:val="BodyText"/>
        <w:numPr>
          <w:ilvl w:val="0"/>
          <w:numId w:val="14"/>
        </w:numPr>
        <w:tabs>
          <w:tab w:val="left" w:pos="1602"/>
        </w:tabs>
        <w:spacing w:before="0"/>
        <w:ind w:left="1701" w:hanging="567"/>
        <w:jc w:val="both"/>
        <w:rPr>
          <w:rFonts w:ascii="Times New Roman" w:hAnsi="Times New Roman"/>
          <w:noProof/>
          <w:sz w:val="24"/>
        </w:rPr>
      </w:pPr>
      <w:r>
        <w:rPr>
          <w:rFonts w:ascii="Times New Roman" w:hAnsi="Times New Roman"/>
          <w:noProof/>
          <w:sz w:val="24"/>
        </w:rPr>
        <w:t>iespēju samaksāt iepriekšējos nodokļu parādus.</w:t>
      </w:r>
    </w:p>
    <w:p w:rsidR="00073FEC" w:rsidRDefault="00073FEC" w:rsidP="00073FEC">
      <w:pPr>
        <w:pStyle w:val="BodyText"/>
        <w:spacing w:before="0"/>
        <w:ind w:left="0" w:firstLine="0"/>
        <w:jc w:val="both"/>
        <w:rPr>
          <w:rFonts w:ascii="Times New Roman" w:hAnsi="Times New Roman"/>
          <w:noProof/>
          <w:sz w:val="24"/>
        </w:rPr>
      </w:pPr>
    </w:p>
    <w:p w:rsidR="00073FEC"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Abos gadījumos informācijas sniegšana par nodokļiem (vai ar nodokli apliekamajiem aktīviem) un nodokļu parādu apmaksa, kas atbrīvo nodokļu maksātājus no turpmākām valdības īstenotām tiesiskām darbībām, var notikt dažādos apstākļos, iespējams, bez soda naudas piemērošanas un pat piemērojot zemākas nodokļu likmes nekā parastos apstākļos.</w:t>
      </w:r>
    </w:p>
    <w:p w:rsidR="00073FEC" w:rsidRPr="001973D0"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Nodokļu amnestiju parasti nosaka uz konkrētu laikposmu, un to var attiecināt uz kādā konkrētā laikposmā nenomaksātiem nodokļu parādiem. Tā var attiekties uz visu veidu faktiskajiem nodokļiem un sociālajām iemaksām.</w:t>
      </w:r>
    </w:p>
    <w:p w:rsidR="00073FEC" w:rsidRPr="00055078" w:rsidRDefault="00091CA7"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lastRenderedPageBreak/>
        <w:t>Attiecībā uz ierakstīšanas</w:t>
      </w:r>
      <w:r w:rsidR="00073FEC">
        <w:rPr>
          <w:rFonts w:ascii="Times New Roman" w:hAnsi="Times New Roman"/>
          <w:noProof/>
          <w:sz w:val="24"/>
        </w:rPr>
        <w:t xml:space="preserve"> laiku katrs gadījums ir rūpīgi jāanalizē. Šajā saistībā maksājamo summu aplēses nav labākā </w:t>
      </w:r>
      <w:r>
        <w:rPr>
          <w:rFonts w:ascii="Times New Roman" w:hAnsi="Times New Roman"/>
          <w:noProof/>
          <w:sz w:val="24"/>
        </w:rPr>
        <w:t>nodokļu amnestijas ierakstīšanas</w:t>
      </w:r>
      <w:r w:rsidR="00073FEC">
        <w:rPr>
          <w:rFonts w:ascii="Times New Roman" w:hAnsi="Times New Roman"/>
          <w:noProof/>
          <w:sz w:val="24"/>
        </w:rPr>
        <w:t xml:space="preserve"> iespēja, jo ir maz ticams, ka valdība var sniegt ticamus datu avotus, kas ļautu aprēķināt summas, kuras varētu tikt deklarētas un samaksātas, tā kā tai nav ziņu par nedeklarētajiem nodokļiem. Vēlamāk ir izmantot datus par nodokļu iekasēšanu neatkarīgi n</w:t>
      </w:r>
      <w:r>
        <w:rPr>
          <w:rFonts w:ascii="Times New Roman" w:hAnsi="Times New Roman"/>
          <w:noProof/>
          <w:sz w:val="24"/>
        </w:rPr>
        <w:t>o nodokļu ieņēmumu ierakstīšanai</w:t>
      </w:r>
      <w:r w:rsidR="00073FEC">
        <w:rPr>
          <w:rFonts w:ascii="Times New Roman" w:hAnsi="Times New Roman"/>
          <w:noProof/>
          <w:sz w:val="24"/>
        </w:rPr>
        <w:t xml:space="preserve"> izmantotās metodes. Šajā ziņā atbilstošāk ir izman</w:t>
      </w:r>
      <w:r>
        <w:rPr>
          <w:rFonts w:ascii="Times New Roman" w:hAnsi="Times New Roman"/>
          <w:noProof/>
          <w:sz w:val="24"/>
        </w:rPr>
        <w:t>tot naudas plūsmas ierakstīšanas</w:t>
      </w:r>
      <w:r w:rsidR="00073FEC">
        <w:rPr>
          <w:rFonts w:ascii="Times New Roman" w:hAnsi="Times New Roman"/>
          <w:noProof/>
          <w:sz w:val="24"/>
        </w:rPr>
        <w:t xml:space="preserve"> principus.</w:t>
      </w:r>
      <w:r w:rsidR="00073FEC">
        <w:rPr>
          <w:rStyle w:val="FootnoteReference"/>
          <w:rFonts w:ascii="Times New Roman" w:hAnsi="Times New Roman"/>
          <w:noProof/>
          <w:sz w:val="24"/>
        </w:rPr>
        <w:footnoteReference w:id="118"/>
      </w:r>
    </w:p>
    <w:p w:rsidR="00073FEC"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J</w:t>
      </w:r>
      <w:r w:rsidR="00091CA7">
        <w:rPr>
          <w:rFonts w:ascii="Times New Roman" w:hAnsi="Times New Roman"/>
          <w:noProof/>
          <w:sz w:val="24"/>
        </w:rPr>
        <w:t>a nodokļu ieņēmumu ierakstīšanai</w:t>
      </w:r>
      <w:r>
        <w:rPr>
          <w:rFonts w:ascii="Times New Roman" w:hAnsi="Times New Roman"/>
          <w:noProof/>
          <w:sz w:val="24"/>
        </w:rPr>
        <w:t xml:space="preserve"> izmanto nodokļu aprēķinu un deklarāciju metodi, pēc nodokļu amnestijas ir jāpārskata to summu koeficients, kuras visticamāk neiekasēs.</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Default="00091CA7" w:rsidP="00073FEC">
      <w:pPr>
        <w:pStyle w:val="Heading6"/>
        <w:jc w:val="both"/>
        <w:rPr>
          <w:rFonts w:ascii="Times New Roman" w:hAnsi="Times New Roman"/>
          <w:noProof/>
          <w:sz w:val="24"/>
        </w:rPr>
      </w:pPr>
      <w:r>
        <w:rPr>
          <w:rFonts w:ascii="Times New Roman" w:hAnsi="Times New Roman"/>
          <w:noProof/>
          <w:sz w:val="24"/>
        </w:rPr>
        <w:t>Nodokļu kredītu ierakstīšana</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4.81. un 20.167.–20.168. punktā ir aprakstīts nodokļu kredītu traktējums. Nodokļu kredīts ir sava veida nodokļu atvieglojums, ko atskaita tieši no labuma guvējam piemērotajām nodokļu saistībām pēc nodokļu saistību aprēķināšanas, pretēji citiem mehānismiem (piemēram, nodokļa atlaidēm, atbrīvojumiem vai atskaitījumiem), kas ietekmē nodokļa bāzi pirms nodokļa likmes piemērošanas.</w:t>
      </w:r>
    </w:p>
    <w:p w:rsidR="00073FEC"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izšķir divu veidu nodokļu kredītus:</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13"/>
        </w:numPr>
        <w:tabs>
          <w:tab w:val="left" w:pos="1603"/>
        </w:tabs>
        <w:spacing w:before="0"/>
        <w:ind w:left="1134" w:hanging="425"/>
        <w:jc w:val="both"/>
        <w:rPr>
          <w:rFonts w:ascii="Times New Roman" w:hAnsi="Times New Roman"/>
          <w:noProof/>
          <w:sz w:val="24"/>
        </w:rPr>
      </w:pPr>
      <w:r>
        <w:rPr>
          <w:rFonts w:ascii="Times New Roman" w:hAnsi="Times New Roman"/>
          <w:noProof/>
          <w:sz w:val="24"/>
        </w:rPr>
        <w:t>“nemaksājamie” nodokļu kredīti (saukti arī par neatmaksājamiem, “zaudējamiem” nodokļu kredītiem), t. i., nodokļu kredīti, kas nepārsniedz nodokļu saistību summu tajā pašā fiskālajā gadā (vai vairākus fiskālos gadus ilgā posmā, ja ir atļauta pārnešana). Visas nodokļu kredīta summas, kas pārsniedz nodokļu maksātāja saistības spēkā esošajā laikposmā, tiek “zaudētas”;</w:t>
      </w:r>
    </w:p>
    <w:p w:rsidR="00073FEC" w:rsidRDefault="00073FEC" w:rsidP="00073FEC">
      <w:pPr>
        <w:pStyle w:val="BodyText"/>
        <w:numPr>
          <w:ilvl w:val="0"/>
          <w:numId w:val="13"/>
        </w:numPr>
        <w:tabs>
          <w:tab w:val="left" w:pos="1603"/>
        </w:tabs>
        <w:spacing w:before="0"/>
        <w:ind w:left="1134" w:hanging="425"/>
        <w:jc w:val="both"/>
        <w:rPr>
          <w:rFonts w:ascii="Times New Roman" w:hAnsi="Times New Roman"/>
          <w:noProof/>
          <w:sz w:val="24"/>
        </w:rPr>
      </w:pPr>
      <w:r>
        <w:rPr>
          <w:rFonts w:ascii="Times New Roman" w:hAnsi="Times New Roman"/>
          <w:noProof/>
          <w:sz w:val="24"/>
        </w:rPr>
        <w:t>“maksājamie” nodokļu kredīti (saukti arī par atmaksājamiem vai “nezaudējamajiem” nodokļu kredītiem), t. i., labuma guvējam jebkurā gadījumā tiek izmaksāta pilna summa, tostarp arī pārpalikums, ja nodokļu atvieglojums ir lielāks par nodokļu saistībām. Ja izmanto maksājamo nodokļu kredītu sistēmu, maksājumus veic neatkarīgi no nodokļu saistību lieluma (pat ja nodokļu saistības vispār nepastāv). Maksājamie nodokļu kredīti ir valdības saistības, kas nav gadījuma saistības, proti, valdībai tie rada pienākumu.</w:t>
      </w:r>
    </w:p>
    <w:p w:rsidR="00073FEC" w:rsidRPr="001973D0" w:rsidRDefault="00073FEC" w:rsidP="00073FEC">
      <w:pPr>
        <w:pStyle w:val="BodyText"/>
        <w:tabs>
          <w:tab w:val="left" w:pos="1603"/>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ir norādīts, ka nemaks</w:t>
      </w:r>
      <w:r w:rsidR="00091CA7">
        <w:rPr>
          <w:rFonts w:ascii="Times New Roman" w:hAnsi="Times New Roman"/>
          <w:noProof/>
          <w:sz w:val="24"/>
        </w:rPr>
        <w:t>ājamos nodokļu kredītus ieraksta</w:t>
      </w:r>
      <w:r>
        <w:rPr>
          <w:rFonts w:ascii="Times New Roman" w:hAnsi="Times New Roman"/>
          <w:noProof/>
          <w:sz w:val="24"/>
        </w:rPr>
        <w:t xml:space="preserve"> kā nodokļu ieņēmumu samazinājumu, tāpēc tie samazina “nodokļu slogu” un kopējos ieņēmumus. Savukārt maksājamo nodokļu kredītu gadījumā pilnu nodokļu kredīta summ</w:t>
      </w:r>
      <w:r w:rsidR="00091CA7">
        <w:rPr>
          <w:rFonts w:ascii="Times New Roman" w:hAnsi="Times New Roman"/>
          <w:noProof/>
          <w:sz w:val="24"/>
        </w:rPr>
        <w:t>u ieraksta</w:t>
      </w:r>
      <w:r>
        <w:rPr>
          <w:rFonts w:ascii="Times New Roman" w:hAnsi="Times New Roman"/>
          <w:noProof/>
          <w:sz w:val="24"/>
        </w:rPr>
        <w:t xml:space="preserve"> kā valdības izdevumus, un nodokļu ieņēmum</w:t>
      </w:r>
      <w:r w:rsidR="00091CA7">
        <w:rPr>
          <w:rFonts w:ascii="Times New Roman" w:hAnsi="Times New Roman"/>
          <w:noProof/>
          <w:sz w:val="24"/>
        </w:rPr>
        <w:t>i nesamazinās. Šāda ierakstīšana</w:t>
      </w:r>
      <w:r>
        <w:rPr>
          <w:rFonts w:ascii="Times New Roman" w:hAnsi="Times New Roman"/>
          <w:noProof/>
          <w:sz w:val="24"/>
        </w:rPr>
        <w:t xml:space="preserve"> ietekmē nodokļu slogu, kopējos ieņēmumus un kopējos izdevumus, kā arī attiecīgi to attiecību pret IKP.</w:t>
      </w: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 xml:space="preserve">EKS 2010 nav norādīts, kāda izdevumu kategorija jāizmanto maksājamo </w:t>
      </w:r>
      <w:r w:rsidR="00091CA7">
        <w:rPr>
          <w:rFonts w:ascii="Times New Roman" w:hAnsi="Times New Roman"/>
          <w:noProof/>
          <w:sz w:val="24"/>
        </w:rPr>
        <w:t>nodokļu kredītu ierakstīšanai</w:t>
      </w:r>
      <w:r>
        <w:rPr>
          <w:rFonts w:ascii="Times New Roman" w:hAnsi="Times New Roman"/>
          <w:noProof/>
          <w:sz w:val="24"/>
        </w:rPr>
        <w:t>, jo var būt dažādas iespējas. Maksājamo</w:t>
      </w:r>
      <w:r w:rsidR="00091CA7">
        <w:rPr>
          <w:rFonts w:ascii="Times New Roman" w:hAnsi="Times New Roman"/>
          <w:noProof/>
          <w:sz w:val="24"/>
        </w:rPr>
        <w:t>s nodokļu kredītus var ierakstīt</w:t>
      </w:r>
      <w:r>
        <w:rPr>
          <w:rFonts w:ascii="Times New Roman" w:hAnsi="Times New Roman"/>
          <w:noProof/>
          <w:sz w:val="24"/>
        </w:rPr>
        <w:t xml:space="preserve"> kā kārtējos izdevumus, un tādā gadījumā tie varētu būt subsīdijas (D.3) vai sociālie pabalsti, kas nav sociālie pārvedumi natūrā (D.62), atkarībā no labuma guvēja veida, vai pat dažādi kārtējie pār</w:t>
      </w:r>
      <w:r w:rsidR="00091CA7">
        <w:rPr>
          <w:rFonts w:ascii="Times New Roman" w:hAnsi="Times New Roman"/>
          <w:noProof/>
          <w:sz w:val="24"/>
        </w:rPr>
        <w:t>vedumi (D.75). Tos var ierakstīt</w:t>
      </w:r>
      <w:r>
        <w:rPr>
          <w:rFonts w:ascii="Times New Roman" w:hAnsi="Times New Roman"/>
          <w:noProof/>
          <w:sz w:val="24"/>
        </w:rPr>
        <w:t xml:space="preserve"> arī kā kapitālizdevumus, šajā gadījumā kā ieguldījumu dotācijas (D.92) vai kā citus kapitāla pārvedumus (D.99).</w:t>
      </w:r>
      <w:r>
        <w:rPr>
          <w:rStyle w:val="FootnoteReference"/>
          <w:rFonts w:ascii="Times New Roman" w:hAnsi="Times New Roman"/>
          <w:noProof/>
          <w:sz w:val="24"/>
        </w:rPr>
        <w:footnoteReference w:id="119"/>
      </w: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Attiecībā </w:t>
      </w:r>
      <w:r w:rsidR="00091CA7">
        <w:rPr>
          <w:rFonts w:ascii="Times New Roman" w:hAnsi="Times New Roman"/>
          <w:noProof/>
          <w:sz w:val="24"/>
        </w:rPr>
        <w:t>uz nodokļu kredītu ierakstīšanas</w:t>
      </w:r>
      <w:r>
        <w:rPr>
          <w:rFonts w:ascii="Times New Roman" w:hAnsi="Times New Roman"/>
          <w:noProof/>
          <w:sz w:val="24"/>
        </w:rPr>
        <w:t xml:space="preserve"> laiku ir jāatzīmē, ka valdībai (vai nodokļu iestādei) ir vienmēr jānovērtē, jākontrolē, jāapliecina vai jāapstiprina tiesības maksāt </w:t>
      </w:r>
      <w:r>
        <w:rPr>
          <w:rFonts w:ascii="Times New Roman" w:hAnsi="Times New Roman"/>
          <w:noProof/>
          <w:sz w:val="24"/>
        </w:rPr>
        <w:lastRenderedPageBreak/>
        <w:t>mazākus nodokļus vai saņemt maksājumu, un parasti to īsteno pēc nodokļu deklarāciju vai kāda cita oficiāla dokumenta iesniegšanas.</w:t>
      </w:r>
    </w:p>
    <w:p w:rsidR="00073FEC" w:rsidRPr="00055078"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Jāatzīmē arī tas, ka nodokļu kredīti bieži vien ir saistīti ar ienākuma nodokļiem, un nodokļu iestādes parasti tos aprēķina, kad nodokļu maksātāji ir iesnieguši savas nodokļu deklarācijas. Tā kā nemaksājamie nodokļu kredīti samazina nod</w:t>
      </w:r>
      <w:r w:rsidR="00091CA7">
        <w:rPr>
          <w:rFonts w:ascii="Times New Roman" w:hAnsi="Times New Roman"/>
          <w:noProof/>
          <w:sz w:val="24"/>
        </w:rPr>
        <w:t>okļu ieņēmumus, to ierakstīšanas</w:t>
      </w:r>
      <w:r>
        <w:rPr>
          <w:rFonts w:ascii="Times New Roman" w:hAnsi="Times New Roman"/>
          <w:noProof/>
          <w:sz w:val="24"/>
        </w:rPr>
        <w:t xml:space="preserve"> laiks parasti ir </w:t>
      </w:r>
      <w:r w:rsidR="00091CA7">
        <w:rPr>
          <w:rFonts w:ascii="Times New Roman" w:hAnsi="Times New Roman"/>
          <w:noProof/>
          <w:sz w:val="24"/>
        </w:rPr>
        <w:t>līdzīgs tā nodokļa ierakstīšanas</w:t>
      </w:r>
      <w:r>
        <w:rPr>
          <w:rFonts w:ascii="Times New Roman" w:hAnsi="Times New Roman"/>
          <w:noProof/>
          <w:sz w:val="24"/>
        </w:rPr>
        <w:t xml:space="preserve"> laikam, kuram tie tiek piešķirti; tas attiecas gan uz aprēķināšanas metodi, gan uz laikā precizētās naudas metodi. Kad izmanto aprēķināšanas un deklarāciju metodes, ja nodokļu saistību noteikšanas brīdis ir ņemts kā uzkrājuma </w:t>
      </w:r>
      <w:r w:rsidR="00091CA7">
        <w:rPr>
          <w:rFonts w:ascii="Times New Roman" w:hAnsi="Times New Roman"/>
          <w:noProof/>
          <w:sz w:val="24"/>
        </w:rPr>
        <w:t>tuvinājuma punkts, ierakstīšanas</w:t>
      </w:r>
      <w:r>
        <w:rPr>
          <w:rFonts w:ascii="Times New Roman" w:hAnsi="Times New Roman"/>
          <w:noProof/>
          <w:sz w:val="24"/>
        </w:rPr>
        <w:t xml:space="preserve"> laiks ir brīdis, kad ir aprēķinātas nodokļu saistības, nevis brīdis, kad nodokļu maksātājs ir faktiski nokārtojis savas saistības.</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Maksājamie nodokļu kredīti ir labuma guvēju beznosacījuma prasījumi valdībai, tāpēc valdībai kādā no posmiem tie jāatzīst par saistībām. Attiecībā uz maksājamiem nodokļu kredītiem par uzkrājuma tuvinājuma punktu uzskata brīdi, kad nodokļu iestādes ir oficiāli atzinušas saistības. Šis tuvi</w:t>
      </w:r>
      <w:r w:rsidR="003F673B">
        <w:rPr>
          <w:rFonts w:ascii="Times New Roman" w:hAnsi="Times New Roman"/>
          <w:noProof/>
          <w:sz w:val="24"/>
        </w:rPr>
        <w:t>nājums ir labākais ierakstīšanas</w:t>
      </w:r>
      <w:r>
        <w:rPr>
          <w:rFonts w:ascii="Times New Roman" w:hAnsi="Times New Roman"/>
          <w:noProof/>
          <w:sz w:val="24"/>
        </w:rPr>
        <w:t xml:space="preserve"> laika variants, jo, ja izmantotu tīro uzkrāšanas laiku maksājamajiem nodo</w:t>
      </w:r>
      <w:r w:rsidR="003F673B">
        <w:rPr>
          <w:rFonts w:ascii="Times New Roman" w:hAnsi="Times New Roman"/>
          <w:noProof/>
          <w:sz w:val="24"/>
        </w:rPr>
        <w:t>kļu kredītiem, tiktu ierakstītas</w:t>
      </w:r>
      <w:r>
        <w:rPr>
          <w:rFonts w:ascii="Times New Roman" w:hAnsi="Times New Roman"/>
          <w:noProof/>
          <w:sz w:val="24"/>
        </w:rPr>
        <w:t xml:space="preserve"> summas, kas vēl nav precīzi noteiktas, tāpēc praktiski būtu jāveic aplēses, kuru ticamība nav noteikta, kā arī pēc tam būtu jāpārskata valdības ieņēmumi, izdevumi un neto aizdevum</w:t>
      </w:r>
      <w:r w:rsidR="003F673B">
        <w:rPr>
          <w:rFonts w:ascii="Times New Roman" w:hAnsi="Times New Roman"/>
          <w:noProof/>
          <w:sz w:val="24"/>
        </w:rPr>
        <w:t>i/aizņēmumi (B.9). Ierakstīšanas</w:t>
      </w:r>
      <w:r>
        <w:rPr>
          <w:rFonts w:ascii="Times New Roman" w:hAnsi="Times New Roman"/>
          <w:noProof/>
          <w:sz w:val="24"/>
        </w:rPr>
        <w:t xml:space="preserve"> laiks, kad nodokļu iestādes ir atzinušas saistības, ir piemērojams neatkarīgi no tā, kāda izdevumu kategorija ir izraudzīta maksāja</w:t>
      </w:r>
      <w:r w:rsidR="003F673B">
        <w:rPr>
          <w:rFonts w:ascii="Times New Roman" w:hAnsi="Times New Roman"/>
          <w:noProof/>
          <w:sz w:val="24"/>
        </w:rPr>
        <w:t>mā nodokļu kredīta ierakstīšanai</w:t>
      </w:r>
      <w:r>
        <w:rPr>
          <w:rFonts w:ascii="Times New Roman" w:hAnsi="Times New Roman"/>
          <w:noProof/>
          <w:sz w:val="24"/>
        </w:rPr>
        <w:t>.</w:t>
      </w:r>
    </w:p>
    <w:p w:rsidR="00073FEC" w:rsidRPr="001973D0" w:rsidRDefault="003F673B"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Izdevumus ieraksta</w:t>
      </w:r>
      <w:r w:rsidR="00073FEC">
        <w:rPr>
          <w:rFonts w:ascii="Times New Roman" w:hAnsi="Times New Roman"/>
          <w:noProof/>
          <w:sz w:val="24"/>
        </w:rPr>
        <w:t xml:space="preserve"> brīdī, kad valdība atzīst prasījumu par visu summu, neatkarīgi no tā, kurā konkrētā brīdī maksājamais nodokļu kredīts tiks izmantots, lai samazinātu maksājamo nodokļu summu, un neatkarīgi no tā, kurā konkrētā brīdī nodokļu kredīts varētu tikt pilnībā atmaksāts labuma guvējam. Tādējādi tas varētu atstāt ietekmi uz valdības neto aizdevumu/aizņēmumu (B.9) vienā atsevišķā gadā, nevis uz vairākiem gadiem, kuros maksājamais nodokļu kredīts tiktu lietots.</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Ja ir laika nob</w:t>
      </w:r>
      <w:r w:rsidR="003F673B">
        <w:rPr>
          <w:rFonts w:ascii="Times New Roman" w:hAnsi="Times New Roman"/>
          <w:noProof/>
          <w:sz w:val="24"/>
        </w:rPr>
        <w:t>īde starp izdevumu ierakstīšanas</w:t>
      </w:r>
      <w:r>
        <w:rPr>
          <w:rFonts w:ascii="Times New Roman" w:hAnsi="Times New Roman"/>
          <w:noProof/>
          <w:sz w:val="24"/>
        </w:rPr>
        <w:t xml:space="preserve"> brīdi un brīdi, kad tie tiek izlietoti nodokļu saistību samazinājuma veidā vai kā nauda no valdības, jāizdara ieraksts sektorā “citas debitoru/kreditoru saistības” (AF.8).</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Maksājamos nodokļu kredītus traktē citādi nekā nemaksājamos nodokļu kredītus. Tā kā nemaksājamos nodokļu kredītus traktē kā negatīvus nodokļu ieņēmumus, </w:t>
      </w:r>
      <w:r w:rsidR="003F673B">
        <w:rPr>
          <w:rFonts w:ascii="Times New Roman" w:hAnsi="Times New Roman"/>
          <w:noProof/>
          <w:sz w:val="24"/>
        </w:rPr>
        <w:t>nevis kā izdevumus, tos ieraksta</w:t>
      </w:r>
      <w:r>
        <w:rPr>
          <w:rFonts w:ascii="Times New Roman" w:hAnsi="Times New Roman"/>
          <w:noProof/>
          <w:sz w:val="24"/>
        </w:rPr>
        <w:t xml:space="preserve"> tad, kad tie tiek izmantoti nodokļu saistību mazināšanai, ietekmējot kontus par precīzu summu, kas tiek izlieto</w:t>
      </w:r>
      <w:r w:rsidR="003F673B">
        <w:rPr>
          <w:rFonts w:ascii="Times New Roman" w:hAnsi="Times New Roman"/>
          <w:noProof/>
          <w:sz w:val="24"/>
        </w:rPr>
        <w:t>ta katru gadu, nevis ierakstot</w:t>
      </w:r>
      <w:r>
        <w:rPr>
          <w:rFonts w:ascii="Times New Roman" w:hAnsi="Times New Roman"/>
          <w:noProof/>
          <w:sz w:val="24"/>
        </w:rPr>
        <w:t xml:space="preserve"> visu summu vienā gadā, kā tas ir maksājamo nodokļu kredītu gadījumā.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592"/>
        </w:tabs>
        <w:ind w:left="0" w:firstLine="0"/>
        <w:jc w:val="both"/>
        <w:rPr>
          <w:rFonts w:ascii="Times New Roman" w:hAnsi="Times New Roman"/>
          <w:noProof/>
          <w:u w:val="thick" w:color="000000"/>
        </w:rPr>
      </w:pPr>
      <w:bookmarkStart w:id="99" w:name="II.2.3_Rationale_of_the_treatment"/>
      <w:bookmarkEnd w:id="99"/>
      <w:r>
        <w:rPr>
          <w:rFonts w:ascii="Times New Roman" w:hAnsi="Times New Roman"/>
          <w:noProof/>
          <w:u w:val="none"/>
        </w:rPr>
        <w:t>II.2.3. </w:t>
      </w:r>
      <w:r>
        <w:rPr>
          <w:rFonts w:ascii="Times New Roman" w:hAnsi="Times New Roman"/>
          <w:noProof/>
          <w:u w:val="thick" w:color="000000"/>
        </w:rPr>
        <w:t>Traktējuma pamatojums</w:t>
      </w:r>
    </w:p>
    <w:p w:rsidR="00073FEC" w:rsidRPr="001973D0" w:rsidRDefault="00073FEC" w:rsidP="00073FEC">
      <w:pPr>
        <w:pStyle w:val="Heading4"/>
        <w:tabs>
          <w:tab w:val="left" w:pos="1592"/>
        </w:tabs>
        <w:ind w:left="0" w:firstLine="0"/>
        <w:jc w:val="both"/>
        <w:rPr>
          <w:rFonts w:ascii="Times New Roman" w:hAnsi="Times New Roman"/>
          <w:noProof/>
          <w:u w:val="thick" w:color="000000"/>
        </w:rPr>
      </w:pPr>
    </w:p>
    <w:p w:rsidR="00073FEC" w:rsidRPr="001973D0" w:rsidRDefault="00073FEC" w:rsidP="00073FEC">
      <w:pPr>
        <w:pStyle w:val="BodyText"/>
        <w:numPr>
          <w:ilvl w:val="0"/>
          <w:numId w:val="15"/>
        </w:numPr>
        <w:tabs>
          <w:tab w:val="left" w:pos="1303"/>
        </w:tabs>
        <w:spacing w:before="0"/>
        <w:ind w:left="709" w:hanging="709"/>
        <w:jc w:val="both"/>
        <w:rPr>
          <w:rFonts w:ascii="Times New Roman" w:hAnsi="Times New Roman"/>
          <w:noProof/>
          <w:sz w:val="24"/>
        </w:rPr>
      </w:pPr>
      <w:r>
        <w:rPr>
          <w:rFonts w:ascii="Times New Roman" w:hAnsi="Times New Roman"/>
          <w:noProof/>
          <w:sz w:val="24"/>
        </w:rPr>
        <w:t>Saskaņā ar pamatprincipu summas, kuru iekasēšana ir maz tica</w:t>
      </w:r>
      <w:r w:rsidR="003F673B">
        <w:rPr>
          <w:rFonts w:ascii="Times New Roman" w:hAnsi="Times New Roman"/>
          <w:noProof/>
          <w:sz w:val="24"/>
        </w:rPr>
        <w:t>ma, neiekļauj sistēmā ierakstīto</w:t>
      </w:r>
      <w:r>
        <w:rPr>
          <w:rFonts w:ascii="Times New Roman" w:hAnsi="Times New Roman"/>
          <w:noProof/>
          <w:sz w:val="24"/>
        </w:rPr>
        <w:t xml:space="preserve"> nodokļu un sociālo iemaksu ietekmē uz vispārējās valdības neto aizņēmumu/aizdevumu (B.9). Tā pamatā ir šāds arguments – ja ir pierādījumi tam, ka daži aprēķinātie nodokļi un sociālās iemaksas nekad netiks iekasētas, tad starpība starp nodokļu aprēķinu un gaidāmo iekasējumu atspoguļo prasījumu, kuram nav nekādas reālas vēr</w:t>
      </w:r>
      <w:r w:rsidR="003F673B">
        <w:rPr>
          <w:rFonts w:ascii="Times New Roman" w:hAnsi="Times New Roman"/>
          <w:noProof/>
          <w:sz w:val="24"/>
        </w:rPr>
        <w:t>tības un kuru nedrīkst ierakstīt</w:t>
      </w:r>
      <w:r>
        <w:rPr>
          <w:rFonts w:ascii="Times New Roman" w:hAnsi="Times New Roman"/>
          <w:noProof/>
          <w:sz w:val="24"/>
        </w:rPr>
        <w:t xml:space="preserve"> valdības ieņēmumos. Nodokļu un</w:t>
      </w:r>
      <w:r w:rsidR="003F673B">
        <w:rPr>
          <w:rFonts w:ascii="Times New Roman" w:hAnsi="Times New Roman"/>
          <w:noProof/>
          <w:sz w:val="24"/>
        </w:rPr>
        <w:t xml:space="preserve"> sociālo iemaksu (kas ierakstīti</w:t>
      </w:r>
      <w:r>
        <w:rPr>
          <w:rFonts w:ascii="Times New Roman" w:hAnsi="Times New Roman"/>
          <w:noProof/>
          <w:sz w:val="24"/>
        </w:rPr>
        <w:t xml:space="preserve"> sistēmā atbilstoši uzkrāšanas principam) ietekmei uz vispārējās valdības neto aizņēmumu/aizdevumu (B.9) saprātīgā laika posmā jābūt vienādai ar faktiski saņemtajām atbilstīgajām naudas summām.</w:t>
      </w:r>
    </w:p>
    <w:p w:rsidR="00073FEC" w:rsidRPr="001973D0"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nodokļu atmaksām un nodokļu amnestiju traktējums nacionālajos kontos nedrīkst būt atkarīgs no aplēsēm un kļūt par cēloni būtiskai pārskatīšanai, kas ietekmē valdības ieņēmumu datu ticamību.</w:t>
      </w:r>
    </w:p>
    <w:p w:rsidR="00073FEC" w:rsidRPr="00055078" w:rsidRDefault="00073FEC" w:rsidP="00073FEC">
      <w:pPr>
        <w:pStyle w:val="BodyText"/>
        <w:numPr>
          <w:ilvl w:val="0"/>
          <w:numId w:val="15"/>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ir definēti at</w:t>
      </w:r>
      <w:r w:rsidR="003F673B">
        <w:rPr>
          <w:rFonts w:ascii="Times New Roman" w:hAnsi="Times New Roman"/>
          <w:noProof/>
          <w:sz w:val="24"/>
        </w:rPr>
        <w:t>šķirīgi nodokļu kredītu ierakstīšanas</w:t>
      </w:r>
      <w:r>
        <w:rPr>
          <w:rFonts w:ascii="Times New Roman" w:hAnsi="Times New Roman"/>
          <w:noProof/>
          <w:sz w:val="24"/>
        </w:rPr>
        <w:t xml:space="preserve"> veidi atkarībā no tā, vai tie </w:t>
      </w:r>
      <w:r>
        <w:rPr>
          <w:rFonts w:ascii="Times New Roman" w:hAnsi="Times New Roman"/>
          <w:noProof/>
          <w:sz w:val="24"/>
        </w:rPr>
        <w:lastRenderedPageBreak/>
        <w:t>ir maksājami vai nemaksājami nodokļu kredīti. Nemaksājamie nodokļu kredīti nepārsniedz nodokļu saistību liel</w:t>
      </w:r>
      <w:r w:rsidR="003F673B">
        <w:rPr>
          <w:rFonts w:ascii="Times New Roman" w:hAnsi="Times New Roman"/>
          <w:noProof/>
          <w:sz w:val="24"/>
        </w:rPr>
        <w:t>umu. Atbilstīgi tam, kā ieraksta</w:t>
      </w:r>
      <w:r>
        <w:rPr>
          <w:rFonts w:ascii="Times New Roman" w:hAnsi="Times New Roman"/>
          <w:noProof/>
          <w:sz w:val="24"/>
        </w:rPr>
        <w:t xml:space="preserve"> nodokļu atlaides, atbrīvojumus un samazinājumus, nemaksājamos nodokļu kredītus </w:t>
      </w:r>
      <w:r w:rsidR="003F673B">
        <w:rPr>
          <w:rFonts w:ascii="Times New Roman" w:hAnsi="Times New Roman"/>
          <w:noProof/>
          <w:sz w:val="24"/>
        </w:rPr>
        <w:t>ieraksta</w:t>
      </w:r>
      <w:r>
        <w:rPr>
          <w:rFonts w:ascii="Times New Roman" w:hAnsi="Times New Roman"/>
          <w:noProof/>
          <w:sz w:val="24"/>
        </w:rPr>
        <w:t xml:space="preserve"> kā nodokļu saistību samazinājumu, un tādējādi tos uzskaita kā nodokļu ieņēmumu samazinājumu, kas ietekmē valdības neto aizdevumu/aizņēmumu (B.9), kad tie tiek izmantoti maksājamo nodokļu summas samazināšanai.</w:t>
      </w: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Savukārt saskaņā ar maksājamo nodokļu kredītu sistēmu labuma guvējam tiks izmaksātas summas, kas pārsniedz nodokļu saistības, un maksājumus var piešķirt gan nodokļu maksātājiem, gan nodokļu nemaksātājiem. Tas nozīmē, ka maksājamie nodokļu kredīti nav tikai taksācijas mehānisma sastāvdaļa, pat ja tie tiek aprēķināti nodokļu deklarāciju vai citu dokumentu kontekstā. Maksājamie nodokļu kredīti ir beznosacījuma pieprasījumi valdībai, un valdībai tie ir saistības, tāpēc nacionāl</w:t>
      </w:r>
      <w:r w:rsidR="003F673B">
        <w:rPr>
          <w:rFonts w:ascii="Times New Roman" w:hAnsi="Times New Roman"/>
          <w:noProof/>
          <w:sz w:val="24"/>
        </w:rPr>
        <w:t>ajos kontos (AF.8) ir jāieraksta</w:t>
      </w:r>
      <w:r>
        <w:rPr>
          <w:rFonts w:ascii="Times New Roman" w:hAnsi="Times New Roman"/>
          <w:noProof/>
          <w:sz w:val="24"/>
        </w:rPr>
        <w:t xml:space="preserve"> to pilna summa.</w:t>
      </w:r>
    </w:p>
    <w:p w:rsidR="00073FEC" w:rsidRPr="001973D0" w:rsidRDefault="00073FEC" w:rsidP="00073FEC">
      <w:pPr>
        <w:pStyle w:val="BodyText"/>
        <w:numPr>
          <w:ilvl w:val="0"/>
          <w:numId w:val="15"/>
        </w:numPr>
        <w:tabs>
          <w:tab w:val="left" w:pos="1262"/>
        </w:tabs>
        <w:spacing w:before="0"/>
        <w:ind w:left="709" w:hanging="709"/>
        <w:jc w:val="both"/>
        <w:rPr>
          <w:rFonts w:ascii="Times New Roman" w:hAnsi="Times New Roman"/>
          <w:noProof/>
          <w:sz w:val="24"/>
        </w:rPr>
      </w:pPr>
      <w:r>
        <w:rPr>
          <w:rFonts w:ascii="Times New Roman" w:hAnsi="Times New Roman"/>
          <w:noProof/>
          <w:sz w:val="24"/>
        </w:rPr>
        <w:t>To ekvivalents ir valdības izdevumi pilnā apmērā brīdī, kad nodokļu iestāde ir atzinusi saistības, neatkarīgi no brīža, kad nodokļu kredīts tiks izmantots maksājamo nodokļu summas samazināšanai, vai no brīža, kad summas varētu tikt izmaksātas labuma guvējam. Lai arī praksē maksājamos nodokļu kredītus var izmantot vairākus gadus (tostarp tajā gadā, kad valdība tos ir atzinusi), pilna summa ietekmēs valdības neto aizdevumu/aizņēmumu (B.9) vienā atsevišķā gadā. Nodokļu kredīta izlietojums ir finanšu darījums, kas samazina valdības citas kreditoru saistības (AF.8), neietekmējot valdības neto aizdevumu/aizņēmumu (B.9). Ja izmanto nodokļu kredītu, datu avoti vajadzības gadījumā ir jākoriģē, lai izvairīt</w:t>
      </w:r>
      <w:r w:rsidR="003F673B">
        <w:rPr>
          <w:rFonts w:ascii="Times New Roman" w:hAnsi="Times New Roman"/>
          <w:noProof/>
          <w:sz w:val="24"/>
        </w:rPr>
        <w:t>os no tā, ka tas tiek ierakstīts</w:t>
      </w:r>
      <w:r>
        <w:rPr>
          <w:rFonts w:ascii="Times New Roman" w:hAnsi="Times New Roman"/>
          <w:noProof/>
          <w:sz w:val="24"/>
        </w:rPr>
        <w:t xml:space="preserve"> vai nu kā valdības izdevumu samazinājums, vai kā valdības izdevumu daļa.</w:t>
      </w:r>
    </w:p>
    <w:p w:rsidR="00073FEC" w:rsidRPr="001973D0" w:rsidRDefault="00073FEC" w:rsidP="00073FEC">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073FEC" w:rsidRPr="00055078" w:rsidTr="00523A0A">
        <w:tc>
          <w:tcPr>
            <w:tcW w:w="5000" w:type="pct"/>
          </w:tcPr>
          <w:p w:rsidR="00073FEC" w:rsidRPr="00055078" w:rsidRDefault="00073FEC" w:rsidP="00523A0A">
            <w:pPr>
              <w:jc w:val="both"/>
              <w:rPr>
                <w:rFonts w:ascii="Times New Roman" w:eastAsia="Arial" w:hAnsi="Times New Roman" w:cs="Times New Roman"/>
                <w:b/>
                <w:bCs/>
                <w:noProof/>
                <w:sz w:val="24"/>
                <w:szCs w:val="24"/>
              </w:rPr>
            </w:pPr>
            <w:r>
              <w:rPr>
                <w:rFonts w:ascii="Times New Roman" w:hAnsi="Times New Roman"/>
                <w:b/>
                <w:noProof/>
                <w:sz w:val="24"/>
              </w:rPr>
              <w:t>1. ierāmējums. Atliktā nodokļa aktīvu (</w:t>
            </w:r>
            <w:r>
              <w:rPr>
                <w:rFonts w:ascii="Times New Roman" w:hAnsi="Times New Roman"/>
                <w:b/>
                <w:i/>
                <w:noProof/>
                <w:sz w:val="24"/>
              </w:rPr>
              <w:t>DTA</w:t>
            </w:r>
            <w:r>
              <w:rPr>
                <w:rFonts w:ascii="Times New Roman" w:hAnsi="Times New Roman"/>
                <w:b/>
                <w:noProof/>
                <w:sz w:val="24"/>
              </w:rPr>
              <w:t xml:space="preserve">) traktējums nacionālajos kontos un ar </w:t>
            </w:r>
            <w:r>
              <w:rPr>
                <w:rFonts w:ascii="Times New Roman" w:hAnsi="Times New Roman"/>
                <w:b/>
                <w:i/>
                <w:noProof/>
                <w:sz w:val="24"/>
              </w:rPr>
              <w:t>DTA</w:t>
            </w:r>
            <w:r>
              <w:rPr>
                <w:rFonts w:ascii="Times New Roman" w:hAnsi="Times New Roman"/>
                <w:b/>
                <w:noProof/>
                <w:sz w:val="24"/>
              </w:rPr>
              <w:t xml:space="preserve"> saist</w:t>
            </w:r>
            <w:r w:rsidR="003F673B">
              <w:rPr>
                <w:rFonts w:ascii="Times New Roman" w:hAnsi="Times New Roman"/>
                <w:b/>
                <w:noProof/>
                <w:sz w:val="24"/>
              </w:rPr>
              <w:t>ītu nodokļu kredītu ierakstīšana</w:t>
            </w:r>
          </w:p>
          <w:p w:rsidR="00073FEC" w:rsidRPr="00055078" w:rsidRDefault="00073FEC" w:rsidP="00523A0A">
            <w:pPr>
              <w:jc w:val="both"/>
              <w:rPr>
                <w:rFonts w:ascii="Times New Roman" w:eastAsia="Arial" w:hAnsi="Times New Roman" w:cs="Times New Roman"/>
                <w:noProof/>
                <w:sz w:val="24"/>
                <w:szCs w:val="24"/>
              </w:rPr>
            </w:pPr>
          </w:p>
          <w:p w:rsidR="00073FEC" w:rsidRPr="00055078" w:rsidRDefault="00073FEC" w:rsidP="00523A0A">
            <w:pPr>
              <w:jc w:val="both"/>
              <w:rPr>
                <w:rFonts w:ascii="Times New Roman" w:hAnsi="Times New Roman" w:cs="Times New Roman"/>
                <w:noProof/>
                <w:sz w:val="24"/>
                <w:szCs w:val="24"/>
              </w:rPr>
            </w:pPr>
            <w:r>
              <w:rPr>
                <w:rFonts w:ascii="Times New Roman" w:hAnsi="Times New Roman"/>
                <w:noProof/>
                <w:sz w:val="24"/>
              </w:rPr>
              <w:t>Līdz ar Bāzeles III regulējuma ieviešanu dažas valstis ir veikušas konkrētas izmaiņas tiesību aktos, kas ļauj atliktā nodokļa aktīvus (</w:t>
            </w:r>
            <w:r>
              <w:rPr>
                <w:rFonts w:ascii="Times New Roman" w:hAnsi="Times New Roman"/>
                <w:i/>
                <w:noProof/>
                <w:sz w:val="24"/>
              </w:rPr>
              <w:t>DTA</w:t>
            </w:r>
            <w:r>
              <w:rPr>
                <w:rFonts w:ascii="Times New Roman" w:hAnsi="Times New Roman"/>
                <w:noProof/>
                <w:sz w:val="24"/>
              </w:rPr>
              <w:t>) konvertēt maksājamos nodokļu kredītos, kas ir tiešs prasījums valdībai. Vienlaikus EKS 2010 ir ieviesti skaidri noteikumi attiecībā</w:t>
            </w:r>
            <w:r w:rsidR="003F673B">
              <w:rPr>
                <w:rFonts w:ascii="Times New Roman" w:hAnsi="Times New Roman"/>
                <w:noProof/>
                <w:sz w:val="24"/>
              </w:rPr>
              <w:t xml:space="preserve"> uz nodokļu kredītu ierakstīšanu</w:t>
            </w:r>
            <w:r>
              <w:rPr>
                <w:rFonts w:ascii="Times New Roman" w:hAnsi="Times New Roman"/>
                <w:noProof/>
                <w:sz w:val="24"/>
              </w:rPr>
              <w:t xml:space="preserve">. Tā kā nacionālajos kontos nav norāžu par </w:t>
            </w:r>
            <w:r>
              <w:rPr>
                <w:rFonts w:ascii="Times New Roman" w:hAnsi="Times New Roman"/>
                <w:i/>
                <w:noProof/>
                <w:sz w:val="24"/>
              </w:rPr>
              <w:t>DTA</w:t>
            </w:r>
            <w:r>
              <w:rPr>
                <w:rFonts w:ascii="Times New Roman" w:hAnsi="Times New Roman"/>
                <w:noProof/>
                <w:sz w:val="24"/>
              </w:rPr>
              <w:t xml:space="preserve"> (</w:t>
            </w:r>
            <w:r>
              <w:rPr>
                <w:rFonts w:ascii="Times New Roman" w:hAnsi="Times New Roman"/>
                <w:i/>
                <w:noProof/>
                <w:sz w:val="24"/>
              </w:rPr>
              <w:t>DTA</w:t>
            </w:r>
            <w:r>
              <w:rPr>
                <w:rFonts w:ascii="Times New Roman" w:hAnsi="Times New Roman"/>
                <w:noProof/>
                <w:sz w:val="24"/>
              </w:rPr>
              <w:t xml:space="preserve"> netiek traktēti EKS 2010), </w:t>
            </w:r>
            <w:r>
              <w:rPr>
                <w:rFonts w:ascii="Times New Roman" w:hAnsi="Times New Roman"/>
                <w:i/>
                <w:noProof/>
                <w:sz w:val="24"/>
              </w:rPr>
              <w:t>Eurostat</w:t>
            </w:r>
            <w:r>
              <w:rPr>
                <w:rFonts w:ascii="Times New Roman" w:hAnsi="Times New Roman"/>
                <w:noProof/>
                <w:sz w:val="24"/>
              </w:rPr>
              <w:t xml:space="preserve"> ir izstrādājis vadlīnijas, kurās sniegti konkrēti norādījumi par </w:t>
            </w:r>
            <w:r>
              <w:rPr>
                <w:rFonts w:ascii="Times New Roman" w:hAnsi="Times New Roman"/>
                <w:i/>
                <w:noProof/>
                <w:sz w:val="24"/>
              </w:rPr>
              <w:t>DTA</w:t>
            </w:r>
            <w:r>
              <w:rPr>
                <w:rFonts w:ascii="Times New Roman" w:hAnsi="Times New Roman"/>
                <w:noProof/>
                <w:sz w:val="24"/>
              </w:rPr>
              <w:t xml:space="preserve"> traktēšanu nacionālajos kontos un ar </w:t>
            </w:r>
            <w:r>
              <w:rPr>
                <w:rFonts w:ascii="Times New Roman" w:hAnsi="Times New Roman"/>
                <w:i/>
                <w:noProof/>
                <w:sz w:val="24"/>
              </w:rPr>
              <w:t>DTA</w:t>
            </w:r>
            <w:r>
              <w:rPr>
                <w:rFonts w:ascii="Times New Roman" w:hAnsi="Times New Roman"/>
                <w:noProof/>
                <w:sz w:val="24"/>
              </w:rPr>
              <w:t xml:space="preserve"> saist</w:t>
            </w:r>
            <w:r w:rsidR="003F673B">
              <w:rPr>
                <w:rFonts w:ascii="Times New Roman" w:hAnsi="Times New Roman"/>
                <w:noProof/>
                <w:sz w:val="24"/>
              </w:rPr>
              <w:t>īto nodokļu kredītu ierakstīšanu</w:t>
            </w:r>
            <w:r>
              <w:rPr>
                <w:rFonts w:ascii="Times New Roman" w:hAnsi="Times New Roman"/>
                <w:noProof/>
                <w:sz w:val="24"/>
              </w:rPr>
              <w:t xml:space="preserve">. Šajā ierāmējumā ir apkopota būtiskākā informācija no </w:t>
            </w:r>
            <w:r>
              <w:rPr>
                <w:rFonts w:ascii="Times New Roman" w:hAnsi="Times New Roman"/>
                <w:i/>
                <w:noProof/>
                <w:sz w:val="24"/>
              </w:rPr>
              <w:t>Eurostat</w:t>
            </w:r>
            <w:r>
              <w:rPr>
                <w:rFonts w:ascii="Times New Roman" w:hAnsi="Times New Roman"/>
                <w:noProof/>
                <w:sz w:val="24"/>
              </w:rPr>
              <w:t xml:space="preserve"> vadlīnijām šajā jautājumā.</w:t>
            </w:r>
          </w:p>
          <w:p w:rsidR="00073FEC" w:rsidRPr="00055078" w:rsidRDefault="00073FEC" w:rsidP="00523A0A">
            <w:pPr>
              <w:jc w:val="both"/>
              <w:rPr>
                <w:rFonts w:ascii="Times New Roman" w:hAnsi="Times New Roman" w:cs="Times New Roman"/>
                <w:noProof/>
                <w:sz w:val="24"/>
                <w:szCs w:val="24"/>
              </w:rPr>
            </w:pPr>
            <w:r>
              <w:rPr>
                <w:rFonts w:ascii="Times New Roman" w:hAnsi="Times New Roman"/>
                <w:noProof/>
                <w:sz w:val="24"/>
              </w:rPr>
              <w:t xml:space="preserve">Atliktā nodokļa aktīvi tiek definēti kā ienākumu nodokļa summas, ko sabiedrības var atgūt turpmākajos periodos ar noteikumu, ka nākotnē būs pietiekama ar nodokli apliekamā peļņa. </w:t>
            </w:r>
            <w:r>
              <w:rPr>
                <w:rFonts w:ascii="Times New Roman" w:hAnsi="Times New Roman"/>
                <w:i/>
                <w:noProof/>
                <w:sz w:val="24"/>
              </w:rPr>
              <w:t>DTA</w:t>
            </w:r>
            <w:r>
              <w:rPr>
                <w:rFonts w:ascii="Times New Roman" w:hAnsi="Times New Roman"/>
                <w:noProof/>
                <w:sz w:val="24"/>
              </w:rPr>
              <w:t xml:space="preserve"> attiecas uz pagātnes darījumiem, kurus saskaņā ar 12. SGS var sagrupēt šādās 3 kategorijās:</w:t>
            </w:r>
          </w:p>
          <w:p w:rsidR="00073FEC" w:rsidRPr="00055078" w:rsidRDefault="00073FEC" w:rsidP="00073FEC">
            <w:pPr>
              <w:numPr>
                <w:ilvl w:val="0"/>
                <w:numId w:val="12"/>
              </w:numPr>
              <w:tabs>
                <w:tab w:val="left" w:pos="1358"/>
              </w:tabs>
              <w:ind w:left="1134" w:hanging="425"/>
              <w:jc w:val="both"/>
              <w:rPr>
                <w:rFonts w:ascii="Times New Roman" w:hAnsi="Times New Roman" w:cs="Times New Roman"/>
                <w:noProof/>
                <w:sz w:val="24"/>
                <w:szCs w:val="24"/>
              </w:rPr>
            </w:pPr>
            <w:r>
              <w:rPr>
                <w:rFonts w:ascii="Times New Roman" w:hAnsi="Times New Roman"/>
                <w:noProof/>
                <w:sz w:val="24"/>
              </w:rPr>
              <w:t>atskaitāmās pagaidu starpības;</w:t>
            </w:r>
          </w:p>
          <w:p w:rsidR="00073FEC" w:rsidRPr="00055078" w:rsidRDefault="00073FEC" w:rsidP="00073FEC">
            <w:pPr>
              <w:numPr>
                <w:ilvl w:val="0"/>
                <w:numId w:val="12"/>
              </w:numPr>
              <w:tabs>
                <w:tab w:val="left" w:pos="1358"/>
              </w:tabs>
              <w:ind w:left="1134" w:hanging="425"/>
              <w:jc w:val="both"/>
              <w:rPr>
                <w:rFonts w:ascii="Times New Roman" w:hAnsi="Times New Roman" w:cs="Times New Roman"/>
                <w:noProof/>
                <w:sz w:val="24"/>
                <w:szCs w:val="24"/>
              </w:rPr>
            </w:pPr>
            <w:r>
              <w:rPr>
                <w:rFonts w:ascii="Times New Roman" w:hAnsi="Times New Roman"/>
                <w:noProof/>
                <w:sz w:val="24"/>
              </w:rPr>
              <w:t>iepriekšējo periodu zaudējumu pārnešana;</w:t>
            </w:r>
          </w:p>
          <w:p w:rsidR="00073FEC" w:rsidRPr="00055078" w:rsidRDefault="00073FEC" w:rsidP="00073FEC">
            <w:pPr>
              <w:numPr>
                <w:ilvl w:val="0"/>
                <w:numId w:val="12"/>
              </w:numPr>
              <w:tabs>
                <w:tab w:val="left" w:pos="1346"/>
              </w:tabs>
              <w:ind w:left="1134" w:hanging="425"/>
              <w:jc w:val="both"/>
              <w:rPr>
                <w:rFonts w:ascii="Times New Roman" w:hAnsi="Times New Roman" w:cs="Times New Roman"/>
                <w:noProof/>
                <w:sz w:val="24"/>
                <w:szCs w:val="24"/>
              </w:rPr>
            </w:pPr>
            <w:r>
              <w:rPr>
                <w:rFonts w:ascii="Times New Roman" w:hAnsi="Times New Roman"/>
                <w:noProof/>
                <w:sz w:val="24"/>
              </w:rPr>
              <w:t>neizmantoto nodokļu kredītu pārnešana.</w:t>
            </w:r>
          </w:p>
          <w:p w:rsidR="00073FEC" w:rsidRPr="00055078" w:rsidRDefault="00073FEC" w:rsidP="00523A0A">
            <w:pPr>
              <w:jc w:val="both"/>
              <w:rPr>
                <w:rFonts w:ascii="Times New Roman" w:hAnsi="Times New Roman" w:cs="Times New Roman"/>
                <w:noProof/>
                <w:sz w:val="24"/>
                <w:szCs w:val="24"/>
              </w:rPr>
            </w:pPr>
            <w:r>
              <w:rPr>
                <w:rFonts w:ascii="Times New Roman" w:hAnsi="Times New Roman"/>
                <w:i/>
                <w:noProof/>
                <w:sz w:val="24"/>
              </w:rPr>
              <w:t>DTA</w:t>
            </w:r>
            <w:r>
              <w:rPr>
                <w:rFonts w:ascii="Times New Roman" w:hAnsi="Times New Roman"/>
                <w:noProof/>
                <w:sz w:val="24"/>
              </w:rPr>
              <w:t xml:space="preserve"> ir sabiedrību iespējamie prasījumi pret valdību, jo tie, iespējams, var mazināt nodokļus, kas sabiedrībai būs jāmaksā no savas paredzamās peļņas.</w:t>
            </w:r>
          </w:p>
          <w:p w:rsidR="00073FEC" w:rsidRPr="00055078" w:rsidRDefault="00073FEC" w:rsidP="00523A0A">
            <w:pPr>
              <w:jc w:val="both"/>
              <w:rPr>
                <w:rFonts w:ascii="Times New Roman" w:hAnsi="Times New Roman" w:cs="Times New Roman"/>
                <w:noProof/>
                <w:sz w:val="24"/>
                <w:szCs w:val="24"/>
              </w:rPr>
            </w:pPr>
            <w:r>
              <w:rPr>
                <w:rFonts w:ascii="Times New Roman" w:hAnsi="Times New Roman"/>
                <w:noProof/>
                <w:sz w:val="24"/>
              </w:rPr>
              <w:t xml:space="preserve">Katrā valstī atšķiras </w:t>
            </w:r>
            <w:r>
              <w:rPr>
                <w:rFonts w:ascii="Times New Roman" w:hAnsi="Times New Roman"/>
                <w:i/>
                <w:noProof/>
                <w:sz w:val="24"/>
              </w:rPr>
              <w:t>DTA</w:t>
            </w:r>
            <w:r>
              <w:rPr>
                <w:rFonts w:ascii="Times New Roman" w:hAnsi="Times New Roman"/>
                <w:noProof/>
                <w:sz w:val="24"/>
              </w:rPr>
              <w:t xml:space="preserve"> izcelsme un lietošana, un parasti tie ir noteikti valsts tiesību aktos par ienākuma nodokļiem.</w:t>
            </w:r>
          </w:p>
          <w:p w:rsidR="00073FEC" w:rsidRPr="00055078" w:rsidRDefault="00073FEC" w:rsidP="00523A0A">
            <w:pPr>
              <w:jc w:val="both"/>
              <w:rPr>
                <w:rFonts w:ascii="Times New Roman" w:hAnsi="Times New Roman" w:cs="Times New Roman"/>
                <w:noProof/>
                <w:sz w:val="24"/>
                <w:szCs w:val="24"/>
              </w:rPr>
            </w:pPr>
            <w:r>
              <w:rPr>
                <w:rFonts w:ascii="Times New Roman" w:hAnsi="Times New Roman"/>
                <w:i/>
                <w:noProof/>
                <w:sz w:val="24"/>
              </w:rPr>
              <w:t>DTA</w:t>
            </w:r>
            <w:r>
              <w:rPr>
                <w:rFonts w:ascii="Times New Roman" w:hAnsi="Times New Roman"/>
                <w:noProof/>
                <w:sz w:val="24"/>
              </w:rPr>
              <w:t xml:space="preserve"> atzīšana un lietošana ir atkarīga no vairākiem faktoriem, piemēram, vai ir gaidāms, ka paredzamā peļņa būs pietiekama vai ka tiks atceltas atskaitāmās pagaidu starpības (piemēram, noteikumu apvērse).</w:t>
            </w: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noProof/>
                <w:sz w:val="24"/>
              </w:rPr>
              <w:t xml:space="preserve">Ja </w:t>
            </w:r>
            <w:r>
              <w:rPr>
                <w:rFonts w:ascii="Times New Roman" w:hAnsi="Times New Roman"/>
                <w:i/>
                <w:noProof/>
                <w:sz w:val="24"/>
              </w:rPr>
              <w:t>DTA</w:t>
            </w:r>
            <w:r>
              <w:rPr>
                <w:rFonts w:ascii="Times New Roman" w:hAnsi="Times New Roman"/>
                <w:noProof/>
                <w:sz w:val="24"/>
              </w:rPr>
              <w:t xml:space="preserve"> ir parādīti uzņēmējdarbības grāmatvedībā sabiedrības bilancē, sabiedrībai ir tiesības maksāt mazāku nodokli nākotnē, taču </w:t>
            </w:r>
            <w:r>
              <w:rPr>
                <w:rFonts w:ascii="Times New Roman" w:hAnsi="Times New Roman"/>
                <w:i/>
                <w:noProof/>
                <w:sz w:val="24"/>
              </w:rPr>
              <w:t>DTA</w:t>
            </w:r>
            <w:r>
              <w:rPr>
                <w:rFonts w:ascii="Times New Roman" w:hAnsi="Times New Roman"/>
                <w:noProof/>
                <w:sz w:val="24"/>
              </w:rPr>
              <w:t xml:space="preserve"> nav nodokļu kredīts, kamēr pastāv šādas tiesības, </w:t>
            </w:r>
            <w:r>
              <w:rPr>
                <w:rFonts w:ascii="Times New Roman" w:hAnsi="Times New Roman"/>
                <w:noProof/>
                <w:sz w:val="24"/>
              </w:rPr>
              <w:lastRenderedPageBreak/>
              <w:t xml:space="preserve">un ir piemērojams noteiktai summai. Praktiski uzskatāms, ka </w:t>
            </w:r>
            <w:r>
              <w:rPr>
                <w:rFonts w:ascii="Times New Roman" w:hAnsi="Times New Roman"/>
                <w:i/>
                <w:noProof/>
                <w:sz w:val="24"/>
              </w:rPr>
              <w:t>DTA</w:t>
            </w:r>
            <w:r>
              <w:rPr>
                <w:rFonts w:ascii="Times New Roman" w:hAnsi="Times New Roman"/>
                <w:noProof/>
                <w:sz w:val="24"/>
              </w:rPr>
              <w:t xml:space="preserve"> kļūst par prasījumu ar nodokļu kredīta pazīmēm brīdī, kad ar ticamību var noteikt summas lielumu un kad to var izmantot maksājamo nodokļu samazināšanai, jo stātos spēkā faktiskas, nevis tikai teorētiskas tiesības maksāt mazāku nodokli.</w:t>
            </w: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noProof/>
                <w:sz w:val="24"/>
              </w:rPr>
              <w:t xml:space="preserve">Nacionālajos kontos </w:t>
            </w:r>
            <w:r>
              <w:rPr>
                <w:rFonts w:ascii="Times New Roman" w:hAnsi="Times New Roman"/>
                <w:i/>
                <w:noProof/>
                <w:sz w:val="24"/>
              </w:rPr>
              <w:t>DTA</w:t>
            </w:r>
            <w:r>
              <w:rPr>
                <w:rFonts w:ascii="Times New Roman" w:hAnsi="Times New Roman"/>
                <w:noProof/>
                <w:sz w:val="24"/>
              </w:rPr>
              <w:t xml:space="preserve"> ir iespējamie aktīvi sabiedrībām (un tādējādi iespējamās saistības valdībai), un</w:t>
            </w:r>
            <w:r w:rsidR="003F673B">
              <w:rPr>
                <w:rFonts w:ascii="Times New Roman" w:hAnsi="Times New Roman"/>
                <w:noProof/>
                <w:sz w:val="24"/>
              </w:rPr>
              <w:t xml:space="preserve"> tāpēc finanšu kontos neieraksta</w:t>
            </w:r>
            <w:r>
              <w:rPr>
                <w:rFonts w:ascii="Times New Roman" w:hAnsi="Times New Roman"/>
                <w:noProof/>
                <w:sz w:val="24"/>
              </w:rPr>
              <w:t xml:space="preserve"> valdības saistības. </w:t>
            </w:r>
            <w:r>
              <w:rPr>
                <w:rFonts w:ascii="Times New Roman" w:hAnsi="Times New Roman"/>
                <w:i/>
                <w:noProof/>
                <w:sz w:val="24"/>
              </w:rPr>
              <w:t>DTA</w:t>
            </w:r>
            <w:r>
              <w:rPr>
                <w:rFonts w:ascii="Times New Roman" w:hAnsi="Times New Roman"/>
                <w:noProof/>
                <w:sz w:val="24"/>
              </w:rPr>
              <w:t xml:space="preserve"> varētu </w:t>
            </w:r>
            <w:r w:rsidR="003F673B">
              <w:rPr>
                <w:rFonts w:ascii="Times New Roman" w:hAnsi="Times New Roman"/>
                <w:noProof/>
                <w:sz w:val="24"/>
              </w:rPr>
              <w:t>ierakstīt</w:t>
            </w:r>
            <w:r>
              <w:rPr>
                <w:rFonts w:ascii="Times New Roman" w:hAnsi="Times New Roman"/>
                <w:noProof/>
                <w:sz w:val="24"/>
              </w:rPr>
              <w:t xml:space="preserve"> nacionālajos kontos tikai gadījumos, kad tie izraisa prasījumus ar nodokļu kredīta pazīmēm, un tādā gadījumā piemēro EKS 2010 noteikumus par nodokļu kredītu </w:t>
            </w:r>
            <w:r w:rsidR="003F673B">
              <w:rPr>
                <w:rFonts w:ascii="Times New Roman" w:hAnsi="Times New Roman"/>
                <w:noProof/>
                <w:sz w:val="24"/>
              </w:rPr>
              <w:t>ierakstī</w:t>
            </w:r>
            <w:r>
              <w:rPr>
                <w:rFonts w:ascii="Times New Roman" w:hAnsi="Times New Roman"/>
                <w:noProof/>
                <w:sz w:val="24"/>
              </w:rPr>
              <w:t>šanu (sk. iepriekš 24.–33. rindkopu).</w:t>
            </w: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i/>
                <w:noProof/>
                <w:sz w:val="24"/>
              </w:rPr>
              <w:t>DTA</w:t>
            </w:r>
            <w:r>
              <w:rPr>
                <w:rFonts w:ascii="Times New Roman" w:hAnsi="Times New Roman"/>
                <w:noProof/>
                <w:sz w:val="24"/>
              </w:rPr>
              <w:t xml:space="preserve"> varētu izraisīt prasījumus ar nodokļu kredīta pazīmēm šādos gadījumos:</w:t>
            </w:r>
          </w:p>
          <w:p w:rsidR="00073FEC" w:rsidRPr="00055078" w:rsidRDefault="00073FEC" w:rsidP="00073FEC">
            <w:pPr>
              <w:pStyle w:val="BodyText"/>
              <w:numPr>
                <w:ilvl w:val="1"/>
                <w:numId w:val="15"/>
              </w:numPr>
              <w:tabs>
                <w:tab w:val="left" w:pos="2208"/>
              </w:tabs>
              <w:spacing w:before="0"/>
              <w:ind w:left="1134" w:hanging="425"/>
              <w:jc w:val="both"/>
              <w:rPr>
                <w:rFonts w:ascii="Times New Roman" w:hAnsi="Times New Roman" w:cs="Times New Roman"/>
                <w:noProof/>
                <w:sz w:val="24"/>
                <w:szCs w:val="24"/>
              </w:rPr>
            </w:pPr>
            <w:r>
              <w:rPr>
                <w:rFonts w:ascii="Times New Roman" w:hAnsi="Times New Roman"/>
                <w:noProof/>
                <w:sz w:val="24"/>
              </w:rPr>
              <w:t>parastais nodokļu ieskaits, jo sabiedrība ir rentabla un atskaitāmās pagaidu starpības tiek atgrieztas, utt.;</w:t>
            </w:r>
          </w:p>
          <w:p w:rsidR="00073FEC" w:rsidRPr="00055078" w:rsidRDefault="00073FEC" w:rsidP="00073FEC">
            <w:pPr>
              <w:pStyle w:val="BodyText"/>
              <w:numPr>
                <w:ilvl w:val="1"/>
                <w:numId w:val="15"/>
              </w:numPr>
              <w:tabs>
                <w:tab w:val="left" w:pos="2131"/>
              </w:tabs>
              <w:spacing w:before="0"/>
              <w:ind w:left="1134" w:hanging="425"/>
              <w:jc w:val="both"/>
              <w:rPr>
                <w:rFonts w:ascii="Times New Roman" w:hAnsi="Times New Roman" w:cs="Times New Roman"/>
                <w:noProof/>
                <w:sz w:val="24"/>
                <w:szCs w:val="24"/>
              </w:rPr>
            </w:pPr>
            <w:r>
              <w:rPr>
                <w:rFonts w:ascii="Times New Roman" w:hAnsi="Times New Roman"/>
                <w:noProof/>
                <w:sz w:val="24"/>
              </w:rPr>
              <w:t>nodokļu kredīti, kas tika pārnesti uz nākamajiem periodiem;</w:t>
            </w:r>
          </w:p>
          <w:p w:rsidR="00073FEC" w:rsidRPr="00055078" w:rsidRDefault="00073FEC" w:rsidP="00073FEC">
            <w:pPr>
              <w:pStyle w:val="BodyText"/>
              <w:numPr>
                <w:ilvl w:val="1"/>
                <w:numId w:val="15"/>
              </w:numPr>
              <w:tabs>
                <w:tab w:val="left" w:pos="2149"/>
              </w:tabs>
              <w:spacing w:before="0"/>
              <w:ind w:left="1134" w:hanging="425"/>
              <w:jc w:val="both"/>
              <w:rPr>
                <w:rFonts w:ascii="Times New Roman" w:hAnsi="Times New Roman" w:cs="Times New Roman"/>
                <w:noProof/>
                <w:sz w:val="24"/>
                <w:szCs w:val="24"/>
              </w:rPr>
            </w:pPr>
            <w:r>
              <w:rPr>
                <w:rFonts w:ascii="Times New Roman" w:hAnsi="Times New Roman"/>
                <w:noProof/>
                <w:sz w:val="24"/>
              </w:rPr>
              <w:t xml:space="preserve">izmaiņas tiesību aktos, kas noteiktus </w:t>
            </w:r>
            <w:r>
              <w:rPr>
                <w:rFonts w:ascii="Times New Roman" w:hAnsi="Times New Roman"/>
                <w:i/>
                <w:noProof/>
                <w:sz w:val="24"/>
              </w:rPr>
              <w:t>DTA</w:t>
            </w:r>
            <w:r>
              <w:rPr>
                <w:rFonts w:ascii="Times New Roman" w:hAnsi="Times New Roman"/>
                <w:noProof/>
                <w:sz w:val="24"/>
              </w:rPr>
              <w:t>, kurus ir maza varbūtība atgūt, ļauj pārveidot par pilnībā atgūstamiem nodokļu kredītiem īpašos apstākļos (piemēram, gadījumā, ja sabiedrība pārskatā norāda zaudējumus, likvidācijas gadījumā utt.).</w:t>
            </w:r>
          </w:p>
          <w:p w:rsidR="00565513" w:rsidRDefault="00565513" w:rsidP="00523A0A">
            <w:pPr>
              <w:pStyle w:val="BodyText"/>
              <w:spacing w:before="0"/>
              <w:ind w:left="0" w:firstLine="0"/>
              <w:jc w:val="both"/>
              <w:rPr>
                <w:rFonts w:ascii="Times New Roman" w:hAnsi="Times New Roman"/>
                <w:noProof/>
                <w:sz w:val="24"/>
              </w:rPr>
            </w:pP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noProof/>
                <w:sz w:val="24"/>
              </w:rPr>
              <w:t>a) gadījumā prasījums, kas izriet no parasta nodokļu ieskaita, būtu jāuzskata par nemaksājamu nodokļu kredītu, proti, bez iespējas sabiedrībai samaksāt summu, kas pārsniedz nodokļu saistības. Tāpēc saskaņā ar EKS 2010 šie nodokļu kredīti būtu jāatskaita no nodokļu ieņēmumiem.</w:t>
            </w:r>
          </w:p>
          <w:p w:rsidR="00073FEC" w:rsidRPr="00055078" w:rsidRDefault="00073FEC" w:rsidP="00523A0A">
            <w:pPr>
              <w:jc w:val="both"/>
              <w:rPr>
                <w:rFonts w:ascii="Times New Roman" w:eastAsia="Arial" w:hAnsi="Times New Roman" w:cs="Times New Roman"/>
                <w:noProof/>
                <w:sz w:val="24"/>
                <w:szCs w:val="24"/>
              </w:rPr>
            </w:pP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noProof/>
                <w:sz w:val="24"/>
              </w:rPr>
              <w:t>b) gadījumā ievēro EKS 2010 noteikto maksājamo un nemaksājamo no</w:t>
            </w:r>
            <w:r w:rsidR="003F673B">
              <w:rPr>
                <w:rFonts w:ascii="Times New Roman" w:hAnsi="Times New Roman"/>
                <w:noProof/>
                <w:sz w:val="24"/>
              </w:rPr>
              <w:t>dokļu kredītu ierakstī</w:t>
            </w:r>
            <w:r>
              <w:rPr>
                <w:rFonts w:ascii="Times New Roman" w:hAnsi="Times New Roman"/>
                <w:noProof/>
                <w:sz w:val="24"/>
              </w:rPr>
              <w:t>šanas kārtību. Ja uz nākamajiem periodiem pārnestais nodokļu kredīts ir maksājamais nodokļ</w:t>
            </w:r>
            <w:r w:rsidR="003F673B">
              <w:rPr>
                <w:rFonts w:ascii="Times New Roman" w:hAnsi="Times New Roman"/>
                <w:noProof/>
                <w:sz w:val="24"/>
              </w:rPr>
              <w:t>u kredīts, tas būtu ierakstāms</w:t>
            </w:r>
            <w:r>
              <w:rPr>
                <w:rFonts w:ascii="Times New Roman" w:hAnsi="Times New Roman"/>
                <w:noProof/>
                <w:sz w:val="24"/>
              </w:rPr>
              <w:t xml:space="preserve"> tikai vienreiz, t. i., brīdī, kad to atzinušas nodokļu iestādes, un pēc tam </w:t>
            </w:r>
            <w:r w:rsidR="003F673B">
              <w:rPr>
                <w:rFonts w:ascii="Times New Roman" w:hAnsi="Times New Roman"/>
                <w:noProof/>
                <w:sz w:val="24"/>
              </w:rPr>
              <w:t>nekādas summas nebūtu jāieraksta</w:t>
            </w:r>
            <w:r>
              <w:rPr>
                <w:rFonts w:ascii="Times New Roman" w:hAnsi="Times New Roman"/>
                <w:noProof/>
                <w:sz w:val="24"/>
              </w:rPr>
              <w:t>, ja summas, kas katrā periodā nav izmantotas, lai maksātu mazāku nodokli, tiek pārnestas uz nākamajiem periodiem, pat ja uzņēmējdarbības grā</w:t>
            </w:r>
            <w:r w:rsidR="003F673B">
              <w:rPr>
                <w:rFonts w:ascii="Times New Roman" w:hAnsi="Times New Roman"/>
                <w:noProof/>
                <w:sz w:val="24"/>
              </w:rPr>
              <w:t>matvedības bilancē ir ierakstīti</w:t>
            </w:r>
            <w:r>
              <w:rPr>
                <w:rFonts w:ascii="Times New Roman" w:hAnsi="Times New Roman"/>
                <w:noProof/>
                <w:sz w:val="24"/>
              </w:rPr>
              <w:t xml:space="preserve"> atliktā nodokļa aktīvi. Savukārt, ja uz nākamajiem periodiem tiek pārnests nemaksājamais nodokļu kredīts, summa, kas faktiski izmantota, lai katrā pārskata periodā maksātu</w:t>
            </w:r>
            <w:r w:rsidR="003F673B">
              <w:rPr>
                <w:rFonts w:ascii="Times New Roman" w:hAnsi="Times New Roman"/>
                <w:noProof/>
                <w:sz w:val="24"/>
              </w:rPr>
              <w:t xml:space="preserve"> mazāku nodokli, būtu jāieraksta</w:t>
            </w:r>
            <w:r>
              <w:rPr>
                <w:rFonts w:ascii="Times New Roman" w:hAnsi="Times New Roman"/>
                <w:noProof/>
                <w:sz w:val="24"/>
              </w:rPr>
              <w:t xml:space="preserve"> kā nodokļu ieņēmumu samazinājums, bet atlikušās summas pārnestas uz nāk</w:t>
            </w:r>
            <w:r w:rsidR="003F673B">
              <w:rPr>
                <w:rFonts w:ascii="Times New Roman" w:hAnsi="Times New Roman"/>
                <w:noProof/>
                <w:sz w:val="24"/>
              </w:rPr>
              <w:t>amajiem periodiem un ierakstītas</w:t>
            </w:r>
            <w:r>
              <w:rPr>
                <w:rFonts w:ascii="Times New Roman" w:hAnsi="Times New Roman"/>
                <w:noProof/>
                <w:sz w:val="24"/>
              </w:rPr>
              <w:t xml:space="preserve"> kā nodokļu ieņēmumu samazinājums turpmākajos pārskata periodos.</w:t>
            </w:r>
          </w:p>
          <w:p w:rsidR="00073FEC" w:rsidRPr="00055078" w:rsidRDefault="00073FEC" w:rsidP="00523A0A">
            <w:pPr>
              <w:jc w:val="both"/>
              <w:rPr>
                <w:rFonts w:ascii="Times New Roman" w:eastAsia="Arial" w:hAnsi="Times New Roman" w:cs="Times New Roman"/>
                <w:noProof/>
                <w:sz w:val="24"/>
                <w:szCs w:val="24"/>
              </w:rPr>
            </w:pPr>
          </w:p>
          <w:p w:rsidR="00073FEC" w:rsidRPr="00055078" w:rsidRDefault="00073FEC" w:rsidP="00523A0A">
            <w:pPr>
              <w:pStyle w:val="BodyText"/>
              <w:spacing w:before="0"/>
              <w:ind w:left="0" w:firstLine="0"/>
              <w:jc w:val="both"/>
              <w:rPr>
                <w:rFonts w:ascii="Times New Roman" w:hAnsi="Times New Roman" w:cs="Times New Roman"/>
                <w:noProof/>
                <w:sz w:val="24"/>
                <w:szCs w:val="24"/>
              </w:rPr>
            </w:pPr>
            <w:r>
              <w:rPr>
                <w:rFonts w:ascii="Times New Roman" w:hAnsi="Times New Roman"/>
                <w:noProof/>
                <w:sz w:val="24"/>
              </w:rPr>
              <w:t>c) gadījumā nodokļu kredīts, kas radies, pēc definīcijas ir maksājamais nodokļu kredīts, un ir piemērojami EKS 2010 noteikumi par maksājamajiem nodokļu kredītiem. Tas nozīmē</w:t>
            </w:r>
            <w:r w:rsidR="003F673B">
              <w:rPr>
                <w:rFonts w:ascii="Times New Roman" w:hAnsi="Times New Roman"/>
                <w:noProof/>
                <w:sz w:val="24"/>
              </w:rPr>
              <w:t>, ka valdības izdevumus ieraksta</w:t>
            </w:r>
            <w:r>
              <w:rPr>
                <w:rFonts w:ascii="Times New Roman" w:hAnsi="Times New Roman"/>
                <w:noProof/>
                <w:sz w:val="24"/>
              </w:rPr>
              <w:t xml:space="preserve"> katru reizi, kad </w:t>
            </w:r>
            <w:r>
              <w:rPr>
                <w:rFonts w:ascii="Times New Roman" w:hAnsi="Times New Roman"/>
                <w:i/>
                <w:noProof/>
                <w:sz w:val="24"/>
              </w:rPr>
              <w:t>DTA</w:t>
            </w:r>
            <w:r>
              <w:rPr>
                <w:rFonts w:ascii="Times New Roman" w:hAnsi="Times New Roman"/>
                <w:noProof/>
                <w:sz w:val="24"/>
              </w:rPr>
              <w:t xml:space="preserve"> summa tiek konvertēta par nodokļu kredītu, brīdī, kad nodokļu iestādes atzīst saistības, un pilnā konvertētās summas ap</w:t>
            </w:r>
            <w:r w:rsidR="003F673B">
              <w:rPr>
                <w:rFonts w:ascii="Times New Roman" w:hAnsi="Times New Roman"/>
                <w:noProof/>
                <w:sz w:val="24"/>
              </w:rPr>
              <w:t>mērā. Šādu gadījumu ierakstīšanu</w:t>
            </w:r>
            <w:r>
              <w:rPr>
                <w:rFonts w:ascii="Times New Roman" w:hAnsi="Times New Roman"/>
                <w:noProof/>
                <w:sz w:val="24"/>
              </w:rPr>
              <w:t xml:space="preserve"> paskaidro katrā atsevišķā gadījumā un abpusēji apspriež ar </w:t>
            </w:r>
            <w:r>
              <w:rPr>
                <w:rFonts w:ascii="Times New Roman" w:hAnsi="Times New Roman"/>
                <w:i/>
                <w:noProof/>
                <w:sz w:val="24"/>
              </w:rPr>
              <w:t>Eurostat</w:t>
            </w:r>
            <w:r>
              <w:rPr>
                <w:rFonts w:ascii="Times New Roman" w:hAnsi="Times New Roman"/>
                <w:noProof/>
                <w:sz w:val="24"/>
              </w:rPr>
              <w:t xml:space="preserve">, pamatojoties uz </w:t>
            </w:r>
            <w:r>
              <w:rPr>
                <w:rFonts w:ascii="Times New Roman" w:hAnsi="Times New Roman"/>
                <w:i/>
                <w:noProof/>
                <w:sz w:val="24"/>
              </w:rPr>
              <w:t>Eurostat</w:t>
            </w:r>
            <w:r>
              <w:rPr>
                <w:rFonts w:ascii="Times New Roman" w:hAnsi="Times New Roman"/>
                <w:noProof/>
                <w:sz w:val="24"/>
              </w:rPr>
              <w:t xml:space="preserve"> īpašajām vadlīnijām šajā jautājumā. Jāuzsver, ka gadījumā, ja tiesību akti ietekmē </w:t>
            </w:r>
            <w:r>
              <w:rPr>
                <w:rFonts w:ascii="Times New Roman" w:hAnsi="Times New Roman"/>
                <w:i/>
                <w:noProof/>
                <w:sz w:val="24"/>
              </w:rPr>
              <w:t>DTA</w:t>
            </w:r>
            <w:r>
              <w:rPr>
                <w:rFonts w:ascii="Times New Roman" w:hAnsi="Times New Roman"/>
                <w:noProof/>
                <w:sz w:val="24"/>
              </w:rPr>
              <w:t xml:space="preserve">, kam ir pazīmes, kas atšķiras no </w:t>
            </w:r>
            <w:r>
              <w:rPr>
                <w:rFonts w:ascii="Times New Roman" w:hAnsi="Times New Roman"/>
                <w:i/>
                <w:noProof/>
                <w:sz w:val="24"/>
              </w:rPr>
              <w:t>Eurostat</w:t>
            </w:r>
            <w:r>
              <w:rPr>
                <w:rFonts w:ascii="Times New Roman" w:hAnsi="Times New Roman"/>
                <w:noProof/>
                <w:sz w:val="24"/>
              </w:rPr>
              <w:t xml:space="preserve"> īpašajās vadlīnijās skatītajām un aprakstītajām, var būt piemērojami arī citi nacionālo kontu noteikumi (piemēram, tie, kas attiecas uz kapitāla iepludināšanu).</w:t>
            </w:r>
          </w:p>
        </w:tc>
      </w:tr>
    </w:tbl>
    <w:p w:rsidR="00073FEC" w:rsidRDefault="00073FEC" w:rsidP="00073FEC">
      <w:pPr>
        <w:jc w:val="both"/>
        <w:rPr>
          <w:rFonts w:ascii="Times New Roman" w:eastAsia="Arial" w:hAnsi="Times New Roman" w:cs="Arial"/>
          <w:noProof/>
          <w:sz w:val="24"/>
          <w:szCs w:val="20"/>
        </w:rPr>
      </w:pPr>
    </w:p>
    <w:p w:rsidR="00073FEC" w:rsidRDefault="00073FEC" w:rsidP="00073FEC">
      <w:pPr>
        <w:rPr>
          <w:rFonts w:ascii="Times New Roman" w:eastAsia="Arial" w:hAnsi="Times New Roman" w:cs="Arial"/>
          <w:noProof/>
          <w:sz w:val="24"/>
          <w:szCs w:val="20"/>
        </w:rPr>
      </w:pPr>
      <w:r>
        <w:br w:type="page"/>
      </w:r>
    </w:p>
    <w:p w:rsidR="00073FEC" w:rsidRDefault="00073FEC" w:rsidP="00565513">
      <w:pPr>
        <w:pStyle w:val="Heading2"/>
        <w:rPr>
          <w:noProof/>
        </w:rPr>
      </w:pPr>
      <w:bookmarkStart w:id="100" w:name="II.3__Changes_in_the_due_for_payment_dat"/>
      <w:bookmarkStart w:id="101" w:name="_bookmark14"/>
      <w:bookmarkStart w:id="102" w:name="_Toc471135878"/>
      <w:bookmarkEnd w:id="100"/>
      <w:bookmarkEnd w:id="101"/>
      <w:r>
        <w:rPr>
          <w:noProof/>
        </w:rPr>
        <w:lastRenderedPageBreak/>
        <w:t>II.3. Maksājuma termiņa maiņa</w:t>
      </w:r>
      <w:bookmarkEnd w:id="102"/>
    </w:p>
    <w:p w:rsidR="00073FEC" w:rsidRPr="001973D0" w:rsidRDefault="00073FEC" w:rsidP="00073FEC">
      <w:pPr>
        <w:pStyle w:val="Heading2"/>
        <w:tabs>
          <w:tab w:val="left" w:pos="1612"/>
        </w:tabs>
        <w:jc w:val="both"/>
        <w:rPr>
          <w:noProof/>
          <w:sz w:val="24"/>
        </w:rPr>
      </w:pPr>
    </w:p>
    <w:p w:rsidR="00073FEC" w:rsidRDefault="00073FEC" w:rsidP="00073FEC">
      <w:pPr>
        <w:pStyle w:val="Heading4"/>
        <w:tabs>
          <w:tab w:val="left" w:pos="1622"/>
        </w:tabs>
        <w:ind w:left="0" w:firstLine="0"/>
        <w:jc w:val="both"/>
        <w:rPr>
          <w:rFonts w:ascii="Times New Roman" w:hAnsi="Times New Roman"/>
          <w:noProof/>
          <w:u w:val="thick" w:color="000000"/>
        </w:rPr>
      </w:pPr>
      <w:bookmarkStart w:id="103" w:name="II.3.1_Background"/>
      <w:bookmarkEnd w:id="103"/>
      <w:r>
        <w:rPr>
          <w:rFonts w:ascii="Times New Roman" w:hAnsi="Times New Roman"/>
          <w:noProof/>
          <w:u w:val="none"/>
        </w:rPr>
        <w:t>II.3.1. </w:t>
      </w:r>
      <w:r>
        <w:rPr>
          <w:rFonts w:ascii="Times New Roman" w:hAnsi="Times New Roman"/>
          <w:noProof/>
          <w:u w:val="thick" w:color="000000"/>
        </w:rPr>
        <w:t>Vispārēja informācija</w:t>
      </w:r>
    </w:p>
    <w:p w:rsidR="00073FEC" w:rsidRPr="001973D0" w:rsidRDefault="00073FEC" w:rsidP="00073FEC">
      <w:pPr>
        <w:pStyle w:val="Heading4"/>
        <w:tabs>
          <w:tab w:val="left" w:pos="1622"/>
        </w:tabs>
        <w:ind w:left="0" w:firstLine="0"/>
        <w:jc w:val="both"/>
        <w:rPr>
          <w:rFonts w:ascii="Times New Roman" w:hAnsi="Times New Roman"/>
          <w:noProof/>
          <w:u w:val="thick" w:color="000000"/>
        </w:rPr>
      </w:pPr>
    </w:p>
    <w:p w:rsidR="00073FEC" w:rsidRPr="001973D0" w:rsidRDefault="00073FEC" w:rsidP="00073FEC">
      <w:pPr>
        <w:pStyle w:val="BodyText"/>
        <w:numPr>
          <w:ilvl w:val="0"/>
          <w:numId w:val="11"/>
        </w:numPr>
        <w:tabs>
          <w:tab w:val="left" w:pos="1262"/>
        </w:tabs>
        <w:spacing w:before="0"/>
        <w:ind w:left="709" w:hanging="709"/>
        <w:jc w:val="both"/>
        <w:rPr>
          <w:rFonts w:ascii="Times New Roman" w:hAnsi="Times New Roman"/>
          <w:noProof/>
          <w:sz w:val="24"/>
        </w:rPr>
      </w:pPr>
      <w:r>
        <w:rPr>
          <w:rFonts w:ascii="Times New Roman" w:hAnsi="Times New Roman"/>
          <w:noProof/>
          <w:sz w:val="24"/>
        </w:rPr>
        <w:t>Dažkārt valdības maina nodokļu, subsīdiju, darbinieku atalgojuma, sociālo iemaksu un pabalstu maksājuma datumu, kas parasti ir pēdējais brīdis, kad vienības, kuras uzņēmušas saistības, var veikt maksājumus bez papildu maksas vai soda.</w:t>
      </w:r>
    </w:p>
    <w:p w:rsidR="00073FEC" w:rsidRDefault="003F673B" w:rsidP="00073FEC">
      <w:pPr>
        <w:pStyle w:val="BodyText"/>
        <w:numPr>
          <w:ilvl w:val="0"/>
          <w:numId w:val="11"/>
        </w:numPr>
        <w:tabs>
          <w:tab w:val="left" w:pos="1262"/>
        </w:tabs>
        <w:spacing w:before="0"/>
        <w:ind w:left="709" w:hanging="709"/>
        <w:jc w:val="both"/>
        <w:rPr>
          <w:rFonts w:ascii="Times New Roman" w:hAnsi="Times New Roman"/>
          <w:noProof/>
          <w:sz w:val="24"/>
        </w:rPr>
      </w:pPr>
      <w:r>
        <w:rPr>
          <w:rFonts w:ascii="Times New Roman" w:hAnsi="Times New Roman"/>
          <w:noProof/>
          <w:sz w:val="24"/>
        </w:rPr>
        <w:t>Ierakstīšanas</w:t>
      </w:r>
      <w:r w:rsidR="00073FEC">
        <w:rPr>
          <w:rFonts w:ascii="Times New Roman" w:hAnsi="Times New Roman"/>
          <w:noProof/>
          <w:sz w:val="24"/>
        </w:rPr>
        <w:t xml:space="preserve"> laiks dažādiem darījumiem ir noteikts EKS 2010. Atbilstīgi vispārējam principam sistēmā plūsmas ieraksta pēc uzkrāšanas principa, tas ir, kad ekonomiskās vērtības tiek radītas, pārveidotas vai iznīcinātas vai kad saistības un prasības rodas, tiek pārveidotas vai dzēstas (EKS 2010 1.101. punkts).</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1"/>
        </w:numPr>
        <w:tabs>
          <w:tab w:val="left" w:pos="1612"/>
        </w:tabs>
        <w:spacing w:before="0"/>
        <w:ind w:left="1134" w:hanging="425"/>
        <w:jc w:val="both"/>
        <w:rPr>
          <w:rFonts w:ascii="Times New Roman" w:hAnsi="Times New Roman"/>
          <w:noProof/>
          <w:sz w:val="24"/>
          <w:szCs w:val="14"/>
        </w:rPr>
      </w:pPr>
      <w:r>
        <w:rPr>
          <w:rFonts w:ascii="Times New Roman" w:hAnsi="Times New Roman"/>
          <w:noProof/>
          <w:sz w:val="24"/>
        </w:rPr>
        <w:t>Algas un arī darba devēju un darbinieku fakt</w:t>
      </w:r>
      <w:r w:rsidR="003F673B">
        <w:rPr>
          <w:rFonts w:ascii="Times New Roman" w:hAnsi="Times New Roman"/>
          <w:noProof/>
          <w:sz w:val="24"/>
        </w:rPr>
        <w:t>iskās sociālās iemaksas ieraksta</w:t>
      </w:r>
      <w:r>
        <w:rPr>
          <w:rFonts w:ascii="Times New Roman" w:hAnsi="Times New Roman"/>
          <w:noProof/>
          <w:sz w:val="24"/>
        </w:rPr>
        <w:t xml:space="preserve"> periodā, kad tiek veikts darbs. Tomēr īpašas prēmijas un citus ārkārtas maksā</w:t>
      </w:r>
      <w:r w:rsidR="000A706B">
        <w:rPr>
          <w:rFonts w:ascii="Times New Roman" w:hAnsi="Times New Roman"/>
          <w:noProof/>
          <w:sz w:val="24"/>
        </w:rPr>
        <w:t>jumus, 13. mēnesi utt. jāieraksta</w:t>
      </w:r>
      <w:r>
        <w:rPr>
          <w:rFonts w:ascii="Times New Roman" w:hAnsi="Times New Roman"/>
          <w:noProof/>
          <w:sz w:val="24"/>
        </w:rPr>
        <w:t xml:space="preserve"> tad, kad tie ir jāmaksā (EKS 2010 4.26. punkts).</w:t>
      </w:r>
      <w:r>
        <w:rPr>
          <w:rStyle w:val="FootnoteReference"/>
          <w:rFonts w:ascii="Times New Roman" w:hAnsi="Times New Roman"/>
          <w:noProof/>
          <w:sz w:val="24"/>
        </w:rPr>
        <w:footnoteReference w:id="120"/>
      </w:r>
    </w:p>
    <w:p w:rsidR="00073FEC" w:rsidRPr="001973D0" w:rsidRDefault="00073FEC" w:rsidP="00073FEC">
      <w:pPr>
        <w:pStyle w:val="BodyText"/>
        <w:numPr>
          <w:ilvl w:val="1"/>
          <w:numId w:val="11"/>
        </w:numPr>
        <w:tabs>
          <w:tab w:val="left" w:pos="1612"/>
        </w:tabs>
        <w:spacing w:before="0"/>
        <w:ind w:left="1134" w:hanging="425"/>
        <w:jc w:val="both"/>
        <w:rPr>
          <w:rFonts w:ascii="Times New Roman" w:hAnsi="Times New Roman"/>
          <w:noProof/>
          <w:sz w:val="24"/>
        </w:rPr>
      </w:pPr>
      <w:r>
        <w:rPr>
          <w:rFonts w:ascii="Times New Roman" w:hAnsi="Times New Roman"/>
          <w:noProof/>
          <w:sz w:val="24"/>
        </w:rPr>
        <w:t>Ražošan</w:t>
      </w:r>
      <w:r w:rsidR="000A706B">
        <w:rPr>
          <w:rFonts w:ascii="Times New Roman" w:hAnsi="Times New Roman"/>
          <w:noProof/>
          <w:sz w:val="24"/>
        </w:rPr>
        <w:t>as un importa nodokļus ieraksta</w:t>
      </w:r>
      <w:r>
        <w:rPr>
          <w:rFonts w:ascii="Times New Roman" w:hAnsi="Times New Roman"/>
          <w:noProof/>
          <w:sz w:val="24"/>
        </w:rPr>
        <w:t xml:space="preserve"> tad, kad notiek darbības, darījumi vai citi notikumi, kuri rada nodokļu maksāšanas saistības (EKS 2010 4.26. punkts).</w:t>
      </w:r>
    </w:p>
    <w:p w:rsidR="00073FEC" w:rsidRPr="001973D0" w:rsidRDefault="000A706B" w:rsidP="00073FEC">
      <w:pPr>
        <w:pStyle w:val="BodyText"/>
        <w:numPr>
          <w:ilvl w:val="1"/>
          <w:numId w:val="11"/>
        </w:numPr>
        <w:tabs>
          <w:tab w:val="left" w:pos="1612"/>
        </w:tabs>
        <w:spacing w:before="0"/>
        <w:ind w:left="1134" w:hanging="425"/>
        <w:jc w:val="both"/>
        <w:rPr>
          <w:rFonts w:ascii="Times New Roman" w:hAnsi="Times New Roman"/>
          <w:noProof/>
          <w:sz w:val="24"/>
        </w:rPr>
      </w:pPr>
      <w:r>
        <w:rPr>
          <w:rFonts w:ascii="Times New Roman" w:hAnsi="Times New Roman"/>
          <w:noProof/>
          <w:sz w:val="24"/>
        </w:rPr>
        <w:t>Subsīdijas ieraksta</w:t>
      </w:r>
      <w:r w:rsidR="00073FEC">
        <w:rPr>
          <w:rFonts w:ascii="Times New Roman" w:hAnsi="Times New Roman"/>
          <w:noProof/>
          <w:sz w:val="24"/>
        </w:rPr>
        <w:t xml:space="preserve"> tad, kad notiek darījums vai notikums (ražošana, pārdošana, imports u. tml.), kas rada pamatu subsīdijai (EKS 4.39. punkts).</w:t>
      </w:r>
    </w:p>
    <w:p w:rsidR="00073FEC" w:rsidRPr="001973D0" w:rsidRDefault="00073FEC" w:rsidP="00073FEC">
      <w:pPr>
        <w:pStyle w:val="BodyText"/>
        <w:numPr>
          <w:ilvl w:val="1"/>
          <w:numId w:val="11"/>
        </w:numPr>
        <w:tabs>
          <w:tab w:val="left" w:pos="1612"/>
        </w:tabs>
        <w:spacing w:before="0"/>
        <w:ind w:left="1134" w:hanging="425"/>
        <w:jc w:val="both"/>
        <w:rPr>
          <w:rFonts w:ascii="Times New Roman" w:hAnsi="Times New Roman"/>
          <w:noProof/>
          <w:sz w:val="24"/>
        </w:rPr>
      </w:pPr>
      <w:r>
        <w:rPr>
          <w:rFonts w:ascii="Times New Roman" w:hAnsi="Times New Roman"/>
          <w:noProof/>
          <w:sz w:val="24"/>
        </w:rPr>
        <w:t>Ienākuma, mantas u. tml. kārtējos nodokļus ieraksta tad, kad notiek darbības, darījumi vai citi notikumi, kas rada saistības veikt maksājumu (EKS 2010 4.82. punkts).</w:t>
      </w:r>
    </w:p>
    <w:p w:rsidR="00073FEC" w:rsidRPr="001973D0" w:rsidRDefault="00073FEC" w:rsidP="00073FEC">
      <w:pPr>
        <w:pStyle w:val="BodyText"/>
        <w:numPr>
          <w:ilvl w:val="1"/>
          <w:numId w:val="11"/>
        </w:numPr>
        <w:tabs>
          <w:tab w:val="left" w:pos="1612"/>
        </w:tabs>
        <w:spacing w:before="0"/>
        <w:ind w:left="1134" w:hanging="425"/>
        <w:jc w:val="both"/>
        <w:rPr>
          <w:rFonts w:ascii="Times New Roman" w:hAnsi="Times New Roman"/>
          <w:noProof/>
          <w:sz w:val="24"/>
        </w:rPr>
      </w:pPr>
      <w:r>
        <w:rPr>
          <w:rFonts w:ascii="Times New Roman" w:hAnsi="Times New Roman"/>
          <w:noProof/>
          <w:sz w:val="24"/>
        </w:rPr>
        <w:t>Dažos gadījumos saistības maksāt ienākuma nodokļus var noteikt tikai vēlākā grāmatvedības pārskata periodā, nevis tajā periodā, kurā uzkrājas minētais ienākums. Tāpēc attiecībā uz laiku, kad</w:t>
      </w:r>
      <w:r w:rsidR="000A706B">
        <w:rPr>
          <w:rFonts w:ascii="Times New Roman" w:hAnsi="Times New Roman"/>
          <w:noProof/>
          <w:sz w:val="24"/>
        </w:rPr>
        <w:t xml:space="preserve"> ieraksta</w:t>
      </w:r>
      <w:r>
        <w:rPr>
          <w:rFonts w:ascii="Times New Roman" w:hAnsi="Times New Roman"/>
          <w:noProof/>
          <w:sz w:val="24"/>
        </w:rPr>
        <w:t xml:space="preserve"> šādus nodokļus, ir jāpiemēro noteikta elastība. Ienākuma nodokļus, ko atskaita sākumpunktā, piemēram, “maksā, kad nopelni” nodokļus (</w:t>
      </w:r>
      <w:r>
        <w:rPr>
          <w:rFonts w:ascii="Times New Roman" w:hAnsi="Times New Roman"/>
          <w:i/>
          <w:noProof/>
          <w:sz w:val="24"/>
        </w:rPr>
        <w:t>PAYE</w:t>
      </w:r>
      <w:r>
        <w:rPr>
          <w:rFonts w:ascii="Times New Roman" w:hAnsi="Times New Roman"/>
          <w:noProof/>
          <w:sz w:val="24"/>
        </w:rPr>
        <w:t xml:space="preserve"> nodokļus) un regulārus ienākuma nodokļa</w:t>
      </w:r>
      <w:r w:rsidR="000A706B">
        <w:rPr>
          <w:rFonts w:ascii="Times New Roman" w:hAnsi="Times New Roman"/>
          <w:noProof/>
          <w:sz w:val="24"/>
        </w:rPr>
        <w:t xml:space="preserve"> priekšmaksājumus, var ierakstīt</w:t>
      </w:r>
      <w:r>
        <w:rPr>
          <w:rFonts w:ascii="Times New Roman" w:hAnsi="Times New Roman"/>
          <w:noProof/>
          <w:sz w:val="24"/>
        </w:rPr>
        <w:t xml:space="preserve"> laika posmos, kad tos maksā, un jebkuras galīgās ienākuma</w:t>
      </w:r>
      <w:r w:rsidR="000A706B">
        <w:rPr>
          <w:rFonts w:ascii="Times New Roman" w:hAnsi="Times New Roman"/>
          <w:noProof/>
          <w:sz w:val="24"/>
        </w:rPr>
        <w:t xml:space="preserve"> nodokļa saistības var ierakstīt</w:t>
      </w:r>
      <w:r>
        <w:rPr>
          <w:rFonts w:ascii="Times New Roman" w:hAnsi="Times New Roman"/>
          <w:noProof/>
          <w:sz w:val="24"/>
        </w:rPr>
        <w:t xml:space="preserve"> laika posmā, kad saistības konstatē (EKS 2010 4.82. punkts).</w:t>
      </w:r>
    </w:p>
    <w:p w:rsidR="00073FEC" w:rsidRPr="001973D0" w:rsidRDefault="00073FEC" w:rsidP="00073FEC">
      <w:pPr>
        <w:pStyle w:val="BodyText"/>
        <w:numPr>
          <w:ilvl w:val="1"/>
          <w:numId w:val="11"/>
        </w:numPr>
        <w:tabs>
          <w:tab w:val="left" w:pos="1612"/>
        </w:tabs>
        <w:spacing w:before="0"/>
        <w:ind w:left="1134" w:hanging="425"/>
        <w:jc w:val="both"/>
        <w:rPr>
          <w:rFonts w:ascii="Times New Roman" w:hAnsi="Times New Roman"/>
          <w:noProof/>
          <w:sz w:val="24"/>
        </w:rPr>
      </w:pPr>
      <w:r>
        <w:rPr>
          <w:rFonts w:ascii="Times New Roman" w:hAnsi="Times New Roman"/>
          <w:noProof/>
          <w:sz w:val="24"/>
        </w:rPr>
        <w:t>Sociālos pabalstus skaidrā naudā ieraksta tad, kad tiek izveidotas prasības saņemt pabalstu (EKS 2010 4.106.punkts).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622"/>
        </w:tabs>
        <w:ind w:left="0" w:firstLine="0"/>
        <w:jc w:val="both"/>
        <w:rPr>
          <w:rFonts w:ascii="Times New Roman" w:hAnsi="Times New Roman"/>
          <w:noProof/>
          <w:u w:val="thick" w:color="000000"/>
        </w:rPr>
      </w:pPr>
      <w:bookmarkStart w:id="104" w:name="II.3.2_Treatment_in_national_accounts"/>
      <w:bookmarkEnd w:id="104"/>
      <w:r>
        <w:rPr>
          <w:rFonts w:ascii="Times New Roman" w:hAnsi="Times New Roman"/>
          <w:noProof/>
          <w:u w:val="none"/>
        </w:rPr>
        <w:t>II.3.2. </w:t>
      </w:r>
      <w:r>
        <w:rPr>
          <w:rFonts w:ascii="Times New Roman" w:hAnsi="Times New Roman"/>
          <w:noProof/>
          <w:u w:val="thick" w:color="000000"/>
        </w:rPr>
        <w:t>Traktējums nacionālajos kontos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36"/>
        </w:tabs>
        <w:jc w:val="both"/>
        <w:rPr>
          <w:rFonts w:ascii="Times New Roman" w:hAnsi="Times New Roman"/>
          <w:noProof/>
          <w:sz w:val="24"/>
        </w:rPr>
      </w:pPr>
      <w:bookmarkStart w:id="105" w:name="II.3.2.1_For_most_distributive_transacti"/>
      <w:bookmarkEnd w:id="105"/>
      <w:r>
        <w:rPr>
          <w:rFonts w:ascii="Times New Roman" w:hAnsi="Times New Roman"/>
          <w:noProof/>
          <w:sz w:val="24"/>
        </w:rPr>
        <w:t>II.3.2.1. Biežākajiem sadales darījumiem</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A706B" w:rsidP="00073FEC">
      <w:pPr>
        <w:pStyle w:val="BodyText"/>
        <w:numPr>
          <w:ilvl w:val="0"/>
          <w:numId w:val="11"/>
        </w:numPr>
        <w:tabs>
          <w:tab w:val="left" w:pos="1262"/>
        </w:tabs>
        <w:spacing w:before="0"/>
        <w:ind w:left="709" w:hanging="709"/>
        <w:jc w:val="both"/>
        <w:rPr>
          <w:rFonts w:ascii="Times New Roman" w:hAnsi="Times New Roman"/>
          <w:noProof/>
          <w:sz w:val="24"/>
        </w:rPr>
      </w:pPr>
      <w:r>
        <w:rPr>
          <w:rFonts w:ascii="Times New Roman" w:hAnsi="Times New Roman"/>
          <w:noProof/>
          <w:sz w:val="24"/>
        </w:rPr>
        <w:t>Ierakstīšanas</w:t>
      </w:r>
      <w:r w:rsidR="00073FEC">
        <w:rPr>
          <w:rFonts w:ascii="Times New Roman" w:hAnsi="Times New Roman"/>
          <w:noProof/>
          <w:sz w:val="24"/>
        </w:rPr>
        <w:t xml:space="preserve"> laiks attiecas uz “uzkrāšanas p</w:t>
      </w:r>
      <w:r>
        <w:rPr>
          <w:rFonts w:ascii="Times New Roman" w:hAnsi="Times New Roman"/>
          <w:noProof/>
          <w:sz w:val="24"/>
        </w:rPr>
        <w:t>rincipu”: summās, kas jāieraksta</w:t>
      </w:r>
      <w:r w:rsidR="00073FEC">
        <w:rPr>
          <w:rFonts w:ascii="Times New Roman" w:hAnsi="Times New Roman"/>
          <w:noProof/>
          <w:sz w:val="24"/>
        </w:rPr>
        <w:t xml:space="preserve"> </w:t>
      </w:r>
      <w:r w:rsidR="00073FEC">
        <w:rPr>
          <w:rFonts w:ascii="Times New Roman" w:hAnsi="Times New Roman"/>
          <w:i/>
          <w:noProof/>
          <w:sz w:val="24"/>
        </w:rPr>
        <w:t>n</w:t>
      </w:r>
      <w:r w:rsidR="00073FEC">
        <w:rPr>
          <w:rFonts w:ascii="Times New Roman" w:hAnsi="Times New Roman"/>
          <w:noProof/>
          <w:sz w:val="24"/>
        </w:rPr>
        <w:t xml:space="preserve"> gadā, jāiekļauj summas, kas jāmaksā saistībā ar darījumiem, kuri veikti no </w:t>
      </w:r>
      <w:r w:rsidR="00073FEC">
        <w:rPr>
          <w:rFonts w:ascii="Times New Roman" w:hAnsi="Times New Roman"/>
          <w:i/>
          <w:noProof/>
          <w:sz w:val="24"/>
        </w:rPr>
        <w:t>n</w:t>
      </w:r>
      <w:r w:rsidR="00073FEC">
        <w:rPr>
          <w:rFonts w:ascii="Times New Roman" w:hAnsi="Times New Roman"/>
          <w:noProof/>
          <w:sz w:val="24"/>
        </w:rPr>
        <w:t xml:space="preserve"> gada 1. janvāra līdz </w:t>
      </w:r>
      <w:r w:rsidR="00073FEC">
        <w:rPr>
          <w:rFonts w:ascii="Times New Roman" w:hAnsi="Times New Roman"/>
          <w:i/>
          <w:noProof/>
          <w:sz w:val="24"/>
        </w:rPr>
        <w:t>n</w:t>
      </w:r>
      <w:r w:rsidR="00073FEC">
        <w:rPr>
          <w:rFonts w:ascii="Times New Roman" w:hAnsi="Times New Roman"/>
          <w:noProof/>
          <w:sz w:val="24"/>
        </w:rPr>
        <w:t> gada 31. decembrim, t. i., summas attiecībā uz darījumiem, kuri veikti konkrētā gada 12 mēnešu laikā.</w:t>
      </w:r>
    </w:p>
    <w:p w:rsidR="00073FEC" w:rsidRPr="00055078" w:rsidRDefault="00073FEC" w:rsidP="00073FEC">
      <w:pPr>
        <w:pStyle w:val="BodyText"/>
        <w:numPr>
          <w:ilvl w:val="0"/>
          <w:numId w:val="11"/>
        </w:numPr>
        <w:tabs>
          <w:tab w:val="left" w:pos="1262"/>
        </w:tabs>
        <w:spacing w:before="0"/>
        <w:ind w:left="709" w:hanging="709"/>
        <w:jc w:val="both"/>
        <w:rPr>
          <w:rFonts w:ascii="Times New Roman" w:hAnsi="Times New Roman"/>
          <w:noProof/>
          <w:sz w:val="24"/>
        </w:rPr>
      </w:pPr>
      <w:r>
        <w:rPr>
          <w:rFonts w:ascii="Times New Roman" w:hAnsi="Times New Roman"/>
          <w:noProof/>
          <w:sz w:val="24"/>
        </w:rPr>
        <w:t>Piemēram, tiek saīsināts termiņš PVN maksājumiem, ko valsts noteikusi uzņēmumiem: minēto termiņu saīsina, piemēram, no 2 mēnešiem uz 1 mēnesi. Līdz ar to PVN maksājuma termiņš tiek pavirzīts uz priekšu par vienu mēnesi. Tādā gadījumā, pamatojoties uz naudas plūsmas principu</w:t>
      </w:r>
      <w:r w:rsidR="000A706B">
        <w:rPr>
          <w:rFonts w:ascii="Times New Roman" w:hAnsi="Times New Roman"/>
          <w:noProof/>
          <w:sz w:val="24"/>
        </w:rPr>
        <w:t>, valsts budžetā tiks ierakstīti</w:t>
      </w:r>
      <w:r>
        <w:rPr>
          <w:rFonts w:ascii="Times New Roman" w:hAnsi="Times New Roman"/>
          <w:noProof/>
          <w:sz w:val="24"/>
        </w:rPr>
        <w:t xml:space="preserve"> trīspadsmit (13) PVN saņemšanas mēneši tajā gadā, kad piemēro minēto maksājuma termiņa saīsinājumu.</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Tomēr PVN summā, kas</w:t>
      </w:r>
      <w:r w:rsidR="000A706B">
        <w:rPr>
          <w:rFonts w:ascii="Times New Roman" w:hAnsi="Times New Roman"/>
          <w:noProof/>
          <w:sz w:val="24"/>
        </w:rPr>
        <w:t xml:space="preserve"> nacionālajos kontos ierakstīta</w:t>
      </w:r>
      <w:r>
        <w:rPr>
          <w:rFonts w:ascii="Times New Roman" w:hAnsi="Times New Roman"/>
          <w:noProof/>
          <w:sz w:val="24"/>
        </w:rPr>
        <w:t xml:space="preserve"> kā ieņēmumi, nedrīkst iekļaut </w:t>
      </w:r>
      <w:r>
        <w:rPr>
          <w:rFonts w:ascii="Times New Roman" w:hAnsi="Times New Roman"/>
          <w:noProof/>
          <w:sz w:val="24"/>
        </w:rPr>
        <w:lastRenderedPageBreak/>
        <w:t>papildu naudas ieņēmumus, kas saņemti par trīspadsmito mēnesi, un tai joprojām jābūt balstītai uz divpadsmit mēnešus ilgu gadu. Šādā gadījumā tiek skarti vienīgi finanšu konti (nauda (F.2) un citi debitoru parādi (F.8)).</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Lai gan maksājuma termiņa maiņa ietekmē naudas summas publiskajos kontos, tā nav jāņem vērā, ap</w:t>
      </w:r>
      <w:r w:rsidR="000A706B">
        <w:rPr>
          <w:rFonts w:ascii="Times New Roman" w:hAnsi="Times New Roman"/>
          <w:noProof/>
          <w:sz w:val="24"/>
        </w:rPr>
        <w:t>rēķinot nodokļus, kas ierakstīti</w:t>
      </w:r>
      <w:r>
        <w:rPr>
          <w:rFonts w:ascii="Times New Roman" w:hAnsi="Times New Roman"/>
          <w:noProof/>
          <w:sz w:val="24"/>
        </w:rPr>
        <w:t xml:space="preserve"> nacionālajos kontos atbilstīgi uzkrāšanas principam.</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Iepriekš jau tika norādīts, ka nodokļi un sociāl</w:t>
      </w:r>
      <w:r w:rsidR="000A706B">
        <w:rPr>
          <w:rFonts w:ascii="Times New Roman" w:hAnsi="Times New Roman"/>
          <w:noProof/>
          <w:sz w:val="24"/>
        </w:rPr>
        <w:t>ās iemaksas, kas ierakstītas</w:t>
      </w:r>
      <w:r>
        <w:rPr>
          <w:rFonts w:ascii="Times New Roman" w:hAnsi="Times New Roman"/>
          <w:noProof/>
          <w:sz w:val="24"/>
        </w:rPr>
        <w:t xml:space="preserve"> kā valdības ieņēmumi, var būt iegūti no diviem avotiem: kases ieņēmumiem vai summām, ko apliecina nodokļu aprēķini un deklarācijas. Ja izmanto kases ieņēmumus, to laiks jāprecizē tā, lai nauda tiktu sadalīta brīdī, kad notiek darbība, kas rada nodokļa saistības (izņemot dažus ienākuma nodokļu gadījumus). Šo precizējumu var veikt, pamatojoties uz vidējo laika posmu starp darbību un nodokļu naudas ieņēmumiem. Tāpēc iepriekš minētajā piemērā gūtie kases ieņēmumi tiktu koriģēti, lai ņemtu vērā PVN maksājuma termiņa saīsinājumu, un trīspadsmitajā mēnesī gūtie papildu ieņēmumi tiktu neitralizēti.</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Tādējādi attiecībā uz lielāko sadales darījumu daļu maksājuma termiņa maiņa neietekmē valdības neto aizdevumu/aizņēmumu (B.9), kas aprēķināts, pamatojoties uz uzkrāšanas principu saskaņā ar EKS 2010 noteikumiem.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06" w:name="II.3.2.2_Exceptions"/>
      <w:bookmarkEnd w:id="106"/>
      <w:r>
        <w:rPr>
          <w:rFonts w:ascii="Times New Roman" w:hAnsi="Times New Roman"/>
          <w:noProof/>
          <w:sz w:val="24"/>
        </w:rPr>
        <w:t>II.3.2.2. Izņēmumi</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Dažu sadales darījumu gadījumā ir pieļaujami izņēmumi no šī vispārējā principa, piemēram, attiecībā uz vienreizējām prēmijām vai citiem ārkārtas maksājumiem, 13. mēnesi utt., ko darba devējs izmaksā saviem darbiniekiem, un noteiktiem ienākuma nodokļiem, pašnodarbināto un nenodarbināto personu sociālām iemaksām, kurām maksājumu saistības var noteikt tikai vēlākā pārskata periodā. Tāpēc maksājuma termiņa maiņa (piemēram, pirmstermiņa maksājumi) attiecībā uz šādiem darījumu veidiem var ietekmēt valdības neto aizdevumu/aizņēmumu (B.9).</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Piemēram, gadā (</w:t>
      </w:r>
      <w:r>
        <w:rPr>
          <w:rFonts w:ascii="Times New Roman" w:hAnsi="Times New Roman"/>
          <w:i/>
          <w:noProof/>
          <w:sz w:val="24"/>
        </w:rPr>
        <w:t>n+1</w:t>
      </w:r>
      <w:r>
        <w:rPr>
          <w:rFonts w:ascii="Times New Roman" w:hAnsi="Times New Roman"/>
          <w:noProof/>
          <w:sz w:val="24"/>
        </w:rPr>
        <w:t>), kas seko ienākuma atsauces gadam (</w:t>
      </w:r>
      <w:r>
        <w:rPr>
          <w:rFonts w:ascii="Times New Roman" w:hAnsi="Times New Roman"/>
          <w:i/>
          <w:noProof/>
          <w:sz w:val="24"/>
        </w:rPr>
        <w:t>n</w:t>
      </w:r>
      <w:r>
        <w:rPr>
          <w:rFonts w:ascii="Times New Roman" w:hAnsi="Times New Roman"/>
          <w:noProof/>
          <w:sz w:val="24"/>
        </w:rPr>
        <w:t xml:space="preserve">), sabiedrības maksā ienākuma nodokli vairākos maksājumos. Tiek pieņemts, ka pirmais maksājums tām jāveic avansā </w:t>
      </w:r>
      <w:r>
        <w:rPr>
          <w:rFonts w:ascii="Times New Roman" w:hAnsi="Times New Roman"/>
          <w:i/>
          <w:noProof/>
          <w:sz w:val="24"/>
        </w:rPr>
        <w:t>n</w:t>
      </w:r>
      <w:r>
        <w:rPr>
          <w:rFonts w:ascii="Times New Roman" w:hAnsi="Times New Roman"/>
          <w:noProof/>
          <w:sz w:val="24"/>
        </w:rPr>
        <w:t xml:space="preserve"> </w:t>
      </w:r>
      <w:r w:rsidR="000A706B">
        <w:rPr>
          <w:rFonts w:ascii="Times New Roman" w:hAnsi="Times New Roman"/>
          <w:noProof/>
          <w:sz w:val="24"/>
        </w:rPr>
        <w:t>gada beigās. Kad būtu jāieraksta</w:t>
      </w:r>
      <w:r>
        <w:rPr>
          <w:rFonts w:ascii="Times New Roman" w:hAnsi="Times New Roman"/>
          <w:noProof/>
          <w:sz w:val="24"/>
        </w:rPr>
        <w:t xml:space="preserve"> šis pirmstermiņa maksājums? </w:t>
      </w:r>
      <w:r>
        <w:rPr>
          <w:rFonts w:ascii="Times New Roman" w:hAnsi="Times New Roman"/>
          <w:i/>
          <w:noProof/>
          <w:sz w:val="24"/>
        </w:rPr>
        <w:t>n</w:t>
      </w:r>
      <w:r>
        <w:rPr>
          <w:rFonts w:ascii="Times New Roman" w:hAnsi="Times New Roman"/>
          <w:noProof/>
          <w:sz w:val="24"/>
        </w:rPr>
        <w:t xml:space="preserve"> gadā vai </w:t>
      </w:r>
      <w:r>
        <w:rPr>
          <w:rFonts w:ascii="Times New Roman" w:hAnsi="Times New Roman"/>
          <w:i/>
          <w:noProof/>
          <w:sz w:val="24"/>
        </w:rPr>
        <w:t>n+1</w:t>
      </w:r>
      <w:r>
        <w:rPr>
          <w:rFonts w:ascii="Times New Roman" w:hAnsi="Times New Roman"/>
          <w:noProof/>
          <w:sz w:val="24"/>
        </w:rPr>
        <w:t xml:space="preserve"> gadā? Precīzāk, kādos apstākļos būtu uzskatāms, ka maksājuma termiņš ir mainīts?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07" w:name="II.3.2.3_Rule_concerning_the_change_in_t"/>
      <w:bookmarkEnd w:id="107"/>
      <w:r>
        <w:rPr>
          <w:rFonts w:ascii="Times New Roman" w:hAnsi="Times New Roman"/>
          <w:noProof/>
          <w:sz w:val="24"/>
        </w:rPr>
        <w:t>II.3.2.3. Princips, ko piemēro attiecībā uz maksājuma termiņa maiņu</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Visas izmaiņas maksājuma termiņā, kuras skar valdības iekasētās summas un veiktas, pamatojoties uz tiesību aktiem vai vienkāršu administratīvu lēmumu, un tiks piemērotas pastāvīgi, proti, izmaiņas, kas nav vienreizējas izmaiņas, ietekmē nefinanšu kont</w:t>
      </w:r>
      <w:r w:rsidR="000A706B">
        <w:rPr>
          <w:rFonts w:ascii="Times New Roman" w:hAnsi="Times New Roman"/>
          <w:noProof/>
          <w:sz w:val="24"/>
        </w:rPr>
        <w:t>os ierakstītās</w:t>
      </w:r>
      <w:r>
        <w:rPr>
          <w:rFonts w:ascii="Times New Roman" w:hAnsi="Times New Roman"/>
          <w:noProof/>
          <w:sz w:val="24"/>
        </w:rPr>
        <w:t xml:space="preserve"> summas un līdz ar to arī vispārējās valdības neto aizdevumu/aizņēmumu (B.9).</w:t>
      </w:r>
    </w:p>
    <w:p w:rsidR="00073FEC" w:rsidRPr="001973D0" w:rsidRDefault="00073FEC" w:rsidP="00073FEC">
      <w:pPr>
        <w:pStyle w:val="BodyText"/>
        <w:numPr>
          <w:ilvl w:val="0"/>
          <w:numId w:val="11"/>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Turpretī gadījumā, ja paredzēts, ka tiesību aktos vai vienkāršā administratīvā lēmumā noteiktas maksājumu termiņa izmaiņas netiks piemērotas pastāvīgi (ir apliecinājums, ka tās tiks piemērotas tikai vienu reizi), un šīs izmaiņas ietekmē valdības saņemtās naudas summas, tās </w:t>
      </w:r>
      <w:r w:rsidR="000A706B">
        <w:rPr>
          <w:rFonts w:ascii="Times New Roman" w:hAnsi="Times New Roman"/>
          <w:noProof/>
          <w:sz w:val="24"/>
        </w:rPr>
        <w:t>nav jāņem vērā, kad ierakstīšana</w:t>
      </w:r>
      <w:r>
        <w:rPr>
          <w:rFonts w:ascii="Times New Roman" w:hAnsi="Times New Roman"/>
          <w:noProof/>
          <w:sz w:val="24"/>
        </w:rPr>
        <w:t xml:space="preserve"> tiek veikta atbilstīgi uzkrāšanas principam. Līdz ar to ietekme attiecībā uz vispārējās valdības neto aizdevumu/neto aizņēmumu (B.9) nepastāv.</w:t>
      </w:r>
    </w:p>
    <w:p w:rsidR="00565513" w:rsidRDefault="00565513">
      <w:pPr>
        <w:widowControl/>
        <w:spacing w:after="160" w:line="259" w:lineRule="auto"/>
        <w:rPr>
          <w:rFonts w:ascii="Times New Roman" w:eastAsia="Arial" w:hAnsi="Times New Roman" w:cs="Arial"/>
          <w:noProof/>
          <w:sz w:val="24"/>
          <w:szCs w:val="15"/>
        </w:rPr>
      </w:pPr>
      <w:r>
        <w:rPr>
          <w:rFonts w:ascii="Times New Roman" w:eastAsia="Arial" w:hAnsi="Times New Roman" w:cs="Arial"/>
          <w:noProof/>
          <w:sz w:val="24"/>
          <w:szCs w:val="15"/>
        </w:rPr>
        <w:br w:type="page"/>
      </w:r>
    </w:p>
    <w:p w:rsidR="00073FEC" w:rsidRDefault="00073FEC" w:rsidP="00565513">
      <w:pPr>
        <w:pStyle w:val="Heading2"/>
        <w:rPr>
          <w:noProof/>
        </w:rPr>
      </w:pPr>
      <w:bookmarkStart w:id="108" w:name="II.4_Recording_of_interest"/>
      <w:bookmarkStart w:id="109" w:name="_bookmark15"/>
      <w:bookmarkStart w:id="110" w:name="_Toc471135879"/>
      <w:bookmarkEnd w:id="108"/>
      <w:bookmarkEnd w:id="109"/>
      <w:r>
        <w:rPr>
          <w:noProof/>
        </w:rPr>
        <w:lastRenderedPageBreak/>
        <w:t xml:space="preserve">II.4. Procentu </w:t>
      </w:r>
      <w:bookmarkEnd w:id="110"/>
      <w:r w:rsidR="001B0687">
        <w:t>ierakstīšana</w:t>
      </w:r>
    </w:p>
    <w:p w:rsidR="00073FEC" w:rsidRPr="001973D0" w:rsidRDefault="00073FEC" w:rsidP="00073FEC">
      <w:pPr>
        <w:pStyle w:val="Heading2"/>
        <w:tabs>
          <w:tab w:val="left" w:pos="1612"/>
        </w:tabs>
        <w:jc w:val="both"/>
        <w:rPr>
          <w:noProof/>
          <w:sz w:val="24"/>
        </w:rPr>
      </w:pPr>
    </w:p>
    <w:p w:rsidR="00073FEC" w:rsidRDefault="00073FEC" w:rsidP="00073FEC">
      <w:pPr>
        <w:pStyle w:val="Heading4"/>
        <w:tabs>
          <w:tab w:val="left" w:pos="1612"/>
        </w:tabs>
        <w:ind w:left="0" w:firstLine="0"/>
        <w:jc w:val="both"/>
        <w:rPr>
          <w:rFonts w:ascii="Times New Roman" w:hAnsi="Times New Roman"/>
          <w:noProof/>
          <w:u w:val="thick" w:color="000000"/>
        </w:rPr>
      </w:pPr>
      <w:bookmarkStart w:id="111" w:name="II.4.1_Background"/>
      <w:bookmarkEnd w:id="111"/>
      <w:r>
        <w:rPr>
          <w:rFonts w:ascii="Times New Roman" w:hAnsi="Times New Roman"/>
          <w:noProof/>
          <w:u w:val="none"/>
        </w:rPr>
        <w:t>II.4.1. </w:t>
      </w:r>
      <w:r>
        <w:rPr>
          <w:rFonts w:ascii="Times New Roman" w:hAnsi="Times New Roman"/>
          <w:noProof/>
          <w:u w:val="thick" w:color="000000"/>
        </w:rPr>
        <w:t>Vispārēja informācija</w:t>
      </w:r>
    </w:p>
    <w:p w:rsidR="00073FEC" w:rsidRPr="001973D0" w:rsidRDefault="00073FEC" w:rsidP="00073FEC">
      <w:pPr>
        <w:pStyle w:val="Heading4"/>
        <w:tabs>
          <w:tab w:val="left" w:pos="1612"/>
        </w:tabs>
        <w:ind w:left="0" w:firstLine="0"/>
        <w:jc w:val="both"/>
        <w:rPr>
          <w:rFonts w:ascii="Times New Roman" w:hAnsi="Times New Roman"/>
          <w:noProof/>
          <w:u w:val="thick" w:color="000000"/>
        </w:rPr>
      </w:pPr>
    </w:p>
    <w:p w:rsidR="00073FEC" w:rsidRPr="001973D0" w:rsidRDefault="001B0687"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Procentu ierakstīšana</w:t>
      </w:r>
      <w:r w:rsidR="00073FEC">
        <w:rPr>
          <w:rFonts w:ascii="Times New Roman" w:hAnsi="Times New Roman"/>
          <w:noProof/>
          <w:sz w:val="24"/>
        </w:rPr>
        <w:t>, pamatojoties uz uzkrāšanas principu, ir vispārējs princips, ko piemēro nacionālajos kontos un kas tika ieviests starptautiskajos statistikas standartos 20. gadsimta 90. gados.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22"/>
        </w:tabs>
        <w:ind w:left="0" w:firstLine="0"/>
        <w:jc w:val="both"/>
        <w:rPr>
          <w:rFonts w:ascii="Times New Roman" w:hAnsi="Times New Roman"/>
          <w:noProof/>
          <w:u w:val="thick" w:color="000000"/>
        </w:rPr>
      </w:pPr>
      <w:bookmarkStart w:id="112" w:name="II.4.2_Treatment_in_national_accounts"/>
      <w:bookmarkEnd w:id="112"/>
      <w:r>
        <w:rPr>
          <w:rFonts w:ascii="Times New Roman" w:hAnsi="Times New Roman"/>
          <w:noProof/>
          <w:u w:val="none"/>
        </w:rPr>
        <w:t>II.4.2. </w:t>
      </w:r>
      <w:r>
        <w:rPr>
          <w:rFonts w:ascii="Times New Roman" w:hAnsi="Times New Roman"/>
          <w:noProof/>
          <w:u w:val="thick" w:color="000000"/>
        </w:rPr>
        <w:t>Traktējums nacionālajos kontos</w:t>
      </w:r>
    </w:p>
    <w:p w:rsidR="00073FEC" w:rsidRPr="001973D0" w:rsidRDefault="00073FEC" w:rsidP="00073FEC">
      <w:pPr>
        <w:pStyle w:val="Heading4"/>
        <w:tabs>
          <w:tab w:val="left" w:pos="1622"/>
        </w:tabs>
        <w:ind w:left="0" w:firstLine="0"/>
        <w:jc w:val="both"/>
        <w:rPr>
          <w:rFonts w:ascii="Times New Roman" w:hAnsi="Times New Roman"/>
          <w:noProof/>
          <w:u w:val="thick" w:color="000000"/>
        </w:rPr>
      </w:pPr>
    </w:p>
    <w:p w:rsidR="00073FEC"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vispārējie uzskaites noteikumi:</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visus finanšu instrumentus, ku</w:t>
      </w:r>
      <w:r w:rsidR="001B0687">
        <w:rPr>
          <w:rFonts w:ascii="Times New Roman" w:hAnsi="Times New Roman"/>
          <w:noProof/>
          <w:sz w:val="24"/>
        </w:rPr>
        <w:t>riem piemēro procentus, ieraksta</w:t>
      </w:r>
      <w:r>
        <w:rPr>
          <w:rFonts w:ascii="Times New Roman" w:hAnsi="Times New Roman"/>
          <w:noProof/>
          <w:sz w:val="24"/>
        </w:rPr>
        <w:t>, pamatojoties uz uzkrāšanas principu;</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procentus uzkrāj, pamatojoties uz “debitora pieeju”;</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uzkrātos procentus var aprēķināt, izmantojot vienkāršas likmes metodi vai salikto procentu metodi;</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szCs w:val="14"/>
        </w:rPr>
      </w:pPr>
      <w:r>
        <w:rPr>
          <w:rFonts w:ascii="Times New Roman" w:hAnsi="Times New Roman"/>
          <w:noProof/>
          <w:sz w:val="24"/>
        </w:rPr>
        <w:t>uzkrātos procentus vienmēr atkārtoti iegulda saskaņā ar attiecīgo instrumentu;</w:t>
      </w:r>
      <w:r>
        <w:rPr>
          <w:rStyle w:val="FootnoteReference"/>
          <w:rFonts w:ascii="Times New Roman" w:hAnsi="Times New Roman"/>
          <w:noProof/>
          <w:sz w:val="24"/>
        </w:rPr>
        <w:footnoteReference w:id="121"/>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visus instrumentus, kas izdoti ar diskontu, traktē līdzīgi;</w:t>
      </w:r>
    </w:p>
    <w:p w:rsidR="00073FEC"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nokavētus maksājumus saglabā pie instrumenta.</w:t>
      </w:r>
    </w:p>
    <w:p w:rsidR="00073FEC" w:rsidRPr="001973D0" w:rsidRDefault="00073FEC" w:rsidP="00073FEC">
      <w:pPr>
        <w:pStyle w:val="BodyText"/>
        <w:tabs>
          <w:tab w:val="left" w:pos="1622"/>
        </w:tabs>
        <w:spacing w:before="0"/>
        <w:ind w:left="0" w:firstLine="0"/>
        <w:jc w:val="both"/>
        <w:rPr>
          <w:rFonts w:ascii="Times New Roman" w:hAnsi="Times New Roman"/>
          <w:noProof/>
          <w:sz w:val="24"/>
        </w:rPr>
      </w:pPr>
    </w:p>
    <w:p w:rsidR="00073FEC"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Piemērošana attiecībā uz īpašiem instrumentiem vai darījumiem:</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Pamatsummas un procentu atdalīšana neietekmē uzkrāto procentu summu;</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precizējumi var būt vajadzīgi tādu instrumentu gadījumā, kuriem ir mainīga likme un savstarpēji aizvietojamas emisijas (tostarp uzkrājumu prēmijas);</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procentus saistībā a</w:t>
      </w:r>
      <w:r w:rsidR="001B0687">
        <w:rPr>
          <w:rFonts w:ascii="Times New Roman" w:hAnsi="Times New Roman"/>
          <w:noProof/>
          <w:sz w:val="24"/>
        </w:rPr>
        <w:t>r loteriju instrumentiem arī ieraksta</w:t>
      </w:r>
      <w:r>
        <w:rPr>
          <w:rFonts w:ascii="Times New Roman" w:hAnsi="Times New Roman"/>
          <w:noProof/>
          <w:sz w:val="24"/>
        </w:rPr>
        <w:t>, pamatojoties uz uzkrāšanas principu;</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uz indeksējamām obligācijā</w:t>
      </w:r>
      <w:r w:rsidR="001B0687">
        <w:rPr>
          <w:rFonts w:ascii="Times New Roman" w:hAnsi="Times New Roman"/>
          <w:noProof/>
          <w:sz w:val="24"/>
        </w:rPr>
        <w:t>m attiecas procentu ierakstīšana</w:t>
      </w:r>
      <w:r>
        <w:rPr>
          <w:rFonts w:ascii="Times New Roman" w:hAnsi="Times New Roman"/>
          <w:noProof/>
          <w:sz w:val="24"/>
        </w:rPr>
        <w:t>, pamatojoties uz uzkrāšanas principu;</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attiecībā uz īstermiņa apgrozāmiem vērstpapīriem nav īpašu noteikumu;</w:t>
      </w:r>
    </w:p>
    <w:p w:rsidR="00073FEC" w:rsidRPr="001973D0" w:rsidRDefault="001B0687"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uzkrātos procentus var ierakstīt</w:t>
      </w:r>
      <w:r w:rsidR="00073FEC">
        <w:rPr>
          <w:rFonts w:ascii="Times New Roman" w:hAnsi="Times New Roman"/>
          <w:noProof/>
          <w:sz w:val="24"/>
        </w:rPr>
        <w:t xml:space="preserve"> atvieglojumu periodos;</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procenti, kas uzkrāti attiecībā uz ārvalstu valūtās izteiktiem instrumentiem, rada nepieciešamību veikt precizējumu pārvērtēšanas kontā;</w:t>
      </w:r>
    </w:p>
    <w:p w:rsidR="00073FEC" w:rsidRPr="001973D0" w:rsidRDefault="00073FEC" w:rsidP="00073FEC">
      <w:pPr>
        <w:pStyle w:val="BodyText"/>
        <w:numPr>
          <w:ilvl w:val="1"/>
          <w:numId w:val="10"/>
        </w:numPr>
        <w:tabs>
          <w:tab w:val="left" w:pos="1622"/>
        </w:tabs>
        <w:spacing w:before="0"/>
        <w:ind w:left="1134" w:hanging="425"/>
        <w:jc w:val="both"/>
        <w:rPr>
          <w:rFonts w:ascii="Times New Roman" w:hAnsi="Times New Roman"/>
          <w:noProof/>
          <w:sz w:val="24"/>
        </w:rPr>
      </w:pPr>
      <w:r>
        <w:rPr>
          <w:rFonts w:ascii="Times New Roman" w:hAnsi="Times New Roman"/>
          <w:noProof/>
          <w:sz w:val="24"/>
        </w:rPr>
        <w:t>parāda instrumentu pirmstermiņa izpirkšana (arī maiņa) var palielināt nominālos turēšanas ieguvumus.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622"/>
        </w:tabs>
        <w:ind w:left="0" w:firstLine="0"/>
        <w:jc w:val="both"/>
        <w:rPr>
          <w:rFonts w:ascii="Times New Roman" w:hAnsi="Times New Roman"/>
          <w:noProof/>
          <w:u w:val="thick" w:color="000000"/>
        </w:rPr>
      </w:pPr>
      <w:bookmarkStart w:id="113" w:name="II.4.3_Rationale_of_the_treatment"/>
      <w:bookmarkEnd w:id="113"/>
      <w:r>
        <w:rPr>
          <w:rFonts w:ascii="Times New Roman" w:hAnsi="Times New Roman"/>
          <w:noProof/>
          <w:u w:val="none"/>
        </w:rPr>
        <w:t>II.4.3. </w:t>
      </w:r>
      <w:r>
        <w:rPr>
          <w:rFonts w:ascii="Times New Roman" w:hAnsi="Times New Roman"/>
          <w:noProof/>
          <w:u w:val="thick" w:color="000000"/>
        </w:rPr>
        <w:t>Traktējuma pamatojums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36"/>
        </w:tabs>
        <w:jc w:val="both"/>
        <w:rPr>
          <w:rFonts w:ascii="Times New Roman" w:hAnsi="Times New Roman"/>
          <w:noProof/>
          <w:sz w:val="24"/>
        </w:rPr>
      </w:pPr>
      <w:bookmarkStart w:id="114" w:name="II.4.3.1_Full_coverage"/>
      <w:bookmarkEnd w:id="114"/>
      <w:r>
        <w:rPr>
          <w:rFonts w:ascii="Times New Roman" w:hAnsi="Times New Roman"/>
          <w:noProof/>
          <w:sz w:val="24"/>
        </w:rPr>
        <w:t>II.4.3.1. Pilns tvērums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Uzkrāšanas princips aptver visus finanšu instrumentus, kuriem piemēro procentus. EKS 2010 4. nodaļā “Sadales darījumi” ir minēti visu veidu parāda instrumenti, t. i., depozīti, aizdevumi, parāda vērtspapīri un citas kreditoru saistības (attiecīgā gadījumā). EKS 2010 4.50. punktā noteikts, ka “procenti laika gaitā pastāvīgi uzkrājas par nenomaksāto pamatsummu”. Attiecībā uz šā noteikuma piemērošanu nav norādīti nekādi izņēmumi.</w:t>
      </w:r>
    </w:p>
    <w:p w:rsidR="00073FEC" w:rsidRPr="001973D0" w:rsidRDefault="001B0687"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Procentu ierakstīšana</w:t>
      </w:r>
      <w:r w:rsidR="00073FEC">
        <w:rPr>
          <w:rFonts w:ascii="Times New Roman" w:hAnsi="Times New Roman"/>
          <w:noProof/>
          <w:sz w:val="24"/>
        </w:rPr>
        <w:t xml:space="preserve"> atbilstīgi uzkrāšanas principam ir vispārējs princips, kas jāpiemēro attiecībā uz visiem finanšu instrumentiem, kuri rada procentus, neatkarīgi no </w:t>
      </w:r>
      <w:r w:rsidR="00073FEC">
        <w:rPr>
          <w:rFonts w:ascii="Times New Roman" w:hAnsi="Times New Roman"/>
          <w:noProof/>
          <w:sz w:val="24"/>
        </w:rPr>
        <w:lastRenderedPageBreak/>
        <w:t>jebkādas īpašas kārtības, kāda var pastāvēt valsts līmenī.</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15" w:name="II.4.3.2_&amp;quot;Debtor_approach&amp;quot;"/>
      <w:bookmarkEnd w:id="115"/>
      <w:r>
        <w:rPr>
          <w:rFonts w:ascii="Times New Roman" w:hAnsi="Times New Roman"/>
          <w:noProof/>
          <w:sz w:val="24"/>
        </w:rPr>
        <w:t>II.4.3.2. “Debitora pieeja”</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Kopumā procentus var uzkrāt atbilstīgi trim iespējamiem traktējumiem, kurus attiecīgi var dēvēt šādi:</w:t>
      </w:r>
    </w:p>
    <w:p w:rsidR="00073FEC" w:rsidRPr="001973D0" w:rsidRDefault="00073FEC" w:rsidP="00073FEC">
      <w:pPr>
        <w:jc w:val="both"/>
        <w:rPr>
          <w:rFonts w:ascii="Times New Roman" w:eastAsia="Arial" w:hAnsi="Times New Roman" w:cs="Arial"/>
          <w:noProof/>
          <w:sz w:val="24"/>
          <w:szCs w:val="15"/>
        </w:rPr>
      </w:pPr>
    </w:p>
    <w:p w:rsidR="00073FEC" w:rsidRPr="001973D0" w:rsidRDefault="00073FEC" w:rsidP="00073FEC">
      <w:pPr>
        <w:pStyle w:val="BodyText"/>
        <w:numPr>
          <w:ilvl w:val="1"/>
          <w:numId w:val="10"/>
        </w:numPr>
        <w:tabs>
          <w:tab w:val="left" w:pos="160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rPr>
        <w:t>debitora</w:t>
      </w:r>
      <w:r>
        <w:rPr>
          <w:rFonts w:ascii="Times New Roman" w:hAnsi="Times New Roman"/>
          <w:noProof/>
          <w:sz w:val="24"/>
        </w:rPr>
        <w:t>” jeb “</w:t>
      </w:r>
      <w:r>
        <w:rPr>
          <w:rFonts w:ascii="Times New Roman" w:hAnsi="Times New Roman"/>
          <w:noProof/>
          <w:sz w:val="24"/>
          <w:u w:val="single"/>
        </w:rPr>
        <w:t>aizņēmuma sākotnējo izmaksu princips</w:t>
      </w:r>
      <w:r>
        <w:rPr>
          <w:rFonts w:ascii="Times New Roman" w:hAnsi="Times New Roman"/>
          <w:noProof/>
          <w:sz w:val="24"/>
        </w:rPr>
        <w:t>”, kura pamatā ir neatmaksātajai pamatsummai vai emisijas cenai piemērotā likme vai procenti, kas spēkā finanšu instrumenta izveides laikā;</w:t>
      </w:r>
    </w:p>
    <w:p w:rsidR="00073FEC" w:rsidRPr="001973D0" w:rsidRDefault="00073FEC" w:rsidP="00073FEC">
      <w:pPr>
        <w:pStyle w:val="BodyText"/>
        <w:numPr>
          <w:ilvl w:val="1"/>
          <w:numId w:val="10"/>
        </w:numPr>
        <w:tabs>
          <w:tab w:val="left" w:pos="160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rPr>
        <w:t>iegādes princips</w:t>
      </w:r>
      <w:r>
        <w:rPr>
          <w:rFonts w:ascii="Times New Roman" w:hAnsi="Times New Roman"/>
          <w:noProof/>
          <w:sz w:val="24"/>
        </w:rPr>
        <w:t>”, kura pamatā ir pirkšanas cenai piemērotā “vēsturiskā” likme vai procenti, kas ir spēkā brīdī, ka</w:t>
      </w:r>
      <w:r w:rsidR="001B0687">
        <w:rPr>
          <w:rFonts w:ascii="Times New Roman" w:hAnsi="Times New Roman"/>
          <w:noProof/>
          <w:sz w:val="24"/>
        </w:rPr>
        <w:t>d kreditors pirmo reizi ieraksta</w:t>
      </w:r>
      <w:r>
        <w:rPr>
          <w:rFonts w:ascii="Times New Roman" w:hAnsi="Times New Roman"/>
          <w:noProof/>
          <w:sz w:val="24"/>
        </w:rPr>
        <w:t xml:space="preserve"> finanšu instrumentu savā bilancē;</w:t>
      </w:r>
    </w:p>
    <w:p w:rsidR="00073FEC" w:rsidRDefault="00073FEC" w:rsidP="00073FEC">
      <w:pPr>
        <w:pStyle w:val="BodyText"/>
        <w:numPr>
          <w:ilvl w:val="1"/>
          <w:numId w:val="10"/>
        </w:numPr>
        <w:tabs>
          <w:tab w:val="left" w:pos="160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rPr>
        <w:t>tirgus pieeja</w:t>
      </w:r>
      <w:r>
        <w:rPr>
          <w:rFonts w:ascii="Times New Roman" w:hAnsi="Times New Roman"/>
          <w:noProof/>
          <w:sz w:val="24"/>
        </w:rPr>
        <w:t>” (EKS 2010 dēvēta arī par “kreditora pieeju”), kuras pamatā ir likme, kas ir spēkā konkrētajā brīdī, kad tā piemērota attiecībā uz tajā pašā brīdī spēkā esošo instrumenta tirgus cenu.</w:t>
      </w:r>
    </w:p>
    <w:p w:rsidR="00073FEC" w:rsidRPr="001973D0" w:rsidRDefault="00073FEC" w:rsidP="00073FEC">
      <w:pPr>
        <w:pStyle w:val="BodyText"/>
        <w:tabs>
          <w:tab w:val="left" w:pos="160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Procentus uzkrāj no debitora viedokļa atbilstīgi tam, kā noteikts EKS 2010 20.180. punktā.</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galvenā uzmanība pievērsta finanšu slogam, aizņēmuma izmaksām, kas tika prognozētas laikā, kad debitors piesaistīja līdzekļus, emitējot finanšu instrumentus. Darījumi sekundārajos tirgos, ja tādi</w:t>
      </w:r>
      <w:r w:rsidR="00E65317">
        <w:rPr>
          <w:rFonts w:ascii="Times New Roman" w:hAnsi="Times New Roman"/>
          <w:noProof/>
          <w:sz w:val="24"/>
        </w:rPr>
        <w:t xml:space="preserve"> pastāv, neietekmē ierakstāmos</w:t>
      </w:r>
      <w:r>
        <w:rPr>
          <w:rFonts w:ascii="Times New Roman" w:hAnsi="Times New Roman"/>
          <w:noProof/>
          <w:sz w:val="24"/>
        </w:rPr>
        <w:t xml:space="preserve"> uzkrātos procentus.</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Saskaņā ar šīm trim pieejām teorētiski visas plūsmas, kas izriet no līguma noteikumiem, būtu līdzīgas visā finanšu instrumenta darbības laikā. Taču atšķirība pastāvētu dalījumā starp darījumiem un citām plūsmām. Finanšu instrumenta</w:t>
      </w:r>
      <w:r w:rsidR="00E65317">
        <w:rPr>
          <w:rFonts w:ascii="Times New Roman" w:hAnsi="Times New Roman"/>
          <w:noProof/>
          <w:sz w:val="24"/>
        </w:rPr>
        <w:t xml:space="preserve"> cenas izmaiņas tiek ierakstītas</w:t>
      </w:r>
      <w:r>
        <w:rPr>
          <w:rFonts w:ascii="Times New Roman" w:hAnsi="Times New Roman"/>
          <w:noProof/>
          <w:sz w:val="24"/>
        </w:rPr>
        <w:t xml:space="preserve"> kā nominālie turēšanas guvumi/zaudējumi, savukārt EKS 2010 6.54. punktā norādīts, ka uzkrātie procenti nerada turēšanas ienākumus, jo tie rada pamatu nefinanšu darījumam un vienlaikus arī finanšu darījumam kā “tāda aktīva iegāde, ko pievieno esošajam aktīvam”.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16" w:name="II.4.3.3_Method_for_calculating_accrued_"/>
      <w:bookmarkEnd w:id="116"/>
      <w:r>
        <w:rPr>
          <w:rFonts w:ascii="Times New Roman" w:hAnsi="Times New Roman"/>
          <w:noProof/>
          <w:sz w:val="24"/>
        </w:rPr>
        <w:t>II.4.3.3. Uzkrāto procentu aprēķināšanas metode</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E65317" w:rsidP="00073FEC">
      <w:pPr>
        <w:pStyle w:val="BodyText"/>
        <w:numPr>
          <w:ilvl w:val="0"/>
          <w:numId w:val="10"/>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Uzkrāto procentu ierakstīšanu</w:t>
      </w:r>
      <w:r w:rsidR="00073FEC">
        <w:rPr>
          <w:rFonts w:ascii="Times New Roman" w:hAnsi="Times New Roman"/>
          <w:noProof/>
          <w:sz w:val="24"/>
        </w:rPr>
        <w:t xml:space="preserve"> var veikt, izmantojot vienkāršo procentu likmi, ko piemēro vienīgi nenomaksātajai pamatsummai, vai salikto procentu likmi, kurā ņem vērā iepriekš uzkrāto procentu summu. Tomēr, ņemot vērā, ka EKS 2010 4.50. punktā tiek uzskatīts, ka uzkrātie procenti “kreditoram [ir] kā finanšu aktīva [iegāde] un debitoram kā tādā pašā apmērā iegūtas saistības”, attiecībā uz ko teorētiski tiek piemēroti procenti, tad procentus vēlams aprēķināt saliktā veidā.</w:t>
      </w:r>
      <w:r w:rsidR="00073FEC">
        <w:rPr>
          <w:rStyle w:val="FootnoteReference"/>
          <w:rFonts w:ascii="Times New Roman" w:hAnsi="Times New Roman"/>
          <w:noProof/>
          <w:sz w:val="24"/>
        </w:rPr>
        <w:footnoteReference w:id="122"/>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17" w:name="II.4.3.4_Reinvestment_of_accrued_interes"/>
      <w:bookmarkEnd w:id="117"/>
      <w:r>
        <w:rPr>
          <w:rFonts w:ascii="Times New Roman" w:hAnsi="Times New Roman"/>
          <w:noProof/>
          <w:sz w:val="24"/>
        </w:rPr>
        <w:t>II.4.3.4. Uzkrāto procentu atkārtota ieguldīšana atbilstoši instrumentam</w:t>
      </w:r>
    </w:p>
    <w:p w:rsidR="00073FEC" w:rsidRPr="001973D0" w:rsidRDefault="00073FEC" w:rsidP="00073FEC">
      <w:pPr>
        <w:pStyle w:val="Heading6"/>
        <w:tabs>
          <w:tab w:val="left" w:pos="2016"/>
        </w:tabs>
        <w:jc w:val="both"/>
        <w:rPr>
          <w:rFonts w:ascii="Times New Roman" w:hAnsi="Times New Roman"/>
          <w:noProof/>
          <w:sz w:val="24"/>
        </w:rPr>
      </w:pPr>
    </w:p>
    <w:p w:rsidR="00073FEC" w:rsidRPr="007C2936"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5.242. punktā noteikts, ka “uzkrātos un neizmaksātos procentus ieraksta kopā ar finanšu aktīvu vai saistību, attiecībā uz kuru tie uzkrājas, un nevis kā debitoru/kreditoru saistības”. Tomēr norādīts arī tas, ka to var klasificēt kā citas debitoru/kreditoru saistības, “ja uzkrātos procentus neieraksta kā atkārtoti ieguldītus finanšu aktīvā”. Nav norādīts, kādos apstākļos tas būtu piemērojams.</w:t>
      </w:r>
      <w:r>
        <w:rPr>
          <w:rStyle w:val="FootnoteReference"/>
          <w:rFonts w:ascii="Times New Roman" w:hAnsi="Times New Roman"/>
          <w:noProof/>
          <w:sz w:val="24"/>
        </w:rPr>
        <w:footnoteReference w:id="123"/>
      </w:r>
      <w:r>
        <w:rPr>
          <w:rFonts w:ascii="Times New Roman" w:hAnsi="Times New Roman"/>
          <w:noProof/>
          <w:sz w:val="24"/>
        </w:rPr>
        <w:t xml:space="preserve"> Līdz ar to </w:t>
      </w:r>
      <w:r>
        <w:rPr>
          <w:rFonts w:ascii="Times New Roman" w:hAnsi="Times New Roman"/>
          <w:noProof/>
          <w:sz w:val="24"/>
        </w:rPr>
        <w:lastRenderedPageBreak/>
        <w:t xml:space="preserve">procentus, kas uzkrāti ar </w:t>
      </w:r>
      <w:r w:rsidR="00E65317">
        <w:rPr>
          <w:rFonts w:ascii="Times New Roman" w:hAnsi="Times New Roman"/>
          <w:noProof/>
          <w:sz w:val="24"/>
        </w:rPr>
        <w:t>konkrēto instrumentu, jāieraksta</w:t>
      </w:r>
      <w:r>
        <w:rPr>
          <w:rFonts w:ascii="Times New Roman" w:hAnsi="Times New Roman"/>
          <w:noProof/>
          <w:sz w:val="24"/>
        </w:rPr>
        <w:t xml:space="preserve"> jebkurā gadījumā, ja iespējams, kādā no saistītā instrumenta kategorijas apakšpunktiem. Turklāt šis ir vienīgais iespējamais risinājums attiecībā uz bezkuponu obligācijām vai īstermiņa vērtspapīriem, kas emitēti ar diskontu, jo atšķirībā no cita veida parāda vērtspapīriem uzkrātie procenti, kas saistīti ar diskontu, netiek norādīti atsevišķi no pamatsummas vērtības, kad notiek darījums.</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4.46. punkta b) apakšpunktā noteikts, ka obligācijām, kas emitētas ar diskontu, var būt divi procentu komponenti. Viens attiecībā uz diskontu, kas uzkrāts obligācijas darbības laikā, un otrs – attiecībā uz regulāri maksāto kuponu. Ciktāl tas attiecas uz uzkrāto procentu atkārtotu ieguldīšanu, šie komponenti ir jātraktē vienādi.</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Ja darījums notiek sekundārajos tirgos, uzkrāto procentu summa tiek vienlaikus mainīta ar pamatsummu. To nevar laist apgrozībā atsevišķi. Darījums jāuzskata par vienotu veselumu. Pircējs maksā pārdevējam uzkrāto procentu summu.</w:t>
      </w:r>
      <w:r w:rsidR="00E65317">
        <w:rPr>
          <w:rFonts w:ascii="Times New Roman" w:hAnsi="Times New Roman"/>
          <w:noProof/>
          <w:sz w:val="24"/>
        </w:rPr>
        <w:t xml:space="preserve"> Visu darījuma vērtību ieraksta</w:t>
      </w:r>
      <w:r>
        <w:rPr>
          <w:rFonts w:ascii="Times New Roman" w:hAnsi="Times New Roman"/>
          <w:noProof/>
          <w:sz w:val="24"/>
        </w:rPr>
        <w:t xml:space="preserve"> finanšu kontos, neierakstot īpašuma ienākumus. Šis darījums neietekmē uzkrāto procentu kompilāciju no emitenta viedokļa. Jaunā īpašnieka kontos procentus uzkrāj no datuma, kad veikts ieraksts viņa portfelī. Ja jaunais īpašnieks šo aktīvu ir paturējis, faktiskais kupona </w:t>
      </w:r>
      <w:r w:rsidR="00E65317">
        <w:rPr>
          <w:rFonts w:ascii="Times New Roman" w:hAnsi="Times New Roman"/>
          <w:noProof/>
          <w:sz w:val="24"/>
        </w:rPr>
        <w:t>maksājums vēlāk tiktu ierakstīts</w:t>
      </w:r>
      <w:r>
        <w:rPr>
          <w:rFonts w:ascii="Times New Roman" w:hAnsi="Times New Roman"/>
          <w:noProof/>
          <w:sz w:val="24"/>
        </w:rPr>
        <w:t xml:space="preserve"> tikai finanšu kontā (procentu uzkr</w:t>
      </w:r>
      <w:r w:rsidR="00E65317">
        <w:rPr>
          <w:rFonts w:ascii="Times New Roman" w:hAnsi="Times New Roman"/>
          <w:noProof/>
          <w:sz w:val="24"/>
        </w:rPr>
        <w:t>āšanās pastāvīgi tiek ierakstīta</w:t>
      </w:r>
      <w:r>
        <w:rPr>
          <w:rFonts w:ascii="Times New Roman" w:hAnsi="Times New Roman"/>
          <w:noProof/>
          <w:sz w:val="24"/>
        </w:rPr>
        <w:t xml:space="preserve"> nefinanšu kontā), un var uzskatīt, ka aktīva iegādes brīdī iegūtie uzkrātie procenti, kam pieskaitīti visi kopš šā datuma uzkrātie procenti, ir pārdoti atpakaļ emitentam.</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Līdzīgs traktējums jāpiemēro gadījumā, ja parāda vērtspapīri emitēti laidienos</w:t>
      </w:r>
      <w:r>
        <w:rPr>
          <w:rStyle w:val="FootnoteReference"/>
          <w:rFonts w:ascii="Times New Roman" w:hAnsi="Times New Roman"/>
          <w:noProof/>
          <w:sz w:val="24"/>
        </w:rPr>
        <w:footnoteReference w:id="124"/>
      </w:r>
      <w:r>
        <w:rPr>
          <w:rFonts w:ascii="Times New Roman" w:hAnsi="Times New Roman"/>
          <w:noProof/>
          <w:sz w:val="24"/>
        </w:rPr>
        <w:t>, kad kupons bieži tiek “pārdots” ieguldītājiem katrā emisijā (procentu summa, kas uzkrāta līdz datumam, kad veikts ar vērtspapīru saistītais pēdējais kupona maksājums). EKS 2010 20.183. punktā noteikts: “Šādi pārdotie kuponi nav ne valdības ieņēmumi pārdošanas brīdī, ne prēmijas. Tos uzskata par fi</w:t>
      </w:r>
      <w:r w:rsidR="00E65317">
        <w:rPr>
          <w:rFonts w:ascii="Times New Roman" w:hAnsi="Times New Roman"/>
          <w:noProof/>
          <w:sz w:val="24"/>
        </w:rPr>
        <w:t>nanšu avansu.” Tie ir jāieraksta</w:t>
      </w:r>
      <w:r>
        <w:rPr>
          <w:rFonts w:ascii="Times New Roman" w:hAnsi="Times New Roman"/>
          <w:noProof/>
          <w:sz w:val="24"/>
        </w:rPr>
        <w:t xml:space="preserve"> atbilstīgi finanšu instrumentam, uz kuru tie attiecas (no uzkrāšanas viedokļa tos nedrīkst savienot kopā ar procentu izdevumiem).</w:t>
      </w:r>
    </w:p>
    <w:p w:rsidR="00073FEC" w:rsidRPr="001973D0" w:rsidRDefault="00073FEC" w:rsidP="00073FEC">
      <w:pPr>
        <w:jc w:val="both"/>
        <w:rPr>
          <w:rFonts w:ascii="Times New Roman" w:hAnsi="Times New Roman"/>
          <w:noProof/>
          <w:sz w:val="24"/>
        </w:rPr>
      </w:pPr>
    </w:p>
    <w:p w:rsidR="00073FEC" w:rsidRDefault="00073FEC" w:rsidP="00073FEC">
      <w:pPr>
        <w:pStyle w:val="Heading6"/>
        <w:tabs>
          <w:tab w:val="left" w:pos="2036"/>
        </w:tabs>
        <w:jc w:val="both"/>
        <w:rPr>
          <w:rFonts w:ascii="Times New Roman" w:hAnsi="Times New Roman"/>
          <w:noProof/>
          <w:sz w:val="24"/>
        </w:rPr>
      </w:pPr>
      <w:bookmarkStart w:id="118" w:name="II.4.3.5_Non-negotiable_instruments"/>
      <w:bookmarkEnd w:id="118"/>
      <w:r>
        <w:rPr>
          <w:rFonts w:ascii="Times New Roman" w:hAnsi="Times New Roman"/>
          <w:noProof/>
          <w:sz w:val="24"/>
        </w:rPr>
        <w:t>II.4.3.5. Neapgrozāmi instrumenti</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numPr>
          <w:ilvl w:val="0"/>
          <w:numId w:val="10"/>
        </w:numPr>
        <w:tabs>
          <w:tab w:val="left" w:pos="1262"/>
        </w:tabs>
        <w:ind w:left="709" w:hanging="709"/>
        <w:jc w:val="both"/>
        <w:rPr>
          <w:rFonts w:ascii="Times New Roman" w:eastAsia="Arial" w:hAnsi="Times New Roman" w:cs="Arial"/>
          <w:noProof/>
          <w:sz w:val="24"/>
        </w:rPr>
      </w:pPr>
      <w:r>
        <w:rPr>
          <w:rFonts w:ascii="Times New Roman" w:hAnsi="Times New Roman"/>
          <w:noProof/>
          <w:sz w:val="24"/>
        </w:rPr>
        <w:t xml:space="preserve">Attiecībā uz depozītiem </w:t>
      </w:r>
      <w:r>
        <w:rPr>
          <w:rFonts w:ascii="Times New Roman" w:hAnsi="Times New Roman"/>
          <w:noProof/>
          <w:sz w:val="24"/>
          <w:u w:val="single" w:color="000000"/>
        </w:rPr>
        <w:t>(AF.22 un AF.29)</w:t>
      </w:r>
      <w:r>
        <w:rPr>
          <w:rFonts w:ascii="Times New Roman" w:hAnsi="Times New Roman"/>
          <w:noProof/>
          <w:sz w:val="24"/>
        </w:rPr>
        <w:t xml:space="preserve"> EKS 2010 7.65. punktā noteikts vien</w:t>
      </w:r>
      <w:r w:rsidR="00E65317">
        <w:rPr>
          <w:rFonts w:ascii="Times New Roman" w:hAnsi="Times New Roman"/>
          <w:noProof/>
          <w:sz w:val="24"/>
        </w:rPr>
        <w:t xml:space="preserve"> tas, ka bilancē tiek ierakstīta</w:t>
      </w:r>
      <w:r>
        <w:rPr>
          <w:rFonts w:ascii="Times New Roman" w:hAnsi="Times New Roman"/>
          <w:noProof/>
          <w:sz w:val="24"/>
        </w:rPr>
        <w:t xml:space="preserve"> to nominālvērtība, kas EKS 2010 7.39. punktā noteikta šādi: “</w:t>
      </w:r>
      <w:r>
        <w:rPr>
          <w:rFonts w:ascii="Times New Roman" w:hAnsi="Times New Roman"/>
          <w:i/>
          <w:noProof/>
          <w:sz w:val="24"/>
        </w:rPr>
        <w:t>Nominālvērtība atspoguļo sākotnēji piešķirto līdzekļu summu plus jebkuru vēlāku avansu mīnus jebkādus maksājumus plus uzkrātos procentus</w:t>
      </w:r>
      <w:r>
        <w:rPr>
          <w:rFonts w:ascii="Times New Roman" w:hAnsi="Times New Roman"/>
          <w:noProof/>
          <w:sz w:val="24"/>
        </w:rPr>
        <w:t>”. Šai definīcijai atbilst gan noguldījumi pēc pieprasījuma un krājnoguldījumi, kad noguldītās summas uzkrāšanas periodā var mainīties, gan arī termiņnoguldījumi, kad teorētiski summa nemainās visā uzkrāšanas periodā.</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Attiecībā uz aizdevumiem EKS 2010 7.70. punktā noteikts: “Gan kreditoru, gan debitoru bilancēs ierakstāmās vērtības ir nominālvērtības neatkarīgi no tā, vai aizdevumi ir ienākumus nesoši vai nenesoši”. Tas nozīmē, ka procenti vienmēr jāpieskaita atlikušajai aizdevuma pamatsummai.</w:t>
      </w:r>
    </w:p>
    <w:p w:rsidR="00073FEC" w:rsidRPr="007C2936"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Ar noguldījumiem un aizdevumiem saistī</w:t>
      </w:r>
      <w:r w:rsidR="00E65317">
        <w:rPr>
          <w:rFonts w:ascii="Times New Roman" w:hAnsi="Times New Roman"/>
          <w:noProof/>
          <w:sz w:val="24"/>
        </w:rPr>
        <w:t>to uzkrāto procentu ierakstīšanu</w:t>
      </w:r>
      <w:r>
        <w:rPr>
          <w:rFonts w:ascii="Times New Roman" w:hAnsi="Times New Roman"/>
          <w:noProof/>
          <w:sz w:val="24"/>
        </w:rPr>
        <w:t xml:space="preserve"> nedrīkst veikt atbilstīgi valstī pastāvošajai praksei vai pašu darījumu veicēju ieskatiem. Attiecībā uz noguldījumiem procentus pamatsummai var pievienot vienīgi saskaņā ar konkrētiem nosacījumiem (konkrētā perioda beigās). Attiecībā uz aizdevumiem līgumā starp </w:t>
      </w:r>
      <w:r>
        <w:rPr>
          <w:rFonts w:ascii="Times New Roman" w:hAnsi="Times New Roman"/>
          <w:noProof/>
          <w:sz w:val="24"/>
        </w:rPr>
        <w:lastRenderedPageBreak/>
        <w:t>debitoru un kreditoru skaidri nosaka pamatsummas vērtību (atmaksājamo kapitālu), kurā neietilpst procenti. Turklāt procentu maksājumiem un pamatsummas atmaksai nav obligāti jānotiek vienlaikus. Tomēr, tā kā EKS 2010 ir skaidri noteikts, ka uzkrātos procentus asimilē jaunu instrumenta summu iegādei, uzkrāto procentu atkārtota ieguldīšana analīzē jāuzskata par pamatsummu. Noguldījumu gadījumā uzkrāto procentu maksājums būtībā ir daļēja likvidācija, turpretī procentu maksājums par aizdevumiem ir iekļauts amortizācijas procesā.</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19" w:name="II.4.3.6_Instruments_issued_at_a_discoun"/>
      <w:bookmarkEnd w:id="119"/>
      <w:r>
        <w:rPr>
          <w:rFonts w:ascii="Times New Roman" w:hAnsi="Times New Roman"/>
          <w:noProof/>
          <w:sz w:val="24"/>
        </w:rPr>
        <w:t>II.4.3.6. Instrumenti, kas emitēti ar diskontu</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Vekseļi un citi īstermiņa instrumenti (kuru atmaksāšanas termiņš parasti nav ilgāks par vienu gadu) ir izdoti ar diskontu vai prēmiju, kas nozīmē, ka procenti ir vienādi ar emisijas cenas un izpirkšanas vērtības, kas parasti ir nominālvērtība, starpību. Šie procenti jāuzkrāj instrumenta darbības laikā, un gadījumā, ja tiek veikti darījumi sekundārajā tirgū, instrumenta tirgus cena</w:t>
      </w:r>
      <w:r w:rsidR="00E65317">
        <w:rPr>
          <w:rFonts w:ascii="Times New Roman" w:hAnsi="Times New Roman"/>
          <w:noProof/>
          <w:sz w:val="24"/>
        </w:rPr>
        <w:t>s maiņas ietekme (kas ierakstīta</w:t>
      </w:r>
      <w:r>
        <w:rPr>
          <w:rFonts w:ascii="Times New Roman" w:hAnsi="Times New Roman"/>
          <w:noProof/>
          <w:sz w:val="24"/>
        </w:rPr>
        <w:t xml:space="preserve"> kā turēšanas guvumi/zaudējumi) skaidri jānošķir no to uzkrāto procentu uzkrātās summas, ar ko puses apmainās. Pēc būtības šajā saistībā starp īstermiņa instrumentiem un bezkupona obligācijām, kas tiek emitētas ar ilgāku maksāšanas termiņu (parasti vismaz 5 gadi), atšķirības nepastāv. Šis jautājums ir apspriests EKS 2010 4.45.– 4.46. punktā un EKS 2010 20.184.–20.186. punktā.</w:t>
      </w:r>
    </w:p>
    <w:p w:rsidR="00073FEC" w:rsidRPr="001973D0" w:rsidRDefault="00073FEC" w:rsidP="00073FEC">
      <w:pPr>
        <w:pStyle w:val="BodyText"/>
        <w:spacing w:before="0"/>
        <w:ind w:left="709" w:firstLine="0"/>
        <w:jc w:val="both"/>
        <w:rPr>
          <w:rFonts w:ascii="Times New Roman" w:hAnsi="Times New Roman"/>
          <w:noProof/>
          <w:sz w:val="24"/>
          <w:szCs w:val="14"/>
        </w:rPr>
      </w:pPr>
      <w:r>
        <w:rPr>
          <w:rFonts w:ascii="Times New Roman" w:hAnsi="Times New Roman"/>
          <w:noProof/>
          <w:sz w:val="24"/>
        </w:rPr>
        <w:t>Tomēr var pastāvēt arī tādas obligācijas, par kurām tiek regulāri veikts kupona maksājums un kuras dažādu iemeslu dēļ (jo īpaši iepriekš minēto savstarpēji aizvietojamo obligāciju gadījumā) tiek emitētas ar diskontu vai prēmiju, pat ja tas ir neliels diskonts vai prēmija, kā tas ir kāda tehniska emisijas procesa gadījumā tālākpārdošanas cenas formā procentu pielāgošanai tirgus apstākļiem (ieguldītāju piedāvājuma likmēm). Kupona (pieprasītās likmes) vērtība parasti tiek noapaļota (parasti ar 25 bāzes punktu soli). Līdz ar to nav iemesla augsta diskonta obligācijas nošķirt no citām obligācijām, kas emitētas ar diskontu. Augsta diskonta obligācijas ir minētas EKS 2010 4.46. punkta b) apakšpunktā, taču nav ierosināts atšķirīgi traktēt neviena lieluma diskontu, kurš ir apstiprināts EKS 2010 20.184. punktā. Tas atbilst jau šīs rokasgrāmatas pirmajā izdevumā sniegtajam ieteikumam.</w:t>
      </w:r>
      <w:r>
        <w:rPr>
          <w:rStyle w:val="FootnoteReference"/>
          <w:rFonts w:ascii="Times New Roman" w:hAnsi="Times New Roman"/>
          <w:noProof/>
          <w:sz w:val="24"/>
        </w:rPr>
        <w:footnoteReference w:id="125"/>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20" w:name="II.4.3.7_Arrears_of_interest_recorded_un"/>
      <w:bookmarkEnd w:id="120"/>
      <w:r>
        <w:rPr>
          <w:rFonts w:ascii="Times New Roman" w:hAnsi="Times New Roman"/>
          <w:noProof/>
          <w:sz w:val="24"/>
        </w:rPr>
        <w:t>II.4.3.7. Nokavētie pr</w:t>
      </w:r>
      <w:r w:rsidR="00E65317">
        <w:rPr>
          <w:rFonts w:ascii="Times New Roman" w:hAnsi="Times New Roman"/>
          <w:noProof/>
          <w:sz w:val="24"/>
        </w:rPr>
        <w:t>ocentu maksājumi, kas ierakstīti</w:t>
      </w:r>
      <w:r>
        <w:rPr>
          <w:rFonts w:ascii="Times New Roman" w:hAnsi="Times New Roman"/>
          <w:noProof/>
          <w:sz w:val="24"/>
        </w:rPr>
        <w:t xml:space="preserve"> atbilstoši instrumentam</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Nokavētie procentu maksājumi rodas, kad procenti netiek samaksāti līgumā noteiktajā</w:t>
      </w:r>
      <w:r w:rsidR="00E65317">
        <w:rPr>
          <w:rFonts w:ascii="Times New Roman" w:hAnsi="Times New Roman"/>
          <w:noProof/>
          <w:sz w:val="24"/>
        </w:rPr>
        <w:t xml:space="preserve"> maksājuma termiņā. Tos ieraksta</w:t>
      </w:r>
      <w:r>
        <w:rPr>
          <w:rFonts w:ascii="Times New Roman" w:hAnsi="Times New Roman"/>
          <w:noProof/>
          <w:sz w:val="24"/>
        </w:rPr>
        <w:t xml:space="preserve"> pie instrumenta tāpat kā iepriekš apspriesto uzkrāto procentu atkārtot</w:t>
      </w:r>
      <w:r w:rsidR="00E65317">
        <w:rPr>
          <w:rFonts w:ascii="Times New Roman" w:hAnsi="Times New Roman"/>
          <w:noProof/>
          <w:sz w:val="24"/>
        </w:rPr>
        <w:t>u ieguldījumu. Tos abus ieraksta</w:t>
      </w:r>
      <w:r>
        <w:rPr>
          <w:rFonts w:ascii="Times New Roman" w:hAnsi="Times New Roman"/>
          <w:noProof/>
          <w:sz w:val="24"/>
        </w:rPr>
        <w:t xml:space="preserve"> atbilstoši instrumentam līdz brīdim, kad tie tiek faktiski samaksāti vai atsevišķos gadījumos atcelti</w:t>
      </w:r>
      <w:r>
        <w:rPr>
          <w:rStyle w:val="FootnoteReference"/>
          <w:rFonts w:ascii="Times New Roman" w:hAnsi="Times New Roman"/>
          <w:noProof/>
          <w:sz w:val="24"/>
        </w:rPr>
        <w:footnoteReference w:id="126"/>
      </w:r>
      <w:r>
        <w:rPr>
          <w:rFonts w:ascii="Times New Roman" w:hAnsi="Times New Roman"/>
          <w:noProof/>
          <w:sz w:val="24"/>
        </w:rPr>
        <w:t xml:space="preserve"> (kas tādējādi ir sava veida parāda dzēšana, kura jātraktē atbilstoši ierastajai kārtībai).</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21" w:name="II.4.3.8_Stripped_bonds"/>
      <w:bookmarkEnd w:id="121"/>
      <w:r>
        <w:rPr>
          <w:rFonts w:ascii="Times New Roman" w:hAnsi="Times New Roman"/>
          <w:noProof/>
          <w:sz w:val="24"/>
        </w:rPr>
        <w:t>II.4.3.8. Obligācijas, attiecībā uz kurām piemērota pamatsummas un procentu atdalīšana</w:t>
      </w:r>
    </w:p>
    <w:p w:rsidR="00073FEC" w:rsidRPr="001973D0" w:rsidRDefault="00073FEC" w:rsidP="00073FEC">
      <w:pPr>
        <w:pStyle w:val="Heading6"/>
        <w:tabs>
          <w:tab w:val="left" w:pos="2016"/>
        </w:tabs>
        <w:jc w:val="both"/>
        <w:rPr>
          <w:rFonts w:ascii="Times New Roman" w:hAnsi="Times New Roman"/>
          <w:noProof/>
          <w:sz w:val="24"/>
        </w:rPr>
      </w:pPr>
    </w:p>
    <w:p w:rsidR="00073FEC" w:rsidRPr="007C2936"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EKS 2010 5.96. punkta d) apakšpunktā minēta pamatsummas un procentu atdalīšana, kurā “parasta” obligācija pēc turētāju ierosmes tiek transformēta bezkuponu obligācijās. Tradicionāli tādējādi tiek izveidoti tirgū atsevišķi apgrozāmi sertifikāti, kas atspoguļo </w:t>
      </w:r>
      <w:r>
        <w:rPr>
          <w:rFonts w:ascii="Times New Roman" w:hAnsi="Times New Roman"/>
          <w:noProof/>
          <w:sz w:val="24"/>
        </w:rPr>
        <w:lastRenderedPageBreak/>
        <w:t>turpmākos procentu maksājumus un turpmāko pamatsummas atmaksu, bet “savstarpēji aizvietojamu sertifikātu” gadījumā visas plūsmas, kas saistītas ar konkrēto atmaksāšanas termiņu. Faktisko maksājumu plūsmu ziņā šī operācija emitentam ir neitrāla. Pamatsummas un procentu atdalīšana galvenokārt skar centrālās valdības emitētās obligācijas.</w:t>
      </w:r>
    </w:p>
    <w:p w:rsidR="00073FEC" w:rsidRPr="007C2936"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Tā kā pamatsummas un procentu atdalīšanu ieguldītāji īsteno brīvprātīgi, pārrēķināšanu veic tikai attiecībā uz obligācijas kopējās neatmaksātās summas daļu. Parasti pamatsummas un procentu atdalīšana ir pastāvīgs risinājums, ko iespējams īstenot jebkurā laikā, kā arī atcelt, proti, jebkurā laikā obligāciju iespējams “atjaunot” tās sākotnējā stāvoklī, apsverot visu atdalīto pamatsummas un procentu komplektu. Ja atdalītie procenti un pamatsumma ir savstarpēji aizvietojami attiecībā uz atmaksāšanas termiņu, ir iespējams izveidot jaunu obligāciju no sertifikātiem, kuri emitēti no dažādām sākotnējām obligācijām. Kā norādīts iepriekš, atdalīto procentu un pamatsummas vērtību summa ir aktuāri vienāda ar kopējām plūsmām, tostarp ar sākotnējās obligācijas vai pat citu obligāciju pamatsummas izpirkumu un regulārajiem procentu maksājumiem. Līdz ar to atdalītos procentus </w:t>
      </w:r>
      <w:r w:rsidR="00E65317">
        <w:rPr>
          <w:rFonts w:ascii="Times New Roman" w:hAnsi="Times New Roman"/>
          <w:noProof/>
          <w:sz w:val="24"/>
        </w:rPr>
        <w:t>un pamatsummu nedrīkst ierakstīt</w:t>
      </w:r>
      <w:r>
        <w:rPr>
          <w:rFonts w:ascii="Times New Roman" w:hAnsi="Times New Roman"/>
          <w:noProof/>
          <w:sz w:val="24"/>
        </w:rPr>
        <w:t xml:space="preserve"> kā jaunus parāda instrumentus, kas atšķiras no sākotnējā instrumenta. Ja parādu (emitenta grāmatvedības dokumentos un attiecībā uz pārmērīga budžeta defi</w:t>
      </w:r>
      <w:r w:rsidR="00E65317">
        <w:rPr>
          <w:rFonts w:ascii="Times New Roman" w:hAnsi="Times New Roman"/>
          <w:noProof/>
          <w:sz w:val="24"/>
        </w:rPr>
        <w:t>cīta novēršanas procedūru) ieraksta</w:t>
      </w:r>
      <w:r>
        <w:rPr>
          <w:rFonts w:ascii="Times New Roman" w:hAnsi="Times New Roman"/>
          <w:noProof/>
          <w:sz w:val="24"/>
        </w:rPr>
        <w:t xml:space="preserve"> nominālvērtīb</w:t>
      </w:r>
      <w:r w:rsidR="00E65317">
        <w:rPr>
          <w:rFonts w:ascii="Times New Roman" w:hAnsi="Times New Roman"/>
          <w:noProof/>
          <w:sz w:val="24"/>
        </w:rPr>
        <w:t>ā, sākotnējā parāda ierakstīšana</w:t>
      </w:r>
      <w:r>
        <w:rPr>
          <w:rFonts w:ascii="Times New Roman" w:hAnsi="Times New Roman"/>
          <w:noProof/>
          <w:sz w:val="24"/>
        </w:rPr>
        <w:t xml:space="preserve"> nemainās, kad attiecībā uz obligāciju veic pamatsummas un procent</w:t>
      </w:r>
      <w:r w:rsidR="00E65317">
        <w:rPr>
          <w:rFonts w:ascii="Times New Roman" w:hAnsi="Times New Roman"/>
          <w:noProof/>
          <w:sz w:val="24"/>
        </w:rPr>
        <w:t>u atdalīšanu. Ja parādu ieraksta</w:t>
      </w:r>
      <w:r>
        <w:rPr>
          <w:rFonts w:ascii="Times New Roman" w:hAnsi="Times New Roman"/>
          <w:noProof/>
          <w:sz w:val="24"/>
        </w:rPr>
        <w:t xml:space="preserve"> tirgus vērtībā, pamatsummas un procentu atdalīšana nemaina parāda kopējo tirgus vērtību.</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Līdz ar to pamatsummas un procentu atdalīšana nemaina aizņemšanās izmaksas un nenodrošina emitentam papildu finansējumu. Tas neietekmē uzkrātos procentus, kuriem joprojām jābūt noteiktiem saskaņā ar likmi, kas piemērota sākotnējo obligāciju emisijas laikā.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22" w:name="II.4.3.9_Floating_rates_and_assimilated_"/>
      <w:bookmarkEnd w:id="122"/>
      <w:r>
        <w:rPr>
          <w:rFonts w:ascii="Times New Roman" w:hAnsi="Times New Roman"/>
          <w:noProof/>
          <w:sz w:val="24"/>
        </w:rPr>
        <w:t>II.4.3.9. Mainīgas likmes un līdzīgi jautājumi (tostarp uzkrājumu prēmijas)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Parāda instrumenti ar mainīgo likmi nerada nekādus īpašus konceptuālus jautājumus at</w:t>
      </w:r>
      <w:r w:rsidR="00793609">
        <w:rPr>
          <w:rFonts w:ascii="Times New Roman" w:hAnsi="Times New Roman"/>
          <w:noProof/>
          <w:sz w:val="24"/>
        </w:rPr>
        <w:t>tiecībā uz procentu ierakstīšanu</w:t>
      </w:r>
      <w:r>
        <w:rPr>
          <w:rFonts w:ascii="Times New Roman" w:hAnsi="Times New Roman"/>
          <w:noProof/>
          <w:sz w:val="24"/>
        </w:rPr>
        <w:t xml:space="preserve"> atbilstīgi uzkrāšanas principam. Jaukto obligāciju gadījumā, kad nemainīga likme ir apvienota ar mainīgu likmi, jāaplūko divi dažādi instrumenti.</w:t>
      </w:r>
      <w:r>
        <w:rPr>
          <w:rStyle w:val="FootnoteReference"/>
          <w:rFonts w:ascii="Times New Roman" w:hAnsi="Times New Roman"/>
          <w:noProof/>
          <w:sz w:val="24"/>
        </w:rPr>
        <w:footnoteReference w:id="127"/>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Vērtspapīru gadījumā parasti pastāv saistība starp likmes indeksa būtību un procentu maksājumu biežumu. Procenti, kas indeksēti pa ceturkšņiem, parasti tiek maksāti katru ceturksni ar viena ceturkšņa kavēšanos. Tādējādi precīza summa, kas jāatmaksā turētājiem, ir zināma iepriekš. Šādā gadījumā uzskata, ka procenti ir “noteikti iepriekš”.</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Tomēr procenti var būt arī “noteikti pēc tam”. Piemēram, ikgadējos procentus var indeksēt vidēji par iepriekšējiem divpadsmit mēnešiem. Precīzs kupons ir zināms neilgi pirms faktiskā maksājuma. Provizoriskās aplēses par uzkrātajiem procentiem var atšķirties no faktiskās summas, un tāpēc tās ir jāprecizē, tiklīdz ir zināma faktiskā summa.</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Ja attiecībā uz aizdevumiem un noguldījumiem individuāla kompilācija nav praktiski iespējama, jāizmanto vispārēja informācija (jo īpaši attiecībā uz noguldījumiem). Šādos apstākļos procenti tiktu uzkrāti, pamatojoties uz aplēsēm par visiespējamāko likmi, saskaņā ar kuru maksājumi tiktu faktiski veikti.</w:t>
      </w:r>
    </w:p>
    <w:p w:rsidR="00073FEC" w:rsidRPr="007C2936"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EKS 2010 nav minētas uzkrājumu prēmijas. Šādas prēmijas izmaksā saskaņā ar </w:t>
      </w:r>
      <w:r>
        <w:rPr>
          <w:rFonts w:ascii="Times New Roman" w:hAnsi="Times New Roman"/>
          <w:noProof/>
          <w:sz w:val="24"/>
        </w:rPr>
        <w:lastRenderedPageBreak/>
        <w:t>noteikumiem attiecībā uz laika posmu, cik ilgi instruments ir turēts kā atlīdzība par stabilitāti. Tas ir papildu īpašuma ienākums, nevis nomināls turēšanas guvums. Uzkrāšanas prēmija ir jātraktē kā p</w:t>
      </w:r>
      <w:r w:rsidR="00793609">
        <w:rPr>
          <w:rFonts w:ascii="Times New Roman" w:hAnsi="Times New Roman"/>
          <w:noProof/>
          <w:sz w:val="24"/>
        </w:rPr>
        <w:t>rocenti un līdz ar to jāieraksta</w:t>
      </w:r>
      <w:r>
        <w:rPr>
          <w:rFonts w:ascii="Times New Roman" w:hAnsi="Times New Roman"/>
          <w:noProof/>
          <w:sz w:val="24"/>
        </w:rPr>
        <w:t xml:space="preserve"> atbilstoši uzkrāšanas principam. Dažās shēmās prēmijas tiek iegūtas vienīgi pēc visa uzkrāšanas perioda beigām, un pirms tam nav iespējams ticami noteikt precīzu kopējo izmaksājamo summu. Tomēr parasti vienīgi neliela īpašnieku daļa nesaņem papildu atlīdzību, jo to lielākā daļa rīkojas racionāli, lai palielinātu savu peļņu no uzkrājuma. Līdz ar to procenti jāuzkrāj attiecībā uz “maksimālo bāzi”, t. i., iekļaujot tajā arī prēmiju. Ja precīzs “racionālo” uzkrājēju plāns ir zināms ar pietiekami augstu ticamības pakāpi, tiek atpakaļejoši piemērota korekcija attiecībā uz visu uzkrājuma periodu, bet gadījumā, ja summas ir nelielas, vienīgi attiecībā uz pēdējo apkopošanas periodu.</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Citās shēmās “atlīdzība” tiek izmaksāta kā ikgadējais pieaugošais procentu maksājums, kas tiek uzkrāts, ja īpašnieki iepriekšējā gadā(-os) nav samazinājuši savus ietaupījumus. Šajā gadījumā procenti jāuzkrāj ar konkrētajā gadā maksimālo iespējamo prēmiju, kas, iespējams, būs piemērojama vien attiecībā uz noteiktu racionālo uzkrājēju daļu, taču jebkurā gadījumā tiks galīgi precizēta tad, kad būs pieejama precīza informācija.</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23" w:name="II.4.3.10_Lottery_instruments"/>
      <w:bookmarkEnd w:id="123"/>
      <w:r>
        <w:rPr>
          <w:rFonts w:ascii="Times New Roman" w:hAnsi="Times New Roman"/>
          <w:noProof/>
          <w:sz w:val="24"/>
        </w:rPr>
        <w:t>II.4.3.10. Loterijas instrumenti</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Vērtspapīri ar loterijas maksājumiem, proti, kad procenti tiek izmaksāti kā balvas nejauši izvēlētiem īpašniekiem, nav minēti EKS 2010, jo šādi instrumenti pašlaik tiek ļoti maz izmantoti kā valdības parāda instrumenti. Šādi loterijas maksājumi tiek traktēti kā procenti (EKS 2010 4.49. punkta c) apakšpunkts) un netiek uzskatīti par īpašnieka turēšanas guvumiem. Lai gan īpašnieki nezina, ko viņi saņems, emitentam ir zināma kopsumma, kas tiks izmaksāta balvās, tāpēc </w:t>
      </w:r>
      <w:r w:rsidR="00793609">
        <w:rPr>
          <w:rFonts w:ascii="Times New Roman" w:hAnsi="Times New Roman"/>
          <w:noProof/>
          <w:sz w:val="24"/>
        </w:rPr>
        <w:t>procentus ir iespējams ierakstīt</w:t>
      </w:r>
      <w:r>
        <w:rPr>
          <w:rFonts w:ascii="Times New Roman" w:hAnsi="Times New Roman"/>
          <w:noProof/>
          <w:sz w:val="24"/>
        </w:rPr>
        <w:t>, izmantojot parastos noteikumus, kurus piemēro saistībā ar debitora principu.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24" w:name="II.4.3.11_Index-linked_instruments"/>
      <w:bookmarkEnd w:id="124"/>
      <w:r>
        <w:rPr>
          <w:rFonts w:ascii="Times New Roman" w:hAnsi="Times New Roman"/>
          <w:noProof/>
          <w:sz w:val="24"/>
        </w:rPr>
        <w:t>II.4.3.11. Indeksētie instrumenti</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Dažas vispārējās valdības vienības var emitēt parāda instrumentus (parasti obligāciju veidā), līguma noteikumos ietverot atrunu, kurā ir norādīts, ka visa atlīdzība vai tās daļa ir atkarīga no publicētā ekonomiskā indeksa numura. To var piemērot vienīgi attiecībā uz kuponu līdzīgi kā attiecībā uz finanšu instrumentiem ar mainīgu procentu likmi. Tas var attiekties vienīgi uz pamatsummas vērtību, kuponam tiekot ietekmētam ar pamatsummai piemērojamās likmes starpniecību. Citos gadījumos pamatsummai un kuponiem ir vienāds indekss.</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4.46. punkta c) apakšpunktā ir noteikta atšķirība starp vispārējo cenu indeksu un šauru indeksu. Pirmais indekss ir, piemēram, patēriņu cenas indekss vai preču indekss, turpretī otrais indekss attiecas uz konkrētu preces vai krājuma cenu. Valdības izdod ar inflāciju saistītas obligācijas, kas dažkārt veido ievērojamu daļu no tās parāda.</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Otra kategorija nav plaši izplatīta, taču, kā iepriekš novērots, indeksācija var būt veikta attiecībā uz zeltu. EKS 2010 4.46. punkta c) apakšpunktā noteikts, ka pirmajā gadījumā instrumenta vērtības maiņa, kas uzkrāšanas periodā notiek indeksa dēļ, tiek traktēta kā šajā periodā uzkrātie procenti papildus “parastajiem” procentiem, kas uzkrāti šajā periodā (un kas arī var būt saistīti ar indeksu). Attiecībā uz otro gadījumu tiek uzskatīts, ka pastāv turēšanas guvumu motīvs, un šajā gadījumā uzkrājamajos procentos tiktu iekļauti prognozētie turēšanas ienākumi, kas saistīti ar sākotnējo indeksa atsauces līmeni; jebkura novirze n</w:t>
      </w:r>
      <w:r w:rsidR="00793609">
        <w:rPr>
          <w:rFonts w:ascii="Times New Roman" w:hAnsi="Times New Roman"/>
          <w:noProof/>
          <w:sz w:val="24"/>
        </w:rPr>
        <w:t>o šīm prognozēm tiktu ierakstīta</w:t>
      </w:r>
      <w:r>
        <w:rPr>
          <w:rFonts w:ascii="Times New Roman" w:hAnsi="Times New Roman"/>
          <w:noProof/>
          <w:sz w:val="24"/>
        </w:rPr>
        <w:t xml:space="preserve"> kā pozitīva vai pārvērtēšanas ietekme.</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 xml:space="preserve">Tomēr EKS 2010 20. nodaļā “Valdības konti” šis dalījums nav minēts. Līdz ar to attiecībā uz valdības emitētiem instrumentiem, kas saistīti ar indeksu, ieteicams (jo īpaši </w:t>
      </w:r>
      <w:r>
        <w:rPr>
          <w:rFonts w:ascii="Times New Roman" w:hAnsi="Times New Roman"/>
          <w:noProof/>
          <w:sz w:val="24"/>
        </w:rPr>
        <w:lastRenderedPageBreak/>
        <w:t>praktisku apsvērumu dēļ, proti, ņemot vērā grūtības prognozēt turēšanas guvumus, piemēram, saistībā ar zelta cenas izmaiņām) par procentiem uzskatīt visas izmaiņas vērtībā, kas notiek indeksa dēļ.</w:t>
      </w:r>
      <w:r>
        <w:rPr>
          <w:rStyle w:val="FootnoteReference"/>
          <w:rFonts w:ascii="Times New Roman" w:hAnsi="Times New Roman"/>
          <w:noProof/>
          <w:sz w:val="24"/>
        </w:rPr>
        <w:footnoteReference w:id="128"/>
      </w:r>
    </w:p>
    <w:p w:rsidR="00073FEC" w:rsidRPr="007D218C"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Ja parāda instruments (izteikts vietējā valūtā) ar indeksa starpniecību būtu saistīts ar ārvalsts valūtas kursu, visas ar valūtas kursa svārstībām saistītās instrumenta vēr</w:t>
      </w:r>
      <w:r w:rsidR="00793609">
        <w:rPr>
          <w:rFonts w:ascii="Times New Roman" w:hAnsi="Times New Roman"/>
          <w:noProof/>
          <w:sz w:val="24"/>
        </w:rPr>
        <w:t>tības izmaiņas tiktu ierakstītas</w:t>
      </w:r>
      <w:r>
        <w:rPr>
          <w:rFonts w:ascii="Times New Roman" w:hAnsi="Times New Roman"/>
          <w:noProof/>
          <w:sz w:val="24"/>
        </w:rPr>
        <w:t xml:space="preserve"> kā turēšanas guvumi vai zaudējumi, nevis kā procenti, ievērojot nepieciešamību nodrošināt konsekvenci ar to instrumentu traktējumu, kuri izteikti ārvalstu valūtā.</w:t>
      </w:r>
    </w:p>
    <w:p w:rsidR="00073FEC" w:rsidRDefault="00073FEC" w:rsidP="00073FEC">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689"/>
        <w:gridCol w:w="1842"/>
        <w:gridCol w:w="1133"/>
        <w:gridCol w:w="1844"/>
        <w:gridCol w:w="1557"/>
      </w:tblGrid>
      <w:tr w:rsidR="00C978A9" w:rsidTr="003F7DE8">
        <w:tc>
          <w:tcPr>
            <w:tcW w:w="5000" w:type="pct"/>
            <w:gridSpan w:val="5"/>
            <w:tcBorders>
              <w:bottom w:val="nil"/>
            </w:tcBorders>
          </w:tcPr>
          <w:p w:rsidR="003F7DE8" w:rsidRPr="007D218C" w:rsidRDefault="003F7DE8" w:rsidP="003F7DE8">
            <w:pPr>
              <w:spacing w:before="17"/>
              <w:ind w:right="106"/>
              <w:rPr>
                <w:rFonts w:ascii="Times New Roman" w:eastAsia="Arial" w:hAnsi="Times New Roman" w:cs="Times New Roman"/>
                <w:noProof/>
                <w:sz w:val="24"/>
                <w:szCs w:val="24"/>
              </w:rPr>
            </w:pPr>
            <w:r>
              <w:rPr>
                <w:rFonts w:ascii="Times New Roman" w:hAnsi="Times New Roman"/>
                <w:b/>
                <w:noProof/>
                <w:sz w:val="24"/>
              </w:rPr>
              <w:t>1. ierāmējums. Piemērs.</w:t>
            </w:r>
            <w:r>
              <w:rPr>
                <w:rFonts w:ascii="Times New Roman" w:hAnsi="Times New Roman"/>
                <w:noProof/>
                <w:sz w:val="24"/>
              </w:rPr>
              <w:t xml:space="preserve"> </w:t>
            </w:r>
            <w:r>
              <w:rPr>
                <w:rFonts w:ascii="Times New Roman" w:hAnsi="Times New Roman"/>
                <w:b/>
                <w:noProof/>
                <w:sz w:val="24"/>
              </w:rPr>
              <w:t>Procentu uzkrājuma aprēķins attiecībā uz indeksam piesaistītu obligāciju: visaptverošs indekss</w:t>
            </w:r>
          </w:p>
          <w:p w:rsidR="003F7DE8" w:rsidRDefault="003F7DE8" w:rsidP="00523A0A">
            <w:pPr>
              <w:jc w:val="both"/>
              <w:rPr>
                <w:rFonts w:ascii="Times New Roman" w:hAnsi="Times New Roman"/>
                <w:noProof/>
                <w:sz w:val="24"/>
              </w:rPr>
            </w:pPr>
          </w:p>
          <w:p w:rsidR="00C978A9" w:rsidRDefault="00C978A9" w:rsidP="00523A0A">
            <w:pPr>
              <w:jc w:val="both"/>
              <w:rPr>
                <w:rFonts w:ascii="Times New Roman" w:eastAsia="Arial" w:hAnsi="Times New Roman" w:cs="Arial"/>
                <w:noProof/>
                <w:sz w:val="24"/>
                <w:szCs w:val="20"/>
              </w:rPr>
            </w:pPr>
            <w:r>
              <w:rPr>
                <w:rFonts w:ascii="Times New Roman" w:hAnsi="Times New Roman"/>
                <w:noProof/>
                <w:sz w:val="24"/>
              </w:rPr>
              <w:t>Obligācija tiek izsniegta 1. gada 1. janvārī par cenu, kas atbilst 1000 naudas vienībām, uz pieciem gadiem, bez kuponiem, indeksēta ar visaptverošu cenas indeksu. Perioda sākumā indeksa vērtība ir 100.</w:t>
            </w:r>
          </w:p>
          <w:p w:rsidR="00C978A9" w:rsidRDefault="00C978A9" w:rsidP="00523A0A">
            <w:pPr>
              <w:jc w:val="both"/>
              <w:rPr>
                <w:rFonts w:ascii="Times New Roman" w:eastAsia="Arial" w:hAnsi="Times New Roman" w:cs="Arial"/>
                <w:noProof/>
                <w:sz w:val="24"/>
                <w:szCs w:val="20"/>
              </w:rPr>
            </w:pPr>
            <w:r>
              <w:rPr>
                <w:rFonts w:ascii="Times New Roman" w:hAnsi="Times New Roman"/>
                <w:noProof/>
                <w:sz w:val="24"/>
              </w:rPr>
              <w:t>Turpmāk norādītas indeksa un obligāciju vērtības ar atvasinātajiem</w:t>
            </w:r>
            <w:r w:rsidR="00853CC5">
              <w:rPr>
                <w:rFonts w:ascii="Times New Roman" w:hAnsi="Times New Roman"/>
                <w:noProof/>
                <w:sz w:val="24"/>
              </w:rPr>
              <w:t xml:space="preserve"> procentiem un pārvērtējumiem</w:t>
            </w:r>
            <w:r>
              <w:rPr>
                <w:rFonts w:ascii="Times New Roman" w:hAnsi="Times New Roman"/>
                <w:noProof/>
                <w:sz w:val="24"/>
              </w:rPr>
              <w:t>.</w:t>
            </w:r>
          </w:p>
        </w:tc>
      </w:tr>
      <w:tr w:rsidR="003F7DE8" w:rsidTr="003F7DE8">
        <w:tc>
          <w:tcPr>
            <w:tcW w:w="1483" w:type="pct"/>
            <w:tcBorders>
              <w:top w:val="nil"/>
              <w:bottom w:val="nil"/>
              <w:right w:val="nil"/>
            </w:tcBorders>
          </w:tcPr>
          <w:p w:rsidR="003F7DE8" w:rsidRDefault="003F7DE8" w:rsidP="00523A0A">
            <w:pPr>
              <w:jc w:val="both"/>
              <w:rPr>
                <w:rFonts w:ascii="Times New Roman" w:hAnsi="Times New Roman"/>
                <w:noProof/>
                <w:sz w:val="24"/>
              </w:rPr>
            </w:pPr>
          </w:p>
        </w:tc>
        <w:tc>
          <w:tcPr>
            <w:tcW w:w="1016" w:type="pct"/>
            <w:tcBorders>
              <w:top w:val="nil"/>
              <w:left w:val="nil"/>
              <w:bottom w:val="single" w:sz="4" w:space="0" w:color="auto"/>
              <w:right w:val="nil"/>
            </w:tcBorders>
          </w:tcPr>
          <w:p w:rsidR="003F7DE8" w:rsidRPr="00C978A9" w:rsidRDefault="003F7DE8" w:rsidP="003F7DE8">
            <w:pPr>
              <w:jc w:val="center"/>
              <w:rPr>
                <w:rFonts w:ascii="Times New Roman" w:eastAsia="Arial" w:hAnsi="Times New Roman" w:cs="Arial"/>
                <w:noProof/>
                <w:sz w:val="24"/>
                <w:szCs w:val="20"/>
              </w:rPr>
            </w:pPr>
            <w:r>
              <w:rPr>
                <w:rFonts w:ascii="Times New Roman" w:hAnsi="Times New Roman"/>
                <w:noProof/>
                <w:sz w:val="24"/>
              </w:rPr>
              <w:t>Visaptverošs cenu indekss</w:t>
            </w:r>
          </w:p>
        </w:tc>
        <w:tc>
          <w:tcPr>
            <w:tcW w:w="625" w:type="pct"/>
            <w:vMerge w:val="restart"/>
            <w:tcBorders>
              <w:top w:val="nil"/>
              <w:left w:val="nil"/>
              <w:right w:val="nil"/>
            </w:tcBorders>
            <w:vAlign w:val="center"/>
          </w:tcPr>
          <w:p w:rsidR="003F7DE8" w:rsidRDefault="003F7DE8" w:rsidP="003F7DE8">
            <w:pPr>
              <w:jc w:val="center"/>
              <w:rPr>
                <w:rFonts w:ascii="Times New Roman" w:hAnsi="Times New Roman"/>
                <w:noProof/>
                <w:sz w:val="24"/>
              </w:rPr>
            </w:pPr>
            <w:r>
              <w:rPr>
                <w:rFonts w:ascii="Times New Roman" w:hAnsi="Times New Roman"/>
                <w:noProof/>
                <w:sz w:val="24"/>
              </w:rPr>
              <w:t>Procenti</w:t>
            </w:r>
          </w:p>
        </w:tc>
        <w:tc>
          <w:tcPr>
            <w:tcW w:w="1017" w:type="pct"/>
            <w:vMerge w:val="restart"/>
            <w:tcBorders>
              <w:top w:val="nil"/>
              <w:left w:val="nil"/>
              <w:right w:val="nil"/>
            </w:tcBorders>
            <w:vAlign w:val="center"/>
          </w:tcPr>
          <w:p w:rsidR="003F7DE8" w:rsidRDefault="00853CC5" w:rsidP="003F7DE8">
            <w:pPr>
              <w:jc w:val="center"/>
              <w:rPr>
                <w:rFonts w:ascii="Times New Roman" w:hAnsi="Times New Roman"/>
                <w:noProof/>
                <w:sz w:val="24"/>
              </w:rPr>
            </w:pPr>
            <w:r>
              <w:rPr>
                <w:rFonts w:ascii="Times New Roman" w:hAnsi="Times New Roman"/>
                <w:noProof/>
                <w:sz w:val="24"/>
              </w:rPr>
              <w:t>Pārvērtēšana</w:t>
            </w:r>
          </w:p>
        </w:tc>
        <w:tc>
          <w:tcPr>
            <w:tcW w:w="859" w:type="pct"/>
            <w:tcBorders>
              <w:top w:val="nil"/>
              <w:left w:val="nil"/>
            </w:tcBorders>
            <w:vAlign w:val="bottom"/>
          </w:tcPr>
          <w:p w:rsidR="003F7DE8" w:rsidRDefault="003F7DE8" w:rsidP="003F7DE8">
            <w:pPr>
              <w:jc w:val="center"/>
              <w:rPr>
                <w:rFonts w:ascii="Times New Roman" w:hAnsi="Times New Roman"/>
                <w:noProof/>
                <w:sz w:val="24"/>
              </w:rPr>
            </w:pPr>
            <w:r>
              <w:rPr>
                <w:rFonts w:ascii="Times New Roman" w:hAnsi="Times New Roman"/>
                <w:noProof/>
                <w:sz w:val="24"/>
              </w:rPr>
              <w:t>Obligācija</w:t>
            </w:r>
          </w:p>
        </w:tc>
      </w:tr>
      <w:tr w:rsidR="003F7DE8" w:rsidTr="003F7DE8">
        <w:tc>
          <w:tcPr>
            <w:tcW w:w="1483" w:type="pct"/>
            <w:tcBorders>
              <w:top w:val="nil"/>
              <w:bottom w:val="single" w:sz="4" w:space="0" w:color="auto"/>
              <w:right w:val="nil"/>
            </w:tcBorders>
          </w:tcPr>
          <w:p w:rsidR="003F7DE8" w:rsidRDefault="003F7DE8" w:rsidP="00523A0A">
            <w:pPr>
              <w:jc w:val="both"/>
              <w:rPr>
                <w:rFonts w:ascii="Times New Roman" w:hAnsi="Times New Roman"/>
                <w:noProof/>
                <w:sz w:val="24"/>
              </w:rPr>
            </w:pPr>
          </w:p>
        </w:tc>
        <w:tc>
          <w:tcPr>
            <w:tcW w:w="1016" w:type="pct"/>
            <w:tcBorders>
              <w:left w:val="nil"/>
              <w:bottom w:val="single" w:sz="4" w:space="0" w:color="auto"/>
              <w:right w:val="nil"/>
            </w:tcBorders>
          </w:tcPr>
          <w:p w:rsidR="003F7DE8" w:rsidRDefault="003F7DE8" w:rsidP="003F7DE8">
            <w:pPr>
              <w:jc w:val="center"/>
              <w:rPr>
                <w:rFonts w:ascii="Times New Roman" w:hAnsi="Times New Roman"/>
                <w:noProof/>
                <w:sz w:val="24"/>
              </w:rPr>
            </w:pPr>
            <w:r>
              <w:rPr>
                <w:rFonts w:ascii="Times New Roman" w:hAnsi="Times New Roman"/>
                <w:noProof/>
                <w:sz w:val="24"/>
              </w:rPr>
              <w:t>Perioda beigas</w:t>
            </w:r>
          </w:p>
        </w:tc>
        <w:tc>
          <w:tcPr>
            <w:tcW w:w="625" w:type="pct"/>
            <w:vMerge/>
            <w:tcBorders>
              <w:left w:val="nil"/>
              <w:bottom w:val="single" w:sz="4" w:space="0" w:color="auto"/>
              <w:right w:val="nil"/>
            </w:tcBorders>
          </w:tcPr>
          <w:p w:rsidR="003F7DE8" w:rsidRDefault="003F7DE8" w:rsidP="003F7DE8">
            <w:pPr>
              <w:jc w:val="center"/>
              <w:rPr>
                <w:rFonts w:ascii="Times New Roman" w:hAnsi="Times New Roman"/>
                <w:noProof/>
                <w:sz w:val="24"/>
              </w:rPr>
            </w:pPr>
          </w:p>
        </w:tc>
        <w:tc>
          <w:tcPr>
            <w:tcW w:w="1017" w:type="pct"/>
            <w:vMerge/>
            <w:tcBorders>
              <w:left w:val="nil"/>
              <w:bottom w:val="single" w:sz="4" w:space="0" w:color="auto"/>
              <w:right w:val="nil"/>
            </w:tcBorders>
          </w:tcPr>
          <w:p w:rsidR="003F7DE8" w:rsidRDefault="003F7DE8" w:rsidP="003F7DE8">
            <w:pPr>
              <w:jc w:val="center"/>
              <w:rPr>
                <w:rFonts w:ascii="Times New Roman" w:hAnsi="Times New Roman"/>
                <w:noProof/>
                <w:sz w:val="24"/>
              </w:rPr>
            </w:pPr>
          </w:p>
        </w:tc>
        <w:tc>
          <w:tcPr>
            <w:tcW w:w="859" w:type="pct"/>
            <w:tcBorders>
              <w:left w:val="nil"/>
            </w:tcBorders>
          </w:tcPr>
          <w:p w:rsidR="003F7DE8" w:rsidRDefault="003F7DE8" w:rsidP="003F7DE8">
            <w:pPr>
              <w:jc w:val="center"/>
              <w:rPr>
                <w:rFonts w:ascii="Times New Roman" w:hAnsi="Times New Roman"/>
                <w:noProof/>
                <w:sz w:val="24"/>
              </w:rPr>
            </w:pPr>
            <w:r>
              <w:rPr>
                <w:rFonts w:ascii="Times New Roman" w:hAnsi="Times New Roman"/>
                <w:noProof/>
                <w:sz w:val="24"/>
              </w:rPr>
              <w:t>31. decembris</w:t>
            </w:r>
          </w:p>
        </w:tc>
      </w:tr>
      <w:tr w:rsidR="003F7DE8" w:rsidTr="003F7DE8">
        <w:tc>
          <w:tcPr>
            <w:tcW w:w="1483" w:type="pct"/>
            <w:tcBorders>
              <w:bottom w:val="single" w:sz="4" w:space="0" w:color="auto"/>
              <w:right w:val="nil"/>
            </w:tcBorders>
          </w:tcPr>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1. gads</w:t>
            </w:r>
          </w:p>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2. gads</w:t>
            </w:r>
          </w:p>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3. gads</w:t>
            </w:r>
          </w:p>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4. gads</w:t>
            </w:r>
          </w:p>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5. gads</w:t>
            </w:r>
          </w:p>
        </w:tc>
        <w:tc>
          <w:tcPr>
            <w:tcW w:w="1016" w:type="pct"/>
            <w:tcBorders>
              <w:left w:val="nil"/>
              <w:bottom w:val="single" w:sz="4" w:space="0" w:color="auto"/>
              <w:righ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107.0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113.0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129.0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148.0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140.3</w:t>
            </w:r>
          </w:p>
        </w:tc>
        <w:tc>
          <w:tcPr>
            <w:tcW w:w="625" w:type="pct"/>
            <w:tcBorders>
              <w:left w:val="nil"/>
              <w:bottom w:val="single" w:sz="4" w:space="0" w:color="auto"/>
              <w:righ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70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60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160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190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-77</w:t>
            </w:r>
          </w:p>
        </w:tc>
        <w:tc>
          <w:tcPr>
            <w:tcW w:w="1017" w:type="pct"/>
            <w:tcBorders>
              <w:left w:val="nil"/>
              <w:bottom w:val="single" w:sz="4" w:space="0" w:color="auto"/>
              <w:righ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-12</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-17</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58</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10</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-39</w:t>
            </w:r>
          </w:p>
        </w:tc>
        <w:tc>
          <w:tcPr>
            <w:tcW w:w="859" w:type="pct"/>
            <w:tcBorders>
              <w:lef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1,058</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1,101</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1,319</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1,519</w:t>
            </w:r>
          </w:p>
          <w:p w:rsidR="003F7DE8"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1,403</w:t>
            </w:r>
          </w:p>
        </w:tc>
      </w:tr>
      <w:tr w:rsidR="003F7DE8" w:rsidTr="003F7DE8">
        <w:trPr>
          <w:trHeight w:val="395"/>
        </w:trPr>
        <w:tc>
          <w:tcPr>
            <w:tcW w:w="1483" w:type="pct"/>
            <w:tcBorders>
              <w:right w:val="nil"/>
            </w:tcBorders>
          </w:tcPr>
          <w:p w:rsidR="00C978A9" w:rsidRDefault="00C978A9" w:rsidP="003F7DE8">
            <w:pPr>
              <w:ind w:left="251"/>
              <w:jc w:val="both"/>
              <w:rPr>
                <w:rFonts w:ascii="Times New Roman" w:eastAsia="Arial" w:hAnsi="Times New Roman" w:cs="Arial"/>
                <w:noProof/>
                <w:sz w:val="24"/>
                <w:szCs w:val="20"/>
              </w:rPr>
            </w:pPr>
            <w:r>
              <w:rPr>
                <w:rFonts w:ascii="Times New Roman" w:hAnsi="Times New Roman"/>
                <w:noProof/>
                <w:sz w:val="24"/>
              </w:rPr>
              <w:t>1.–5. gads</w:t>
            </w:r>
          </w:p>
        </w:tc>
        <w:tc>
          <w:tcPr>
            <w:tcW w:w="1016" w:type="pct"/>
            <w:tcBorders>
              <w:left w:val="nil"/>
              <w:right w:val="nil"/>
            </w:tcBorders>
          </w:tcPr>
          <w:p w:rsidR="00C978A9" w:rsidRDefault="00C978A9" w:rsidP="00C978A9">
            <w:pPr>
              <w:jc w:val="both"/>
              <w:rPr>
                <w:rFonts w:ascii="Times New Roman" w:eastAsia="Arial" w:hAnsi="Times New Roman" w:cs="Arial"/>
                <w:noProof/>
                <w:sz w:val="24"/>
                <w:szCs w:val="20"/>
              </w:rPr>
            </w:pPr>
          </w:p>
        </w:tc>
        <w:tc>
          <w:tcPr>
            <w:tcW w:w="625" w:type="pct"/>
            <w:tcBorders>
              <w:left w:val="nil"/>
              <w:righ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403</w:t>
            </w:r>
          </w:p>
        </w:tc>
        <w:tc>
          <w:tcPr>
            <w:tcW w:w="1017" w:type="pct"/>
            <w:tcBorders>
              <w:left w:val="nil"/>
              <w:right w:val="nil"/>
            </w:tcBorders>
          </w:tcPr>
          <w:p w:rsidR="00C978A9" w:rsidRDefault="003F7DE8" w:rsidP="003F7DE8">
            <w:pPr>
              <w:jc w:val="center"/>
              <w:rPr>
                <w:rFonts w:ascii="Times New Roman" w:eastAsia="Arial" w:hAnsi="Times New Roman" w:cs="Arial"/>
                <w:noProof/>
                <w:sz w:val="24"/>
                <w:szCs w:val="20"/>
              </w:rPr>
            </w:pPr>
            <w:r>
              <w:rPr>
                <w:rFonts w:ascii="Times New Roman" w:eastAsia="Arial" w:hAnsi="Times New Roman" w:cs="Arial"/>
                <w:noProof/>
                <w:sz w:val="24"/>
                <w:szCs w:val="20"/>
              </w:rPr>
              <w:t>0</w:t>
            </w:r>
          </w:p>
        </w:tc>
        <w:tc>
          <w:tcPr>
            <w:tcW w:w="859" w:type="pct"/>
            <w:tcBorders>
              <w:left w:val="nil"/>
            </w:tcBorders>
          </w:tcPr>
          <w:p w:rsidR="00C978A9" w:rsidRDefault="00C978A9" w:rsidP="00C978A9">
            <w:pPr>
              <w:jc w:val="both"/>
              <w:rPr>
                <w:rFonts w:ascii="Times New Roman" w:eastAsia="Arial" w:hAnsi="Times New Roman" w:cs="Arial"/>
                <w:noProof/>
                <w:sz w:val="24"/>
                <w:szCs w:val="20"/>
              </w:rPr>
            </w:pPr>
          </w:p>
        </w:tc>
      </w:tr>
      <w:tr w:rsidR="00C978A9" w:rsidTr="00C978A9">
        <w:tc>
          <w:tcPr>
            <w:tcW w:w="5000" w:type="pct"/>
            <w:gridSpan w:val="5"/>
          </w:tcPr>
          <w:p w:rsidR="003F7DE8" w:rsidRDefault="003F7DE8" w:rsidP="00523A0A">
            <w:pPr>
              <w:jc w:val="both"/>
              <w:rPr>
                <w:rFonts w:ascii="Times New Roman" w:hAnsi="Times New Roman"/>
                <w:noProof/>
                <w:sz w:val="24"/>
              </w:rPr>
            </w:pPr>
          </w:p>
          <w:p w:rsidR="00C978A9" w:rsidRDefault="00C978A9" w:rsidP="00523A0A">
            <w:pPr>
              <w:jc w:val="both"/>
              <w:rPr>
                <w:rFonts w:ascii="Times New Roman" w:eastAsia="Arial" w:hAnsi="Times New Roman" w:cs="Arial"/>
                <w:noProof/>
                <w:sz w:val="24"/>
                <w:szCs w:val="20"/>
              </w:rPr>
            </w:pPr>
            <w:r>
              <w:rPr>
                <w:rFonts w:ascii="Times New Roman" w:hAnsi="Times New Roman"/>
                <w:noProof/>
                <w:sz w:val="24"/>
              </w:rPr>
              <w:t>Piezīmes.</w:t>
            </w:r>
          </w:p>
          <w:p w:rsidR="00C978A9" w:rsidRDefault="00C978A9" w:rsidP="00073FEC">
            <w:pPr>
              <w:pStyle w:val="ListParagraph"/>
              <w:numPr>
                <w:ilvl w:val="0"/>
                <w:numId w:val="33"/>
              </w:numPr>
              <w:ind w:hanging="578"/>
              <w:jc w:val="both"/>
              <w:rPr>
                <w:rFonts w:ascii="Times New Roman" w:eastAsia="Arial" w:hAnsi="Times New Roman" w:cs="Arial"/>
                <w:noProof/>
                <w:sz w:val="24"/>
                <w:szCs w:val="20"/>
              </w:rPr>
            </w:pPr>
            <w:r>
              <w:rPr>
                <w:rFonts w:ascii="Times New Roman" w:hAnsi="Times New Roman"/>
                <w:noProof/>
                <w:sz w:val="24"/>
              </w:rPr>
              <w:t>Kopējie procenti piecu gadu periodā (t. i., 403) ir noteikti, pamatojoties uz indeksa vērtības maiņu (t. i., 40,3 procentu pieaugums).</w:t>
            </w:r>
          </w:p>
          <w:p w:rsidR="00C978A9" w:rsidRDefault="00C978A9" w:rsidP="00073FEC">
            <w:pPr>
              <w:pStyle w:val="ListParagraph"/>
              <w:numPr>
                <w:ilvl w:val="0"/>
                <w:numId w:val="33"/>
              </w:numPr>
              <w:ind w:hanging="578"/>
              <w:jc w:val="both"/>
              <w:rPr>
                <w:rFonts w:ascii="Times New Roman" w:eastAsia="Arial" w:hAnsi="Times New Roman" w:cs="Arial"/>
                <w:noProof/>
                <w:sz w:val="24"/>
                <w:szCs w:val="20"/>
              </w:rPr>
            </w:pPr>
            <w:r>
              <w:rPr>
                <w:rFonts w:ascii="Times New Roman" w:hAnsi="Times New Roman"/>
                <w:noProof/>
                <w:sz w:val="24"/>
              </w:rPr>
              <w:t>Tā kā šī ir obligācija, pārvērtēšana notiek arī tirgus apstākļos notiekošo izmaiņu dēļ, piemēram, tādēļ, ka mainās tirgus procentu likmes, kredītvērtējums un prognozes par turpmāko indeksa attīstību. Tomēr attiecībā uz visu obligācijas darbības laiku tās ir vienādas ar nulli, ja obligācija tiek atmaksāta indeksētajā vērtībā.</w:t>
            </w:r>
          </w:p>
          <w:p w:rsidR="00C978A9" w:rsidRDefault="00C978A9" w:rsidP="00073FEC">
            <w:pPr>
              <w:pStyle w:val="ListParagraph"/>
              <w:numPr>
                <w:ilvl w:val="0"/>
                <w:numId w:val="33"/>
              </w:numPr>
              <w:ind w:hanging="578"/>
              <w:jc w:val="both"/>
              <w:rPr>
                <w:rFonts w:ascii="Times New Roman" w:eastAsia="Arial" w:hAnsi="Times New Roman" w:cs="Arial"/>
                <w:noProof/>
                <w:sz w:val="24"/>
                <w:szCs w:val="20"/>
              </w:rPr>
            </w:pPr>
            <w:r>
              <w:rPr>
                <w:rFonts w:ascii="Times New Roman" w:hAnsi="Times New Roman"/>
                <w:noProof/>
                <w:sz w:val="24"/>
              </w:rPr>
              <w:t>Negatīvas procentu vērtības var rasties laika posmos, kad samazinās indeksa vērtība.</w:t>
            </w:r>
          </w:p>
          <w:p w:rsidR="00C978A9" w:rsidRPr="00C978A9" w:rsidRDefault="00C978A9" w:rsidP="00073FEC">
            <w:pPr>
              <w:pStyle w:val="ListParagraph"/>
              <w:numPr>
                <w:ilvl w:val="0"/>
                <w:numId w:val="33"/>
              </w:numPr>
              <w:ind w:hanging="578"/>
              <w:jc w:val="both"/>
              <w:rPr>
                <w:rFonts w:ascii="Times New Roman" w:eastAsia="Arial" w:hAnsi="Times New Roman" w:cs="Arial"/>
                <w:noProof/>
                <w:sz w:val="24"/>
                <w:szCs w:val="20"/>
              </w:rPr>
            </w:pPr>
            <w:r>
              <w:rPr>
                <w:rFonts w:ascii="Times New Roman" w:hAnsi="Times New Roman"/>
                <w:noProof/>
                <w:sz w:val="24"/>
              </w:rPr>
              <w:t>Atbilstīgais ieraksts attiecībā uz uzkrātajiem procentiem ir parāda vērtspapīru pieaugums finanšu kontā.</w:t>
            </w:r>
          </w:p>
          <w:p w:rsidR="00C978A9" w:rsidRPr="00C978A9" w:rsidRDefault="00C978A9" w:rsidP="00523A0A">
            <w:pPr>
              <w:pStyle w:val="ListParagraph"/>
              <w:numPr>
                <w:ilvl w:val="0"/>
                <w:numId w:val="33"/>
              </w:numPr>
              <w:ind w:hanging="578"/>
              <w:jc w:val="both"/>
              <w:rPr>
                <w:rFonts w:ascii="Times New Roman" w:eastAsia="Arial" w:hAnsi="Times New Roman" w:cs="Arial"/>
                <w:noProof/>
                <w:sz w:val="24"/>
                <w:szCs w:val="20"/>
              </w:rPr>
            </w:pPr>
            <w:r>
              <w:rPr>
                <w:rFonts w:ascii="Times New Roman" w:hAnsi="Times New Roman"/>
                <w:noProof/>
                <w:sz w:val="24"/>
              </w:rPr>
              <w:t>Tirgus procentu likmju vērtību maiņa izraisa izmaiņas obligācijas vērtībā, taču procentu aprēķins paliek neskarts.</w:t>
            </w:r>
          </w:p>
        </w:tc>
      </w:tr>
    </w:tbl>
    <w:p w:rsidR="00073FEC" w:rsidRPr="001973D0" w:rsidRDefault="00073FEC" w:rsidP="00073FEC">
      <w:pPr>
        <w:jc w:val="both"/>
        <w:rPr>
          <w:rFonts w:ascii="Times New Roman" w:eastAsia="Arial" w:hAnsi="Times New Roman" w:cs="Arial"/>
          <w:noProof/>
          <w:sz w:val="24"/>
        </w:rPr>
      </w:pPr>
    </w:p>
    <w:p w:rsidR="00073FEC" w:rsidRDefault="00073FEC" w:rsidP="00073FEC">
      <w:pPr>
        <w:pStyle w:val="Heading6"/>
        <w:tabs>
          <w:tab w:val="left" w:pos="2036"/>
        </w:tabs>
        <w:jc w:val="both"/>
        <w:rPr>
          <w:rFonts w:ascii="Times New Roman" w:hAnsi="Times New Roman"/>
          <w:noProof/>
          <w:sz w:val="24"/>
        </w:rPr>
      </w:pPr>
      <w:bookmarkStart w:id="125" w:name="II.4.3.12_Short-term_negotiable_instrume"/>
      <w:bookmarkEnd w:id="125"/>
      <w:r>
        <w:rPr>
          <w:rFonts w:ascii="Times New Roman" w:hAnsi="Times New Roman"/>
          <w:noProof/>
          <w:sz w:val="24"/>
        </w:rPr>
        <w:t>II.4.3.12. Īstermiņa apgrozāmie instrumenti</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EKS 2010 5.1. pielikumā “Finanšu darījumu klasifikācija” 5.A1.14. punktā precīzi noteikts, ka par īsu atmaksāšanas termiņu uzskatāms termiņš, kas nav ilgāks par vienu gadu (instrumenta termiņš vai paziņojums par atmaksāšanu pēc kreditora pieprasījuma). Lielākā daļa centrālo valdību emitē valsts kases parādzīmes uz šādu termiņu. Kā </w:t>
      </w:r>
      <w:r>
        <w:rPr>
          <w:rFonts w:ascii="Times New Roman" w:hAnsi="Times New Roman"/>
          <w:noProof/>
          <w:sz w:val="24"/>
        </w:rPr>
        <w:lastRenderedPageBreak/>
        <w:t>norādīts iepriekš, šie instrumenti ir izdoti ar diskontu (vai prēmiju), kas tiek traktēts kā instrumenta darbības laikā uzkrātie procenti. Kopumā kopējā summa, ko valdība emitējusi ar šiem īstermiņa instrumentiem, var ievērojami atšķirties gadu no gada tirgus apstākļu nepastāvības dēļ. Līdz ar to valdības īstermiņa finanšu statistikā ir svarīgi spēt pareizi iekļaut uzkrātos procentus attiecīgajā fiskālajā gadā vai ceturksnī.</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26" w:name="II.4.3.13_Instruments_with_step-up_inter"/>
      <w:bookmarkEnd w:id="126"/>
      <w:r>
        <w:rPr>
          <w:rFonts w:ascii="Times New Roman" w:hAnsi="Times New Roman"/>
          <w:noProof/>
          <w:sz w:val="24"/>
        </w:rPr>
        <w:t>II.4.3.13. Instrumenti ar pieaugošu procentu likmi un instrumenti ar atvieglojumu periodu</w:t>
      </w:r>
    </w:p>
    <w:p w:rsidR="00073FEC" w:rsidRPr="001973D0" w:rsidRDefault="00073FEC" w:rsidP="00073FEC">
      <w:pPr>
        <w:pStyle w:val="Heading6"/>
        <w:tabs>
          <w:tab w:val="left" w:pos="2016"/>
        </w:tabs>
        <w:jc w:val="both"/>
        <w:rPr>
          <w:rFonts w:ascii="Times New Roman" w:hAnsi="Times New Roman"/>
          <w:noProof/>
          <w:sz w:val="24"/>
        </w:rPr>
      </w:pPr>
    </w:p>
    <w:p w:rsidR="00073FEC" w:rsidRPr="00F06FF8"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Īpaša kārtība paredzēta attiecībā uz instrumentiem ar “pieaugošu procentu likmi”'. Valdība var turēt vai emitēt vērtspapīrus vai citus parāda vērtspapīrus, kad kupons vai līgumsaistībās noteikts procentu maksājumu profils (regulāri maksājumi noteiktos datumos) apliecina “pieauguma” (vai otrādi – “samazinājuma”) profilu, pamatojoties uz nemainīgu procentu likmju sēriju, kas noteikta sākumā attiecībā uz secīgiem periodiem (piemēram, </w:t>
      </w:r>
      <w:r>
        <w:rPr>
          <w:rFonts w:ascii="Times New Roman" w:hAnsi="Times New Roman"/>
          <w:i/>
          <w:noProof/>
          <w:sz w:val="24"/>
        </w:rPr>
        <w:t>x</w:t>
      </w:r>
      <w:r>
        <w:rPr>
          <w:rFonts w:ascii="Times New Roman" w:hAnsi="Times New Roman"/>
          <w:noProof/>
          <w:sz w:val="24"/>
        </w:rPr>
        <w:t xml:space="preserve"> % 1.–4. gadā, </w:t>
      </w:r>
      <w:r>
        <w:rPr>
          <w:rFonts w:ascii="Times New Roman" w:hAnsi="Times New Roman"/>
          <w:i/>
          <w:noProof/>
          <w:sz w:val="24"/>
        </w:rPr>
        <w:t>x</w:t>
      </w:r>
      <w:r>
        <w:rPr>
          <w:rFonts w:ascii="Times New Roman" w:hAnsi="Times New Roman"/>
          <w:noProof/>
          <w:sz w:val="24"/>
        </w:rPr>
        <w:t>+1 % 5.–8. gadā u. tml.). Turklāt šādus vērtspapīrus var emitēt ar diskontu, kas tiek uzskatīts par procentiem, kuri sadalīti pa visu instrumenta darbības laiku (sk. EKS 2010 4.46. punktu un iepriekš II.4.3.6. apakšiedaļu “Instrumenti, kas emitēti ar diskontu”). Kā minēts II.4.3.2. apakšiedaļā “Debitora pieeja”, uzkrātos procentus nosaka saskaņā ar šo pieeju, pamatojoties uz “aizņemšanās izmaksām”, kas konstatētas laikā, kad izveidots instruments. Līdz ar to procenti jāuzkrāj, izmantojot tirgus likmi (ienesīgums līdz termiņa beigām) vai līgumā noteikto likmi, kas pieejama instrumenta darbības laika sākumā. Procenti, kas nav izmaksāti tajā pašā periodā, tiek uzkrāti un jāuzskata par atkārtoti ieguldītiem atbilstoši instrumentam; līdz ar to attiecībā uz tiem tiek piemērota tā pati procentu likme (sk. iepriekš II.4.3.3. un II.4.3.4. apakšiedaļu) neatkarīgi no tā, kurā brīdī tie tiek izmaksāti (sk. turpmāk 1. ierāmējumu “Pieaugums un atvieglojumu periods”).</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Dažos finanšu instrumentos var būt iekļauts procentu atvieglojumu periods parasti attiecībā uz pirmajiem gadiem, kuru laikā debitoram nav jāmaksā kreditoram(-iem) procenti. Šādi instrumenti parasti ir valdības finanšu aktīvi, piemēram, aizdevumi, taču ir novēroti arī gadījumi (lai arī ne bieži), kad šādu atvieglojumu periodu piemēro attiecībā uz valdības saistībām. Šis gadījums ir minēts EKS 2010 4.102. pu</w:t>
      </w:r>
      <w:r w:rsidR="00793609">
        <w:rPr>
          <w:rFonts w:ascii="Times New Roman" w:hAnsi="Times New Roman"/>
          <w:noProof/>
          <w:sz w:val="24"/>
        </w:rPr>
        <w:t>nktā, taču procentu ierakstīšana</w:t>
      </w:r>
      <w:r>
        <w:rPr>
          <w:rFonts w:ascii="Times New Roman" w:hAnsi="Times New Roman"/>
          <w:noProof/>
          <w:sz w:val="24"/>
        </w:rPr>
        <w:t xml:space="preserve"> tajā nav norādīta.</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Debitora pieeja principā nozīmē to, ka procenti gan par aktīviem, gan saistībām jāuzkrāj visā instrumenta darbības laikā, tostarp atvieglojumu periodā, pamatojoties uz attiecīgo tirgus likmi, kas novērota sākumā (ienesīgums līdz termiņa beigām), vai līgumā noteikto likmi, kas pieejama sākumā (sk. turpmāk 1. ierāmējumu “Pieaugums un atvieglojumu periods”, kurā atvieglojuma periods tiek pieņemts kā vienkāršs “pieaugošas procentu likmes” parāda instrumenta gadījums, kad pirmo izmaksāto kuponu vērtība vienāda ar nulli).</w:t>
      </w:r>
    </w:p>
    <w:p w:rsidR="00073FEC"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Tomēr izņēmuma kārtā atvieglojumu periodā procenti nav jāuzkrāj, ja tiek precīzi un kopīgi izpildīti abi turpmāk minētie nosacījumi.</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9"/>
        </w:numPr>
        <w:tabs>
          <w:tab w:val="left" w:pos="1602"/>
        </w:tabs>
        <w:spacing w:before="0"/>
        <w:ind w:left="1134" w:hanging="425"/>
        <w:jc w:val="both"/>
        <w:rPr>
          <w:rFonts w:ascii="Times New Roman" w:hAnsi="Times New Roman"/>
          <w:noProof/>
          <w:sz w:val="24"/>
        </w:rPr>
      </w:pPr>
      <w:r>
        <w:rPr>
          <w:rFonts w:ascii="Times New Roman" w:hAnsi="Times New Roman"/>
          <w:noProof/>
          <w:sz w:val="24"/>
        </w:rPr>
        <w:t>Atvieglojumu periodā emitentam ir tiesības izpirkt instrumenta pamatsummu (iespējams, tostarp arī proporcionālu diskontu maksājumu). Jebkurš papildu maksājums tiks uzskatīts par atlīdzības formu.</w:t>
      </w:r>
    </w:p>
    <w:p w:rsidR="00073FEC" w:rsidRPr="001973D0" w:rsidRDefault="00073FEC" w:rsidP="00073FEC">
      <w:pPr>
        <w:pStyle w:val="BodyText"/>
        <w:numPr>
          <w:ilvl w:val="0"/>
          <w:numId w:val="9"/>
        </w:numPr>
        <w:tabs>
          <w:tab w:val="left" w:pos="1602"/>
        </w:tabs>
        <w:spacing w:before="0"/>
        <w:ind w:left="1134" w:hanging="425"/>
        <w:jc w:val="both"/>
        <w:rPr>
          <w:rFonts w:ascii="Times New Roman" w:hAnsi="Times New Roman"/>
          <w:noProof/>
          <w:sz w:val="24"/>
        </w:rPr>
      </w:pPr>
      <w:r>
        <w:rPr>
          <w:rFonts w:ascii="Times New Roman" w:hAnsi="Times New Roman"/>
          <w:noProof/>
          <w:sz w:val="24"/>
        </w:rPr>
        <w:t>Pēc atvieglojumu perioda debitors nekompensē procentu maksājumu neveikšanu atvieglojumu perioda laikā, piemēram, palielinot regulāros procentu maksājumus par iepriekš neizmaksātajām summām vai piemērojot augstāku kupona likmi salīdzinājumā ar līdzīgiem instrumentiem, attiecībā uz kuriem tajā pašā laikā netika piemērots atvieglojumu periods.</w:t>
      </w:r>
    </w:p>
    <w:p w:rsidR="00073FEC" w:rsidRPr="001973D0" w:rsidRDefault="00073FEC" w:rsidP="00073FEC">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073FEC" w:rsidTr="003F7DE8">
        <w:tc>
          <w:tcPr>
            <w:tcW w:w="5000" w:type="pct"/>
            <w:tcBorders>
              <w:bottom w:val="nil"/>
            </w:tcBorders>
          </w:tcPr>
          <w:p w:rsidR="00073FEC" w:rsidRPr="001973D0" w:rsidRDefault="00073FEC" w:rsidP="00523A0A">
            <w:pPr>
              <w:pStyle w:val="Heading6"/>
              <w:jc w:val="both"/>
              <w:outlineLvl w:val="5"/>
              <w:rPr>
                <w:rFonts w:ascii="Times New Roman" w:hAnsi="Times New Roman"/>
                <w:noProof/>
                <w:sz w:val="24"/>
              </w:rPr>
            </w:pPr>
            <w:r>
              <w:rPr>
                <w:rFonts w:ascii="Times New Roman" w:hAnsi="Times New Roman"/>
                <w:noProof/>
                <w:sz w:val="24"/>
              </w:rPr>
              <w:lastRenderedPageBreak/>
              <w:t>2. ierāmējums. Analītisks piemērs</w:t>
            </w:r>
          </w:p>
          <w:p w:rsidR="00073FEC" w:rsidRPr="001973D0" w:rsidRDefault="00073FEC" w:rsidP="00523A0A">
            <w:pPr>
              <w:jc w:val="both"/>
              <w:rPr>
                <w:rFonts w:ascii="Times New Roman" w:eastAsia="Arial" w:hAnsi="Times New Roman" w:cs="Arial"/>
                <w:b/>
                <w:bCs/>
                <w:noProof/>
                <w:sz w:val="24"/>
                <w:szCs w:val="14"/>
              </w:rPr>
            </w:pP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Šis piemērs vienlaikus attiecināms uz jautājumiem, kas apspriesti 33. un 34. rindkopā. Aizdevumu gadījums ir apspriests otrajā daļā.</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ir emitējusi parāda vērtspapīru ar šādu kuponu shēmu: nulle pirmo piecu gadu laikā (“atvieglojumu” periods), 4 nākamajos 5 gados un 9,92 nākamajos 5 gados pēc tam. Pieņemsim, ka nav izpildīts neviens no 36. rindkopā minētajiem diviem nosacījumiem.</w:t>
            </w:r>
          </w:p>
          <w:p w:rsidR="005A7579"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Pieņemsim, ka tirgus procentu likme parāda vērtspapīra emisijas laikā ir 4 %</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un nemainās visā periodā, emisijas vērtība ir 100 un vienāda ar izpirkšanas vērtību (diskonts un prēmija netiek izmantoti). Saskaņā ar “debitora pieeju” (sk. II.4.3.2. apakšiedaļu) procentu uzkrāšanai visā vērtspapīra darbības laikā jāizmanto sākotnējā tirgus likme (kas atšķiras no “kupona likmes”).</w:t>
            </w:r>
          </w:p>
          <w:p w:rsidR="005A7579"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Tirgus vērtība (vai neto paš</w:t>
            </w:r>
            <w:r w:rsidR="00793609">
              <w:rPr>
                <w:rFonts w:ascii="Times New Roman" w:hAnsi="Times New Roman"/>
                <w:noProof/>
                <w:sz w:val="24"/>
              </w:rPr>
              <w:t>reizējā vērtība), kas jāieraksta</w:t>
            </w:r>
            <w:r>
              <w:rPr>
                <w:rFonts w:ascii="Times New Roman" w:hAnsi="Times New Roman"/>
                <w:noProof/>
                <w:sz w:val="24"/>
              </w:rPr>
              <w:t xml:space="preserve"> valdības EKS bilancē, šajā vienkāršotajā piemērā ir vienāda ar emisijas vērtību, kas pakāpeniski pieaugusi, kapitalizējot uzkrātos procentus (līdzīgi piemērotā kupona atkārtotai ieguldīšanai), taču nav izmaksāti katrā periodā, tirgus likmei nemainoties attiecībā uz līdzīgām obligācijām, ko izdevusi šī vienība.</w:t>
            </w:r>
          </w:p>
          <w:p w:rsidR="00073FEC" w:rsidRPr="001973D0" w:rsidRDefault="00073FEC" w:rsidP="00523A0A">
            <w:pPr>
              <w:pStyle w:val="BodyText"/>
              <w:spacing w:before="0"/>
              <w:ind w:left="0" w:firstLine="0"/>
              <w:jc w:val="both"/>
              <w:rPr>
                <w:rFonts w:ascii="Times New Roman" w:hAnsi="Times New Roman"/>
                <w:noProof/>
                <w:sz w:val="24"/>
              </w:rPr>
            </w:pP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Šajā gadījumā procentu plūsmas uzskaite atbilstīgi uzkrāšanas principam EKS nevar katrā periodā būt vienāda ar faktiskajiem kupona maksājumiem, kas atspoguļo samaksātos procentus, taču ne uzkrātos procentus.</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Turpmākajā tabulā AF.33 ailē (saistības) norādīta parāda vērtspapīru “tirgus vērtība” katra uzskaite</w:t>
            </w:r>
            <w:r w:rsidR="000C5FD1">
              <w:rPr>
                <w:rFonts w:ascii="Times New Roman" w:hAnsi="Times New Roman"/>
                <w:noProof/>
                <w:sz w:val="24"/>
              </w:rPr>
              <w:t>s perioda beigās, kas jāieraksta</w:t>
            </w:r>
            <w:r>
              <w:rPr>
                <w:rFonts w:ascii="Times New Roman" w:hAnsi="Times New Roman"/>
                <w:noProof/>
                <w:sz w:val="24"/>
              </w:rPr>
              <w:t xml:space="preserve"> valdības EKS bilancē. Tirgus vērtība ir vienāda ar neto pašreizējo vērtību (NPV) katra uzskaites perioda beigās, pamatojoties uz (šajā piemērā nemainīgu visā periodā) tirgus procentu likmi 4 % apmērā (pieņemot arī to, ka nav kredītriska).</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Procenti (D.41) ir summa, kas valdībai ir jāmaksā parāda vērtspapīra turētājam uzskaites periodā, nesamazinot neatmaksāto pamatsummu. Šis ir vispārējs princips, kas tiek piemērots attiecībā uz visiem finanšu instrumentiem.</w:t>
            </w:r>
          </w:p>
          <w:p w:rsidR="00073FEC" w:rsidRDefault="00073FEC" w:rsidP="00523A0A">
            <w:pPr>
              <w:jc w:val="both"/>
              <w:rPr>
                <w:rFonts w:ascii="Times New Roman" w:hAnsi="Times New Roman"/>
                <w:noProof/>
                <w:sz w:val="24"/>
              </w:rPr>
            </w:pPr>
            <w:r>
              <w:rPr>
                <w:rFonts w:ascii="Times New Roman" w:hAnsi="Times New Roman"/>
                <w:noProof/>
                <w:sz w:val="24"/>
              </w:rPr>
              <w:t xml:space="preserve">Līdz ar to </w:t>
            </w:r>
            <w:r>
              <w:rPr>
                <w:rFonts w:ascii="Times New Roman" w:hAnsi="Times New Roman"/>
                <w:b/>
                <w:noProof/>
                <w:sz w:val="24"/>
              </w:rPr>
              <w:t>procentiem (D.41) attiecībā uz parāda vērtspapīriem (F.3)</w:t>
            </w:r>
            <w:r>
              <w:rPr>
                <w:rFonts w:ascii="Times New Roman" w:hAnsi="Times New Roman"/>
                <w:noProof/>
                <w:sz w:val="24"/>
              </w:rPr>
              <w:t xml:space="preserve"> katrā uzskaites periodā ir divi komponenti (sk. EKS 2010 4.46. punkta b) apakšpunktu):</w:t>
            </w:r>
          </w:p>
          <w:p w:rsidR="00073FEC" w:rsidRPr="001973D0" w:rsidRDefault="00073FEC" w:rsidP="00523A0A">
            <w:pPr>
              <w:jc w:val="both"/>
              <w:rPr>
                <w:rFonts w:ascii="Times New Roman" w:eastAsia="Arial" w:hAnsi="Times New Roman" w:cs="Arial"/>
                <w:noProof/>
                <w:sz w:val="24"/>
              </w:rPr>
            </w:pPr>
          </w:p>
          <w:p w:rsidR="00073FEC" w:rsidRPr="001973D0" w:rsidRDefault="00073FEC" w:rsidP="00073FEC">
            <w:pPr>
              <w:pStyle w:val="BodyText"/>
              <w:numPr>
                <w:ilvl w:val="1"/>
                <w:numId w:val="9"/>
              </w:numPr>
              <w:tabs>
                <w:tab w:val="left" w:pos="2342"/>
              </w:tabs>
              <w:spacing w:before="0"/>
              <w:ind w:left="709" w:hanging="567"/>
              <w:jc w:val="both"/>
              <w:rPr>
                <w:rFonts w:ascii="Times New Roman" w:hAnsi="Times New Roman"/>
                <w:noProof/>
                <w:sz w:val="24"/>
              </w:rPr>
            </w:pPr>
            <w:r>
              <w:rPr>
                <w:rFonts w:ascii="Times New Roman" w:hAnsi="Times New Roman"/>
                <w:noProof/>
                <w:sz w:val="24"/>
              </w:rPr>
              <w:t>naudas ienākuma summa, kas valdībai jāmaksā no kupona maksājumiem attiecīgajā uzskaites periodā;</w:t>
            </w:r>
          </w:p>
          <w:p w:rsidR="00073FEC" w:rsidRDefault="00073FEC" w:rsidP="00073FEC">
            <w:pPr>
              <w:pStyle w:val="BodyText"/>
              <w:numPr>
                <w:ilvl w:val="1"/>
                <w:numId w:val="9"/>
              </w:numPr>
              <w:tabs>
                <w:tab w:val="left" w:pos="2342"/>
              </w:tabs>
              <w:spacing w:before="0"/>
              <w:ind w:left="709" w:hanging="567"/>
              <w:jc w:val="both"/>
              <w:rPr>
                <w:rFonts w:ascii="Times New Roman" w:hAnsi="Times New Roman"/>
                <w:noProof/>
                <w:sz w:val="24"/>
              </w:rPr>
            </w:pPr>
            <w:r>
              <w:rPr>
                <w:rFonts w:ascii="Times New Roman" w:hAnsi="Times New Roman"/>
                <w:noProof/>
                <w:sz w:val="24"/>
              </w:rPr>
              <w:t>procentu summa, kas uzkrājas attiecīgajā laika posmā un ir attiecināma uz starpību starp izpirkšanas cenu un emisijas cenu, ko aprēķina tāpat kā bezkupona obligācijām, proti, saskaņā ar debitora pieeju.</w:t>
            </w:r>
          </w:p>
          <w:p w:rsidR="00073FEC" w:rsidRPr="001973D0" w:rsidRDefault="00073FEC" w:rsidP="00523A0A">
            <w:pPr>
              <w:pStyle w:val="BodyText"/>
              <w:tabs>
                <w:tab w:val="left" w:pos="2342"/>
              </w:tabs>
              <w:spacing w:before="0"/>
              <w:ind w:left="0" w:firstLine="0"/>
              <w:jc w:val="both"/>
              <w:rPr>
                <w:rFonts w:ascii="Times New Roman" w:hAnsi="Times New Roman"/>
                <w:noProof/>
                <w:sz w:val="24"/>
              </w:rPr>
            </w:pP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Šajā saistībā katrā periodā uzkrātie procenti (D.41, maksājamie) ir vienādi ar izmaksātā kupona summu, kurai pieskaitīta parāda vērtspapīra tirgus vērtības maiņa tajā pašā laika posmā.</w:t>
            </w:r>
          </w:p>
          <w:p w:rsidR="00073FEC" w:rsidRPr="001973D0" w:rsidRDefault="00073FEC" w:rsidP="00523A0A">
            <w:pPr>
              <w:jc w:val="both"/>
              <w:rPr>
                <w:rFonts w:ascii="Times New Roman" w:eastAsia="Arial" w:hAnsi="Times New Roman" w:cs="Arial"/>
                <w:noProof/>
                <w:sz w:val="24"/>
                <w:szCs w:val="32"/>
              </w:rPr>
            </w:pPr>
          </w:p>
          <w:p w:rsidR="00073FEC" w:rsidRPr="001973D0" w:rsidRDefault="00073FEC" w:rsidP="00523A0A">
            <w:pPr>
              <w:pStyle w:val="Heading6"/>
              <w:jc w:val="both"/>
              <w:outlineLvl w:val="5"/>
              <w:rPr>
                <w:rFonts w:ascii="Times New Roman" w:hAnsi="Times New Roman"/>
                <w:noProof/>
                <w:sz w:val="24"/>
              </w:rPr>
            </w:pPr>
            <w:r>
              <w:rPr>
                <w:rFonts w:ascii="Times New Roman" w:hAnsi="Times New Roman"/>
                <w:noProof/>
                <w:sz w:val="24"/>
              </w:rPr>
              <w:t>Atvieglojumu perioda/pieaugošas procentu likmes piemērs attiecībā uz vērtspapīru</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Pamatsumma: 100 (emisijas un izpirkšanas vērtība).</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Sākotnējā tirgus procentu likme: 4 % (nemainīga visā periodā).</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Kuponi: 1.–5. gadā 0; 6.–10. gadā 4; 11.–15. gadā 9,92.</w:t>
            </w:r>
          </w:p>
          <w:p w:rsidR="00073FEC" w:rsidRPr="00F06FF8"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Kupons 9,92 vērtībā ir noteikts tā, lai neto pašreizējā vērtība būtu vienāda ar 100, pamatojoties uz sākumā novēroto tirgus procentu likmi 4 % apmērā (uzkrātie procenti tiek pilnīgi samaksāti kreditoriem attiecīgajā laika posmā).</w:t>
            </w:r>
          </w:p>
        </w:tc>
      </w:tr>
      <w:tr w:rsidR="00073FEC" w:rsidTr="003F7DE8">
        <w:tc>
          <w:tcPr>
            <w:tcW w:w="5000" w:type="pct"/>
            <w:tcBorders>
              <w:top w:val="nil"/>
            </w:tcBorders>
          </w:tcPr>
          <w:p w:rsidR="00073FEC" w:rsidRDefault="00073FEC" w:rsidP="00523A0A">
            <w:pPr>
              <w:jc w:val="both"/>
              <w:rPr>
                <w:rFonts w:ascii="Times New Roman" w:hAnsi="Times New Roman"/>
                <w:noProof/>
                <w:sz w:val="24"/>
              </w:rPr>
            </w:pPr>
            <w:r>
              <w:rPr>
                <w:rFonts w:ascii="Times New Roman" w:hAnsi="Times New Roman"/>
                <w:noProof/>
                <w:sz w:val="24"/>
              </w:rPr>
              <w:t>D.41, maksājamā summa tiek iegūta, kupona summai pieskaitot instrumenta tirgus vērtības pieaugumu no iepriekšējā perioda.</w:t>
            </w:r>
          </w:p>
          <w:p w:rsidR="00073FEC" w:rsidRDefault="00073FEC" w:rsidP="00523A0A">
            <w:pPr>
              <w:jc w:val="both"/>
              <w:rPr>
                <w:rFonts w:ascii="Times New Roman" w:hAnsi="Times New Roman"/>
                <w:noProof/>
                <w:sz w:val="24"/>
              </w:rPr>
            </w:pPr>
          </w:p>
          <w:tbl>
            <w:tblPr>
              <w:tblpPr w:leftFromText="180" w:rightFromText="180" w:vertAnchor="text" w:horzAnchor="margin" w:tblpXSpec="center" w:tblpY="189"/>
              <w:tblOverlap w:val="never"/>
              <w:tblW w:w="5000" w:type="pct"/>
              <w:tblCellMar>
                <w:left w:w="0" w:type="dxa"/>
                <w:right w:w="0" w:type="dxa"/>
              </w:tblCellMar>
              <w:tblLook w:val="01E0" w:firstRow="1" w:lastRow="1" w:firstColumn="1" w:lastColumn="1" w:noHBand="0" w:noVBand="0"/>
            </w:tblPr>
            <w:tblGrid>
              <w:gridCol w:w="1623"/>
              <w:gridCol w:w="1372"/>
              <w:gridCol w:w="1737"/>
              <w:gridCol w:w="1299"/>
              <w:gridCol w:w="1389"/>
              <w:gridCol w:w="1589"/>
            </w:tblGrid>
            <w:tr w:rsidR="00073FEC" w:rsidRPr="00F06FF8" w:rsidTr="003F7DE8">
              <w:trPr>
                <w:trHeight w:hRule="exact" w:val="426"/>
              </w:trPr>
              <w:tc>
                <w:tcPr>
                  <w:tcW w:w="900"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Gada maksa</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Tirgus vērtība</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AF.33L</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F.33L</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D.41 Maksājamā vērtība</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Emisija</w:t>
                  </w:r>
                </w:p>
              </w:tc>
              <w:tc>
                <w:tcPr>
                  <w:tcW w:w="761"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100,00</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100,00</w:t>
                  </w:r>
                </w:p>
              </w:tc>
              <w:tc>
                <w:tcPr>
                  <w:tcW w:w="771"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882"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104,00</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104,00</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4,00</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4,00</w:t>
                  </w: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2</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108,16</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108,16</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4,16</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4,16</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3</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112,48</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112,48</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4,33</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4,33</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116,98</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116,98</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4,50</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4,50</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121,66</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121,66</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4,68</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4,68</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6</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122,53</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122,53</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0,87</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4,87</w:t>
                  </w: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7</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123,43</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123,43</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0,90</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4,90</w:t>
                  </w: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8</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124,37</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124,37</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0,94</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4,94</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9</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125,34</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125,34</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0,97</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4,97</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126,35</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126,35</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1,01</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5,01</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9,92</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121,49</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121,49</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-4,87</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5,05</w:t>
                  </w:r>
                </w:p>
              </w:tc>
            </w:tr>
            <w:tr w:rsidR="00073FEC" w:rsidRPr="00F06FF8" w:rsidTr="00523A0A">
              <w:trPr>
                <w:trHeight w:hRule="exact" w:val="220"/>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12</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9,92</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116,43</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116,43</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-5,06</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4,86</w:t>
                  </w: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13</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9,92</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111,17</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111,17</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-5,26</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4,66</w:t>
                  </w:r>
                </w:p>
              </w:tc>
            </w:tr>
            <w:tr w:rsidR="00073FEC" w:rsidRPr="00F06FF8" w:rsidTr="00523A0A">
              <w:trPr>
                <w:trHeight w:hRule="exact" w:val="219"/>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14</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9,92</w:t>
                  </w:r>
                </w:p>
              </w:tc>
              <w:tc>
                <w:tcPr>
                  <w:tcW w:w="964"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105,69</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105,69</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-5,47</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4,45</w:t>
                  </w:r>
                </w:p>
              </w:tc>
            </w:tr>
            <w:tr w:rsidR="00073FEC" w:rsidRPr="00F06FF8" w:rsidTr="003F7DE8">
              <w:trPr>
                <w:trHeight w:hRule="exact" w:val="222"/>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15</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109,92</w:t>
                  </w:r>
                </w:p>
              </w:tc>
              <w:tc>
                <w:tcPr>
                  <w:tcW w:w="964" w:type="pct"/>
                  <w:tcBorders>
                    <w:top w:val="nil"/>
                    <w:left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0,00</w:t>
                  </w:r>
                </w:p>
              </w:tc>
              <w:tc>
                <w:tcPr>
                  <w:tcW w:w="72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0,00</w:t>
                  </w:r>
                </w:p>
              </w:tc>
              <w:tc>
                <w:tcPr>
                  <w:tcW w:w="77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-105,69</w:t>
                  </w: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noProof/>
                      <w:sz w:val="20"/>
                      <w:szCs w:val="20"/>
                    </w:rPr>
                  </w:pPr>
                  <w:r>
                    <w:rPr>
                      <w:rFonts w:ascii="Times New Roman" w:hAnsi="Times New Roman"/>
                      <w:noProof/>
                      <w:sz w:val="20"/>
                    </w:rPr>
                    <w:t>4,23</w:t>
                  </w:r>
                </w:p>
              </w:tc>
            </w:tr>
            <w:tr w:rsidR="00073FEC" w:rsidRPr="00F06FF8" w:rsidTr="003F7DE8">
              <w:trPr>
                <w:trHeight w:hRule="exact" w:val="307"/>
              </w:trPr>
              <w:tc>
                <w:tcPr>
                  <w:tcW w:w="900"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b/>
                      <w:noProof/>
                      <w:sz w:val="20"/>
                      <w:szCs w:val="20"/>
                    </w:rPr>
                  </w:pPr>
                  <w:r>
                    <w:rPr>
                      <w:rFonts w:ascii="Times New Roman" w:hAnsi="Times New Roman"/>
                      <w:b/>
                      <w:noProof/>
                      <w:sz w:val="20"/>
                    </w:rPr>
                    <w:t>Kopējie procenti</w:t>
                  </w:r>
                </w:p>
              </w:tc>
              <w:tc>
                <w:tcPr>
                  <w:tcW w:w="761"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b/>
                      <w:noProof/>
                      <w:sz w:val="20"/>
                      <w:szCs w:val="20"/>
                    </w:rPr>
                  </w:pPr>
                  <w:r>
                    <w:rPr>
                      <w:rFonts w:ascii="Times New Roman" w:hAnsi="Times New Roman"/>
                      <w:b/>
                      <w:noProof/>
                      <w:sz w:val="20"/>
                    </w:rPr>
                    <w:t>69,90</w:t>
                  </w:r>
                </w:p>
              </w:tc>
              <w:tc>
                <w:tcPr>
                  <w:tcW w:w="964" w:type="pct"/>
                  <w:tcBorders>
                    <w:top w:val="nil"/>
                    <w:left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721"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771" w:type="pct"/>
                  <w:tcBorders>
                    <w:top w:val="nil"/>
                    <w:left w:val="nil"/>
                    <w:bottom w:val="nil"/>
                    <w:right w:val="nil"/>
                  </w:tcBorders>
                  <w:vAlign w:val="center"/>
                </w:tcPr>
                <w:p w:rsidR="00073FEC" w:rsidRPr="00F06FF8" w:rsidRDefault="00073FEC" w:rsidP="00523A0A">
                  <w:pPr>
                    <w:rPr>
                      <w:rFonts w:ascii="Times New Roman" w:hAnsi="Times New Roman" w:cs="Times New Roman"/>
                      <w:noProof/>
                      <w:sz w:val="20"/>
                      <w:szCs w:val="20"/>
                    </w:rPr>
                  </w:pPr>
                </w:p>
              </w:tc>
              <w:tc>
                <w:tcPr>
                  <w:tcW w:w="882" w:type="pct"/>
                  <w:tcBorders>
                    <w:top w:val="nil"/>
                    <w:left w:val="nil"/>
                    <w:bottom w:val="nil"/>
                    <w:right w:val="nil"/>
                  </w:tcBorders>
                  <w:vAlign w:val="center"/>
                </w:tcPr>
                <w:p w:rsidR="00073FEC" w:rsidRPr="00F06FF8" w:rsidRDefault="00073FEC" w:rsidP="00523A0A">
                  <w:pPr>
                    <w:pStyle w:val="TableParagraph"/>
                    <w:rPr>
                      <w:rFonts w:ascii="Times New Roman" w:hAnsi="Times New Roman" w:cs="Times New Roman"/>
                      <w:b/>
                      <w:noProof/>
                      <w:sz w:val="20"/>
                      <w:szCs w:val="20"/>
                    </w:rPr>
                  </w:pPr>
                  <w:r>
                    <w:rPr>
                      <w:rFonts w:ascii="Times New Roman" w:hAnsi="Times New Roman"/>
                      <w:b/>
                      <w:noProof/>
                      <w:sz w:val="20"/>
                    </w:rPr>
                    <w:t>69,90</w:t>
                  </w:r>
                </w:p>
              </w:tc>
            </w:tr>
          </w:tbl>
          <w:p w:rsidR="00073FEC" w:rsidRDefault="00073FEC" w:rsidP="00523A0A">
            <w:pPr>
              <w:jc w:val="both"/>
              <w:rPr>
                <w:rFonts w:ascii="Times New Roman" w:hAnsi="Times New Roman"/>
                <w:noProof/>
                <w:sz w:val="24"/>
              </w:rPr>
            </w:pPr>
          </w:p>
          <w:p w:rsidR="00073FEC" w:rsidRPr="001973D0" w:rsidRDefault="00073FEC" w:rsidP="00523A0A">
            <w:pPr>
              <w:pStyle w:val="Heading6"/>
              <w:jc w:val="both"/>
              <w:outlineLvl w:val="5"/>
              <w:rPr>
                <w:rFonts w:ascii="Times New Roman" w:hAnsi="Times New Roman"/>
                <w:noProof/>
                <w:sz w:val="24"/>
              </w:rPr>
            </w:pPr>
            <w:r>
              <w:rPr>
                <w:rFonts w:ascii="Times New Roman" w:hAnsi="Times New Roman"/>
                <w:noProof/>
                <w:sz w:val="24"/>
              </w:rPr>
              <w:t>Netirgojami instrumenti</w:t>
            </w:r>
          </w:p>
          <w:p w:rsidR="003F7DE8" w:rsidRDefault="003F7DE8" w:rsidP="00523A0A">
            <w:pPr>
              <w:pStyle w:val="BodyText"/>
              <w:spacing w:before="0"/>
              <w:ind w:left="0" w:firstLine="0"/>
              <w:jc w:val="both"/>
              <w:rPr>
                <w:rFonts w:ascii="Times New Roman" w:hAnsi="Times New Roman"/>
                <w:noProof/>
                <w:sz w:val="24"/>
              </w:rPr>
            </w:pP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Īpaša uzmanība jāpievērš </w:t>
            </w:r>
            <w:r>
              <w:rPr>
                <w:rFonts w:ascii="Times New Roman" w:hAnsi="Times New Roman"/>
                <w:b/>
                <w:noProof/>
                <w:sz w:val="24"/>
              </w:rPr>
              <w:t>aizdevumiem</w:t>
            </w:r>
            <w:r>
              <w:rPr>
                <w:rFonts w:ascii="Times New Roman" w:hAnsi="Times New Roman"/>
                <w:noProof/>
                <w:sz w:val="24"/>
              </w:rPr>
              <w:t xml:space="preserve"> (un kopumā jebkuram netirgojamam instrumentam, attiecībā uz kuru nav pastāvīga tirgus un na</w:t>
            </w:r>
            <w:r w:rsidR="000C5FD1">
              <w:rPr>
                <w:rFonts w:ascii="Times New Roman" w:hAnsi="Times New Roman"/>
                <w:noProof/>
                <w:sz w:val="24"/>
              </w:rPr>
              <w:t>cionālajos kontos nav jāieraksta</w:t>
            </w:r>
            <w:r>
              <w:rPr>
                <w:rFonts w:ascii="Times New Roman" w:hAnsi="Times New Roman"/>
                <w:noProof/>
                <w:sz w:val="24"/>
              </w:rPr>
              <w:t xml:space="preserve"> tirgus/patiesā vērtība).</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Amortizējama aizdevuma gadījumā ieteicams rīkoties atbilstīgi amortizācijas tabulai, kurā izņēmuma kārtā var paredzēt vairākus secīgus “režīmus” attiecībā uz pamatsummas atmaksas un procentu un procentu maksas sadalījumu ikgadējos maksājumos. Pat tad, ja debitoram nav tiesību uz pirmstermiņa izpirkšanu, jebkurā laikā šī parāda vērtībai precīzi jāatspoguļo tas, kas atspoguļots amortizācijas tabulā, par kuru sākotnēji tika panākta vienošanās.</w:t>
            </w:r>
          </w:p>
          <w:p w:rsidR="00073FEC" w:rsidRPr="001973D0"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Gadījumā, ja aizdevums beigās tiek pilnīgi atmaksāts, jānovērtē, vai tiek atmaksāta vairāku aizdevumu sērija visā perioda garumā vai arī viens aizdevums līdz galīgajam atmaksāšanas termiņam. Kritērijs ir izpirkšanas iespēja katrā apakšperiodā (pat ja tā notiek apakšperioda beigās), norobežota ar konkrēto nominālo procentu likmi, debitoram maksājot uzkrātos procentus, kas nav samaksāti perioda laikā, un, iespējams, arī papildu atlīdzību.</w:t>
            </w:r>
          </w:p>
          <w:p w:rsidR="00073FEC" w:rsidRPr="00F06FF8" w:rsidRDefault="00073FEC" w:rsidP="00523A0A">
            <w:pPr>
              <w:pStyle w:val="BodyText"/>
              <w:spacing w:before="0"/>
              <w:ind w:left="0" w:firstLine="0"/>
              <w:jc w:val="both"/>
              <w:rPr>
                <w:rFonts w:ascii="Times New Roman" w:hAnsi="Times New Roman"/>
                <w:noProof/>
                <w:sz w:val="24"/>
              </w:rPr>
            </w:pPr>
            <w:r>
              <w:rPr>
                <w:rFonts w:ascii="Times New Roman" w:hAnsi="Times New Roman"/>
                <w:noProof/>
                <w:sz w:val="24"/>
              </w:rPr>
              <w:t>Citā gadījumā (kad aizdevums netiek dzēsts pirms galīgā atmaksāšanas termiņa) aizdevums jāuzskata par vienotu aizdevumu un konsekvences nolūkā jāpiemēro traktējums, kas līdzinās tam, kāds tiek piemērots attiecībā uz obligācijām</w:t>
            </w:r>
            <w:r>
              <w:rPr>
                <w:rStyle w:val="FootnoteReference"/>
                <w:rFonts w:ascii="Times New Roman" w:hAnsi="Times New Roman"/>
                <w:noProof/>
                <w:sz w:val="24"/>
              </w:rPr>
              <w:footnoteReference w:id="129"/>
            </w:r>
            <w:r>
              <w:rPr>
                <w:rFonts w:ascii="Times New Roman" w:hAnsi="Times New Roman"/>
                <w:noProof/>
                <w:sz w:val="24"/>
              </w:rPr>
              <w:t xml:space="preserve"> (“tikai viena likme”).</w:t>
            </w:r>
          </w:p>
        </w:tc>
      </w:tr>
    </w:tbl>
    <w:p w:rsidR="00073FEC" w:rsidRPr="001973D0" w:rsidRDefault="00073FEC" w:rsidP="00073FEC">
      <w:pPr>
        <w:jc w:val="both"/>
        <w:rPr>
          <w:rFonts w:ascii="Times New Roman" w:eastAsia="Arial" w:hAnsi="Times New Roman" w:cs="Arial"/>
          <w:noProof/>
          <w:sz w:val="24"/>
          <w:szCs w:val="17"/>
        </w:rPr>
      </w:pPr>
    </w:p>
    <w:p w:rsidR="00073FEC" w:rsidRDefault="00073FEC" w:rsidP="00073FEC">
      <w:pPr>
        <w:pStyle w:val="Heading6"/>
        <w:tabs>
          <w:tab w:val="left" w:pos="2016"/>
        </w:tabs>
        <w:jc w:val="both"/>
        <w:rPr>
          <w:rFonts w:ascii="Times New Roman" w:hAnsi="Times New Roman"/>
          <w:noProof/>
          <w:sz w:val="24"/>
        </w:rPr>
      </w:pPr>
      <w:bookmarkStart w:id="127" w:name="II.4.3.14_Accrued_interest_on_instrument"/>
      <w:bookmarkEnd w:id="127"/>
      <w:r>
        <w:rPr>
          <w:rFonts w:ascii="Times New Roman" w:hAnsi="Times New Roman"/>
          <w:noProof/>
          <w:sz w:val="24"/>
        </w:rPr>
        <w:t>II.4.3.14. Uzkrātie procenti par ārvalstu valūtās izteiktiem instrumentiem</w:t>
      </w:r>
    </w:p>
    <w:p w:rsidR="00073FEC" w:rsidRPr="001973D0" w:rsidRDefault="00073FEC" w:rsidP="00073FEC">
      <w:pPr>
        <w:pStyle w:val="Heading6"/>
        <w:tabs>
          <w:tab w:val="left" w:pos="2016"/>
        </w:tabs>
        <w:jc w:val="both"/>
        <w:rPr>
          <w:rFonts w:ascii="Times New Roman" w:hAnsi="Times New Roman"/>
          <w:noProof/>
          <w:sz w:val="24"/>
        </w:rPr>
      </w:pPr>
    </w:p>
    <w:p w:rsidR="00073FEC"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šādiem finanšu aktīviem un saistībām piemēro parastos noteikumus par uzkrātajiem procentiem, taču īpaša uzmanība ir jāpievērš jautājumam par pārvēršanu valsts valūtā. EKS 2010 6.27. punktā noteikts, ka “nominālie turēšanas guvumi un zaudējumi (K.7), kas attiecas uz aktīvu, neatkarīgi no tā, vai tie ir vai nav realizēti, ir aktīva vērtības pieaugums vai samazinājums, kas rodas tā ekonomiskajam īpašniekam un izriet no aktīva cenas pieauguma vai samazinājuma, tostarp no valūtas kursu svārstībām”. EKS 2010 6.64. punktā noteikts:</w:t>
      </w:r>
    </w:p>
    <w:p w:rsidR="00073FEC" w:rsidRPr="00C123D9"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8"/>
        </w:numPr>
        <w:tabs>
          <w:tab w:val="left" w:pos="1612"/>
        </w:tabs>
        <w:spacing w:before="0"/>
        <w:ind w:left="1134" w:hanging="425"/>
        <w:jc w:val="both"/>
        <w:rPr>
          <w:rFonts w:ascii="Times New Roman" w:hAnsi="Times New Roman"/>
          <w:noProof/>
          <w:sz w:val="24"/>
        </w:rPr>
      </w:pPr>
      <w:r>
        <w:rPr>
          <w:rFonts w:ascii="Times New Roman" w:hAnsi="Times New Roman"/>
          <w:noProof/>
          <w:sz w:val="24"/>
        </w:rPr>
        <w:t>“Tādēļ nominālie turēšanas guvumi un zaudējumi var rasties gan aktīva cenas pārmaiņu dēļ, gan valūtas kursa svārstību dēļ”;</w:t>
      </w:r>
    </w:p>
    <w:p w:rsidR="00073FEC" w:rsidRPr="001973D0" w:rsidRDefault="00073FEC" w:rsidP="00073FEC">
      <w:pPr>
        <w:pStyle w:val="BodyText"/>
        <w:numPr>
          <w:ilvl w:val="0"/>
          <w:numId w:val="8"/>
        </w:numPr>
        <w:tabs>
          <w:tab w:val="left" w:pos="1612"/>
        </w:tabs>
        <w:spacing w:before="0"/>
        <w:ind w:left="1134" w:hanging="425"/>
        <w:jc w:val="both"/>
        <w:rPr>
          <w:rFonts w:ascii="Times New Roman" w:hAnsi="Times New Roman"/>
          <w:noProof/>
          <w:sz w:val="24"/>
        </w:rPr>
      </w:pPr>
      <w:r>
        <w:rPr>
          <w:rFonts w:ascii="Times New Roman" w:hAnsi="Times New Roman"/>
          <w:noProof/>
          <w:sz w:val="24"/>
        </w:rPr>
        <w:lastRenderedPageBreak/>
        <w:t>“ārvalstu valūtā denominētiem aktīviem un saistībām vērtību mēra pēc to faktiskās tirgus vērtības ārvalstu valūtā, kas konvertēta nacionālajā valūtā pēc faktiskā valūtas kursa”.</w:t>
      </w:r>
    </w:p>
    <w:p w:rsidR="00073FEC" w:rsidRPr="001973D0" w:rsidRDefault="00073FEC" w:rsidP="00073FEC">
      <w:pPr>
        <w:pStyle w:val="BodyText"/>
        <w:numPr>
          <w:ilvl w:val="0"/>
          <w:numId w:val="8"/>
        </w:numPr>
        <w:tabs>
          <w:tab w:val="left" w:pos="1612"/>
        </w:tabs>
        <w:spacing w:before="0"/>
        <w:ind w:left="1134" w:hanging="425"/>
        <w:jc w:val="both"/>
        <w:rPr>
          <w:rFonts w:ascii="Times New Roman" w:hAnsi="Times New Roman"/>
          <w:noProof/>
          <w:sz w:val="24"/>
        </w:rPr>
      </w:pPr>
      <w:r>
        <w:rPr>
          <w:rFonts w:ascii="Times New Roman" w:hAnsi="Times New Roman"/>
          <w:noProof/>
          <w:sz w:val="24"/>
        </w:rPr>
        <w:t>“Darījumus ar aktīviem un saistībām, kas denominēti ārvalstu valūtā, konvertē nacionālajā valūtā, izmantojot valūtas kursus laikā, kad šie darījumi notiek”.</w:t>
      </w:r>
    </w:p>
    <w:p w:rsidR="00073FEC" w:rsidRDefault="00073FEC" w:rsidP="00073FEC">
      <w:pPr>
        <w:pStyle w:val="BodyText"/>
        <w:spacing w:before="0"/>
        <w:ind w:left="1134" w:firstLine="0"/>
        <w:jc w:val="both"/>
        <w:rPr>
          <w:rFonts w:ascii="Times New Roman" w:hAnsi="Times New Roman"/>
          <w:noProof/>
          <w:sz w:val="24"/>
        </w:rPr>
      </w:pPr>
      <w:r>
        <w:rPr>
          <w:rFonts w:ascii="Times New Roman" w:hAnsi="Times New Roman"/>
          <w:noProof/>
          <w:sz w:val="24"/>
        </w:rPr>
        <w:t>Attiecīgi nominālie turēšanas guvumi un zaudējumi var rasties tāpēc, ka darījumos izmantotie valūtas kursi atšķiras no bilancēs izmantotajiem valūtas kursiem.</w:t>
      </w:r>
    </w:p>
    <w:p w:rsidR="00073FEC" w:rsidRPr="001973D0"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Ja procenti ir izteikti ārvalstu valūtā, tie jākonvertē valsts valūtā pēc valūtas kursa, kas ir spēkā procentu uzkrāšanas brīdī. Ideālā gadījumā procenti jāuzkrāj katru dienu, un tas jādara, izmantojot dienas valūtas kursu. Praksē šāds aprēķins tiek veikts par periodu, pamatojoties uz vidējo valūtas kursu, kas novērots šajā periodā (nevis izmantojot “tūlītēju” valūtas kursu, kas novērots tikai kādā konkrētā brīdī). Ja procentus uzkrāj ar salikto metodi, teorētiski šāds vidējais maiņas kurss jāizvērtē salīdzinājumā ar uzkrāto procentu summām katrā laikā šajā periodā. Tomēr vienkāršs aritmētisks vidējais, šķiet, ir pieņemams aizstājējs.</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Faktisks procentu maksājums ir darījums ar pamatā esošo instrumentu, kura ekvivalents ir “valūta un noguldījumi” (F.2) un kuram izmanto valūtas kursu datumā, kad ir faktiski veikts maksājums. Lai gan uzkrāto procentu summas, kuras saistītas ar skaidras naudas maksājumiem (ņemot vērā, piemēram, gan kuponus, gan diskontus/prēmijas), ārvalstu valūtā ir pilnīgi vienādas, uzkrātās un izmaksātās procentu summas valsts valūtā var atšķirties valūtas kursa nepastāvīguma dēļ. Tāpēc, visticamāk, pārvērtēšanas kontā būs vajadzīga korekcija. To izraisa atšķirības starp, no vienas puses, “tūlītējo” valūtas kursu, kas novērots šajā laikā (un izmantots nenomaksātās summas konversijai), un, no otras puses, vidējo likmi, kas izmantota procentiem, kuri uzkrāti pēdējā periodā, vai “tūlītējo” likmi, kas novērota iepriekšējā perioda beigās procentiem, kuri iepriekš uzkrāti, bet nav nomaksāti pēdējā periodā.</w:t>
      </w:r>
    </w:p>
    <w:p w:rsidR="00073FEC" w:rsidRPr="001973D0"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Būtībā valūtas kursa sekas ir atšķirīgas no gadījuma ar instrumentiem, kam ir mainīga procentu likme, kuriem uzkrāto un atkārtoti ieguldīto procentu summas korekciju var veikt, kad ir zināma precīza procentu likme. Gadījumā ar ārvalstu valūtās izteiktiem instrumentiem korekcija nav aplēses kļūdas rezultāts, bet izriet no tā, ka darījumi tiek veikti dažādā laikā. Vēlāk, kad notiek šo procentu faktiskais maksājums, pārvērtēšanas kontā tiek veikta jauna korekcija, kuras nepieciešamību, no vienas puses, nosaka starpība starp valūtas kursu šajā laikā un kursu, kas izmantots pēdējā perioda beigās, un, no otras puses, starpība starp likmi, kura izmantota uzkrāšanai kopš perioda sākuma, un likmi maksājuma brīdī.</w:t>
      </w:r>
    </w:p>
    <w:p w:rsidR="00073FEC" w:rsidRPr="00C123D9" w:rsidRDefault="00073FEC" w:rsidP="00073FEC">
      <w:pPr>
        <w:pStyle w:val="BodyText"/>
        <w:numPr>
          <w:ilvl w:val="0"/>
          <w:numId w:val="10"/>
        </w:numPr>
        <w:tabs>
          <w:tab w:val="left" w:pos="1262"/>
        </w:tabs>
        <w:spacing w:before="0"/>
        <w:ind w:left="709" w:hanging="709"/>
        <w:jc w:val="both"/>
        <w:rPr>
          <w:rFonts w:ascii="Times New Roman" w:hAnsi="Times New Roman"/>
          <w:noProof/>
          <w:sz w:val="24"/>
        </w:rPr>
      </w:pPr>
      <w:r>
        <w:rPr>
          <w:rFonts w:ascii="Times New Roman" w:hAnsi="Times New Roman"/>
          <w:noProof/>
          <w:sz w:val="24"/>
        </w:rPr>
        <w:t>Dažreiz, piemēram, gada kompilācijas perioda gadījumā attiecībā uz procentiem, kas maksāti reizi trijos vai sešos mēnešos, vai diskontētiem instrumentiem ar īsāku maksājuma termiņu, starp uzkrāšanas periodu un maksājuma periodu nav nekādas “pārklāšanās”. Principā vajadzīga tikai viena korekcija, kā norādīts iepriekšējās rindkopas beigās. Šādā gadījumā visus procentus uzkrāj un maksā tajā pašā kompilācijas periodā. Jauno prasījumu/saistības, kas izriet no uzkrāto procentu atkārtotas ieguldīšanas, rada un dzēš tajā pašā periodā. Šādā laika mērogā uzkrāto procentu jēdzienu var aplūkot kā diezgan teorētisku. Tādējādi vienkāršošanas nolūkā varētu būt pieņemami valsts valūtā konvertētā faktiskā maksājuma summu ierakstīt tieši īpašuma ienākumā, izvairoties no jebkādas korekcijas.</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No ekonomiskā viedokļa šiem ierakstiem ir būtiska nozīme. Vispār šādu korekciju bieži novēro attiecībā uz finanšu instrumentiem, kuri izteikti ārvalstu valūtā un kuriem darījumus ar pretējām zīmēm (kā saistību rašanās/izbeigšanās) par vienādām summām oriģinālajā valūtā nevar atlīdzināt pēc pārrēķināšanas valsts valūtā.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28" w:name="II.4.3.15_Income_of_mutual_funds"/>
      <w:bookmarkEnd w:id="128"/>
      <w:r>
        <w:rPr>
          <w:rFonts w:ascii="Times New Roman" w:hAnsi="Times New Roman"/>
          <w:noProof/>
          <w:sz w:val="24"/>
        </w:rPr>
        <w:lastRenderedPageBreak/>
        <w:t>II.4.3.15. Kopfondu ienākums</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Vispārējās valdības sektorā klasificētām vienībām var piederēt akcijas, kuras emitējuši kopfond</w:t>
      </w:r>
      <w:r w:rsidR="000C5FD1">
        <w:rPr>
          <w:rFonts w:ascii="Times New Roman" w:hAnsi="Times New Roman"/>
          <w:noProof/>
          <w:sz w:val="24"/>
        </w:rPr>
        <w:t>i. Kopfonda saņemtos ienākumus ieraksta</w:t>
      </w:r>
      <w:r>
        <w:rPr>
          <w:rFonts w:ascii="Times New Roman" w:hAnsi="Times New Roman"/>
          <w:noProof/>
          <w:sz w:val="24"/>
        </w:rPr>
        <w:t xml:space="preserve"> saskaņā ar EKS 2010 noteikumiem, t. i., atbilstoši uzkrāšanas principam attiecībā uz procentiem, bet attiecībā uz dividendēm pēc akcijas cenas “bezdividenžu” laikā (praksē – faktiskajā maksājuma datumā). Ienākumus, kas piešķirti akcionāriem, uzskata par atkārtoti ieguldītiem. Kopfondu saņemtos ienākumus, no kuriem ir atskaitīta maksa par pārvaldību, sistēmā uzskata par finanšu pakalpojumiem, nevis par sadales darījumu. Tā kā šie ienākumi tiek automātiski un pastāvīgi</w:t>
      </w:r>
      <w:r>
        <w:rPr>
          <w:rStyle w:val="FootnoteReference"/>
          <w:rFonts w:ascii="Times New Roman" w:hAnsi="Times New Roman"/>
          <w:noProof/>
          <w:sz w:val="24"/>
        </w:rPr>
        <w:footnoteReference w:id="130"/>
      </w:r>
      <w:r w:rsidR="000C5FD1">
        <w:rPr>
          <w:rFonts w:ascii="Times New Roman" w:hAnsi="Times New Roman"/>
          <w:noProof/>
          <w:sz w:val="24"/>
        </w:rPr>
        <w:t xml:space="preserve"> piedēvēti turētājiem, tie jāieraksta</w:t>
      </w:r>
      <w:r>
        <w:rPr>
          <w:rFonts w:ascii="Times New Roman" w:hAnsi="Times New Roman"/>
          <w:noProof/>
          <w:sz w:val="24"/>
        </w:rPr>
        <w:t xml:space="preserve"> brīdī, kad tie “nopelnīti”, proti, atbilstoši uzkrāšanas principam, un ar tādiem pašiem nosacījumiem kā citiem parāda instrumentiem neatkarīgi no tā, vai šie ienākumi tiek sadalīti regulāri vai kapitalizēti un tādējādi automātiski iekļauti akcijas vērtībā.</w:t>
      </w:r>
    </w:p>
    <w:p w:rsidR="00073FEC" w:rsidRPr="001973D0" w:rsidRDefault="00073FEC" w:rsidP="00073FEC">
      <w:pPr>
        <w:jc w:val="both"/>
        <w:rPr>
          <w:rFonts w:ascii="Times New Roman" w:hAnsi="Times New Roman"/>
          <w:noProof/>
          <w:sz w:val="24"/>
        </w:rPr>
      </w:pPr>
    </w:p>
    <w:p w:rsidR="00073FEC" w:rsidRDefault="00073FEC" w:rsidP="00073FEC">
      <w:pPr>
        <w:pStyle w:val="Heading6"/>
        <w:tabs>
          <w:tab w:val="left" w:pos="2016"/>
        </w:tabs>
        <w:jc w:val="both"/>
        <w:rPr>
          <w:rFonts w:ascii="Times New Roman" w:hAnsi="Times New Roman"/>
          <w:noProof/>
          <w:sz w:val="24"/>
        </w:rPr>
      </w:pPr>
      <w:bookmarkStart w:id="129" w:name="II.4.3.16_Early_redemption_of_debt_instr"/>
      <w:bookmarkEnd w:id="129"/>
      <w:r>
        <w:rPr>
          <w:rFonts w:ascii="Times New Roman" w:hAnsi="Times New Roman"/>
          <w:noProof/>
          <w:sz w:val="24"/>
        </w:rPr>
        <w:t>II.4.3.16. Parāda instrumentu pirmstermiņa izpirkšana (tostarp apmaiņa)</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Neatkarīgi no instrumenta debitoram var būt tiesības lauzt sākotnējo līgumu un atlīdzināt savu parādu pirms sākumā saskaņotā maksājuma termiņa. Dažos gadījumos viņam tas jāpaziņo noteiktu laiku iepriekš. Parasti kreditoriem ir tiesības uz kompensāciju.</w:t>
      </w:r>
    </w:p>
    <w:p w:rsidR="00073FEC" w:rsidRPr="001973D0"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Vērtspapīru gadījumā pirmstermiņa izpirkšana var notikt kā atpirkšana tirgū, ko veic emitents. Tā arī var tikt īstenota vērtspapīru apmaiņas rezultātā. Emitents pieprasa kādas īpašas obligācijas un apmaiņā sniedz jaunu vērtspapīru vai jaunu iepriekš emitēta vērtspapīra laidienu. Tiek ņemta vērā starpība, ko dažkārt dēvē par prēmiju, starp nominālo vērtību un reālo izpirkuma vērtību. Ja šī starpība ir pozitīva, tad turētājam tie ir turēšanas guvumi, bet emitentam – </w:t>
      </w:r>
      <w:r w:rsidR="000C5FD1">
        <w:rPr>
          <w:rFonts w:ascii="Times New Roman" w:hAnsi="Times New Roman"/>
          <w:noProof/>
          <w:sz w:val="24"/>
        </w:rPr>
        <w:t>turēšanas zaudējumi, ko ieraksta</w:t>
      </w:r>
      <w:r>
        <w:rPr>
          <w:rFonts w:ascii="Times New Roman" w:hAnsi="Times New Roman"/>
          <w:noProof/>
          <w:sz w:val="24"/>
        </w:rPr>
        <w:t xml:space="preserve"> attiecīgajos pārvērtēšanas kontos. Saskaņā ar EKS 2010 finanšu instrumentus būtībā vērtē pašreizējās cenās, jo īpaši attiecībā uz parāda vērtspapīriem. Tādējādi ienākumi/zaudējumi ir vienādi ar starpību starp nenomaksātās summas vērtību iepriekšējā perioda beigās un apmaiņas cenu. Šādas obligāciju maiņas traktējums ļoti līdzinās tādiem darījumiem ar obligācijām otrreizējos tirgos, kas notiek starp vērtspapīru turētājiem.</w:t>
      </w:r>
    </w:p>
    <w:p w:rsidR="00073FEC" w:rsidRPr="009A18E9"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Apmaiņā pastāv līdzvērtība starp summu, ko izpērk emitents, un jauno summu, kuru emitē, iespējams, ar skaidras naudas maksājumu par jebkādu vērtības maksimālo starpību. Attiecībā uz obligācijām ar regulāriem procentu maksājumiem emitents papildus vēl arī maksā par uzkrāto kuponu. Šāda apmaiņa var notikt saistībā ar īpašām operācijām, lai samazinātu nominālo parādu, un tas nozīmē, ka attiecībā uz iepriekšējām obligācijām var būt piemērots diskonts, kas augstāks par novēroto tirgus cenu, ja tāda pastāv (emitents var būt nonācis grūtībās, kas atspoguļojas tirgus traucējumos vai tā parāda instrumentu ļoti augstā nepastāvībā).</w:t>
      </w:r>
      <w:r>
        <w:rPr>
          <w:rStyle w:val="FootnoteReference"/>
          <w:rFonts w:ascii="Times New Roman" w:hAnsi="Times New Roman"/>
          <w:noProof/>
          <w:sz w:val="24"/>
        </w:rPr>
        <w:footnoteReference w:id="131"/>
      </w:r>
      <w:r>
        <w:rPr>
          <w:rFonts w:ascii="Times New Roman" w:hAnsi="Times New Roman"/>
          <w:noProof/>
          <w:sz w:val="24"/>
        </w:rPr>
        <w:t xml:space="preserve"> Jebkurā gadījumā, t. i., neatkarīgi no apmaiņas procedūras, apmaiņas laikā netiek ietekmēts neto aizņēmums/aizdevums (B.9).</w:t>
      </w:r>
    </w:p>
    <w:p w:rsidR="00073FEC"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Pirmstermiņa izpirkšana iespējama arī aizdevumu gadījumā. Debitoram var būt atļauts atmaksāt aizdevumu pirms galīgā atmaksāšanas termiņa, un bieži vien bankai tiesību aktos ir piešķirtas tiesības pieprasīt kompensāciju. Šo kompensāciju nacionālajos kontos nevar uzskatīt ne par kapitāla pārvedumu, ne par aizdevuma ņēmēja turētas opcijas </w:t>
      </w:r>
      <w:r>
        <w:rPr>
          <w:rFonts w:ascii="Times New Roman" w:hAnsi="Times New Roman"/>
          <w:noProof/>
          <w:sz w:val="24"/>
        </w:rPr>
        <w:lastRenderedPageBreak/>
        <w:t>iekasēšanas cenu, ne par pakalpojuma maksu. Pareizs traktējums ir atkarīgs no tā, kā aprēķina kompensāciju. Jānošķir divi turpmākie gadījumi.</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0"/>
          <w:numId w:val="7"/>
        </w:numPr>
        <w:tabs>
          <w:tab w:val="left" w:pos="1602"/>
        </w:tabs>
        <w:spacing w:before="0"/>
        <w:ind w:left="1134" w:hanging="425"/>
        <w:jc w:val="both"/>
        <w:rPr>
          <w:rFonts w:ascii="Times New Roman" w:hAnsi="Times New Roman"/>
          <w:noProof/>
          <w:sz w:val="24"/>
        </w:rPr>
      </w:pPr>
      <w:r>
        <w:rPr>
          <w:rFonts w:ascii="Times New Roman" w:hAnsi="Times New Roman"/>
          <w:noProof/>
          <w:sz w:val="24"/>
        </w:rPr>
        <w:t>Ja kompensācija ir vienāda ar procentu summu (piemēram, ar procentu maksājumu par 6 mēnešus ilgu laika posmu atbilstīgi līgumā noteiktajai likmei tā, it kā pirmstermiņa izpirkšana faktiski notiktu trīs/sešus mēnešus vēlāk) attiecībā uz pamatsummu, kas atlikusi izpirkšanas brīdī, to traktē kā papildu procentus. Tomēr, atkāpjoties no uzkrāšan</w:t>
      </w:r>
      <w:r w:rsidR="000C5FD1">
        <w:rPr>
          <w:rFonts w:ascii="Times New Roman" w:hAnsi="Times New Roman"/>
          <w:noProof/>
          <w:sz w:val="24"/>
        </w:rPr>
        <w:t>as principa, to varētu ierakstīt</w:t>
      </w:r>
      <w:r>
        <w:rPr>
          <w:rFonts w:ascii="Times New Roman" w:hAnsi="Times New Roman"/>
          <w:noProof/>
          <w:sz w:val="24"/>
        </w:rPr>
        <w:t xml:space="preserve"> vienīgi maksājuma laikā un nedrīkst sadalīt pa visu laika posmu, kurā aizdevums ir bijis spēkā. Tas ietekmētu neto aizņēmumu/aizdevumu (B.9).</w:t>
      </w:r>
    </w:p>
    <w:p w:rsidR="00073FEC" w:rsidRDefault="00073FEC" w:rsidP="00073FEC">
      <w:pPr>
        <w:pStyle w:val="BodyText"/>
        <w:numPr>
          <w:ilvl w:val="0"/>
          <w:numId w:val="7"/>
        </w:numPr>
        <w:tabs>
          <w:tab w:val="left" w:pos="1602"/>
        </w:tabs>
        <w:spacing w:before="0"/>
        <w:ind w:left="1134" w:hanging="425"/>
        <w:jc w:val="both"/>
        <w:rPr>
          <w:rFonts w:ascii="Times New Roman" w:hAnsi="Times New Roman"/>
          <w:noProof/>
          <w:sz w:val="24"/>
        </w:rPr>
      </w:pPr>
      <w:r>
        <w:rPr>
          <w:rFonts w:ascii="Times New Roman" w:hAnsi="Times New Roman"/>
          <w:noProof/>
          <w:sz w:val="24"/>
        </w:rPr>
        <w:t>Ja kompensācija tiek aprēķināta kā nemainīga procentuāla daļa (piemēram, 3 %) no atlikušās pama</w:t>
      </w:r>
      <w:r w:rsidR="000C5FD1">
        <w:rPr>
          <w:rFonts w:ascii="Times New Roman" w:hAnsi="Times New Roman"/>
          <w:noProof/>
          <w:sz w:val="24"/>
        </w:rPr>
        <w:t>tsummas, kompensācija jāieraksta</w:t>
      </w:r>
      <w:r>
        <w:rPr>
          <w:rFonts w:ascii="Times New Roman" w:hAnsi="Times New Roman"/>
          <w:noProof/>
          <w:sz w:val="24"/>
        </w:rPr>
        <w:t xml:space="preserve"> kā (aizdevēja) turēšanas guvums un (aizdevuma ņēmēja) turēšanas zaudējumi. Šo kompensāciju faktiski pieskaita pamatsummai.</w:t>
      </w:r>
    </w:p>
    <w:p w:rsidR="00073FEC" w:rsidRPr="001973D0" w:rsidRDefault="00073FEC" w:rsidP="00073FEC">
      <w:pPr>
        <w:pStyle w:val="BodyText"/>
        <w:tabs>
          <w:tab w:val="left" w:pos="1602"/>
        </w:tabs>
        <w:spacing w:before="0"/>
        <w:ind w:left="0" w:firstLine="0"/>
        <w:jc w:val="both"/>
        <w:rPr>
          <w:rFonts w:ascii="Times New Roman" w:hAnsi="Times New Roman"/>
          <w:noProof/>
          <w:sz w:val="24"/>
        </w:rPr>
      </w:pPr>
    </w:p>
    <w:p w:rsidR="00073FEC" w:rsidRPr="009A18E9" w:rsidRDefault="00073FEC" w:rsidP="00073FEC">
      <w:pPr>
        <w:pStyle w:val="BodyText"/>
        <w:numPr>
          <w:ilvl w:val="0"/>
          <w:numId w:val="10"/>
        </w:numPr>
        <w:tabs>
          <w:tab w:val="left" w:pos="1242"/>
        </w:tabs>
        <w:spacing w:before="0"/>
        <w:ind w:left="709" w:hanging="709"/>
        <w:jc w:val="both"/>
        <w:rPr>
          <w:rFonts w:ascii="Times New Roman" w:hAnsi="Times New Roman"/>
          <w:noProof/>
          <w:sz w:val="24"/>
        </w:rPr>
      </w:pPr>
      <w:r>
        <w:rPr>
          <w:rFonts w:ascii="Times New Roman" w:hAnsi="Times New Roman"/>
          <w:noProof/>
          <w:sz w:val="24"/>
        </w:rPr>
        <w:t>Dažu termiņnoguldījumu vai krājnoguldījumu gadījumā attiecīgo procentu likmi var maksāt vienīgi saskaņā ar noteikumu par minimālo noguldījuma termiņu. Pirmstermiņa likvidēšanu, ja vien līgumā tāda ir atļauta, līdzsvaro, samazinot turētājam izmaksājam</w:t>
      </w:r>
      <w:r w:rsidR="000C5FD1">
        <w:rPr>
          <w:rFonts w:ascii="Times New Roman" w:hAnsi="Times New Roman"/>
          <w:noProof/>
          <w:sz w:val="24"/>
        </w:rPr>
        <w:t>o procentu likmi. Lai ierakstītu</w:t>
      </w:r>
      <w:r>
        <w:rPr>
          <w:rFonts w:ascii="Times New Roman" w:hAnsi="Times New Roman"/>
          <w:noProof/>
          <w:sz w:val="24"/>
        </w:rPr>
        <w:t xml:space="preserve"> procentus atbilstoši uzkrāšanas principam, vērā ņemtā procentu likme ir maksimālā likme, ko noguldītājs varētu saņemt līguma standarta izpildes gaitā, t. i., ja tiek ievēroti noteikumi attiecībā uz atmaksāšanas termiņu un paziņojumu sniegšanu. Ja tā nav, iepriekš uzkrāto procentu summu koriģē atbilstoši galīgajai likmei. Tā kā, visticamāk, šī summa kopumā ir ļoti maza salīdzinājumā ar kopējiem procentiem par noguldījumiem, praktisku apsvērumu dēļ k</w:t>
      </w:r>
      <w:r w:rsidR="000C5FD1">
        <w:rPr>
          <w:rFonts w:ascii="Times New Roman" w:hAnsi="Times New Roman"/>
          <w:noProof/>
          <w:sz w:val="24"/>
        </w:rPr>
        <w:t>opsummas korekciju var ierakstīt</w:t>
      </w:r>
      <w:r>
        <w:rPr>
          <w:rFonts w:ascii="Times New Roman" w:hAnsi="Times New Roman"/>
          <w:noProof/>
          <w:sz w:val="24"/>
        </w:rPr>
        <w:t xml:space="preserve"> tikai pašā pēdējā periodā.</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ind w:left="0" w:firstLine="0"/>
        <w:jc w:val="both"/>
        <w:rPr>
          <w:rFonts w:ascii="Times New Roman" w:hAnsi="Times New Roman"/>
          <w:noProof/>
          <w:u w:val="thick" w:color="000000"/>
        </w:rPr>
      </w:pPr>
      <w:bookmarkStart w:id="130" w:name="II.4.4_Accounting_examples"/>
      <w:bookmarkEnd w:id="130"/>
      <w:r>
        <w:rPr>
          <w:rFonts w:ascii="Times New Roman" w:hAnsi="Times New Roman"/>
          <w:noProof/>
          <w:u w:val="none"/>
        </w:rPr>
        <w:t>II.4.4. </w:t>
      </w:r>
      <w:r>
        <w:rPr>
          <w:rFonts w:ascii="Times New Roman" w:hAnsi="Times New Roman"/>
          <w:noProof/>
          <w:u w:val="thick" w:color="000000"/>
        </w:rPr>
        <w:t>Uzskaites piemēri</w:t>
      </w:r>
    </w:p>
    <w:p w:rsidR="00073FEC" w:rsidRPr="001973D0" w:rsidRDefault="00073FEC" w:rsidP="00073FEC">
      <w:pPr>
        <w:pStyle w:val="Heading4"/>
        <w:ind w:left="0" w:firstLine="0"/>
        <w:jc w:val="both"/>
        <w:rPr>
          <w:rFonts w:ascii="Times New Roman" w:hAnsi="Times New Roman"/>
          <w:b w:val="0"/>
          <w:bCs w:val="0"/>
          <w:noProof/>
          <w:u w:val="none"/>
        </w:rPr>
      </w:pPr>
    </w:p>
    <w:p w:rsidR="00073FEC" w:rsidRDefault="00073FEC" w:rsidP="00073FEC">
      <w:pPr>
        <w:pStyle w:val="Heading6"/>
        <w:jc w:val="both"/>
        <w:rPr>
          <w:rFonts w:ascii="Times New Roman" w:hAnsi="Times New Roman"/>
          <w:noProof/>
          <w:sz w:val="24"/>
        </w:rPr>
      </w:pPr>
      <w:bookmarkStart w:id="131" w:name="Instrument_issued_at_par_and_regular_cou"/>
      <w:bookmarkEnd w:id="131"/>
      <w:r>
        <w:rPr>
          <w:rFonts w:ascii="Times New Roman" w:hAnsi="Times New Roman"/>
          <w:noProof/>
          <w:sz w:val="24"/>
        </w:rPr>
        <w:t>Instruments, kas emitēts atbilstoši nominālvērtībai, un regulāri kuponu/procentu maksājumi</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Pirmā gada 1. jūlijā centrālā valdība emitē obligāciju par 1000, katru gadu šajā datumā tiek maksāta gada likme 5 % apmērā, maksājumu termiņš ir 10 gadi, un pilns izpirkums jāveic tajā pašā laikā. Pirmā gada beigās tirgus cena ir 1045 (tostarp 25 par uzkrātajiem, taču vēl nesamaksātajiem procentiem). Otrā gada beigās tirgus cena ir 1075 (tostarp 25 par uzkrātajiem, taču vēl nesamaksātajiem procentiem).</w:t>
      </w:r>
    </w:p>
    <w:p w:rsidR="00073FEC" w:rsidRPr="001973D0" w:rsidRDefault="00073FEC" w:rsidP="00073FEC">
      <w:pPr>
        <w:jc w:val="both"/>
        <w:rPr>
          <w:rFonts w:ascii="Times New Roman" w:eastAsia="Arial" w:hAnsi="Times New Roman" w:cs="Arial"/>
          <w:noProof/>
          <w:sz w:val="24"/>
          <w:szCs w:val="20"/>
        </w:rPr>
      </w:pPr>
    </w:p>
    <w:p w:rsidR="00073FEC" w:rsidRPr="001973D0" w:rsidRDefault="007B2FAF" w:rsidP="00073FEC">
      <w:pPr>
        <w:jc w:val="center"/>
        <w:rPr>
          <w:rFonts w:ascii="Times New Roman" w:eastAsia="Calibri" w:hAnsi="Times New Roman" w:cs="Calibri"/>
          <w:noProof/>
          <w:sz w:val="24"/>
          <w:szCs w:val="20"/>
        </w:rPr>
      </w:pPr>
      <w:r w:rsidRPr="007B2FAF">
        <w:rPr>
          <w:rFonts w:ascii="Times New Roman" w:eastAsia="Calibri" w:hAnsi="Times New Roman" w:cs="Calibri"/>
          <w:noProof/>
          <w:sz w:val="24"/>
          <w:szCs w:val="20"/>
          <w:lang w:bidi="ar-SA"/>
        </w:rPr>
        <w:lastRenderedPageBreak/>
        <w:drawing>
          <wp:inline distT="0" distB="0" distL="0" distR="0">
            <wp:extent cx="5762625" cy="723988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7239888"/>
                    </a:xfrm>
                    <a:prstGeom prst="rect">
                      <a:avLst/>
                    </a:prstGeom>
                    <a:noFill/>
                    <a:ln>
                      <a:noFill/>
                    </a:ln>
                  </pic:spPr>
                </pic:pic>
              </a:graphicData>
            </a:graphic>
          </wp:inline>
        </w:drawing>
      </w:r>
    </w:p>
    <w:p w:rsidR="00073FEC" w:rsidRPr="001973D0" w:rsidRDefault="00073FEC" w:rsidP="00073FEC">
      <w:pPr>
        <w:jc w:val="both"/>
        <w:rPr>
          <w:rFonts w:ascii="Times New Roman" w:eastAsia="Calibri" w:hAnsi="Times New Roman" w:cs="Calibri"/>
          <w:noProof/>
          <w:sz w:val="24"/>
          <w:szCs w:val="20"/>
        </w:rPr>
      </w:pPr>
    </w:p>
    <w:p w:rsidR="00073FEC" w:rsidRDefault="00073FEC" w:rsidP="00073FEC">
      <w:pPr>
        <w:pStyle w:val="Heading6"/>
        <w:jc w:val="both"/>
        <w:rPr>
          <w:rFonts w:ascii="Times New Roman" w:hAnsi="Times New Roman"/>
          <w:noProof/>
          <w:sz w:val="24"/>
        </w:rPr>
      </w:pPr>
      <w:bookmarkStart w:id="132" w:name="Instrument_issued_at_a_discount_with_reg"/>
      <w:bookmarkEnd w:id="132"/>
      <w:r>
        <w:rPr>
          <w:rFonts w:ascii="Times New Roman" w:hAnsi="Times New Roman"/>
          <w:noProof/>
          <w:sz w:val="24"/>
        </w:rPr>
        <w:t>Instruments, kas emitēts ar diskontu, ar regulāriem kupona maksājumiem</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Pirmā gada 1. oktobrī centrālā valdība emitē jaunu obligācijas daļu (pamatsumma – 1000, procentu likme – 5 %, maksājuma termiņš – 10 gadi, maksājuma diena – 1. jūlijs, izpirkšana par soda naudu). Emisijas cena ir 95 % (ienesīgums – aptuveni 6 %). Diskonts par 50 tiek sadalīts šādi: pirmajā gadā – 1, otrajā gadā – 4 un desmitajā gadā – 3. Vienkāršošanas nolūkā obligāciju perioda beigās vienmēr uzskata par 100 % (skaitļi ir noapaļoti).</w:t>
      </w:r>
    </w:p>
    <w:p w:rsidR="00073FEC" w:rsidRPr="001973D0" w:rsidRDefault="00073FEC" w:rsidP="00073FEC">
      <w:pPr>
        <w:jc w:val="both"/>
        <w:rPr>
          <w:rFonts w:ascii="Times New Roman" w:hAnsi="Times New Roman"/>
          <w:noProof/>
          <w:sz w:val="24"/>
        </w:rPr>
      </w:pPr>
    </w:p>
    <w:p w:rsidR="00073FEC" w:rsidRPr="001973D0" w:rsidRDefault="007B2FAF" w:rsidP="00073FEC">
      <w:pPr>
        <w:jc w:val="both"/>
        <w:rPr>
          <w:rFonts w:ascii="Times New Roman" w:hAnsi="Times New Roman"/>
          <w:noProof/>
          <w:sz w:val="24"/>
        </w:rPr>
      </w:pPr>
      <w:r w:rsidRPr="007B2FAF">
        <w:rPr>
          <w:rFonts w:ascii="Times New Roman" w:hAnsi="Times New Roman"/>
          <w:noProof/>
          <w:sz w:val="24"/>
          <w:lang w:bidi="ar-SA"/>
        </w:rPr>
        <w:lastRenderedPageBreak/>
        <w:drawing>
          <wp:inline distT="0" distB="0" distL="0" distR="0">
            <wp:extent cx="5762625" cy="5516762"/>
            <wp:effectExtent l="0" t="0" r="0"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5516762"/>
                    </a:xfrm>
                    <a:prstGeom prst="rect">
                      <a:avLst/>
                    </a:prstGeom>
                    <a:noFill/>
                    <a:ln>
                      <a:noFill/>
                    </a:ln>
                  </pic:spPr>
                </pic:pic>
              </a:graphicData>
            </a:graphic>
          </wp:inline>
        </w:drawing>
      </w:r>
    </w:p>
    <w:p w:rsidR="00073FEC" w:rsidRPr="001973D0" w:rsidRDefault="00073FEC" w:rsidP="00073FEC">
      <w:pPr>
        <w:jc w:val="both"/>
        <w:rPr>
          <w:rFonts w:ascii="Times New Roman" w:eastAsia="Times New Roman" w:hAnsi="Times New Roman" w:cs="Times New Roman"/>
          <w:noProof/>
          <w:sz w:val="24"/>
          <w:szCs w:val="20"/>
        </w:rPr>
      </w:pPr>
    </w:p>
    <w:p w:rsidR="00073FEC" w:rsidRPr="001973D0" w:rsidRDefault="007B2FAF" w:rsidP="00073FEC">
      <w:pPr>
        <w:jc w:val="center"/>
        <w:rPr>
          <w:rFonts w:ascii="Times New Roman" w:eastAsia="Times New Roman" w:hAnsi="Times New Roman" w:cs="Times New Roman"/>
          <w:noProof/>
          <w:sz w:val="24"/>
          <w:szCs w:val="20"/>
        </w:rPr>
      </w:pPr>
      <w:r w:rsidRPr="007B2FAF">
        <w:rPr>
          <w:rFonts w:ascii="Times New Roman" w:eastAsia="Times New Roman" w:hAnsi="Times New Roman" w:cs="Times New Roman"/>
          <w:noProof/>
          <w:sz w:val="24"/>
          <w:szCs w:val="20"/>
          <w:lang w:bidi="ar-SA"/>
        </w:rPr>
        <w:lastRenderedPageBreak/>
        <w:drawing>
          <wp:inline distT="0" distB="0" distL="0" distR="0">
            <wp:extent cx="3759200" cy="602234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9200" cy="6022340"/>
                    </a:xfrm>
                    <a:prstGeom prst="rect">
                      <a:avLst/>
                    </a:prstGeom>
                    <a:noFill/>
                    <a:ln>
                      <a:noFill/>
                    </a:ln>
                  </pic:spPr>
                </pic:pic>
              </a:graphicData>
            </a:graphic>
          </wp:inline>
        </w:drawing>
      </w:r>
    </w:p>
    <w:p w:rsidR="00073FEC" w:rsidRDefault="00073FEC" w:rsidP="00073FEC">
      <w:pPr>
        <w:jc w:val="both"/>
        <w:rPr>
          <w:rFonts w:ascii="Times New Roman" w:eastAsia="Times New Roman" w:hAnsi="Times New Roman" w:cs="Times New Roman"/>
          <w:noProof/>
          <w:sz w:val="24"/>
          <w:szCs w:val="20"/>
        </w:rPr>
      </w:pPr>
    </w:p>
    <w:p w:rsidR="00073FEC" w:rsidRPr="001973D0" w:rsidRDefault="00073FEC" w:rsidP="00073FEC">
      <w:pPr>
        <w:pStyle w:val="Heading6"/>
        <w:jc w:val="both"/>
        <w:rPr>
          <w:rFonts w:ascii="Times New Roman" w:hAnsi="Times New Roman"/>
          <w:noProof/>
          <w:sz w:val="24"/>
        </w:rPr>
      </w:pPr>
      <w:bookmarkStart w:id="133" w:name="Instrument_issued_at_a_discount_without_"/>
      <w:bookmarkEnd w:id="133"/>
      <w:r>
        <w:rPr>
          <w:rFonts w:ascii="Times New Roman" w:hAnsi="Times New Roman"/>
          <w:noProof/>
          <w:sz w:val="24"/>
        </w:rPr>
        <w:t>Instruments, kas emitēts ar diskontu, bez regulāriem kupona maksājumiem</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Centrālā valdība 1. jūlijā emitē bezkupona obligāciju uz 3 gadiem par 75 (nominālvērtība ir 100). Netiešā procentu likme ir 10 % (skaitļi ir noapaļoti, tirgus procentu likme nemainās).</w:t>
      </w:r>
    </w:p>
    <w:p w:rsidR="00073FEC" w:rsidRPr="001973D0" w:rsidRDefault="00073FEC" w:rsidP="00073FEC">
      <w:pPr>
        <w:jc w:val="both"/>
        <w:rPr>
          <w:rFonts w:ascii="Times New Roman" w:hAnsi="Times New Roman"/>
          <w:noProof/>
          <w:sz w:val="24"/>
        </w:rPr>
      </w:pPr>
    </w:p>
    <w:p w:rsidR="00073FEC" w:rsidRPr="001973D0" w:rsidRDefault="007B2FAF" w:rsidP="00073FEC">
      <w:pPr>
        <w:jc w:val="both"/>
        <w:rPr>
          <w:rFonts w:ascii="Times New Roman" w:hAnsi="Times New Roman"/>
          <w:noProof/>
          <w:sz w:val="24"/>
        </w:rPr>
      </w:pPr>
      <w:r w:rsidRPr="007B2FAF">
        <w:rPr>
          <w:rFonts w:ascii="Times New Roman" w:hAnsi="Times New Roman"/>
          <w:noProof/>
          <w:sz w:val="24"/>
          <w:lang w:bidi="ar-SA"/>
        </w:rPr>
        <w:lastRenderedPageBreak/>
        <w:drawing>
          <wp:inline distT="0" distB="0" distL="0" distR="0">
            <wp:extent cx="5762625" cy="5021757"/>
            <wp:effectExtent l="0" t="0" r="0" b="762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5021757"/>
                    </a:xfrm>
                    <a:prstGeom prst="rect">
                      <a:avLst/>
                    </a:prstGeom>
                    <a:noFill/>
                    <a:ln>
                      <a:noFill/>
                    </a:ln>
                  </pic:spPr>
                </pic:pic>
              </a:graphicData>
            </a:graphic>
          </wp:inline>
        </w:drawing>
      </w:r>
    </w:p>
    <w:p w:rsidR="00073FEC" w:rsidRPr="001973D0" w:rsidRDefault="00073FEC" w:rsidP="00073FEC">
      <w:pPr>
        <w:jc w:val="both"/>
        <w:rPr>
          <w:rFonts w:ascii="Times New Roman" w:hAnsi="Times New Roman"/>
          <w:noProof/>
          <w:sz w:val="24"/>
        </w:rPr>
      </w:pPr>
    </w:p>
    <w:p w:rsidR="00073FEC" w:rsidRPr="001973D0" w:rsidRDefault="003D6F24" w:rsidP="00073FEC">
      <w:pPr>
        <w:jc w:val="both"/>
        <w:rPr>
          <w:rFonts w:ascii="Times New Roman" w:hAnsi="Times New Roman"/>
          <w:noProof/>
          <w:sz w:val="24"/>
        </w:rPr>
      </w:pPr>
      <w:r w:rsidRPr="003D6F24">
        <w:rPr>
          <w:rFonts w:ascii="Times New Roman" w:hAnsi="Times New Roman"/>
          <w:noProof/>
          <w:sz w:val="24"/>
          <w:lang w:bidi="ar-SA"/>
        </w:rPr>
        <w:drawing>
          <wp:inline distT="0" distB="0" distL="0" distR="0">
            <wp:extent cx="5762625" cy="2704387"/>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2704387"/>
                    </a:xfrm>
                    <a:prstGeom prst="rect">
                      <a:avLst/>
                    </a:prstGeom>
                    <a:noFill/>
                    <a:ln>
                      <a:noFill/>
                    </a:ln>
                  </pic:spPr>
                </pic:pic>
              </a:graphicData>
            </a:graphic>
          </wp:inline>
        </w:drawing>
      </w:r>
    </w:p>
    <w:p w:rsidR="00073FEC" w:rsidRPr="001973D0" w:rsidRDefault="00073FEC" w:rsidP="00073FEC">
      <w:pPr>
        <w:jc w:val="both"/>
        <w:rPr>
          <w:rFonts w:ascii="Times New Roman" w:hAnsi="Times New Roman"/>
          <w:noProof/>
          <w:sz w:val="24"/>
        </w:rPr>
      </w:pPr>
    </w:p>
    <w:p w:rsidR="00073FEC" w:rsidRPr="001973D0" w:rsidRDefault="007B2FAF" w:rsidP="00073FEC">
      <w:pPr>
        <w:jc w:val="both"/>
        <w:rPr>
          <w:rFonts w:ascii="Times New Roman" w:hAnsi="Times New Roman"/>
          <w:noProof/>
          <w:sz w:val="24"/>
        </w:rPr>
      </w:pPr>
      <w:r w:rsidRPr="007B2FAF">
        <w:rPr>
          <w:rFonts w:ascii="Times New Roman" w:hAnsi="Times New Roman"/>
          <w:noProof/>
          <w:sz w:val="24"/>
          <w:lang w:bidi="ar-SA"/>
        </w:rPr>
        <w:lastRenderedPageBreak/>
        <w:drawing>
          <wp:inline distT="0" distB="0" distL="0" distR="0">
            <wp:extent cx="5762625" cy="259205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2625" cy="2592053"/>
                    </a:xfrm>
                    <a:prstGeom prst="rect">
                      <a:avLst/>
                    </a:prstGeom>
                    <a:noFill/>
                    <a:ln>
                      <a:noFill/>
                    </a:ln>
                  </pic:spPr>
                </pic:pic>
              </a:graphicData>
            </a:graphic>
          </wp:inline>
        </w:drawing>
      </w:r>
    </w:p>
    <w:p w:rsidR="00073FEC" w:rsidRPr="001973D0" w:rsidRDefault="00073FEC" w:rsidP="00073FEC">
      <w:pPr>
        <w:jc w:val="both"/>
        <w:rPr>
          <w:rFonts w:ascii="Times New Roman" w:eastAsia="Calibri" w:hAnsi="Times New Roman" w:cs="Calibri"/>
          <w:noProof/>
          <w:sz w:val="24"/>
          <w:szCs w:val="24"/>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Ar pārmaiņām tirgus likmē</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lang w:bidi="ar-SA"/>
        </w:rPr>
        <mc:AlternateContent>
          <mc:Choice Requires="wpg">
            <w:drawing>
              <wp:anchor distT="0" distB="0" distL="114300" distR="114300" simplePos="0" relativeHeight="251664384" behindDoc="1" locked="0" layoutInCell="1" allowOverlap="1">
                <wp:simplePos x="0" y="0"/>
                <wp:positionH relativeFrom="page">
                  <wp:posOffset>2160270</wp:posOffset>
                </wp:positionH>
                <wp:positionV relativeFrom="paragraph">
                  <wp:posOffset>1662430</wp:posOffset>
                </wp:positionV>
                <wp:extent cx="1270" cy="247015"/>
                <wp:effectExtent l="7620" t="6985" r="10160" b="1270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47015"/>
                          <a:chOff x="3402" y="2618"/>
                          <a:chExt cx="2" cy="389"/>
                        </a:xfrm>
                      </wpg:grpSpPr>
                      <wps:wsp>
                        <wps:cNvPr id="11" name="Freeform 32"/>
                        <wps:cNvSpPr>
                          <a:spLocks/>
                        </wps:cNvSpPr>
                        <wps:spPr bwMode="auto">
                          <a:xfrm>
                            <a:off x="3402" y="2618"/>
                            <a:ext cx="2" cy="389"/>
                          </a:xfrm>
                          <a:custGeom>
                            <a:avLst/>
                            <a:gdLst>
                              <a:gd name="T0" fmla="+- 0 2618 2618"/>
                              <a:gd name="T1" fmla="*/ 2618 h 389"/>
                              <a:gd name="T2" fmla="+- 0 3006 2618"/>
                              <a:gd name="T3" fmla="*/ 3006 h 389"/>
                            </a:gdLst>
                            <a:ahLst/>
                            <a:cxnLst>
                              <a:cxn ang="0">
                                <a:pos x="0" y="T1"/>
                              </a:cxn>
                              <a:cxn ang="0">
                                <a:pos x="0" y="T3"/>
                              </a:cxn>
                            </a:cxnLst>
                            <a:rect l="0" t="0" r="r" b="b"/>
                            <a:pathLst>
                              <a:path h="389">
                                <a:moveTo>
                                  <a:pt x="0" y="0"/>
                                </a:moveTo>
                                <a:lnTo>
                                  <a:pt x="0" y="3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4CEEEBDB" id="Group 9" o:spid="_x0000_s1026" style="position:absolute;margin-left:170.1pt;margin-top:130.9pt;width:.1pt;height:19.45pt;z-index:-251652096;mso-position-horizontal-relative:page" coordorigin="3402,2618" coordsize="2,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h0VwMAAOEHAAAOAAAAZHJzL2Uyb0RvYy54bWykVdtu2zAMfR+wfxD0uCG1Hbu5GHWHIZdi&#10;QLcVaPYBii1fMFvyJCVON+zfR1F2kra7YcuDQpkUdXhIkVdvDk1N9lzpSoqEBhc+JVykMqtEkdBP&#10;m/VoRok2TGSsloIn9IFr+ub65Yurro35WJayzrgi4ETouGsTWhrTxp6n05I3TF/IlgtQ5lI1zMBW&#10;FV6mWAfem9ob+/7E66TKWiVTrjV8XTolvUb/ec5T8zHPNTekTihgM7gqXLd29a6vWFwo1pZV2sNg&#10;/4CiYZWAS4+ulswwslPVM1dNlSqpZW4uUtl4Ms+rlGMMEE3gP4nmRsldi7EUcVe0R5qA2ic8/bPb&#10;9MP+TpEqS+icEsEaSBHeSuaWmq4tYrC4Ue19e6dcfCDeyvSzBrX3VG/3hTMm2+69zMAd2xmJ1Bxy&#10;1VgXEDQ5YAYejhngB0NS+BiMp5ClFBTjaOoHly4/aQlJtGfCyB9TYrWTYDboVv1Z0NiD4Qyheyx2&#10;FyLIHpSNCOpMn6jU/0flfclajhnSlqieyiAYuFwrzm3xknDs+ESzgUx9zuSZxoLUQPgfOfwJHwOT&#10;v2CDxelOmxsuMRVsf6uNewIZSJjgrC+DDSQib2p4Da9HxCeWcVwc7cXRDGJ1Zq88Z1SSPgXwGo5W&#10;AOfMWQgv96fOwsEMnKHR0RnksxgwsnKAnR5EjxskwmzT8bHYWqlPRbYJLGjwAEY2xt/ahue27kx/&#10;hYJu8rSPKEqgj2wdKS0zFpm9woqkdNVo943c841EjTkBw/4Dd5y0tXhuFc6w1sHOaUGw7jGi45UW&#10;6VlmhVxXdY2prQXpEjoNJxNkRsu6yqzSgtGq2C5qRfbM9kf89eE/MoM+JDJ0VnKWrXrZsKp2MkKz&#10;/qD6egJsHWID/Db356vZahaNovFkNYr85XL0dr2IRpN1ML1chsvFYhl8t9CCKC6rLOPCohuacRD9&#10;3Qvtx4Jro8d2/CiKR8Gu8fc8WO8xDCQZYhn+MTpoKe6Bun6yldkDPFYl3XSBaQhCKdVXSjqYLAnV&#10;X3ZMcUrqdwL6zTyIIjuKcBNdTsewUeea7bmGiRRcJdRQKG8rLowbX7tWVUUJNwWYViHfQqPNK/uc&#10;EZ9D1W+g5aGEcwRj6WeeHVTne7Q6TebrHwAAAP//AwBQSwMEFAAGAAgAAAAhAGBgVwPhAAAACwEA&#10;AA8AAABkcnMvZG93bnJldi54bWxMj0FPwzAMhe9I/IfISNxY0m4MVJpO0wScJiQ2JMQta7y2WuNU&#10;TdZ2/x5zYjfb7+n5e/lqcq0YsA+NJw3JTIFAKr1tqNLwtX97eAYRoiFrWk+o4YIBVsXtTW4y60f6&#10;xGEXK8EhFDKjoY6xy6QMZY3OhJnvkFg7+t6ZyGtfSdubkcNdK1OlltKZhvhDbTrc1Fiedmen4X00&#10;43qevA7b03Fz+dk/fnxvE9T6/m5av4CIOMV/M/zhMzoUzHTwZ7JBtBrmC5WyVUO6TLgDO/iyAHHg&#10;QaknkEUurzsUvwAAAP//AwBQSwECLQAUAAYACAAAACEAtoM4kv4AAADhAQAAEwAAAAAAAAAAAAAA&#10;AAAAAAAAW0NvbnRlbnRfVHlwZXNdLnhtbFBLAQItABQABgAIAAAAIQA4/SH/1gAAAJQBAAALAAAA&#10;AAAAAAAAAAAAAC8BAABfcmVscy8ucmVsc1BLAQItABQABgAIAAAAIQBQKdh0VwMAAOEHAAAOAAAA&#10;AAAAAAAAAAAAAC4CAABkcnMvZTJvRG9jLnhtbFBLAQItABQABgAIAAAAIQBgYFcD4QAAAAsBAAAP&#10;AAAAAAAAAAAAAAAAALEFAABkcnMvZG93bnJldi54bWxQSwUGAAAAAAQABADzAAAAvwYAAAAA&#10;">
                <v:shape id="Freeform 32" o:spid="_x0000_s1027" style="position:absolute;left:3402;top:2618;width:2;height:389;visibility:visible;mso-wrap-style:square;v-text-anchor:top" coordsize="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yZsEA&#10;AADbAAAADwAAAGRycy9kb3ducmV2LnhtbERPTYvCMBC9L/gfwgh7W1O7IEs1iiiCoIe1uyDehmZs&#10;is2kNrHWf78RhL3N433ObNHbWnTU+sqxgvEoAUFcOF1xqeD3Z/PxBcIHZI21Y1LwIA+L+eBthpl2&#10;dz5Ql4dSxBD2GSowITSZlL4wZNGPXEMcubNrLYYI21LqFu8x3NYyTZKJtFhxbDDY0MpQcclvVsE+&#10;PcqkPnXmU177dL33+fl791DqfdgvpyAC9eFf/HJvdZw/hucv8QA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RMmbBAAAA2wAAAA8AAAAAAAAAAAAAAAAAmAIAAGRycy9kb3du&#10;cmV2LnhtbFBLBQYAAAAABAAEAPUAAACGAwAAAAA=&#10;" path="m,l,388e" filled="f" strokeweight=".58pt">
                  <v:path arrowok="t" o:connecttype="custom" o:connectlocs="0,2618;0,3006" o:connectangles="0,0"/>
                </v:shape>
                <w10:wrap xmlns:w10="urn:schemas-microsoft-com:office:word" anchorx="page"/>
              </v:group>
            </w:pict>
          </mc:Fallback>
        </mc:AlternateContent>
      </w:r>
      <w:r>
        <w:rPr>
          <w:rFonts w:ascii="Times New Roman" w:hAnsi="Times New Roman"/>
          <w:noProof/>
          <w:sz w:val="24"/>
          <w:lang w:bidi="ar-SA"/>
        </w:rPr>
        <mc:AlternateContent>
          <mc:Choice Requires="wpg">
            <w:drawing>
              <wp:anchor distT="0" distB="0" distL="114300" distR="114300" simplePos="0" relativeHeight="251665408" behindDoc="1" locked="0" layoutInCell="1" allowOverlap="1">
                <wp:simplePos x="0" y="0"/>
                <wp:positionH relativeFrom="page">
                  <wp:posOffset>5221605</wp:posOffset>
                </wp:positionH>
                <wp:positionV relativeFrom="paragraph">
                  <wp:posOffset>1662430</wp:posOffset>
                </wp:positionV>
                <wp:extent cx="1270" cy="247015"/>
                <wp:effectExtent l="11430" t="6985" r="6350" b="1270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47015"/>
                          <a:chOff x="8223" y="2618"/>
                          <a:chExt cx="2" cy="389"/>
                        </a:xfrm>
                      </wpg:grpSpPr>
                      <wps:wsp>
                        <wps:cNvPr id="7" name="Freeform 34"/>
                        <wps:cNvSpPr>
                          <a:spLocks/>
                        </wps:cNvSpPr>
                        <wps:spPr bwMode="auto">
                          <a:xfrm>
                            <a:off x="8223" y="2618"/>
                            <a:ext cx="2" cy="389"/>
                          </a:xfrm>
                          <a:custGeom>
                            <a:avLst/>
                            <a:gdLst>
                              <a:gd name="T0" fmla="+- 0 2618 2618"/>
                              <a:gd name="T1" fmla="*/ 2618 h 389"/>
                              <a:gd name="T2" fmla="+- 0 3006 2618"/>
                              <a:gd name="T3" fmla="*/ 3006 h 389"/>
                            </a:gdLst>
                            <a:ahLst/>
                            <a:cxnLst>
                              <a:cxn ang="0">
                                <a:pos x="0" y="T1"/>
                              </a:cxn>
                              <a:cxn ang="0">
                                <a:pos x="0" y="T3"/>
                              </a:cxn>
                            </a:cxnLst>
                            <a:rect l="0" t="0" r="r" b="b"/>
                            <a:pathLst>
                              <a:path h="389">
                                <a:moveTo>
                                  <a:pt x="0" y="0"/>
                                </a:moveTo>
                                <a:lnTo>
                                  <a:pt x="0" y="3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o="urn:schemas-microsoft-com:office:office" xmlns:w14="http://schemas.microsoft.com/office/word/2010/wordml" xmlns:v="urn:schemas-microsoft-com:vml" w14:anchorId="1F928325" id="Group 4" o:spid="_x0000_s1026" style="position:absolute;margin-left:411.15pt;margin-top:130.9pt;width:.1pt;height:19.45pt;z-index:-251651072;mso-position-horizontal-relative:page" coordorigin="8223,2618" coordsize="2,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amzVgMAAOAHAAAOAAAAZHJzL2Uyb0RvYy54bWykVdtu2zAMfR+wfxD0uCH1JW6SGnWLIpdi&#10;QLcVaPcBii1fMFvyJCVON+zfR1F2kl52QZcHhzJp8vCQIs8vd01NtlzpSoqEBic+JVykMqtEkdAv&#10;96vRjBJtmMhYLQVP6APX9PLi7Zvzro15KEtZZ1wRcCJ03LUJLY1pY8/Tackbpk9kywUoc6kaZuCo&#10;Ci9TrAPvTe2Fvj/xOqmyVsmUaw1vF05JL9B/nvPUfM5zzQ2pEwrYDD4VPtf26V2cs7hQrC2rtIfB&#10;XoGiYZWAoHtXC2YY2ajqmaumSpXUMjcnqWw8medVyjEHyCbwn2RzreSmxVyKuCvaPU1A7ROeXu02&#10;/bS9VaTKEhpRIlgDJcKoJLLUdG0Rg8W1au/aW+XyA/FGpl81qL2nensunDFZdx9lBu7YxkikZper&#10;xrqApMkOK/CwrwDfGZLCyyCcQpVSUITR1A9OXX3SEopov5mF4ZgSq50Es0G37L8N3Yfj2ZnVeCx2&#10;ARFkD8pmBH2mD1Tq/6PyrmQtxwppS1RP5XSgcqU4t71Lxj2daDVwqY+JPNJYjBr4/iuFL9AxEPkb&#10;MlicbrS55hIrwbY32rgbkIGE9c36LriHOuRNDZfh/Yj4xBKOD8d6sTcLBrN3njMqSV8BuAx7K4Bz&#10;5GwMF/dFZ1BcZwbO0GjvDMpZDBhZOcBOd6LHDRJhdub42Gut1Iceuw/6hgAjm+MfbcfHthD1EELB&#10;MHk6RhQlMEbWjpSWGYvMhrAiKRNqqbDnRm75vUSNOQDD8QMxDtpaPLcaz7DVwc5pQbDuscX3IS3S&#10;o8oKuarqGktbC9IldDqeTBCJlnWVWaUFo1WxnteKbJkdj/jr039kBmNIZOis5Cxb9rJhVe1khGb9&#10;Qff1BNg+xPn348w/W86Ws2gUhZPlKPIXi9HVah6NJqtgeroYL+bzRfDTQguiuKyyjAuLbpjFQfRv&#10;F7TfCm6K7qfxoyweJbvC3/NkvccwkGTIZfjH7GCiuAvqxslaZg9wWZV0ywWWIQilVN8p6WCxJFR/&#10;2zDFKak/CBg3Z0EU2U2Eh+h0GsJBHWvWxxomUnCVUEOhva04N257bVpVFSVECrCsQl7BnM0re50R&#10;n0PVH2DioYRrBHPpV57dU8dntDos5otfAAAA//8DAFBLAwQUAAYACAAAACEABedZ4uEAAAALAQAA&#10;DwAAAGRycy9kb3ducmV2LnhtbEyPTWvCQBCG74X+h2WE3urmA63EbESk7UkK1ULpbcyOSTC7G7Jr&#10;Ev99p6d6nJmHd54330ymFQP1vnFWQTyPQJAtnW5speDr+Pa8AuEDWo2ts6TgRh42xeNDjpl2o/2k&#10;4RAqwSHWZ6igDqHLpPRlTQb93HVk+XZ2vcHAY19J3ePI4aaVSRQtpcHG8ocaO9rVVF4OV6PgfcRx&#10;m8avw/5y3t1+jouP731MSj3Npu0aRKAp/MPwp8/qULDTyV2t9qJVsEqSlFEFyTLmDkzwZgHipCCN&#10;oheQRS7vOxS/AAAA//8DAFBLAQItABQABgAIAAAAIQC2gziS/gAAAOEBAAATAAAAAAAAAAAAAAAA&#10;AAAAAABbQ29udGVudF9UeXBlc10ueG1sUEsBAi0AFAAGAAgAAAAhADj9If/WAAAAlAEAAAsAAAAA&#10;AAAAAAAAAAAALwEAAF9yZWxzLy5yZWxzUEsBAi0AFAAGAAgAAAAhAFLxqbNWAwAA4AcAAA4AAAAA&#10;AAAAAAAAAAAALgIAAGRycy9lMm9Eb2MueG1sUEsBAi0AFAAGAAgAAAAhAAXnWeLhAAAACwEAAA8A&#10;AAAAAAAAAAAAAAAAsAUAAGRycy9kb3ducmV2LnhtbFBLBQYAAAAABAAEAPMAAAC+BgAAAAA=&#10;">
                <v:shape id="Freeform 34" o:spid="_x0000_s1027" style="position:absolute;left:8223;top:2618;width:2;height:389;visibility:visible;mso-wrap-style:square;v-text-anchor:top" coordsize="2,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1KcQA&#10;AADaAAAADwAAAGRycy9kb3ducmV2LnhtbESPQWvCQBSE74L/YXlCb7ppClWiGymWglAPNRVKb4/s&#10;SzaYfRuza4z/vlso9DjMzDfMZjvaVgzU+8axgsdFAoK4dLrhWsHp822+AuEDssbWMSm4k4dtPp1s&#10;MNPuxkcailCLCGGfoQITQpdJ6UtDFv3CdcTRq1xvMUTZ11L3eItw28o0SZ6lxYbjgsGOdobKc3G1&#10;Cg7pl0za78E8ycuYvh58UX2835V6mI0vaxCBxvAf/mvvtYIl/F6JN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SdSnEAAAA2gAAAA8AAAAAAAAAAAAAAAAAmAIAAGRycy9k&#10;b3ducmV2LnhtbFBLBQYAAAAABAAEAPUAAACJAwAAAAA=&#10;" path="m,l,388e" filled="f" strokeweight=".58pt">
                  <v:path arrowok="t" o:connecttype="custom" o:connectlocs="0,2618;0,3006" o:connectangles="0,0"/>
                </v:shape>
                <w10:wrap xmlns:w10="urn:schemas-microsoft-com:office:word" anchorx="page"/>
              </v:group>
            </w:pict>
          </mc:Fallback>
        </mc:AlternateContent>
      </w:r>
      <w:r>
        <w:rPr>
          <w:rFonts w:ascii="Times New Roman" w:hAnsi="Times New Roman"/>
          <w:noProof/>
          <w:sz w:val="24"/>
        </w:rPr>
        <w:t>Nākamā gada sākumā procentu likme tiek palielināta līdz 15 % divarpus gadus ilgam atmaksāšanas termiņam (un pēc tam vairs nemainās). Cena tirgū krītas līdz 70 (skaitļi ir noapaļoti).</w:t>
      </w:r>
    </w:p>
    <w:p w:rsidR="00073FEC" w:rsidRPr="001973D0" w:rsidRDefault="00073FEC" w:rsidP="00073FEC">
      <w:pPr>
        <w:jc w:val="both"/>
        <w:rPr>
          <w:rFonts w:ascii="Times New Roman" w:eastAsia="Arial" w:hAnsi="Times New Roman" w:cs="Arial"/>
          <w:noProof/>
          <w:sz w:val="24"/>
          <w:szCs w:val="20"/>
        </w:rPr>
      </w:pPr>
    </w:p>
    <w:p w:rsidR="00073FEC" w:rsidRPr="001973D0" w:rsidRDefault="00703F03" w:rsidP="00073FEC">
      <w:pPr>
        <w:jc w:val="both"/>
        <w:rPr>
          <w:rFonts w:ascii="Times New Roman" w:eastAsia="Times New Roman" w:hAnsi="Times New Roman" w:cs="Times New Roman"/>
          <w:noProof/>
          <w:sz w:val="24"/>
          <w:szCs w:val="20"/>
        </w:rPr>
      </w:pPr>
      <w:r w:rsidRPr="00703F03">
        <w:rPr>
          <w:rFonts w:ascii="Times New Roman" w:eastAsia="Times New Roman" w:hAnsi="Times New Roman" w:cs="Times New Roman"/>
          <w:noProof/>
          <w:sz w:val="24"/>
          <w:szCs w:val="20"/>
          <w:lang w:bidi="ar-SA"/>
        </w:rPr>
        <w:drawing>
          <wp:inline distT="0" distB="0" distL="0" distR="0">
            <wp:extent cx="5762625" cy="3961946"/>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3961946"/>
                    </a:xfrm>
                    <a:prstGeom prst="rect">
                      <a:avLst/>
                    </a:prstGeom>
                    <a:noFill/>
                    <a:ln>
                      <a:noFill/>
                    </a:ln>
                  </pic:spPr>
                </pic:pic>
              </a:graphicData>
            </a:graphic>
          </wp:inline>
        </w:drawing>
      </w:r>
    </w:p>
    <w:p w:rsidR="00073FEC" w:rsidRPr="001973D0" w:rsidRDefault="00073FEC" w:rsidP="00073FEC">
      <w:pPr>
        <w:jc w:val="both"/>
        <w:rPr>
          <w:rFonts w:ascii="Times New Roman" w:eastAsia="Times New Roman" w:hAnsi="Times New Roman" w:cs="Times New Roman"/>
          <w:noProof/>
          <w:sz w:val="24"/>
          <w:szCs w:val="20"/>
        </w:rPr>
      </w:pPr>
    </w:p>
    <w:p w:rsidR="00073FEC" w:rsidRPr="001973D0" w:rsidRDefault="007B2FAF" w:rsidP="00073FEC">
      <w:pPr>
        <w:jc w:val="both"/>
        <w:rPr>
          <w:rFonts w:ascii="Times New Roman" w:eastAsia="Times New Roman" w:hAnsi="Times New Roman" w:cs="Times New Roman"/>
          <w:noProof/>
          <w:sz w:val="24"/>
          <w:szCs w:val="20"/>
        </w:rPr>
      </w:pPr>
      <w:r w:rsidRPr="007B2FAF">
        <w:rPr>
          <w:rFonts w:ascii="Times New Roman" w:eastAsia="Times New Roman" w:hAnsi="Times New Roman" w:cs="Times New Roman"/>
          <w:noProof/>
          <w:sz w:val="24"/>
          <w:szCs w:val="20"/>
          <w:lang w:bidi="ar-SA"/>
        </w:rPr>
        <w:lastRenderedPageBreak/>
        <w:drawing>
          <wp:inline distT="0" distB="0" distL="0" distR="0">
            <wp:extent cx="5762625" cy="2133688"/>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2625" cy="2133688"/>
                    </a:xfrm>
                    <a:prstGeom prst="rect">
                      <a:avLst/>
                    </a:prstGeom>
                    <a:noFill/>
                    <a:ln>
                      <a:noFill/>
                    </a:ln>
                  </pic:spPr>
                </pic:pic>
              </a:graphicData>
            </a:graphic>
          </wp:inline>
        </w:drawing>
      </w:r>
    </w:p>
    <w:p w:rsidR="00073FEC" w:rsidRDefault="00073FEC" w:rsidP="00073FEC">
      <w:pPr>
        <w:jc w:val="both"/>
        <w:rPr>
          <w:rFonts w:ascii="Times New Roman" w:eastAsia="Times New Roman" w:hAnsi="Times New Roman" w:cs="Times New Roman"/>
          <w:noProof/>
          <w:sz w:val="24"/>
          <w:szCs w:val="21"/>
        </w:rPr>
      </w:pPr>
    </w:p>
    <w:p w:rsidR="00073FEC" w:rsidRDefault="007B2FAF" w:rsidP="003D7E05">
      <w:pPr>
        <w:rPr>
          <w:rFonts w:ascii="Times New Roman" w:eastAsia="Times New Roman" w:hAnsi="Times New Roman" w:cs="Times New Roman"/>
          <w:noProof/>
          <w:sz w:val="24"/>
          <w:szCs w:val="21"/>
        </w:rPr>
      </w:pPr>
      <w:r w:rsidRPr="007B2FAF">
        <w:rPr>
          <w:rFonts w:ascii="Times New Roman" w:eastAsia="Times New Roman" w:hAnsi="Times New Roman" w:cs="Times New Roman"/>
          <w:noProof/>
          <w:sz w:val="24"/>
          <w:szCs w:val="21"/>
          <w:lang w:bidi="ar-SA"/>
        </w:rPr>
        <w:drawing>
          <wp:inline distT="0" distB="0" distL="0" distR="0">
            <wp:extent cx="3553726" cy="6502285"/>
            <wp:effectExtent l="0" t="0" r="889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6697" cy="6507721"/>
                    </a:xfrm>
                    <a:prstGeom prst="rect">
                      <a:avLst/>
                    </a:prstGeom>
                    <a:noFill/>
                    <a:ln>
                      <a:noFill/>
                    </a:ln>
                  </pic:spPr>
                </pic:pic>
              </a:graphicData>
            </a:graphic>
          </wp:inline>
        </w:drawing>
      </w:r>
    </w:p>
    <w:p w:rsidR="00073FEC" w:rsidRPr="001973D0" w:rsidRDefault="00073FEC" w:rsidP="00073FEC">
      <w:pPr>
        <w:jc w:val="both"/>
        <w:rPr>
          <w:rFonts w:ascii="Times New Roman" w:eastAsia="Times New Roman" w:hAnsi="Times New Roman" w:cs="Times New Roman"/>
          <w:noProof/>
          <w:sz w:val="24"/>
          <w:szCs w:val="21"/>
        </w:rPr>
      </w:pPr>
    </w:p>
    <w:p w:rsidR="00073FEC" w:rsidRPr="001973D0" w:rsidRDefault="00073FEC" w:rsidP="00073FEC">
      <w:pPr>
        <w:pStyle w:val="Heading6"/>
        <w:jc w:val="both"/>
        <w:rPr>
          <w:rFonts w:ascii="Times New Roman" w:hAnsi="Times New Roman"/>
          <w:noProof/>
          <w:sz w:val="24"/>
        </w:rPr>
      </w:pPr>
      <w:bookmarkStart w:id="134" w:name="Strips"/>
      <w:bookmarkEnd w:id="134"/>
      <w:r>
        <w:rPr>
          <w:rFonts w:ascii="Times New Roman" w:hAnsi="Times New Roman"/>
          <w:noProof/>
          <w:sz w:val="24"/>
        </w:rPr>
        <w:t>Pamatsummas un procentu atdalīšana (</w:t>
      </w:r>
      <w:r>
        <w:rPr>
          <w:rFonts w:ascii="Times New Roman" w:hAnsi="Times New Roman"/>
          <w:i/>
          <w:noProof/>
          <w:sz w:val="24"/>
        </w:rPr>
        <w:t>STRIPS</w:t>
      </w:r>
      <w:r>
        <w:rPr>
          <w:rFonts w:ascii="Times New Roman" w:hAnsi="Times New Roman"/>
          <w:noProof/>
          <w:sz w:val="24"/>
        </w:rPr>
        <w:t>)</w:t>
      </w:r>
    </w:p>
    <w:p w:rsidR="00073FEC" w:rsidRDefault="00073FEC" w:rsidP="00073FEC">
      <w:pPr>
        <w:pStyle w:val="BodyText"/>
        <w:spacing w:before="0"/>
        <w:ind w:left="0" w:firstLine="0"/>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Centrālā valdība ir emitējusi šādu obligāciju: nemainīga procentu likme – 15 %, pamatsumma – 1000, izpirkšana parāda atmaksāšanas termiņā, maksājuma datums – 1. jūlijs. Kad līdz maksājuma termiņa beigām ir palikuši 3 gadi, ir nolemts izveidot četrus pamatsummas un procentu atdalīšanas darījumus.</w:t>
      </w:r>
    </w:p>
    <w:p w:rsidR="00073FEC" w:rsidRPr="001973D0" w:rsidRDefault="00073FEC" w:rsidP="00073FEC">
      <w:pPr>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Pamatojoties uz sākotnējiem procentiem</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Tā kā procentu likme nemainās, obligācijas tirgus cena ir vienāda ar nominālvērtību. Tiek izveidoti trīs kuponu sertifikāti katram gada procentu maksājumam (novērtēti attiecīgi ar 99, 113, 130, pamatojoties uz cenu, kas vienāda ar 65,8 %, 75,7 % un 87 % no nominālvērtības, kura ir 150) un viens sertifikāts pamatsummas galīgajai atmaksai (novērtēts ar 658, jo cena ir 65,8 % no nominālvērtības, kura ir 1000). Četru sertifikātu kopējā tirgus vērtība vienmēr ir vienāda ar nominālvērtību. Uzkrātos procentus var aprēķināt, pamatojoties uz iepriekšējo obligācijas formu % vai laiku, kad veikta pamatsummas un procentu atdalīšana, kā starpību starp bezkuponu vērtspapīru tirgus cenu (citi faktori to neietekmē), t. i., 49, 10, 9 un 7 summu. Gada beigās četru sertifikātu tirgus vērtību summa ir 1075: 707+106+122+140 jeb 1000 (pamatsumma) un 75 (sešos mēnešos uzkrātie procenti) summa. Minētais piemērs skaidri atspoguļo valdības (EDP)</w:t>
      </w:r>
      <w:r w:rsidR="000C5FD1">
        <w:rPr>
          <w:rFonts w:ascii="Times New Roman" w:hAnsi="Times New Roman"/>
          <w:noProof/>
          <w:sz w:val="24"/>
        </w:rPr>
        <w:t xml:space="preserve"> parāda gadījumu, kas ierakstīts</w:t>
      </w:r>
      <w:r>
        <w:rPr>
          <w:rFonts w:ascii="Times New Roman" w:hAnsi="Times New Roman"/>
          <w:noProof/>
          <w:sz w:val="24"/>
        </w:rPr>
        <w:t xml:space="preserve"> nominālvērtībā/norādītajā vērtībā, un tādējādi tajā nav ņemta vērā nekāda pamatsummas un procentu atdalīšanas ietekme uz sākotnējo parādu (skaitļi ir noapaļoti).</w:t>
      </w:r>
    </w:p>
    <w:p w:rsidR="00073FEC" w:rsidRDefault="00073FEC" w:rsidP="00073FEC">
      <w:pPr>
        <w:jc w:val="both"/>
        <w:rPr>
          <w:rFonts w:ascii="Times New Roman" w:eastAsia="Arial" w:hAnsi="Times New Roman" w:cs="Arial"/>
          <w:noProof/>
          <w:sz w:val="24"/>
          <w:szCs w:val="20"/>
        </w:rPr>
      </w:pPr>
    </w:p>
    <w:p w:rsidR="00073FEC" w:rsidRPr="001973D0" w:rsidRDefault="007B2FAF" w:rsidP="003D7E05">
      <w:pPr>
        <w:jc w:val="center"/>
        <w:rPr>
          <w:rFonts w:ascii="Times New Roman" w:eastAsia="Arial" w:hAnsi="Times New Roman" w:cs="Arial"/>
          <w:noProof/>
          <w:sz w:val="24"/>
          <w:szCs w:val="20"/>
        </w:rPr>
      </w:pPr>
      <w:r w:rsidRPr="007B2FAF">
        <w:rPr>
          <w:rFonts w:ascii="Times New Roman" w:eastAsia="Arial" w:hAnsi="Times New Roman" w:cs="Arial"/>
          <w:noProof/>
          <w:sz w:val="24"/>
          <w:szCs w:val="20"/>
          <w:lang w:bidi="ar-SA"/>
        </w:rPr>
        <w:lastRenderedPageBreak/>
        <w:drawing>
          <wp:inline distT="0" distB="0" distL="0" distR="0">
            <wp:extent cx="3796030" cy="53943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96030" cy="5394325"/>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Arī otrajā gadā uzkrātie procenti nemainās salīdzinājumā ar obligācijas iepriekšējo formu. Tie ir vienādi arī ar sertifikātu cenas starpību starp gada sākumu un pirmā kupona sertifikāta izpirkuma laiku un pārējo trīs (10, 106, 16, 18) sertifikātu izpirkuma laiku gada beigās. Gada beigās 1075 ir trīs sertifikātu (813, 122, 140) tirgus vērtību summa, un tā joprojām ir vienāda ar summu, ko veido 1000 (nominālvērtība) un 75 (sešu mēnešu laikā uzkrātie procenti).</w:t>
      </w:r>
    </w:p>
    <w:p w:rsidR="00073FEC" w:rsidRPr="001973D0" w:rsidRDefault="00073FEC" w:rsidP="00073FEC">
      <w:pPr>
        <w:jc w:val="both"/>
        <w:rPr>
          <w:rFonts w:ascii="Times New Roman" w:eastAsia="Arial" w:hAnsi="Times New Roman" w:cs="Arial"/>
          <w:noProof/>
          <w:sz w:val="24"/>
          <w:szCs w:val="20"/>
        </w:rPr>
      </w:pPr>
    </w:p>
    <w:p w:rsidR="00073FEC" w:rsidRPr="001973D0" w:rsidRDefault="007B2FAF" w:rsidP="003D7E05">
      <w:pPr>
        <w:jc w:val="center"/>
        <w:rPr>
          <w:rFonts w:ascii="Times New Roman" w:eastAsia="Arial" w:hAnsi="Times New Roman" w:cs="Arial"/>
          <w:noProof/>
          <w:sz w:val="24"/>
        </w:rPr>
      </w:pPr>
      <w:r w:rsidRPr="007B2FAF">
        <w:rPr>
          <w:rFonts w:ascii="Times New Roman" w:eastAsia="Arial" w:hAnsi="Times New Roman" w:cs="Arial"/>
          <w:noProof/>
          <w:sz w:val="24"/>
          <w:lang w:bidi="ar-SA"/>
        </w:rPr>
        <w:lastRenderedPageBreak/>
        <w:drawing>
          <wp:inline distT="0" distB="0" distL="0" distR="0">
            <wp:extent cx="3759200" cy="5366385"/>
            <wp:effectExtent l="0" t="0" r="0" b="571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9200" cy="5366385"/>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Ar pārmaiņām procentu likmē</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Pamatsummas un procentu atdalīšanu īsteno jaunos tirgus apstākļos, piemēram, kad tirgus likme ir samazinājusies līdz 10 %. Pašreizējā obligācijas cena ir 1125. Šoreiz pamatsummas un procentu atdalīšanas darījumu vērtība ir 113, 124, 136 un 752 (pamatojoties uz cenām procentos 75,2, 82,7 un 90,8). Gada beigās šo četru sertifikātu tirgus vērtību summa ir 1182 (790, 119, 130, 143), kas ir arī nomināla tirgus vērtības (1107) jeb “tīrās cenas” un uzkrāto procentu (vienmēr 75) summa.</w:t>
      </w:r>
    </w:p>
    <w:p w:rsidR="00073FEC" w:rsidRPr="001973D0" w:rsidRDefault="00073FEC" w:rsidP="00073FEC">
      <w:pPr>
        <w:jc w:val="both"/>
        <w:rPr>
          <w:rFonts w:ascii="Times New Roman" w:eastAsia="Arial" w:hAnsi="Times New Roman" w:cs="Arial"/>
          <w:noProof/>
          <w:sz w:val="24"/>
          <w:szCs w:val="20"/>
        </w:rPr>
      </w:pPr>
    </w:p>
    <w:p w:rsidR="00073FEC" w:rsidRPr="001973D0" w:rsidRDefault="000C5FD1" w:rsidP="00073FEC">
      <w:pPr>
        <w:pStyle w:val="BodyText"/>
        <w:spacing w:before="0"/>
        <w:ind w:left="0" w:firstLine="0"/>
        <w:jc w:val="both"/>
        <w:rPr>
          <w:rFonts w:ascii="Times New Roman" w:hAnsi="Times New Roman"/>
          <w:noProof/>
          <w:sz w:val="24"/>
        </w:rPr>
      </w:pPr>
      <w:r>
        <w:rPr>
          <w:rFonts w:ascii="Times New Roman" w:hAnsi="Times New Roman"/>
          <w:noProof/>
          <w:sz w:val="24"/>
        </w:rPr>
        <w:t>Ierakstot</w:t>
      </w:r>
      <w:r w:rsidR="00073FEC">
        <w:rPr>
          <w:rFonts w:ascii="Times New Roman" w:hAnsi="Times New Roman"/>
          <w:noProof/>
          <w:sz w:val="24"/>
        </w:rPr>
        <w:t xml:space="preserve"> aktīvu un saistību pusi, nebūtu asimetrijas. Tomēr minētais piemērs skaidri parāda, ka atšķirības tirgus cenās nevar izmantot attiecībā uz uzkrātajiem procentiem (summa pusgadam būtu 57 pret 75, kas ir sākotnējā likme). Tādējādi uzkrātie procenti jāaprēķina, pamatojoties uz iepriekšējo obligācijas formu, nevis uz turētāju sniegto informāciju. Precizējumu ieraksta pārvērtēšanas kontā. Zaudējums (pašreizējā saistību cena ir augstāka par “teorētisko” cenu) ir ienākums darījuma partneru kontos.</w:t>
      </w:r>
    </w:p>
    <w:p w:rsidR="00073FEC" w:rsidRPr="001973D0" w:rsidRDefault="00073FEC" w:rsidP="00073FEC">
      <w:pPr>
        <w:jc w:val="both"/>
        <w:rPr>
          <w:rFonts w:ascii="Times New Roman" w:eastAsia="Arial" w:hAnsi="Times New Roman" w:cs="Arial"/>
          <w:noProof/>
          <w:sz w:val="24"/>
          <w:szCs w:val="21"/>
        </w:rPr>
      </w:pPr>
    </w:p>
    <w:p w:rsidR="00073FEC" w:rsidRPr="001973D0" w:rsidRDefault="007B2FAF" w:rsidP="003D7E05">
      <w:pPr>
        <w:jc w:val="center"/>
        <w:rPr>
          <w:rFonts w:ascii="Times New Roman" w:eastAsia="Arial" w:hAnsi="Times New Roman" w:cs="Arial"/>
          <w:noProof/>
          <w:sz w:val="24"/>
          <w:szCs w:val="20"/>
        </w:rPr>
      </w:pPr>
      <w:r w:rsidRPr="007B2FAF">
        <w:rPr>
          <w:rFonts w:ascii="Times New Roman" w:eastAsia="Arial" w:hAnsi="Times New Roman" w:cs="Arial"/>
          <w:noProof/>
          <w:sz w:val="24"/>
          <w:szCs w:val="20"/>
          <w:lang w:bidi="ar-SA"/>
        </w:rPr>
        <w:lastRenderedPageBreak/>
        <w:drawing>
          <wp:inline distT="0" distB="0" distL="0" distR="0">
            <wp:extent cx="3611245" cy="6465570"/>
            <wp:effectExtent l="0" t="0" r="825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1245" cy="6465570"/>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Uzkrāto procentu novērtējums kopš iepriekšējā gada nav mainījies. Trīs atlikušo sertifikātu</w:t>
      </w:r>
      <w:r w:rsidR="005A7579">
        <w:rPr>
          <w:rFonts w:ascii="Times New Roman" w:hAnsi="Times New Roman"/>
          <w:noProof/>
          <w:sz w:val="24"/>
        </w:rPr>
        <w:t xml:space="preserve"> </w:t>
      </w:r>
      <w:r>
        <w:rPr>
          <w:rFonts w:ascii="Times New Roman" w:hAnsi="Times New Roman"/>
          <w:noProof/>
          <w:sz w:val="24"/>
        </w:rPr>
        <w:t>tirgus vērtību (869, 131, 143) summa ir 1143, un tā ir arī pamatsummas (1068) tirgus vērtība, kura pieaugusi par sešu mēnešu laikā uzkrāto procentu vērtību (75). Šoreiz precizējums pārvērtēšanas kontā ir ienākums emitentam, un to aprēķina, pamatojoties vienīgi uz pašreizējām cenām perioda sākumā un beigās.</w:t>
      </w:r>
    </w:p>
    <w:p w:rsidR="00073FEC" w:rsidRPr="001973D0" w:rsidRDefault="00073FEC" w:rsidP="00073FEC">
      <w:pPr>
        <w:jc w:val="both"/>
        <w:rPr>
          <w:rFonts w:ascii="Times New Roman" w:eastAsia="Arial" w:hAnsi="Times New Roman" w:cs="Arial"/>
          <w:noProof/>
          <w:sz w:val="24"/>
          <w:szCs w:val="20"/>
        </w:rPr>
      </w:pPr>
    </w:p>
    <w:p w:rsidR="00073FEC" w:rsidRPr="001973D0" w:rsidRDefault="008F7036" w:rsidP="003D7E05">
      <w:pPr>
        <w:jc w:val="center"/>
        <w:rPr>
          <w:rFonts w:ascii="Times New Roman" w:eastAsia="Arial" w:hAnsi="Times New Roman" w:cs="Arial"/>
          <w:noProof/>
          <w:sz w:val="24"/>
        </w:rPr>
      </w:pPr>
      <w:r w:rsidRPr="008F7036">
        <w:rPr>
          <w:rFonts w:ascii="Times New Roman" w:eastAsia="Arial" w:hAnsi="Times New Roman" w:cs="Arial"/>
          <w:noProof/>
          <w:sz w:val="24"/>
          <w:lang w:bidi="ar-SA"/>
        </w:rPr>
        <w:lastRenderedPageBreak/>
        <w:drawing>
          <wp:inline distT="0" distB="0" distL="0" distR="0">
            <wp:extent cx="3796030" cy="655764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96030" cy="6557645"/>
                    </a:xfrm>
                    <a:prstGeom prst="rect">
                      <a:avLst/>
                    </a:prstGeom>
                    <a:noFill/>
                    <a:ln>
                      <a:noFill/>
                    </a:ln>
                  </pic:spPr>
                </pic:pic>
              </a:graphicData>
            </a:graphic>
          </wp:inline>
        </w:drawing>
      </w:r>
    </w:p>
    <w:p w:rsidR="00073FEC" w:rsidRDefault="00073FEC" w:rsidP="00073FEC">
      <w:pPr>
        <w:rPr>
          <w:rFonts w:ascii="Times New Roman" w:eastAsia="Arial" w:hAnsi="Times New Roman" w:cs="Arial"/>
          <w:noProof/>
          <w:sz w:val="24"/>
          <w:szCs w:val="20"/>
        </w:rPr>
      </w:pPr>
      <w:r>
        <w:br w:type="page"/>
      </w:r>
    </w:p>
    <w:p w:rsidR="00073FEC" w:rsidRDefault="00073FEC" w:rsidP="003D7E05">
      <w:pPr>
        <w:pStyle w:val="Heading2"/>
        <w:rPr>
          <w:noProof/>
        </w:rPr>
      </w:pPr>
      <w:bookmarkStart w:id="135" w:name="II.5__Military_expenditure"/>
      <w:bookmarkStart w:id="136" w:name="_bookmark16"/>
      <w:bookmarkStart w:id="137" w:name="_Toc471135880"/>
      <w:bookmarkEnd w:id="135"/>
      <w:bookmarkEnd w:id="136"/>
      <w:r>
        <w:rPr>
          <w:noProof/>
        </w:rPr>
        <w:lastRenderedPageBreak/>
        <w:t>II.5. </w:t>
      </w:r>
      <w:r w:rsidRPr="003D7E05">
        <w:t>Militārie</w:t>
      </w:r>
      <w:r>
        <w:rPr>
          <w:noProof/>
        </w:rPr>
        <w:t xml:space="preserve"> izdevumi</w:t>
      </w:r>
      <w:bookmarkEnd w:id="137"/>
    </w:p>
    <w:p w:rsidR="00073FEC" w:rsidRPr="001973D0" w:rsidRDefault="00073FEC" w:rsidP="00073FEC">
      <w:pPr>
        <w:pStyle w:val="Heading2"/>
        <w:tabs>
          <w:tab w:val="left" w:pos="1592"/>
        </w:tabs>
        <w:jc w:val="both"/>
        <w:rPr>
          <w:noProof/>
          <w:sz w:val="24"/>
        </w:rPr>
      </w:pPr>
    </w:p>
    <w:p w:rsidR="00073FEC" w:rsidRDefault="00073FEC" w:rsidP="00073FEC">
      <w:pPr>
        <w:pStyle w:val="Heading4"/>
        <w:tabs>
          <w:tab w:val="left" w:pos="1602"/>
        </w:tabs>
        <w:ind w:left="0" w:firstLine="0"/>
        <w:jc w:val="both"/>
        <w:rPr>
          <w:rFonts w:ascii="Times New Roman" w:hAnsi="Times New Roman"/>
          <w:noProof/>
          <w:u w:val="thick" w:color="000000"/>
        </w:rPr>
      </w:pPr>
      <w:bookmarkStart w:id="138" w:name="II.5.1_Background"/>
      <w:bookmarkEnd w:id="138"/>
      <w:r>
        <w:rPr>
          <w:rFonts w:ascii="Times New Roman" w:hAnsi="Times New Roman"/>
          <w:noProof/>
          <w:u w:val="none"/>
        </w:rPr>
        <w:t>II.5.1. </w:t>
      </w:r>
      <w:r>
        <w:rPr>
          <w:rFonts w:ascii="Times New Roman" w:hAnsi="Times New Roman"/>
          <w:noProof/>
          <w:u w:val="thick" w:color="000000"/>
        </w:rPr>
        <w:t>Vispārēja informācija</w:t>
      </w:r>
    </w:p>
    <w:p w:rsidR="00073FEC" w:rsidRPr="001973D0" w:rsidRDefault="00073FEC" w:rsidP="00073FEC">
      <w:pPr>
        <w:pStyle w:val="Heading4"/>
        <w:tabs>
          <w:tab w:val="left" w:pos="1602"/>
        </w:tabs>
        <w:ind w:left="0" w:firstLine="0"/>
        <w:jc w:val="both"/>
        <w:rPr>
          <w:rFonts w:ascii="Times New Roman" w:hAnsi="Times New Roman"/>
          <w:noProof/>
          <w:u w:val="thick" w:color="000000"/>
        </w:rPr>
      </w:pP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Militārie izdevumi ir īpaša tādu valdības izdevumu kategorija, kuri bieži vien rodas saskaņā ar īpašiem iepirkuma līgumiem (tostarp dažkārt izmantojot arī augstvērtīga aprīkojuma nomu).</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Pēc būtības militārais aprīkojums parasti tiek iekļauts sarežģītās tehnoloģijas kategorijā. No tā izriet trīs dažādas sekas. Pirmkārt, militārais aprīkojums var būt veidots no daudziem dažādiem komponentiem, kurus bieži vien ražo dažādi piegādātāji. Otrkārt, ražošanas process var ilgt vairākus gadus. Treškārt, līgumos bieži vien iekļauti arī tehniskās apkopes noteikumi, lai nodrošinātu aprīkojuma atbilstību ekspluatācijas nosacījumiem. Tāpēc šī nodaļa ir veltīta jo īpaši jautājumam par valdības militārā a</w:t>
      </w:r>
      <w:r w:rsidR="000C5FD1">
        <w:rPr>
          <w:rFonts w:ascii="Times New Roman" w:hAnsi="Times New Roman"/>
          <w:noProof/>
          <w:sz w:val="24"/>
        </w:rPr>
        <w:t>prīkojuma izdevumu ierakstīšanas</w:t>
      </w:r>
      <w:r>
        <w:rPr>
          <w:rFonts w:ascii="Times New Roman" w:hAnsi="Times New Roman"/>
          <w:noProof/>
          <w:sz w:val="24"/>
        </w:rPr>
        <w:t xml:space="preserve"> laiku nacionālajos kontos.</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602"/>
        </w:tabs>
        <w:ind w:left="0" w:firstLine="0"/>
        <w:jc w:val="both"/>
        <w:rPr>
          <w:rFonts w:ascii="Times New Roman" w:hAnsi="Times New Roman"/>
          <w:noProof/>
          <w:u w:val="thick" w:color="000000"/>
        </w:rPr>
      </w:pPr>
      <w:bookmarkStart w:id="139" w:name="II.5.2_Treatment_in_national_accounts"/>
      <w:bookmarkEnd w:id="139"/>
      <w:r>
        <w:rPr>
          <w:rFonts w:ascii="Times New Roman" w:hAnsi="Times New Roman"/>
          <w:noProof/>
          <w:u w:val="none"/>
        </w:rPr>
        <w:t>II.5.2. </w:t>
      </w:r>
      <w:r>
        <w:rPr>
          <w:rFonts w:ascii="Times New Roman" w:hAnsi="Times New Roman"/>
          <w:noProof/>
          <w:u w:val="thick" w:color="000000"/>
        </w:rPr>
        <w:t>Traktējums nacionālajos kontos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16"/>
        </w:tabs>
        <w:jc w:val="both"/>
        <w:rPr>
          <w:rFonts w:ascii="Times New Roman" w:hAnsi="Times New Roman"/>
          <w:noProof/>
          <w:sz w:val="24"/>
        </w:rPr>
      </w:pPr>
      <w:bookmarkStart w:id="140" w:name="II.5.2.1_Identification_of_military_equi"/>
      <w:bookmarkEnd w:id="140"/>
      <w:r>
        <w:rPr>
          <w:rFonts w:ascii="Times New Roman" w:hAnsi="Times New Roman"/>
          <w:noProof/>
          <w:sz w:val="24"/>
        </w:rPr>
        <w:t>II.5.2.1. Militārā aprīkojuma identifikācija</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ir noteikts stingrs dalījums starp “ieroču sistēmām” un citiem priekšmetiem, ko bruņotie spēki izmanto savu uzdevumu izpildei. EKS 2010 (sk. 7.nodaļu un 7.1. pielikumu) ir noteikts, ka ieroču sistēmas (AN.114) ir pamatlīdzekļi – “transportlīdzekļi un citas iekārtas, piemēram, karakuģi, zemūdenes, militārās lidmašīnas, tanki, bumbvedēji, ložmetēji utt.”. Šis nav pilnīgs saraksts, taču tas skaidri atspoguļo šāda aprīkojuma būtību, proti, tas ir aprīkojums, kurš paredzēts iznīcināšanas līdzekļu padevei iespējami daudzas reizes (un kura ekspluatācijas laiks pārsniedz vienu gadu). Īpašs gadījums ir masu iznīcināšanas ieroči: ballistiskās raķetes ar augstu iznīcināšanas spēju, kas nodrošina nepārtrauktu preventīvu aizsardzību pret agresoru, klasificē kā pamatlīdzekļus. Klasifikācijas pamatojums ir tāds, ka šos ieročus principā nav paredzēts izmantot (un līdz ar to iznīcināt) un tie tiek turēti preventīvu apsvērumu dēļ.</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Attiecīgi šādu pama</w:t>
      </w:r>
      <w:r w:rsidR="000C5FD1">
        <w:rPr>
          <w:rFonts w:ascii="Times New Roman" w:hAnsi="Times New Roman"/>
          <w:noProof/>
          <w:sz w:val="24"/>
        </w:rPr>
        <w:t>tlīdzekļu iegāde tiek ierakstīta</w:t>
      </w:r>
      <w:r>
        <w:rPr>
          <w:rFonts w:ascii="Times New Roman" w:hAnsi="Times New Roman"/>
          <w:noProof/>
          <w:sz w:val="24"/>
        </w:rPr>
        <w:t xml:space="preserve"> kā bruto ieguldījums pamatkapitālā un ir atkarīga no pamatkapitāla patēriņa līdzīgi jebkuram citam pamatlīdzeklim, ko iegādājušies bruņotie spēki. EKS 2010 (sk. 7.nodaļu un 7.1. pielikumu) ir noteikts, ka “militārajiem nolūkiem iegādātas mašīnas un iekārtas, kas nav ieroču sistēmas, iekļauj” kategorijā AN.113 “Mašīnas un iekārtas”, taču atsevišķi nenorāda kā šādas mašīnas un iekārtas. Militārajos bruto ieguldījumos pamatkapitālā ir iekļauti arī izdevumi par militāro pamatlīdzekļu uzlabošanu, piemēram, par “kapitālremontu”, kas paildzina to ekspluatācijas laiku, un par “modernizāciju”. EKS 2010 izveidota arī kategorija “militārie krājumi” (AN.124), kas īpaši paredzēta “munīcijai, reaktīvajiem šāviņiem</w:t>
      </w:r>
      <w:r>
        <w:rPr>
          <w:rStyle w:val="FootnoteReference"/>
          <w:rFonts w:ascii="Times New Roman" w:hAnsi="Times New Roman"/>
          <w:noProof/>
          <w:sz w:val="24"/>
        </w:rPr>
        <w:footnoteReference w:id="132"/>
      </w:r>
      <w:r>
        <w:rPr>
          <w:rFonts w:ascii="Times New Roman" w:hAnsi="Times New Roman"/>
          <w:noProof/>
          <w:sz w:val="24"/>
        </w:rPr>
        <w:t>, raķetēm, bumbām un citām vienreizējas lietošanas militārām lietām, kuras nogādā ieroči vai ieroču sistēmas”. Kad t</w:t>
      </w:r>
      <w:r w:rsidR="000C5FD1">
        <w:rPr>
          <w:rFonts w:ascii="Times New Roman" w:hAnsi="Times New Roman"/>
          <w:noProof/>
          <w:sz w:val="24"/>
        </w:rPr>
        <w:t>ās tiek izmantotas, tās ieraksta</w:t>
      </w:r>
      <w:r>
        <w:rPr>
          <w:rFonts w:ascii="Times New Roman" w:hAnsi="Times New Roman"/>
          <w:noProof/>
          <w:sz w:val="24"/>
        </w:rPr>
        <w:t xml:space="preserve"> kā krājumu samazinājumu un starppatēriņu.</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36"/>
        </w:tabs>
        <w:jc w:val="both"/>
        <w:rPr>
          <w:rFonts w:ascii="Times New Roman" w:hAnsi="Times New Roman"/>
          <w:noProof/>
          <w:sz w:val="24"/>
        </w:rPr>
      </w:pPr>
      <w:bookmarkStart w:id="141" w:name="II.5.2.2_The_time_of_recording_of_milita"/>
      <w:bookmarkEnd w:id="141"/>
      <w:r>
        <w:rPr>
          <w:rFonts w:ascii="Times New Roman" w:hAnsi="Times New Roman"/>
          <w:noProof/>
          <w:sz w:val="24"/>
        </w:rPr>
        <w:t>II.5.2.2. Izdevumu milit</w:t>
      </w:r>
      <w:r w:rsidR="000C5FD1">
        <w:rPr>
          <w:rFonts w:ascii="Times New Roman" w:hAnsi="Times New Roman"/>
          <w:noProof/>
          <w:sz w:val="24"/>
        </w:rPr>
        <w:t>ārajam aprīkojumam ierakstīšanas</w:t>
      </w:r>
      <w:r>
        <w:rPr>
          <w:rFonts w:ascii="Times New Roman" w:hAnsi="Times New Roman"/>
          <w:noProof/>
          <w:sz w:val="24"/>
        </w:rPr>
        <w:t xml:space="preserve"> laiks: vispārējs noteikums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Saskaņā ar vispārējiem nacionālo kontu principiem valdības iz</w:t>
      </w:r>
      <w:r w:rsidR="000C5FD1">
        <w:rPr>
          <w:rFonts w:ascii="Times New Roman" w:hAnsi="Times New Roman"/>
          <w:noProof/>
          <w:sz w:val="24"/>
        </w:rPr>
        <w:t>devumi par aprīkojumu jāieraksta</w:t>
      </w:r>
      <w:r>
        <w:rPr>
          <w:rFonts w:ascii="Times New Roman" w:hAnsi="Times New Roman"/>
          <w:noProof/>
          <w:sz w:val="24"/>
        </w:rPr>
        <w:t xml:space="preserve"> tā piegādes laikā, kas iezīmē ekonomisko īpašumtiesību maiņu. Tas attiecas ne tikai uz militāro aprīkojumu.</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lastRenderedPageBreak/>
        <w:t>Pieņem, ka piegāde ir notikusi brīdī, kad bruņotie spēki ir pārņēmuši aprīkojumu savā īpašumā no ekonomiskā viedokļa, proti, ir uzņēmušies ar aprīkojumu saistītos riskus un tā sniegtās priekšrocības. Tas attiecas uz jebkuru saistīto darbību, kas faktiski īstenota ar šo aprīkojumu, piemēram, uz apmācību vai faktiskām militārajām misijām. Pēc piegādes bruņotie spēki parasti ir tiesīgi izmantot militāros aktīvus bez ierobežojuma jebkurai darbībai, tomēr attiecībā uz noteiktām iekārtām tiek piemērots testēšanas periods, jo īpaši iekārtām, kurās iekļautas augstās tehnoloģijas, to piegāde bieži vien notiek ilgu laika posmu, tostarp iekārtai laika gaitā veic būtiskus uzlabojumus (ko bieži vien dēvē par “standartu”). Testēšana parasti notiek militāros objektos, kuru laikā būvētājs parasti joprojām ir atbildīgs par iekārtu. Tomēr dažkārt iekārta ir jāuzlabo būvētāja telpās, un tāpēc tā to nodod atpakaļ ražotājam (vai montētājam). Praktiski piegādes laiks būtu jānosaka kā brīdis, kad militārie spēki pirmo reizi uzņemas atbildību par iekārtu</w:t>
      </w:r>
      <w:r>
        <w:rPr>
          <w:rStyle w:val="FootnoteReference"/>
          <w:rFonts w:ascii="Times New Roman" w:hAnsi="Times New Roman"/>
          <w:noProof/>
          <w:sz w:val="24"/>
        </w:rPr>
        <w:footnoteReference w:id="133"/>
      </w:r>
      <w:r>
        <w:rPr>
          <w:rFonts w:ascii="Times New Roman" w:hAnsi="Times New Roman"/>
          <w:noProof/>
          <w:sz w:val="24"/>
        </w:rPr>
        <w:t>, t. i., parasti pēc pirmās testēšanas un pēc iekārtas iespējamās pieregulēšanas/pielāgošanas. Tas neizslēdz iespēju, ka būvētājam varētu prasīt, lai pēc iekārtas pirmās oficiālās pieņemšanas tai veiktu turpmākas modifikācijas, par ko atbildība atkal tiek nodota viņam (garantijas saistības). Šajā saistībā kā būtisks krit</w:t>
      </w:r>
      <w:r w:rsidR="000C5FD1">
        <w:rPr>
          <w:rFonts w:ascii="Times New Roman" w:hAnsi="Times New Roman"/>
          <w:noProof/>
          <w:sz w:val="24"/>
        </w:rPr>
        <w:t>ērijs attiecībā uz ierakstīšanas</w:t>
      </w:r>
      <w:r>
        <w:rPr>
          <w:rFonts w:ascii="Times New Roman" w:hAnsi="Times New Roman"/>
          <w:noProof/>
          <w:sz w:val="24"/>
        </w:rPr>
        <w:t xml:space="preserve"> laika noteikšanu varētu kopumā būt apdrošināšanas līgums, jo parasti militāro aprīkojumu, kad tas tiek faktiski lietots, pašapdrošina valdība. Piegādes laiks var ievērojami atšķirties no laika, kad notiek ar piegādāto aktīvu saistītās attiecīgās naudas plūsmas. Šajā saistībā parasti pilnīga norēķināšanās par dārgu “smago” aprīkojumu nenotiek tā piegādes laikā. Bieži vien valdība pirms piegādes veic arī avansa maksājumus.</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Dažādu iemeslu dēļ (piemēram, vienoto izmaksu palielināšanās, piegāžu kavējumu dēļ utt.) var gadīties, ka iekārtu piegādes līgumi, kas parasti ir spēkā samērā ilgu laiku, tiek atkārtoti pārskatīti un grozīti. Tas ir arī gadījumos, kad iekārtai ir veikti būtiski jauninājumi. Līguma kopējo vērtību var pārskatīt arī jau pēc dažu iekārtu piegādes. Šādos gadījumos attiecīgie izdevumi</w:t>
      </w:r>
      <w:r w:rsidR="000C5FD1">
        <w:rPr>
          <w:rFonts w:ascii="Times New Roman" w:hAnsi="Times New Roman"/>
          <w:noProof/>
          <w:sz w:val="24"/>
        </w:rPr>
        <w:t>, kas jau iepriekš ir ierakstīti</w:t>
      </w:r>
      <w:r>
        <w:rPr>
          <w:rFonts w:ascii="Times New Roman" w:hAnsi="Times New Roman"/>
          <w:noProof/>
          <w:sz w:val="24"/>
        </w:rPr>
        <w:t xml:space="preserve"> nacionālajos kontos, nav jāpārskata. Līguma sākotnējās un jaunās vērtības starpību proporcionāli sadala uz atlikušajām turpmākajām piegādēm. Dažkārt piegādājamo vienību skaits tiek samazināts, un tas nozīmē, ka būtu jāpārrēķina turpmāk piegādājamo vienību vidējā cena. Nacionālajos kontos iepriekšējie dati nebūtu jāpārskata.</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Gadījumos, kad iekārtu piegāde ir papildināta ar pakalpojumu tūlītēju vai vēlāku sniegšanu, ar šiem pakalpojumiem saistītie izdevumi ir jāid</w:t>
      </w:r>
      <w:r w:rsidR="000C5FD1">
        <w:rPr>
          <w:rFonts w:ascii="Times New Roman" w:hAnsi="Times New Roman"/>
          <w:noProof/>
          <w:sz w:val="24"/>
        </w:rPr>
        <w:t>entificē atsevišķi un jāieraksta</w:t>
      </w:r>
      <w:r>
        <w:rPr>
          <w:rFonts w:ascii="Times New Roman" w:hAnsi="Times New Roman"/>
          <w:noProof/>
          <w:sz w:val="24"/>
        </w:rPr>
        <w:t xml:space="preserve"> kā starppatēriņš brīdī, kad pakalpojums tiek sniegts. Izņēmums ir ar īpašumtiesību nodošanu saistītās izmaksas, kuras rodas jaunajam īpašniekam un ir noteiktas EKS 2010 3.133. punktā. Šo izmaksu tvērums ir visnotaļ ierobežots, un tajās neietilpst testi un kalibrēšana, kas nepieciešama ļoti sarežģītam militārajam aprīkojumam.</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42" w:name="II.5.2.3_The_time_of_recording_of_the_ex"/>
      <w:bookmarkEnd w:id="142"/>
      <w:r>
        <w:rPr>
          <w:rFonts w:ascii="Times New Roman" w:hAnsi="Times New Roman"/>
          <w:noProof/>
          <w:sz w:val="24"/>
        </w:rPr>
        <w:t>II.5.2.3. Izdevumu par m</w:t>
      </w:r>
      <w:r w:rsidR="000C5FD1">
        <w:rPr>
          <w:rFonts w:ascii="Times New Roman" w:hAnsi="Times New Roman"/>
          <w:noProof/>
          <w:sz w:val="24"/>
        </w:rPr>
        <w:t>ilitāro aprīkojumu ierakstīšanas</w:t>
      </w:r>
      <w:r>
        <w:rPr>
          <w:rFonts w:ascii="Times New Roman" w:hAnsi="Times New Roman"/>
          <w:noProof/>
          <w:sz w:val="24"/>
        </w:rPr>
        <w:t xml:space="preserve"> laiks saistībā ar ilgtermiņa līgumiem</w:t>
      </w:r>
    </w:p>
    <w:p w:rsidR="00073FEC" w:rsidRPr="001973D0" w:rsidRDefault="00073FEC" w:rsidP="00073FEC">
      <w:pPr>
        <w:pStyle w:val="Heading6"/>
        <w:tabs>
          <w:tab w:val="left" w:pos="2016"/>
        </w:tabs>
        <w:jc w:val="both"/>
        <w:rPr>
          <w:rFonts w:ascii="Times New Roman" w:hAnsi="Times New Roman"/>
          <w:noProof/>
          <w:sz w:val="24"/>
        </w:rPr>
      </w:pPr>
    </w:p>
    <w:p w:rsidR="00073FEC"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Līgumiem, ko valdības iestādes parakstījušas, lai iegādātos militāro aprīkojumu, bieži piemīt šādas iezīmes:</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6"/>
        </w:numPr>
        <w:tabs>
          <w:tab w:val="left" w:pos="1596"/>
        </w:tabs>
        <w:spacing w:before="0"/>
        <w:ind w:left="1134" w:hanging="425"/>
        <w:jc w:val="both"/>
        <w:rPr>
          <w:rFonts w:ascii="Times New Roman" w:hAnsi="Times New Roman"/>
          <w:noProof/>
          <w:sz w:val="24"/>
        </w:rPr>
      </w:pPr>
      <w:r>
        <w:rPr>
          <w:rFonts w:ascii="Times New Roman" w:hAnsi="Times New Roman"/>
          <w:noProof/>
          <w:sz w:val="24"/>
        </w:rPr>
        <w:t>daudzi ražojumi tiek piegādāti vairākus gadus ilgā laika posmā;</w:t>
      </w:r>
    </w:p>
    <w:p w:rsidR="00073FEC" w:rsidRPr="001973D0" w:rsidRDefault="00073FEC" w:rsidP="00073FEC">
      <w:pPr>
        <w:pStyle w:val="BodyText"/>
        <w:numPr>
          <w:ilvl w:val="1"/>
          <w:numId w:val="6"/>
        </w:numPr>
        <w:tabs>
          <w:tab w:val="left" w:pos="1596"/>
        </w:tabs>
        <w:spacing w:before="0"/>
        <w:ind w:left="1134" w:hanging="425"/>
        <w:jc w:val="both"/>
        <w:rPr>
          <w:rFonts w:ascii="Times New Roman" w:hAnsi="Times New Roman"/>
          <w:noProof/>
          <w:sz w:val="24"/>
        </w:rPr>
      </w:pPr>
      <w:r>
        <w:rPr>
          <w:rFonts w:ascii="Times New Roman" w:hAnsi="Times New Roman"/>
          <w:noProof/>
          <w:sz w:val="24"/>
        </w:rPr>
        <w:t>pakalpojumi (piemēram, tehniskā apkope) tiek sniegti vairāku gadu garumā;</w:t>
      </w:r>
    </w:p>
    <w:p w:rsidR="00073FEC" w:rsidRDefault="00073FEC" w:rsidP="00073FEC">
      <w:pPr>
        <w:pStyle w:val="BodyText"/>
        <w:numPr>
          <w:ilvl w:val="1"/>
          <w:numId w:val="6"/>
        </w:numPr>
        <w:tabs>
          <w:tab w:val="left" w:pos="1596"/>
        </w:tabs>
        <w:spacing w:before="0"/>
        <w:ind w:left="1134" w:hanging="425"/>
        <w:jc w:val="both"/>
        <w:rPr>
          <w:rFonts w:ascii="Times New Roman" w:hAnsi="Times New Roman"/>
          <w:noProof/>
          <w:sz w:val="24"/>
        </w:rPr>
      </w:pPr>
      <w:r>
        <w:rPr>
          <w:rFonts w:ascii="Times New Roman" w:hAnsi="Times New Roman"/>
          <w:noProof/>
          <w:sz w:val="24"/>
        </w:rPr>
        <w:t xml:space="preserve">lai sarežģītas iekārtas padarītu pilnīgi izmantojamas militārajās misijās, </w:t>
      </w:r>
      <w:r>
        <w:rPr>
          <w:rFonts w:ascii="Times New Roman" w:hAnsi="Times New Roman"/>
          <w:noProof/>
          <w:sz w:val="24"/>
        </w:rPr>
        <w:lastRenderedPageBreak/>
        <w:t>nepieciešama galīgo detaļu piegāde. Piemēram, elektroniskais aprīkojums un ieroču sistēmas iznīcinātājiem, ko bieži vien piegādā citi uzņēmumi, nevis galvenais piegādātājs, un kas tiek montētas militārajos objektos. Šis gadījums ir skaidri jānošķir no gadījuma, kad detaļas, kas bieži vien iegūtas no vairākiem apakšuzņēmējiem, montē būvētājs/ražotājs un rezultātā tiek nodrošināta viena piegāde (vai izdots viens rēķins).</w:t>
      </w:r>
    </w:p>
    <w:p w:rsidR="00073FEC" w:rsidRPr="001973D0" w:rsidRDefault="00073FEC" w:rsidP="00073FEC">
      <w:pPr>
        <w:pStyle w:val="BodyText"/>
        <w:tabs>
          <w:tab w:val="left" w:pos="1596"/>
        </w:tabs>
        <w:spacing w:before="0"/>
        <w:ind w:left="0" w:firstLine="0"/>
        <w:jc w:val="both"/>
        <w:rPr>
          <w:rFonts w:ascii="Times New Roman" w:hAnsi="Times New Roman"/>
          <w:noProof/>
          <w:sz w:val="24"/>
        </w:rPr>
      </w:pPr>
    </w:p>
    <w:p w:rsidR="00073FEC"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Turp</w:t>
      </w:r>
      <w:r w:rsidR="000C5FD1">
        <w:rPr>
          <w:rFonts w:ascii="Times New Roman" w:hAnsi="Times New Roman"/>
          <w:noProof/>
          <w:sz w:val="24"/>
        </w:rPr>
        <w:t>māk norādīts laiks, kad ieraksta</w:t>
      </w:r>
      <w:r>
        <w:rPr>
          <w:rFonts w:ascii="Times New Roman" w:hAnsi="Times New Roman"/>
          <w:noProof/>
          <w:sz w:val="24"/>
        </w:rPr>
        <w:t xml:space="preserve"> valdības neto aizdevumu/aizņēmumu (B.9) ietekmējošos valdības izdevumus:</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6"/>
        </w:numPr>
        <w:tabs>
          <w:tab w:val="left" w:pos="1602"/>
        </w:tabs>
        <w:spacing w:before="0"/>
        <w:ind w:left="1134" w:hanging="425"/>
        <w:jc w:val="both"/>
        <w:rPr>
          <w:rFonts w:ascii="Times New Roman" w:hAnsi="Times New Roman"/>
          <w:noProof/>
          <w:sz w:val="24"/>
        </w:rPr>
      </w:pPr>
      <w:r>
        <w:rPr>
          <w:rFonts w:ascii="Times New Roman" w:hAnsi="Times New Roman"/>
          <w:noProof/>
          <w:sz w:val="24"/>
        </w:rPr>
        <w:t>ja ilgtermiņa līgumi paredz identisku ražojumu (vai “principā” identisku ražojumu, kā tas ir gaisa kuģu “standartu” gadījumā) piegādi vairākās kārtās ilgā laika po</w:t>
      </w:r>
      <w:r w:rsidR="000C5FD1">
        <w:rPr>
          <w:rFonts w:ascii="Times New Roman" w:hAnsi="Times New Roman"/>
          <w:noProof/>
          <w:sz w:val="24"/>
        </w:rPr>
        <w:t>smā, valdības izdevumus ieraksta</w:t>
      </w:r>
      <w:r>
        <w:rPr>
          <w:rFonts w:ascii="Times New Roman" w:hAnsi="Times New Roman"/>
          <w:noProof/>
          <w:sz w:val="24"/>
        </w:rPr>
        <w:t xml:space="preserve"> katras vienības faktiskās piegādes brīdī;</w:t>
      </w:r>
    </w:p>
    <w:p w:rsidR="00073FEC" w:rsidRPr="001973D0" w:rsidRDefault="00073FEC" w:rsidP="00073FEC">
      <w:pPr>
        <w:pStyle w:val="BodyText"/>
        <w:numPr>
          <w:ilvl w:val="1"/>
          <w:numId w:val="6"/>
        </w:numPr>
        <w:tabs>
          <w:tab w:val="left" w:pos="1602"/>
        </w:tabs>
        <w:spacing w:before="0"/>
        <w:ind w:left="1134" w:hanging="425"/>
        <w:jc w:val="both"/>
        <w:rPr>
          <w:rFonts w:ascii="Times New Roman" w:hAnsi="Times New Roman"/>
          <w:noProof/>
          <w:sz w:val="24"/>
        </w:rPr>
      </w:pPr>
      <w:r>
        <w:rPr>
          <w:rFonts w:ascii="Times New Roman" w:hAnsi="Times New Roman"/>
          <w:noProof/>
          <w:sz w:val="24"/>
        </w:rPr>
        <w:t>ja ilgtermiņa līgumi paredz arī pakalpojumu sniegšanu ilgā laika posmā (piemēram, tehnisko apkopi vai tehnisko uzraudzīb</w:t>
      </w:r>
      <w:r w:rsidR="000C5FD1">
        <w:rPr>
          <w:rFonts w:ascii="Times New Roman" w:hAnsi="Times New Roman"/>
          <w:noProof/>
          <w:sz w:val="24"/>
        </w:rPr>
        <w:t>u), valdības izdevumi jāieraksta</w:t>
      </w:r>
      <w:r>
        <w:rPr>
          <w:rFonts w:ascii="Times New Roman" w:hAnsi="Times New Roman"/>
          <w:noProof/>
          <w:sz w:val="24"/>
        </w:rPr>
        <w:t xml:space="preserve"> pakalpojumu sniegšanas laikā; standarta analītiskās uzskaites paņēmieni ļauj sadalīt izdevumus starp precēm un pakalpojumiem, kas tiek attiecīgi piegādāti un sniegti saskaņā ar līgumiem;</w:t>
      </w:r>
    </w:p>
    <w:p w:rsidR="00073FEC" w:rsidRPr="001973D0" w:rsidRDefault="00073FEC" w:rsidP="00073FEC">
      <w:pPr>
        <w:pStyle w:val="BodyText"/>
        <w:numPr>
          <w:ilvl w:val="1"/>
          <w:numId w:val="6"/>
        </w:numPr>
        <w:tabs>
          <w:tab w:val="left" w:pos="1602"/>
        </w:tabs>
        <w:spacing w:before="0"/>
        <w:ind w:left="1134" w:hanging="425"/>
        <w:jc w:val="both"/>
        <w:rPr>
          <w:rFonts w:ascii="Times New Roman" w:hAnsi="Times New Roman"/>
          <w:noProof/>
          <w:sz w:val="24"/>
        </w:rPr>
      </w:pPr>
      <w:r>
        <w:rPr>
          <w:rFonts w:ascii="Times New Roman" w:hAnsi="Times New Roman"/>
          <w:noProof/>
          <w:sz w:val="24"/>
        </w:rPr>
        <w:t>ja ilgtermiņa līgumos paredzēta kompleksu sistēmu pieg</w:t>
      </w:r>
      <w:r w:rsidR="000C5FD1">
        <w:rPr>
          <w:rFonts w:ascii="Times New Roman" w:hAnsi="Times New Roman"/>
          <w:noProof/>
          <w:sz w:val="24"/>
        </w:rPr>
        <w:t>āde, valdības izdevumus ieraksta</w:t>
      </w:r>
      <w:r>
        <w:rPr>
          <w:rFonts w:ascii="Times New Roman" w:hAnsi="Times New Roman"/>
          <w:noProof/>
          <w:sz w:val="24"/>
        </w:rPr>
        <w:t xml:space="preserve"> tad, kad tiek piegādāts katrs atsevišķais sistēmu veidojošais aprīkojuma elements (kas ir arī gatavs ekspluatācijai, proti, atsevišķais aprīkojuma elements atbilst visiem nepieciešamajiem tehniskajiem datiem, lai tas būtu pilnīgi darbspējīgs, tiklīdz tas tiks savienots ar citiem kompleksas sistēmas elementiem), nevis tad, kad ir pilnīgi pabeigta visu līgumā paredzēto daļu piegāde. Piemērs ir kuģis, kura korpusu un dzinējus nodrošina kuģu būvētava, bet specifiskāku militāro aprīkojumu – citi specializēti piegādātāji (iespējams, citā piegādes vietā).</w:t>
      </w:r>
    </w:p>
    <w:p w:rsidR="00073FEC" w:rsidRDefault="00073FEC" w:rsidP="00073FEC">
      <w:pPr>
        <w:pStyle w:val="BodyText"/>
        <w:numPr>
          <w:ilvl w:val="0"/>
          <w:numId w:val="5"/>
        </w:numPr>
        <w:tabs>
          <w:tab w:val="left" w:pos="1602"/>
        </w:tabs>
        <w:spacing w:before="0"/>
        <w:ind w:left="1134" w:hanging="425"/>
        <w:jc w:val="both"/>
        <w:rPr>
          <w:rFonts w:ascii="Times New Roman" w:hAnsi="Times New Roman"/>
          <w:noProof/>
          <w:sz w:val="24"/>
        </w:rPr>
      </w:pPr>
      <w:r>
        <w:rPr>
          <w:rFonts w:ascii="Times New Roman" w:hAnsi="Times New Roman"/>
          <w:noProof/>
          <w:sz w:val="24"/>
        </w:rPr>
        <w:t>ja rezerves daļas tehniskās apkopes un remonta vajadzībām tiek piegādātas vienlaikus ar aprīkojumu (</w:t>
      </w:r>
      <w:r>
        <w:rPr>
          <w:rFonts w:ascii="Times New Roman" w:hAnsi="Times New Roman"/>
          <w:i/>
          <w:noProof/>
          <w:sz w:val="24"/>
        </w:rPr>
        <w:t>GFCF</w:t>
      </w:r>
      <w:r w:rsidR="000C5FD1">
        <w:rPr>
          <w:rFonts w:ascii="Times New Roman" w:hAnsi="Times New Roman"/>
          <w:noProof/>
          <w:sz w:val="24"/>
        </w:rPr>
        <w:t>), tās tiek ierakstītas</w:t>
      </w:r>
      <w:r>
        <w:rPr>
          <w:rFonts w:ascii="Times New Roman" w:hAnsi="Times New Roman"/>
          <w:noProof/>
          <w:sz w:val="24"/>
        </w:rPr>
        <w:t xml:space="preserve"> tajā pašā laikā kā bruto pamatkapitāla veidošana. Ja rezerves daļas ir paredzētas identificējamā tehnis</w:t>
      </w:r>
      <w:r w:rsidR="000C5FD1">
        <w:rPr>
          <w:rFonts w:ascii="Times New Roman" w:hAnsi="Times New Roman"/>
          <w:noProof/>
          <w:sz w:val="24"/>
        </w:rPr>
        <w:t>kās apkopes līgumā, tās ieraksta</w:t>
      </w:r>
      <w:r>
        <w:rPr>
          <w:rFonts w:ascii="Times New Roman" w:hAnsi="Times New Roman"/>
          <w:noProof/>
          <w:sz w:val="24"/>
        </w:rPr>
        <w:t xml:space="preserve"> tad, kad tās tiek atsevišķi piegādātas bruņotajiem spēkiem. Var gadīties, ka globālā ilgtermiņa līgumā var nebūt sīkas informācijas par šo rezerves daļu precīzu piegādes laiku, kurām faktiskā summa var atšķirties katrā piegādē. Šādā gadījumā rezerve</w:t>
      </w:r>
      <w:r w:rsidR="003E4CAF">
        <w:rPr>
          <w:rFonts w:ascii="Times New Roman" w:hAnsi="Times New Roman"/>
          <w:noProof/>
          <w:sz w:val="24"/>
        </w:rPr>
        <w:t>s daļu piegādi var arī ierakstīt</w:t>
      </w:r>
      <w:r>
        <w:rPr>
          <w:rFonts w:ascii="Times New Roman" w:hAnsi="Times New Roman"/>
          <w:noProof/>
          <w:sz w:val="24"/>
        </w:rPr>
        <w:t xml:space="preserve"> pēc tādas </w:t>
      </w:r>
      <w:r w:rsidR="003E4CAF">
        <w:rPr>
          <w:rFonts w:ascii="Times New Roman" w:hAnsi="Times New Roman"/>
          <w:noProof/>
          <w:sz w:val="24"/>
        </w:rPr>
        <w:t>pašas shēmas, kā tiek ierakstīts</w:t>
      </w:r>
      <w:r>
        <w:rPr>
          <w:rFonts w:ascii="Times New Roman" w:hAnsi="Times New Roman"/>
          <w:noProof/>
          <w:sz w:val="24"/>
        </w:rPr>
        <w:t xml:space="preserve"> galvenais piegādājamais militārais aprīkojums.</w:t>
      </w:r>
    </w:p>
    <w:p w:rsidR="00073FEC" w:rsidRPr="001973D0" w:rsidRDefault="00073FEC" w:rsidP="00073FEC">
      <w:pPr>
        <w:pStyle w:val="BodyText"/>
        <w:tabs>
          <w:tab w:val="left" w:pos="1602"/>
        </w:tabs>
        <w:spacing w:before="0"/>
        <w:ind w:left="0" w:firstLine="0"/>
        <w:jc w:val="both"/>
        <w:rPr>
          <w:rFonts w:ascii="Times New Roman" w:hAnsi="Times New Roman"/>
          <w:noProof/>
          <w:sz w:val="24"/>
        </w:rPr>
      </w:pPr>
    </w:p>
    <w:p w:rsidR="00073FEC" w:rsidRDefault="00073FEC" w:rsidP="00073FEC">
      <w:pPr>
        <w:pStyle w:val="Heading6"/>
        <w:tabs>
          <w:tab w:val="left" w:pos="2016"/>
        </w:tabs>
        <w:jc w:val="both"/>
        <w:rPr>
          <w:rFonts w:ascii="Times New Roman" w:hAnsi="Times New Roman"/>
          <w:noProof/>
          <w:sz w:val="24"/>
        </w:rPr>
      </w:pPr>
      <w:bookmarkStart w:id="143" w:name="II.5.2.4_Military_equipment_built_over_m"/>
      <w:bookmarkEnd w:id="143"/>
      <w:r>
        <w:rPr>
          <w:rFonts w:ascii="Times New Roman" w:hAnsi="Times New Roman"/>
          <w:noProof/>
          <w:sz w:val="24"/>
        </w:rPr>
        <w:t>II.5.2.4. Militārais aprīkojums, kura būvniecība noris daudzus gadus</w:t>
      </w:r>
    </w:p>
    <w:p w:rsidR="00073FEC" w:rsidRPr="001973D0" w:rsidRDefault="00073FEC" w:rsidP="00073FEC">
      <w:pPr>
        <w:pStyle w:val="Heading6"/>
        <w:tabs>
          <w:tab w:val="left" w:pos="2016"/>
        </w:tabs>
        <w:jc w:val="both"/>
        <w:rPr>
          <w:rFonts w:ascii="Times New Roman" w:hAnsi="Times New Roman"/>
          <w:noProof/>
          <w:sz w:val="24"/>
        </w:rPr>
      </w:pPr>
    </w:p>
    <w:p w:rsidR="00073FEC" w:rsidRPr="00AF44C3"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Īpašs militārā līguma veids attiecas uz smago aprīkojumu, piemēram, uz lieliem kuģiem vai zemūdenēm, kura būvniecībai ir vajadzīgi daudzi gadi. Šajā saistībā, ņemot vērā, ka šāds militārais aprīkojums ir pamatlīdzeklis, nav iemesla piemērot īpašus noteikumus, kas atšķirtos no EKS 2010 noteikumiem attiecībā uz pamatlīdzekļiem. EKS 2010 galvenais noteikums paredz to, ka nepabeigtas preces ir daļa no da</w:t>
      </w:r>
      <w:r w:rsidR="003E4CAF">
        <w:rPr>
          <w:rFonts w:ascii="Times New Roman" w:hAnsi="Times New Roman"/>
          <w:noProof/>
          <w:sz w:val="24"/>
        </w:rPr>
        <w:t>rba procesa, kas tiek ierakstīts</w:t>
      </w:r>
      <w:r>
        <w:rPr>
          <w:rFonts w:ascii="Times New Roman" w:hAnsi="Times New Roman"/>
          <w:noProof/>
          <w:sz w:val="24"/>
        </w:rPr>
        <w:t xml:space="preserve"> to ražotāja krājumos, kurus samazina, kad ražošanas process ir pabeigts un ekonomiskās īpašumtiesības nodotas klientiem (sk. 3.148. punktu).</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Attiecībā uz “nepabeigtām struktūrām” (ēkām un citiem nekustamiem aktīviem, kas nav mājokļi), kas iegūti, pamatojoties uz iepriekš noslēgtu pārdošanas līgumu, tiek piemērots izņēmums, un šādas struktūras jātraktē kā pircēja bruto ieguldījums pamatkapitālā. Pamatojums šādam risinājumam ir tas, ka pircējs ir apņēmies pārņemt struktūru saskaņā ar kādiem noteiktiem nosacījumiem, kas saistīti ar atbilstību specifikācijai. Šajā gadījumā tiek pieņemts, ka īpašumtiesības tiek nodotas pakāpeniski. Praksē bruto ieguldījum</w:t>
      </w:r>
      <w:r w:rsidR="003E4CAF">
        <w:rPr>
          <w:rFonts w:ascii="Times New Roman" w:hAnsi="Times New Roman"/>
          <w:noProof/>
          <w:sz w:val="24"/>
        </w:rPr>
        <w:t>s pamatkapitālā tiktu ierakstīts</w:t>
      </w:r>
      <w:r>
        <w:rPr>
          <w:rFonts w:ascii="Times New Roman" w:hAnsi="Times New Roman"/>
          <w:noProof/>
          <w:sz w:val="24"/>
        </w:rPr>
        <w:t xml:space="preserve"> atbilstīgi starpposma </w:t>
      </w:r>
      <w:r>
        <w:rPr>
          <w:rFonts w:ascii="Times New Roman" w:hAnsi="Times New Roman"/>
          <w:noProof/>
          <w:sz w:val="24"/>
        </w:rPr>
        <w:lastRenderedPageBreak/>
        <w:t>maksājumiem, bet, ja tādu nav, tad atbilstīgi citiem rādītājiem, piemēram, atbilstīgi izmaksām, kuras radušās būvētājam attiecīgajā gadā. Pamatojums ir tas, ka pastāv augsta varbūtība, ka pasūtītāja vienība iegādāsies struktūru tāpēc, ka tā pēc būtības ir ļoti specifiska, vai tāpēc, ka tai šī struktūra ir ļoti nepieciešama.</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Iepriekš minētais noteikums netiek piemērots attiecībā uz “nepabeigtiem citiem pamatlīdzekļiem”. EKS 2010 3.148. punktā kā piemērs šai kategorijai minēti kuģi. Līdz ar to tas neparedz nekādu izņēmumu attiecībā uz mil</w:t>
      </w:r>
      <w:r w:rsidR="003E4CAF">
        <w:rPr>
          <w:rFonts w:ascii="Times New Roman" w:hAnsi="Times New Roman"/>
          <w:noProof/>
          <w:sz w:val="24"/>
        </w:rPr>
        <w:t>itāru aprīkojumu, kas ierakstīts</w:t>
      </w:r>
      <w:r>
        <w:rPr>
          <w:rFonts w:ascii="Times New Roman" w:hAnsi="Times New Roman"/>
          <w:noProof/>
          <w:sz w:val="24"/>
        </w:rPr>
        <w:t xml:space="preserve"> kā aktīvi. Šajā gadījumā nepa</w:t>
      </w:r>
      <w:r w:rsidR="003E4CAF">
        <w:rPr>
          <w:rFonts w:ascii="Times New Roman" w:hAnsi="Times New Roman"/>
          <w:noProof/>
          <w:sz w:val="24"/>
        </w:rPr>
        <w:t>beigtie produkti tiek ierakstīti</w:t>
      </w:r>
      <w:r>
        <w:rPr>
          <w:rFonts w:ascii="Times New Roman" w:hAnsi="Times New Roman"/>
          <w:noProof/>
          <w:sz w:val="24"/>
        </w:rPr>
        <w:t xml:space="preserve"> tā ražotāja krājumos līdz brīdim, kad tie tiek nodoti pircējam. Šādos apstākļos militā</w:t>
      </w:r>
      <w:r w:rsidR="003E4CAF">
        <w:rPr>
          <w:rFonts w:ascii="Times New Roman" w:hAnsi="Times New Roman"/>
          <w:noProof/>
          <w:sz w:val="24"/>
        </w:rPr>
        <w:t>rais aprīkojums tiktu ierakstīts</w:t>
      </w:r>
      <w:r>
        <w:rPr>
          <w:rFonts w:ascii="Times New Roman" w:hAnsi="Times New Roman"/>
          <w:noProof/>
          <w:sz w:val="24"/>
        </w:rPr>
        <w:t xml:space="preserve"> īpašumtiesību nodošanas laikā, pamatojoties uz piegādi, tāpat kā jebkurš cits pamatlīdzeklis, attiecībā uz kuru netiek piemērots izņēmums.</w:t>
      </w:r>
      <w:r>
        <w:rPr>
          <w:rStyle w:val="FootnoteReference"/>
          <w:rFonts w:ascii="Times New Roman" w:hAnsi="Times New Roman"/>
          <w:noProof/>
          <w:sz w:val="24"/>
        </w:rPr>
        <w:footnoteReference w:id="134"/>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1895"/>
        </w:tabs>
        <w:jc w:val="both"/>
        <w:rPr>
          <w:rFonts w:ascii="Times New Roman" w:hAnsi="Times New Roman"/>
          <w:noProof/>
          <w:sz w:val="24"/>
        </w:rPr>
      </w:pPr>
      <w:bookmarkStart w:id="144" w:name="II.5.2.5_The_treatment_of_leases_relatin"/>
      <w:bookmarkEnd w:id="144"/>
      <w:r>
        <w:rPr>
          <w:rFonts w:ascii="Times New Roman" w:hAnsi="Times New Roman"/>
          <w:noProof/>
          <w:sz w:val="24"/>
        </w:rPr>
        <w:t>II.5.2.5. Militārā aprīkojuma nomas traktējums</w:t>
      </w:r>
    </w:p>
    <w:p w:rsidR="00073FEC" w:rsidRPr="001973D0" w:rsidRDefault="00073FEC" w:rsidP="00073FEC">
      <w:pPr>
        <w:pStyle w:val="Heading6"/>
        <w:tabs>
          <w:tab w:val="left" w:pos="1895"/>
        </w:tabs>
        <w:jc w:val="both"/>
        <w:rPr>
          <w:rFonts w:ascii="Times New Roman" w:hAnsi="Times New Roman"/>
          <w:noProof/>
          <w:sz w:val="24"/>
        </w:rPr>
      </w:pP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Daži militārā aprīkojuma ražotāji (dažkārt pēc valdības ierosmes) piedāvā līgumus, ar kuriem aprīkojums tiek iznomāts. Dažās ES dalībvalstīs šāda prakse tiek piemērota attiecībā uz iznīcinātājiem. Rodas jautājums, vai nacionālajos kontos šāda noma jāuzskata par finanšu nomu vai operatīvo nomu.</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Uzskatāms, ka militārā aprīkojuma noma ir finanšu noma,</w:t>
      </w:r>
      <w:r w:rsidR="003E4CAF">
        <w:rPr>
          <w:rFonts w:ascii="Times New Roman" w:hAnsi="Times New Roman"/>
          <w:noProof/>
          <w:sz w:val="24"/>
        </w:rPr>
        <w:t xml:space="preserve"> un tāpēc tā jāieraksta</w:t>
      </w:r>
      <w:r>
        <w:rPr>
          <w:rFonts w:ascii="Times New Roman" w:hAnsi="Times New Roman"/>
          <w:noProof/>
          <w:sz w:val="24"/>
        </w:rPr>
        <w:t xml:space="preserve"> kā aprīkojuma iegāde, ko veic valdība (kā nomnieks), uzņemoties atbilstošas saistības pret iznomātāju atbilstīgi tam, kā noteikts EKS 2010 20.19. punktā.</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Līdz ar to valdības neto aizdevums/aizņēmums (B.9) tiek ietekmēts brīdī, kad preces nodod militāro iestāžu rīcībā saskaņā ar turpmāk aprakstītajiem nosacījumiem, nevis ar nomu saistīto maksājumu veikšanas brīdī. Tā kā atbilstošās saistības ir nosacītais aizdevums, tad tajā pašā brīdī tiek ietekmēts arī valdības parāds. Tiek uzskatīts, ka maksājumi tiek veikti par parāda apkalpošanu un nosacītā aizdevuma sadalīšanu procentos un pamatsummas maksājumos.</w:t>
      </w:r>
    </w:p>
    <w:p w:rsidR="00073FEC" w:rsidRPr="00AF44C3"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Daži nomas līgumi attiecas uz civilo aprīkojumu, ko var izmantot arī militārajām vajadzībām, iespējams, ātri pievienojot vieglus tehniskos instrumentus. Piemēri ir liduzpildes gaisa kuģi un gaisa kravas. Parasti tos nav iespējams nošķirt no līdzīgajiem aktīviem, kurus izmanto civilās vienības. Šis ir robežgadījums, ko iespējams traktēt kā operatīvo nomu tikai tad, ja ir pierādījumi, kas apliecina to, ka aprīkojums lielākoties tiks izmantots civilām vajadzībām. Piemēram, ja attiecīgais flotes vienību daudzums pastāvīgi atrodas vienīgi bruņoto spēku rīcībā (kas tās izmanto pēc saviem ieskatiem) un tās skar apdraudējums, kad, piemēram, to lielākā daļa tiek izmantota militārajās misijās (iznīcinātāju liduzpilde, karaspēka transportēšana un karadarbības zonā</w:t>
      </w:r>
      <w:r w:rsidR="003E4CAF">
        <w:rPr>
          <w:rFonts w:ascii="Times New Roman" w:hAnsi="Times New Roman"/>
          <w:noProof/>
          <w:sz w:val="24"/>
        </w:rPr>
        <w:t>m), to izmantošana ir jāieraksta</w:t>
      </w:r>
      <w:r>
        <w:rPr>
          <w:rFonts w:ascii="Times New Roman" w:hAnsi="Times New Roman"/>
          <w:noProof/>
          <w:sz w:val="24"/>
        </w:rPr>
        <w:t xml:space="preserve"> kā finanšu līzings. Šis noteikums jāattiecina arī uz “kopīgo” sakaru aprīkojumu (tostarp satelītiem).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45" w:name="II.5.2.6_Recording_of_military_research_"/>
      <w:bookmarkEnd w:id="145"/>
      <w:r>
        <w:rPr>
          <w:rFonts w:ascii="Times New Roman" w:hAnsi="Times New Roman"/>
          <w:noProof/>
          <w:sz w:val="24"/>
        </w:rPr>
        <w:t>II.5.2.6. Mil</w:t>
      </w:r>
      <w:r w:rsidR="00E129C2">
        <w:rPr>
          <w:rFonts w:ascii="Times New Roman" w:hAnsi="Times New Roman"/>
          <w:noProof/>
          <w:sz w:val="24"/>
        </w:rPr>
        <w:t>itārās pētniecības un izstrādes</w:t>
      </w:r>
      <w:r w:rsidR="003E4CAF">
        <w:rPr>
          <w:rFonts w:ascii="Times New Roman" w:hAnsi="Times New Roman"/>
          <w:noProof/>
          <w:sz w:val="24"/>
        </w:rPr>
        <w:t xml:space="preserve"> ierakstīšana</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3D7E05">
      <w:pPr>
        <w:numPr>
          <w:ilvl w:val="0"/>
          <w:numId w:val="6"/>
        </w:numPr>
        <w:tabs>
          <w:tab w:val="left" w:pos="1242"/>
        </w:tabs>
        <w:ind w:left="709" w:hanging="709"/>
        <w:jc w:val="both"/>
        <w:rPr>
          <w:rFonts w:ascii="Times New Roman" w:eastAsia="Arial" w:hAnsi="Times New Roman" w:cs="Arial"/>
          <w:noProof/>
          <w:sz w:val="24"/>
        </w:rPr>
      </w:pPr>
      <w:r>
        <w:rPr>
          <w:rFonts w:ascii="Times New Roman" w:hAnsi="Times New Roman"/>
          <w:noProof/>
          <w:sz w:val="24"/>
        </w:rPr>
        <w:t>EKS 2010 ir veikti būtiski grozījumi attiecībā</w:t>
      </w:r>
      <w:r w:rsidR="003E4CAF">
        <w:rPr>
          <w:rFonts w:ascii="Times New Roman" w:hAnsi="Times New Roman"/>
          <w:noProof/>
          <w:sz w:val="24"/>
        </w:rPr>
        <w:t xml:space="preserve"> uz pētniecību un izstrādi</w:t>
      </w:r>
      <w:r w:rsidR="00E129C2">
        <w:rPr>
          <w:rFonts w:ascii="Times New Roman" w:hAnsi="Times New Roman"/>
          <w:noProof/>
          <w:sz w:val="24"/>
        </w:rPr>
        <w:t xml:space="preserve"> (P&amp;I</w:t>
      </w:r>
      <w:r>
        <w:rPr>
          <w:rFonts w:ascii="Times New Roman" w:hAnsi="Times New Roman"/>
          <w:noProof/>
          <w:sz w:val="24"/>
        </w:rPr>
        <w:t>). EKS 201</w:t>
      </w:r>
      <w:r w:rsidR="00E129C2">
        <w:rPr>
          <w:rFonts w:ascii="Times New Roman" w:hAnsi="Times New Roman"/>
          <w:noProof/>
          <w:sz w:val="24"/>
        </w:rPr>
        <w:t>0 3.127. punktā norādīts, ka P&amp;I</w:t>
      </w:r>
      <w:r>
        <w:rPr>
          <w:rFonts w:ascii="Times New Roman" w:hAnsi="Times New Roman"/>
          <w:noProof/>
          <w:sz w:val="24"/>
        </w:rPr>
        <w:t xml:space="preserve"> ir bruto pamatkapitāla veidošana pamatkapitālā, [..] </w:t>
      </w:r>
      <w:r>
        <w:rPr>
          <w:rFonts w:ascii="Times New Roman" w:hAnsi="Times New Roman"/>
          <w:i/>
          <w:noProof/>
          <w:sz w:val="24"/>
        </w:rPr>
        <w:t>ieskaitot brīvi pieejamo pētniecību un izstrādi</w:t>
      </w:r>
      <w:r>
        <w:rPr>
          <w:rFonts w:ascii="Times New Roman" w:hAnsi="Times New Roman"/>
          <w:noProof/>
          <w:sz w:val="24"/>
        </w:rPr>
        <w:t xml:space="preserve">. Tomēr EKS 2010 </w:t>
      </w:r>
      <w:r>
        <w:rPr>
          <w:rFonts w:ascii="Times New Roman" w:hAnsi="Times New Roman"/>
          <w:noProof/>
          <w:sz w:val="24"/>
        </w:rPr>
        <w:lastRenderedPageBreak/>
        <w:t xml:space="preserve">(7. nodaļā un 7.1. pielikumā) ir norādīts, ka: </w:t>
      </w:r>
      <w:r>
        <w:rPr>
          <w:rFonts w:ascii="Times New Roman" w:hAnsi="Times New Roman"/>
          <w:i/>
          <w:noProof/>
          <w:sz w:val="24"/>
        </w:rPr>
        <w:t>Pētniecību un izstrādi, no kā īpašnieks negūst labumu, neklasificē kā aktīvu, bet ieraksta kā starppatēriņu.</w:t>
      </w:r>
      <w:r>
        <w:rPr>
          <w:rFonts w:ascii="Times New Roman" w:hAnsi="Times New Roman"/>
          <w:noProof/>
          <w:sz w:val="24"/>
        </w:rPr>
        <w:t xml:space="preserve"> Tāpēc jautājums ir par to, vai tas jāpiemēro attiecībā uz visi</w:t>
      </w:r>
      <w:r w:rsidR="00E129C2">
        <w:rPr>
          <w:rFonts w:ascii="Times New Roman" w:hAnsi="Times New Roman"/>
          <w:noProof/>
          <w:sz w:val="24"/>
        </w:rPr>
        <w:t>em pētniecības un izstrādes</w:t>
      </w:r>
      <w:r>
        <w:rPr>
          <w:rFonts w:ascii="Times New Roman" w:hAnsi="Times New Roman"/>
          <w:noProof/>
          <w:sz w:val="24"/>
        </w:rPr>
        <w:t xml:space="preserve"> izdevumiem, kas saistīti valdības militārajām vajadzībām. To var novērot saistībā ar “novatoriska” aprīkojuma vai ieroču sistēmu izpēti, jo īpaši programmas sākuma posmos, kas pēc tam var tikt apturēta. Katrs šāds gadījums ir jāanalizē atsevišķi.</w:t>
      </w:r>
    </w:p>
    <w:p w:rsidR="00073FEC" w:rsidRPr="001973D0" w:rsidRDefault="00E129C2" w:rsidP="003D7E05">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Ja P&amp;I</w:t>
      </w:r>
      <w:r w:rsidR="00073FEC">
        <w:rPr>
          <w:rFonts w:ascii="Times New Roman" w:hAnsi="Times New Roman"/>
          <w:noProof/>
          <w:sz w:val="24"/>
        </w:rPr>
        <w:t xml:space="preserve"> tiek īstenota neatkarīgi no gala produkta vai to nav paredzēts atlīdzināt gadījumā, ja netiek iegūti “apmierinoši rezultāti” un tā faktiski nav saistīta ar kādu īpašu piegādājamu militāru aprīkojumu</w:t>
      </w:r>
      <w:r w:rsidR="003E4CAF">
        <w:rPr>
          <w:rFonts w:ascii="Times New Roman" w:hAnsi="Times New Roman"/>
          <w:noProof/>
          <w:sz w:val="24"/>
        </w:rPr>
        <w:t>, atbilstīgos izdevumus ieraksta</w:t>
      </w:r>
      <w:r w:rsidR="00073FEC">
        <w:rPr>
          <w:rFonts w:ascii="Times New Roman" w:hAnsi="Times New Roman"/>
          <w:noProof/>
          <w:sz w:val="24"/>
        </w:rPr>
        <w:t>, kad tiek īs</w:t>
      </w:r>
      <w:r>
        <w:rPr>
          <w:rFonts w:ascii="Times New Roman" w:hAnsi="Times New Roman"/>
          <w:noProof/>
          <w:sz w:val="24"/>
        </w:rPr>
        <w:t>tenots pētniecības un izstrādes</w:t>
      </w:r>
      <w:r w:rsidR="00073FEC">
        <w:rPr>
          <w:rFonts w:ascii="Times New Roman" w:hAnsi="Times New Roman"/>
          <w:noProof/>
          <w:sz w:val="24"/>
        </w:rPr>
        <w:t xml:space="preserve"> darbs</w:t>
      </w:r>
      <w:r w:rsidR="00073FEC">
        <w:rPr>
          <w:rStyle w:val="FootnoteReference"/>
          <w:rFonts w:ascii="Times New Roman" w:hAnsi="Times New Roman"/>
          <w:noProof/>
          <w:sz w:val="24"/>
        </w:rPr>
        <w:footnoteReference w:id="135"/>
      </w:r>
      <w:r w:rsidR="003E4CAF">
        <w:rPr>
          <w:rFonts w:ascii="Times New Roman" w:hAnsi="Times New Roman"/>
          <w:noProof/>
          <w:sz w:val="24"/>
        </w:rPr>
        <w:t>. Kas attiecas uz ierakstīšanu</w:t>
      </w:r>
      <w:r w:rsidR="00073FEC">
        <w:rPr>
          <w:rFonts w:ascii="Times New Roman" w:hAnsi="Times New Roman"/>
          <w:noProof/>
          <w:sz w:val="24"/>
        </w:rPr>
        <w:t xml:space="preserve"> bruto ieguldījumos pamatkapitālā, jānošķir vairāki gadījumi.</w:t>
      </w:r>
    </w:p>
    <w:p w:rsidR="00073FEC" w:rsidRPr="001973D0" w:rsidRDefault="00E129C2" w:rsidP="003D7E05">
      <w:pPr>
        <w:pStyle w:val="BodyText"/>
        <w:spacing w:before="0"/>
        <w:ind w:left="709" w:firstLine="0"/>
        <w:jc w:val="both"/>
        <w:rPr>
          <w:rFonts w:ascii="Times New Roman" w:hAnsi="Times New Roman"/>
          <w:noProof/>
          <w:sz w:val="24"/>
        </w:rPr>
      </w:pPr>
      <w:r>
        <w:rPr>
          <w:rFonts w:ascii="Times New Roman" w:hAnsi="Times New Roman"/>
          <w:noProof/>
          <w:sz w:val="24"/>
        </w:rPr>
        <w:t>Ja P&amp;I</w:t>
      </w:r>
      <w:r w:rsidR="00073FEC">
        <w:rPr>
          <w:rFonts w:ascii="Times New Roman" w:hAnsi="Times New Roman"/>
          <w:noProof/>
          <w:sz w:val="24"/>
        </w:rPr>
        <w:t xml:space="preserve"> izdevumi nav saistīti ar noteikta aprīkojuma vienību daudzuma saražošanu</w:t>
      </w:r>
      <w:r w:rsidR="00073FEC">
        <w:rPr>
          <w:rStyle w:val="FootnoteReference"/>
          <w:rFonts w:ascii="Times New Roman" w:hAnsi="Times New Roman"/>
          <w:noProof/>
          <w:sz w:val="24"/>
        </w:rPr>
        <w:footnoteReference w:id="136"/>
      </w:r>
      <w:r w:rsidR="00073FEC">
        <w:rPr>
          <w:rFonts w:ascii="Times New Roman" w:hAnsi="Times New Roman"/>
          <w:noProof/>
          <w:sz w:val="24"/>
        </w:rPr>
        <w:t xml:space="preserve"> (vismaz ne konkrētajā pētniecības posmā):</w:t>
      </w:r>
    </w:p>
    <w:p w:rsidR="00073FEC" w:rsidRPr="001973D0" w:rsidRDefault="00073FEC" w:rsidP="00073FEC">
      <w:pPr>
        <w:jc w:val="both"/>
        <w:rPr>
          <w:rFonts w:ascii="Times New Roman" w:eastAsia="Arial" w:hAnsi="Times New Roman" w:cs="Arial"/>
          <w:noProof/>
          <w:sz w:val="24"/>
          <w:szCs w:val="21"/>
        </w:rPr>
      </w:pPr>
    </w:p>
    <w:p w:rsidR="00073FEC" w:rsidRPr="001973D0" w:rsidRDefault="00073FEC" w:rsidP="00073FEC">
      <w:pPr>
        <w:pStyle w:val="BodyText"/>
        <w:numPr>
          <w:ilvl w:val="0"/>
          <w:numId w:val="4"/>
        </w:numPr>
        <w:tabs>
          <w:tab w:val="left" w:pos="1662"/>
        </w:tabs>
        <w:spacing w:before="0"/>
        <w:ind w:left="1134" w:hanging="425"/>
        <w:jc w:val="both"/>
        <w:rPr>
          <w:rFonts w:ascii="Times New Roman" w:hAnsi="Times New Roman"/>
          <w:noProof/>
          <w:sz w:val="24"/>
        </w:rPr>
      </w:pPr>
      <w:r>
        <w:rPr>
          <w:rFonts w:ascii="Times New Roman" w:hAnsi="Times New Roman"/>
          <w:noProof/>
          <w:sz w:val="24"/>
        </w:rPr>
        <w:t>vai nu pastāv pierādījumi tam, ka labumu “piesavinājusies” valdība (kas, iespējams, ir vienīgā labuma guvēja no pētniecības rezultātiem) vai ka šie rezultāti “altruistiski” darīti brīvi pieejami jebkurai citai vienībai (kas ir maz ticams gadīj</w:t>
      </w:r>
      <w:r w:rsidR="00E129C2">
        <w:rPr>
          <w:rFonts w:ascii="Times New Roman" w:hAnsi="Times New Roman"/>
          <w:noProof/>
          <w:sz w:val="24"/>
        </w:rPr>
        <w:t>umā, ja P&amp;I</w:t>
      </w:r>
      <w:r>
        <w:rPr>
          <w:rFonts w:ascii="Times New Roman" w:hAnsi="Times New Roman"/>
          <w:noProof/>
          <w:sz w:val="24"/>
        </w:rPr>
        <w:t xml:space="preserve"> pasākums ir ar augstu konfidencialitātes pakāpi); uzskata, ka izdevumi ir bruto ieguldījums pamatkapitālā intelektuālā īpašuma produktos</w:t>
      </w:r>
      <w:r w:rsidR="003E4CAF">
        <w:rPr>
          <w:rFonts w:ascii="Times New Roman" w:hAnsi="Times New Roman"/>
          <w:noProof/>
          <w:sz w:val="24"/>
        </w:rPr>
        <w:t xml:space="preserve"> (AN.117), un praksē to ieraksta</w:t>
      </w:r>
      <w:r>
        <w:rPr>
          <w:rFonts w:ascii="Times New Roman" w:hAnsi="Times New Roman"/>
          <w:noProof/>
          <w:sz w:val="24"/>
        </w:rPr>
        <w:t xml:space="preserve"> laikā, kad tiek veikts maksājums;</w:t>
      </w:r>
    </w:p>
    <w:p w:rsidR="00073FEC" w:rsidRPr="001973D0" w:rsidRDefault="00073FEC" w:rsidP="00073FEC">
      <w:pPr>
        <w:pStyle w:val="BodyText"/>
        <w:numPr>
          <w:ilvl w:val="0"/>
          <w:numId w:val="4"/>
        </w:numPr>
        <w:tabs>
          <w:tab w:val="left" w:pos="1662"/>
        </w:tabs>
        <w:spacing w:before="0"/>
        <w:ind w:left="1134" w:hanging="425"/>
        <w:jc w:val="both"/>
        <w:rPr>
          <w:rFonts w:ascii="Times New Roman" w:hAnsi="Times New Roman"/>
          <w:noProof/>
          <w:sz w:val="24"/>
        </w:rPr>
      </w:pPr>
      <w:r>
        <w:rPr>
          <w:rFonts w:ascii="Times New Roman" w:hAnsi="Times New Roman"/>
          <w:noProof/>
          <w:sz w:val="24"/>
        </w:rPr>
        <w:t>vai arī iespējamo labumu no šādas pētniecības pilnīgi un ekskluzīvi pārņem vienība, kura guvusi labumu no izdevumiem (iespējamo “blakusproduktu” veidā saistībā ar citiem šīs vienības produktiem vai ar patentu starpniecību); tā kā maksājošā valdība labumu negūst, izd</w:t>
      </w:r>
      <w:r w:rsidR="003E4CAF">
        <w:rPr>
          <w:rFonts w:ascii="Times New Roman" w:hAnsi="Times New Roman"/>
          <w:noProof/>
          <w:sz w:val="24"/>
        </w:rPr>
        <w:t>evumi valdības kontos jāieraksta</w:t>
      </w:r>
      <w:r>
        <w:rPr>
          <w:rFonts w:ascii="Times New Roman" w:hAnsi="Times New Roman"/>
          <w:noProof/>
          <w:sz w:val="24"/>
        </w:rPr>
        <w:t xml:space="preserve"> kā ieguldījumu dotācija (D.92), jo tās rezultātā sabiedrība iegūst intelektuālā īpašuma pro</w:t>
      </w:r>
      <w:r w:rsidR="003E4CAF">
        <w:rPr>
          <w:rFonts w:ascii="Times New Roman" w:hAnsi="Times New Roman"/>
          <w:noProof/>
          <w:sz w:val="24"/>
        </w:rPr>
        <w:t>duktus (AN.117), un ierakstīšana</w:t>
      </w:r>
      <w:r>
        <w:rPr>
          <w:rFonts w:ascii="Times New Roman" w:hAnsi="Times New Roman"/>
          <w:noProof/>
          <w:sz w:val="24"/>
        </w:rPr>
        <w:t xml:space="preserve"> jāveic laikā, kad tiek veikts maksājums.</w:t>
      </w:r>
    </w:p>
    <w:p w:rsidR="00073FEC" w:rsidRPr="001973D0" w:rsidRDefault="00073FEC" w:rsidP="00073FEC">
      <w:pPr>
        <w:jc w:val="both"/>
        <w:rPr>
          <w:rFonts w:ascii="Times New Roman" w:eastAsia="Arial" w:hAnsi="Times New Roman" w:cs="Arial"/>
          <w:noProof/>
          <w:sz w:val="24"/>
        </w:rPr>
      </w:pPr>
    </w:p>
    <w:p w:rsidR="00073FEC" w:rsidRPr="00AF44C3" w:rsidRDefault="007A3F57"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Citos gadījumos visi P&amp;I</w:t>
      </w:r>
      <w:r w:rsidR="00073FEC">
        <w:rPr>
          <w:rFonts w:ascii="Times New Roman" w:hAnsi="Times New Roman"/>
          <w:noProof/>
          <w:sz w:val="24"/>
        </w:rPr>
        <w:t xml:space="preserve"> izdevumi vai to daļa (skaidri identificēta) ir cieši saistīta ar līgumu, kurš paredz noteikta identisku militārā aprīkojuma vienību daudzuma turpmāku ražošanu, pamatojoties uz militārā aprīkojuma galīgo pasūtījumu (pat ja tas, iespējams, ir pārskatīts). Šajā gadījumā atbilstošie izdevumi ir jāattiecina uz piegādājamajiem</w:t>
      </w:r>
      <w:r w:rsidR="003E4CAF">
        <w:rPr>
          <w:rFonts w:ascii="Times New Roman" w:hAnsi="Times New Roman"/>
          <w:noProof/>
          <w:sz w:val="24"/>
        </w:rPr>
        <w:t xml:space="preserve"> aktīviem un jāieraksta</w:t>
      </w:r>
      <w:r>
        <w:rPr>
          <w:rFonts w:ascii="Times New Roman" w:hAnsi="Times New Roman"/>
          <w:noProof/>
          <w:sz w:val="24"/>
        </w:rPr>
        <w:t xml:space="preserve"> vēlāk. Parasti</w:t>
      </w:r>
      <w:r w:rsidR="00E129C2">
        <w:rPr>
          <w:rFonts w:ascii="Times New Roman" w:hAnsi="Times New Roman"/>
          <w:noProof/>
          <w:sz w:val="24"/>
        </w:rPr>
        <w:t xml:space="preserve"> šāda P&amp;I</w:t>
      </w:r>
      <w:r w:rsidR="00073FEC">
        <w:rPr>
          <w:rFonts w:ascii="Times New Roman" w:hAnsi="Times New Roman"/>
          <w:noProof/>
          <w:sz w:val="24"/>
        </w:rPr>
        <w:t xml:space="preserve"> ir “atmaksājama” aprīkojuma turpmākas piegādes formā, kas parasti notiek, piegādājot aprīkojuma vienības ilgā laika p</w:t>
      </w:r>
      <w:r>
        <w:rPr>
          <w:rFonts w:ascii="Times New Roman" w:hAnsi="Times New Roman"/>
          <w:noProof/>
          <w:sz w:val="24"/>
        </w:rPr>
        <w:t>osmā. Valdības maksājumi par P&amp;I</w:t>
      </w:r>
      <w:r w:rsidR="003E4CAF">
        <w:rPr>
          <w:rFonts w:ascii="Times New Roman" w:hAnsi="Times New Roman"/>
          <w:noProof/>
          <w:sz w:val="24"/>
        </w:rPr>
        <w:t xml:space="preserve"> jāieraksta</w:t>
      </w:r>
      <w:r w:rsidR="00073FEC">
        <w:rPr>
          <w:rFonts w:ascii="Times New Roman" w:hAnsi="Times New Roman"/>
          <w:noProof/>
          <w:sz w:val="24"/>
        </w:rPr>
        <w:t xml:space="preserve"> kā finanšu avanss citās debitoru saistībās (F.8).</w:t>
      </w:r>
      <w:r w:rsidR="00073FEC">
        <w:rPr>
          <w:rStyle w:val="FootnoteReference"/>
          <w:rFonts w:ascii="Times New Roman" w:hAnsi="Times New Roman"/>
          <w:noProof/>
          <w:sz w:val="24"/>
        </w:rPr>
        <w:footnoteReference w:id="137"/>
      </w:r>
      <w:r w:rsidR="00073FEC">
        <w:rPr>
          <w:rFonts w:ascii="Times New Roman" w:hAnsi="Times New Roman"/>
          <w:noProof/>
          <w:sz w:val="24"/>
        </w:rPr>
        <w:t xml:space="preserve"> Katras atsevišķas aprīkojuma vienības piegādes laikā atbilstoša F.8 daļa tiek pārnesta uz valdības iegūtā ieroču sistēmu aktīva (AN.114) vērtību.</w:t>
      </w:r>
      <w:r w:rsidR="00073FEC">
        <w:rPr>
          <w:rStyle w:val="FootnoteReference"/>
          <w:rFonts w:ascii="Times New Roman" w:hAnsi="Times New Roman"/>
          <w:noProof/>
          <w:sz w:val="24"/>
        </w:rPr>
        <w:footnoteReference w:id="138"/>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Savukārt, ja sākotnējā līgum</w:t>
      </w:r>
      <w:r w:rsidR="007A3F57">
        <w:rPr>
          <w:rFonts w:ascii="Times New Roman" w:hAnsi="Times New Roman"/>
          <w:noProof/>
          <w:sz w:val="24"/>
        </w:rPr>
        <w:t>ā tika noteikts, ka viena šo P&amp;I</w:t>
      </w:r>
      <w:r>
        <w:rPr>
          <w:rFonts w:ascii="Times New Roman" w:hAnsi="Times New Roman"/>
          <w:noProof/>
          <w:sz w:val="24"/>
        </w:rPr>
        <w:t xml:space="preserve"> izdevumu daļa netiks iekļauta līgumu rūpniecības posmā piegādājamo atsevišķo vienību cenās, šī daļa </w:t>
      </w:r>
      <w:r w:rsidR="003E4CAF">
        <w:rPr>
          <w:rFonts w:ascii="Times New Roman" w:hAnsi="Times New Roman"/>
          <w:noProof/>
          <w:sz w:val="24"/>
        </w:rPr>
        <w:lastRenderedPageBreak/>
        <w:t>jāieraksta</w:t>
      </w:r>
      <w:r>
        <w:rPr>
          <w:rFonts w:ascii="Times New Roman" w:hAnsi="Times New Roman"/>
          <w:noProof/>
          <w:sz w:val="24"/>
        </w:rPr>
        <w:t xml:space="preserve"> kā bruto ieguldījums pamatkapitālā intelektuālā īpašuma produktos (AN.117).</w:t>
      </w:r>
    </w:p>
    <w:p w:rsidR="00073FEC" w:rsidRPr="001973D0" w:rsidRDefault="007A3F57"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Var gadīties, ka P&amp;I</w:t>
      </w:r>
      <w:r w:rsidR="00073FEC">
        <w:rPr>
          <w:rFonts w:ascii="Times New Roman" w:hAnsi="Times New Roman"/>
          <w:noProof/>
          <w:sz w:val="24"/>
        </w:rPr>
        <w:t xml:space="preserve"> faktiski varētu būt saistīta ar turpmākā militārā aprīkojuma nodrošināšanu, taču attiektos uz vairākiem dažādiem projektiem, kas nav atsevišķi identificēti publiskajos kontos, tādējādi nebūtu iespējams izveidot tiešu saikni starp militāro ra</w:t>
      </w:r>
      <w:r>
        <w:rPr>
          <w:rFonts w:ascii="Times New Roman" w:hAnsi="Times New Roman"/>
          <w:noProof/>
          <w:sz w:val="24"/>
        </w:rPr>
        <w:t>žojumu piegādēm un attiecīgo P&amp;I. Šajā gadījumā P&amp;I</w:t>
      </w:r>
      <w:r w:rsidR="003E4CAF">
        <w:rPr>
          <w:rFonts w:ascii="Times New Roman" w:hAnsi="Times New Roman"/>
          <w:noProof/>
          <w:sz w:val="24"/>
        </w:rPr>
        <w:t xml:space="preserve"> izdevumus varētu ierakstīt</w:t>
      </w:r>
      <w:r w:rsidR="00073FEC">
        <w:rPr>
          <w:rFonts w:ascii="Times New Roman" w:hAnsi="Times New Roman"/>
          <w:noProof/>
          <w:sz w:val="24"/>
        </w:rPr>
        <w:t xml:space="preserve"> kā bruto pamatkapitāla veidošanu pēc uzkrājuma principa.</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4"/>
        <w:tabs>
          <w:tab w:val="left" w:pos="1622"/>
        </w:tabs>
        <w:ind w:left="0" w:firstLine="0"/>
        <w:jc w:val="both"/>
        <w:rPr>
          <w:rFonts w:ascii="Times New Roman" w:hAnsi="Times New Roman"/>
          <w:noProof/>
          <w:u w:val="thick" w:color="000000"/>
        </w:rPr>
      </w:pPr>
      <w:bookmarkStart w:id="146" w:name="II.5.3_Rationale_of_the_treatment"/>
      <w:bookmarkEnd w:id="146"/>
      <w:r>
        <w:rPr>
          <w:rFonts w:ascii="Times New Roman" w:hAnsi="Times New Roman"/>
          <w:noProof/>
          <w:u w:val="none"/>
        </w:rPr>
        <w:t>II.5.3. </w:t>
      </w:r>
      <w:r>
        <w:rPr>
          <w:rFonts w:ascii="Times New Roman" w:hAnsi="Times New Roman"/>
          <w:noProof/>
          <w:u w:val="thick" w:color="000000"/>
        </w:rPr>
        <w:t>Traktējuma pamatojums</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2036"/>
        </w:tabs>
        <w:jc w:val="both"/>
        <w:rPr>
          <w:rFonts w:ascii="Times New Roman" w:hAnsi="Times New Roman"/>
          <w:noProof/>
          <w:sz w:val="24"/>
        </w:rPr>
      </w:pPr>
      <w:bookmarkStart w:id="147" w:name="II.5.3.1_The_time_of_recording_of_milita"/>
      <w:bookmarkEnd w:id="147"/>
      <w:r>
        <w:rPr>
          <w:rFonts w:ascii="Times New Roman" w:hAnsi="Times New Roman"/>
          <w:noProof/>
          <w:sz w:val="24"/>
        </w:rPr>
        <w:t>II.5.3.1. Izdevumu milit</w:t>
      </w:r>
      <w:r w:rsidR="003E4CAF">
        <w:rPr>
          <w:rFonts w:ascii="Times New Roman" w:hAnsi="Times New Roman"/>
          <w:noProof/>
          <w:sz w:val="24"/>
        </w:rPr>
        <w:t>ārajam aprīkojumam ierakstīšanas</w:t>
      </w:r>
      <w:r>
        <w:rPr>
          <w:rFonts w:ascii="Times New Roman" w:hAnsi="Times New Roman"/>
          <w:noProof/>
          <w:sz w:val="24"/>
        </w:rPr>
        <w:t xml:space="preserve"> laiks: vispārējs noteikums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Principā nacionālajos kontos pieņem</w:t>
      </w:r>
      <w:r w:rsidR="003E4CAF">
        <w:rPr>
          <w:rFonts w:ascii="Times New Roman" w:hAnsi="Times New Roman"/>
          <w:noProof/>
          <w:sz w:val="24"/>
        </w:rPr>
        <w:t>, ka preču iegādes ierakstīšanas</w:t>
      </w:r>
      <w:r>
        <w:rPr>
          <w:rFonts w:ascii="Times New Roman" w:hAnsi="Times New Roman"/>
          <w:noProof/>
          <w:sz w:val="24"/>
        </w:rPr>
        <w:t xml:space="preserve"> laiks ir laiks, kad notikusi ekonomisko īpašumtiesību maiņa. Saistībā ar militāro aprīkojumu iespējami vairāki notikumi, kas var atbilst īpašumtiesību maiņas stadijai, jo īpaši, ja noslēgti ilgtermiņa līgumi: līguma parakstīšanas laiks (ņemot vērā augsto varbūtību, ka valdība visbeidzot pieņems aprīkojuma piegādi vai vismaz nodrošinās finansējumu atbi</w:t>
      </w:r>
      <w:r w:rsidR="007A3F57">
        <w:rPr>
          <w:rFonts w:ascii="Times New Roman" w:hAnsi="Times New Roman"/>
          <w:noProof/>
          <w:sz w:val="24"/>
        </w:rPr>
        <w:t>lstīgo pētniecības un izstrādes</w:t>
      </w:r>
      <w:r>
        <w:rPr>
          <w:rFonts w:ascii="Times New Roman" w:hAnsi="Times New Roman"/>
          <w:noProof/>
          <w:sz w:val="24"/>
        </w:rPr>
        <w:t xml:space="preserve"> izmaksu segšanai), piegādes laiks (jānorāda), skaidras naudas maksājuma veikšanas laiks vai laiks, kad izpildītas līguma saistības (piemēram, kad aprīkojums tiek nodots bruņoto spēku pārziņā).</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Dažos atsevišķos gadījumos EKS 2010 paredz, ka šāds laiks iestājas pirms preču piegādes pabeigšanas: būvniecības projektos saskaņā ar iepriekš saskaņotu pārdošanas līgumu, kā arī būvniecībā, kas tiek veikta par pašu līdzekļiem. Attiecībā uz “Mašīnām un </w:t>
      </w:r>
      <w:r w:rsidR="003E4CAF">
        <w:rPr>
          <w:rFonts w:ascii="Times New Roman" w:hAnsi="Times New Roman"/>
          <w:noProof/>
          <w:sz w:val="24"/>
        </w:rPr>
        <w:t>iekārtām” (AN.113) ierakstīšanas</w:t>
      </w:r>
      <w:r>
        <w:rPr>
          <w:rFonts w:ascii="Times New Roman" w:hAnsi="Times New Roman"/>
          <w:noProof/>
          <w:sz w:val="24"/>
        </w:rPr>
        <w:t xml:space="preserve"> laiks ir īpašumtiesību maiņas laiks, kas ekonomiskā izpratnē ir piegāde (var atšķirties no “fiziskās piegādes” laika), un ietver arī tos gadījumus, kad produkcija tiek sadalīta pa vairākiem uzskaites periodiem. Tas, ka militārais aprīkojums saskaņā ar definīciju ir aktīvu kategorija </w:t>
      </w:r>
      <w:r>
        <w:rPr>
          <w:rFonts w:ascii="Times New Roman" w:hAnsi="Times New Roman"/>
          <w:i/>
          <w:noProof/>
          <w:sz w:val="24"/>
        </w:rPr>
        <w:t>sui generis</w:t>
      </w:r>
      <w:r>
        <w:rPr>
          <w:rFonts w:ascii="Times New Roman" w:hAnsi="Times New Roman"/>
          <w:noProof/>
          <w:sz w:val="24"/>
        </w:rPr>
        <w:t>, kas klasificēta kā ieroču sistēmas (AN.114), ar augstu specifiku, un pārliecība par to, ka pasūtītāja valdības vienība faktiski pārņems šo aprīkojumu, nozīmē, ka izstrādes procesā esošo aprīkojumu nedrīkst uzskatīt par piegādātu valdībai pirms tā pilnīgas pabeigšanas.</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Izņemot gadījumu, kas minēts iepriekšējā rindkopā, priekšmaksājumi par militārā aprīkojuma un citu preču piegādēm (kas var daļēji segt ar progr</w:t>
      </w:r>
      <w:r w:rsidR="007A3F57">
        <w:rPr>
          <w:rFonts w:ascii="Times New Roman" w:hAnsi="Times New Roman"/>
          <w:noProof/>
          <w:sz w:val="24"/>
        </w:rPr>
        <w:t>ammu saistītās P&amp;I</w:t>
      </w:r>
      <w:r w:rsidR="003E4CAF">
        <w:rPr>
          <w:rFonts w:ascii="Times New Roman" w:hAnsi="Times New Roman"/>
          <w:noProof/>
          <w:sz w:val="24"/>
        </w:rPr>
        <w:t xml:space="preserve"> izmaksas) jāieraksta</w:t>
      </w:r>
      <w:r>
        <w:rPr>
          <w:rFonts w:ascii="Times New Roman" w:hAnsi="Times New Roman"/>
          <w:noProof/>
          <w:sz w:val="24"/>
        </w:rPr>
        <w:t xml:space="preserve"> kā finanšu darījumi (finanšu avansi (AF.81), valdības aktīvs), savu</w:t>
      </w:r>
      <w:r w:rsidR="008C1D66">
        <w:rPr>
          <w:rFonts w:ascii="Times New Roman" w:hAnsi="Times New Roman"/>
          <w:noProof/>
          <w:sz w:val="24"/>
        </w:rPr>
        <w:t>kārt sekojošās piegādes ieraksta</w:t>
      </w:r>
      <w:r>
        <w:rPr>
          <w:rFonts w:ascii="Times New Roman" w:hAnsi="Times New Roman"/>
          <w:noProof/>
          <w:sz w:val="24"/>
        </w:rPr>
        <w:t xml:space="preserve"> kā izdevumus, likvidējot pretējo finanšu darījumu, ar kuru tiek izpirkts valdības aktīvs.</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Pēcapmaksas gadījumā valdības i</w:t>
      </w:r>
      <w:r w:rsidR="008C1D66">
        <w:rPr>
          <w:rFonts w:ascii="Times New Roman" w:hAnsi="Times New Roman"/>
          <w:noProof/>
          <w:sz w:val="24"/>
        </w:rPr>
        <w:t>zdevumus ieraksta</w:t>
      </w:r>
      <w:r>
        <w:rPr>
          <w:rFonts w:ascii="Times New Roman" w:hAnsi="Times New Roman"/>
          <w:noProof/>
          <w:sz w:val="24"/>
        </w:rPr>
        <w:t xml:space="preserve"> militārā aprīkojuma piegādes laikā un savieno ar finanšu darījumu (F.81 valdības saistības). Kad vēlāk tiek veikts norēķins sk</w:t>
      </w:r>
      <w:r w:rsidR="008C1D66">
        <w:rPr>
          <w:rFonts w:ascii="Times New Roman" w:hAnsi="Times New Roman"/>
          <w:noProof/>
          <w:sz w:val="24"/>
        </w:rPr>
        <w:t>aidrā naudā, tas tiek ierakstīts</w:t>
      </w:r>
      <w:r>
        <w:rPr>
          <w:rFonts w:ascii="Times New Roman" w:hAnsi="Times New Roman"/>
          <w:noProof/>
          <w:sz w:val="24"/>
        </w:rPr>
        <w:t xml:space="preserve"> kā finanšu darījumi (t.i., viens skaidrā naudā un viens, ar ko tiek dzēstas valdības saistības).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48" w:name="II.5.3.2_Time_of_recording_of_government"/>
      <w:bookmarkEnd w:id="148"/>
      <w:r>
        <w:rPr>
          <w:rFonts w:ascii="Times New Roman" w:hAnsi="Times New Roman"/>
          <w:noProof/>
          <w:sz w:val="24"/>
        </w:rPr>
        <w:t>II.5.3.2. Valdības izdevumu par m</w:t>
      </w:r>
      <w:r w:rsidR="008C1D66">
        <w:rPr>
          <w:rFonts w:ascii="Times New Roman" w:hAnsi="Times New Roman"/>
          <w:noProof/>
          <w:sz w:val="24"/>
        </w:rPr>
        <w:t>ilitāro aprīkojumu ierakstīšanas</w:t>
      </w:r>
      <w:r>
        <w:rPr>
          <w:rFonts w:ascii="Times New Roman" w:hAnsi="Times New Roman"/>
          <w:noProof/>
          <w:sz w:val="24"/>
        </w:rPr>
        <w:t xml:space="preserve"> laiks saistībā ar ilgtermiņa līgumiem</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Līgumos bieži paredzēta līdzīgu ražojumu pakāpeniska piegāde daudzu gadu laikā. Kā piemēru var minēt iznīcinātājus, kurus piegādā partijās noteiktā laika posmā, vai karakuģu sēriju, ko piegādā vairāku gadu laikā.</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Uzkrāšanas noteikuma piemērošana attiecībā uz mil</w:t>
      </w:r>
      <w:r w:rsidR="008C1D66">
        <w:rPr>
          <w:rFonts w:ascii="Times New Roman" w:hAnsi="Times New Roman"/>
          <w:noProof/>
          <w:sz w:val="24"/>
        </w:rPr>
        <w:t>itāro preču iegādes ierakstīšanu</w:t>
      </w:r>
      <w:r>
        <w:rPr>
          <w:rFonts w:ascii="Times New Roman" w:hAnsi="Times New Roman"/>
          <w:noProof/>
          <w:sz w:val="24"/>
        </w:rPr>
        <w:t xml:space="preserve"> nozīmē to, ka šādas </w:t>
      </w:r>
      <w:r w:rsidR="008C1D66">
        <w:rPr>
          <w:rFonts w:ascii="Times New Roman" w:hAnsi="Times New Roman"/>
          <w:noProof/>
          <w:sz w:val="24"/>
        </w:rPr>
        <w:t>pakāpeniskas piegādes jāieraksta</w:t>
      </w:r>
      <w:r>
        <w:rPr>
          <w:rFonts w:ascii="Times New Roman" w:hAnsi="Times New Roman"/>
          <w:noProof/>
          <w:sz w:val="24"/>
        </w:rPr>
        <w:t xml:space="preserve"> kā valdības bruto pamatkapitāla veidošanu, tiklīdz tas rodas. Standarta analītiskās uzskaites metodēm jānodrošina iespēja noskaidrot daļējo piegāžu vērtību. Konfidencialitāte nav svarīgākais jautājums, jo nacionālo kontu datos netiek precīzi atklāta aprīkojuma būtība. Tādējādi valdības neto aizdevums/aizņēmums (B.9) netiek ietekmēts līguma saistību izpildes vai maksājuma </w:t>
      </w:r>
      <w:r>
        <w:rPr>
          <w:rFonts w:ascii="Times New Roman" w:hAnsi="Times New Roman"/>
          <w:noProof/>
          <w:sz w:val="24"/>
        </w:rPr>
        <w:lastRenderedPageBreak/>
        <w:t>veikšanas brīdī, bet gan atbilstoši piegāžu shēmai. Pamatojums ir tas, ka katra detaļa (vai kopā piegādātu detaļu komplekts) ir jāvērtē atsevišķi attiecībā uz riskiem un priekšrocībām, kuras ir ar to saistītas.</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Sarežģīta militārā aprīkojuma piegāde bieži saistīta ar apmācības un saistīto pakalpojumu nodrošināšanu. Turklāt, ņemot vērā, ka īpaša augsto tehnoloģiju aprīkojuma tehniskajai apkopei ir nepieciešamas sevišķas prasmes, arvien biežāk piegādātājuzņēmumi tiek cieši sasaistīti ar šiem uzdevumiem. Tas rada jautājumu par gadījumiem, kad tiek slēgts atsevišķs un vienots līgums. Uzkrāšanas princips nozīmē, ka valdības izdevumi par pakalpojumiem ir jāuzskaita tad, kad tie ir reāli s</w:t>
      </w:r>
      <w:r w:rsidR="008C1D66">
        <w:rPr>
          <w:rFonts w:ascii="Times New Roman" w:hAnsi="Times New Roman"/>
          <w:noProof/>
          <w:sz w:val="24"/>
        </w:rPr>
        <w:t>niegti un ierakstīti</w:t>
      </w:r>
      <w:r>
        <w:rPr>
          <w:rFonts w:ascii="Times New Roman" w:hAnsi="Times New Roman"/>
          <w:noProof/>
          <w:sz w:val="24"/>
        </w:rPr>
        <w:t xml:space="preserve"> starppatēriņā. Standarta analītiskās uzskaites paņēmieni ļauj arī sadalīt ar sniegtajiem pakalpojumiem saistītos izdevumus pa visu laika posmu, būtiskajai informācijai visticamāk esot pieejamai līgumā.</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Kompleksu sistēmu gadījumā pēc piegādes nereti ir jāveic noteikti pasākumi, lai sagatavotu aprīkojumu ekspluatācijai. Militārajam aprīkojumam parasti nepieciešama īpaša sagatavošana, tostarp papildu detaļas. Piegādātais aprīkojums var nebūt pilnīgi gatavs ekspluatācijai, kamēr nav pabeigts vai samontēts kāds cits aprīkojums (piemēram, elektroniskās ieroču sistēmas).</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Dažas militārās programmas, kurām ir piešķirtas ievērojamas naudas summas, ir saistītas ar vairāku veidu komponentu apvienošanu, kurus var pabeigt atšķirīgos termiņos, sadalot izdevumus pa vairākiem finanšu gadiem pirms visas sistēmas pilnīgas nodošanas ekspluatācijā. Šajā saistībā rodas jautājums, vai uzdevumi, kas veicami pēc piegādes, ietilpst iestāžu/bruņoto spēku atbildībā vai tomēr piegādātāju atbildībā.</w:t>
      </w:r>
    </w:p>
    <w:p w:rsidR="00073FEC" w:rsidRPr="00AF44C3"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Ja pēc piegādes veicamie uzdevumi pilnīgi ietilpst piegādātāja atbildībā, tas nozīmē, ka piegādātājs vēl nav izpildījis līgumā noteiktos pienākumus</w:t>
      </w:r>
      <w:r w:rsidR="008C1D66">
        <w:rPr>
          <w:rFonts w:ascii="Times New Roman" w:hAnsi="Times New Roman"/>
          <w:noProof/>
          <w:sz w:val="24"/>
        </w:rPr>
        <w:t>, un aprīkojuma piegādi ieraksta</w:t>
      </w:r>
      <w:r>
        <w:rPr>
          <w:rFonts w:ascii="Times New Roman" w:hAnsi="Times New Roman"/>
          <w:noProof/>
          <w:sz w:val="24"/>
        </w:rPr>
        <w:t xml:space="preserve"> tikai tajā brīdī, kad šie pienākumi ir izpildīti.</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Ja pilnu atbildību par visiem šiem uzdevumiem (un jo īpaši par to izpildes grafiku) uzņemas valdības iestādes/ bruņotie spēki, tiek pieņemts, ka komponentu piegādātājs ir izpildījis savas līgumsaistības. Līdz ar</w:t>
      </w:r>
      <w:r w:rsidR="008C1D66">
        <w:rPr>
          <w:rFonts w:ascii="Times New Roman" w:hAnsi="Times New Roman"/>
          <w:noProof/>
          <w:sz w:val="24"/>
        </w:rPr>
        <w:t xml:space="preserve"> to preču piegādes ierakstīšanas</w:t>
      </w:r>
      <w:r>
        <w:rPr>
          <w:rFonts w:ascii="Times New Roman" w:hAnsi="Times New Roman"/>
          <w:noProof/>
          <w:sz w:val="24"/>
        </w:rPr>
        <w:t xml:space="preserve"> laiks nav brīdis, kad tiek pilnīgi izpildītas visas līgumsaistības, un to nosaka atbilstoši piegādei vai, iespējams, atbilstoši īpašumtiesību pakāpeniskai nodošanai.</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49" w:name="II.5.3.3_The_treatment_of_leases_relatin"/>
      <w:bookmarkEnd w:id="149"/>
      <w:r>
        <w:rPr>
          <w:rFonts w:ascii="Times New Roman" w:hAnsi="Times New Roman"/>
          <w:noProof/>
          <w:sz w:val="24"/>
        </w:rPr>
        <w:t>II.5.3.3. Ar militārajām precēm saistītās nomas traktējums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Tā vietā, lai militāro aprīkojumu iegādātos, to var nomāt. Tam, vai līgumā noma ir nodēvēta par operatīvo nomu vai finanšu nomu, nav būtiskas nozīmes. Rodas jautājums par šādas nomas pareizu klasifikāciju nacionālajos kontos.</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Jāatgādina, ka tas, vai nacionālajos kontos noma tiks klasificēta kā finanšu noma vai operatīvā noma, ir atkarīgs galvenokārt no riska nodošanas (EKS 2010 15.05. punkts), un klasifikācija nav atkarīga no līgumā lietotās juridiskās terminoloģijas.</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Viens jautājums ir par to, vai operatīvo nomu vai fin</w:t>
      </w:r>
      <w:r w:rsidR="008C1D66">
        <w:rPr>
          <w:rFonts w:ascii="Times New Roman" w:hAnsi="Times New Roman"/>
          <w:noProof/>
          <w:sz w:val="24"/>
        </w:rPr>
        <w:t>anšu nomu ir iespējams ierakstīt</w:t>
      </w:r>
      <w:r>
        <w:rPr>
          <w:rFonts w:ascii="Times New Roman" w:hAnsi="Times New Roman"/>
          <w:noProof/>
          <w:sz w:val="24"/>
        </w:rPr>
        <w:t xml:space="preserve"> attiecībā preci, kas saskaņā ar EKS 2010 nav pamatlīdzeklis. Atbilde ir tāda, ka n</w:t>
      </w:r>
      <w:r w:rsidR="008C1D66">
        <w:rPr>
          <w:rFonts w:ascii="Times New Roman" w:hAnsi="Times New Roman"/>
          <w:noProof/>
          <w:sz w:val="24"/>
        </w:rPr>
        <w:t>acionālajos kontos var ierakstīt</w:t>
      </w:r>
      <w:r>
        <w:rPr>
          <w:rFonts w:ascii="Times New Roman" w:hAnsi="Times New Roman"/>
          <w:noProof/>
          <w:sz w:val="24"/>
        </w:rPr>
        <w:t xml:space="preserve"> abas nomas neatkarīgi no tā, vai prece ir ekonomiskais aktīvs. Piemēram, nacionālo kontu sistēmā automobiļus pieņemts neuzskatīt par mājsaimniecību ekonomiskajiem aktīviem, taču finanšu noma attiecībā uz automobiļiem ir plaši i</w:t>
      </w:r>
      <w:r w:rsidR="008C1D66">
        <w:rPr>
          <w:rFonts w:ascii="Times New Roman" w:hAnsi="Times New Roman"/>
          <w:noProof/>
          <w:sz w:val="24"/>
        </w:rPr>
        <w:t>zplatīta un tiek šādi ierakstīta</w:t>
      </w:r>
      <w:r>
        <w:rPr>
          <w:rFonts w:ascii="Times New Roman" w:hAnsi="Times New Roman"/>
          <w:noProof/>
          <w:sz w:val="24"/>
        </w:rPr>
        <w:t>.</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Militārā aprīkojuma gadījumā riska nodošana, tādējādi nododot arī ekonomiskās īpašumtiesības, notiek, kad bruņotie spēki iegūst aprīkojumu savā īpašumā un sāk pieņemt lēmumus attiecībā uz tā izmantošanu. Tie uzņemsies visus riskus, kuri var būt saistīti ar militārajām misijām.</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Militāro misiju īpatnība ir militārā aprīkojuma apzināta pakļaušana riskam, turpretī citās saimnieciskajās darbībās preču pakļaušana riskam parasti netiek pieļauta vai arī tiek </w:t>
      </w:r>
      <w:r>
        <w:rPr>
          <w:rFonts w:ascii="Times New Roman" w:hAnsi="Times New Roman"/>
          <w:noProof/>
          <w:sz w:val="24"/>
        </w:rPr>
        <w:lastRenderedPageBreak/>
        <w:t>veikti pasākumi, lai nodrošinātos pret šādiem riskiem. Militārais aprīkojums pēc būtības ir paredzēts izmantošanai misijās, kurās to visticamāk mēģinās iznīcināt vai samazināt tā darbspēju. Vēl viens jautājums ir saistīts ar šāda aprīkojuma iespējamo ātro nolietošanos, kad tā nomaiņa nepieciešama ātrāk, nekā paredzēts.</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Ņemot vērā iepriekš minētos apstākļus, ar militāro aprīkojumu saistītie riski pēc būtības ietilpst valdības iestāžu/militāro spēku atbildībā, un tikai šādas iestādes ir kompetentas lemt par to, vai izmantot šādu aprīkojumu konfliktos un kad to izmantot, tādējādi apzināti pakļaujot preces iespējamiem bojājumiem.</w:t>
      </w:r>
    </w:p>
    <w:p w:rsidR="00073FEC" w:rsidRPr="001973D0"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Šajā saistībā visus militārā aprīkojuma nomas līgumus (kas noteikti iepriekš) nacionālajos kontos traktē kā finanšu nomu, pat ja līgumā šāda noma ir dēvēta par operatīvo nomu. Līdz ar to militārā ap</w:t>
      </w:r>
      <w:r w:rsidR="008C1D66">
        <w:rPr>
          <w:rFonts w:ascii="Times New Roman" w:hAnsi="Times New Roman"/>
          <w:noProof/>
          <w:sz w:val="24"/>
        </w:rPr>
        <w:t>rīkojuma iegūšanas ierakstīšanas</w:t>
      </w:r>
      <w:r>
        <w:rPr>
          <w:rFonts w:ascii="Times New Roman" w:hAnsi="Times New Roman"/>
          <w:noProof/>
          <w:sz w:val="24"/>
        </w:rPr>
        <w:t xml:space="preserve"> laiks būs brīdis, kad bruņotie spēki uzņemas pilnu atbildību par tā izmantošanu. Saistības, ko nomnieks uzņemas finanšu nomā, nacionālajos kontos ir klasificētas kā aizdevumi (F.4), un līdz ar to ir valdības </w:t>
      </w:r>
      <w:r>
        <w:rPr>
          <w:rFonts w:ascii="Times New Roman" w:hAnsi="Times New Roman"/>
          <w:i/>
          <w:noProof/>
          <w:sz w:val="24"/>
        </w:rPr>
        <w:t>(EDP</w:t>
      </w:r>
      <w:r>
        <w:rPr>
          <w:rFonts w:ascii="Times New Roman" w:hAnsi="Times New Roman"/>
          <w:noProof/>
          <w:sz w:val="24"/>
        </w:rPr>
        <w:t>) parāda komponente, ja nomnieks ir valdība.</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50" w:name="II.5.3.4_Research_and_development"/>
      <w:bookmarkEnd w:id="150"/>
      <w:r>
        <w:rPr>
          <w:rFonts w:ascii="Times New Roman" w:hAnsi="Times New Roman"/>
          <w:noProof/>
          <w:sz w:val="24"/>
        </w:rPr>
        <w:t>I</w:t>
      </w:r>
      <w:r w:rsidR="007A3F57">
        <w:rPr>
          <w:rFonts w:ascii="Times New Roman" w:hAnsi="Times New Roman"/>
          <w:noProof/>
          <w:sz w:val="24"/>
        </w:rPr>
        <w:t>I.5.3.4. Pētniecība un izstrāde</w:t>
      </w:r>
    </w:p>
    <w:p w:rsidR="00073FEC" w:rsidRPr="001973D0" w:rsidRDefault="00073FEC" w:rsidP="00073FEC">
      <w:pPr>
        <w:pStyle w:val="Heading6"/>
        <w:tabs>
          <w:tab w:val="left" w:pos="2036"/>
        </w:tabs>
        <w:jc w:val="both"/>
        <w:rPr>
          <w:rFonts w:ascii="Times New Roman" w:hAnsi="Times New Roman"/>
          <w:noProof/>
          <w:sz w:val="24"/>
        </w:rPr>
      </w:pPr>
    </w:p>
    <w:p w:rsidR="00073FEC" w:rsidRPr="00AF44C3" w:rsidRDefault="00073FEC" w:rsidP="00073FEC">
      <w:pPr>
        <w:pStyle w:val="BodyText"/>
        <w:numPr>
          <w:ilvl w:val="0"/>
          <w:numId w:val="6"/>
        </w:numPr>
        <w:tabs>
          <w:tab w:val="left" w:pos="1262"/>
        </w:tabs>
        <w:spacing w:before="0"/>
        <w:ind w:left="709" w:hanging="709"/>
        <w:jc w:val="both"/>
        <w:rPr>
          <w:rFonts w:ascii="Times New Roman" w:hAnsi="Times New Roman"/>
          <w:noProof/>
          <w:sz w:val="24"/>
        </w:rPr>
      </w:pPr>
      <w:r>
        <w:rPr>
          <w:rFonts w:ascii="Times New Roman" w:hAnsi="Times New Roman"/>
          <w:noProof/>
          <w:sz w:val="24"/>
        </w:rPr>
        <w:t>Grūtības var rasties gadījumā, ja līgumā ir noteikts, ka izdevumi ir radušies saistībā ar pē</w:t>
      </w:r>
      <w:r w:rsidR="007A3F57">
        <w:rPr>
          <w:rFonts w:ascii="Times New Roman" w:hAnsi="Times New Roman"/>
          <w:noProof/>
          <w:sz w:val="24"/>
        </w:rPr>
        <w:t>tniecību un izstrādi</w:t>
      </w:r>
      <w:r>
        <w:rPr>
          <w:rFonts w:ascii="Times New Roman" w:hAnsi="Times New Roman"/>
          <w:noProof/>
          <w:sz w:val="24"/>
        </w:rPr>
        <w:t xml:space="preserve"> iepriekšējos līguma darbības gados, proti, ievērojamu laika posmu pirms faktiskajām piegādēm. Šādā gadījum</w:t>
      </w:r>
      <w:r w:rsidR="007A3F57">
        <w:rPr>
          <w:rFonts w:ascii="Times New Roman" w:hAnsi="Times New Roman"/>
          <w:noProof/>
          <w:sz w:val="24"/>
        </w:rPr>
        <w:t>ā ir svarīgi noskaidrot šādu P&amp;I</w:t>
      </w:r>
      <w:r>
        <w:rPr>
          <w:rFonts w:ascii="Times New Roman" w:hAnsi="Times New Roman"/>
          <w:noProof/>
          <w:sz w:val="24"/>
        </w:rPr>
        <w:t xml:space="preserve"> izdevumu būtību.</w:t>
      </w:r>
    </w:p>
    <w:p w:rsidR="00073FEC" w:rsidRPr="001973D0" w:rsidRDefault="007A3F57"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Ja P&amp;I</w:t>
      </w:r>
      <w:r w:rsidR="00073FEC">
        <w:rPr>
          <w:rFonts w:ascii="Times New Roman" w:hAnsi="Times New Roman"/>
          <w:noProof/>
          <w:sz w:val="24"/>
        </w:rPr>
        <w:t xml:space="preserve"> ir īstenota neatkarīgi no gala produkta (bet var būt izmantota prototipu izstrādē) vai arī finansējums tiek pilnīgi iztērēts (un netiek a</w:t>
      </w:r>
      <w:r>
        <w:rPr>
          <w:rFonts w:ascii="Times New Roman" w:hAnsi="Times New Roman"/>
          <w:noProof/>
          <w:sz w:val="24"/>
        </w:rPr>
        <w:t>tlīdzināts nevienā formā) un P&amp;I</w:t>
      </w:r>
      <w:r w:rsidR="00073FEC">
        <w:rPr>
          <w:rFonts w:ascii="Times New Roman" w:hAnsi="Times New Roman"/>
          <w:noProof/>
          <w:sz w:val="24"/>
        </w:rPr>
        <w:t xml:space="preserve"> faktiski nav saistāma vienīgi ar īpašu piegādājamo militāro aprīkojumu, attiecīgos izdevumus tāpat kā </w:t>
      </w:r>
      <w:r>
        <w:rPr>
          <w:rFonts w:ascii="Times New Roman" w:hAnsi="Times New Roman"/>
          <w:noProof/>
          <w:sz w:val="24"/>
        </w:rPr>
        <w:t>jebkuru citu valsts iepirkto P&amp;I</w:t>
      </w:r>
      <w:r w:rsidR="008C1D66">
        <w:rPr>
          <w:rFonts w:ascii="Times New Roman" w:hAnsi="Times New Roman"/>
          <w:noProof/>
          <w:sz w:val="24"/>
        </w:rPr>
        <w:t xml:space="preserve"> darbību ieraksta</w:t>
      </w:r>
      <w:r w:rsidR="00073FEC">
        <w:rPr>
          <w:rFonts w:ascii="Times New Roman" w:hAnsi="Times New Roman"/>
          <w:noProof/>
          <w:sz w:val="24"/>
        </w:rPr>
        <w:t>, kad notiek darbs vai kad valdība veic pārskaitījumu šāda darba finansēšanai. Parasti saskaņā</w:t>
      </w:r>
      <w:r w:rsidR="008C1D66">
        <w:rPr>
          <w:rFonts w:ascii="Times New Roman" w:hAnsi="Times New Roman"/>
          <w:noProof/>
          <w:sz w:val="24"/>
        </w:rPr>
        <w:t xml:space="preserve"> ar EKS 2010 tas tiek ierakstīts</w:t>
      </w:r>
      <w:r w:rsidR="00073FEC">
        <w:rPr>
          <w:rFonts w:ascii="Times New Roman" w:hAnsi="Times New Roman"/>
          <w:noProof/>
          <w:sz w:val="24"/>
        </w:rPr>
        <w:t xml:space="preserve"> kā bruto pamatkapitāla veidošana saistībā ar intelektuālā īpašuma produktiem (AN.117). Ja tomēr skaidrs labums valdībai nav paredzams (tostarp iespēja nodot rezultātus plašākai sabiedrībai) vai ja iespējamie rezultāti nonāktu vienīgi finansējuma saņ</w:t>
      </w:r>
      <w:r w:rsidR="008C1D66">
        <w:rPr>
          <w:rFonts w:ascii="Times New Roman" w:hAnsi="Times New Roman"/>
          <w:noProof/>
          <w:sz w:val="24"/>
        </w:rPr>
        <w:t>ēmēja rīcībā, izdevumus ieraksta</w:t>
      </w:r>
      <w:r w:rsidR="00073FEC">
        <w:rPr>
          <w:rFonts w:ascii="Times New Roman" w:hAnsi="Times New Roman"/>
          <w:noProof/>
          <w:sz w:val="24"/>
        </w:rPr>
        <w:t xml:space="preserve"> kā starpposma patēriņu, nevis kā bruto pamatkapitāla veidošanu.</w:t>
      </w:r>
    </w:p>
    <w:p w:rsidR="00073FEC" w:rsidRPr="001973D0" w:rsidRDefault="00073FEC" w:rsidP="00073FEC">
      <w:pPr>
        <w:pStyle w:val="BodyText"/>
        <w:numPr>
          <w:ilvl w:val="0"/>
          <w:numId w:val="6"/>
        </w:numPr>
        <w:tabs>
          <w:tab w:val="left" w:pos="1242"/>
        </w:tabs>
        <w:spacing w:before="0"/>
        <w:ind w:left="709" w:hanging="709"/>
        <w:jc w:val="both"/>
        <w:rPr>
          <w:rFonts w:ascii="Times New Roman" w:hAnsi="Times New Roman"/>
          <w:noProof/>
          <w:sz w:val="24"/>
        </w:rPr>
      </w:pPr>
      <w:r>
        <w:rPr>
          <w:rFonts w:ascii="Times New Roman" w:hAnsi="Times New Roman"/>
          <w:noProof/>
          <w:sz w:val="24"/>
        </w:rPr>
        <w:t>Dažos g</w:t>
      </w:r>
      <w:r w:rsidR="008C1D66">
        <w:rPr>
          <w:rFonts w:ascii="Times New Roman" w:hAnsi="Times New Roman"/>
          <w:noProof/>
          <w:sz w:val="24"/>
        </w:rPr>
        <w:t>adījumos pētniecība un izstrāde</w:t>
      </w:r>
      <w:r>
        <w:rPr>
          <w:rFonts w:ascii="Times New Roman" w:hAnsi="Times New Roman"/>
          <w:noProof/>
          <w:sz w:val="24"/>
        </w:rPr>
        <w:t xml:space="preserve"> tiek paredzēta līgumā, kurā tiek pasūtīta vismaz pirmā aprīkojuma vienību sērija, neatkarīgi no tā, cik ilgi</w:t>
      </w:r>
      <w:r w:rsidR="007A3F57">
        <w:rPr>
          <w:rFonts w:ascii="Times New Roman" w:hAnsi="Times New Roman"/>
          <w:noProof/>
          <w:sz w:val="24"/>
        </w:rPr>
        <w:t xml:space="preserve"> ilgst pētniecības un izstrādes</w:t>
      </w:r>
      <w:r>
        <w:rPr>
          <w:rFonts w:ascii="Times New Roman" w:hAnsi="Times New Roman"/>
          <w:noProof/>
          <w:sz w:val="24"/>
        </w:rPr>
        <w:t xml:space="preserve"> posms pirms ražoš</w:t>
      </w:r>
      <w:r w:rsidR="007A3F57">
        <w:rPr>
          <w:rFonts w:ascii="Times New Roman" w:hAnsi="Times New Roman"/>
          <w:noProof/>
          <w:sz w:val="24"/>
        </w:rPr>
        <w:t>anas posma uzsākšanas. Tā kā P&amp;I</w:t>
      </w:r>
      <w:r>
        <w:rPr>
          <w:rFonts w:ascii="Times New Roman" w:hAnsi="Times New Roman"/>
          <w:noProof/>
          <w:sz w:val="24"/>
        </w:rPr>
        <w:t xml:space="preserve"> tiks iekļauta atsevišķo aprīko</w:t>
      </w:r>
      <w:r w:rsidR="008C1D66">
        <w:rPr>
          <w:rFonts w:ascii="Times New Roman" w:hAnsi="Times New Roman"/>
          <w:noProof/>
          <w:sz w:val="24"/>
        </w:rPr>
        <w:t>juma vienību cenā, tā jāieraksta</w:t>
      </w:r>
      <w:r>
        <w:rPr>
          <w:rFonts w:ascii="Times New Roman" w:hAnsi="Times New Roman"/>
          <w:noProof/>
          <w:sz w:val="24"/>
        </w:rPr>
        <w:t xml:space="preserve"> kā finanšu avanss, kas piešķirts ieroču sistēmu (AN.114) aktīvu turpmākajām piegādēm. Šis traktējums tiek piemērots vienīgi tad, ja līgumā tiek paredzēti kopējie izdevumi par piegādājamo aprīkojumu, nevis gadījumos, kad aprīk</w:t>
      </w:r>
      <w:r w:rsidR="007A3F57">
        <w:rPr>
          <w:rFonts w:ascii="Times New Roman" w:hAnsi="Times New Roman"/>
          <w:noProof/>
          <w:sz w:val="24"/>
        </w:rPr>
        <w:t>ojuma pasūtījums atkarīgs no P&amp;I</w:t>
      </w:r>
      <w:r>
        <w:rPr>
          <w:rFonts w:ascii="Times New Roman" w:hAnsi="Times New Roman"/>
          <w:noProof/>
          <w:sz w:val="24"/>
        </w:rPr>
        <w:t xml:space="preserve"> rezultātiem.</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ind w:left="0" w:firstLine="0"/>
        <w:jc w:val="both"/>
        <w:rPr>
          <w:rFonts w:ascii="Times New Roman" w:hAnsi="Times New Roman"/>
          <w:noProof/>
          <w:u w:val="thick" w:color="000000"/>
        </w:rPr>
      </w:pPr>
      <w:bookmarkStart w:id="151" w:name="II.5.4_Accounting_examples"/>
      <w:bookmarkEnd w:id="151"/>
      <w:r>
        <w:rPr>
          <w:rFonts w:ascii="Times New Roman" w:hAnsi="Times New Roman"/>
          <w:noProof/>
          <w:u w:val="none"/>
        </w:rPr>
        <w:t>II.5.4. </w:t>
      </w:r>
      <w:r>
        <w:rPr>
          <w:rFonts w:ascii="Times New Roman" w:hAnsi="Times New Roman"/>
          <w:noProof/>
          <w:u w:val="thick" w:color="000000"/>
        </w:rPr>
        <w:t>Uzskaites piemēri</w:t>
      </w:r>
    </w:p>
    <w:p w:rsidR="00073FEC" w:rsidRPr="001973D0" w:rsidRDefault="00073FEC" w:rsidP="00073FEC">
      <w:pPr>
        <w:pStyle w:val="Heading4"/>
        <w:ind w:left="0" w:firstLine="0"/>
        <w:jc w:val="both"/>
        <w:rPr>
          <w:rFonts w:ascii="Times New Roman" w:hAnsi="Times New Roman"/>
          <w:b w:val="0"/>
          <w:bCs w:val="0"/>
          <w:noProof/>
          <w:u w:val="none"/>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1. piemērs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Valdība pasūta militāro kapitālieguldījumu preci, kuras vērtība ir 100. Pirmajā gadā tā samaksā 45. Otrajā gadā preci piegādā, un bruņotie spēki to nekavējoties izmanto, savukārt valdība samaksā 30. Trešajā gadā valdība samaksā atlikušo summu (vienkāršības labad piegādātāja izmaksas netiek norādītas).</w:t>
      </w:r>
    </w:p>
    <w:p w:rsidR="00073FEC" w:rsidRDefault="00073FEC" w:rsidP="00073FEC">
      <w:pPr>
        <w:jc w:val="both"/>
        <w:rPr>
          <w:rFonts w:ascii="Times New Roman" w:eastAsia="Calibri" w:hAnsi="Times New Roman" w:cs="Calibri"/>
          <w:noProof/>
          <w:sz w:val="24"/>
          <w:szCs w:val="25"/>
        </w:rPr>
      </w:pPr>
    </w:p>
    <w:p w:rsidR="00073FEC" w:rsidRDefault="008F7036" w:rsidP="00A27EA6">
      <w:pPr>
        <w:jc w:val="center"/>
        <w:rPr>
          <w:rFonts w:ascii="Times New Roman" w:eastAsia="Calibri" w:hAnsi="Times New Roman" w:cs="Calibri"/>
          <w:noProof/>
          <w:sz w:val="24"/>
          <w:szCs w:val="25"/>
        </w:rPr>
      </w:pPr>
      <w:r w:rsidRPr="008F7036">
        <w:rPr>
          <w:rFonts w:ascii="Times New Roman" w:eastAsia="Calibri" w:hAnsi="Times New Roman" w:cs="Calibri"/>
          <w:noProof/>
          <w:sz w:val="24"/>
          <w:szCs w:val="25"/>
          <w:lang w:bidi="ar-SA"/>
        </w:rPr>
        <w:lastRenderedPageBreak/>
        <w:drawing>
          <wp:inline distT="0" distB="0" distL="0" distR="0">
            <wp:extent cx="5447924" cy="3244516"/>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5575" cy="3249072"/>
                    </a:xfrm>
                    <a:prstGeom prst="rect">
                      <a:avLst/>
                    </a:prstGeom>
                    <a:noFill/>
                    <a:ln>
                      <a:noFill/>
                    </a:ln>
                  </pic:spPr>
                </pic:pic>
              </a:graphicData>
            </a:graphic>
          </wp:inline>
        </w:drawing>
      </w:r>
    </w:p>
    <w:p w:rsidR="00073FEC" w:rsidRDefault="008F7036" w:rsidP="00A27EA6">
      <w:pPr>
        <w:jc w:val="center"/>
        <w:rPr>
          <w:rFonts w:ascii="Times New Roman" w:eastAsia="Calibri" w:hAnsi="Times New Roman" w:cs="Calibri"/>
          <w:noProof/>
          <w:sz w:val="24"/>
          <w:szCs w:val="25"/>
        </w:rPr>
      </w:pPr>
      <w:r w:rsidRPr="008F7036">
        <w:rPr>
          <w:rFonts w:ascii="Times New Roman" w:eastAsia="Calibri" w:hAnsi="Times New Roman" w:cs="Calibri"/>
          <w:noProof/>
          <w:sz w:val="24"/>
          <w:szCs w:val="25"/>
          <w:lang w:bidi="ar-SA"/>
        </w:rPr>
        <w:drawing>
          <wp:inline distT="0" distB="0" distL="0" distR="0">
            <wp:extent cx="5234702" cy="847572"/>
            <wp:effectExtent l="0" t="0" r="444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5557" cy="852568"/>
                    </a:xfrm>
                    <a:prstGeom prst="rect">
                      <a:avLst/>
                    </a:prstGeom>
                    <a:noFill/>
                    <a:ln>
                      <a:noFill/>
                    </a:ln>
                  </pic:spPr>
                </pic:pic>
              </a:graphicData>
            </a:graphic>
          </wp:inline>
        </w:drawing>
      </w:r>
    </w:p>
    <w:p w:rsidR="00073FEC" w:rsidRDefault="008F7036" w:rsidP="00A27EA6">
      <w:pPr>
        <w:jc w:val="center"/>
        <w:rPr>
          <w:rFonts w:ascii="Times New Roman" w:eastAsia="Calibri" w:hAnsi="Times New Roman" w:cs="Calibri"/>
          <w:noProof/>
          <w:sz w:val="24"/>
          <w:szCs w:val="25"/>
        </w:rPr>
      </w:pPr>
      <w:r w:rsidRPr="008F7036">
        <w:rPr>
          <w:rFonts w:ascii="Times New Roman" w:eastAsia="Calibri" w:hAnsi="Times New Roman" w:cs="Calibri"/>
          <w:noProof/>
          <w:sz w:val="24"/>
          <w:szCs w:val="25"/>
          <w:lang w:bidi="ar-SA"/>
        </w:rPr>
        <w:drawing>
          <wp:inline distT="0" distB="0" distL="0" distR="0">
            <wp:extent cx="5420312" cy="4668797"/>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3755" cy="4671763"/>
                    </a:xfrm>
                    <a:prstGeom prst="rect">
                      <a:avLst/>
                    </a:prstGeom>
                    <a:noFill/>
                    <a:ln>
                      <a:noFill/>
                    </a:ln>
                  </pic:spPr>
                </pic:pic>
              </a:graphicData>
            </a:graphic>
          </wp:inline>
        </w:drawing>
      </w:r>
    </w:p>
    <w:p w:rsidR="00073FEC" w:rsidRDefault="00220955" w:rsidP="00B669C0">
      <w:pPr>
        <w:jc w:val="center"/>
        <w:rPr>
          <w:rFonts w:ascii="Times New Roman" w:eastAsia="Calibri" w:hAnsi="Times New Roman" w:cs="Calibri"/>
          <w:noProof/>
          <w:sz w:val="24"/>
          <w:szCs w:val="25"/>
        </w:rPr>
      </w:pPr>
      <w:r w:rsidRPr="00220955">
        <w:rPr>
          <w:rFonts w:ascii="Times New Roman" w:eastAsia="Calibri" w:hAnsi="Times New Roman" w:cs="Calibri"/>
          <w:noProof/>
          <w:sz w:val="24"/>
          <w:szCs w:val="25"/>
          <w:lang w:bidi="ar-SA"/>
        </w:rPr>
        <w:lastRenderedPageBreak/>
        <w:drawing>
          <wp:inline distT="0" distB="0" distL="0" distR="0">
            <wp:extent cx="5612823" cy="1649791"/>
            <wp:effectExtent l="0" t="0" r="698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25775" cy="1653598"/>
                    </a:xfrm>
                    <a:prstGeom prst="rect">
                      <a:avLst/>
                    </a:prstGeom>
                    <a:noFill/>
                    <a:ln>
                      <a:noFill/>
                    </a:ln>
                  </pic:spPr>
                </pic:pic>
              </a:graphicData>
            </a:graphic>
          </wp:inline>
        </w:drawing>
      </w:r>
    </w:p>
    <w:p w:rsidR="00073FEC" w:rsidRDefault="008C1D66" w:rsidP="00B669C0">
      <w:pPr>
        <w:jc w:val="center"/>
        <w:rPr>
          <w:rFonts w:ascii="Times New Roman" w:eastAsia="Calibri" w:hAnsi="Times New Roman" w:cs="Calibri"/>
          <w:noProof/>
          <w:sz w:val="24"/>
          <w:szCs w:val="25"/>
        </w:rPr>
      </w:pPr>
      <w:r w:rsidRPr="008C1D66">
        <w:rPr>
          <w:rFonts w:ascii="Times New Roman" w:eastAsia="Calibri" w:hAnsi="Times New Roman" w:cs="Calibri"/>
          <w:noProof/>
          <w:sz w:val="24"/>
          <w:szCs w:val="25"/>
          <w:lang w:bidi="ar-SA"/>
        </w:rPr>
        <w:drawing>
          <wp:inline distT="0" distB="0" distL="0" distR="0">
            <wp:extent cx="5170473" cy="1654846"/>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28891" cy="1673543"/>
                    </a:xfrm>
                    <a:prstGeom prst="rect">
                      <a:avLst/>
                    </a:prstGeom>
                    <a:noFill/>
                    <a:ln>
                      <a:noFill/>
                    </a:ln>
                  </pic:spPr>
                </pic:pic>
              </a:graphicData>
            </a:graphic>
          </wp:inline>
        </w:drawing>
      </w:r>
    </w:p>
    <w:p w:rsidR="00073FEC" w:rsidRDefault="00073FEC" w:rsidP="00073FEC">
      <w:pPr>
        <w:jc w:val="both"/>
        <w:rPr>
          <w:rFonts w:ascii="Times New Roman" w:eastAsia="Calibri" w:hAnsi="Times New Roman" w:cs="Calibri"/>
          <w:noProof/>
          <w:sz w:val="24"/>
          <w:szCs w:val="25"/>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2. piemērs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Valdība noslēdz nomas līgumu ar militārās preces piegādātāju. Līgumā ir paredzēts, ka preces vērtība ir 100 un ka valdība 1. gadā veiks 10 gada maksājumus no 14 (kas atbilst apmēram 6,6 gada procentu maksājumiem) no piegādes brīža. Prece ir izmantojama uzreiz pēc piegādes (vienkāršības labad piegādātāja izmaksas netiek norādītas). Jā</w:t>
      </w:r>
      <w:r w:rsidR="008C1D66">
        <w:rPr>
          <w:rFonts w:ascii="Times New Roman" w:hAnsi="Times New Roman"/>
          <w:noProof/>
          <w:sz w:val="24"/>
        </w:rPr>
        <w:t>ņem vērā arī tas, ka ierakstītie</w:t>
      </w:r>
      <w:r>
        <w:rPr>
          <w:rFonts w:ascii="Times New Roman" w:hAnsi="Times New Roman"/>
          <w:noProof/>
          <w:sz w:val="24"/>
        </w:rPr>
        <w:t xml:space="preserve"> procenti perioda laikā faktiski samazināsies.</w:t>
      </w:r>
    </w:p>
    <w:p w:rsidR="00073FEC" w:rsidRDefault="00073FEC" w:rsidP="00073FEC">
      <w:pPr>
        <w:jc w:val="both"/>
        <w:rPr>
          <w:rFonts w:ascii="Times New Roman" w:eastAsia="Calibri" w:hAnsi="Times New Roman" w:cs="Calibri"/>
          <w:b/>
          <w:bCs/>
          <w:noProof/>
          <w:sz w:val="24"/>
          <w:szCs w:val="20"/>
        </w:rPr>
      </w:pPr>
    </w:p>
    <w:p w:rsidR="00073FEC" w:rsidRDefault="00DE437D" w:rsidP="00B669C0">
      <w:pPr>
        <w:jc w:val="center"/>
        <w:rPr>
          <w:rFonts w:ascii="Times New Roman" w:eastAsia="Calibri" w:hAnsi="Times New Roman" w:cs="Calibri"/>
          <w:b/>
          <w:bCs/>
          <w:noProof/>
          <w:sz w:val="24"/>
          <w:szCs w:val="20"/>
        </w:rPr>
      </w:pPr>
      <w:r w:rsidRPr="00DE437D">
        <w:rPr>
          <w:rFonts w:ascii="Times New Roman" w:eastAsia="Calibri" w:hAnsi="Times New Roman" w:cs="Calibri"/>
          <w:b/>
          <w:bCs/>
          <w:noProof/>
          <w:sz w:val="24"/>
          <w:szCs w:val="20"/>
          <w:lang w:bidi="ar-SA"/>
        </w:rPr>
        <w:drawing>
          <wp:inline distT="0" distB="0" distL="0" distR="0">
            <wp:extent cx="5304978" cy="4047024"/>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1485" cy="4051988"/>
                    </a:xfrm>
                    <a:prstGeom prst="rect">
                      <a:avLst/>
                    </a:prstGeom>
                    <a:noFill/>
                    <a:ln>
                      <a:noFill/>
                    </a:ln>
                  </pic:spPr>
                </pic:pic>
              </a:graphicData>
            </a:graphic>
          </wp:inline>
        </w:drawing>
      </w:r>
    </w:p>
    <w:p w:rsidR="00073FEC" w:rsidRDefault="00073FEC" w:rsidP="00073FEC">
      <w:pPr>
        <w:jc w:val="both"/>
        <w:rPr>
          <w:rFonts w:ascii="Times New Roman" w:eastAsia="Calibri" w:hAnsi="Times New Roman" w:cs="Calibri"/>
          <w:b/>
          <w:bCs/>
          <w:noProof/>
          <w:sz w:val="24"/>
          <w:szCs w:val="20"/>
        </w:rPr>
      </w:pPr>
    </w:p>
    <w:p w:rsidR="00073FEC" w:rsidRDefault="00DE437D" w:rsidP="00DE437D">
      <w:pPr>
        <w:jc w:val="center"/>
        <w:rPr>
          <w:rFonts w:ascii="Times New Roman" w:eastAsia="Calibri" w:hAnsi="Times New Roman" w:cs="Calibri"/>
          <w:b/>
          <w:bCs/>
          <w:noProof/>
          <w:sz w:val="24"/>
          <w:szCs w:val="20"/>
        </w:rPr>
      </w:pPr>
      <w:r w:rsidRPr="00DE437D">
        <w:rPr>
          <w:rFonts w:ascii="Times New Roman" w:eastAsia="Calibri" w:hAnsi="Times New Roman" w:cs="Calibri"/>
          <w:b/>
          <w:bCs/>
          <w:noProof/>
          <w:sz w:val="24"/>
          <w:szCs w:val="20"/>
          <w:lang w:bidi="ar-SA"/>
        </w:rPr>
        <w:drawing>
          <wp:inline distT="0" distB="0" distL="0" distR="0">
            <wp:extent cx="5762625" cy="6430423"/>
            <wp:effectExtent l="0" t="0" r="0"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625" cy="6430423"/>
                    </a:xfrm>
                    <a:prstGeom prst="rect">
                      <a:avLst/>
                    </a:prstGeom>
                    <a:noFill/>
                    <a:ln>
                      <a:noFill/>
                    </a:ln>
                  </pic:spPr>
                </pic:pic>
              </a:graphicData>
            </a:graphic>
          </wp:inline>
        </w:drawing>
      </w:r>
    </w:p>
    <w:p w:rsidR="00073FEC" w:rsidRDefault="00073FEC" w:rsidP="00073FEC">
      <w:pPr>
        <w:jc w:val="both"/>
        <w:rPr>
          <w:rFonts w:ascii="Times New Roman" w:eastAsia="Calibri" w:hAnsi="Times New Roman" w:cs="Calibri"/>
          <w:b/>
          <w:bCs/>
          <w:noProof/>
          <w:sz w:val="24"/>
          <w:szCs w:val="20"/>
        </w:rPr>
      </w:pPr>
    </w:p>
    <w:p w:rsidR="00073FEC" w:rsidRPr="001973D0" w:rsidRDefault="00073FEC" w:rsidP="00073FEC">
      <w:pPr>
        <w:pStyle w:val="Heading6"/>
        <w:jc w:val="both"/>
        <w:rPr>
          <w:rFonts w:ascii="Times New Roman" w:hAnsi="Times New Roman"/>
          <w:noProof/>
          <w:sz w:val="24"/>
        </w:rPr>
      </w:pPr>
      <w:r>
        <w:rPr>
          <w:rFonts w:ascii="Times New Roman" w:hAnsi="Times New Roman"/>
          <w:noProof/>
          <w:sz w:val="24"/>
        </w:rPr>
        <w:t>3. piemērs</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Valdība 1. gadā pasūta militāro kapitālieguldījumu preci, kuras vērtība ir 100, un tās piegādei ir nepieciešami četri gadi. Valdība maksā 10 naudas vienības katrā no pirmajiem trīs gadiem un atlikušo summu nomaksā piegādes brīdī 4. gadā. Pieņem, ka prece ir izmantojama uzreiz pēc piegādes. (Vienkāršības labad piegādātāja izmaksas netiek norādītas.)</w:t>
      </w:r>
    </w:p>
    <w:p w:rsidR="00073FEC" w:rsidRPr="001973D0" w:rsidRDefault="00073FEC" w:rsidP="00073FEC">
      <w:pPr>
        <w:jc w:val="both"/>
        <w:rPr>
          <w:rFonts w:ascii="Times New Roman" w:eastAsia="Arial" w:hAnsi="Times New Roman" w:cs="Arial"/>
          <w:noProof/>
          <w:sz w:val="24"/>
          <w:szCs w:val="20"/>
        </w:rPr>
      </w:pPr>
    </w:p>
    <w:p w:rsidR="00073FEC" w:rsidRPr="001973D0" w:rsidRDefault="00DE437D" w:rsidP="00073FEC">
      <w:pPr>
        <w:jc w:val="both"/>
        <w:rPr>
          <w:rFonts w:ascii="Times New Roman" w:eastAsia="Arial" w:hAnsi="Times New Roman" w:cs="Arial"/>
          <w:noProof/>
          <w:sz w:val="24"/>
          <w:szCs w:val="20"/>
        </w:rPr>
      </w:pPr>
      <w:r w:rsidRPr="00DE437D">
        <w:rPr>
          <w:rFonts w:ascii="Times New Roman" w:eastAsia="Arial" w:hAnsi="Times New Roman" w:cs="Arial"/>
          <w:noProof/>
          <w:sz w:val="24"/>
          <w:szCs w:val="20"/>
          <w:lang w:bidi="ar-SA"/>
        </w:rPr>
        <w:lastRenderedPageBreak/>
        <w:drawing>
          <wp:inline distT="0" distB="0" distL="0" distR="0">
            <wp:extent cx="5762625" cy="451716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4517160"/>
                    </a:xfrm>
                    <a:prstGeom prst="rect">
                      <a:avLst/>
                    </a:prstGeom>
                    <a:noFill/>
                    <a:ln>
                      <a:noFill/>
                    </a:ln>
                  </pic:spPr>
                </pic:pic>
              </a:graphicData>
            </a:graphic>
          </wp:inline>
        </w:drawing>
      </w:r>
    </w:p>
    <w:p w:rsidR="00073FEC" w:rsidRPr="001973D0" w:rsidRDefault="00073FEC" w:rsidP="00073FEC">
      <w:pPr>
        <w:jc w:val="both"/>
        <w:rPr>
          <w:rFonts w:ascii="Times New Roman" w:eastAsia="Times New Roman" w:hAnsi="Times New Roman" w:cs="Times New Roman"/>
          <w:noProof/>
          <w:sz w:val="24"/>
          <w:szCs w:val="20"/>
        </w:rPr>
      </w:pPr>
    </w:p>
    <w:p w:rsidR="00073FEC" w:rsidRDefault="00A35742" w:rsidP="00073FEC">
      <w:pPr>
        <w:jc w:val="both"/>
        <w:rPr>
          <w:rFonts w:ascii="Times New Roman" w:eastAsia="Times New Roman" w:hAnsi="Times New Roman" w:cs="Times New Roman"/>
          <w:noProof/>
          <w:sz w:val="24"/>
          <w:szCs w:val="20"/>
        </w:rPr>
      </w:pPr>
      <w:r w:rsidRPr="00A35742">
        <w:rPr>
          <w:rFonts w:ascii="Times New Roman" w:eastAsia="Times New Roman" w:hAnsi="Times New Roman" w:cs="Times New Roman"/>
          <w:noProof/>
          <w:sz w:val="24"/>
          <w:szCs w:val="20"/>
          <w:lang w:bidi="ar-SA"/>
        </w:rPr>
        <w:drawing>
          <wp:inline distT="0" distB="0" distL="0" distR="0">
            <wp:extent cx="5762625" cy="3120256"/>
            <wp:effectExtent l="0" t="0" r="0" b="444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2625" cy="3120256"/>
                    </a:xfrm>
                    <a:prstGeom prst="rect">
                      <a:avLst/>
                    </a:prstGeom>
                    <a:noFill/>
                    <a:ln>
                      <a:noFill/>
                    </a:ln>
                  </pic:spPr>
                </pic:pic>
              </a:graphicData>
            </a:graphic>
          </wp:inline>
        </w:drawing>
      </w:r>
    </w:p>
    <w:p w:rsidR="00073FEC" w:rsidRDefault="00073FEC" w:rsidP="00073FEC">
      <w:pPr>
        <w:jc w:val="both"/>
        <w:rPr>
          <w:rFonts w:ascii="Times New Roman" w:eastAsia="Times New Roman" w:hAnsi="Times New Roman" w:cs="Times New Roman"/>
          <w:noProof/>
          <w:sz w:val="24"/>
          <w:szCs w:val="20"/>
        </w:rPr>
      </w:pPr>
    </w:p>
    <w:p w:rsidR="00073FEC" w:rsidRPr="001973D0" w:rsidRDefault="00DE437D" w:rsidP="00073FEC">
      <w:pPr>
        <w:jc w:val="both"/>
        <w:rPr>
          <w:rFonts w:ascii="Times New Roman" w:eastAsia="Times New Roman" w:hAnsi="Times New Roman" w:cs="Times New Roman"/>
          <w:noProof/>
          <w:sz w:val="24"/>
          <w:szCs w:val="20"/>
        </w:rPr>
      </w:pPr>
      <w:r w:rsidRPr="00DE437D">
        <w:rPr>
          <w:rFonts w:ascii="Times New Roman" w:eastAsia="Times New Roman" w:hAnsi="Times New Roman" w:cs="Times New Roman"/>
          <w:noProof/>
          <w:sz w:val="24"/>
          <w:szCs w:val="20"/>
          <w:lang w:bidi="ar-SA"/>
        </w:rPr>
        <w:lastRenderedPageBreak/>
        <w:drawing>
          <wp:inline distT="0" distB="0" distL="0" distR="0">
            <wp:extent cx="5762625" cy="2141958"/>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2625" cy="2141958"/>
                    </a:xfrm>
                    <a:prstGeom prst="rect">
                      <a:avLst/>
                    </a:prstGeom>
                    <a:noFill/>
                    <a:ln>
                      <a:noFill/>
                    </a:ln>
                  </pic:spPr>
                </pic:pic>
              </a:graphicData>
            </a:graphic>
          </wp:inline>
        </w:drawing>
      </w:r>
    </w:p>
    <w:p w:rsidR="00073FEC" w:rsidRDefault="00073FEC" w:rsidP="00073FEC">
      <w:pPr>
        <w:jc w:val="both"/>
        <w:rPr>
          <w:rFonts w:ascii="Times New Roman" w:eastAsia="Times New Roman" w:hAnsi="Times New Roman" w:cs="Times New Roman"/>
          <w:noProof/>
          <w:sz w:val="24"/>
          <w:szCs w:val="20"/>
        </w:rPr>
      </w:pPr>
    </w:p>
    <w:p w:rsidR="00073FEC" w:rsidRDefault="00DE437D" w:rsidP="00073FEC">
      <w:pPr>
        <w:jc w:val="both"/>
        <w:rPr>
          <w:rFonts w:ascii="Times New Roman" w:eastAsia="Times New Roman" w:hAnsi="Times New Roman" w:cs="Times New Roman"/>
          <w:noProof/>
          <w:sz w:val="24"/>
          <w:szCs w:val="20"/>
        </w:rPr>
      </w:pPr>
      <w:r w:rsidRPr="00DE437D">
        <w:rPr>
          <w:rFonts w:ascii="Times New Roman" w:eastAsia="Times New Roman" w:hAnsi="Times New Roman" w:cs="Times New Roman"/>
          <w:noProof/>
          <w:sz w:val="24"/>
          <w:szCs w:val="20"/>
          <w:lang w:bidi="ar-SA"/>
        </w:rPr>
        <w:drawing>
          <wp:inline distT="0" distB="0" distL="0" distR="0">
            <wp:extent cx="5762625" cy="4840714"/>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2625" cy="4840714"/>
                    </a:xfrm>
                    <a:prstGeom prst="rect">
                      <a:avLst/>
                    </a:prstGeom>
                    <a:noFill/>
                    <a:ln>
                      <a:noFill/>
                    </a:ln>
                  </pic:spPr>
                </pic:pic>
              </a:graphicData>
            </a:graphic>
          </wp:inline>
        </w:drawing>
      </w:r>
    </w:p>
    <w:p w:rsidR="00073FEC" w:rsidRDefault="00073FEC" w:rsidP="00073FEC">
      <w:pPr>
        <w:jc w:val="both"/>
        <w:rPr>
          <w:rFonts w:ascii="Times New Roman" w:eastAsia="Times New Roman" w:hAnsi="Times New Roman" w:cs="Times New Roman"/>
          <w:noProof/>
          <w:sz w:val="24"/>
          <w:szCs w:val="20"/>
        </w:rPr>
      </w:pPr>
    </w:p>
    <w:p w:rsidR="00073FEC" w:rsidRPr="001973D0" w:rsidRDefault="00A35742" w:rsidP="00073FEC">
      <w:pPr>
        <w:jc w:val="both"/>
        <w:rPr>
          <w:rFonts w:ascii="Times New Roman" w:eastAsia="Times New Roman" w:hAnsi="Times New Roman" w:cs="Times New Roman"/>
          <w:noProof/>
          <w:sz w:val="24"/>
          <w:szCs w:val="20"/>
        </w:rPr>
      </w:pPr>
      <w:r w:rsidRPr="00A35742">
        <w:rPr>
          <w:rFonts w:ascii="Times New Roman" w:eastAsia="Times New Roman" w:hAnsi="Times New Roman" w:cs="Times New Roman"/>
          <w:noProof/>
          <w:sz w:val="24"/>
          <w:szCs w:val="20"/>
          <w:lang w:bidi="ar-SA"/>
        </w:rPr>
        <w:lastRenderedPageBreak/>
        <w:drawing>
          <wp:inline distT="0" distB="0" distL="0" distR="0">
            <wp:extent cx="5762625" cy="4319759"/>
            <wp:effectExtent l="0" t="0" r="0" b="508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2625" cy="4319759"/>
                    </a:xfrm>
                    <a:prstGeom prst="rect">
                      <a:avLst/>
                    </a:prstGeom>
                    <a:noFill/>
                    <a:ln>
                      <a:noFill/>
                    </a:ln>
                  </pic:spPr>
                </pic:pic>
              </a:graphicData>
            </a:graphic>
          </wp:inline>
        </w:drawing>
      </w:r>
    </w:p>
    <w:p w:rsidR="00073FEC" w:rsidRDefault="00073FEC" w:rsidP="00073FEC">
      <w:pPr>
        <w:rPr>
          <w:rFonts w:ascii="Times New Roman" w:eastAsia="Times New Roman" w:hAnsi="Times New Roman" w:cs="Times New Roman"/>
          <w:noProof/>
          <w:sz w:val="24"/>
          <w:szCs w:val="20"/>
        </w:rPr>
      </w:pPr>
      <w:r>
        <w:br w:type="page"/>
      </w:r>
    </w:p>
    <w:p w:rsidR="00073FEC" w:rsidRDefault="00073FEC" w:rsidP="00A35742">
      <w:pPr>
        <w:pStyle w:val="Heading2"/>
        <w:rPr>
          <w:noProof/>
        </w:rPr>
      </w:pPr>
      <w:bookmarkStart w:id="152" w:name="II.6__Grants_from_and_contributions_to_t"/>
      <w:bookmarkStart w:id="153" w:name="_bookmark17"/>
      <w:bookmarkStart w:id="154" w:name="_Toc471135881"/>
      <w:bookmarkEnd w:id="152"/>
      <w:bookmarkEnd w:id="153"/>
      <w:r>
        <w:rPr>
          <w:noProof/>
        </w:rPr>
        <w:lastRenderedPageBreak/>
        <w:t xml:space="preserve">II.6. Dotācijas no ES </w:t>
      </w:r>
      <w:r w:rsidRPr="00A35742">
        <w:t>budžeta</w:t>
      </w:r>
      <w:r>
        <w:rPr>
          <w:noProof/>
        </w:rPr>
        <w:t xml:space="preserve"> un iemaksas ES budžetā</w:t>
      </w:r>
      <w:bookmarkEnd w:id="154"/>
    </w:p>
    <w:p w:rsidR="00073FEC" w:rsidRPr="001973D0" w:rsidRDefault="00073FEC" w:rsidP="00073FEC">
      <w:pPr>
        <w:pStyle w:val="Heading2"/>
        <w:tabs>
          <w:tab w:val="left" w:pos="1622"/>
        </w:tabs>
        <w:jc w:val="both"/>
        <w:rPr>
          <w:noProof/>
          <w:sz w:val="24"/>
        </w:rPr>
      </w:pPr>
    </w:p>
    <w:p w:rsidR="00073FEC" w:rsidRPr="001973D0" w:rsidRDefault="00073FEC" w:rsidP="00073FEC">
      <w:pPr>
        <w:pStyle w:val="Heading4"/>
        <w:tabs>
          <w:tab w:val="left" w:pos="1612"/>
        </w:tabs>
        <w:ind w:left="0" w:firstLine="0"/>
        <w:jc w:val="both"/>
        <w:rPr>
          <w:rFonts w:ascii="Times New Roman" w:hAnsi="Times New Roman"/>
          <w:noProof/>
          <w:u w:val="thick" w:color="000000"/>
        </w:rPr>
      </w:pPr>
      <w:bookmarkStart w:id="155" w:name="II.6.1_Grants_from_the_EU_budget"/>
      <w:bookmarkEnd w:id="155"/>
      <w:r>
        <w:rPr>
          <w:rFonts w:ascii="Times New Roman" w:hAnsi="Times New Roman"/>
          <w:noProof/>
          <w:u w:val="none"/>
        </w:rPr>
        <w:t>II.6.1. </w:t>
      </w:r>
      <w:r>
        <w:rPr>
          <w:rFonts w:ascii="Times New Roman" w:hAnsi="Times New Roman"/>
          <w:noProof/>
          <w:u w:val="thick" w:color="000000"/>
        </w:rPr>
        <w:t>Dotācijas no ES budžeta</w:t>
      </w:r>
    </w:p>
    <w:p w:rsidR="00073FEC" w:rsidRPr="001973D0" w:rsidRDefault="00073FEC" w:rsidP="00073FEC">
      <w:pPr>
        <w:jc w:val="both"/>
        <w:rPr>
          <w:rFonts w:ascii="Times New Roman" w:eastAsia="Arial" w:hAnsi="Times New Roman" w:cs="Arial"/>
          <w:b/>
          <w:bCs/>
          <w:noProof/>
          <w:sz w:val="24"/>
          <w:szCs w:val="14"/>
        </w:rPr>
      </w:pPr>
    </w:p>
    <w:p w:rsidR="00073FEC" w:rsidRDefault="00073FEC" w:rsidP="00073FEC">
      <w:pPr>
        <w:pStyle w:val="Heading6"/>
        <w:tabs>
          <w:tab w:val="left" w:pos="1613"/>
        </w:tabs>
        <w:jc w:val="both"/>
        <w:rPr>
          <w:rFonts w:ascii="Times New Roman" w:hAnsi="Times New Roman"/>
          <w:noProof/>
          <w:sz w:val="24"/>
        </w:rPr>
      </w:pPr>
      <w:bookmarkStart w:id="156" w:name="II.6.1.1_Background"/>
      <w:bookmarkEnd w:id="156"/>
      <w:r>
        <w:rPr>
          <w:rFonts w:ascii="Times New Roman" w:hAnsi="Times New Roman"/>
          <w:noProof/>
          <w:sz w:val="24"/>
        </w:rPr>
        <w:t>II.6.1.1. Vispārēja informācija</w:t>
      </w:r>
    </w:p>
    <w:p w:rsidR="00073FEC" w:rsidRPr="001973D0" w:rsidRDefault="00073FEC" w:rsidP="00073FEC">
      <w:pPr>
        <w:pStyle w:val="Heading6"/>
        <w:tabs>
          <w:tab w:val="left" w:pos="1613"/>
        </w:tabs>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Eiropas iestādes veic ievērojamus pārskaitījumus dalībvalstīm no ES budžeta dažādiem kopējiem politiskiem mērķiem, galvenokārt kopējai lauksaimniecības politikai un struktūrfondiem. Šīs naudas plūsmas var būt ļoti dažādas, turpretim galasaņēmēji var būt valdības sektoram nepiederošas vienības (tas attiecas uz lielāko daļu pārskaitījumu, ko veic kopējās lauksaimniecības politikas mērķiem) vai arī valdības vienības (tas attiecas uz lielāko daļu pārskaitījumu, ko veic saistībā ar struktūrfondiem).</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Praksē pastāv divi galvenie ES dotāciju veidi, kuriem jāpievērš</w:t>
      </w:r>
      <w:r w:rsidR="00865E2A">
        <w:rPr>
          <w:rFonts w:ascii="Times New Roman" w:hAnsi="Times New Roman"/>
          <w:noProof/>
          <w:sz w:val="24"/>
        </w:rPr>
        <w:t xml:space="preserve"> īpaša uzmanība, tos ierakstot</w:t>
      </w:r>
      <w:r>
        <w:rPr>
          <w:rFonts w:ascii="Times New Roman" w:hAnsi="Times New Roman"/>
          <w:noProof/>
          <w:sz w:val="24"/>
        </w:rPr>
        <w:t xml:space="preserve"> nacionālajos kontos. Pirmkārt, ir dotācijas, kuras maksā no Eiropas Lauksaimniecības garantiju fonda (ELGF). Šīs galvenokārt ir subsīdijas, kuras tiek izmaksātas valdības sektoram nepiederošām vienībām kā galasaņēmējām. Otrkārt, ir dotācijas, kuras izmaksā saistībā ar kohēzijas politiku no struktūrfondiem (un Eiropas Lauksaimniecības fonda lauku attīstībai (ELFLA), Zivsaimniecības vadības finansēšanas instrumenta (ZVFI), Eiropas Sociālā fonda (ESF) un Eiropas Reģionālās attīstības fonda (ERAF)) un Kohēzijas fonda. Tie galvenokārt ir kārtējie pārskaitījumi vai kapitāla pārvedumi, ko saņem gan valdības vienības, gan valdības sektoram nepiederošas vienības. Eiropas iestāžu kārtējā budžetā ir iekļauti arī citi izdevumi. Aizvien lielāka daļa šādu izdevumu tiek par</w:t>
      </w:r>
      <w:r w:rsidR="007A3F57">
        <w:rPr>
          <w:rFonts w:ascii="Times New Roman" w:hAnsi="Times New Roman"/>
          <w:noProof/>
          <w:sz w:val="24"/>
        </w:rPr>
        <w:t>edzēta pētniecības un izstrādes</w:t>
      </w:r>
      <w:r>
        <w:rPr>
          <w:rFonts w:ascii="Times New Roman" w:hAnsi="Times New Roman"/>
          <w:noProof/>
          <w:sz w:val="24"/>
        </w:rPr>
        <w:t xml:space="preserve"> atbalstam ES. Parasti šo maksājumu saņēmēji ir valdības sektoram nepiederošas vienības, taču dažos gadījumos tās var arī būt valdības vienības, piemēram, valsts augstskolas.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Papildus iepriekš minētajam ir būtiski norādīt vēl trīs svarīgus dotāciju veidus: Šengenas konvencijas finanšu programma, Pārejas instruments un Naudas plūsmas instruments, no kuriem sniedz pagaidu finanšu palīdzību dalībvalstīm, kas ir nesen pievienojušās ES. Šengenas konvencijas finanšu programmas un pārejas instrumentu gadījumā ES nosaka pasākumus, kuriem ES dalībvalstis var izmantot šo instrumentu finansējumu. Šie pasākumi skar dažādas ES kopīgās politikas jomas un iniciatīvas (piemēram, Šengenas zonu, muitas savienību, kā arī kopējās lauksaimniecības politikas valsts pārvaldes struktūras), tāpēc šajā nodaļā izklāstītie noteikumi attiecas arī uz šiem diviem instrumentiem. Savukārt Naudas plūsmas instrumenta līdzekļus ES piešķir bez nosacījumiem, nenorādot jomas, kurās šos līdzekļus drīkst tērēt. Eiropas iestādes neuzrauga, kā saņēmējas dalībvalstis izmanto šos naudas līdzekļus. ES nav arī tiesību apturēt savus ikmēneša maksājumus vai pieprasīt atmaksāt ES budžetā jebkādas summas, tādējādi Naudas plūsmas instrumenta līdzekļiem drīzāk ir kārtējo pārskaitījumu pazīmes starptautiskās sadarbības kontekstā, kā ir definēts EKS 2010 4.121.–4.124. punktā.</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Pārskaitījumi ir sadales darījumu veids, kuros bieži ir iesaistītas tikai divas puses – maksātājs un saņēmējs. Taču gadījumā, ja pārskaitījumus veic Eiropas iestādes, praksē tajos var būt iesaistītas trīs vai pat vairāk puses. Papildus jānorāda, ka parasti šādi maksājumi tiek nodoti ar valdības starpniecību pat tad, ja galasaņēmēji ir valdības sektoram nepiederošas vienības (parasti saistībā ar līdzfinansēšanas procedūru, kad Eiropas iestādes atbalsta valdības ieguldījumu pasākumus, taču neaizstāj tos).</w:t>
      </w:r>
    </w:p>
    <w:p w:rsidR="00073FEC" w:rsidRPr="00A146D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Praktiski Eiropas iestādes veic maksājumus galasaņēmējiem, pamatojoties uz informāciju, kuru tās saņem no valstu valdībām. Lielākā daļa maksājumu tiek virzīti caur valdību kontiem (atsevišķi izņēmumi pastāv tikai ar lauksaimniecības politiku saistīto maksājumu gadījumā), pat ja šajā gadījumā valstu valdības netiek iesaistītas tajā </w:t>
      </w:r>
      <w:r>
        <w:rPr>
          <w:rFonts w:ascii="Times New Roman" w:hAnsi="Times New Roman"/>
          <w:noProof/>
          <w:sz w:val="24"/>
        </w:rPr>
        <w:lastRenderedPageBreak/>
        <w:t>ekonomiskajā lēmumā, kurš nosaka ES maksājumu. Tas, ka naudas pārskaitījumi no ES fondiem nonāk īpašos kontos, kurus šajās valstīs pārvalda valdības vienības, protams, ir jāuzskata par pozitīvu faktoru saistībā ar tās informācijas pieejamību, kas ir nepieciešama nacionālo kontu speciālistiem. Dažās valstīs visiem maksājumiem, ko ES dalībvalsts veic Eiropas institūcijām, un maksājumiem, ko Eiropas iestādes veic ES dalībvalstij, var būt izmantots tikai vienu konts. Šādos gadījumos ir pareizi jānovērtē no ES ienākošo plūsmu (piemēram, avansa maksājumi daudzgadu programmas sākumā) ietekme uz neto aizdevumu/aizņēmumu (B.9).</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Neatkarīgi no jautājumiem, kas rodas sakarā ar atšķirību starp datu avotiem (ES budžets, maksājumu bilance), kuriem ir nepieciešama īpaša izpēte laikā, kad tiek apkopoti dati nacionālajos kontos, ir jāizskata divi svarīgi jau</w:t>
      </w:r>
      <w:r w:rsidR="00865E2A">
        <w:rPr>
          <w:rFonts w:ascii="Times New Roman" w:hAnsi="Times New Roman"/>
          <w:noProof/>
          <w:sz w:val="24"/>
        </w:rPr>
        <w:t>tājumi – pirmkārt, ierakstīšanas</w:t>
      </w:r>
      <w:r>
        <w:rPr>
          <w:rFonts w:ascii="Times New Roman" w:hAnsi="Times New Roman"/>
          <w:noProof/>
          <w:sz w:val="24"/>
        </w:rPr>
        <w:t xml:space="preserve"> laiks, un, otrkārt, konkrēta darījuma klasificēšana nacionālajos kontos.</w:t>
      </w:r>
    </w:p>
    <w:p w:rsidR="00073FEC"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Darījumu nacionālajos kontos var klasificēt vienā no turpmāk minētajām formām vai kā šādu darījumu apvienojumu:</w:t>
      </w:r>
    </w:p>
    <w:p w:rsidR="00073FEC" w:rsidRPr="001973D0" w:rsidRDefault="00073FEC" w:rsidP="00073FEC">
      <w:pPr>
        <w:pStyle w:val="BodyText"/>
        <w:tabs>
          <w:tab w:val="left" w:pos="124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3"/>
        </w:numPr>
        <w:tabs>
          <w:tab w:val="left" w:pos="1602"/>
        </w:tabs>
        <w:spacing w:before="0"/>
        <w:ind w:left="1134" w:hanging="425"/>
        <w:jc w:val="both"/>
        <w:rPr>
          <w:rFonts w:ascii="Times New Roman" w:hAnsi="Times New Roman"/>
          <w:noProof/>
          <w:sz w:val="24"/>
        </w:rPr>
      </w:pPr>
      <w:r>
        <w:rPr>
          <w:rFonts w:ascii="Times New Roman" w:hAnsi="Times New Roman"/>
          <w:noProof/>
          <w:sz w:val="24"/>
        </w:rPr>
        <w:t>subsīdijas (D.3);</w:t>
      </w:r>
    </w:p>
    <w:p w:rsidR="00073FEC" w:rsidRPr="001973D0" w:rsidRDefault="00073FEC" w:rsidP="00073FEC">
      <w:pPr>
        <w:pStyle w:val="BodyText"/>
        <w:numPr>
          <w:ilvl w:val="1"/>
          <w:numId w:val="3"/>
        </w:numPr>
        <w:tabs>
          <w:tab w:val="left" w:pos="1602"/>
        </w:tabs>
        <w:spacing w:before="0"/>
        <w:ind w:left="1134" w:hanging="425"/>
        <w:jc w:val="both"/>
        <w:rPr>
          <w:rFonts w:ascii="Times New Roman" w:hAnsi="Times New Roman"/>
          <w:noProof/>
          <w:sz w:val="24"/>
        </w:rPr>
      </w:pPr>
      <w:r>
        <w:rPr>
          <w:rFonts w:ascii="Times New Roman" w:hAnsi="Times New Roman"/>
          <w:noProof/>
          <w:sz w:val="24"/>
        </w:rPr>
        <w:t>citi kārtējie pārvedumi (D.7);</w:t>
      </w:r>
    </w:p>
    <w:p w:rsidR="00073FEC" w:rsidRDefault="00073FEC" w:rsidP="00073FEC">
      <w:pPr>
        <w:pStyle w:val="BodyText"/>
        <w:numPr>
          <w:ilvl w:val="1"/>
          <w:numId w:val="3"/>
        </w:numPr>
        <w:tabs>
          <w:tab w:val="left" w:pos="1602"/>
        </w:tabs>
        <w:spacing w:before="0"/>
        <w:ind w:left="1134" w:hanging="425"/>
        <w:jc w:val="both"/>
        <w:rPr>
          <w:rFonts w:ascii="Times New Roman" w:hAnsi="Times New Roman"/>
          <w:noProof/>
          <w:sz w:val="24"/>
        </w:rPr>
      </w:pPr>
      <w:r>
        <w:rPr>
          <w:rFonts w:ascii="Times New Roman" w:hAnsi="Times New Roman"/>
          <w:noProof/>
          <w:sz w:val="24"/>
        </w:rPr>
        <w:t>kapitāla pārvedumi (D.9).</w:t>
      </w:r>
    </w:p>
    <w:p w:rsidR="00073FEC" w:rsidRPr="001973D0" w:rsidRDefault="00073FEC" w:rsidP="00073FEC">
      <w:pPr>
        <w:pStyle w:val="BodyText"/>
        <w:tabs>
          <w:tab w:val="left" w:pos="1602"/>
        </w:tabs>
        <w:spacing w:before="0"/>
        <w:ind w:left="709" w:hanging="709"/>
        <w:jc w:val="both"/>
        <w:rPr>
          <w:rFonts w:ascii="Times New Roman" w:hAnsi="Times New Roman"/>
          <w:noProof/>
          <w:sz w:val="24"/>
        </w:rPr>
      </w:pP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Tā kā šāda klasifikācija var ietekmēt dažus kopsavilkuma rādītājus vai bilances posteņus nacionālajos kontos (bet ne neto aizņēmumu/aizdevumu (B.9), kas ir izšķiroši saistībā ar </w:t>
      </w:r>
      <w:r>
        <w:rPr>
          <w:rFonts w:ascii="Times New Roman" w:hAnsi="Times New Roman"/>
          <w:i/>
          <w:noProof/>
          <w:sz w:val="24"/>
        </w:rPr>
        <w:t>EDP</w:t>
      </w:r>
      <w:r>
        <w:rPr>
          <w:rFonts w:ascii="Times New Roman" w:hAnsi="Times New Roman"/>
          <w:noProof/>
          <w:sz w:val="24"/>
        </w:rPr>
        <w:t>), līdzīgi darījumi būtu jāklasificē tajās pašās (iepriekš minētajās) EKS 2010 kategorijās, lai nodrošinātu salīdzināmību. Šajā nodaļā nav sniegtas norādes par šādu darījumu klasifikāciju.</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Noteikumi attiecībā uz ES budžetu ir diezgan sarežģīti un ievērojami atšķiras lauksaimniecības maksājumu gadījumā (kas galvenokārt ir subsīdijas) un struktūrfondu kohēzijas politikas maksājumu gadījumā (kas galvenokārt ir kārtējie vai kapitāla pārvedumi), tostarp pastāv arī iepriekšējie maksājumi, starpposma maksājumi un gala maksājumi, un šos maksājumus, kā jau iepriekš minēts, nereti veic nevis galasaņēmējam, bet gan valdības aģentūrai, kura pēc tam veic maksājumu galasaņēmējam.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Kohēzijas politikas maksājumus piešķir atbilstoši septiņus gadus ilgiem plānošanas periodiem. Tiklīdz ir pieņemtas obligātās valsts programmas, ES dalībvalstis saņem avansa maksājumus par visu periodu. Plānošanas perioda laikā Eiropas iestādes veic starpposma maksājumus, lai atlīdzinātu ES dalībvalstu apliecinātos faktiskos izdevumus līdz pat 95 % (tostarp avansa maksājumu plānošanas perioda sākumā). Atlikumu 5 % apmērā samaksā programmas slēgšanas brīdī, tiklīdz iestādēm ir iesniegti un apstiprināti visi dokumenti.</w:t>
      </w:r>
    </w:p>
    <w:p w:rsidR="00073FEC" w:rsidRPr="001973D0" w:rsidRDefault="00865E2A"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Pastāv jautājums par ierakstīšanas</w:t>
      </w:r>
      <w:r w:rsidR="00073FEC">
        <w:rPr>
          <w:rFonts w:ascii="Times New Roman" w:hAnsi="Times New Roman"/>
          <w:noProof/>
          <w:sz w:val="24"/>
        </w:rPr>
        <w:t xml:space="preserve"> laiku, kas var tieši ietekmēt neto aizdevumu/aizņēmumu (B.9). Tiklīdz galasaņēmējam ir radušies izdevumi (parasti ar ļoti nelielu aizkavēšanos), pārvaldības iestāde nosūta Eiropas iestādei visus attiecīgos dokumentus, lai nodrošinātu atbilstošās (un likumīgās) summas atmaksāšanu. Eiropas iestādes apstiprina un veic maksājumus saņēmējiem tikai pēc tam, kad, pamatojoties uz saņemtajiem apliecinošajiem dokumentiem, ir pārbaudījušas atbilstību noteikumiem un nosacījumiem, par kuriem panākta vienošanās. Parasti no apliecinošo dokumentu saņemšanas brīža līdz maksājuma apstiprināšanai aizrit ne vairāk par diviem mēnešiem.</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Šādos apstākļos katra gada beigās tiek novērotas neatbilstības (galvenokārt administratīvo kavējumu dēļ), un ir bijuši arī gadījumi, kuros E</w:t>
      </w:r>
      <w:r w:rsidR="006069A6">
        <w:rPr>
          <w:rFonts w:ascii="Times New Roman" w:hAnsi="Times New Roman"/>
          <w:noProof/>
          <w:sz w:val="24"/>
        </w:rPr>
        <w:t>S pārskaitījums ir ticis atteikts vai</w:t>
      </w:r>
      <w:r>
        <w:rPr>
          <w:rFonts w:ascii="Times New Roman" w:hAnsi="Times New Roman"/>
          <w:noProof/>
          <w:sz w:val="24"/>
        </w:rPr>
        <w:t xml:space="preserve"> atcelts, piemēram, krāpšan</w:t>
      </w:r>
      <w:r w:rsidR="006069A6">
        <w:rPr>
          <w:rFonts w:ascii="Times New Roman" w:hAnsi="Times New Roman"/>
          <w:noProof/>
          <w:sz w:val="24"/>
        </w:rPr>
        <w:t>as gadījumā. Maksājumus atsaka</w:t>
      </w:r>
      <w:r>
        <w:rPr>
          <w:rFonts w:ascii="Times New Roman" w:hAnsi="Times New Roman"/>
          <w:noProof/>
          <w:sz w:val="24"/>
        </w:rPr>
        <w:t xml:space="preserve">, ja valdība ir izmaksājusi subsīdijas vai veikusi citus pārskaitījumus ES vārdā, taču pēc veiktās revīzijas ES neapstiprina daļu izdevumu vai visus izdevumus un atsakās atmaksāt </w:t>
      </w:r>
      <w:r>
        <w:rPr>
          <w:rFonts w:ascii="Times New Roman" w:hAnsi="Times New Roman"/>
          <w:noProof/>
          <w:sz w:val="24"/>
        </w:rPr>
        <w:lastRenderedPageBreak/>
        <w:t>vismaz daļu no tiem.</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Daži šo ES dotāciju maksājumu aspekti var ievērojami ietekmēt valdības neto aizdevumu/aizņēmumu (B.9). Var rasties situācija, kad valdības izmaksā lauksaimniecības subsīdijas avansā (piemēram, </w:t>
      </w:r>
      <w:r>
        <w:rPr>
          <w:rFonts w:ascii="Times New Roman" w:hAnsi="Times New Roman"/>
          <w:i/>
          <w:noProof/>
          <w:sz w:val="24"/>
        </w:rPr>
        <w:t>t</w:t>
      </w:r>
      <w:r>
        <w:rPr>
          <w:rFonts w:ascii="Times New Roman" w:hAnsi="Times New Roman"/>
          <w:noProof/>
          <w:sz w:val="24"/>
        </w:rPr>
        <w:t xml:space="preserve"> gada septembrī), kamēr to atmaksa no Eiropas Lauksaimniecības garantiju fonda (ELGF) tiek veikta tikai vēlāk (piemēram, </w:t>
      </w:r>
      <w:r>
        <w:rPr>
          <w:rFonts w:ascii="Times New Roman" w:hAnsi="Times New Roman"/>
          <w:i/>
          <w:noProof/>
          <w:sz w:val="24"/>
        </w:rPr>
        <w:t>t+1</w:t>
      </w:r>
      <w:r>
        <w:rPr>
          <w:rFonts w:ascii="Times New Roman" w:hAnsi="Times New Roman"/>
          <w:noProof/>
          <w:sz w:val="24"/>
        </w:rPr>
        <w:t> gada janvārī). Līdzīgi arī no struktūrfondiem var veikt priekšmaksājumus valdībām programmas perioda sākumā.</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Šajā nodaļā sniegti norādījumi par ES dot</w:t>
      </w:r>
      <w:r w:rsidR="006069A6">
        <w:rPr>
          <w:rFonts w:ascii="Times New Roman" w:hAnsi="Times New Roman"/>
          <w:noProof/>
          <w:sz w:val="24"/>
        </w:rPr>
        <w:t>āciju vienveidīgu ierakstīšanu</w:t>
      </w:r>
      <w:r>
        <w:rPr>
          <w:rFonts w:ascii="Times New Roman" w:hAnsi="Times New Roman"/>
          <w:noProof/>
          <w:sz w:val="24"/>
        </w:rPr>
        <w:t xml:space="preserve"> ES dalībvalstīs un ar ES saistīto plūsmu ietekmes uz laiku neitralizēšanu. Tā kā valdība, pārskaitot dotācijas galasaņēmējiem, rīkojas kā Eiropas iestāžu deleģēta pārstāve, tad tas, kāda metode tiks izmantota, ietekmē ne tikai pārējās pasaules sektora kontu, bet arī valdības kontu.</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Attiecīgie nor</w:t>
      </w:r>
      <w:r w:rsidR="006069A6">
        <w:rPr>
          <w:rFonts w:ascii="Times New Roman" w:hAnsi="Times New Roman"/>
          <w:noProof/>
          <w:sz w:val="24"/>
        </w:rPr>
        <w:t>ādījumi par to, kā ierakstāmas</w:t>
      </w:r>
      <w:r>
        <w:rPr>
          <w:rFonts w:ascii="Times New Roman" w:hAnsi="Times New Roman"/>
          <w:noProof/>
          <w:sz w:val="24"/>
        </w:rPr>
        <w:t xml:space="preserve"> tirgu regulējošo institūciju krājumu pārmaiņas, ir sniegti I.4. nodaļā “Tirgu regulējošās institūcijas lauksaimniecības nozarē”, tāpēc šajā nodaļā šis jautājums netiek analizēts.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Visbeidzot, šajā nodaļā ir aplūkots jautājums par dalībvalstu iemaksām ES budžetā (sk. II.6.2. iedaļu).</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1613"/>
        </w:tabs>
        <w:jc w:val="both"/>
        <w:rPr>
          <w:rFonts w:ascii="Times New Roman" w:hAnsi="Times New Roman"/>
          <w:noProof/>
          <w:sz w:val="24"/>
        </w:rPr>
      </w:pPr>
      <w:bookmarkStart w:id="157" w:name="II.6.1.2_Treatment_in_national_accounts"/>
      <w:bookmarkEnd w:id="157"/>
      <w:r>
        <w:rPr>
          <w:rFonts w:ascii="Times New Roman" w:hAnsi="Times New Roman"/>
          <w:noProof/>
          <w:sz w:val="24"/>
        </w:rPr>
        <w:t>II.6.1.2. Traktējums nacionālajos kontos</w:t>
      </w:r>
    </w:p>
    <w:p w:rsidR="00073FEC" w:rsidRDefault="00073FEC" w:rsidP="00073FEC">
      <w:pPr>
        <w:pStyle w:val="Heading6"/>
        <w:tabs>
          <w:tab w:val="left" w:pos="1613"/>
        </w:tabs>
        <w:jc w:val="both"/>
        <w:rPr>
          <w:rFonts w:ascii="Times New Roman" w:hAnsi="Times New Roman"/>
          <w:noProof/>
          <w:sz w:val="24"/>
        </w:rPr>
      </w:pPr>
    </w:p>
    <w:p w:rsidR="00073FEC" w:rsidRDefault="00073FEC" w:rsidP="00073FEC">
      <w:pPr>
        <w:pStyle w:val="Heading6"/>
        <w:tabs>
          <w:tab w:val="left" w:pos="1613"/>
        </w:tabs>
        <w:jc w:val="both"/>
        <w:rPr>
          <w:rFonts w:ascii="Times New Roman" w:hAnsi="Times New Roman"/>
          <w:noProof/>
          <w:sz w:val="24"/>
        </w:rPr>
      </w:pPr>
      <w:r>
        <w:rPr>
          <w:rFonts w:ascii="Times New Roman" w:hAnsi="Times New Roman"/>
          <w:noProof/>
          <w:sz w:val="24"/>
        </w:rPr>
        <w:t>Vispārējs noteikums</w:t>
      </w:r>
    </w:p>
    <w:p w:rsidR="00073FEC" w:rsidRPr="001973D0" w:rsidRDefault="00073FEC" w:rsidP="00073FEC">
      <w:pPr>
        <w:pStyle w:val="Heading6"/>
        <w:tabs>
          <w:tab w:val="left" w:pos="1613"/>
        </w:tabs>
        <w:jc w:val="both"/>
        <w:rPr>
          <w:rFonts w:ascii="Times New Roman" w:hAnsi="Times New Roman"/>
          <w:noProof/>
          <w:sz w:val="24"/>
        </w:rPr>
      </w:pPr>
    </w:p>
    <w:p w:rsidR="00073FEC" w:rsidRPr="00A146D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Vispārējs princips paredz, ka ES pārskaitījumi to veikšanas brīdī nekādi neietekmē valdības neto aizdevumu/aizņēmumu (B.9). Proti, iespējamā laika nobīde starp ieņēmumu un izdevumu plūsmām vai šo darījumu finansējumā neizraisa vispārējās valdības neto aizdevuma/aizņēmuma (B.9) stāvokļa uzlabošanos vai pasliktināšanos nacionālajos kontos.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Traktējums nacionālajos kontos ir atkarīgs no šo ES dotāciju galasaņēmēja (proti, no vienības, kas veic darbību, attiecībā uz kuru var piešķirt ES dotāciju). Dotācijas, kuras valdības vienība saņem kā galasaņēmēja, traktē atšķirīgi no dotācijām, kuru galasaņēmējs ir valdības sektoram nepiederoša vienība.</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58" w:name="II.6.1.2.1_The_beneficiary_of_the_EU_gra"/>
      <w:bookmarkEnd w:id="158"/>
      <w:r>
        <w:rPr>
          <w:rFonts w:ascii="Times New Roman" w:hAnsi="Times New Roman"/>
          <w:noProof/>
          <w:sz w:val="24"/>
        </w:rPr>
        <w:t>II.6.2.1. ES dotāciju saņēmējs nav valdības vienība. Vispārējs noteikums</w:t>
      </w:r>
    </w:p>
    <w:p w:rsidR="00073FEC" w:rsidRPr="001973D0" w:rsidRDefault="00073FEC" w:rsidP="00073FEC">
      <w:pPr>
        <w:pStyle w:val="Heading6"/>
        <w:tabs>
          <w:tab w:val="left" w:pos="2036"/>
        </w:tabs>
        <w:jc w:val="both"/>
        <w:rPr>
          <w:rFonts w:ascii="Times New Roman" w:hAnsi="Times New Roman"/>
          <w:noProof/>
          <w:sz w:val="24"/>
        </w:rPr>
      </w:pPr>
    </w:p>
    <w:p w:rsidR="00073FEC" w:rsidRPr="00A146D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Gadījumā, ja galasaņēmēja nav</w:t>
      </w:r>
      <w:r w:rsidR="006069A6">
        <w:rPr>
          <w:rFonts w:ascii="Times New Roman" w:hAnsi="Times New Roman"/>
          <w:noProof/>
          <w:sz w:val="24"/>
        </w:rPr>
        <w:t xml:space="preserve"> valdība, pārskaitījumu ieraksta</w:t>
      </w:r>
      <w:r>
        <w:rPr>
          <w:rFonts w:ascii="Times New Roman" w:hAnsi="Times New Roman"/>
          <w:noProof/>
          <w:sz w:val="24"/>
        </w:rPr>
        <w:t xml:space="preserve"> galasaņēmēja kontos saskaņā ar EKS 2010 noteikumiem, </w:t>
      </w:r>
      <w:r w:rsidR="006069A6">
        <w:rPr>
          <w:rFonts w:ascii="Times New Roman" w:hAnsi="Times New Roman"/>
          <w:noProof/>
          <w:sz w:val="24"/>
        </w:rPr>
        <w:t>bet saistītos darījumus ieraksta</w:t>
      </w:r>
      <w:r>
        <w:rPr>
          <w:rFonts w:ascii="Times New Roman" w:hAnsi="Times New Roman"/>
          <w:noProof/>
          <w:sz w:val="24"/>
        </w:rPr>
        <w:t xml:space="preserve"> tikai vispārējās valdības finanšu kontos bez jebkādas ietekmes uz valdības neto aizdevumu/aizņēmumu (B.9).</w:t>
      </w:r>
    </w:p>
    <w:p w:rsidR="00073FEC" w:rsidRPr="00A146D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Nacionālajos kontos</w:t>
      </w:r>
      <w:r w:rsidR="006069A6">
        <w:rPr>
          <w:rFonts w:ascii="Times New Roman" w:hAnsi="Times New Roman"/>
          <w:noProof/>
          <w:sz w:val="24"/>
        </w:rPr>
        <w:t xml:space="preserve"> šie pārskaitījumi ir jāieraksta</w:t>
      </w:r>
      <w:r>
        <w:rPr>
          <w:rFonts w:ascii="Times New Roman" w:hAnsi="Times New Roman"/>
          <w:noProof/>
          <w:sz w:val="24"/>
        </w:rPr>
        <w:t xml:space="preserve"> kā sadales darījumi tieši starp Eiropas iestādēm (izlietojums) un valdības sektoram nepiederošiem saņēmējiem (resursi). Subsīdij</w:t>
      </w:r>
      <w:r w:rsidR="006069A6">
        <w:rPr>
          <w:rFonts w:ascii="Times New Roman" w:hAnsi="Times New Roman"/>
          <w:noProof/>
          <w:sz w:val="24"/>
        </w:rPr>
        <w:t>u (D.3) gadījumā summas ieraksta</w:t>
      </w:r>
      <w:r>
        <w:rPr>
          <w:rFonts w:ascii="Times New Roman" w:hAnsi="Times New Roman"/>
          <w:noProof/>
          <w:sz w:val="24"/>
        </w:rPr>
        <w:t xml:space="preserve"> tajā uzskaites periodā, kad notiek darījums vai notikums (ražošana, pārdošana, ievešana utt.), kurš tiek izmantots par pamatu subsīdijai. Tas ir vispārējs noteikums (EKS 2010 4.39. punkts), kas jāievēro, ciktāl tas vien ir iespējams. Taču atsevišķos ļoti īpašos izņēmuma gadījumos var būt sarežģīti iegūt informāciju par precīzu periodu, kurā attiecīgā saimnieciskā darbība ir notikusi. Ir vispārpieņemts, k</w:t>
      </w:r>
      <w:r w:rsidR="006069A6">
        <w:rPr>
          <w:rFonts w:ascii="Times New Roman" w:hAnsi="Times New Roman"/>
          <w:noProof/>
          <w:sz w:val="24"/>
        </w:rPr>
        <w:t>a ierakstīšanā</w:t>
      </w:r>
      <w:r>
        <w:rPr>
          <w:rFonts w:ascii="Times New Roman" w:hAnsi="Times New Roman"/>
          <w:noProof/>
          <w:sz w:val="24"/>
        </w:rPr>
        <w:t>, ko veic atbilstoši uzkrāšanas principam, par aizstājējperiodu var uzskatīt laiku, kad tiek veikts naudas maksājums (vai nu no Eiropas iestādēm, vai arī no valdības avansa veidā, sk. turpmāk). Tomēr statistikas iestādēm jādara viss iespējamais, lai iegūtu atbilstošu informāciju vai piemērotas aplēses metodes attiecībā uz lielāko daļu darījumu, kuros laika nobīde starp saimniecisko darbību un maksājumu var būt par iemeslu nepareizam atspoguļojumam valdības bilancē.</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lastRenderedPageBreak/>
        <w:t>Citu kārtējo pārvedumu (D.7)</w:t>
      </w:r>
      <w:r w:rsidR="006069A6">
        <w:rPr>
          <w:rFonts w:ascii="Times New Roman" w:hAnsi="Times New Roman"/>
          <w:noProof/>
          <w:sz w:val="24"/>
        </w:rPr>
        <w:t xml:space="preserve"> gadījumā summas ieraksta</w:t>
      </w:r>
      <w:r>
        <w:rPr>
          <w:rFonts w:ascii="Times New Roman" w:hAnsi="Times New Roman"/>
          <w:noProof/>
          <w:sz w:val="24"/>
        </w:rPr>
        <w:t xml:space="preserve"> tajā pārskata periodā, kurā rodas maksājuma saistības (EKS 2010 4.123. punkts “ieraksta tad, kad spēkā esošais regulējums paredz veikt pārvedumus obligāto pārvedumu gadījumā vai kad veic pārvedumus brīvprātīgo pārvedumu gadījumā”).</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pārvedumu (ieguldījumu dotācij</w:t>
      </w:r>
      <w:r w:rsidR="006069A6">
        <w:rPr>
          <w:rFonts w:ascii="Times New Roman" w:hAnsi="Times New Roman"/>
          <w:noProof/>
          <w:sz w:val="24"/>
        </w:rPr>
        <w:t>as D.9) gadījumā summas ieraksta</w:t>
      </w:r>
      <w:r>
        <w:rPr>
          <w:rFonts w:ascii="Times New Roman" w:hAnsi="Times New Roman"/>
          <w:noProof/>
          <w:sz w:val="24"/>
        </w:rPr>
        <w:t xml:space="preserve"> periodā, kad “jāveic maksājums” (EKS 2010 4.162. punkts).</w:t>
      </w:r>
    </w:p>
    <w:p w:rsidR="00073FEC" w:rsidRPr="00083F9A"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Piemēram, Eiropas iestādes noteiktajā termiņā </w:t>
      </w:r>
      <w:r>
        <w:rPr>
          <w:rFonts w:ascii="Times New Roman" w:hAnsi="Times New Roman"/>
          <w:i/>
          <w:noProof/>
          <w:sz w:val="24"/>
        </w:rPr>
        <w:t>t+1</w:t>
      </w:r>
      <w:r>
        <w:rPr>
          <w:rFonts w:ascii="Times New Roman" w:hAnsi="Times New Roman"/>
          <w:noProof/>
          <w:sz w:val="24"/>
        </w:rPr>
        <w:t xml:space="preserve"> gada februārī veic maksājumu valdības sektoram nepiederošai vienībai par </w:t>
      </w:r>
      <w:r>
        <w:rPr>
          <w:rFonts w:ascii="Times New Roman" w:hAnsi="Times New Roman"/>
          <w:i/>
          <w:noProof/>
          <w:sz w:val="24"/>
        </w:rPr>
        <w:t>t </w:t>
      </w:r>
      <w:r>
        <w:rPr>
          <w:rFonts w:ascii="Times New Roman" w:hAnsi="Times New Roman"/>
          <w:noProof/>
          <w:sz w:val="24"/>
        </w:rPr>
        <w:t>gada ceturto ceturksni. Ja šis maksā</w:t>
      </w:r>
      <w:r w:rsidR="006069A6">
        <w:rPr>
          <w:rFonts w:ascii="Times New Roman" w:hAnsi="Times New Roman"/>
          <w:noProof/>
          <w:sz w:val="24"/>
        </w:rPr>
        <w:t>jums ir subsīdija, tā jāieraksta</w:t>
      </w:r>
      <w:r>
        <w:rPr>
          <w:rFonts w:ascii="Times New Roman" w:hAnsi="Times New Roman"/>
          <w:noProof/>
          <w:sz w:val="24"/>
        </w:rPr>
        <w:t xml:space="preserve"> </w:t>
      </w:r>
      <w:r>
        <w:rPr>
          <w:rFonts w:ascii="Times New Roman" w:hAnsi="Times New Roman"/>
          <w:i/>
          <w:noProof/>
          <w:sz w:val="24"/>
        </w:rPr>
        <w:t>t</w:t>
      </w:r>
      <w:r>
        <w:rPr>
          <w:rFonts w:ascii="Times New Roman" w:hAnsi="Times New Roman"/>
          <w:noProof/>
          <w:sz w:val="24"/>
        </w:rPr>
        <w:t> gada kontos kā valdības sektoram nepiederošas vienības resurss, kuru izmanto pārējās pasaules kontiem. Ja tas ir kapit</w:t>
      </w:r>
      <w:r w:rsidR="006069A6">
        <w:rPr>
          <w:rFonts w:ascii="Times New Roman" w:hAnsi="Times New Roman"/>
          <w:noProof/>
          <w:sz w:val="24"/>
        </w:rPr>
        <w:t>āla pārvedums, tas ir jāieraksta</w:t>
      </w:r>
      <w:r>
        <w:rPr>
          <w:rFonts w:ascii="Times New Roman" w:hAnsi="Times New Roman"/>
          <w:noProof/>
          <w:sz w:val="24"/>
        </w:rPr>
        <w:t xml:space="preserve"> kā ieņēmumi, ko valdības sektoram nepiederoša vienība guvusi līdz t+1 gadam, kad Eiropas iestādēm ir jāveic maksājums, neatkarīgi no tā, kurā periodā šie kapitālizdevumi ir radušies.</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Īpašs gadījums, kad valdība veic avansa maksājumu</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Bieži valdība veic avansa maksājumus valdības sektoram nepiederošai vienībai, kurai ir tiesības saņemt pārskaitījumus no Eiropas iestādēm (galvenokārt tiktāl, ciktāl tas attiecas uz lauksaimniekiem). Tas tiek darīts, lai samazinātu saņēmējiem finanšu slogu un lai viņi saņemtu kompensāciju aptuveni tajā pašā laikā, kad tie īsteno attiecīgo saimniecisko darbību.</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Jebkurš šāds avansa maksājums neatkarīgi no tā pamatā esošā darījuma klasifikācijas nacionālajos kontos </w:t>
      </w:r>
      <w:r w:rsidR="006069A6">
        <w:rPr>
          <w:rFonts w:ascii="Times New Roman" w:hAnsi="Times New Roman"/>
          <w:noProof/>
          <w:sz w:val="24"/>
        </w:rPr>
        <w:t>(D.3, D.7 vai D.9) ir jāieraksta</w:t>
      </w:r>
      <w:r>
        <w:rPr>
          <w:rFonts w:ascii="Times New Roman" w:hAnsi="Times New Roman"/>
          <w:noProof/>
          <w:sz w:val="24"/>
        </w:rPr>
        <w:t xml:space="preserve"> kā finanšu darījums (valdības finanšu aktīva un attiecīgu pārējās pasaules saistību rašanās AF.7 kategorijā) laikā, kad valdība šo maksājumu ir veikusi, vai, ja izmanto saistību uzskaites sistēmu, laikā, kad kompetentā iestāde ir izsniegusi maksājuma uzdevumu.</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Traktējot šādi, tas neiespaido valdības neto aizdevumu/aizņēmumu (B.9), jo šādus pārvedumus no ES institūcijām neuzskata par valdības izdevumiem, bet gan par ES izdevumiem. Vienīgie izdevumi, kas rodas valdībai, ir avansa maksājuma finansēšanas izmaksas.</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Piemēram, valsts ES vārdā veic maksājumu nevalstiskai vienībai </w:t>
      </w:r>
      <w:r>
        <w:rPr>
          <w:rFonts w:ascii="Times New Roman" w:hAnsi="Times New Roman"/>
          <w:i/>
          <w:noProof/>
          <w:sz w:val="24"/>
        </w:rPr>
        <w:t>t</w:t>
      </w:r>
      <w:r>
        <w:rPr>
          <w:rFonts w:ascii="Times New Roman" w:hAnsi="Times New Roman"/>
          <w:noProof/>
          <w:sz w:val="24"/>
        </w:rPr>
        <w:t> ga</w:t>
      </w:r>
      <w:r w:rsidR="006069A6">
        <w:rPr>
          <w:rFonts w:ascii="Times New Roman" w:hAnsi="Times New Roman"/>
          <w:noProof/>
          <w:sz w:val="24"/>
        </w:rPr>
        <w:t>da septembrī. Tas ir jāieraksta</w:t>
      </w:r>
      <w:r>
        <w:rPr>
          <w:rFonts w:ascii="Times New Roman" w:hAnsi="Times New Roman"/>
          <w:noProof/>
          <w:sz w:val="24"/>
        </w:rPr>
        <w:t xml:space="preserve"> tajā pašā pārs</w:t>
      </w:r>
      <w:r w:rsidR="006069A6">
        <w:rPr>
          <w:rFonts w:ascii="Times New Roman" w:hAnsi="Times New Roman"/>
          <w:noProof/>
          <w:sz w:val="24"/>
        </w:rPr>
        <w:t>kata periodā, kad tiek ierakstīti</w:t>
      </w:r>
      <w:r>
        <w:rPr>
          <w:rFonts w:ascii="Times New Roman" w:hAnsi="Times New Roman"/>
          <w:noProof/>
          <w:sz w:val="24"/>
        </w:rPr>
        <w:t xml:space="preserve"> nevalstiskas vienības ieņēmumi, kas saņemti no pārējās pasaules (to neuzskata par valsts izdevumiem), saskaņā ar darījuma (D.3, D.7, D.9) veidu. Šis valdības maksājums rada pamatu finanšu prasījumam pret Eiropas iestādēm (AF.8). Pēc pārbaudes procedūras Eiropas iestādes to atmaksā valstij </w:t>
      </w:r>
      <w:r>
        <w:rPr>
          <w:rFonts w:ascii="Times New Roman" w:hAnsi="Times New Roman"/>
          <w:i/>
          <w:noProof/>
          <w:sz w:val="24"/>
        </w:rPr>
        <w:t>t+1</w:t>
      </w:r>
      <w:r>
        <w:rPr>
          <w:rFonts w:ascii="Times New Roman" w:hAnsi="Times New Roman"/>
          <w:noProof/>
          <w:sz w:val="24"/>
        </w:rPr>
        <w:t> gada janvārī Ar šādu atmaksu valdības prasījums tiek likvidēts brīdī, kad tā tiek veikta. Tādējādi valsts maksājumu nevalstiskai vien</w:t>
      </w:r>
      <w:r w:rsidR="006069A6">
        <w:rPr>
          <w:rFonts w:ascii="Times New Roman" w:hAnsi="Times New Roman"/>
          <w:noProof/>
          <w:sz w:val="24"/>
        </w:rPr>
        <w:t>ībai ES vārdā ieraksta</w:t>
      </w:r>
      <w:r>
        <w:rPr>
          <w:rFonts w:ascii="Times New Roman" w:hAnsi="Times New Roman"/>
          <w:noProof/>
          <w:sz w:val="24"/>
        </w:rPr>
        <w:t xml:space="preserve"> kā finanšu darījumu bez jebkādas ietekmes uz valsts neto aizdevumu/aizņēmumu (B.9).</w:t>
      </w:r>
    </w:p>
    <w:p w:rsidR="00073FEC" w:rsidRPr="001973D0" w:rsidRDefault="00073FEC" w:rsidP="00073FEC">
      <w:pPr>
        <w:jc w:val="both"/>
        <w:rPr>
          <w:rFonts w:ascii="Times New Roman" w:hAnsi="Times New Roman"/>
          <w:noProof/>
          <w:sz w:val="24"/>
        </w:rPr>
      </w:pPr>
    </w:p>
    <w:p w:rsidR="00073FEC" w:rsidRDefault="00073FEC" w:rsidP="00073FEC">
      <w:pPr>
        <w:pStyle w:val="Heading6"/>
        <w:tabs>
          <w:tab w:val="left" w:pos="2036"/>
        </w:tabs>
        <w:jc w:val="both"/>
        <w:rPr>
          <w:rFonts w:ascii="Times New Roman" w:hAnsi="Times New Roman"/>
          <w:noProof/>
          <w:sz w:val="24"/>
        </w:rPr>
      </w:pPr>
      <w:bookmarkStart w:id="159" w:name="II.6.1.2.2_The_beneficiary_of_the_EU_gra"/>
      <w:bookmarkEnd w:id="159"/>
      <w:r>
        <w:rPr>
          <w:rFonts w:ascii="Times New Roman" w:hAnsi="Times New Roman"/>
          <w:noProof/>
          <w:sz w:val="24"/>
        </w:rPr>
        <w:t>II.6.1.2.2. ES dotāciju saņēmējs ir valdības vienība</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ES pārveduma gala saņēmējs ir valdības sektora vienība, ja šis pārvedums sedz valdības sektora vienības izdevumus kādam no šādiem mērķiem: sociālā palīdzība, mācības, izglītība, vai valsts īpašumā esošo pamatlīdzekļu palielinājums. Protams, valdības vienība, kura pieņem ekonomisku lēmumu (projekta vadītājs), ir jānošķir no tās valdības vienības, kura saņem un pārdala ES līdzekļus (naudas pārvaldītājs). Nacionālo kontu gadījumā tas ir būtiski tad, ja šīs vienības atrodas dažādos apakšsektoros.</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Vispārējs noteikums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Kopumā valdības ieņēmumus</w:t>
      </w:r>
      <w:r w:rsidR="006069A6">
        <w:rPr>
          <w:rFonts w:ascii="Times New Roman" w:hAnsi="Times New Roman"/>
          <w:noProof/>
          <w:sz w:val="24"/>
        </w:rPr>
        <w:t xml:space="preserve">, ko tā saņēmusi no ES, ieraksta tajā pašā laikā, kad </w:t>
      </w:r>
      <w:r w:rsidR="006069A6">
        <w:rPr>
          <w:rFonts w:ascii="Times New Roman" w:hAnsi="Times New Roman"/>
          <w:noProof/>
          <w:sz w:val="24"/>
        </w:rPr>
        <w:lastRenderedPageBreak/>
        <w:t>ieraksta</w:t>
      </w:r>
      <w:r>
        <w:rPr>
          <w:rFonts w:ascii="Times New Roman" w:hAnsi="Times New Roman"/>
          <w:noProof/>
          <w:sz w:val="24"/>
        </w:rPr>
        <w:t xml:space="preserve"> valdības izdevumus. Tas tiek darīts praktisku apsvērumu dēļ, lai nodrošinātu, ka šie darījumi neietekmē valdības budžeta neto aizdevumu/aizņēmumu (B.9).</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i/>
          <w:noProof/>
          <w:sz w:val="24"/>
        </w:rPr>
        <w:t>Piemēram</w:t>
      </w:r>
      <w:r>
        <w:t xml:space="preserve">, </w:t>
      </w:r>
      <w:r>
        <w:rPr>
          <w:rFonts w:ascii="Times New Roman" w:hAnsi="Times New Roman"/>
          <w:noProof/>
          <w:sz w:val="24"/>
        </w:rPr>
        <w:t xml:space="preserve">valdība </w:t>
      </w:r>
      <w:r>
        <w:rPr>
          <w:rFonts w:ascii="Times New Roman" w:hAnsi="Times New Roman"/>
          <w:i/>
          <w:noProof/>
          <w:sz w:val="24"/>
        </w:rPr>
        <w:t>t</w:t>
      </w:r>
      <w:r>
        <w:rPr>
          <w:rFonts w:ascii="Times New Roman" w:hAnsi="Times New Roman"/>
          <w:noProof/>
          <w:sz w:val="24"/>
        </w:rPr>
        <w:t xml:space="preserve"> gada oktobrī projektā iztērē summu, kas atbilst 100 naudas vienībām. Pēc tam valdība </w:t>
      </w:r>
      <w:r>
        <w:rPr>
          <w:rFonts w:ascii="Times New Roman" w:hAnsi="Times New Roman"/>
          <w:i/>
          <w:noProof/>
          <w:sz w:val="24"/>
        </w:rPr>
        <w:t>t</w:t>
      </w:r>
      <w:r>
        <w:rPr>
          <w:rFonts w:ascii="Times New Roman" w:hAnsi="Times New Roman"/>
          <w:noProof/>
          <w:sz w:val="24"/>
        </w:rPr>
        <w:t> gada novembrī nosūta Eiropas iestādei attiecīgus doku</w:t>
      </w:r>
      <w:r w:rsidR="006069A6">
        <w:rPr>
          <w:rFonts w:ascii="Times New Roman" w:hAnsi="Times New Roman"/>
          <w:noProof/>
          <w:sz w:val="24"/>
        </w:rPr>
        <w:t>mentus. Oktobrī valdība ieraksta</w:t>
      </w:r>
      <w:r>
        <w:rPr>
          <w:rFonts w:ascii="Times New Roman" w:hAnsi="Times New Roman"/>
          <w:noProof/>
          <w:sz w:val="24"/>
        </w:rPr>
        <w:t xml:space="preserve"> pārvedumu no pārējās pasaules kā valdības ieņēmumus, kodējot to atbilstīgi darījuma būtīb</w:t>
      </w:r>
      <w:r w:rsidR="006069A6">
        <w:rPr>
          <w:rFonts w:ascii="Times New Roman" w:hAnsi="Times New Roman"/>
          <w:noProof/>
          <w:sz w:val="24"/>
        </w:rPr>
        <w:t>ai (kas neiespaido ierakstīšanas</w:t>
      </w:r>
      <w:r>
        <w:rPr>
          <w:rFonts w:ascii="Times New Roman" w:hAnsi="Times New Roman"/>
          <w:noProof/>
          <w:sz w:val="24"/>
        </w:rPr>
        <w:t xml:space="preserve"> laiku). Valdības finanšu kontā (F.8) kā e</w:t>
      </w:r>
      <w:r w:rsidR="006069A6">
        <w:rPr>
          <w:rFonts w:ascii="Times New Roman" w:hAnsi="Times New Roman"/>
          <w:noProof/>
          <w:sz w:val="24"/>
        </w:rPr>
        <w:t>kvivalentu ieraksta</w:t>
      </w:r>
      <w:r>
        <w:rPr>
          <w:rFonts w:ascii="Times New Roman" w:hAnsi="Times New Roman"/>
          <w:noProof/>
          <w:sz w:val="24"/>
        </w:rPr>
        <w:t xml:space="preserve"> prasījumu pret ES. Pēc tam Eiropas iestāde </w:t>
      </w:r>
      <w:r>
        <w:rPr>
          <w:rFonts w:ascii="Times New Roman" w:hAnsi="Times New Roman"/>
          <w:i/>
          <w:noProof/>
          <w:sz w:val="24"/>
        </w:rPr>
        <w:t>t+1</w:t>
      </w:r>
      <w:r>
        <w:rPr>
          <w:rFonts w:ascii="Times New Roman" w:hAnsi="Times New Roman"/>
          <w:noProof/>
          <w:sz w:val="24"/>
        </w:rPr>
        <w:t> gada februārī atmaksā 100 vienības Šajā brīdī šo prasījumu dzēš.</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Ja Eiropas iestāde vēlāk nolemj neveikt valdībai atmaksu, ko tā pieprasījusi, un laika nobīde ir īsa (parasti ne ilgāka par vienu gadu), var pārskatīt iepriekšējos kontus, lai dzēstu valdības ieņēmumus un citas debitoru saistības vai to daļu.</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Īpašs gadījums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Dažos gadījumos var izveidoties situācija, kad izdevumu laiks būtiski atšķiras no laika, kad iesniegti prasījumi Eiropas iestādēm, jo izdevumu rašanās laikā vēl nebija zināms nodoms par prasījuma iesniegšanu. Šādā gadījumā izdevumu rašanās brīdi var aizstāt ar prasījumu iesniegšanas l</w:t>
      </w:r>
      <w:r w:rsidR="006069A6">
        <w:rPr>
          <w:rFonts w:ascii="Times New Roman" w:hAnsi="Times New Roman"/>
          <w:noProof/>
          <w:sz w:val="24"/>
        </w:rPr>
        <w:t>aiku, lai noteiktu ierakstīšanas</w:t>
      </w:r>
      <w:r>
        <w:rPr>
          <w:rFonts w:ascii="Times New Roman" w:hAnsi="Times New Roman"/>
          <w:noProof/>
          <w:sz w:val="24"/>
        </w:rPr>
        <w:t xml:space="preserve"> laiku, atkarībā no tā, kāda informācija ir pieejama par izdevumiem, iesaistīto summu un laika nobīdi starp izdevumu rašanās brīdi un prasījumu iesniegšanas brīdi. Tomēr prasību iesniegšanas laik</w:t>
      </w:r>
      <w:r w:rsidR="006069A6">
        <w:rPr>
          <w:rFonts w:ascii="Times New Roman" w:hAnsi="Times New Roman"/>
          <w:noProof/>
          <w:sz w:val="24"/>
        </w:rPr>
        <w:t>u var izmantot kā ierakstīšanas</w:t>
      </w:r>
      <w:r>
        <w:rPr>
          <w:rFonts w:ascii="Times New Roman" w:hAnsi="Times New Roman"/>
          <w:noProof/>
          <w:sz w:val="24"/>
        </w:rPr>
        <w:t xml:space="preserve"> laiku tikai pamatotos gadījumos.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Sas</w:t>
      </w:r>
      <w:r w:rsidR="006069A6">
        <w:rPr>
          <w:rFonts w:ascii="Times New Roman" w:hAnsi="Times New Roman"/>
          <w:noProof/>
          <w:sz w:val="24"/>
        </w:rPr>
        <w:t>kaņā ar 32. punktu ierakstīšanas</w:t>
      </w:r>
      <w:r>
        <w:rPr>
          <w:rFonts w:ascii="Times New Roman" w:hAnsi="Times New Roman"/>
          <w:noProof/>
          <w:sz w:val="24"/>
        </w:rPr>
        <w:t xml:space="preserve"> laiks ir prasību iesniegšanas laiks, ja nav pieejama nekāda ticama informācija par izdevumu rašanās datumu; vai gadījumā, ja ir iesaistītas ļoti nelielas naudas summas; vai gadījumā, ja ir iesaistītas lielas naudas summas, bet laikposms starp izdevumu rašanās brīdi un prasību iesniegšanas brīdi ir ļoti īss (elastīgas pieejas iespēja).</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Pēc prasījumu nosūtīšanas, gaidot maksāju</w:t>
      </w:r>
      <w:r w:rsidR="006069A6">
        <w:rPr>
          <w:rFonts w:ascii="Times New Roman" w:hAnsi="Times New Roman"/>
          <w:noProof/>
          <w:sz w:val="24"/>
        </w:rPr>
        <w:t>mu no Eiropas iestādēm, ieraksta</w:t>
      </w:r>
      <w:r>
        <w:rPr>
          <w:rFonts w:ascii="Times New Roman" w:hAnsi="Times New Roman"/>
          <w:noProof/>
          <w:sz w:val="24"/>
        </w:rPr>
        <w:t xml:space="preserve"> ekvivalentu valdības ieņēmumu finanšu darījumu citu debitoru saistību veidā (prasījums pret Eiropas iestādēm), ko kodē kā AF.8. To dzēš brīdī, kad saņemts maksājums no Eiropas iestādēm.</w:t>
      </w:r>
    </w:p>
    <w:p w:rsidR="00073FEC" w:rsidRPr="001973D0" w:rsidRDefault="00073FEC" w:rsidP="00073FEC">
      <w:pPr>
        <w:jc w:val="both"/>
        <w:rPr>
          <w:rFonts w:ascii="Times New Roman" w:eastAsia="Arial" w:hAnsi="Times New Roman" w:cs="Arial"/>
          <w:noProof/>
          <w:sz w:val="24"/>
          <w:szCs w:val="21"/>
        </w:rPr>
      </w:pPr>
    </w:p>
    <w:p w:rsidR="00073FEC" w:rsidRDefault="00073FEC" w:rsidP="00073FEC">
      <w:pPr>
        <w:pStyle w:val="Heading6"/>
        <w:tabs>
          <w:tab w:val="left" w:pos="2016"/>
        </w:tabs>
        <w:jc w:val="both"/>
        <w:rPr>
          <w:rFonts w:ascii="Times New Roman" w:hAnsi="Times New Roman"/>
          <w:noProof/>
          <w:sz w:val="24"/>
        </w:rPr>
      </w:pPr>
      <w:bookmarkStart w:id="160" w:name="II.6.1.2.3_Initial_advance_payment_by_th"/>
      <w:bookmarkEnd w:id="160"/>
      <w:r>
        <w:rPr>
          <w:rFonts w:ascii="Times New Roman" w:hAnsi="Times New Roman"/>
          <w:noProof/>
          <w:sz w:val="24"/>
        </w:rPr>
        <w:t>II.6.1.2.3. Eiropas iestāžu sākotnējais avansa maksājums</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Visi maksājumi, kurus valdības saņem no Eiropas iestādēm daudzgadu plānošanas periodu sākumā, jātraktē kā finanšu avansi (AF.8), valdības saistības. Attiecīgi netiek ietekmēts valdības neto aizdevums/aizņēmums (B.9).</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Šī saistība paliek bez izmaiņām līdz brīdim, kad kopējie Eiropas iestāžu maksājumi ir sasnieguši aprēķināto robežvērtību 95 % apmērā no kopsummas, kuru Eiropas iestādes ir saskaņojušas visiem daudzgadu periodiem, atņemot sākotnējo avansa maksājumu summu. Pēc tam līdz robežvērtības procentuālās attiecības sasniegšanas brīdim (parasti 95 %, jo būtībā Eiropas iestādes patur 5 % no kopējās saskaņotās summas) gala saņēmēju izd</w:t>
      </w:r>
      <w:r w:rsidR="006069A6">
        <w:rPr>
          <w:rFonts w:ascii="Times New Roman" w:hAnsi="Times New Roman"/>
          <w:noProof/>
          <w:sz w:val="24"/>
        </w:rPr>
        <w:t>evumu atmaksu ieraksta</w:t>
      </w:r>
      <w:r>
        <w:rPr>
          <w:rFonts w:ascii="Times New Roman" w:hAnsi="Times New Roman"/>
          <w:noProof/>
          <w:sz w:val="24"/>
        </w:rPr>
        <w:t xml:space="preserve"> kā ieņēmumus par tādu pašu summu ar ekvivalentu finanšu darījumu valsts saņemtā avansa samazinājuma veidā.</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Galasaņēmējam ir jānodrošina priekšfinansējums atlikušajai (5 %) projekta izdevumu daļai (ko traktē kā citas debitora saistības (F.8)), un ES atmaksās šos izdevumus tikai vēlāk (kad tiks neitralizētas visas citas debitoru saistības).</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Ja daudzgadu perioda beigās kopējie valsts izdevumi nesasniedz maksimālo procentuālo daļu no perioda kopējās saskaņotās summas, tad daļa no šī avansa, ko valsts nav “izmantojusi”, tiek atmaksāta Eiropas iestādēm, neietekmējot valdības ieņēmumus un ietekmējot tikai finanšu kontus.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61" w:name="II.6.1.2.4_Measures_taken_to_deal_with_d"/>
      <w:bookmarkEnd w:id="161"/>
      <w:r>
        <w:rPr>
          <w:rFonts w:ascii="Times New Roman" w:hAnsi="Times New Roman"/>
          <w:noProof/>
          <w:sz w:val="24"/>
        </w:rPr>
        <w:lastRenderedPageBreak/>
        <w:t>II.6.1.2.4. Pasākumi attiecībā uz iztrūkumu ES dalībvalstīs</w:t>
      </w:r>
    </w:p>
    <w:p w:rsidR="00073FEC" w:rsidRDefault="00073FEC" w:rsidP="00073FEC">
      <w:pPr>
        <w:pStyle w:val="Heading6"/>
        <w:tabs>
          <w:tab w:val="left" w:pos="2016"/>
        </w:tabs>
        <w:jc w:val="both"/>
        <w:rPr>
          <w:rFonts w:ascii="Times New Roman" w:hAnsi="Times New Roman"/>
          <w:noProof/>
          <w:sz w:val="24"/>
        </w:rPr>
      </w:pPr>
    </w:p>
    <w:p w:rsidR="00073FEC" w:rsidRDefault="006069A6" w:rsidP="00073FEC">
      <w:pPr>
        <w:pStyle w:val="Heading6"/>
        <w:tabs>
          <w:tab w:val="left" w:pos="2016"/>
        </w:tabs>
        <w:jc w:val="both"/>
        <w:rPr>
          <w:rFonts w:ascii="Times New Roman" w:hAnsi="Times New Roman"/>
          <w:noProof/>
          <w:sz w:val="24"/>
        </w:rPr>
      </w:pPr>
      <w:r>
        <w:rPr>
          <w:rFonts w:ascii="Times New Roman" w:hAnsi="Times New Roman"/>
          <w:noProof/>
          <w:sz w:val="24"/>
        </w:rPr>
        <w:t>Maksājumu</w:t>
      </w:r>
      <w:r w:rsidR="00073FEC">
        <w:rPr>
          <w:rFonts w:ascii="Times New Roman" w:hAnsi="Times New Roman"/>
          <w:noProof/>
          <w:sz w:val="24"/>
        </w:rPr>
        <w:t xml:space="preserve"> </w:t>
      </w:r>
      <w:r>
        <w:rPr>
          <w:rFonts w:ascii="Times New Roman" w:hAnsi="Times New Roman"/>
          <w:noProof/>
          <w:sz w:val="24"/>
        </w:rPr>
        <w:t>atteikums</w:t>
      </w:r>
    </w:p>
    <w:p w:rsidR="00073FEC" w:rsidRPr="001973D0" w:rsidRDefault="00073FEC" w:rsidP="00073FEC">
      <w:pPr>
        <w:pStyle w:val="Heading6"/>
        <w:tabs>
          <w:tab w:val="left" w:pos="2016"/>
        </w:tabs>
        <w:jc w:val="both"/>
        <w:rPr>
          <w:rFonts w:ascii="Times New Roman" w:hAnsi="Times New Roman"/>
          <w:noProof/>
          <w:sz w:val="24"/>
        </w:rPr>
      </w:pPr>
    </w:p>
    <w:p w:rsidR="00073FEC" w:rsidRPr="00083F9A"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Var rasties situācijas, kad Eiropas iestādes nolemj, ka daļa no summas, kuru valsts ES vārdā ir izmaksājusi galasaņēmējiem, ir izmaksāta nepamatoti, vai arī ka ES dalībvalstij ir jāmaksā soda nauda (piemēram, par lauksaimniecības pārprodukciju). Šādā gadījumā Eiropas iestādes piemēros sankcijas, ieturot atmaksu nākamajā periodā pēc maksājumu veikšanas galasaņēmējiem vai ieturot konkrēto summu no turpmākā maksājuma. Šajā saistībā pastāv trīs galvenie</w:t>
      </w:r>
      <w:r w:rsidR="006069A6">
        <w:rPr>
          <w:rFonts w:ascii="Times New Roman" w:hAnsi="Times New Roman"/>
          <w:noProof/>
          <w:sz w:val="24"/>
        </w:rPr>
        <w:t xml:space="preserve"> jautājumi, proti, ierakstīšanas</w:t>
      </w:r>
      <w:r>
        <w:rPr>
          <w:rFonts w:ascii="Times New Roman" w:hAnsi="Times New Roman"/>
          <w:noProof/>
          <w:sz w:val="24"/>
        </w:rPr>
        <w:t xml:space="preserve"> laiks, sektori, kuros </w:t>
      </w:r>
      <w:r w:rsidR="006069A6">
        <w:rPr>
          <w:rFonts w:ascii="Times New Roman" w:hAnsi="Times New Roman"/>
          <w:noProof/>
          <w:sz w:val="24"/>
        </w:rPr>
        <w:t>jāveic ieraksti, un ierakstāmā</w:t>
      </w:r>
      <w:r>
        <w:rPr>
          <w:rFonts w:ascii="Times New Roman" w:hAnsi="Times New Roman"/>
          <w:noProof/>
          <w:sz w:val="24"/>
        </w:rPr>
        <w:t xml:space="preserve"> informācija.</w:t>
      </w:r>
    </w:p>
    <w:p w:rsidR="00073FEC" w:rsidRPr="001973D0" w:rsidRDefault="006069A6"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Ierakstīšanas</w:t>
      </w:r>
      <w:r w:rsidR="00073FEC">
        <w:rPr>
          <w:rFonts w:ascii="Times New Roman" w:hAnsi="Times New Roman"/>
          <w:noProof/>
          <w:sz w:val="24"/>
        </w:rPr>
        <w:t xml:space="preserve"> laiks ir brīdis, kad Komisija pieņem lēmumu par daļēju to summu atmaksu, kuras ES dalībvalstu maksājumu aģentūras ir izmaksājušas gala saņēmējiem.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Pretvērtību sektors ir atkarīgs no tā, vai gala saņēmējam ir atļauts paturēt maksājumu, savukārt pārprodukcijas dēļ piemērotas sankcijas gadījumā – vai valstij ir atļauts veikt maksājumu tā sektora vārdā, kuram ir piemērots sods (piemēram, ja to neuzskata par ES iekšējā tirgus konkurences kropļošanu).</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Ja galasaņēmējiem noteikti bija iespēja iegūt no valdības avansa maksājumu (valdībai bija atļauts pabeigt ES atbalsta sniegšanu), tad brīdī, kad Eiropas iestāde pieņem lēmumu par galīgo atmaksāšanu (vai neatmaksāšanu</w:t>
      </w:r>
      <w:r w:rsidR="006069A6">
        <w:rPr>
          <w:rFonts w:ascii="Times New Roman" w:hAnsi="Times New Roman"/>
          <w:noProof/>
          <w:sz w:val="24"/>
        </w:rPr>
        <w:t>), sākotnējā summa ir jāieraksta</w:t>
      </w:r>
      <w:r>
        <w:rPr>
          <w:rFonts w:ascii="Times New Roman" w:hAnsi="Times New Roman"/>
          <w:noProof/>
          <w:sz w:val="24"/>
        </w:rPr>
        <w:t xml:space="preserve"> kā kapitāla pārvedums (D.9) no valdības galasaņēmējam un vienlaikus kā galasaņēmēja pārvedums pārējās pasaules sektoram (Eiropas iestādēm).</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Ja galasaņēmēji nevar paturēt valdības avansa maksājumu (valdībai nav atļauts izmaksāt vairāk, kā ir noteikts ES noteikumos), ir jānošķir divi gadījumi.</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Ja galasaņēmējs spēj atmaksāt valdībai avansa maksājumu, par atmaksāto summu aprēķina atmaksu no galasaņēmēja pārējās pasaules (</w:t>
      </w:r>
      <w:r>
        <w:rPr>
          <w:rFonts w:ascii="Times New Roman" w:hAnsi="Times New Roman"/>
          <w:i/>
          <w:noProof/>
          <w:sz w:val="24"/>
        </w:rPr>
        <w:t>RoW</w:t>
      </w:r>
      <w:r>
        <w:rPr>
          <w:rFonts w:ascii="Times New Roman" w:hAnsi="Times New Roman"/>
          <w:noProof/>
          <w:sz w:val="24"/>
        </w:rPr>
        <w:t>) sek</w:t>
      </w:r>
      <w:r w:rsidR="006069A6">
        <w:rPr>
          <w:rFonts w:ascii="Times New Roman" w:hAnsi="Times New Roman"/>
          <w:noProof/>
          <w:sz w:val="24"/>
        </w:rPr>
        <w:t>toram un atmaksas summu ieraksta</w:t>
      </w:r>
      <w:r>
        <w:rPr>
          <w:rFonts w:ascii="Times New Roman" w:hAnsi="Times New Roman"/>
          <w:noProof/>
          <w:sz w:val="24"/>
        </w:rPr>
        <w:t xml:space="preserve"> valdības finanšu kontos Eiropas iestāžu lēmuma pieņemšanas brīdī.</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Ja no galasaņēmēja nav saņemta pilna atmaksa un Eiropas iestāde piemēro</w:t>
      </w:r>
      <w:r w:rsidR="006069A6">
        <w:rPr>
          <w:rFonts w:ascii="Times New Roman" w:hAnsi="Times New Roman"/>
          <w:noProof/>
          <w:sz w:val="24"/>
        </w:rPr>
        <w:t xml:space="preserve"> valdībai sodu, valdība ieraksta</w:t>
      </w:r>
      <w:r>
        <w:rPr>
          <w:rFonts w:ascii="Times New Roman" w:hAnsi="Times New Roman"/>
          <w:noProof/>
          <w:sz w:val="24"/>
        </w:rPr>
        <w:t xml:space="preserve"> kārtējo pārvedumu no vispārējās valdības uz pārējās pasaules sektoru (Eiropas iestādēm) Eiropas iestādes lēmuma pieņemšanas brīdī.</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Maksājuma termiņa pārtraukšana, maksājumu atlikšana, finanšu korekcijas</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Komisija var pagarināt maksājumu termiņu uz laiku, kas nepārsniedz 6 mēnešus (oficiāli to dēvē par maksājuma termiņa pārtraukšanu), lai veiktu papildu pārbaudes attiecībā uz apstiprināto izdevumu pārskatu (Eiropas Savienībai nosūtīto prasījumu). Tas nedrīkst ietekmēt ierakstu nacionālajos kon</w:t>
      </w:r>
      <w:r w:rsidR="006069A6">
        <w:rPr>
          <w:rFonts w:ascii="Times New Roman" w:hAnsi="Times New Roman"/>
          <w:noProof/>
          <w:sz w:val="24"/>
        </w:rPr>
        <w:t>tos, proti, dalībvalsts ieraksta</w:t>
      </w:r>
      <w:r>
        <w:rPr>
          <w:rFonts w:ascii="Times New Roman" w:hAnsi="Times New Roman"/>
          <w:noProof/>
          <w:sz w:val="24"/>
        </w:rPr>
        <w:t xml:space="preserve"> ienākumus un iesniedz prasījumu (F.8) Eiropas Savienībai, taču naudas saņemšanai (F.2) un F.8 dzēšanai var būt nepieciešams vairāk laika.</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Komisija var arī atlikt visus starpposma maksājumus vai to daļu prioritāšu vai programmu līmenī, ja pastāv būtiski vadības vai kontroles sistēmas trūkumi un būtiskas nepilnības, kuras nav novērstas, vai ja ES dalībvalsts nav izpildījusi savas saistības (maksājumu atlikšana). Gadījumā, ja ES dalībvalsts ir veikusi nepieciešamos pasākumus (parasti 2 mēnešu laikā), šī atlikšana tiek pārtraukta. Ja ES dalībvalsts nav veikusi nepieciešamos pasākumus, Komisija var pieņemt lēmumu, ar kuru tiek atceltas visas kopienas iemaksas darbības programmā vai kāda to daļa (finanšu korekcijas).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Līdzīgi kā maksājuma termiņa pārtraukšanai, arī maksājumu atlikšanai nav</w:t>
      </w:r>
      <w:r w:rsidR="006069A6">
        <w:rPr>
          <w:rFonts w:ascii="Times New Roman" w:hAnsi="Times New Roman"/>
          <w:noProof/>
          <w:sz w:val="24"/>
        </w:rPr>
        <w:t xml:space="preserve"> tiešas ietekmes uz ierakstīšanu</w:t>
      </w:r>
      <w:r>
        <w:rPr>
          <w:rFonts w:ascii="Times New Roman" w:hAnsi="Times New Roman"/>
          <w:noProof/>
          <w:sz w:val="24"/>
        </w:rPr>
        <w:t xml:space="preserve"> nacionālajos kontos. Tomēr gadījumā, ja pēc maksājuma atlikšanas seko finanšu korekcija (proti, ja tiek atcelts ES finansējums), tas ir jāatspoguļo nacionālajos kontos līdzīgi 39. rindkopā minētajam gadījum</w:t>
      </w:r>
      <w:r w:rsidR="006069A6">
        <w:rPr>
          <w:rFonts w:ascii="Times New Roman" w:hAnsi="Times New Roman"/>
          <w:noProof/>
          <w:sz w:val="24"/>
        </w:rPr>
        <w:t>am, kad maksājums tiek atteikts</w:t>
      </w:r>
      <w:r>
        <w:rPr>
          <w:rFonts w:ascii="Times New Roman" w:hAnsi="Times New Roman"/>
          <w:noProof/>
          <w:sz w:val="24"/>
        </w:rPr>
        <w:t xml:space="preserve">. Jāņem vērā, ka finanšu korekcijas var tikt veiktas arī tad, kad maksājumi netiek </w:t>
      </w:r>
      <w:r>
        <w:rPr>
          <w:rFonts w:ascii="Times New Roman" w:hAnsi="Times New Roman"/>
          <w:noProof/>
          <w:sz w:val="24"/>
        </w:rPr>
        <w:lastRenderedPageBreak/>
        <w:t>atcelti.</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Ar iepriekšējiem izdevumiem saistītu</w:t>
      </w:r>
      <w:r w:rsidR="006069A6">
        <w:rPr>
          <w:rFonts w:ascii="Times New Roman" w:hAnsi="Times New Roman"/>
          <w:noProof/>
          <w:sz w:val="24"/>
        </w:rPr>
        <w:t xml:space="preserve"> finanšu korekciju ierakstīšanas</w:t>
      </w:r>
      <w:r>
        <w:rPr>
          <w:rFonts w:ascii="Times New Roman" w:hAnsi="Times New Roman"/>
          <w:noProof/>
          <w:sz w:val="24"/>
        </w:rPr>
        <w:t xml:space="preserve"> laiks ir brīdis, kad ES dalībvalsts apstiprina ES ierosināto finanšu korekciju vai kad Komisija pieņem lēmumu, atkarībā no tā, kurš no šiem notikumiem notiek agrāk. Ja finanšu korekcijā ietilpst arī finansējuma atcelšana turpmākaji</w:t>
      </w:r>
      <w:r w:rsidR="006069A6">
        <w:rPr>
          <w:rFonts w:ascii="Times New Roman" w:hAnsi="Times New Roman"/>
          <w:noProof/>
          <w:sz w:val="24"/>
        </w:rPr>
        <w:t>em projektiem, tad ierakstīšanas</w:t>
      </w:r>
      <w:r>
        <w:rPr>
          <w:rFonts w:ascii="Times New Roman" w:hAnsi="Times New Roman"/>
          <w:noProof/>
          <w:sz w:val="24"/>
        </w:rPr>
        <w:t xml:space="preserve"> laiks ir faktisko turpmāko izdevumu brīdis.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Valdības izdevumu pretvērtības sektors ir Eiropas Savienības iestādes un struktūras (S.212).</w:t>
      </w:r>
    </w:p>
    <w:p w:rsidR="00073FEC" w:rsidRPr="001973D0" w:rsidRDefault="00073FEC" w:rsidP="00073FEC">
      <w:pPr>
        <w:jc w:val="both"/>
        <w:rPr>
          <w:rFonts w:ascii="Times New Roman" w:eastAsia="Arial" w:hAnsi="Times New Roman" w:cs="Arial"/>
          <w:noProof/>
          <w:sz w:val="24"/>
          <w:szCs w:val="20"/>
        </w:rPr>
      </w:pPr>
    </w:p>
    <w:p w:rsidR="00073FEC" w:rsidRPr="001973D0" w:rsidRDefault="00073FEC" w:rsidP="00073FEC">
      <w:pPr>
        <w:pStyle w:val="Heading6"/>
        <w:tabs>
          <w:tab w:val="left" w:pos="1613"/>
        </w:tabs>
        <w:jc w:val="both"/>
        <w:rPr>
          <w:rFonts w:ascii="Times New Roman" w:hAnsi="Times New Roman"/>
          <w:noProof/>
          <w:sz w:val="24"/>
        </w:rPr>
      </w:pPr>
      <w:bookmarkStart w:id="162" w:name="II.6.1.3_Rationale_of_the_treatment"/>
      <w:bookmarkEnd w:id="162"/>
      <w:r>
        <w:rPr>
          <w:rFonts w:ascii="Times New Roman" w:hAnsi="Times New Roman"/>
          <w:noProof/>
          <w:sz w:val="24"/>
        </w:rPr>
        <w:t>II.6.1.3. Traktējuma pamatojums</w:t>
      </w:r>
    </w:p>
    <w:p w:rsidR="00073FEC" w:rsidRPr="001973D0" w:rsidRDefault="00073FEC" w:rsidP="00073FEC">
      <w:pPr>
        <w:jc w:val="both"/>
        <w:rPr>
          <w:rFonts w:ascii="Times New Roman" w:eastAsia="Arial" w:hAnsi="Times New Roman" w:cs="Arial"/>
          <w:b/>
          <w:bCs/>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63" w:name="II.6.1.3.1_Non-government_unit_as_benefi"/>
      <w:bookmarkEnd w:id="163"/>
      <w:r>
        <w:rPr>
          <w:rFonts w:ascii="Times New Roman" w:hAnsi="Times New Roman"/>
          <w:noProof/>
          <w:sz w:val="24"/>
        </w:rPr>
        <w:t>II.6.1.3.1. Valdības sektoram nepiederoša vienība kā saņēmējs</w:t>
      </w:r>
    </w:p>
    <w:p w:rsidR="00073FEC" w:rsidRPr="001973D0" w:rsidRDefault="00073FEC" w:rsidP="00073FEC">
      <w:pPr>
        <w:pStyle w:val="Heading6"/>
        <w:tabs>
          <w:tab w:val="left" w:pos="2036"/>
        </w:tabs>
        <w:jc w:val="both"/>
        <w:rPr>
          <w:rFonts w:ascii="Times New Roman" w:hAnsi="Times New Roman"/>
          <w:noProof/>
          <w:sz w:val="24"/>
        </w:rPr>
      </w:pPr>
    </w:p>
    <w:p w:rsidR="00073FEC" w:rsidRPr="00083F9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Valdība nav galasaņēmējs, jo vai nu subsīdija ir saistīta ar valdības sektorā neietilpstošu vienību saimniecisko darbību, vai pārskaitījums acīmredzami palielina tieši valdības sektorā neietilpstošas vienības ieņēmumus, vai arī ar šo pārskaitījumu sedz kādu kapitāla darījumu, kas paredzēts valdības sektorā neietilpstošas vienības veiktas nefinanšu aktīvu iegādes pilnīgai vai daļējai finansēšanai. Te ietilpst arī gadījums, kad maksājumi tiek veikti regulējošajām vienībām, kuras ir klasificētas kā tirgus ražotāji, kas atrodas ārpus vispārējās valdības sektora (sk. šīs rokasgrāmatas I daļu “Vispārējās valdības sektora norobežošana”). Šis gadījums galvenokārt ir saistīts ar kopējo lauksaimniecības politiku, taču tas varētu būt saistīts arī ar atsevišķiem maksājumiem no citiem struktūrfondiem (jo īpaši no Sociālā fonda un Kohēzijas fonda).</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Traktējums atbilst EKS 2010 noteikumiem attiecībā uz</w:t>
      </w:r>
      <w:r w:rsidR="000220CE">
        <w:rPr>
          <w:rFonts w:ascii="Times New Roman" w:hAnsi="Times New Roman"/>
          <w:noProof/>
          <w:sz w:val="24"/>
        </w:rPr>
        <w:t xml:space="preserve"> laiku, kad veicama ierakstīšana</w:t>
      </w:r>
      <w:r>
        <w:rPr>
          <w:rFonts w:ascii="Times New Roman" w:hAnsi="Times New Roman"/>
          <w:noProof/>
          <w:sz w:val="24"/>
        </w:rPr>
        <w:t xml:space="preserve"> atbilstīgi “uzkrāšanas</w:t>
      </w:r>
      <w:r w:rsidR="000220CE">
        <w:rPr>
          <w:rFonts w:ascii="Times New Roman" w:hAnsi="Times New Roman"/>
          <w:noProof/>
          <w:sz w:val="24"/>
        </w:rPr>
        <w:t>” principam. Subsīdijas ieraksta</w:t>
      </w:r>
      <w:r>
        <w:rPr>
          <w:rFonts w:ascii="Times New Roman" w:hAnsi="Times New Roman"/>
          <w:noProof/>
          <w:sz w:val="24"/>
        </w:rPr>
        <w:t xml:space="preserve"> tad, kad notiek darījums vai notikums (ražošana, pārdošana, imports u. tml.), kas rada pamatu subsīdijai (EKS 2010 4.39. punkts). Šāds notikums var būt, piemēram, lauksaimnieciskā ražošana vai preču eksports. Citu kārtējo pārvedu</w:t>
      </w:r>
      <w:r w:rsidR="000220CE">
        <w:rPr>
          <w:rFonts w:ascii="Times New Roman" w:hAnsi="Times New Roman"/>
          <w:noProof/>
          <w:sz w:val="24"/>
        </w:rPr>
        <w:t>mu (skaidrā naudā) ierakstīšanas</w:t>
      </w:r>
      <w:r>
        <w:rPr>
          <w:rFonts w:ascii="Times New Roman" w:hAnsi="Times New Roman"/>
          <w:noProof/>
          <w:sz w:val="24"/>
        </w:rPr>
        <w:t xml:space="preserve"> laiks ir brīdis, kad spēkā esošais regulējums (vai līgumiska vienošanās) paredz veikt pārvedumus (EKS 2010 4.123. punkts). Iegu</w:t>
      </w:r>
      <w:r w:rsidR="000220CE">
        <w:rPr>
          <w:rFonts w:ascii="Times New Roman" w:hAnsi="Times New Roman"/>
          <w:noProof/>
          <w:sz w:val="24"/>
        </w:rPr>
        <w:t>ldījumu dotācijas naudā ieraksta</w:t>
      </w:r>
      <w:r>
        <w:rPr>
          <w:rFonts w:ascii="Times New Roman" w:hAnsi="Times New Roman"/>
          <w:noProof/>
          <w:sz w:val="24"/>
        </w:rPr>
        <w:t>, kad ir jāveic maksājums vienībai, kura izdevumus bruto iegu</w:t>
      </w:r>
      <w:r w:rsidR="000220CE">
        <w:rPr>
          <w:rFonts w:ascii="Times New Roman" w:hAnsi="Times New Roman"/>
          <w:noProof/>
          <w:sz w:val="24"/>
        </w:rPr>
        <w:t>ldījumiem pamatkapitālā ieraksta</w:t>
      </w:r>
      <w:r>
        <w:rPr>
          <w:rFonts w:ascii="Times New Roman" w:hAnsi="Times New Roman"/>
          <w:noProof/>
          <w:sz w:val="24"/>
        </w:rPr>
        <w:t xml:space="preserve"> savos kontos (EKS 2010 4.162. punkts).</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Praksē summas nevalstiskiem gala saņēmējiem parasti novirza ar valdības kontu starpniecību.</w:t>
      </w:r>
      <w:r w:rsidR="000220CE">
        <w:rPr>
          <w:rFonts w:ascii="Times New Roman" w:hAnsi="Times New Roman"/>
          <w:noProof/>
          <w:sz w:val="24"/>
        </w:rPr>
        <w:t xml:space="preserve"> Tomēr šīs plūsmas ir jāieraksta</w:t>
      </w:r>
      <w:r>
        <w:rPr>
          <w:rFonts w:ascii="Times New Roman" w:hAnsi="Times New Roman"/>
          <w:noProof/>
          <w:sz w:val="24"/>
        </w:rPr>
        <w:t xml:space="preserve"> tikai valdības finanšu kontos. Iemesls ir tas, ka EKS 2010 4.122. punkta b) apakšpunktā noteikts, ka kārtējos pārvedumus, kurus Eiropas Savienība veic tirgus ražotājiem rezidentiem, uzrāda kā pārējās pasaules izmaksātās subsīdijas. Līdzīgs princips ir noteikts EKS 2010 4.152. punktā attiecībā uz ieguldījumu dotācijām.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Ciktāl</w:t>
      </w:r>
      <w:r w:rsidR="000220CE">
        <w:rPr>
          <w:rFonts w:ascii="Times New Roman" w:hAnsi="Times New Roman"/>
          <w:noProof/>
          <w:sz w:val="24"/>
        </w:rPr>
        <w:t xml:space="preserve"> tas skar darījumu ierakstīšanas</w:t>
      </w:r>
      <w:r>
        <w:rPr>
          <w:rFonts w:ascii="Times New Roman" w:hAnsi="Times New Roman"/>
          <w:noProof/>
          <w:sz w:val="24"/>
        </w:rPr>
        <w:t xml:space="preserve"> laiku, var rasties noteikta neskaidrība attiecībā uz to brīdi, kad saistība tiek atzīta, un brīdi, kad Eiropas iestāde veiks maksājumu. Tomēr praksē pēc tam, kad Eiropas iestādes ir pieņēmušas lēmumu par samaksu, šo naudas līdzekļu faktiskā pārveduma kavējums ir ļoti neliels. Turklāt dažām valstīm informācija tiešā veidā ir pieejama tikai no kases datiem pārskatu sistēmās.</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Ja valdība ES vārdā izmaksā avansu valdības sektorā neietilpstošam saņēmējam, 24. rindkopā minētais traktējums no ekonomiskā viedokļa ir pamatots, jo galasaņēmēja finansiālais stāvoklis tiek ietekmēts laikā, kad valdība šo avansu izmaksā, un tas skar saņēmēja saimniecisko rīcību. Šajā gadījumā valsts rīkojas Eiropas iestāžu “vārdā”. Protams, n</w:t>
      </w:r>
      <w:r w:rsidR="000220CE">
        <w:rPr>
          <w:rFonts w:ascii="Times New Roman" w:hAnsi="Times New Roman"/>
          <w:noProof/>
          <w:sz w:val="24"/>
        </w:rPr>
        <w:t>acionālajos kontos ir jāieraksta</w:t>
      </w:r>
      <w:r>
        <w:rPr>
          <w:rFonts w:ascii="Times New Roman" w:hAnsi="Times New Roman"/>
          <w:noProof/>
          <w:sz w:val="24"/>
        </w:rPr>
        <w:t xml:space="preserve"> valdības finanšu prasījums pret Eiropas iestādēm.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Praksē naudas summa, kuru valdība ir izmaksājusi saņēmējiem, atšķirsies no galīgās atmaksas tikai izņēmuma gadījumos – galvenokārt kļūdu un krāpniecisku darbību dēļ. </w:t>
      </w:r>
      <w:r>
        <w:rPr>
          <w:rFonts w:ascii="Times New Roman" w:hAnsi="Times New Roman"/>
          <w:noProof/>
          <w:sz w:val="24"/>
        </w:rPr>
        <w:lastRenderedPageBreak/>
        <w:t>Tomēr daudz biežāk gadās, ka Eiropas iestādes pieprasa papildu dokumentāciju, un līdz ar to atmaksa tiek aizkavēta.</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16"/>
        </w:tabs>
        <w:jc w:val="both"/>
        <w:rPr>
          <w:rFonts w:ascii="Times New Roman" w:hAnsi="Times New Roman"/>
          <w:noProof/>
          <w:sz w:val="24"/>
        </w:rPr>
      </w:pPr>
      <w:bookmarkStart w:id="164" w:name="II.6.1.3.2_Government_unit_as_final_bene"/>
      <w:bookmarkEnd w:id="164"/>
      <w:r>
        <w:rPr>
          <w:rFonts w:ascii="Times New Roman" w:hAnsi="Times New Roman"/>
          <w:noProof/>
          <w:sz w:val="24"/>
        </w:rPr>
        <w:t>II.6.1.3.2. Valdības vienība kā galasaņēmējs</w:t>
      </w:r>
    </w:p>
    <w:p w:rsidR="00073FEC" w:rsidRPr="001973D0" w:rsidRDefault="00073FEC" w:rsidP="00073FEC">
      <w:pPr>
        <w:pStyle w:val="Heading6"/>
        <w:tabs>
          <w:tab w:val="left" w:pos="2016"/>
        </w:tabs>
        <w:jc w:val="both"/>
        <w:rPr>
          <w:rFonts w:ascii="Times New Roman" w:hAnsi="Times New Roman"/>
          <w:noProof/>
          <w:sz w:val="24"/>
        </w:rPr>
      </w:pP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Dažādās ES shēmās valdības vienība var būt galasaņēmējs. Tas īpaši attiecas uz reģionālās attīstības un sociālajiem fondiem, kad valdības vienība pārvalda projektu saskaņā ar vienošanos ar Eiropas iestādēm, taču tai ir noteikta autonomija attiecībā uz konkrētā projekta pabeigšanu. Valdības izdevumi pēc būtības var būt dažādi: P.2, P.5, P.7, D.1 un, iespējams, citi sadales darījumi (D.3, D.7 un D.9). Šķiet, ka ļoti īpašos gadījumos valdība var arī iegādāties akcijas.</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Tiklīdz valdībai ir radušies izdevumi (un parasti ar nelielu aizkavēšanos), valdība nosūta Eiropas iestādēm visus attiecīgos dokumentus, kas nepieciešami, lai varētu atmaksāt atbilstošo (un likumīgo) summu. Tomēr atsevišķos gadījumos izdevumu rašanās brīdī nav zināms valdības nodoms iesniegt prasījumus.</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Īpašs gadījums, kad prasījuma iesniegšanas nodoms nav zināms izdevumu rašanās brīdī</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Tikai šajā iepriekš minētajā gadījumā, lai labāk atspoguļotu ekonomisko realitāti, praktisku apsvērumu dēļ valdības ieņē</w:t>
      </w:r>
      <w:r w:rsidR="000220CE">
        <w:rPr>
          <w:rFonts w:ascii="Times New Roman" w:hAnsi="Times New Roman"/>
          <w:noProof/>
          <w:sz w:val="24"/>
        </w:rPr>
        <w:t>mumus būtu atbilstošāk ierakstīt</w:t>
      </w:r>
      <w:r>
        <w:rPr>
          <w:rFonts w:ascii="Times New Roman" w:hAnsi="Times New Roman"/>
          <w:noProof/>
          <w:sz w:val="24"/>
        </w:rPr>
        <w:t xml:space="preserve"> brīdī, kad valdība nosūta dokumentus Eiropas iestādēm.</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Šeit paredzētā traktējuma pamatā ir pieredze, kas apliecina to, ka Eiropas iestādes gandrīz vienmēr samaksā to, kas ir faktiski deklarēts. Gadījumi, kad ES neatmaksā valdības izdevumus, faktiski ir ļoti reti (un salīdzinājumā ar kopējo naudas plūsmu tās ir ļoti mazas naudas summas).</w:t>
      </w:r>
    </w:p>
    <w:p w:rsidR="00073FEC" w:rsidRPr="00083F9A"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Ņemot vērā vienošanās ar ES, valsts izdevumiem vienmēr ir jāatbilst precīzām prasībām un valstīm nebūtu jāmēģina iegūt neatbilstošus ieņēmumus. Papildus tam Eiropas iestādes veic arī vietējos kontroles pasākumus, tāpēc finanšu līdzekļu nepareiza izmantošana, programmu nepabeigšana, krāpšanas gadījumi u. tml. gadījumi notiek ļoti reti. Ja tomēr Eiropas iestādes neatmaksā valdībai izdevumus (ņemot vērā, ka laika nobīde parasti ir neliela), Eiropas iestādēm būtu jāveic atbilstoša valdības ienākumu atpakaļvērstā pārskatīšana.</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Piedāvātais traktējums atbilst arī EKS 2010 4.162. punktam, kurā ir noteikts, ka ieguldījumu </w:t>
      </w:r>
      <w:r w:rsidR="000220CE">
        <w:rPr>
          <w:rFonts w:ascii="Times New Roman" w:hAnsi="Times New Roman"/>
          <w:noProof/>
          <w:sz w:val="24"/>
        </w:rPr>
        <w:t>dotācijas skaidrā naudā ieraksta</w:t>
      </w:r>
      <w:r>
        <w:rPr>
          <w:rFonts w:ascii="Times New Roman" w:hAnsi="Times New Roman"/>
          <w:noProof/>
          <w:sz w:val="24"/>
        </w:rPr>
        <w:t xml:space="preserve"> brīdī, kad jāveic maksājums. Frāze “kad jāveic maksājums” liecina par to, ka valdība paredz, ka tiks saņemta atmaksa. Ja izdevumu rašanās brīdī nav bijušas nekādas prognozes attiecībā uz izde</w:t>
      </w:r>
      <w:r w:rsidR="000220CE">
        <w:rPr>
          <w:rFonts w:ascii="Times New Roman" w:hAnsi="Times New Roman"/>
          <w:noProof/>
          <w:sz w:val="24"/>
        </w:rPr>
        <w:t>vumu atmaksāšanu, ierakstīšanas</w:t>
      </w:r>
      <w:r>
        <w:rPr>
          <w:rFonts w:ascii="Times New Roman" w:hAnsi="Times New Roman"/>
          <w:noProof/>
          <w:sz w:val="24"/>
        </w:rPr>
        <w:t xml:space="preserve"> laiks nav izdevumu rašanās brīdis, bet gan minētās prognozes radīšanas brīdis, proti, brīdis, kad tiek iesniegts prasījums. Tas atbilst šajā nodaļā izklāstītajiem principiem.</w:t>
      </w:r>
    </w:p>
    <w:p w:rsidR="00073FEC" w:rsidRDefault="00073FEC" w:rsidP="00073FEC">
      <w:pPr>
        <w:pStyle w:val="Heading6"/>
        <w:jc w:val="both"/>
        <w:rPr>
          <w:rFonts w:ascii="Times New Roman" w:hAnsi="Times New Roman"/>
          <w:noProof/>
          <w:sz w:val="24"/>
        </w:rPr>
      </w:pPr>
    </w:p>
    <w:p w:rsidR="00073FEC" w:rsidRDefault="00073FEC" w:rsidP="00073FEC">
      <w:pPr>
        <w:pStyle w:val="Heading6"/>
        <w:jc w:val="both"/>
        <w:rPr>
          <w:rFonts w:ascii="Times New Roman" w:hAnsi="Times New Roman"/>
          <w:noProof/>
          <w:sz w:val="24"/>
        </w:rPr>
      </w:pPr>
      <w:r>
        <w:rPr>
          <w:rFonts w:ascii="Times New Roman" w:hAnsi="Times New Roman"/>
          <w:noProof/>
          <w:sz w:val="24"/>
        </w:rPr>
        <w:t>Īpašs gadījums, kad izdevumu rašanās brīdī nav zināma precīza paredzamās atmaksas summa</w:t>
      </w:r>
    </w:p>
    <w:p w:rsidR="00073FEC" w:rsidRPr="001973D0" w:rsidRDefault="00073FEC" w:rsidP="00073FEC">
      <w:pPr>
        <w:pStyle w:val="Heading6"/>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Ja atmaksa tiek prognozēta projekta izdevumu rašanās brīdī, taču nav zināma precīza paredzamās atmaksas summa (procentuāla daļa no izdevumu summas), ir jāveic piesardzīga paredzamā Eiropas iestāžu sākotnējā maksājuma aplēse.</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6"/>
        <w:tabs>
          <w:tab w:val="left" w:pos="2036"/>
        </w:tabs>
        <w:jc w:val="both"/>
        <w:rPr>
          <w:rFonts w:ascii="Times New Roman" w:hAnsi="Times New Roman"/>
          <w:noProof/>
          <w:sz w:val="24"/>
        </w:rPr>
      </w:pPr>
      <w:bookmarkStart w:id="165" w:name="II.6.1.3.3_Initial_payment_by_the_Europe"/>
      <w:bookmarkEnd w:id="165"/>
      <w:r>
        <w:rPr>
          <w:rFonts w:ascii="Times New Roman" w:hAnsi="Times New Roman"/>
          <w:noProof/>
          <w:sz w:val="24"/>
        </w:rPr>
        <w:t>II.6.1.3.3. Eiropas iestāžu sākotnējais maksājums</w:t>
      </w:r>
    </w:p>
    <w:p w:rsidR="00073FEC" w:rsidRPr="001973D0" w:rsidRDefault="00073FEC" w:rsidP="00073FEC">
      <w:pPr>
        <w:pStyle w:val="Heading6"/>
        <w:tabs>
          <w:tab w:val="left" w:pos="2036"/>
        </w:tabs>
        <w:jc w:val="both"/>
        <w:rPr>
          <w:rFonts w:ascii="Times New Roman" w:hAnsi="Times New Roman"/>
          <w:noProof/>
          <w:sz w:val="24"/>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Nacionālajos kontos Eiropas iestāžu sākotnējo maksājumu var traktēt vienīgi kā finanšu avansu bez jebkādas ietekmes uz valdības neto aizdevumu/aizņēmumu (B.9).</w:t>
      </w: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lastRenderedPageBreak/>
        <w:t>Šāda traktējuma pamatā ir fakts, ka ES noteikumi nosaka, ka valdība drīkst pieprasīt Eiropas iestādēm veikt atmaksu saskaņā ar noteiktiem un nemainīgiem nosacījumiem vienīgi tad, kad valdībai ir radušies izdevumi. L</w:t>
      </w:r>
      <w:r w:rsidR="000220CE">
        <w:rPr>
          <w:rFonts w:ascii="Times New Roman" w:hAnsi="Times New Roman"/>
          <w:noProof/>
          <w:sz w:val="24"/>
        </w:rPr>
        <w:t>īdz ar to avansu nevar ierakstīt</w:t>
      </w:r>
      <w:r>
        <w:rPr>
          <w:rFonts w:ascii="Times New Roman" w:hAnsi="Times New Roman"/>
          <w:noProof/>
          <w:sz w:val="24"/>
        </w:rPr>
        <w:t xml:space="preserve"> kā ieņēmumus līdz brīdim, kad rodas atbilstošie izdevumi.</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12"/>
        </w:tabs>
        <w:ind w:left="0" w:firstLine="0"/>
        <w:jc w:val="both"/>
        <w:rPr>
          <w:rFonts w:ascii="Times New Roman" w:hAnsi="Times New Roman"/>
          <w:noProof/>
          <w:u w:val="thick" w:color="000000"/>
        </w:rPr>
      </w:pPr>
      <w:bookmarkStart w:id="166" w:name="II.6.2_Contributions_of_EU_Member_States"/>
      <w:bookmarkEnd w:id="166"/>
      <w:r>
        <w:rPr>
          <w:rFonts w:ascii="Times New Roman" w:hAnsi="Times New Roman"/>
          <w:noProof/>
          <w:u w:val="none"/>
        </w:rPr>
        <w:t>II.6.2. </w:t>
      </w:r>
      <w:r>
        <w:rPr>
          <w:rFonts w:ascii="Times New Roman" w:hAnsi="Times New Roman"/>
          <w:noProof/>
          <w:u w:val="thick" w:color="000000"/>
        </w:rPr>
        <w:t>ES dalībvalstu iemaksas ES budžetā</w:t>
      </w:r>
    </w:p>
    <w:p w:rsidR="00073FEC" w:rsidRPr="001973D0" w:rsidRDefault="00073FEC" w:rsidP="00073FEC">
      <w:pPr>
        <w:pStyle w:val="Heading4"/>
        <w:tabs>
          <w:tab w:val="left" w:pos="1612"/>
        </w:tabs>
        <w:ind w:left="0" w:firstLine="0"/>
        <w:jc w:val="both"/>
        <w:rPr>
          <w:rFonts w:ascii="Times New Roman" w:hAnsi="Times New Roman"/>
          <w:noProof/>
          <w:u w:val="thick" w:color="000000"/>
        </w:rPr>
      </w:pPr>
    </w:p>
    <w:p w:rsidR="00073FEC" w:rsidRPr="001973D0" w:rsidRDefault="00073FEC" w:rsidP="00073FEC">
      <w:pPr>
        <w:pStyle w:val="BodyText"/>
        <w:numPr>
          <w:ilvl w:val="0"/>
          <w:numId w:val="3"/>
        </w:numPr>
        <w:tabs>
          <w:tab w:val="left" w:pos="1262"/>
        </w:tabs>
        <w:spacing w:before="0"/>
        <w:ind w:left="709" w:hanging="709"/>
        <w:jc w:val="both"/>
        <w:rPr>
          <w:rFonts w:ascii="Times New Roman" w:hAnsi="Times New Roman"/>
          <w:noProof/>
          <w:sz w:val="24"/>
        </w:rPr>
      </w:pPr>
      <w:r>
        <w:rPr>
          <w:rFonts w:ascii="Times New Roman" w:hAnsi="Times New Roman"/>
          <w:noProof/>
          <w:sz w:val="24"/>
        </w:rPr>
        <w:t>EKS 2010 ir noteikts, kā nacionālajos kontos ir traktējamas dažādas ES dalībvalstu veiktās iemaksas ES budžetā.</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Muitas un lauksaimniecības nodevas, kas piemērotas uz Eiropas Savienības ārējām robežām, klasificē kā importa nodokļus un nodevas, i</w:t>
      </w:r>
      <w:r w:rsidR="000220CE">
        <w:rPr>
          <w:rFonts w:ascii="Times New Roman" w:hAnsi="Times New Roman"/>
          <w:noProof/>
          <w:sz w:val="24"/>
        </w:rPr>
        <w:t>zņemot PVN (D.212). Tos ieraksta</w:t>
      </w:r>
      <w:r>
        <w:rPr>
          <w:rFonts w:ascii="Times New Roman" w:hAnsi="Times New Roman"/>
          <w:noProof/>
          <w:sz w:val="24"/>
        </w:rPr>
        <w:t xml:space="preserve"> saskaņā ar šīs rokasgrāmatas II.2. nodaļā (Nodokļu</w:t>
      </w:r>
      <w:r w:rsidR="000220CE">
        <w:rPr>
          <w:rFonts w:ascii="Times New Roman" w:hAnsi="Times New Roman"/>
          <w:noProof/>
          <w:sz w:val="24"/>
        </w:rPr>
        <w:t xml:space="preserve"> un sociālo iemaksu ierakstīšana</w:t>
      </w:r>
      <w:r>
        <w:rPr>
          <w:rFonts w:ascii="Times New Roman" w:hAnsi="Times New Roman"/>
          <w:noProof/>
          <w:sz w:val="24"/>
        </w:rPr>
        <w:t>) aprakstītajiem noteikumiem pēc bruto principa, kuros iekļauj iekasēšanas izmaksas.</w:t>
      </w:r>
      <w:r>
        <w:rPr>
          <w:rStyle w:val="FootnoteReference"/>
          <w:rFonts w:ascii="Times New Roman" w:hAnsi="Times New Roman"/>
          <w:noProof/>
          <w:sz w:val="24"/>
        </w:rPr>
        <w:footnoteReference w:id="139"/>
      </w:r>
      <w:r>
        <w:rPr>
          <w:rFonts w:ascii="Times New Roman" w:hAnsi="Times New Roman"/>
          <w:noProof/>
          <w:sz w:val="24"/>
        </w:rPr>
        <w:t xml:space="preserve"> Muitas un lauksaimniecības nodevas iekasē ES iestāžu </w:t>
      </w:r>
      <w:r w:rsidR="000220CE">
        <w:rPr>
          <w:rFonts w:ascii="Times New Roman" w:hAnsi="Times New Roman"/>
          <w:noProof/>
          <w:sz w:val="24"/>
        </w:rPr>
        <w:t>vārdā, un tās nedrīkst ierakstīt</w:t>
      </w:r>
      <w:r>
        <w:rPr>
          <w:rFonts w:ascii="Times New Roman" w:hAnsi="Times New Roman"/>
          <w:noProof/>
          <w:sz w:val="24"/>
        </w:rPr>
        <w:t xml:space="preserve"> kā valdības ieņēmumus. Tik</w:t>
      </w:r>
      <w:r w:rsidR="000220CE">
        <w:rPr>
          <w:rFonts w:ascii="Times New Roman" w:hAnsi="Times New Roman"/>
          <w:noProof/>
          <w:sz w:val="24"/>
        </w:rPr>
        <w:t>ai iekasēšanas izmaksas ieraksta</w:t>
      </w:r>
      <w:r>
        <w:rPr>
          <w:rFonts w:ascii="Times New Roman" w:hAnsi="Times New Roman"/>
          <w:noProof/>
          <w:sz w:val="24"/>
        </w:rPr>
        <w:t xml:space="preserve"> kā maksājumus par ārpustirgus produkciju (P.131) valdības finanšu statistikā, sk. EKS 2010 3.23. punktu, un praktisku apsvērum</w:t>
      </w:r>
      <w:r w:rsidR="000220CE">
        <w:rPr>
          <w:rFonts w:ascii="Times New Roman" w:hAnsi="Times New Roman"/>
          <w:noProof/>
          <w:sz w:val="24"/>
        </w:rPr>
        <w:t>u dēļ ir ieteicams tās ierakstīt</w:t>
      </w:r>
      <w:r>
        <w:rPr>
          <w:rFonts w:ascii="Times New Roman" w:hAnsi="Times New Roman"/>
          <w:noProof/>
          <w:sz w:val="24"/>
        </w:rPr>
        <w:t xml:space="preserve"> tad, kad summas ir atskaitītas no maksājumiem ES iestādēm.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Ražošanas maksas, kuras piemēro par cukura, izoglikozes un inulīna sīrupa kvotām, ko tur ražotāji, tiek klasificētās kā “produktu nodokļi, izņemot PVN un importa nodokļus” (D.214) pēc bruto princi</w:t>
      </w:r>
      <w:r w:rsidR="000220CE">
        <w:rPr>
          <w:rFonts w:ascii="Times New Roman" w:hAnsi="Times New Roman"/>
          <w:noProof/>
          <w:sz w:val="24"/>
        </w:rPr>
        <w:t>pa. Ievēro to pašu ierakstīšanas</w:t>
      </w:r>
      <w:r>
        <w:rPr>
          <w:rFonts w:ascii="Times New Roman" w:hAnsi="Times New Roman"/>
          <w:noProof/>
          <w:sz w:val="24"/>
        </w:rPr>
        <w:t xml:space="preserve"> principu, kāds ir muitas un lauks</w:t>
      </w:r>
      <w:r w:rsidR="000220CE">
        <w:rPr>
          <w:rFonts w:ascii="Times New Roman" w:hAnsi="Times New Roman"/>
          <w:noProof/>
          <w:sz w:val="24"/>
        </w:rPr>
        <w:t>aimniecības nodevu ierakstīšanai</w:t>
      </w:r>
      <w:r>
        <w:rPr>
          <w:rFonts w:ascii="Times New Roman" w:hAnsi="Times New Roman"/>
          <w:noProof/>
          <w:sz w:val="24"/>
        </w:rPr>
        <w:t xml:space="preserve"> </w:t>
      </w:r>
      <w:r w:rsidR="000220CE">
        <w:rPr>
          <w:rFonts w:ascii="Times New Roman" w:hAnsi="Times New Roman"/>
          <w:noProof/>
          <w:sz w:val="24"/>
        </w:rPr>
        <w:t>(t. i., valdības kontos ieraksta</w:t>
      </w:r>
      <w:r>
        <w:rPr>
          <w:rFonts w:ascii="Times New Roman" w:hAnsi="Times New Roman"/>
          <w:noProof/>
          <w:sz w:val="24"/>
        </w:rPr>
        <w:t xml:space="preserve"> tikai iekasēšanas izmaksas).</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Kontā “uz PVN un NKI balstīti ES pašu resursi” (D.76) ietver maksājumus par kārtējā gada PVN un NKI resursiem, kā arī bilanci par iepriekšējiem gadiem un budžeta nelīdzsvarotības korekciju, ko samaksājušas citas dalībvalstis attiecīgajām valstīm.</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Maksājumus par kārtējā gada PVN un NKI resursiem veic kā ikmēneša maksājumus ES budžetā</w:t>
      </w:r>
      <w:r>
        <w:rPr>
          <w:rStyle w:val="FootnoteReference"/>
          <w:rFonts w:ascii="Times New Roman" w:hAnsi="Times New Roman"/>
          <w:noProof/>
          <w:sz w:val="24"/>
        </w:rPr>
        <w:footnoteReference w:id="140"/>
      </w:r>
      <w:r>
        <w:rPr>
          <w:rFonts w:ascii="Times New Roman" w:hAnsi="Times New Roman"/>
          <w:noProof/>
          <w:sz w:val="24"/>
        </w:rPr>
        <w:t>, kurus aprēķina kā 1/12 daļu no gada summas, kas iekļauta sākotnējā ES gada budžetā. Sākotnējā ES gada budžetā iekļautās gada summas gada laikā var tikt palielinātas vai samazinātas (piemēram, kad iekļauj ES budžeta pārpalikumu no iepriekšējā gada), veicot ES budžeta grozījumus, kā rezultātā mainās ikmēneša maksājumi. Ja ES budžeta grozījumi gadā tiek apstiprināti pārāk vēlu, lai tos atspoguļotu ikmēneša maksājumos, gadā uzkrātā summa ir tā, kas norādīta budžeta grozījumos, nevis divpadsmit mēnešu maksājumu summa.</w:t>
      </w:r>
    </w:p>
    <w:p w:rsidR="00073FEC" w:rsidRPr="001973D0"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Bilanci par iepriekšējo gadu Eiropas Komisija paziņo oktobrī, un maksājums ir jāveic decembra pirmajā darba dienā. Tādēļ summas tiek atzītas tajā pašā gadā, kad tās tiek maksātas. Tomēr izņēmuma apstākļos</w:t>
      </w:r>
      <w:r>
        <w:rPr>
          <w:rStyle w:val="FootnoteReference"/>
          <w:rFonts w:ascii="Times New Roman" w:hAnsi="Times New Roman"/>
          <w:noProof/>
          <w:sz w:val="24"/>
        </w:rPr>
        <w:footnoteReference w:id="141"/>
      </w:r>
      <w:r>
        <w:rPr>
          <w:rFonts w:ascii="Times New Roman" w:hAnsi="Times New Roman"/>
          <w:noProof/>
          <w:sz w:val="24"/>
        </w:rPr>
        <w:t xml:space="preserve"> dalībvalstis var maksājumu atlikt līdz nākamā gada septembrim, taču, tā kā pastāv saistības un summa ir zināma, to uzkrāj kārtējā gadā, izdarot attiecīgu ierakstu maksājamās summās. Ņemot vērā, ka ES darbojas, pamatojoties uz sabalansētu naudas budžetu, atliktie maksājumi, ko izvēlējušās dažas dalībvalstis, samazina ES naudas ieņēmumus kārtējā gadā un palielina ES naudas ieņēmumus nākamajā gadā. Tas savukārt nozīmē, ka ES samazina atmaksas (vai palielina papildmaksājumus) kārtējā gadā, ko ir parādā citām dalībvalstīm (vai ko citas dalībvalstis ir parādā ES), un atmaksā tās nākamajā gadā. Tādējādi citas dalībvalstis </w:t>
      </w:r>
      <w:r>
        <w:rPr>
          <w:rFonts w:ascii="Times New Roman" w:hAnsi="Times New Roman"/>
          <w:noProof/>
          <w:sz w:val="24"/>
        </w:rPr>
        <w:lastRenderedPageBreak/>
        <w:t>iegūst saņemamās summas no ES, kas precīzi atbilst iepriekš minētajām maksājamām summām.</w:t>
      </w:r>
    </w:p>
    <w:p w:rsidR="00073FEC" w:rsidRPr="00083F9A" w:rsidRDefault="00073FEC" w:rsidP="00073FEC">
      <w:pPr>
        <w:pStyle w:val="BodyText"/>
        <w:numPr>
          <w:ilvl w:val="0"/>
          <w:numId w:val="3"/>
        </w:numPr>
        <w:tabs>
          <w:tab w:val="left" w:pos="1242"/>
        </w:tabs>
        <w:spacing w:before="0"/>
        <w:ind w:left="709" w:hanging="709"/>
        <w:jc w:val="both"/>
        <w:rPr>
          <w:rFonts w:ascii="Times New Roman" w:hAnsi="Times New Roman"/>
          <w:noProof/>
          <w:sz w:val="24"/>
        </w:rPr>
      </w:pPr>
      <w:r>
        <w:rPr>
          <w:rFonts w:ascii="Times New Roman" w:hAnsi="Times New Roman"/>
          <w:noProof/>
          <w:sz w:val="24"/>
        </w:rPr>
        <w:t>Budžeta nelīdzsvarotības korekcijas, ko maksā citas dalībvalstis noteiktām valstīm, uzkrāj tajā gadā, kurā ir izdarītas korekcijas, neatkarīgi no tā, uz kuriem gadiem attiecas dati, kas izmantoti šo korekciju aprēķināšanai.</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12"/>
        </w:tabs>
        <w:ind w:left="0" w:firstLine="0"/>
        <w:jc w:val="both"/>
        <w:rPr>
          <w:rFonts w:ascii="Times New Roman" w:hAnsi="Times New Roman"/>
          <w:noProof/>
          <w:u w:val="thick" w:color="000000"/>
        </w:rPr>
      </w:pPr>
      <w:bookmarkStart w:id="167" w:name="II.6.3_Accounting_examples"/>
      <w:bookmarkEnd w:id="167"/>
      <w:r>
        <w:rPr>
          <w:rFonts w:ascii="Times New Roman" w:hAnsi="Times New Roman"/>
          <w:noProof/>
          <w:u w:val="none"/>
        </w:rPr>
        <w:t>II.6.3. </w:t>
      </w:r>
      <w:r>
        <w:rPr>
          <w:rFonts w:ascii="Times New Roman" w:hAnsi="Times New Roman"/>
          <w:noProof/>
          <w:u w:val="thick" w:color="000000"/>
        </w:rPr>
        <w:t>Uzskaites piemēri</w:t>
      </w:r>
    </w:p>
    <w:p w:rsidR="00073FEC" w:rsidRPr="001973D0" w:rsidRDefault="00073FEC" w:rsidP="00073FEC">
      <w:pPr>
        <w:pStyle w:val="Heading4"/>
        <w:tabs>
          <w:tab w:val="left" w:pos="1612"/>
        </w:tabs>
        <w:ind w:left="0" w:firstLine="0"/>
        <w:jc w:val="both"/>
        <w:rPr>
          <w:rFonts w:ascii="Times New Roman" w:hAnsi="Times New Roman"/>
          <w:noProof/>
          <w:u w:val="thick" w:color="000000"/>
        </w:rPr>
      </w:pPr>
    </w:p>
    <w:p w:rsidR="00073FEC" w:rsidRPr="001973D0" w:rsidRDefault="00073FEC" w:rsidP="00073FEC">
      <w:pPr>
        <w:pStyle w:val="Heading6"/>
        <w:numPr>
          <w:ilvl w:val="0"/>
          <w:numId w:val="2"/>
        </w:numPr>
        <w:tabs>
          <w:tab w:val="left" w:pos="709"/>
        </w:tabs>
        <w:ind w:left="0" w:firstLine="0"/>
        <w:jc w:val="both"/>
        <w:rPr>
          <w:rFonts w:ascii="Times New Roman" w:hAnsi="Times New Roman"/>
          <w:noProof/>
          <w:sz w:val="24"/>
        </w:rPr>
      </w:pPr>
      <w:r>
        <w:rPr>
          <w:rFonts w:ascii="Times New Roman" w:hAnsi="Times New Roman"/>
          <w:noProof/>
          <w:sz w:val="24"/>
        </w:rPr>
        <w:t>Galasaņēmējs nav valdības vienība (valsts avansa gadījums)</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Valdības sektorā neietilpstošam ražotājam ir tiesības saņemt 1000 vienību no Eiropas iestādes kā ieguldījuma atbalstu </w:t>
      </w:r>
      <w:r>
        <w:rPr>
          <w:rFonts w:ascii="Times New Roman" w:hAnsi="Times New Roman"/>
          <w:i/>
          <w:noProof/>
          <w:sz w:val="24"/>
        </w:rPr>
        <w:t>t</w:t>
      </w:r>
      <w:r>
        <w:rPr>
          <w:rFonts w:ascii="Times New Roman" w:hAnsi="Times New Roman"/>
          <w:noProof/>
          <w:sz w:val="24"/>
        </w:rPr>
        <w:t xml:space="preserve"> gadā. Šo summu tas no valdības saņem </w:t>
      </w:r>
      <w:r>
        <w:rPr>
          <w:rFonts w:ascii="Times New Roman" w:hAnsi="Times New Roman"/>
          <w:i/>
          <w:noProof/>
          <w:sz w:val="24"/>
        </w:rPr>
        <w:t>t</w:t>
      </w:r>
      <w:r>
        <w:rPr>
          <w:rFonts w:ascii="Times New Roman" w:hAnsi="Times New Roman"/>
          <w:noProof/>
          <w:sz w:val="24"/>
        </w:rPr>
        <w:t xml:space="preserve"> gadā, taču Eiropas iestāde 1000 vienību atmaksu veic tikai </w:t>
      </w:r>
      <w:r>
        <w:rPr>
          <w:rFonts w:ascii="Times New Roman" w:hAnsi="Times New Roman"/>
          <w:i/>
          <w:noProof/>
          <w:sz w:val="24"/>
        </w:rPr>
        <w:t>t+1</w:t>
      </w:r>
      <w:r>
        <w:rPr>
          <w:rFonts w:ascii="Times New Roman" w:hAnsi="Times New Roman"/>
          <w:noProof/>
          <w:sz w:val="24"/>
        </w:rPr>
        <w:t> gadā.</w:t>
      </w:r>
    </w:p>
    <w:p w:rsidR="00073FEC" w:rsidRDefault="00073FEC" w:rsidP="00073FEC">
      <w:pPr>
        <w:jc w:val="both"/>
        <w:rPr>
          <w:rFonts w:ascii="Times New Roman" w:eastAsia="Arial" w:hAnsi="Times New Roman" w:cs="Arial"/>
          <w:b/>
          <w:bCs/>
          <w:noProof/>
          <w:sz w:val="24"/>
          <w:szCs w:val="17"/>
        </w:rPr>
      </w:pPr>
    </w:p>
    <w:p w:rsidR="00073FEC" w:rsidRDefault="00D10B33" w:rsidP="00073FEC">
      <w:pPr>
        <w:jc w:val="both"/>
        <w:rPr>
          <w:rFonts w:ascii="Times New Roman" w:eastAsia="Arial" w:hAnsi="Times New Roman" w:cs="Arial"/>
          <w:b/>
          <w:bCs/>
          <w:noProof/>
          <w:sz w:val="24"/>
          <w:szCs w:val="17"/>
        </w:rPr>
      </w:pPr>
      <w:r w:rsidRPr="00D10B33">
        <w:rPr>
          <w:rFonts w:ascii="Times New Roman" w:eastAsia="Arial" w:hAnsi="Times New Roman" w:cs="Arial"/>
          <w:b/>
          <w:bCs/>
          <w:noProof/>
          <w:sz w:val="24"/>
          <w:szCs w:val="17"/>
          <w:lang w:bidi="ar-SA"/>
        </w:rPr>
        <w:drawing>
          <wp:inline distT="0" distB="0" distL="0" distR="0">
            <wp:extent cx="5762625" cy="6655006"/>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2625" cy="6655006"/>
                    </a:xfrm>
                    <a:prstGeom prst="rect">
                      <a:avLst/>
                    </a:prstGeom>
                    <a:noFill/>
                    <a:ln>
                      <a:noFill/>
                    </a:ln>
                  </pic:spPr>
                </pic:pic>
              </a:graphicData>
            </a:graphic>
          </wp:inline>
        </w:drawing>
      </w:r>
    </w:p>
    <w:p w:rsidR="00073FEC" w:rsidRPr="002D7772" w:rsidRDefault="00073FEC" w:rsidP="00073FEC">
      <w:pPr>
        <w:jc w:val="both"/>
        <w:rPr>
          <w:rFonts w:ascii="Times New Roman" w:eastAsia="Arial" w:hAnsi="Times New Roman" w:cs="Arial"/>
          <w:bCs/>
          <w:noProof/>
          <w:sz w:val="24"/>
          <w:szCs w:val="17"/>
        </w:rPr>
      </w:pPr>
    </w:p>
    <w:p w:rsidR="00073FEC" w:rsidRPr="002D7772" w:rsidRDefault="00D10B33" w:rsidP="00073FEC">
      <w:pPr>
        <w:jc w:val="both"/>
        <w:rPr>
          <w:rFonts w:ascii="Times New Roman" w:eastAsia="Arial" w:hAnsi="Times New Roman" w:cs="Arial"/>
          <w:bCs/>
          <w:noProof/>
          <w:sz w:val="24"/>
          <w:szCs w:val="17"/>
        </w:rPr>
      </w:pPr>
      <w:r w:rsidRPr="00D10B33">
        <w:rPr>
          <w:rFonts w:ascii="Times New Roman" w:eastAsia="Arial" w:hAnsi="Times New Roman" w:cs="Arial"/>
          <w:bCs/>
          <w:noProof/>
          <w:sz w:val="24"/>
          <w:szCs w:val="17"/>
          <w:lang w:bidi="ar-SA"/>
        </w:rPr>
        <w:drawing>
          <wp:inline distT="0" distB="0" distL="0" distR="0">
            <wp:extent cx="5762625" cy="3593102"/>
            <wp:effectExtent l="0" t="0" r="0" b="762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2625" cy="3593102"/>
                    </a:xfrm>
                    <a:prstGeom prst="rect">
                      <a:avLst/>
                    </a:prstGeom>
                    <a:noFill/>
                    <a:ln>
                      <a:noFill/>
                    </a:ln>
                  </pic:spPr>
                </pic:pic>
              </a:graphicData>
            </a:graphic>
          </wp:inline>
        </w:drawing>
      </w:r>
    </w:p>
    <w:p w:rsidR="00073FEC" w:rsidRPr="002D7772" w:rsidRDefault="00073FEC" w:rsidP="00073FEC">
      <w:pPr>
        <w:jc w:val="both"/>
        <w:rPr>
          <w:rFonts w:ascii="Times New Roman" w:eastAsia="Arial" w:hAnsi="Times New Roman" w:cs="Arial"/>
          <w:bCs/>
          <w:noProof/>
          <w:sz w:val="24"/>
          <w:szCs w:val="17"/>
        </w:rPr>
      </w:pPr>
    </w:p>
    <w:p w:rsidR="00073FEC" w:rsidRPr="001973D0" w:rsidRDefault="00073FEC" w:rsidP="00073FEC">
      <w:pPr>
        <w:pStyle w:val="Heading6"/>
        <w:numPr>
          <w:ilvl w:val="0"/>
          <w:numId w:val="2"/>
        </w:numPr>
        <w:tabs>
          <w:tab w:val="left" w:pos="709"/>
        </w:tabs>
        <w:ind w:left="0" w:firstLine="0"/>
        <w:jc w:val="both"/>
        <w:rPr>
          <w:rFonts w:ascii="Times New Roman" w:hAnsi="Times New Roman"/>
          <w:noProof/>
          <w:sz w:val="24"/>
        </w:rPr>
      </w:pPr>
      <w:r>
        <w:rPr>
          <w:rFonts w:ascii="Times New Roman" w:hAnsi="Times New Roman"/>
          <w:noProof/>
          <w:sz w:val="24"/>
        </w:rPr>
        <w:t>Galasaņēmējs ir valdības vienība</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Valdības vienība </w:t>
      </w:r>
      <w:r>
        <w:rPr>
          <w:rFonts w:ascii="Times New Roman" w:hAnsi="Times New Roman"/>
          <w:i/>
          <w:noProof/>
          <w:sz w:val="24"/>
        </w:rPr>
        <w:t>t</w:t>
      </w:r>
      <w:r>
        <w:rPr>
          <w:rFonts w:ascii="Times New Roman" w:hAnsi="Times New Roman"/>
          <w:noProof/>
          <w:sz w:val="24"/>
        </w:rPr>
        <w:t xml:space="preserve"> gadā ir iztērējusi 2000 vienību (šajā gadījumā kā bruto ieguldījumus pamatkapitālā) projektā, kurā līdzfinansējums ir līdz 50 %. Attiecīgie dokumenti tiek nosūtīti Eiropas iestādei, tomēr tā atmaksā 1000 vienības tikai nākamā </w:t>
      </w:r>
      <w:r>
        <w:rPr>
          <w:rFonts w:ascii="Times New Roman" w:hAnsi="Times New Roman"/>
          <w:i/>
          <w:noProof/>
          <w:sz w:val="24"/>
        </w:rPr>
        <w:t>t+1</w:t>
      </w:r>
      <w:r>
        <w:rPr>
          <w:rFonts w:ascii="Times New Roman" w:hAnsi="Times New Roman"/>
          <w:noProof/>
          <w:sz w:val="24"/>
        </w:rPr>
        <w:t> gada laikā.</w:t>
      </w:r>
    </w:p>
    <w:p w:rsidR="00073FEC" w:rsidRPr="001973D0" w:rsidRDefault="00073FEC" w:rsidP="00073FEC">
      <w:pPr>
        <w:jc w:val="both"/>
        <w:rPr>
          <w:rFonts w:ascii="Times New Roman" w:eastAsia="Arial" w:hAnsi="Times New Roman" w:cs="Arial"/>
          <w:noProof/>
          <w:sz w:val="24"/>
          <w:szCs w:val="26"/>
        </w:rPr>
      </w:pPr>
    </w:p>
    <w:p w:rsidR="00073FEC" w:rsidRPr="001973D0" w:rsidRDefault="00BF5106" w:rsidP="00073FEC">
      <w:pPr>
        <w:pStyle w:val="Heading6"/>
        <w:jc w:val="both"/>
        <w:rPr>
          <w:rFonts w:ascii="Times New Roman" w:hAnsi="Times New Roman"/>
          <w:noProof/>
          <w:sz w:val="24"/>
        </w:rPr>
      </w:pPr>
      <w:r w:rsidRPr="00BF5106">
        <w:rPr>
          <w:rFonts w:ascii="Times New Roman" w:hAnsi="Times New Roman"/>
          <w:noProof/>
          <w:sz w:val="24"/>
          <w:lang w:bidi="ar-SA"/>
        </w:rPr>
        <w:drawing>
          <wp:inline distT="0" distB="0" distL="0" distR="0">
            <wp:extent cx="5762625" cy="309063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2625" cy="3090635"/>
                    </a:xfrm>
                    <a:prstGeom prst="rect">
                      <a:avLst/>
                    </a:prstGeom>
                    <a:noFill/>
                    <a:ln>
                      <a:noFill/>
                    </a:ln>
                  </pic:spPr>
                </pic:pic>
              </a:graphicData>
            </a:graphic>
          </wp:inline>
        </w:drawing>
      </w:r>
    </w:p>
    <w:p w:rsidR="00073FEC" w:rsidRDefault="00073FEC" w:rsidP="00073FEC">
      <w:pPr>
        <w:jc w:val="both"/>
        <w:rPr>
          <w:rFonts w:ascii="Times New Roman" w:hAnsi="Times New Roman"/>
          <w:noProof/>
          <w:sz w:val="24"/>
        </w:rPr>
      </w:pPr>
    </w:p>
    <w:p w:rsidR="00073FEC" w:rsidRDefault="00BF5106" w:rsidP="00073FEC">
      <w:pPr>
        <w:jc w:val="both"/>
        <w:rPr>
          <w:rFonts w:ascii="Times New Roman" w:hAnsi="Times New Roman"/>
          <w:noProof/>
          <w:sz w:val="24"/>
        </w:rPr>
      </w:pPr>
      <w:r w:rsidRPr="00BF5106">
        <w:rPr>
          <w:rFonts w:ascii="Times New Roman" w:hAnsi="Times New Roman"/>
          <w:noProof/>
          <w:sz w:val="24"/>
          <w:lang w:bidi="ar-SA"/>
        </w:rPr>
        <w:lastRenderedPageBreak/>
        <w:drawing>
          <wp:inline distT="0" distB="0" distL="0" distR="0">
            <wp:extent cx="5762625" cy="1119160"/>
            <wp:effectExtent l="0" t="0" r="0" b="508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2625" cy="1119160"/>
                    </a:xfrm>
                    <a:prstGeom prst="rect">
                      <a:avLst/>
                    </a:prstGeom>
                    <a:noFill/>
                    <a:ln>
                      <a:noFill/>
                    </a:ln>
                  </pic:spPr>
                </pic:pic>
              </a:graphicData>
            </a:graphic>
          </wp:inline>
        </w:drawing>
      </w:r>
    </w:p>
    <w:p w:rsidR="00073FEC" w:rsidRDefault="00073FEC" w:rsidP="00073FEC">
      <w:pPr>
        <w:jc w:val="both"/>
        <w:rPr>
          <w:rFonts w:ascii="Times New Roman" w:hAnsi="Times New Roman"/>
          <w:noProof/>
          <w:sz w:val="24"/>
        </w:rPr>
      </w:pPr>
    </w:p>
    <w:p w:rsidR="00073FEC" w:rsidRDefault="00D10B33" w:rsidP="00073FEC">
      <w:pPr>
        <w:jc w:val="both"/>
        <w:rPr>
          <w:rFonts w:ascii="Times New Roman" w:hAnsi="Times New Roman"/>
          <w:noProof/>
          <w:sz w:val="24"/>
        </w:rPr>
      </w:pPr>
      <w:r w:rsidRPr="00D10B33">
        <w:rPr>
          <w:rFonts w:ascii="Times New Roman" w:hAnsi="Times New Roman"/>
          <w:noProof/>
          <w:sz w:val="24"/>
          <w:lang w:bidi="ar-SA"/>
        </w:rPr>
        <w:drawing>
          <wp:inline distT="0" distB="0" distL="0" distR="0">
            <wp:extent cx="5762625" cy="3916299"/>
            <wp:effectExtent l="0" t="0" r="0" b="825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2625" cy="3916299"/>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b/>
          <w:bCs/>
          <w:noProof/>
          <w:sz w:val="24"/>
          <w:szCs w:val="21"/>
        </w:rPr>
      </w:pPr>
    </w:p>
    <w:p w:rsidR="00073FEC" w:rsidRPr="001973D0" w:rsidRDefault="000220CE" w:rsidP="00073FEC">
      <w:pPr>
        <w:pStyle w:val="Heading6"/>
        <w:numPr>
          <w:ilvl w:val="0"/>
          <w:numId w:val="2"/>
        </w:numPr>
        <w:tabs>
          <w:tab w:val="left" w:pos="709"/>
        </w:tabs>
        <w:ind w:left="0" w:firstLine="0"/>
        <w:jc w:val="both"/>
        <w:rPr>
          <w:rFonts w:ascii="Times New Roman" w:hAnsi="Times New Roman"/>
          <w:noProof/>
          <w:sz w:val="24"/>
        </w:rPr>
      </w:pPr>
      <w:r>
        <w:rPr>
          <w:rFonts w:ascii="Times New Roman" w:hAnsi="Times New Roman"/>
          <w:noProof/>
          <w:sz w:val="24"/>
        </w:rPr>
        <w:t>Maksājumu</w:t>
      </w:r>
      <w:r w:rsidR="00073FEC">
        <w:rPr>
          <w:rFonts w:ascii="Times New Roman" w:hAnsi="Times New Roman"/>
          <w:noProof/>
          <w:sz w:val="24"/>
        </w:rPr>
        <w:t xml:space="preserve"> </w:t>
      </w:r>
      <w:r>
        <w:rPr>
          <w:rFonts w:ascii="Times New Roman" w:hAnsi="Times New Roman"/>
          <w:noProof/>
          <w:sz w:val="24"/>
        </w:rPr>
        <w:t>atteikums</w:t>
      </w:r>
    </w:p>
    <w:p w:rsidR="00073FEC" w:rsidRPr="001973D0" w:rsidRDefault="00073FEC" w:rsidP="00073FEC">
      <w:pPr>
        <w:pStyle w:val="Heading6"/>
        <w:jc w:val="both"/>
        <w:rPr>
          <w:rFonts w:ascii="Times New Roman" w:hAnsi="Times New Roman" w:cs="Arial"/>
          <w:b w:val="0"/>
          <w:bCs w:val="0"/>
          <w:noProof/>
          <w:sz w:val="24"/>
        </w:rPr>
      </w:pPr>
      <w:r>
        <w:rPr>
          <w:rFonts w:ascii="Times New Roman" w:hAnsi="Times New Roman"/>
          <w:noProof/>
          <w:sz w:val="24"/>
        </w:rPr>
        <w:t xml:space="preserve">Lauksaimniecības pabalsti, kuru gadījumā valstij ir atļauts papildināt sākotnējo maksājumu </w:t>
      </w:r>
      <w:r>
        <w:rPr>
          <w:rFonts w:ascii="Times New Roman" w:hAnsi="Times New Roman"/>
          <w:b w:val="0"/>
          <w:noProof/>
          <w:sz w:val="24"/>
        </w:rPr>
        <w:t>(30. rindkopa)</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Valdība nosūta Eiropas iestādēm prasījumu par 1000 vienībām ar lūgumu atmaksāt </w:t>
      </w:r>
      <w:r>
        <w:rPr>
          <w:rFonts w:ascii="Times New Roman" w:hAnsi="Times New Roman"/>
          <w:i/>
          <w:noProof/>
          <w:sz w:val="24"/>
        </w:rPr>
        <w:t>t</w:t>
      </w:r>
      <w:r>
        <w:rPr>
          <w:rFonts w:ascii="Times New Roman" w:hAnsi="Times New Roman"/>
          <w:noProof/>
          <w:sz w:val="24"/>
        </w:rPr>
        <w:t xml:space="preserve"> gada novembrī izmaksātās subsīdijas, taču Eiropas iestādes atmaksā tikai 800 vienības </w:t>
      </w:r>
      <w:r>
        <w:rPr>
          <w:rFonts w:ascii="Times New Roman" w:hAnsi="Times New Roman"/>
          <w:i/>
          <w:noProof/>
          <w:sz w:val="24"/>
        </w:rPr>
        <w:t>t+1</w:t>
      </w:r>
      <w:r>
        <w:rPr>
          <w:rFonts w:ascii="Times New Roman" w:hAnsi="Times New Roman"/>
          <w:noProof/>
          <w:sz w:val="24"/>
        </w:rPr>
        <w:t> gada janvārī, jo 200 vienības tiek ieturētas kā soda nauda par neatbilstošiem prasījumiem iepriekšējos periodos (</w:t>
      </w:r>
      <w:r>
        <w:rPr>
          <w:rFonts w:ascii="Times New Roman" w:hAnsi="Times New Roman"/>
          <w:i/>
          <w:noProof/>
          <w:sz w:val="24"/>
        </w:rPr>
        <w:t>t-1</w:t>
      </w:r>
      <w:r>
        <w:rPr>
          <w:rFonts w:ascii="Times New Roman" w:hAnsi="Times New Roman"/>
          <w:noProof/>
          <w:sz w:val="24"/>
        </w:rPr>
        <w:t> gadā vai pirms tam). Galasaņēmējs patur sākotnējo subsīdiju.</w:t>
      </w:r>
    </w:p>
    <w:p w:rsidR="00073FEC" w:rsidRDefault="00073FEC" w:rsidP="00073FEC">
      <w:pPr>
        <w:jc w:val="both"/>
        <w:rPr>
          <w:rFonts w:ascii="Times New Roman" w:eastAsia="Arial" w:hAnsi="Times New Roman" w:cs="Arial"/>
          <w:b/>
          <w:bCs/>
          <w:noProof/>
          <w:sz w:val="24"/>
          <w:szCs w:val="20"/>
        </w:rPr>
      </w:pPr>
    </w:p>
    <w:p w:rsidR="00073FEC" w:rsidRDefault="00BF5106" w:rsidP="00073FEC">
      <w:pPr>
        <w:jc w:val="both"/>
        <w:rPr>
          <w:rFonts w:ascii="Times New Roman" w:eastAsia="Arial" w:hAnsi="Times New Roman" w:cs="Arial"/>
          <w:b/>
          <w:bCs/>
          <w:noProof/>
          <w:sz w:val="24"/>
          <w:szCs w:val="20"/>
        </w:rPr>
      </w:pPr>
      <w:r w:rsidRPr="00BF5106">
        <w:rPr>
          <w:rFonts w:ascii="Times New Roman" w:eastAsia="Arial" w:hAnsi="Times New Roman" w:cs="Arial"/>
          <w:b/>
          <w:bCs/>
          <w:noProof/>
          <w:sz w:val="24"/>
          <w:szCs w:val="20"/>
          <w:lang w:bidi="ar-SA"/>
        </w:rPr>
        <w:drawing>
          <wp:inline distT="0" distB="0" distL="0" distR="0">
            <wp:extent cx="5762625" cy="1639589"/>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2625" cy="1639589"/>
                    </a:xfrm>
                    <a:prstGeom prst="rect">
                      <a:avLst/>
                    </a:prstGeom>
                    <a:noFill/>
                    <a:ln>
                      <a:noFill/>
                    </a:ln>
                  </pic:spPr>
                </pic:pic>
              </a:graphicData>
            </a:graphic>
          </wp:inline>
        </w:drawing>
      </w:r>
    </w:p>
    <w:p w:rsidR="00073FEC" w:rsidRDefault="00073FEC" w:rsidP="00073FEC">
      <w:pPr>
        <w:jc w:val="both"/>
        <w:rPr>
          <w:rFonts w:ascii="Times New Roman" w:eastAsia="Arial" w:hAnsi="Times New Roman" w:cs="Arial"/>
          <w:b/>
          <w:bCs/>
          <w:noProof/>
          <w:sz w:val="24"/>
          <w:szCs w:val="20"/>
        </w:rPr>
      </w:pPr>
    </w:p>
    <w:p w:rsidR="00073FEC" w:rsidRDefault="00D10B33" w:rsidP="00D10B33">
      <w:pPr>
        <w:jc w:val="center"/>
        <w:rPr>
          <w:rFonts w:ascii="Times New Roman" w:eastAsia="Arial" w:hAnsi="Times New Roman" w:cs="Arial"/>
          <w:b/>
          <w:bCs/>
          <w:noProof/>
          <w:sz w:val="24"/>
          <w:szCs w:val="20"/>
        </w:rPr>
      </w:pPr>
      <w:r w:rsidRPr="00D10B33">
        <w:rPr>
          <w:rFonts w:ascii="Times New Roman" w:eastAsia="Arial" w:hAnsi="Times New Roman" w:cs="Arial"/>
          <w:b/>
          <w:bCs/>
          <w:noProof/>
          <w:sz w:val="24"/>
          <w:szCs w:val="20"/>
          <w:lang w:bidi="ar-SA"/>
        </w:rPr>
        <w:lastRenderedPageBreak/>
        <w:drawing>
          <wp:inline distT="0" distB="0" distL="0" distR="0">
            <wp:extent cx="5531545" cy="2430295"/>
            <wp:effectExtent l="0" t="0" r="0"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36521" cy="2432481"/>
                    </a:xfrm>
                    <a:prstGeom prst="rect">
                      <a:avLst/>
                    </a:prstGeom>
                    <a:noFill/>
                    <a:ln>
                      <a:noFill/>
                    </a:ln>
                  </pic:spPr>
                </pic:pic>
              </a:graphicData>
            </a:graphic>
          </wp:inline>
        </w:drawing>
      </w:r>
    </w:p>
    <w:p w:rsidR="00073FEC" w:rsidRDefault="00073FEC" w:rsidP="00073FEC">
      <w:pPr>
        <w:jc w:val="both"/>
        <w:rPr>
          <w:rFonts w:ascii="Times New Roman" w:eastAsia="Arial" w:hAnsi="Times New Roman" w:cs="Arial"/>
          <w:b/>
          <w:bCs/>
          <w:noProof/>
          <w:sz w:val="24"/>
          <w:szCs w:val="20"/>
        </w:rPr>
      </w:pPr>
    </w:p>
    <w:p w:rsidR="00073FEC" w:rsidRDefault="00BF5106" w:rsidP="00073FEC">
      <w:pPr>
        <w:jc w:val="both"/>
        <w:rPr>
          <w:rFonts w:ascii="Times New Roman" w:eastAsia="Arial" w:hAnsi="Times New Roman" w:cs="Arial"/>
          <w:b/>
          <w:bCs/>
          <w:noProof/>
          <w:sz w:val="24"/>
          <w:szCs w:val="20"/>
        </w:rPr>
      </w:pPr>
      <w:r w:rsidRPr="00BF5106">
        <w:rPr>
          <w:rFonts w:ascii="Times New Roman" w:eastAsia="Arial" w:hAnsi="Times New Roman" w:cs="Arial"/>
          <w:b/>
          <w:bCs/>
          <w:noProof/>
          <w:sz w:val="24"/>
          <w:szCs w:val="20"/>
          <w:lang w:bidi="ar-SA"/>
        </w:rPr>
        <w:drawing>
          <wp:inline distT="0" distB="0" distL="0" distR="0">
            <wp:extent cx="5762625" cy="1506887"/>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2625" cy="1506887"/>
                    </a:xfrm>
                    <a:prstGeom prst="rect">
                      <a:avLst/>
                    </a:prstGeom>
                    <a:noFill/>
                    <a:ln>
                      <a:noFill/>
                    </a:ln>
                  </pic:spPr>
                </pic:pic>
              </a:graphicData>
            </a:graphic>
          </wp:inline>
        </w:drawing>
      </w:r>
    </w:p>
    <w:p w:rsidR="00073FEC" w:rsidRDefault="00073FEC" w:rsidP="00073FEC">
      <w:pPr>
        <w:jc w:val="both"/>
        <w:rPr>
          <w:rFonts w:ascii="Times New Roman" w:eastAsia="Arial" w:hAnsi="Times New Roman" w:cs="Arial"/>
          <w:b/>
          <w:bCs/>
          <w:noProof/>
          <w:sz w:val="24"/>
          <w:szCs w:val="20"/>
        </w:rPr>
      </w:pPr>
    </w:p>
    <w:p w:rsidR="00073FEC" w:rsidRDefault="008F11FC" w:rsidP="00073FEC">
      <w:pPr>
        <w:jc w:val="both"/>
        <w:rPr>
          <w:rFonts w:ascii="Times New Roman" w:eastAsia="Arial" w:hAnsi="Times New Roman" w:cs="Arial"/>
          <w:b/>
          <w:bCs/>
          <w:noProof/>
          <w:sz w:val="24"/>
          <w:szCs w:val="20"/>
        </w:rPr>
      </w:pPr>
      <w:r w:rsidRPr="008F11FC">
        <w:rPr>
          <w:rFonts w:ascii="Times New Roman" w:eastAsia="Arial" w:hAnsi="Times New Roman" w:cs="Arial"/>
          <w:b/>
          <w:bCs/>
          <w:noProof/>
          <w:sz w:val="24"/>
          <w:szCs w:val="20"/>
          <w:lang w:bidi="ar-SA"/>
        </w:rPr>
        <w:drawing>
          <wp:inline distT="0" distB="0" distL="0" distR="0">
            <wp:extent cx="5762625" cy="398328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2625" cy="3983280"/>
                    </a:xfrm>
                    <a:prstGeom prst="rect">
                      <a:avLst/>
                    </a:prstGeom>
                    <a:noFill/>
                    <a:ln>
                      <a:noFill/>
                    </a:ln>
                  </pic:spPr>
                </pic:pic>
              </a:graphicData>
            </a:graphic>
          </wp:inline>
        </w:drawing>
      </w:r>
    </w:p>
    <w:p w:rsidR="00073FEC" w:rsidRDefault="00073FEC" w:rsidP="00073FEC">
      <w:pPr>
        <w:jc w:val="both"/>
        <w:rPr>
          <w:rFonts w:ascii="Times New Roman" w:eastAsia="Arial" w:hAnsi="Times New Roman" w:cs="Arial"/>
          <w:b/>
          <w:bCs/>
          <w:noProof/>
          <w:sz w:val="24"/>
          <w:szCs w:val="20"/>
        </w:rPr>
      </w:pPr>
    </w:p>
    <w:p w:rsidR="00073FEC" w:rsidRPr="001973D0" w:rsidRDefault="008F11FC" w:rsidP="00073FEC">
      <w:pPr>
        <w:jc w:val="both"/>
        <w:rPr>
          <w:rFonts w:ascii="Times New Roman" w:eastAsia="Arial" w:hAnsi="Times New Roman" w:cs="Arial"/>
          <w:b/>
          <w:bCs/>
          <w:noProof/>
          <w:sz w:val="24"/>
          <w:szCs w:val="20"/>
        </w:rPr>
      </w:pPr>
      <w:r w:rsidRPr="008F11FC">
        <w:rPr>
          <w:rFonts w:ascii="Times New Roman" w:eastAsia="Arial" w:hAnsi="Times New Roman" w:cs="Arial"/>
          <w:b/>
          <w:bCs/>
          <w:noProof/>
          <w:sz w:val="24"/>
          <w:szCs w:val="20"/>
          <w:lang w:bidi="ar-SA"/>
        </w:rPr>
        <w:lastRenderedPageBreak/>
        <w:drawing>
          <wp:inline distT="0" distB="0" distL="0" distR="0">
            <wp:extent cx="5762625" cy="1849984"/>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2625" cy="1849984"/>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b/>
          <w:bCs/>
          <w:noProof/>
          <w:sz w:val="24"/>
          <w:szCs w:val="16"/>
        </w:rPr>
      </w:pPr>
    </w:p>
    <w:p w:rsidR="00073FEC" w:rsidRPr="001973D0" w:rsidRDefault="00073FEC" w:rsidP="00073FEC">
      <w:pPr>
        <w:pStyle w:val="Heading6"/>
        <w:numPr>
          <w:ilvl w:val="0"/>
          <w:numId w:val="2"/>
        </w:numPr>
        <w:tabs>
          <w:tab w:val="left" w:pos="709"/>
        </w:tabs>
        <w:ind w:left="0" w:firstLine="0"/>
        <w:jc w:val="both"/>
        <w:rPr>
          <w:rFonts w:ascii="Times New Roman" w:hAnsi="Times New Roman"/>
          <w:noProof/>
          <w:sz w:val="24"/>
        </w:rPr>
      </w:pPr>
      <w:r>
        <w:rPr>
          <w:rFonts w:ascii="Times New Roman" w:hAnsi="Times New Roman"/>
          <w:noProof/>
          <w:sz w:val="24"/>
        </w:rPr>
        <w:t>Lauksaimniecības pabalsti, kuru gadījumā valstij nav atļauts pabeigt sākotnējo maksājumu un gala saņēmējs nespēj atmaksāt pilnu summu</w:t>
      </w:r>
    </w:p>
    <w:p w:rsidR="00073FEC" w:rsidRPr="001973D0" w:rsidRDefault="00073FEC" w:rsidP="00073FEC">
      <w:pPr>
        <w:pStyle w:val="BodyText"/>
        <w:spacing w:before="0"/>
        <w:ind w:left="0" w:firstLine="0"/>
        <w:jc w:val="both"/>
        <w:rPr>
          <w:rFonts w:ascii="Times New Roman" w:hAnsi="Times New Roman"/>
          <w:noProof/>
          <w:sz w:val="24"/>
        </w:rPr>
      </w:pPr>
      <w:r>
        <w:rPr>
          <w:rFonts w:ascii="Times New Roman" w:hAnsi="Times New Roman"/>
          <w:noProof/>
          <w:sz w:val="24"/>
        </w:rPr>
        <w:t xml:space="preserve">Valdība nosūta Eiropas iestādēm prasību par 1000 vienībām ar lūgumu atmaksāt </w:t>
      </w:r>
      <w:r>
        <w:rPr>
          <w:rFonts w:ascii="Times New Roman" w:hAnsi="Times New Roman"/>
          <w:i/>
          <w:noProof/>
          <w:sz w:val="24"/>
        </w:rPr>
        <w:t>t</w:t>
      </w:r>
      <w:r>
        <w:rPr>
          <w:rFonts w:ascii="Times New Roman" w:hAnsi="Times New Roman"/>
          <w:noProof/>
          <w:sz w:val="24"/>
        </w:rPr>
        <w:t xml:space="preserve"> gada novembrī izmaksātās subsīdijas, taču Eiropas iestādes atmaksā tikai 800 vienības </w:t>
      </w:r>
      <w:r>
        <w:rPr>
          <w:rFonts w:ascii="Times New Roman" w:hAnsi="Times New Roman"/>
          <w:i/>
          <w:noProof/>
          <w:sz w:val="24"/>
        </w:rPr>
        <w:t>t+1</w:t>
      </w:r>
      <w:r>
        <w:rPr>
          <w:rFonts w:ascii="Times New Roman" w:hAnsi="Times New Roman"/>
          <w:noProof/>
          <w:sz w:val="24"/>
        </w:rPr>
        <w:t> gada janvārī, jo 200 vienības tiek ieturētas kā soda nauda par neatbilstošām prasībām iepriekšējos periodos. Galasaņēmējs nevar paturēt sākotnējo soda naudu, taču vienlaikus galasaņēmējs arī nespēj to atmaksāt.</w:t>
      </w:r>
    </w:p>
    <w:p w:rsidR="00073FEC" w:rsidRDefault="00073FEC" w:rsidP="00073FEC">
      <w:pPr>
        <w:jc w:val="both"/>
        <w:rPr>
          <w:rFonts w:ascii="Times New Roman" w:eastAsia="Arial" w:hAnsi="Times New Roman" w:cs="Arial"/>
          <w:b/>
          <w:bCs/>
          <w:noProof/>
          <w:sz w:val="24"/>
          <w:szCs w:val="20"/>
        </w:rPr>
      </w:pPr>
    </w:p>
    <w:p w:rsidR="00073FEC" w:rsidRDefault="00D10B33" w:rsidP="00073FEC">
      <w:pPr>
        <w:jc w:val="both"/>
        <w:rPr>
          <w:rFonts w:ascii="Times New Roman" w:eastAsia="Arial" w:hAnsi="Times New Roman" w:cs="Arial"/>
          <w:b/>
          <w:bCs/>
          <w:noProof/>
          <w:sz w:val="24"/>
          <w:szCs w:val="20"/>
        </w:rPr>
      </w:pPr>
      <w:r w:rsidRPr="00D10B33">
        <w:rPr>
          <w:rFonts w:ascii="Times New Roman" w:eastAsia="Arial" w:hAnsi="Times New Roman" w:cs="Arial"/>
          <w:b/>
          <w:bCs/>
          <w:noProof/>
          <w:sz w:val="24"/>
          <w:szCs w:val="20"/>
          <w:lang w:bidi="ar-SA"/>
        </w:rPr>
        <w:drawing>
          <wp:inline distT="0" distB="0" distL="0" distR="0">
            <wp:extent cx="5762625" cy="4517544"/>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2625" cy="4517544"/>
                    </a:xfrm>
                    <a:prstGeom prst="rect">
                      <a:avLst/>
                    </a:prstGeom>
                    <a:noFill/>
                    <a:ln>
                      <a:noFill/>
                    </a:ln>
                  </pic:spPr>
                </pic:pic>
              </a:graphicData>
            </a:graphic>
          </wp:inline>
        </w:drawing>
      </w:r>
    </w:p>
    <w:p w:rsidR="00073FEC" w:rsidRDefault="00073FEC" w:rsidP="00073FEC">
      <w:pPr>
        <w:jc w:val="both"/>
        <w:rPr>
          <w:rFonts w:ascii="Times New Roman" w:eastAsia="Arial" w:hAnsi="Times New Roman" w:cs="Arial"/>
          <w:b/>
          <w:bCs/>
          <w:noProof/>
          <w:sz w:val="24"/>
          <w:szCs w:val="20"/>
        </w:rPr>
      </w:pPr>
    </w:p>
    <w:p w:rsidR="00073FEC" w:rsidRPr="001973D0" w:rsidRDefault="008F11FC" w:rsidP="00073FEC">
      <w:pPr>
        <w:jc w:val="both"/>
        <w:rPr>
          <w:rFonts w:ascii="Times New Roman" w:eastAsia="Arial" w:hAnsi="Times New Roman" w:cs="Arial"/>
          <w:b/>
          <w:bCs/>
          <w:noProof/>
          <w:sz w:val="24"/>
          <w:szCs w:val="20"/>
        </w:rPr>
      </w:pPr>
      <w:r w:rsidRPr="008F11FC">
        <w:rPr>
          <w:rFonts w:ascii="Times New Roman" w:eastAsia="Arial" w:hAnsi="Times New Roman" w:cs="Arial"/>
          <w:b/>
          <w:bCs/>
          <w:noProof/>
          <w:sz w:val="24"/>
          <w:szCs w:val="20"/>
          <w:lang w:bidi="ar-SA"/>
        </w:rPr>
        <w:lastRenderedPageBreak/>
        <w:drawing>
          <wp:inline distT="0" distB="0" distL="0" distR="0">
            <wp:extent cx="3115310" cy="3328035"/>
            <wp:effectExtent l="0" t="0" r="8890" b="571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15310" cy="3328035"/>
                    </a:xfrm>
                    <a:prstGeom prst="rect">
                      <a:avLst/>
                    </a:prstGeom>
                    <a:noFill/>
                    <a:ln>
                      <a:noFill/>
                    </a:ln>
                  </pic:spPr>
                </pic:pic>
              </a:graphicData>
            </a:graphic>
          </wp:inline>
        </w:drawing>
      </w:r>
    </w:p>
    <w:p w:rsidR="00073FEC" w:rsidRPr="001973D0" w:rsidRDefault="00073FEC" w:rsidP="00073FEC">
      <w:pPr>
        <w:jc w:val="both"/>
        <w:rPr>
          <w:rFonts w:ascii="Times New Roman" w:eastAsia="Arial" w:hAnsi="Times New Roman" w:cs="Arial"/>
          <w:b/>
          <w:bCs/>
          <w:noProof/>
          <w:sz w:val="24"/>
          <w:szCs w:val="20"/>
        </w:rPr>
      </w:pPr>
    </w:p>
    <w:p w:rsidR="00073FEC" w:rsidRPr="001973D0" w:rsidRDefault="008F11FC" w:rsidP="00073FEC">
      <w:pPr>
        <w:jc w:val="both"/>
        <w:rPr>
          <w:rFonts w:ascii="Times New Roman" w:eastAsia="Arial" w:hAnsi="Times New Roman" w:cs="Arial"/>
          <w:b/>
          <w:bCs/>
          <w:noProof/>
          <w:sz w:val="24"/>
          <w:szCs w:val="20"/>
        </w:rPr>
      </w:pPr>
      <w:r w:rsidRPr="008F11FC">
        <w:rPr>
          <w:rFonts w:ascii="Times New Roman" w:eastAsia="Arial" w:hAnsi="Times New Roman" w:cs="Arial"/>
          <w:b/>
          <w:bCs/>
          <w:noProof/>
          <w:sz w:val="24"/>
          <w:szCs w:val="20"/>
          <w:lang w:bidi="ar-SA"/>
        </w:rPr>
        <w:drawing>
          <wp:inline distT="0" distB="0" distL="0" distR="0">
            <wp:extent cx="5762625" cy="4464632"/>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2625" cy="4464632"/>
                    </a:xfrm>
                    <a:prstGeom prst="rect">
                      <a:avLst/>
                    </a:prstGeom>
                    <a:noFill/>
                    <a:ln>
                      <a:noFill/>
                    </a:ln>
                  </pic:spPr>
                </pic:pic>
              </a:graphicData>
            </a:graphic>
          </wp:inline>
        </w:drawing>
      </w:r>
    </w:p>
    <w:p w:rsidR="00073FEC" w:rsidRDefault="00073FEC" w:rsidP="00073FEC">
      <w:pPr>
        <w:rPr>
          <w:rFonts w:ascii="Times New Roman" w:eastAsia="Arial" w:hAnsi="Times New Roman" w:cs="Arial"/>
          <w:b/>
          <w:bCs/>
          <w:noProof/>
          <w:sz w:val="24"/>
          <w:szCs w:val="20"/>
        </w:rPr>
      </w:pPr>
      <w:r>
        <w:br w:type="page"/>
      </w:r>
    </w:p>
    <w:p w:rsidR="00073FEC" w:rsidRDefault="00073FEC" w:rsidP="008F11FC">
      <w:pPr>
        <w:pStyle w:val="Heading2"/>
        <w:rPr>
          <w:noProof/>
        </w:rPr>
      </w:pPr>
      <w:bookmarkStart w:id="168" w:name="II.7_Court_decisions_with_retroactive_ef"/>
      <w:bookmarkStart w:id="169" w:name="_bookmark18"/>
      <w:bookmarkStart w:id="170" w:name="_Toc471135882"/>
      <w:bookmarkEnd w:id="168"/>
      <w:bookmarkEnd w:id="169"/>
      <w:r>
        <w:rPr>
          <w:noProof/>
        </w:rPr>
        <w:lastRenderedPageBreak/>
        <w:t xml:space="preserve">II.7. Tiesas nolēmumi ar </w:t>
      </w:r>
      <w:r w:rsidRPr="008F11FC">
        <w:t>atpakaļejošu</w:t>
      </w:r>
      <w:r>
        <w:rPr>
          <w:noProof/>
        </w:rPr>
        <w:t xml:space="preserve"> spēku</w:t>
      </w:r>
      <w:bookmarkEnd w:id="170"/>
    </w:p>
    <w:p w:rsidR="00073FEC" w:rsidRPr="001973D0" w:rsidRDefault="00073FEC" w:rsidP="00073FEC">
      <w:pPr>
        <w:pStyle w:val="Heading2"/>
        <w:tabs>
          <w:tab w:val="left" w:pos="1612"/>
        </w:tabs>
        <w:jc w:val="both"/>
        <w:rPr>
          <w:noProof/>
          <w:sz w:val="24"/>
        </w:rPr>
      </w:pPr>
    </w:p>
    <w:p w:rsidR="00073FEC" w:rsidRDefault="00073FEC" w:rsidP="00073FEC">
      <w:pPr>
        <w:pStyle w:val="Heading4"/>
        <w:tabs>
          <w:tab w:val="left" w:pos="1622"/>
        </w:tabs>
        <w:ind w:left="0" w:firstLine="0"/>
        <w:jc w:val="both"/>
        <w:rPr>
          <w:rFonts w:ascii="Times New Roman" w:hAnsi="Times New Roman"/>
          <w:noProof/>
          <w:u w:val="thick" w:color="000000"/>
        </w:rPr>
      </w:pPr>
      <w:bookmarkStart w:id="171" w:name="II.7.1_Background"/>
      <w:bookmarkEnd w:id="171"/>
      <w:r>
        <w:rPr>
          <w:rFonts w:ascii="Times New Roman" w:hAnsi="Times New Roman"/>
          <w:noProof/>
          <w:u w:val="none"/>
        </w:rPr>
        <w:t>II.7.1. </w:t>
      </w:r>
      <w:r>
        <w:rPr>
          <w:rFonts w:ascii="Times New Roman" w:hAnsi="Times New Roman"/>
          <w:noProof/>
          <w:u w:val="thick" w:color="000000"/>
        </w:rPr>
        <w:t>Vispārēja informācija</w:t>
      </w:r>
    </w:p>
    <w:p w:rsidR="00073FEC" w:rsidRPr="001973D0" w:rsidRDefault="00073FEC" w:rsidP="00073FEC">
      <w:pPr>
        <w:pStyle w:val="Heading4"/>
        <w:tabs>
          <w:tab w:val="left" w:pos="1622"/>
        </w:tabs>
        <w:ind w:left="0" w:firstLine="0"/>
        <w:jc w:val="both"/>
        <w:rPr>
          <w:rFonts w:ascii="Times New Roman" w:hAnsi="Times New Roman"/>
          <w:noProof/>
          <w:u w:val="thick" w:color="000000"/>
        </w:rPr>
      </w:pPr>
    </w:p>
    <w:p w:rsidR="00073FEC" w:rsidRPr="001973D0" w:rsidRDefault="00073FEC" w:rsidP="00073FEC">
      <w:pPr>
        <w:pStyle w:val="BodyText"/>
        <w:numPr>
          <w:ilvl w:val="0"/>
          <w:numId w:val="1"/>
        </w:numPr>
        <w:tabs>
          <w:tab w:val="left" w:pos="1262"/>
        </w:tabs>
        <w:spacing w:before="0"/>
        <w:ind w:left="709" w:hanging="709"/>
        <w:jc w:val="both"/>
        <w:rPr>
          <w:rFonts w:ascii="Times New Roman" w:hAnsi="Times New Roman"/>
          <w:noProof/>
          <w:sz w:val="24"/>
        </w:rPr>
      </w:pPr>
      <w:r>
        <w:rPr>
          <w:rFonts w:ascii="Times New Roman" w:hAnsi="Times New Roman"/>
          <w:noProof/>
          <w:sz w:val="24"/>
        </w:rPr>
        <w:t>Kad pastāv domstarpības par prasījumiem/saistībām, var būt nepieciešams tiesas nolēmums vai kāds no citiem atzītiem strīda risināšanas paņēmieniem (arbitrāža), lai izšķirtu strīdu un noteiktu neapstrīdamās prasītāju tiesības uz noteikto summu attiecībā pret valdību. Šādam spriedumam jābūt galīgam un līdz ar to tieši piemērojamam attiecībā uz pusēm, kuras izsmēlušas visas pārsūdzības iespējas (vēršanos tiesā).</w:t>
      </w:r>
    </w:p>
    <w:p w:rsidR="00073FEC" w:rsidRPr="001973D0" w:rsidRDefault="00073FEC" w:rsidP="00073FEC">
      <w:pPr>
        <w:pStyle w:val="BodyText"/>
        <w:numPr>
          <w:ilvl w:val="0"/>
          <w:numId w:val="1"/>
        </w:numPr>
        <w:tabs>
          <w:tab w:val="left" w:pos="1262"/>
        </w:tabs>
        <w:spacing w:before="0"/>
        <w:ind w:left="709" w:hanging="709"/>
        <w:jc w:val="both"/>
        <w:rPr>
          <w:rFonts w:ascii="Times New Roman" w:hAnsi="Times New Roman"/>
          <w:noProof/>
          <w:sz w:val="24"/>
        </w:rPr>
      </w:pPr>
      <w:r>
        <w:rPr>
          <w:rFonts w:ascii="Times New Roman" w:hAnsi="Times New Roman"/>
          <w:noProof/>
          <w:sz w:val="24"/>
        </w:rPr>
        <w:t>Dažkārt valstij ir bijis jāizmaksā naudas līdzekļi jau vairākus gadus, bet tā to nav darījusi domstarpību dēļ. Tiesvedībai var būt nepieciešams ļoti ilgs laiks, jo īpaši ņemot vērā dažādos tiesvedības līmeņus, ko puses var izmantot.</w:t>
      </w:r>
    </w:p>
    <w:p w:rsidR="00073FEC" w:rsidRDefault="00073FEC" w:rsidP="00073FEC">
      <w:pPr>
        <w:pStyle w:val="BodyText"/>
        <w:numPr>
          <w:ilvl w:val="0"/>
          <w:numId w:val="1"/>
        </w:numPr>
        <w:tabs>
          <w:tab w:val="left" w:pos="1262"/>
        </w:tabs>
        <w:spacing w:before="0"/>
        <w:ind w:left="709" w:hanging="709"/>
        <w:jc w:val="both"/>
        <w:rPr>
          <w:rFonts w:ascii="Times New Roman" w:hAnsi="Times New Roman"/>
          <w:noProof/>
          <w:sz w:val="24"/>
        </w:rPr>
      </w:pPr>
      <w:r>
        <w:rPr>
          <w:rFonts w:ascii="Times New Roman" w:hAnsi="Times New Roman"/>
          <w:noProof/>
          <w:sz w:val="24"/>
        </w:rPr>
        <w:t>Tāpēc būtisks jautājums ir par to, kad šie pras</w:t>
      </w:r>
      <w:r w:rsidR="000220CE">
        <w:rPr>
          <w:rFonts w:ascii="Times New Roman" w:hAnsi="Times New Roman"/>
          <w:noProof/>
          <w:sz w:val="24"/>
        </w:rPr>
        <w:t>ījumi un saistības ir jāieraksta</w:t>
      </w:r>
      <w:r>
        <w:rPr>
          <w:rFonts w:ascii="Times New Roman" w:hAnsi="Times New Roman"/>
          <w:noProof/>
          <w:sz w:val="24"/>
        </w:rPr>
        <w:t>, jo teorētiski to var veikt:</w:t>
      </w:r>
    </w:p>
    <w:p w:rsidR="00073FEC" w:rsidRPr="001973D0" w:rsidRDefault="00073FEC" w:rsidP="00073FEC">
      <w:pPr>
        <w:pStyle w:val="BodyText"/>
        <w:tabs>
          <w:tab w:val="left" w:pos="1262"/>
        </w:tabs>
        <w:spacing w:before="0"/>
        <w:ind w:left="0" w:firstLine="0"/>
        <w:jc w:val="both"/>
        <w:rPr>
          <w:rFonts w:ascii="Times New Roman" w:hAnsi="Times New Roman"/>
          <w:noProof/>
          <w:sz w:val="24"/>
        </w:rPr>
      </w:pPr>
    </w:p>
    <w:p w:rsidR="00073FEC" w:rsidRPr="001973D0" w:rsidRDefault="00073FEC" w:rsidP="00073FEC">
      <w:pPr>
        <w:pStyle w:val="BodyText"/>
        <w:numPr>
          <w:ilvl w:val="1"/>
          <w:numId w:val="1"/>
        </w:numPr>
        <w:tabs>
          <w:tab w:val="left" w:pos="1622"/>
        </w:tabs>
        <w:spacing w:before="0"/>
        <w:ind w:left="1134" w:hanging="425"/>
        <w:jc w:val="both"/>
        <w:rPr>
          <w:rFonts w:ascii="Times New Roman" w:hAnsi="Times New Roman"/>
          <w:noProof/>
          <w:sz w:val="24"/>
        </w:rPr>
      </w:pPr>
      <w:r>
        <w:rPr>
          <w:rFonts w:ascii="Times New Roman" w:hAnsi="Times New Roman"/>
          <w:noProof/>
          <w:sz w:val="24"/>
        </w:rPr>
        <w:t>brīdī, kad tie uzkrājas vai ir jāizmaksā;</w:t>
      </w:r>
    </w:p>
    <w:p w:rsidR="00073FEC" w:rsidRPr="001973D0" w:rsidRDefault="00073FEC" w:rsidP="00073FEC">
      <w:pPr>
        <w:pStyle w:val="BodyText"/>
        <w:numPr>
          <w:ilvl w:val="1"/>
          <w:numId w:val="1"/>
        </w:numPr>
        <w:tabs>
          <w:tab w:val="left" w:pos="1622"/>
        </w:tabs>
        <w:spacing w:before="0"/>
        <w:ind w:left="1134" w:hanging="425"/>
        <w:jc w:val="both"/>
        <w:rPr>
          <w:rFonts w:ascii="Times New Roman" w:hAnsi="Times New Roman"/>
          <w:noProof/>
          <w:sz w:val="24"/>
        </w:rPr>
      </w:pPr>
      <w:r>
        <w:rPr>
          <w:rFonts w:ascii="Times New Roman" w:hAnsi="Times New Roman"/>
          <w:noProof/>
          <w:sz w:val="24"/>
        </w:rPr>
        <w:t>brīdī, kad strīds tiek atrisināts ar tiesas nolēmumu, kurā negrozāmi noteiktas summas.</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22"/>
        </w:tabs>
        <w:ind w:left="0" w:firstLine="0"/>
        <w:jc w:val="both"/>
        <w:rPr>
          <w:rFonts w:ascii="Times New Roman" w:hAnsi="Times New Roman"/>
          <w:noProof/>
          <w:u w:val="thick" w:color="000000"/>
        </w:rPr>
      </w:pPr>
      <w:bookmarkStart w:id="172" w:name="II.7.2_Treatment_in_national_accounts"/>
      <w:bookmarkEnd w:id="172"/>
      <w:r>
        <w:rPr>
          <w:rFonts w:ascii="Times New Roman" w:hAnsi="Times New Roman"/>
          <w:noProof/>
          <w:u w:val="none"/>
        </w:rPr>
        <w:t>II.7.2. </w:t>
      </w:r>
      <w:r>
        <w:rPr>
          <w:rFonts w:ascii="Times New Roman" w:hAnsi="Times New Roman"/>
          <w:noProof/>
          <w:u w:val="thick" w:color="000000"/>
        </w:rPr>
        <w:t>Traktējums nacionālajos kontos</w:t>
      </w:r>
    </w:p>
    <w:p w:rsidR="00073FEC" w:rsidRPr="001973D0" w:rsidRDefault="00073FEC" w:rsidP="00073FEC">
      <w:pPr>
        <w:pStyle w:val="Heading4"/>
        <w:tabs>
          <w:tab w:val="left" w:pos="1622"/>
        </w:tabs>
        <w:ind w:left="0" w:firstLine="0"/>
        <w:jc w:val="both"/>
        <w:rPr>
          <w:rFonts w:ascii="Times New Roman" w:hAnsi="Times New Roman"/>
          <w:noProof/>
          <w:u w:val="thick" w:color="000000"/>
        </w:rPr>
      </w:pPr>
    </w:p>
    <w:p w:rsidR="00073FEC" w:rsidRPr="001973D0" w:rsidRDefault="00073FEC" w:rsidP="00073FEC">
      <w:pPr>
        <w:pStyle w:val="BodyText"/>
        <w:numPr>
          <w:ilvl w:val="0"/>
          <w:numId w:val="1"/>
        </w:numPr>
        <w:tabs>
          <w:tab w:val="left" w:pos="1262"/>
        </w:tabs>
        <w:spacing w:before="0"/>
        <w:ind w:left="709" w:hanging="709"/>
        <w:jc w:val="both"/>
        <w:rPr>
          <w:rFonts w:ascii="Times New Roman" w:hAnsi="Times New Roman"/>
          <w:noProof/>
          <w:sz w:val="24"/>
          <w:szCs w:val="14"/>
        </w:rPr>
      </w:pPr>
      <w:r>
        <w:rPr>
          <w:rFonts w:ascii="Times New Roman" w:hAnsi="Times New Roman"/>
          <w:noProof/>
          <w:sz w:val="24"/>
        </w:rPr>
        <w:t xml:space="preserve">EKS 2010 20.189. punktā noteikts, ka gadījumā, ja tiesa galīgā spriedumā nolemj, ka jāmaksā kompensācija vai jāveic reverss darījums, </w:t>
      </w:r>
      <w:r w:rsidR="000220CE">
        <w:rPr>
          <w:rFonts w:ascii="Times New Roman" w:hAnsi="Times New Roman"/>
          <w:noProof/>
          <w:sz w:val="24"/>
        </w:rPr>
        <w:t>izdevumus vai ieņēmumus ieraksta</w:t>
      </w:r>
      <w:r>
        <w:rPr>
          <w:rFonts w:ascii="Times New Roman" w:hAnsi="Times New Roman"/>
          <w:noProof/>
          <w:sz w:val="24"/>
        </w:rPr>
        <w:t xml:space="preserve"> brīdī, kad vienai pusei tiek piešķirtas neapstrīdamas tiesības (un attiecīgi noteiktas saistības otrai pusei), ja ir precīzi noteikta izmaksājamā (vai atdodamā) summa. Tas var būt brīdī, kad tiesa pieņem lēmumu, ja vien šāds lēmums ir jāpiemēro nekavējoties. Pienākums veikt maksājumu valdībai var būt noteikts ar laika nobīdi. Atsevišķos gadījumos tiesa ir skaidri noteikusi savā lēmumā, ka maksājumi, kas jāveic valdībai vai ko valdībai ir tiesības saņemt, ir jāsadala.</w:t>
      </w:r>
      <w:r>
        <w:rPr>
          <w:rStyle w:val="FootnoteReference"/>
          <w:rFonts w:ascii="Times New Roman" w:hAnsi="Times New Roman"/>
          <w:noProof/>
          <w:sz w:val="24"/>
        </w:rPr>
        <w:footnoteReference w:id="142"/>
      </w:r>
    </w:p>
    <w:p w:rsidR="00073FEC" w:rsidRPr="001973D0" w:rsidRDefault="00073FEC" w:rsidP="00073FEC">
      <w:pPr>
        <w:pStyle w:val="BodyText"/>
        <w:numPr>
          <w:ilvl w:val="0"/>
          <w:numId w:val="1"/>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Ja tiesa ir noteikusi vienīgi kompensācijas principu, bet nav noteikusi precīzu summu, atstājot to noteikšanai citā lēmumā (piemēram, citas tiesas ziņā), vai ja tiesības uz kompensāciju saistītas ar turpmākām pārbaudēm/novērtēšanu, kas prasītājam jāpieprasa īpašā pieteikumā (kā tas var būt “kopdarbības” gadījumā), tad </w:t>
      </w:r>
      <w:r w:rsidR="000220CE">
        <w:rPr>
          <w:rFonts w:ascii="Times New Roman" w:hAnsi="Times New Roman"/>
          <w:noProof/>
          <w:sz w:val="24"/>
        </w:rPr>
        <w:t>izdevumus vai ienākumus ieraksta</w:t>
      </w:r>
      <w:r>
        <w:rPr>
          <w:rFonts w:ascii="Times New Roman" w:hAnsi="Times New Roman"/>
          <w:noProof/>
          <w:sz w:val="24"/>
        </w:rPr>
        <w:t xml:space="preserve"> tikai brīdī, kad ir skaidri noteikta prasījumu/saistību summa.</w:t>
      </w:r>
    </w:p>
    <w:p w:rsidR="00073FEC" w:rsidRPr="001973D0" w:rsidRDefault="00073FEC" w:rsidP="00073FEC">
      <w:pPr>
        <w:pStyle w:val="BodyText"/>
        <w:numPr>
          <w:ilvl w:val="0"/>
          <w:numId w:val="1"/>
        </w:numPr>
        <w:tabs>
          <w:tab w:val="left" w:pos="1262"/>
        </w:tabs>
        <w:spacing w:before="0"/>
        <w:ind w:left="709" w:hanging="709"/>
        <w:jc w:val="both"/>
        <w:rPr>
          <w:rFonts w:ascii="Times New Roman" w:hAnsi="Times New Roman"/>
          <w:noProof/>
          <w:sz w:val="24"/>
        </w:rPr>
      </w:pPr>
      <w:r>
        <w:rPr>
          <w:rFonts w:ascii="Times New Roman" w:hAnsi="Times New Roman"/>
          <w:noProof/>
          <w:sz w:val="24"/>
        </w:rPr>
        <w:t xml:space="preserve">Lai tiesas nolēmumu varētu īstenot, tam jābūt “galīgam”, t. i., tādam, ko puses vairs nevar pārsūdzēt. Tas ietver dažādus valsts tiesu sistēmas līmeņus, ES Tiesas instances un dažos gadījumos arī privātas “šķīrējtiesas”. Šo nosacījumu var piemērot arī tad, ja strīdā iesaistītās puses atklāti vai faktiski atsakās no pārsūdzības (kas parasti ir jāiesniedz, precīzi ievērojot noteikto termiņu). Dažkārt tiesa galīgajā nolēmumā var būt noteikusi, ka pusei ir tiesības uz kompensāciju, taču strīda izšķiršanu atstājusi zemākas instances tiesai. Šāda jauna vēršanās tiesā var notikt automātiski, </w:t>
      </w:r>
      <w:r>
        <w:rPr>
          <w:rFonts w:ascii="Times New Roman" w:hAnsi="Times New Roman"/>
          <w:i/>
          <w:noProof/>
          <w:sz w:val="24"/>
        </w:rPr>
        <w:t>de iure</w:t>
      </w:r>
      <w:r>
        <w:rPr>
          <w:rFonts w:ascii="Times New Roman" w:hAnsi="Times New Roman"/>
          <w:noProof/>
          <w:sz w:val="24"/>
        </w:rPr>
        <w:t xml:space="preserve"> vai arī brīvprātīgas rīcības rezultātā.</w:t>
      </w:r>
    </w:p>
    <w:p w:rsidR="00073FEC" w:rsidRPr="001973D0" w:rsidRDefault="000220CE" w:rsidP="00073FEC">
      <w:pPr>
        <w:pStyle w:val="BodyText"/>
        <w:spacing w:before="0"/>
        <w:ind w:left="709" w:firstLine="0"/>
        <w:jc w:val="both"/>
        <w:rPr>
          <w:rFonts w:ascii="Times New Roman" w:hAnsi="Times New Roman"/>
          <w:noProof/>
          <w:sz w:val="24"/>
        </w:rPr>
      </w:pPr>
      <w:r>
        <w:rPr>
          <w:rFonts w:ascii="Times New Roman" w:hAnsi="Times New Roman"/>
          <w:noProof/>
          <w:sz w:val="24"/>
        </w:rPr>
        <w:t>Šādā gadījumā ierakstīšanas</w:t>
      </w:r>
      <w:r w:rsidR="00073FEC">
        <w:rPr>
          <w:rFonts w:ascii="Times New Roman" w:hAnsi="Times New Roman"/>
          <w:noProof/>
          <w:sz w:val="24"/>
        </w:rPr>
        <w:t xml:space="preserve"> laiks būtu laiks, kad nolēmumu(-s) pieņēmusi tiesa, kas rīkojas kā otrās instances tiesa.</w:t>
      </w: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Jebk</w:t>
      </w:r>
      <w:r w:rsidR="000220CE">
        <w:rPr>
          <w:rFonts w:ascii="Times New Roman" w:hAnsi="Times New Roman"/>
          <w:noProof/>
          <w:sz w:val="24"/>
        </w:rPr>
        <w:t>urā gadījumā summa ir jāieraksta</w:t>
      </w:r>
      <w:r>
        <w:rPr>
          <w:rFonts w:ascii="Times New Roman" w:hAnsi="Times New Roman"/>
          <w:noProof/>
          <w:sz w:val="24"/>
        </w:rPr>
        <w:t xml:space="preserve"> citās kreditoru/debitoru saistībās (F.8) līdz brīdim, kad veikts faktiskais maksājums naudā. Summas nav jāsadala pa iepriekšējiem periodiem, kurās tās uzkrātas, izņemot par to prasījumu daļu, kuri nebija strīda </w:t>
      </w:r>
      <w:r>
        <w:rPr>
          <w:rFonts w:ascii="Times New Roman" w:hAnsi="Times New Roman"/>
          <w:noProof/>
          <w:sz w:val="24"/>
        </w:rPr>
        <w:lastRenderedPageBreak/>
        <w:t>priekšmets.</w:t>
      </w: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Tas, ka valdība vienkārši atliek maksājumus, neapstrīdot maksāša</w:t>
      </w:r>
      <w:r w:rsidR="000220CE">
        <w:rPr>
          <w:rFonts w:ascii="Times New Roman" w:hAnsi="Times New Roman"/>
          <w:noProof/>
          <w:sz w:val="24"/>
        </w:rPr>
        <w:t>nas pienākumu, neliedz ierakstīt</w:t>
      </w:r>
      <w:r>
        <w:rPr>
          <w:rFonts w:ascii="Times New Roman" w:hAnsi="Times New Roman"/>
          <w:noProof/>
          <w:sz w:val="24"/>
        </w:rPr>
        <w:t xml:space="preserve"> maksājumus brīdī, kad ir pienācis to maksājuma termiņš (sk. II.3. nodaļu “Maksājuma termiņa maiņa”), veicot ierakstus citās debitoru/kreditoru saistībās (F.8) par uzkrātajām, taču vēl nesamaksātajām summām.</w:t>
      </w: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Kompensācijas</w:t>
      </w:r>
      <w:r w:rsidR="000220CE">
        <w:rPr>
          <w:rFonts w:ascii="Times New Roman" w:hAnsi="Times New Roman"/>
          <w:noProof/>
          <w:sz w:val="24"/>
        </w:rPr>
        <w:t xml:space="preserve"> summas parasti tiek ierakstītas</w:t>
      </w:r>
      <w:r>
        <w:rPr>
          <w:rFonts w:ascii="Times New Roman" w:hAnsi="Times New Roman"/>
          <w:noProof/>
          <w:sz w:val="24"/>
        </w:rPr>
        <w:t xml:space="preserve"> kā citi kapitāla pārvedumi (D.99), kas attiecas uz summām, kuras būtu uzkrātas vairākus gadus ilgā laik</w:t>
      </w:r>
      <w:r w:rsidR="000220CE">
        <w:rPr>
          <w:rFonts w:ascii="Times New Roman" w:hAnsi="Times New Roman"/>
          <w:noProof/>
          <w:sz w:val="24"/>
        </w:rPr>
        <w:t>a posmā, taču daļu var ierakstīt</w:t>
      </w:r>
      <w:r>
        <w:rPr>
          <w:rFonts w:ascii="Times New Roman" w:hAnsi="Times New Roman"/>
          <w:noProof/>
          <w:sz w:val="24"/>
        </w:rPr>
        <w:t xml:space="preserve"> arī kā naudas sodu (D.759).</w:t>
      </w:r>
    </w:p>
    <w:p w:rsidR="00073FEC" w:rsidRPr="001973D0" w:rsidRDefault="00073FEC" w:rsidP="00073FEC">
      <w:pPr>
        <w:jc w:val="both"/>
        <w:rPr>
          <w:rFonts w:ascii="Times New Roman" w:eastAsia="Arial" w:hAnsi="Times New Roman" w:cs="Arial"/>
          <w:noProof/>
          <w:sz w:val="24"/>
          <w:szCs w:val="20"/>
        </w:rPr>
      </w:pPr>
    </w:p>
    <w:p w:rsidR="00073FEC" w:rsidRDefault="00073FEC" w:rsidP="00073FEC">
      <w:pPr>
        <w:pStyle w:val="Heading4"/>
        <w:tabs>
          <w:tab w:val="left" w:pos="1602"/>
        </w:tabs>
        <w:ind w:left="0" w:firstLine="0"/>
        <w:jc w:val="both"/>
        <w:rPr>
          <w:rFonts w:ascii="Times New Roman" w:hAnsi="Times New Roman"/>
          <w:noProof/>
          <w:u w:val="thick" w:color="000000"/>
        </w:rPr>
      </w:pPr>
      <w:bookmarkStart w:id="173" w:name="II.7.3_Rationale_of_the_treatment"/>
      <w:bookmarkEnd w:id="173"/>
      <w:r>
        <w:rPr>
          <w:rFonts w:ascii="Times New Roman" w:hAnsi="Times New Roman"/>
          <w:noProof/>
          <w:u w:val="none"/>
        </w:rPr>
        <w:t>II.7.3. </w:t>
      </w:r>
      <w:r>
        <w:rPr>
          <w:rFonts w:ascii="Times New Roman" w:hAnsi="Times New Roman"/>
          <w:noProof/>
          <w:u w:val="thick" w:color="000000"/>
        </w:rPr>
        <w:t>Traktējuma pamatojums</w:t>
      </w:r>
    </w:p>
    <w:p w:rsidR="00073FEC" w:rsidRPr="001973D0" w:rsidRDefault="00073FEC" w:rsidP="00073FEC">
      <w:pPr>
        <w:pStyle w:val="Heading4"/>
        <w:tabs>
          <w:tab w:val="left" w:pos="1602"/>
        </w:tabs>
        <w:ind w:left="0" w:firstLine="0"/>
        <w:jc w:val="both"/>
        <w:rPr>
          <w:rFonts w:ascii="Times New Roman" w:hAnsi="Times New Roman"/>
          <w:noProof/>
          <w:u w:val="thick" w:color="000000"/>
        </w:rPr>
      </w:pP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Sadales darījumu (plašākā izpratnē – prasīj</w:t>
      </w:r>
      <w:r w:rsidR="000220CE">
        <w:rPr>
          <w:rFonts w:ascii="Times New Roman" w:hAnsi="Times New Roman"/>
          <w:noProof/>
          <w:sz w:val="24"/>
        </w:rPr>
        <w:t>umus un saistības) var ierakstīt</w:t>
      </w:r>
      <w:r>
        <w:rPr>
          <w:rFonts w:ascii="Times New Roman" w:hAnsi="Times New Roman"/>
          <w:noProof/>
          <w:sz w:val="24"/>
        </w:rPr>
        <w:t xml:space="preserve"> kontos tad, kad tas ir noteikts ar pietiekamu pārliecību un kad tas zināms abām pusēm un tās abas to ir atzinušas (pat gadījumos, kad tas noteikts tiesību aktos, piemēram, nodokļu un sociālo iemaksu gadījumā).</w:t>
      </w: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Atsevišķos gadījumos, proti, kad tiek radīta jauna situācija (piemēram, jaunas tiesības un saistības), pretrunas un strīdu iespējams atrisināt vienīgi ar tiesas nolēmumu, kurā tiek noteikts pienākums veikt maksājumu un norādīta precīza maksājamā summa vai nosacījumi, saskaņā ar kuriem šī summa vēlāk tiek notei</w:t>
      </w:r>
      <w:r w:rsidR="000220CE">
        <w:rPr>
          <w:rFonts w:ascii="Times New Roman" w:hAnsi="Times New Roman"/>
          <w:noProof/>
          <w:sz w:val="24"/>
        </w:rPr>
        <w:t>kta. Tāpēc laiks, kad jāieraksta</w:t>
      </w:r>
      <w:r>
        <w:rPr>
          <w:rFonts w:ascii="Times New Roman" w:hAnsi="Times New Roman"/>
          <w:noProof/>
          <w:sz w:val="24"/>
        </w:rPr>
        <w:t xml:space="preserve"> darījumi, ir maksājuma veikšanas pienākuma datums.</w:t>
      </w:r>
    </w:p>
    <w:p w:rsidR="00073FEC" w:rsidRPr="001973D0" w:rsidRDefault="00073FEC" w:rsidP="00073FEC">
      <w:pPr>
        <w:pStyle w:val="BodyText"/>
        <w:numPr>
          <w:ilvl w:val="0"/>
          <w:numId w:val="1"/>
        </w:numPr>
        <w:tabs>
          <w:tab w:val="left" w:pos="1242"/>
        </w:tabs>
        <w:spacing w:before="0"/>
        <w:ind w:left="709" w:hanging="709"/>
        <w:jc w:val="both"/>
        <w:rPr>
          <w:rFonts w:ascii="Times New Roman" w:hAnsi="Times New Roman"/>
          <w:noProof/>
          <w:sz w:val="24"/>
        </w:rPr>
      </w:pPr>
      <w:r>
        <w:rPr>
          <w:rFonts w:ascii="Times New Roman" w:hAnsi="Times New Roman"/>
          <w:noProof/>
          <w:sz w:val="24"/>
        </w:rPr>
        <w:t>Minētais attiecas arī uz visiem tiesas noteiktajiem sodiem un procentu maksājumiem.</w:t>
      </w:r>
    </w:p>
    <w:p w:rsidR="00073FEC" w:rsidRDefault="00073FEC" w:rsidP="00073FEC">
      <w:pPr>
        <w:rPr>
          <w:rFonts w:ascii="Times New Roman" w:eastAsia="Arial" w:hAnsi="Times New Roman" w:cs="Arial"/>
          <w:noProof/>
          <w:sz w:val="24"/>
          <w:szCs w:val="20"/>
        </w:rPr>
      </w:pPr>
      <w:r>
        <w:br w:type="page"/>
      </w:r>
    </w:p>
    <w:p w:rsidR="00073FEC" w:rsidRPr="001973D0" w:rsidRDefault="00073FEC" w:rsidP="008F11FC">
      <w:pPr>
        <w:pStyle w:val="Heading2"/>
        <w:rPr>
          <w:noProof/>
        </w:rPr>
      </w:pPr>
      <w:bookmarkStart w:id="174" w:name="II.8__Keywords_and_accounting_references"/>
      <w:bookmarkStart w:id="175" w:name="_bookmark19"/>
      <w:bookmarkStart w:id="176" w:name="_Toc471135883"/>
      <w:bookmarkEnd w:id="174"/>
      <w:bookmarkEnd w:id="175"/>
      <w:r>
        <w:rPr>
          <w:noProof/>
        </w:rPr>
        <w:lastRenderedPageBreak/>
        <w:t xml:space="preserve">II.8. Atslēgvārdi </w:t>
      </w:r>
      <w:r w:rsidRPr="008F11FC">
        <w:t>un</w:t>
      </w:r>
      <w:r>
        <w:rPr>
          <w:noProof/>
        </w:rPr>
        <w:t xml:space="preserve"> atsauces</w:t>
      </w:r>
      <w:bookmarkEnd w:id="176"/>
    </w:p>
    <w:p w:rsidR="00073FEC" w:rsidRPr="001973D0" w:rsidRDefault="00073FEC" w:rsidP="00073FEC">
      <w:pPr>
        <w:jc w:val="both"/>
        <w:rPr>
          <w:rFonts w:ascii="Times New Roman" w:eastAsia="Arial" w:hAnsi="Times New Roman" w:cs="Arial"/>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5628"/>
        <w:gridCol w:w="3447"/>
      </w:tblGrid>
      <w:tr w:rsidR="00073FEC" w:rsidRPr="001973D0" w:rsidTr="00523A0A">
        <w:trPr>
          <w:trHeight w:hRule="exact" w:val="379"/>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Uzkrātie procenti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4.50.</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Nokavēti maksājumi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5.242.</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Kārtējā starptautiskā sadarbība</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4.123.</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Diskonta obligācijas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4.46., 5.96.</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ES subsīdijas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4.31.</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Vispārējais uzkrāšanas princips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1.101.</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Indeksētie vērtspapīri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4.46. un 5.100.</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Ārvalstu valūtās izteikti instrumenti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6.64.</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Procenti un finanšu darījums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5.41.–5.44.</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Kopfondu akcijas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5.160.–5.166.</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Nominālie turēšanas guvumi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6.27.–6.36.</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Citas debitoru/kreditoru saistības (AF.8)</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5.230.–5.244.</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Citi k</w:t>
            </w:r>
            <w:r w:rsidR="000220CE">
              <w:rPr>
                <w:rFonts w:ascii="Times New Roman" w:hAnsi="Times New Roman"/>
                <w:noProof/>
                <w:sz w:val="24"/>
              </w:rPr>
              <w:t>ārtējie pārvedumi (ierakstīšanas</w:t>
            </w:r>
            <w:r>
              <w:rPr>
                <w:rFonts w:ascii="Times New Roman" w:hAnsi="Times New Roman"/>
                <w:noProof/>
                <w:sz w:val="24"/>
              </w:rPr>
              <w:t xml:space="preserve"> laiks)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4.166.</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Sociālās iemaksas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4.96.</w:t>
            </w:r>
          </w:p>
        </w:tc>
      </w:tr>
      <w:tr w:rsidR="00073FEC" w:rsidRPr="001973D0" w:rsidTr="00523A0A">
        <w:trPr>
          <w:trHeight w:hRule="exact" w:val="417"/>
        </w:trPr>
        <w:tc>
          <w:tcPr>
            <w:tcW w:w="3101" w:type="pct"/>
            <w:tcBorders>
              <w:top w:val="nil"/>
              <w:left w:val="nil"/>
              <w:bottom w:val="nil"/>
              <w:right w:val="nil"/>
            </w:tcBorders>
          </w:tcPr>
          <w:p w:rsidR="00073FEC" w:rsidRPr="001973D0" w:rsidRDefault="000220CE" w:rsidP="00523A0A">
            <w:pPr>
              <w:pStyle w:val="TableParagraph"/>
              <w:jc w:val="both"/>
              <w:rPr>
                <w:rFonts w:ascii="Times New Roman" w:hAnsi="Times New Roman"/>
                <w:noProof/>
                <w:sz w:val="24"/>
              </w:rPr>
            </w:pPr>
            <w:r>
              <w:rPr>
                <w:rFonts w:ascii="Times New Roman" w:hAnsi="Times New Roman"/>
                <w:noProof/>
                <w:sz w:val="24"/>
              </w:rPr>
              <w:t>Subsīdijas (ierakstīšanas</w:t>
            </w:r>
            <w:r w:rsidR="00073FEC">
              <w:rPr>
                <w:rFonts w:ascii="Times New Roman" w:hAnsi="Times New Roman"/>
                <w:noProof/>
                <w:sz w:val="24"/>
              </w:rPr>
              <w:t xml:space="preserve"> laiks)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4.39.</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Ienākuma un mantas nodokļi</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4.80.–4.82.</w:t>
            </w:r>
          </w:p>
        </w:tc>
      </w:tr>
      <w:tr w:rsidR="00073FEC" w:rsidRPr="001973D0" w:rsidTr="00523A0A">
        <w:trPr>
          <w:trHeight w:hRule="exact" w:val="417"/>
        </w:trPr>
        <w:tc>
          <w:tcPr>
            <w:tcW w:w="3101"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Ražošanas nodokļi (citi)</w:t>
            </w:r>
          </w:p>
        </w:tc>
        <w:tc>
          <w:tcPr>
            <w:tcW w:w="1899" w:type="pct"/>
            <w:tcBorders>
              <w:top w:val="nil"/>
              <w:left w:val="nil"/>
              <w:bottom w:val="nil"/>
              <w:right w:val="nil"/>
            </w:tcBorders>
          </w:tcPr>
          <w:p w:rsidR="00073FEC" w:rsidRPr="001973D0" w:rsidRDefault="005F424C" w:rsidP="00523A0A">
            <w:pPr>
              <w:pStyle w:val="TableParagraph"/>
              <w:jc w:val="both"/>
              <w:rPr>
                <w:rFonts w:ascii="Times New Roman" w:hAnsi="Times New Roman"/>
                <w:noProof/>
                <w:sz w:val="24"/>
              </w:rPr>
            </w:pPr>
            <w:r>
              <w:rPr>
                <w:rFonts w:ascii="Times New Roman" w:hAnsi="Times New Roman"/>
                <w:noProof/>
                <w:sz w:val="24"/>
              </w:rPr>
              <w:t>EKS</w:t>
            </w:r>
            <w:r w:rsidR="00073FEC">
              <w:rPr>
                <w:rFonts w:ascii="Times New Roman" w:hAnsi="Times New Roman"/>
                <w:noProof/>
                <w:sz w:val="24"/>
              </w:rPr>
              <w:t> 2010, 4.26.–4.27.</w:t>
            </w:r>
          </w:p>
        </w:tc>
      </w:tr>
      <w:tr w:rsidR="00073FEC" w:rsidRPr="001973D0" w:rsidTr="00523A0A">
        <w:trPr>
          <w:trHeight w:hRule="exact" w:val="417"/>
        </w:trPr>
        <w:tc>
          <w:tcPr>
            <w:tcW w:w="3101" w:type="pct"/>
            <w:tcBorders>
              <w:top w:val="nil"/>
              <w:left w:val="nil"/>
              <w:bottom w:val="nil"/>
              <w:right w:val="nil"/>
            </w:tcBorders>
          </w:tcPr>
          <w:p w:rsidR="00073FEC" w:rsidRPr="001973D0" w:rsidRDefault="000220CE" w:rsidP="00523A0A">
            <w:pPr>
              <w:pStyle w:val="TableParagraph"/>
              <w:jc w:val="both"/>
              <w:rPr>
                <w:rFonts w:ascii="Times New Roman" w:hAnsi="Times New Roman"/>
                <w:noProof/>
                <w:sz w:val="24"/>
              </w:rPr>
            </w:pPr>
            <w:r>
              <w:rPr>
                <w:rFonts w:ascii="Times New Roman" w:hAnsi="Times New Roman"/>
                <w:noProof/>
                <w:sz w:val="24"/>
              </w:rPr>
              <w:t>Procentu ierakstīšanas</w:t>
            </w:r>
            <w:r w:rsidR="00073FEC">
              <w:rPr>
                <w:rFonts w:ascii="Times New Roman" w:hAnsi="Times New Roman"/>
                <w:noProof/>
                <w:sz w:val="24"/>
              </w:rPr>
              <w:t xml:space="preserve"> laiks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4.50.</w:t>
            </w:r>
          </w:p>
        </w:tc>
      </w:tr>
      <w:tr w:rsidR="00073FEC" w:rsidRPr="001973D0" w:rsidTr="00523A0A">
        <w:trPr>
          <w:trHeight w:hRule="exact" w:val="378"/>
        </w:trPr>
        <w:tc>
          <w:tcPr>
            <w:tcW w:w="3101" w:type="pct"/>
            <w:tcBorders>
              <w:top w:val="nil"/>
              <w:left w:val="nil"/>
              <w:bottom w:val="nil"/>
              <w:right w:val="nil"/>
            </w:tcBorders>
          </w:tcPr>
          <w:p w:rsidR="00073FEC" w:rsidRPr="001973D0" w:rsidRDefault="000220CE" w:rsidP="00523A0A">
            <w:pPr>
              <w:pStyle w:val="TableParagraph"/>
              <w:jc w:val="both"/>
              <w:rPr>
                <w:rFonts w:ascii="Times New Roman" w:hAnsi="Times New Roman"/>
                <w:noProof/>
                <w:sz w:val="24"/>
              </w:rPr>
            </w:pPr>
            <w:r>
              <w:rPr>
                <w:rFonts w:ascii="Times New Roman" w:hAnsi="Times New Roman"/>
                <w:noProof/>
                <w:sz w:val="24"/>
              </w:rPr>
              <w:t>Sociālo pabalstu ierakstīšans</w:t>
            </w:r>
            <w:r w:rsidR="00073FEC">
              <w:rPr>
                <w:rFonts w:ascii="Times New Roman" w:hAnsi="Times New Roman"/>
                <w:noProof/>
                <w:sz w:val="24"/>
              </w:rPr>
              <w:t xml:space="preserve"> laiks</w:t>
            </w:r>
          </w:p>
        </w:tc>
        <w:tc>
          <w:tcPr>
            <w:tcW w:w="1899" w:type="pct"/>
            <w:tcBorders>
              <w:top w:val="nil"/>
              <w:left w:val="nil"/>
              <w:bottom w:val="nil"/>
              <w:right w:val="nil"/>
            </w:tcBorders>
          </w:tcPr>
          <w:p w:rsidR="00073FEC" w:rsidRPr="001973D0" w:rsidRDefault="00073FEC" w:rsidP="00523A0A">
            <w:pPr>
              <w:pStyle w:val="TableParagraph"/>
              <w:jc w:val="both"/>
              <w:rPr>
                <w:rFonts w:ascii="Times New Roman" w:hAnsi="Times New Roman"/>
                <w:noProof/>
                <w:sz w:val="24"/>
              </w:rPr>
            </w:pPr>
            <w:r>
              <w:rPr>
                <w:rFonts w:ascii="Times New Roman" w:hAnsi="Times New Roman"/>
                <w:noProof/>
                <w:sz w:val="24"/>
              </w:rPr>
              <w:t>EKS 2010, 4.106.</w:t>
            </w:r>
          </w:p>
        </w:tc>
      </w:tr>
    </w:tbl>
    <w:p w:rsidR="00073FEC" w:rsidRDefault="00073FEC" w:rsidP="00073FEC">
      <w:pPr>
        <w:jc w:val="both"/>
        <w:rPr>
          <w:rFonts w:ascii="Times New Roman" w:eastAsia="Times New Roman" w:hAnsi="Times New Roman" w:cs="Times New Roman"/>
          <w:noProof/>
          <w:sz w:val="24"/>
          <w:szCs w:val="17"/>
        </w:rPr>
      </w:pPr>
    </w:p>
    <w:p w:rsidR="00523A0A" w:rsidRDefault="00523A0A">
      <w:pPr>
        <w:widowControl/>
        <w:spacing w:after="160" w:line="259" w:lineRule="auto"/>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rsidR="00523A0A" w:rsidRPr="001973D0" w:rsidRDefault="008F11FC" w:rsidP="008F11FC">
      <w:pPr>
        <w:pStyle w:val="Heading1"/>
        <w:tabs>
          <w:tab w:val="left" w:pos="1418"/>
        </w:tabs>
        <w:rPr>
          <w:noProof/>
        </w:rPr>
      </w:pPr>
      <w:bookmarkStart w:id="177" w:name="Part_III_General_government_and_entities"/>
      <w:bookmarkStart w:id="178" w:name="_bookmark20"/>
      <w:bookmarkStart w:id="179" w:name="_Toc471135884"/>
      <w:bookmarkEnd w:id="177"/>
      <w:bookmarkEnd w:id="178"/>
      <w:r>
        <w:rPr>
          <w:noProof/>
        </w:rPr>
        <w:lastRenderedPageBreak/>
        <w:t>III daļa.</w:t>
      </w:r>
      <w:r>
        <w:rPr>
          <w:noProof/>
        </w:rPr>
        <w:tab/>
      </w:r>
      <w:r w:rsidR="00523A0A" w:rsidRPr="008F11FC">
        <w:t>Vispārējā</w:t>
      </w:r>
      <w:r w:rsidR="00523A0A">
        <w:rPr>
          <w:noProof/>
        </w:rPr>
        <w:t xml:space="preserve"> valdība un valdības kontrolēti subjekti</w:t>
      </w:r>
      <w:bookmarkEnd w:id="179"/>
    </w:p>
    <w:p w:rsidR="00523A0A" w:rsidRPr="001973D0" w:rsidRDefault="00523A0A" w:rsidP="00523A0A">
      <w:pPr>
        <w:jc w:val="both"/>
        <w:rPr>
          <w:rFonts w:ascii="Times New Roman" w:eastAsia="Arial" w:hAnsi="Times New Roman" w:cs="Arial"/>
          <w:b/>
          <w:bCs/>
          <w:noProof/>
          <w:sz w:val="24"/>
          <w:szCs w:val="31"/>
        </w:rPr>
      </w:pPr>
    </w:p>
    <w:p w:rsidR="00523A0A" w:rsidRDefault="00523A0A" w:rsidP="008F11FC">
      <w:pPr>
        <w:pStyle w:val="Heading2"/>
        <w:rPr>
          <w:noProof/>
        </w:rPr>
      </w:pPr>
      <w:bookmarkStart w:id="180" w:name="III.1_Overview"/>
      <w:bookmarkStart w:id="181" w:name="_bookmark21"/>
      <w:bookmarkStart w:id="182" w:name="_Toc471135885"/>
      <w:bookmarkEnd w:id="180"/>
      <w:bookmarkEnd w:id="181"/>
      <w:r>
        <w:rPr>
          <w:noProof/>
        </w:rPr>
        <w:t>III.1. </w:t>
      </w:r>
      <w:r w:rsidRPr="008F11FC">
        <w:t>Pārskats</w:t>
      </w:r>
      <w:bookmarkEnd w:id="182"/>
    </w:p>
    <w:p w:rsidR="00523A0A" w:rsidRPr="001973D0" w:rsidRDefault="00523A0A" w:rsidP="00523A0A">
      <w:pPr>
        <w:pStyle w:val="Heading2"/>
        <w:tabs>
          <w:tab w:val="left" w:pos="1602"/>
        </w:tabs>
        <w:jc w:val="both"/>
        <w:rPr>
          <w:noProof/>
          <w:sz w:val="24"/>
        </w:rPr>
      </w:pPr>
    </w:p>
    <w:p w:rsidR="00523A0A" w:rsidRDefault="00523A0A" w:rsidP="00523A0A">
      <w:pPr>
        <w:pStyle w:val="BodyText"/>
        <w:numPr>
          <w:ilvl w:val="0"/>
          <w:numId w:val="87"/>
        </w:numPr>
        <w:tabs>
          <w:tab w:val="left" w:pos="1242"/>
        </w:tabs>
        <w:spacing w:before="0"/>
        <w:ind w:hanging="720"/>
        <w:jc w:val="both"/>
        <w:rPr>
          <w:rFonts w:ascii="Times New Roman" w:hAnsi="Times New Roman"/>
          <w:noProof/>
          <w:sz w:val="24"/>
        </w:rPr>
      </w:pPr>
      <w:r>
        <w:rPr>
          <w:rFonts w:ascii="Times New Roman" w:hAnsi="Times New Roman"/>
          <w:noProof/>
          <w:sz w:val="24"/>
        </w:rPr>
        <w:t>Darījumu starp valdību un publisku subjektu var būt sarežģīti klasificēt, jo valdība ekonomikā veic dažādus pienākumus. Darījumu var veikt dažādu iemeslu dēļ saistībā ar atšķirīgiem valdības darbības mērķiem. Šādas darbības ietver turpmāk minētos valdības pienākumus.</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Default="00523A0A" w:rsidP="00523A0A">
      <w:pPr>
        <w:pStyle w:val="BodyText"/>
        <w:numPr>
          <w:ilvl w:val="1"/>
          <w:numId w:val="86"/>
        </w:numPr>
        <w:tabs>
          <w:tab w:val="left" w:pos="1674"/>
        </w:tabs>
        <w:spacing w:before="0"/>
        <w:ind w:left="1134" w:hanging="425"/>
        <w:jc w:val="both"/>
        <w:rPr>
          <w:rFonts w:ascii="Times New Roman" w:hAnsi="Times New Roman"/>
          <w:noProof/>
          <w:sz w:val="24"/>
        </w:rPr>
      </w:pPr>
      <w:r>
        <w:rPr>
          <w:rFonts w:ascii="Times New Roman" w:hAnsi="Times New Roman"/>
          <w:noProof/>
          <w:sz w:val="24"/>
        </w:rPr>
        <w:t xml:space="preserve">Kā </w:t>
      </w:r>
      <w:r>
        <w:rPr>
          <w:rFonts w:ascii="Times New Roman" w:hAnsi="Times New Roman"/>
          <w:noProof/>
          <w:sz w:val="24"/>
          <w:u w:val="single"/>
        </w:rPr>
        <w:t>finanšu aktīvu īpašniece</w:t>
      </w:r>
      <w:r>
        <w:rPr>
          <w:rFonts w:ascii="Times New Roman" w:hAnsi="Times New Roman"/>
          <w:noProof/>
          <w:sz w:val="24"/>
        </w:rPr>
        <w:t>:</w:t>
      </w:r>
    </w:p>
    <w:p w:rsidR="00523A0A" w:rsidRPr="001973D0"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līdzīgi ilgtermiņa ieguldītājam cenšas nodrošināt ieguldījuma atdevi;</w:t>
      </w:r>
    </w:p>
    <w:p w:rsidR="00523A0A"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pārvalda valsts kasi.</w:t>
      </w:r>
    </w:p>
    <w:p w:rsidR="00523A0A" w:rsidRPr="001973D0" w:rsidRDefault="00523A0A" w:rsidP="00523A0A">
      <w:pPr>
        <w:pStyle w:val="BodyText"/>
        <w:tabs>
          <w:tab w:val="left" w:pos="2682"/>
        </w:tabs>
        <w:spacing w:before="0"/>
        <w:ind w:left="0" w:firstLine="0"/>
        <w:jc w:val="both"/>
        <w:rPr>
          <w:rFonts w:ascii="Times New Roman" w:hAnsi="Times New Roman"/>
          <w:noProof/>
          <w:sz w:val="24"/>
        </w:rPr>
      </w:pPr>
    </w:p>
    <w:p w:rsidR="00523A0A" w:rsidRDefault="00523A0A" w:rsidP="00523A0A">
      <w:pPr>
        <w:pStyle w:val="BodyText"/>
        <w:numPr>
          <w:ilvl w:val="1"/>
          <w:numId w:val="86"/>
        </w:numPr>
        <w:tabs>
          <w:tab w:val="left" w:pos="1674"/>
        </w:tabs>
        <w:spacing w:before="0"/>
        <w:ind w:left="1134" w:hanging="425"/>
        <w:jc w:val="both"/>
        <w:rPr>
          <w:rFonts w:ascii="Times New Roman" w:hAnsi="Times New Roman"/>
          <w:noProof/>
          <w:sz w:val="24"/>
        </w:rPr>
      </w:pPr>
      <w:r>
        <w:rPr>
          <w:rFonts w:ascii="Times New Roman" w:hAnsi="Times New Roman"/>
          <w:noProof/>
          <w:sz w:val="24"/>
        </w:rPr>
        <w:t xml:space="preserve">Darbojoties </w:t>
      </w:r>
      <w:r>
        <w:rPr>
          <w:rFonts w:ascii="Times New Roman" w:hAnsi="Times New Roman"/>
          <w:noProof/>
          <w:sz w:val="24"/>
          <w:u w:val="single"/>
        </w:rPr>
        <w:t>ar mērķi īstenot valsts politiku</w:t>
      </w:r>
      <w:r>
        <w:rPr>
          <w:rFonts w:ascii="Times New Roman" w:hAnsi="Times New Roman"/>
          <w:noProof/>
          <w:sz w:val="24"/>
        </w:rPr>
        <w:t xml:space="preserve"> un veicinot ekonomiskās un sociālās politikas īstenošanu:</w:t>
      </w:r>
    </w:p>
    <w:p w:rsidR="00523A0A" w:rsidRPr="001973D0"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izmaksā subsīdijas un ieguldījumu dotācijas;</w:t>
      </w:r>
    </w:p>
    <w:p w:rsidR="00523A0A" w:rsidRPr="001973D0"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izmanto publiskas vienības, lai palīdzētu īstenot ar sabiedrības interesēm saistītu politiku, piemēram, nodrošināt sabiedriskā transporta pakalpojumus;</w:t>
      </w:r>
    </w:p>
    <w:p w:rsidR="00523A0A"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pārstrukturē publiskas vienības.</w:t>
      </w:r>
    </w:p>
    <w:p w:rsidR="00523A0A" w:rsidRPr="001973D0" w:rsidRDefault="00523A0A" w:rsidP="00523A0A">
      <w:pPr>
        <w:pStyle w:val="BodyText"/>
        <w:tabs>
          <w:tab w:val="left" w:pos="2682"/>
        </w:tabs>
        <w:spacing w:before="0"/>
        <w:ind w:left="0" w:firstLine="0"/>
        <w:jc w:val="both"/>
        <w:rPr>
          <w:rFonts w:ascii="Times New Roman" w:hAnsi="Times New Roman"/>
          <w:noProof/>
          <w:sz w:val="24"/>
        </w:rPr>
      </w:pPr>
    </w:p>
    <w:p w:rsidR="00523A0A" w:rsidRDefault="00523A0A" w:rsidP="00523A0A">
      <w:pPr>
        <w:pStyle w:val="BodyText"/>
        <w:numPr>
          <w:ilvl w:val="1"/>
          <w:numId w:val="86"/>
        </w:numPr>
        <w:tabs>
          <w:tab w:val="left" w:pos="1674"/>
        </w:tabs>
        <w:spacing w:before="0"/>
        <w:ind w:left="1134" w:hanging="425"/>
        <w:jc w:val="both"/>
        <w:rPr>
          <w:rFonts w:ascii="Times New Roman" w:hAnsi="Times New Roman"/>
          <w:noProof/>
          <w:sz w:val="24"/>
        </w:rPr>
      </w:pPr>
      <w:r>
        <w:rPr>
          <w:rFonts w:ascii="Times New Roman" w:hAnsi="Times New Roman"/>
          <w:noProof/>
          <w:sz w:val="24"/>
        </w:rPr>
        <w:t xml:space="preserve">Īstenojot </w:t>
      </w:r>
      <w:r>
        <w:rPr>
          <w:rFonts w:ascii="Times New Roman" w:hAnsi="Times New Roman"/>
          <w:noProof/>
          <w:sz w:val="24"/>
          <w:u w:val="single"/>
        </w:rPr>
        <w:t>budžetu</w:t>
      </w:r>
      <w:r>
        <w:rPr>
          <w:rFonts w:ascii="Times New Roman" w:hAnsi="Times New Roman"/>
          <w:noProof/>
          <w:sz w:val="24"/>
        </w:rPr>
        <w:t>, valdība:</w:t>
      </w:r>
    </w:p>
    <w:p w:rsidR="00523A0A" w:rsidRPr="001973D0"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iekasē nodokļus un sociālās iemaksas;</w:t>
      </w:r>
    </w:p>
    <w:p w:rsidR="00523A0A" w:rsidRPr="001973D0"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nodrošina optimālu finansējumu;</w:t>
      </w:r>
    </w:p>
    <w:p w:rsidR="00523A0A" w:rsidRDefault="00523A0A" w:rsidP="00523A0A">
      <w:pPr>
        <w:pStyle w:val="BodyText"/>
        <w:numPr>
          <w:ilvl w:val="2"/>
          <w:numId w:val="86"/>
        </w:numPr>
        <w:tabs>
          <w:tab w:val="left" w:pos="2682"/>
        </w:tabs>
        <w:spacing w:before="0"/>
        <w:ind w:left="1701" w:hanging="567"/>
        <w:jc w:val="both"/>
        <w:rPr>
          <w:rFonts w:ascii="Times New Roman" w:hAnsi="Times New Roman"/>
          <w:noProof/>
          <w:sz w:val="24"/>
        </w:rPr>
      </w:pPr>
      <w:r>
        <w:rPr>
          <w:rFonts w:ascii="Times New Roman" w:hAnsi="Times New Roman"/>
          <w:noProof/>
          <w:sz w:val="24"/>
        </w:rPr>
        <w:t>uzņemas pensiju saistības.</w:t>
      </w:r>
    </w:p>
    <w:p w:rsidR="00523A0A" w:rsidRPr="001973D0" w:rsidRDefault="00523A0A" w:rsidP="00523A0A">
      <w:pPr>
        <w:pStyle w:val="BodyText"/>
        <w:tabs>
          <w:tab w:val="left" w:pos="268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7"/>
        </w:numPr>
        <w:tabs>
          <w:tab w:val="left" w:pos="1242"/>
        </w:tabs>
        <w:spacing w:before="0"/>
        <w:ind w:hanging="720"/>
        <w:jc w:val="both"/>
        <w:rPr>
          <w:rFonts w:ascii="Times New Roman" w:hAnsi="Times New Roman"/>
          <w:noProof/>
          <w:sz w:val="24"/>
        </w:rPr>
      </w:pPr>
      <w:r>
        <w:rPr>
          <w:rFonts w:ascii="Times New Roman" w:hAnsi="Times New Roman"/>
          <w:noProof/>
          <w:sz w:val="24"/>
        </w:rPr>
        <w:t>Robežgadījumos, nosakot darījuma klasifikāciju, jāapsver tas, kuru pienākumu valdība pilda konkrētajā darījumā, un jāpiemēro tāda uzskaite, kurā ir atpazīta darījuma ekonomiskā būtība, ja tā atšķiras no tā juridiskās formas. Dažos gadījumos pastāv atbilstība vairākām pienākumu jomām; šādos gadījumos jāapsver, kurš pienākums ir svarī</w:t>
      </w:r>
      <w:r w:rsidR="001B3ECD">
        <w:rPr>
          <w:rFonts w:ascii="Times New Roman" w:hAnsi="Times New Roman"/>
          <w:noProof/>
          <w:sz w:val="24"/>
        </w:rPr>
        <w:t>gāks, lai visprecīzāk ierakstītu</w:t>
      </w:r>
      <w:r>
        <w:rPr>
          <w:rFonts w:ascii="Times New Roman" w:hAnsi="Times New Roman"/>
          <w:noProof/>
          <w:sz w:val="24"/>
        </w:rPr>
        <w:t xml:space="preserve"> darījuma ekonomisko realitāti.</w:t>
      </w:r>
    </w:p>
    <w:p w:rsidR="00523A0A" w:rsidRPr="001973D0" w:rsidRDefault="00523A0A" w:rsidP="00523A0A">
      <w:pPr>
        <w:pStyle w:val="BodyText"/>
        <w:numPr>
          <w:ilvl w:val="0"/>
          <w:numId w:val="87"/>
        </w:numPr>
        <w:tabs>
          <w:tab w:val="left" w:pos="1242"/>
        </w:tabs>
        <w:spacing w:before="0"/>
        <w:ind w:hanging="720"/>
        <w:jc w:val="both"/>
        <w:rPr>
          <w:rFonts w:ascii="Times New Roman" w:hAnsi="Times New Roman"/>
          <w:noProof/>
          <w:sz w:val="24"/>
        </w:rPr>
      </w:pPr>
      <w:r>
        <w:rPr>
          <w:rFonts w:ascii="Times New Roman" w:hAnsi="Times New Roman"/>
          <w:noProof/>
          <w:sz w:val="24"/>
        </w:rPr>
        <w:t>Dažām darbībām raksturīgs tas, ka tās vienmēr veic valdība, bet nekad neveic tirgus vienības, proti, valdība rīkojas ne tikai kā aktīvu pārvaldniece, kas cenšas gūt finansiālu peļņu. Valdība var arī zināmā mērā pārvaldīt aktīvus, lai atbalstītu saimniecisko darbību un īstenotu sociālos mērķus. Vienīgi valdība spēj veikt lielus pārskaitījumus citiem ekonomikas dalībniekiem.</w:t>
      </w:r>
    </w:p>
    <w:p w:rsidR="00523A0A" w:rsidRPr="001973D0" w:rsidRDefault="00523A0A" w:rsidP="00523A0A">
      <w:pPr>
        <w:pStyle w:val="BodyText"/>
        <w:numPr>
          <w:ilvl w:val="0"/>
          <w:numId w:val="87"/>
        </w:numPr>
        <w:tabs>
          <w:tab w:val="left" w:pos="1242"/>
        </w:tabs>
        <w:spacing w:before="0"/>
        <w:ind w:hanging="720"/>
        <w:jc w:val="both"/>
        <w:rPr>
          <w:rFonts w:ascii="Times New Roman" w:hAnsi="Times New Roman"/>
          <w:noProof/>
          <w:sz w:val="24"/>
        </w:rPr>
      </w:pPr>
      <w:r>
        <w:rPr>
          <w:rFonts w:ascii="Times New Roman" w:hAnsi="Times New Roman"/>
          <w:noProof/>
          <w:sz w:val="24"/>
        </w:rPr>
        <w:t>Tas nozīmē, ka plūsmas uz publiskām sabiedrībām un no</w:t>
      </w:r>
      <w:r w:rsidR="001B3ECD">
        <w:rPr>
          <w:rFonts w:ascii="Times New Roman" w:hAnsi="Times New Roman"/>
          <w:noProof/>
          <w:sz w:val="24"/>
        </w:rPr>
        <w:t xml:space="preserve"> tām ne vienmēr tiek ierakstītas</w:t>
      </w:r>
      <w:r>
        <w:rPr>
          <w:rFonts w:ascii="Times New Roman" w:hAnsi="Times New Roman"/>
          <w:noProof/>
          <w:sz w:val="24"/>
        </w:rPr>
        <w:t xml:space="preserve"> simetriski. Piemēram, neatlīdzināms maks</w:t>
      </w:r>
      <w:r w:rsidR="001B3ECD">
        <w:rPr>
          <w:rFonts w:ascii="Times New Roman" w:hAnsi="Times New Roman"/>
          <w:noProof/>
          <w:sz w:val="24"/>
        </w:rPr>
        <w:t>ājums, kas ierakstīts</w:t>
      </w:r>
      <w:r>
        <w:rPr>
          <w:rFonts w:ascii="Times New Roman" w:hAnsi="Times New Roman"/>
          <w:noProof/>
          <w:sz w:val="24"/>
        </w:rPr>
        <w:t xml:space="preserve"> kā “ieguldījumu dotācija” jeb nefinanšu darījums (“kaut kas pret neko”, kā noteikts EKS 2010 1. nodaļā “Vispārējs raksturojums un pamatprincipi”), var būtiski uzlabot uzņēmuma mantisko stāvokli vidējā termiņā. Ja publisks uzņēmums pēc tam veiktu ārkārtas maksājumu no pašu līdzekļi</w:t>
      </w:r>
      <w:r w:rsidR="001B3ECD">
        <w:rPr>
          <w:rFonts w:ascii="Times New Roman" w:hAnsi="Times New Roman"/>
          <w:noProof/>
          <w:sz w:val="24"/>
        </w:rPr>
        <w:t>em, to pamatoti varētu ierakstīt</w:t>
      </w:r>
      <w:r>
        <w:rPr>
          <w:rFonts w:ascii="Times New Roman" w:hAnsi="Times New Roman"/>
          <w:noProof/>
          <w:sz w:val="24"/>
        </w:rPr>
        <w:t xml:space="preserve"> kā pašu kapitāla izņemšanu (daļēju aktīvu dzēšanu).</w:t>
      </w:r>
    </w:p>
    <w:p w:rsidR="00523A0A" w:rsidRPr="001973D0" w:rsidRDefault="00523A0A" w:rsidP="00523A0A">
      <w:pPr>
        <w:pStyle w:val="BodyText"/>
        <w:numPr>
          <w:ilvl w:val="0"/>
          <w:numId w:val="87"/>
        </w:numPr>
        <w:tabs>
          <w:tab w:val="left" w:pos="1242"/>
        </w:tabs>
        <w:spacing w:before="0"/>
        <w:ind w:hanging="720"/>
        <w:jc w:val="both"/>
        <w:rPr>
          <w:rFonts w:ascii="Times New Roman" w:hAnsi="Times New Roman"/>
          <w:noProof/>
          <w:sz w:val="24"/>
        </w:rPr>
      </w:pPr>
      <w:r>
        <w:rPr>
          <w:rFonts w:ascii="Times New Roman" w:hAnsi="Times New Roman"/>
          <w:noProof/>
          <w:sz w:val="24"/>
        </w:rPr>
        <w:t>Lai klasificētu vienības un darījumus, nacionālo kontu speciālisti rūpīgi apsver to ekonomisko kontekstu. Tomēr dažkārt ir svarīgi izvērtēt institucionālas vienības vai saimnieciskas plūsmas juridisko formu, kā arī ziņot par ekonomisko realitāti. Tas attiecas gan uz vienību, gan plūsmu klasificēšanu.</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6.</w:t>
      </w:r>
    </w:p>
    <w:p w:rsidR="00523A0A" w:rsidRPr="001973D0" w:rsidRDefault="00523A0A" w:rsidP="008F11FC">
      <w:pPr>
        <w:ind w:left="709"/>
        <w:jc w:val="both"/>
        <w:rPr>
          <w:rFonts w:ascii="Times New Roman" w:hAnsi="Times New Roman"/>
          <w:i/>
          <w:noProof/>
          <w:sz w:val="24"/>
        </w:rPr>
      </w:pPr>
      <w:r>
        <w:rPr>
          <w:rFonts w:ascii="Times New Roman" w:hAnsi="Times New Roman"/>
          <w:i/>
          <w:noProof/>
          <w:sz w:val="24"/>
        </w:rPr>
        <w:t>Turpmāk ir sniegti piemēri.</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 xml:space="preserve">Vienība var uzņemties valdības vienībai raksturīgas darbības, bet nebūt iekļauta valdības kontos. Šādas darbības, piemēram, var būt neatlīdzināmu maksājumu </w:t>
      </w:r>
      <w:r>
        <w:rPr>
          <w:rFonts w:ascii="Times New Roman" w:hAnsi="Times New Roman"/>
          <w:noProof/>
          <w:sz w:val="24"/>
        </w:rPr>
        <w:lastRenderedPageBreak/>
        <w:t>veikšana citām vienībām, nodevu iekasēšana no noteiktām nozarēm, nodrošinājumu piešķiršana zemas kvalitātes aizdevumiem, galvojumu piešķiršana aizdevumiem, sabiedriskās infrastruktūras būvniecība u. tml. Pirmais jautājums ir par to, vai vienība jāklasificē kā vispārējā valdība (pat ja to dēvē par sabiedrību vai parasti neuzskata par valdības daļu).</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Ja vienība ir pareizi klasificēta kā tirgus vienība, rodas nākamais jautājums, proti, vai līdzvērtīgi un pretēji maksājumi ir jāvirza caur valdību (ko dēvē arī par pārvirzīšanu), lai apliecinātu, ka daži no vienības darījumiem ir veikti valdības vārdā. Piemēram, to var attiecināt uz jebkādiem neatlīdzināmiem maksājumiem (piemēram, subsīdijām), ko veic citām</w:t>
      </w:r>
      <w:r w:rsidR="001B3ECD">
        <w:rPr>
          <w:rFonts w:ascii="Times New Roman" w:hAnsi="Times New Roman"/>
          <w:noProof/>
          <w:sz w:val="24"/>
        </w:rPr>
        <w:t xml:space="preserve"> vienībām – tie tiktu ierakstīti</w:t>
      </w:r>
      <w:r>
        <w:rPr>
          <w:rFonts w:ascii="Times New Roman" w:hAnsi="Times New Roman"/>
          <w:noProof/>
          <w:sz w:val="24"/>
        </w:rPr>
        <w:t xml:space="preserve"> kā valdības veikti maksājumi ar korekciju attiecībā uz citiem darījumiem starp vienību un valdību kontu līdzsvarošanai.</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Pārvirzīšana var būt piemērota netiešas privatizācijas gadījumos, kad ieņēmumus patur publiska sabiedrība, lai finansētu citām vienībām veiktus neatlīdzināmos maksājumus (sk. V.2. nodaļu</w:t>
      </w:r>
      <w:r w:rsidR="005A7579">
        <w:rPr>
          <w:rFonts w:ascii="Times New Roman" w:hAnsi="Times New Roman"/>
          <w:noProof/>
          <w:sz w:val="24"/>
        </w:rPr>
        <w:t xml:space="preserve"> </w:t>
      </w:r>
      <w:r>
        <w:rPr>
          <w:rFonts w:ascii="Times New Roman" w:hAnsi="Times New Roman"/>
          <w:noProof/>
          <w:sz w:val="24"/>
        </w:rPr>
        <w:t>“Finanšu un nefinanšu aktīvu pārdošana”) vai lai finansētu vienības darbības, kas rada zaudējumus, saskaņā ar valdības norādījumiem kā daļu no valdības ekonomikas un sociālās politikas (sabiedrības, kuras veic noteiktu ārpustirgus darbību). Šādos gadījumos maksājumus, kas pārvirzīti caur valdību, uzrāda kā tādus, kurus finansē no maksājumiem, ko publiska vienība veic valdībai par netiešu privatizāciju.</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Klasificējot darījumu nacionālajos kontos, nosaukums, kas darījumam piešķirts publiskajos kontos vai uzņēmumu grāmatvedībā, nav obligāti jāņem vērā. Piemēram, dažos konkrētos gadījumos to, ko nodokļu tiesību aktos dēvē par nodokli vai par dividendi sabiedrību kontos, nacionālajos k</w:t>
      </w:r>
      <w:r w:rsidR="00593350">
        <w:rPr>
          <w:rFonts w:ascii="Times New Roman" w:hAnsi="Times New Roman"/>
          <w:noProof/>
          <w:sz w:val="24"/>
        </w:rPr>
        <w:t>ontos būtu atbilstošāk ierakstīt</w:t>
      </w:r>
      <w:r>
        <w:rPr>
          <w:rFonts w:ascii="Times New Roman" w:hAnsi="Times New Roman"/>
          <w:noProof/>
          <w:sz w:val="24"/>
        </w:rPr>
        <w:t xml:space="preserve"> kā finanšu darījumu.</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No otras puses, dažas plūsmas, kuru juridiskais nosaukums ir ieguldījums pašu kapitālā, nacionālajos kontos var klasificēt kā kapitāla pārvedumus vai nu tāpēc, ka no ieguldījumiem pašu kapitālā patiesībā netiek gaidīts nekāds ekonomiskais ieguvums (piemēram, palielinātas dividendes), vai tāpēc, ka šis ieguvums ir saistīts ar pamatlīdzekļu iegādi (un tādēļ to uzskata par ieguldījumu dotāciju). Šajā saistībā ir svarīgi nošķirt no citiem maksājumu veidiem plūsmas, kas ienākumus novirza no valsts komercsabiedrībām valdībai. Šādas ienākumu novirzīšanas plūsmas neapšaubāmi jāklasificē kā nefinanšu darījumi. Otrajā kategorijā jo īpaši ietilpst lieli maksājumi, ko publiskās sabiedrības ir veikušas no aktīvu pārdošanas ieņēmumiem. Tie jāklasificē kā finanšu darījumi (sk. lēmumu pieņemšanas shēmu III.2. nodaļā “Kapitāla iepludināšana publiskās sabiedrībās”).</w:t>
      </w:r>
    </w:p>
    <w:p w:rsidR="00523A0A" w:rsidRPr="001973D0" w:rsidRDefault="00523A0A" w:rsidP="00523A0A">
      <w:pPr>
        <w:pStyle w:val="BodyText"/>
        <w:numPr>
          <w:ilvl w:val="0"/>
          <w:numId w:val="85"/>
        </w:numPr>
        <w:tabs>
          <w:tab w:val="left" w:pos="1602"/>
        </w:tabs>
        <w:spacing w:before="0"/>
        <w:ind w:left="1134" w:hanging="425"/>
        <w:jc w:val="both"/>
        <w:rPr>
          <w:rFonts w:ascii="Times New Roman" w:hAnsi="Times New Roman"/>
          <w:noProof/>
          <w:sz w:val="24"/>
        </w:rPr>
      </w:pPr>
      <w:r>
        <w:rPr>
          <w:rFonts w:ascii="Times New Roman" w:hAnsi="Times New Roman"/>
          <w:noProof/>
          <w:sz w:val="24"/>
        </w:rPr>
        <w:t>Kopumā principus, kas attiecas uz darījumiem starp vispārējo valdību un valsts komercsabiedrībām, piemēro arī darījumiem starp valdību un privātajām komercsabiedrībām, kā arī starp valdību un citām valstīm. Daži privātie uzņēmumi var būt “pārāk lieli, lai sabruktu”, vai arī tiem var būt izšķirīga nozīme tautsaimniecībā, piemēram, tiem pieder vai to lietošanā atrodas svarīga infrastruktūra un komunālā saimniecība, tāpēc valdība ir spiesta turpināt nodrošināt šādu uzņēmumu pastāvēšanu, kārtojot ar tiem darījumus. Šādos gadījumos maksājumus šiem uzņēmumiem, kurus uzrāda kā finanšu darījumus (kapitāla vai pašu kapitāla iepludināšana), ekonomikas izpratnē var uzskatīt par dotācijām.</w:t>
      </w:r>
    </w:p>
    <w:p w:rsidR="008F11FC" w:rsidRDefault="008F11FC">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Default="00523A0A" w:rsidP="008F11FC">
      <w:pPr>
        <w:pStyle w:val="Heading2"/>
        <w:rPr>
          <w:noProof/>
        </w:rPr>
      </w:pPr>
      <w:bookmarkStart w:id="183" w:name="III.2__Capital_injections_into_public_co"/>
      <w:bookmarkStart w:id="184" w:name="_bookmark22"/>
      <w:bookmarkStart w:id="185" w:name="_Toc471135886"/>
      <w:bookmarkEnd w:id="183"/>
      <w:bookmarkEnd w:id="184"/>
      <w:r>
        <w:rPr>
          <w:noProof/>
        </w:rPr>
        <w:t>III.2. </w:t>
      </w:r>
      <w:r w:rsidRPr="008F11FC">
        <w:t>Kapitāla</w:t>
      </w:r>
      <w:r>
        <w:rPr>
          <w:noProof/>
        </w:rPr>
        <w:t xml:space="preserve"> iepludināšana publiskās sabiedrībās</w:t>
      </w:r>
      <w:bookmarkEnd w:id="185"/>
    </w:p>
    <w:p w:rsidR="008F11FC" w:rsidRPr="001973D0" w:rsidRDefault="008F11FC" w:rsidP="00523A0A">
      <w:pPr>
        <w:pStyle w:val="Heading2"/>
        <w:tabs>
          <w:tab w:val="left" w:pos="1602"/>
        </w:tabs>
        <w:jc w:val="both"/>
        <w:rPr>
          <w:noProof/>
          <w:sz w:val="24"/>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186" w:name="III.2.1_Background"/>
      <w:bookmarkEnd w:id="186"/>
      <w:r>
        <w:rPr>
          <w:rFonts w:ascii="Times New Roman" w:hAnsi="Times New Roman"/>
          <w:noProof/>
          <w:u w:val="none"/>
        </w:rPr>
        <w:t>III.2.1. </w:t>
      </w:r>
      <w:r>
        <w:rPr>
          <w:rFonts w:ascii="Times New Roman" w:hAnsi="Times New Roman"/>
          <w:noProof/>
          <w:u w:val="thick" w:color="000000"/>
        </w:rPr>
        <w:t>Vispārēja informācija</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Analītiķi plašsaziņas līdzekļos par “kapitāla iepludināšanu” publiskā sabiedrībā parasti runā, ja sabiedrībai ir sniegts ievērojams finansiāls atbalsts, cenšoties kapitalizēt vai rekapitalizēt sabiedrību.</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EKS 2010 un SNA 2008 tiek izmantots vispārējs apzīmējums “kapitāla iepludināšana”, un tāpat kā plašsaziņas līdzekļos to var attiecināt uz dažādiem maksājumu veidiem, ko valdība veic publiskai sabiedrībai un ko nacionālajos kontos klasificē dažādās kategorijās kā kapitāla pārvedumus vai finanšu darījumus. Piemēram, šī terminoloģija ietver darījumus, kurus publiskajos kontos varētu norādīt kā ieguldījumu dotācijas, kapitāla dotācijas, parāda apkalpošanas dotācijas, aizdevumus un ieguldījumus pašu kapitālā, akciju kapitāla iegādi. Par kapitāla iepludināšanu var uzskatīt arī citas atbalsta formas, piemēram, parāda uzņemšanos, dzēšanu un pārstrukturizāciju (sk. VII.2. nodaļu “Parāda pārņemšana un parāda atcelšana”).</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Maksājums no valdības, ko parasti dēvē par “kap</w:t>
      </w:r>
      <w:r w:rsidR="00C65F65">
        <w:rPr>
          <w:rFonts w:ascii="Times New Roman" w:hAnsi="Times New Roman"/>
          <w:noProof/>
          <w:sz w:val="24"/>
        </w:rPr>
        <w:t>itāla iepludināšanu”, jāieraksta</w:t>
      </w:r>
      <w:r>
        <w:rPr>
          <w:rFonts w:ascii="Times New Roman" w:hAnsi="Times New Roman"/>
          <w:noProof/>
          <w:sz w:val="24"/>
        </w:rPr>
        <w:t xml:space="preserve"> nacionālajos kontos kā:</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finanšu darījumu – vispārīgā gadījumā tas attiecas uz pašu kapitāla palielināšanu, bet citos gadījumos – uz aizdevumiem vai vērtspapīriem,</w:t>
      </w:r>
      <w:r w:rsidR="00C65F65">
        <w:rPr>
          <w:rFonts w:ascii="Times New Roman" w:hAnsi="Times New Roman"/>
          <w:noProof/>
          <w:sz w:val="24"/>
        </w:rPr>
        <w:t xml:space="preserve"> izņemot akcijas, kurus ieraksta</w:t>
      </w:r>
      <w:r>
        <w:rPr>
          <w:rFonts w:ascii="Times New Roman" w:hAnsi="Times New Roman"/>
          <w:noProof/>
          <w:sz w:val="24"/>
        </w:rPr>
        <w:t xml:space="preserve"> finanšu kontos bez jebkādas ietekmes uz valdības neto aizdevumu/aizņēmumu (B.9); vai</w:t>
      </w:r>
    </w:p>
    <w:p w:rsidR="00523A0A"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nefinanšu darījumu – pieņemot, ka tas ir neatlīdzināms maksājums, tas būtu kapitāla pārvedums jeb valdības izdevumi ar negatīvu ietekmi uz neto aizdevumu/aizņēmumu (B.9).</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Retos gadījumos maksājumam var būt abu iepriekš minēto gadījumu pazīmes (sk. III.2. nodaļas “Kapitāla iepludināšana publiskās sabiedrībās” III.2.2. iedaļu “Traktējums nacionālajos kontos”).</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iepludināšanu visbiežāk veic naudā, taču to var veikt arī natūrā. Šajā nodaļā ir apspriesta naudas iepludināšana. Iepludināšana natūrā ir apspriesta citā nodaļā (sk. III.4. nodaļu “Kapitāla iepludināšana natūrā”). Iepludināšana natūrā ir ļoti īpašs gadījums, kas neatbilst dažām no na</w:t>
      </w:r>
      <w:r w:rsidR="00C65F65">
        <w:rPr>
          <w:rFonts w:ascii="Times New Roman" w:hAnsi="Times New Roman"/>
          <w:noProof/>
          <w:sz w:val="24"/>
        </w:rPr>
        <w:t>udas iepludināšanas (ko ieraksta</w:t>
      </w:r>
      <w:r>
        <w:rPr>
          <w:rFonts w:ascii="Times New Roman" w:hAnsi="Times New Roman"/>
          <w:noProof/>
          <w:sz w:val="24"/>
        </w:rPr>
        <w:t xml:space="preserve"> kā finanšu darījumus) pazīmēm, jo īpaši tas attiecas uz noteiktu sabiedrības rīcības brīvību attiecībā uz iepludināto līdzekļu izlietojumu (sk. arī III.2. nodaļas “Kapitāla iepludināšana publiskās sabiedrībās” III.2.3. iedaļu “Traktējuma pamatojums”).</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nodaļā ir apspriests tikai darījuma gadījums, t. i., ekonomiska plūsma, kas rodas divu institucionālu vienību mijiedarbībā pēc to savstarpējas vienošanās (vai darbība institucionālas vienības iekšienē, ko ir lietderīgi uzskatīt par darījumu; sk. EKS 2010 1.66. punktu). Tādējādi tiek izslēgts uzņēmuma pārstrukturizācijas gadījums, kas ietver aktīvu un saistību pārstrukturizāciju vai vienību pārklasificēšanu.</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nodaļā ir apspriesta tikai valdības kapitāla iepludināšana publiskās sabiedrībās (kuras pieder (kaut vai tikai daļēji) vispārējai valdībai vai atrodas tās kontrolē), tostarp centrālajā bankā. Kapitāla iepludināšana publiskās kvazisabiedrībās ir apspriesta turpmāk III.3. nodaļā. To var attiecināt arī uz kapitāla iepludināšanu valdības nekontrolētās sabiedrībās, ja pēc kapitāla iepludināšanas valdībai ir ievērojama ietekme sabiedrībā (kas pārsniedz jebkura cita privāta akcionāra ietekmi) vai tā šādu ietekmi iegūst.</w:t>
      </w:r>
    </w:p>
    <w:p w:rsidR="00523A0A" w:rsidRPr="00F20EE4"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lastRenderedPageBreak/>
        <w:t>Valdība veic kapitāla iepludināšanu arī publiskās un privātās finanšu iestādēs, jo īpaši saistībā ar finanšu krīzi, un dažos gadījumos šādi ieguldījumi sasniedz ievērojamu apmēru. Attiecībā uz šādu operāciju klasifikāciju piemēro tos pašus pamatprincipus. Tomēr ir jāņem vērā īpaši apsvērumi, jo attiecībā uz banku sektoru (tāpat kā attiecībā uz apdrošināšanas sektoru) piemēro īpašus noteikumus (piemēram, minimālā kapitāla pietiekamība), kurus nepiemēro attiecībā uz nefinanšu sabiedrībām.</w:t>
      </w:r>
      <w:r>
        <w:rPr>
          <w:rStyle w:val="FootnoteReference"/>
          <w:rFonts w:ascii="Times New Roman" w:hAnsi="Times New Roman"/>
          <w:noProof/>
          <w:sz w:val="24"/>
        </w:rPr>
        <w:footnoteReference w:id="143"/>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92"/>
        </w:tabs>
        <w:ind w:left="0" w:firstLine="0"/>
        <w:jc w:val="both"/>
        <w:rPr>
          <w:rFonts w:ascii="Times New Roman" w:hAnsi="Times New Roman"/>
          <w:noProof/>
          <w:u w:val="thick" w:color="000000"/>
        </w:rPr>
      </w:pPr>
      <w:bookmarkStart w:id="187" w:name="III.2.2_Treatment_in_national_accounts"/>
      <w:bookmarkEnd w:id="187"/>
      <w:r>
        <w:rPr>
          <w:rFonts w:ascii="Times New Roman" w:hAnsi="Times New Roman"/>
          <w:noProof/>
          <w:u w:val="none"/>
        </w:rPr>
        <w:t>III.2.2. </w:t>
      </w:r>
      <w:r>
        <w:rPr>
          <w:rFonts w:ascii="Times New Roman" w:hAnsi="Times New Roman"/>
          <w:noProof/>
          <w:u w:val="thick" w:color="000000"/>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16"/>
        </w:tabs>
        <w:jc w:val="both"/>
        <w:rPr>
          <w:rFonts w:ascii="Times New Roman" w:hAnsi="Times New Roman"/>
          <w:noProof/>
          <w:sz w:val="24"/>
        </w:rPr>
      </w:pPr>
      <w:bookmarkStart w:id="188" w:name="III.2.2.1_General_principle"/>
      <w:bookmarkEnd w:id="188"/>
      <w:r>
        <w:rPr>
          <w:rFonts w:ascii="Times New Roman" w:hAnsi="Times New Roman"/>
          <w:noProof/>
          <w:sz w:val="24"/>
        </w:rPr>
        <w:t>III.2.2.1. Vispārīgs princips</w:t>
      </w:r>
    </w:p>
    <w:p w:rsidR="00523A0A" w:rsidRPr="001973D0" w:rsidRDefault="00523A0A" w:rsidP="00523A0A">
      <w:pPr>
        <w:pStyle w:val="Heading6"/>
        <w:tabs>
          <w:tab w:val="left" w:pos="2016"/>
        </w:tabs>
        <w:jc w:val="both"/>
        <w:rPr>
          <w:rFonts w:ascii="Times New Roman" w:hAnsi="Times New Roman"/>
          <w:noProof/>
          <w:sz w:val="24"/>
        </w:rPr>
      </w:pP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Turpmāk izklāstīts vispārīgs princips, kuru dēvē arī par “kapitāla iepludināšanas testu”.</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 valdība, rīkojoties tādā pašā statusā kā privāts akcionārs, nodrošina līdzekļus, atbilstoši līgumam saņemot kaut ko pretī (parasti tādus finanšu instrumentus kā akcijas vai parāda vērtspapīrus) tādā pašā vērtībā un cerot nopelnīt pietiekamu peļņas normu no sava ieguldījuma (galvenokārt dividenžu un procentu formā) un uz augstāku tā finanšu instrumenta vērtību, kurš apliecina valdības īpašumtiesības uz sabiedrību,</w:t>
      </w:r>
      <w:r w:rsidR="00C65F65">
        <w:rPr>
          <w:rFonts w:ascii="Times New Roman" w:hAnsi="Times New Roman"/>
          <w:noProof/>
          <w:sz w:val="24"/>
        </w:rPr>
        <w:t xml:space="preserve"> kapitāla iepludināšanu ieraksta</w:t>
      </w:r>
      <w:r>
        <w:rPr>
          <w:rFonts w:ascii="Times New Roman" w:hAnsi="Times New Roman"/>
          <w:noProof/>
          <w:sz w:val="24"/>
        </w:rPr>
        <w:t xml:space="preserve"> kā finanšu darījumu ar akcijām un citu pašu kapitālu (sk. arī III.2.3. iedaļas “Traktējuma pamatojums” 2. ierāmējumu). Nacionālo kontu izpratnē šāds finanšu darījums nekādi neietekmē valdības neto aizņēmumu/aizdevumu (B.9).</w:t>
      </w:r>
    </w:p>
    <w:p w:rsidR="00523A0A"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Bieži valdība pārvalda līdzekļus ar nolūku sasniegt sociālās vai kopējās politikas mērķus, kuru īstenošanai var nebūt pieejams privātais kapitāls, nevis ar mērķi iegūt ienesīgus aktīvus (kā to dara privātie akcionāri). Šāda rīcība ir aktīvu pārvaldība ar nolūku īstenot valsts politikas mērķus. Tāpēc kapi</w:t>
      </w:r>
      <w:r w:rsidR="00C65F65">
        <w:rPr>
          <w:rFonts w:ascii="Times New Roman" w:hAnsi="Times New Roman"/>
          <w:noProof/>
          <w:sz w:val="24"/>
        </w:rPr>
        <w:t>tāla iepludināšana ir jāieraksta</w:t>
      </w:r>
      <w:r>
        <w:rPr>
          <w:rFonts w:ascii="Times New Roman" w:hAnsi="Times New Roman"/>
          <w:noProof/>
          <w:sz w:val="24"/>
        </w:rPr>
        <w:t xml:space="preserve"> kā kapitāla pārvedums, ja līdzekļi ir piešķirti vienā no šādiem gadījumiem:</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2"/>
          <w:numId w:val="84"/>
        </w:numPr>
        <w:tabs>
          <w:tab w:val="left" w:pos="2033"/>
        </w:tabs>
        <w:spacing w:before="0"/>
        <w:ind w:left="1701" w:hanging="567"/>
        <w:jc w:val="both"/>
        <w:rPr>
          <w:rFonts w:ascii="Times New Roman" w:hAnsi="Times New Roman"/>
          <w:noProof/>
          <w:sz w:val="24"/>
        </w:rPr>
      </w:pPr>
      <w:r>
        <w:rPr>
          <w:rFonts w:ascii="Times New Roman" w:hAnsi="Times New Roman"/>
          <w:noProof/>
          <w:sz w:val="24"/>
        </w:rPr>
        <w:t>līdzekļi ir piešķirti, apmaiņā nesaņemot neko ar tādu pašu vērtību;</w:t>
      </w:r>
    </w:p>
    <w:p w:rsidR="00523A0A" w:rsidRPr="001973D0" w:rsidRDefault="00523A0A" w:rsidP="00523A0A">
      <w:pPr>
        <w:pStyle w:val="BodyText"/>
        <w:numPr>
          <w:ilvl w:val="2"/>
          <w:numId w:val="84"/>
        </w:numPr>
        <w:tabs>
          <w:tab w:val="left" w:pos="2033"/>
        </w:tabs>
        <w:spacing w:before="0"/>
        <w:ind w:left="1701" w:hanging="567"/>
        <w:jc w:val="both"/>
        <w:rPr>
          <w:rFonts w:ascii="Times New Roman" w:hAnsi="Times New Roman"/>
          <w:noProof/>
          <w:sz w:val="24"/>
        </w:rPr>
      </w:pPr>
      <w:r>
        <w:rPr>
          <w:rFonts w:ascii="Times New Roman" w:hAnsi="Times New Roman"/>
          <w:noProof/>
          <w:sz w:val="24"/>
        </w:rPr>
        <w:t>līdzekļi ir piešķirti, negaidot pietiekamu peļņas normu no ieguldījuma;</w:t>
      </w:r>
    </w:p>
    <w:p w:rsidR="00523A0A" w:rsidRDefault="00523A0A" w:rsidP="00523A0A">
      <w:pPr>
        <w:pStyle w:val="BodyText"/>
        <w:numPr>
          <w:ilvl w:val="2"/>
          <w:numId w:val="84"/>
        </w:numPr>
        <w:tabs>
          <w:tab w:val="left" w:pos="2033"/>
        </w:tabs>
        <w:spacing w:before="0"/>
        <w:ind w:left="1701" w:hanging="567"/>
        <w:jc w:val="both"/>
        <w:rPr>
          <w:rFonts w:ascii="Times New Roman" w:hAnsi="Times New Roman"/>
          <w:noProof/>
          <w:sz w:val="24"/>
        </w:rPr>
      </w:pPr>
      <w:r>
        <w:rPr>
          <w:rFonts w:ascii="Times New Roman" w:hAnsi="Times New Roman"/>
          <w:noProof/>
          <w:sz w:val="24"/>
        </w:rPr>
        <w:t>līdzekļi ir piešķirti sabiedrībai, kas nesenā pagātnē ir cietusi zaudējumus.</w:t>
      </w:r>
    </w:p>
    <w:p w:rsidR="00523A0A" w:rsidRPr="001973D0" w:rsidRDefault="00523A0A" w:rsidP="00523A0A">
      <w:pPr>
        <w:pStyle w:val="BodyText"/>
        <w:tabs>
          <w:tab w:val="left" w:pos="2033"/>
        </w:tabs>
        <w:spacing w:before="0"/>
        <w:ind w:left="0" w:firstLine="0"/>
        <w:jc w:val="both"/>
        <w:rPr>
          <w:rFonts w:ascii="Times New Roman" w:hAnsi="Times New Roman"/>
          <w:noProof/>
          <w:sz w:val="24"/>
        </w:rPr>
      </w:pPr>
    </w:p>
    <w:p w:rsidR="00523A0A" w:rsidRPr="00C63E33"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w:t>
      </w:r>
      <w:r w:rsidR="00C65F65">
        <w:rPr>
          <w:rFonts w:ascii="Times New Roman" w:hAnsi="Times New Roman"/>
          <w:noProof/>
          <w:sz w:val="24"/>
        </w:rPr>
        <w:t>āla iepludināšana, kuru ieraksta</w:t>
      </w:r>
      <w:r>
        <w:rPr>
          <w:rFonts w:ascii="Times New Roman" w:hAnsi="Times New Roman"/>
          <w:noProof/>
          <w:sz w:val="24"/>
        </w:rPr>
        <w:t xml:space="preserve"> kā kapitāla pārvedumu (nefinanšu darījumu), ietekmē valdības neto aizdevumu/aizņēmumu (B.9), t. i., palielinās deficīts vai samazinās pārpalikums). Valdības neto vērtības iespējamās pārmaiņas būs atkarīgas no tā, vai kapitāla iepludināšana rada pamatu sabiedrības aktīvu pārvērtēšanai (atšķirība starp aktīvu novērtēšanu saskaņā ar “darbības turpināšanas” principu un “darbības neturpināšanas” principu). Attiecīgi palielināsies valdības pašu kapitāla aktīvu vērtība. Ņemot vērā valdības specifiku, pietiekamai prognozētajai peļņas normai no ieguldītajiem līdzekļiem (sk. arī III.2.3. iedaļas “Traktējuma pamatojums” 2. ierāmējumu) būtu vismaz jāatbilst ilgtermiņa (10 gadu)</w:t>
      </w:r>
      <w:r>
        <w:rPr>
          <w:rStyle w:val="FootnoteReference"/>
          <w:rFonts w:ascii="Times New Roman" w:hAnsi="Times New Roman"/>
          <w:noProof/>
          <w:sz w:val="24"/>
        </w:rPr>
        <w:footnoteReference w:id="144"/>
      </w:r>
      <w:r>
        <w:rPr>
          <w:rFonts w:ascii="Times New Roman" w:hAnsi="Times New Roman"/>
          <w:noProof/>
          <w:sz w:val="24"/>
        </w:rPr>
        <w:t xml:space="preserve"> valsts obligāciju likmēm</w:t>
      </w:r>
      <w:r>
        <w:rPr>
          <w:rStyle w:val="FootnoteReference"/>
          <w:rFonts w:ascii="Times New Roman" w:hAnsi="Times New Roman"/>
          <w:noProof/>
          <w:sz w:val="24"/>
        </w:rPr>
        <w:footnoteReference w:id="145"/>
      </w:r>
      <w:r>
        <w:rPr>
          <w:rFonts w:ascii="Times New Roman" w:hAnsi="Times New Roman"/>
          <w:noProof/>
          <w:sz w:val="24"/>
        </w:rPr>
        <w:t xml:space="preserve"> vai atsevišķos gadījumos (jo īpaši, kad valdība veic ieguldījumus kopā ar citiem ieguldītājiem) ar risku koriģētajām minimālajām peļņas normām (kas parasti tiek</w:t>
      </w:r>
      <w:r w:rsidR="00826349">
        <w:rPr>
          <w:rFonts w:ascii="Times New Roman" w:hAnsi="Times New Roman"/>
          <w:noProof/>
          <w:sz w:val="24"/>
        </w:rPr>
        <w:t xml:space="preserve"> dēvētas par pašu kapitāla atdevi</w:t>
      </w:r>
      <w:r>
        <w:rPr>
          <w:rFonts w:ascii="Times New Roman" w:hAnsi="Times New Roman"/>
          <w:noProof/>
          <w:sz w:val="24"/>
        </w:rPr>
        <w:t xml:space="preserve">), kuras privāti ieguldītāji parasti pieprasa no līdzīgiem </w:t>
      </w:r>
      <w:r>
        <w:rPr>
          <w:rFonts w:ascii="Times New Roman" w:hAnsi="Times New Roman"/>
          <w:noProof/>
          <w:sz w:val="24"/>
        </w:rPr>
        <w:lastRenderedPageBreak/>
        <w:t>ieguldījumiem pašu kapitālā tajā pašā darbības sektorā.</w:t>
      </w:r>
      <w:r>
        <w:rPr>
          <w:rStyle w:val="FootnoteReference"/>
          <w:rFonts w:ascii="Times New Roman" w:hAnsi="Times New Roman"/>
          <w:noProof/>
          <w:sz w:val="24"/>
        </w:rPr>
        <w:footnoteReference w:id="146"/>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Kopumā turpmākos nosacījumus iespējams īstenot vienīgi tad, ja katrs gadījums tiek analizēts atsevišķi, pamatojoties uz pieejamo informāciju. Lai veiktu šādu analīzi, kā darbības norādījumi ir jāizskata turpmākie pamatjautājumi.</w:t>
      </w:r>
    </w:p>
    <w:p w:rsidR="00523A0A" w:rsidRPr="001973D0" w:rsidRDefault="00523A0A" w:rsidP="00523A0A">
      <w:pPr>
        <w:pStyle w:val="BodyText"/>
        <w:tabs>
          <w:tab w:val="left" w:pos="1242"/>
        </w:tabs>
        <w:spacing w:before="0"/>
        <w:ind w:left="709"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Vai valdība rīkojas viena (iespējams, kopā ar vienu vai vairākām publiskām sabiedrībām, kuru dalība ir maznozīmīga) vai kopā ar privātiem akcionāriem (kā noteikts EKS 2010 2. nodaļā “Vienības un vienību grupējumi”), kuri piedalās iepludināšanā?</w:t>
      </w: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szCs w:val="14"/>
        </w:rPr>
      </w:pPr>
      <w:r>
        <w:rPr>
          <w:rFonts w:ascii="Times New Roman" w:hAnsi="Times New Roman"/>
          <w:noProof/>
          <w:sz w:val="24"/>
        </w:rPr>
        <w:t>Vai publiskā sabiedrība (un dažos gadījumos, iespējams, arī privātā sabiedrība</w:t>
      </w:r>
      <w:r>
        <w:rPr>
          <w:rStyle w:val="FootnoteReference"/>
          <w:rFonts w:ascii="Times New Roman" w:hAnsi="Times New Roman"/>
          <w:noProof/>
          <w:sz w:val="24"/>
        </w:rPr>
        <w:footnoteReference w:id="147"/>
      </w:r>
      <w:r>
        <w:rPr>
          <w:rFonts w:ascii="Times New Roman" w:hAnsi="Times New Roman"/>
          <w:noProof/>
          <w:sz w:val="24"/>
        </w:rPr>
        <w:t>) ir uzkrājusi neto zaudējumus vairāku gadu laikā vai pēdējās darbības laikā (ko dēvē par “vienreizēju zaudējumu” pretstatā “ārkārt</w:t>
      </w:r>
      <w:r w:rsidR="00C65F65">
        <w:rPr>
          <w:rFonts w:ascii="Times New Roman" w:hAnsi="Times New Roman"/>
          <w:noProof/>
          <w:sz w:val="24"/>
        </w:rPr>
        <w:t>as zaudējumiem”), kas ierakstīti</w:t>
      </w:r>
      <w:r>
        <w:rPr>
          <w:rFonts w:ascii="Times New Roman" w:hAnsi="Times New Roman"/>
          <w:noProof/>
          <w:sz w:val="24"/>
        </w:rPr>
        <w:t xml:space="preserve"> atbilstīgi nacionālajiem kontiem (piemēram, neto uzkrājumi) atbilstīgi vispārpieņemtam uzskaites principam, vai pamatojoties uz citiem pierādījumiem, piemēram, uz negatīvu tendenci pašas sabiedrības finanšu līdzekļos?</w:t>
      </w:r>
      <w:r>
        <w:rPr>
          <w:rStyle w:val="FootnoteReference"/>
          <w:rFonts w:ascii="Times New Roman" w:hAnsi="Times New Roman"/>
          <w:noProof/>
          <w:sz w:val="24"/>
        </w:rPr>
        <w:footnoteReference w:id="148"/>
      </w: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Vai ir ticams, ka valdība saņems pietiekamu peļņas normu no sava ieguldījuma?</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6"/>
        <w:tabs>
          <w:tab w:val="left" w:pos="2016"/>
        </w:tabs>
        <w:jc w:val="both"/>
        <w:rPr>
          <w:rFonts w:ascii="Times New Roman" w:hAnsi="Times New Roman"/>
          <w:noProof/>
          <w:sz w:val="24"/>
        </w:rPr>
      </w:pPr>
      <w:bookmarkStart w:id="189" w:name="III.2.2.2_There_are_no_private_sharehold"/>
      <w:bookmarkEnd w:id="189"/>
      <w:r>
        <w:rPr>
          <w:rFonts w:ascii="Times New Roman" w:hAnsi="Times New Roman"/>
          <w:noProof/>
          <w:sz w:val="24"/>
        </w:rPr>
        <w:t>III.2.2.2. Privātie akcionāri neveic ieguldījumus</w:t>
      </w:r>
    </w:p>
    <w:p w:rsidR="00523A0A" w:rsidRPr="001973D0" w:rsidRDefault="00523A0A" w:rsidP="00523A0A">
      <w:pPr>
        <w:jc w:val="both"/>
        <w:rPr>
          <w:rFonts w:ascii="Times New Roman" w:eastAsia="Arial" w:hAnsi="Times New Roman" w:cs="Arial"/>
          <w:b/>
          <w:bCs/>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190" w:name="III.2.2.2.1_The_corporation_has_accumula"/>
      <w:bookmarkEnd w:id="190"/>
      <w:r>
        <w:rPr>
          <w:rFonts w:ascii="Times New Roman" w:hAnsi="Times New Roman"/>
          <w:noProof/>
          <w:sz w:val="24"/>
        </w:rPr>
        <w:t>III.2.2.2.1. Sabiedrība ir uzkrājusi neto zaudējumus, vai tai ir radušies vienreizēji ārkārtas zaudējumi</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sabiedrība ir uzkrājusi neto zaudējumus vai tai ir radušies “vienreizēji” zaudējumi, tad saskaņā ar vispārpieņemtu praksi kapitāla iepludināšanu traktē kā nefinanšu darījumu par pilnu ieguldījuma summu.</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Īpašs gadījums (darījuma sadalīšana): ja kapitāla iepludināšana pārsniedz zaudējumu neto summu un:</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3"/>
        </w:numPr>
        <w:tabs>
          <w:tab w:val="left" w:pos="1602"/>
        </w:tabs>
        <w:spacing w:before="0"/>
        <w:ind w:left="1134" w:hanging="425"/>
        <w:jc w:val="both"/>
        <w:rPr>
          <w:rFonts w:ascii="Times New Roman" w:hAnsi="Times New Roman"/>
          <w:noProof/>
          <w:sz w:val="24"/>
        </w:rPr>
      </w:pPr>
      <w:r>
        <w:rPr>
          <w:rFonts w:ascii="Times New Roman" w:hAnsi="Times New Roman"/>
          <w:noProof/>
          <w:sz w:val="24"/>
        </w:rPr>
        <w:t>valdība var pierādīt, ka šādiem pārsnieguma līdzekļiem būs pietiekama peļņas norma (piemēram, tos izmanto īpaši tam, lai veiktu turpmākus ieguldījumus peļņu nesošās sabiedrības darbības jomās, ko apliecina iepriekšējie rezultāti, vai arī saistībā ar plānoto uzņēmuma privatizāciju); vai</w:t>
      </w:r>
    </w:p>
    <w:p w:rsidR="00523A0A" w:rsidRPr="001973D0" w:rsidRDefault="00523A0A" w:rsidP="00523A0A">
      <w:pPr>
        <w:pStyle w:val="BodyText"/>
        <w:numPr>
          <w:ilvl w:val="0"/>
          <w:numId w:val="83"/>
        </w:numPr>
        <w:tabs>
          <w:tab w:val="left" w:pos="1602"/>
        </w:tabs>
        <w:spacing w:before="0"/>
        <w:ind w:left="1134" w:hanging="425"/>
        <w:jc w:val="both"/>
        <w:rPr>
          <w:rFonts w:ascii="Times New Roman" w:hAnsi="Times New Roman"/>
          <w:noProof/>
          <w:sz w:val="24"/>
        </w:rPr>
      </w:pPr>
      <w:r>
        <w:rPr>
          <w:rFonts w:ascii="Times New Roman" w:hAnsi="Times New Roman"/>
          <w:noProof/>
          <w:sz w:val="24"/>
        </w:rPr>
        <w:t>notiek acīmredzama pilnīga sabiedrības pārstrukturizācija, lai nepieļautu jaunus zaudējumus un atgrieztos pie ilgtspējīga ienesīguma pēc jauna uzņēmējdarbības plāna pilnīgas ieviešanas, un var pamatoti uzskatīt, ka valdībai būs nodrošināta pietiekama peļņas norma no tās jaunā ieguldījuma. Ir jābūt vispārējai vienprātībai par to, ka pārstrukturizācija būs efektīva. Iepriekš minēto nepiemēro, ja joprojām nav zināma peļņas norma no jaunā ieguldījuma (pārstrukturizācijas plānu lielā mērā uzskata par neefektīvu attiecībā uz galvenajiem zaudējumu cēloņiem, un/vai ienesīguma atjaunošana galvenokārt ir atkarīga no faktoriem, kurus sabiedrība nespēj kontrolēt), kā rezultātā uzkrāto zaudējumu atgūšanai būs nepieciešams laiks.</w:t>
      </w:r>
    </w:p>
    <w:p w:rsidR="00523A0A" w:rsidRPr="001973D0" w:rsidRDefault="00523A0A" w:rsidP="00523A0A">
      <w:pPr>
        <w:jc w:val="both"/>
        <w:rPr>
          <w:rFonts w:ascii="Times New Roman" w:eastAsia="Arial" w:hAnsi="Times New Roman" w:cs="Arial"/>
          <w:noProof/>
          <w:sz w:val="24"/>
          <w:szCs w:val="16"/>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lastRenderedPageBreak/>
        <w:t>Šajā īpašajā gadījumā kapitāla ieguldījumu uzskata par nefinanšu darījumu zaudējumu maksimālās summas apmērā un par finanšu darījumu, kas pārsniedz šo summu.</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īpašajā gadījumā darbības norādījumi var būt parāda vērtības noteikšana vai vērtības mainīšana (jo īpaši ilgtermiņa parādam), pārvaldības reorganizācijas būtiskā nozīme, darbības virzienu maiņa, konkurētspēja tirgū u. c.</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2016"/>
        </w:tabs>
        <w:jc w:val="both"/>
        <w:rPr>
          <w:rFonts w:ascii="Times New Roman" w:hAnsi="Times New Roman"/>
          <w:noProof/>
          <w:sz w:val="24"/>
        </w:rPr>
      </w:pPr>
      <w:bookmarkStart w:id="191" w:name="III.2.2.2.2_The_corporation_has_not_accu"/>
      <w:bookmarkEnd w:id="191"/>
      <w:r>
        <w:rPr>
          <w:rFonts w:ascii="Times New Roman" w:hAnsi="Times New Roman"/>
          <w:noProof/>
          <w:sz w:val="24"/>
        </w:rPr>
        <w:t>III.2.2.2.2. Sabiedrībai nav uzkrātu neto zaudējumu</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Parasti tas nozīmē, ka sabiedrība regulāri gūst peļņu, kuru vai nu sadala, vai atkal iegulda.</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valdība rīkojas līdzīgi privātajam daļu turētājam, kas nozīmē, ka tā piešķir līdzekļus, pretī saņemot finanšu aktīvus, un gaida no sava ieguldījuma pietiekamu peļņas normu (dividenžu vai augstākas tā finanšu instrumenta vērtības veidā, kas apliecina valdības īpašumtiesības sabiedrībā).</w:t>
      </w:r>
    </w:p>
    <w:p w:rsidR="00523A0A" w:rsidRPr="001973D0" w:rsidRDefault="00C65F65"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ieguldījumu ieraksta</w:t>
      </w:r>
      <w:r w:rsidR="00523A0A">
        <w:rPr>
          <w:rFonts w:ascii="Times New Roman" w:hAnsi="Times New Roman"/>
          <w:noProof/>
          <w:sz w:val="24"/>
        </w:rPr>
        <w:t xml:space="preserve"> kā finanšu darījumu ar akcijām un citu pašu kapitālu par pilnu ieguldījuma summu.</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kapitāla iepludināšanu veic ar nolūku īstenot konkrētus valsts politikas mērķus vai saistībā ar būtiskām izmaiņām apstākļos, kuros tiek veiktas darbības un kurus noteikusi valdība, ir rūpīgi jāpārbauda jaunā valdības ieguldījuma nākotnes ienesīgums. Šādos gadījumos:</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 gaidāmā pietiekamā peļņas norma joprojām ir ļoti ticama, kapitāla iepludināšanu traktē kā finanšu darījumu par pilnu ieguldījuma summu;</w:t>
      </w:r>
    </w:p>
    <w:p w:rsidR="00523A0A"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 pietiekama peļņas norma ir maz ticama, kapitāla iepludināšanu traktē kā nefinanšu darījumu par pilnu ieguldījuma summu.</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Dažām publiskām sabiedrībām var būt noteikts pienākums ievērot obligātu noteikumu, saskaņā ar kuru to ieņēmumi var būt vienādi ar kopējām izmaksām, taču nedrīkst tās pārsniegt (tas, piemēram, var attiekties uz tirgus bezpeļņas organizācijām, kuras klasificē nefinanšu sabiedrību sektorā). Šādas organizācijas pēc būtības nevar nodrošināt tirgus ienesīgumu, un valdība, veicot ieguldījumus šādās vienībās, nerīkojas tāpat kā privātais akcionārs. Šādi gadījumi ir jāpielīdzina kapitāla iepludināšanai, ko veic ar nolūku īstenot valsts politikas mērķus.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6"/>
        <w:tabs>
          <w:tab w:val="left" w:pos="2016"/>
        </w:tabs>
        <w:jc w:val="both"/>
        <w:rPr>
          <w:rFonts w:ascii="Times New Roman" w:hAnsi="Times New Roman"/>
          <w:noProof/>
          <w:sz w:val="24"/>
        </w:rPr>
      </w:pPr>
      <w:bookmarkStart w:id="192" w:name="III.2.2.3_There_are_private_shareholders"/>
      <w:bookmarkEnd w:id="192"/>
      <w:r>
        <w:rPr>
          <w:rFonts w:ascii="Times New Roman" w:hAnsi="Times New Roman"/>
          <w:noProof/>
          <w:sz w:val="24"/>
        </w:rPr>
        <w:t>III.2.2.3. Privātie akcionāri veic ieguldījumus</w:t>
      </w:r>
    </w:p>
    <w:p w:rsidR="00523A0A" w:rsidRPr="001973D0" w:rsidRDefault="00523A0A" w:rsidP="00523A0A">
      <w:pPr>
        <w:jc w:val="both"/>
        <w:rPr>
          <w:rFonts w:ascii="Times New Roman" w:eastAsia="Arial" w:hAnsi="Times New Roman" w:cs="Arial"/>
          <w:b/>
          <w:bCs/>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193" w:name="III.2.2.3.1_Private_shareholders_partici"/>
      <w:bookmarkEnd w:id="193"/>
      <w:r>
        <w:rPr>
          <w:rFonts w:ascii="Times New Roman" w:hAnsi="Times New Roman"/>
          <w:noProof/>
          <w:sz w:val="24"/>
        </w:rPr>
        <w:t>III.2.2.3.1. Privātie akcionāri piedalās kapitāla iepludināšanā nekotētajās akcijās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Privātajiem akcionāriem jau var piederēt sabiedrības pašu kapitāls. Šis gadījums ietver arī privāto akcionāru sākotnējo iesaistīšanu kārtējās iepludināšanas pasākumā, piemēram, pārstrukturizācijas procesa laikā.</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privātie ieguldītāji:</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2"/>
        </w:numPr>
        <w:tabs>
          <w:tab w:val="left" w:pos="1602"/>
        </w:tabs>
        <w:spacing w:before="0"/>
        <w:ind w:left="1134" w:hanging="425"/>
        <w:jc w:val="both"/>
        <w:rPr>
          <w:rFonts w:ascii="Times New Roman" w:hAnsi="Times New Roman"/>
          <w:noProof/>
          <w:sz w:val="24"/>
        </w:rPr>
      </w:pPr>
      <w:r>
        <w:rPr>
          <w:rFonts w:ascii="Times New Roman" w:hAnsi="Times New Roman"/>
          <w:noProof/>
          <w:sz w:val="24"/>
        </w:rPr>
        <w:t>kapitāla iepludināšanas laikā saņem ievērojamu pašu kapitāla daļu proporcionāli daļām, kas tiem jau pieder (attiecīgajā gadījumā), tajā pašā laikā, kad valdība veic kapitāla iepludināšanu;</w:t>
      </w:r>
    </w:p>
    <w:p w:rsidR="00523A0A" w:rsidRPr="001973D0" w:rsidRDefault="00523A0A" w:rsidP="00523A0A">
      <w:pPr>
        <w:pStyle w:val="BodyText"/>
        <w:numPr>
          <w:ilvl w:val="0"/>
          <w:numId w:val="82"/>
        </w:numPr>
        <w:tabs>
          <w:tab w:val="left" w:pos="1602"/>
        </w:tabs>
        <w:spacing w:before="0"/>
        <w:ind w:left="1134" w:hanging="425"/>
        <w:jc w:val="both"/>
        <w:rPr>
          <w:rFonts w:ascii="Times New Roman" w:hAnsi="Times New Roman"/>
          <w:noProof/>
          <w:sz w:val="24"/>
        </w:rPr>
      </w:pPr>
      <w:r>
        <w:rPr>
          <w:rFonts w:ascii="Times New Roman" w:hAnsi="Times New Roman"/>
          <w:noProof/>
          <w:sz w:val="24"/>
        </w:rPr>
        <w:t>realizē parasto mazākuma akcionāru ietekmi saskaņā ar tiesībām, kas paredzētas spēkā esošajos korporatīvajos tiesību aktos;</w:t>
      </w:r>
    </w:p>
    <w:p w:rsidR="00523A0A" w:rsidRPr="001973D0" w:rsidRDefault="00523A0A" w:rsidP="00523A0A">
      <w:pPr>
        <w:pStyle w:val="BodyText"/>
        <w:numPr>
          <w:ilvl w:val="0"/>
          <w:numId w:val="82"/>
        </w:numPr>
        <w:tabs>
          <w:tab w:val="left" w:pos="1602"/>
        </w:tabs>
        <w:spacing w:before="0"/>
        <w:ind w:left="1134" w:hanging="425"/>
        <w:jc w:val="both"/>
        <w:rPr>
          <w:rFonts w:ascii="Times New Roman" w:hAnsi="Times New Roman"/>
          <w:noProof/>
          <w:sz w:val="24"/>
        </w:rPr>
      </w:pPr>
      <w:r>
        <w:rPr>
          <w:rFonts w:ascii="Times New Roman" w:hAnsi="Times New Roman"/>
          <w:noProof/>
          <w:sz w:val="24"/>
        </w:rPr>
        <w:t>līdzīgi valdībai uzņemas riskus un priekšrocības, piemēram, attiecībā uz savām tiesībām uz neto aktīviem likvidācijas gadījumā (EKS 2010 5.148. punkts),</w:t>
      </w:r>
    </w:p>
    <w:p w:rsidR="00523A0A" w:rsidRPr="001973D0" w:rsidRDefault="00523A0A" w:rsidP="00523A0A">
      <w:pPr>
        <w:pStyle w:val="BodyText"/>
        <w:spacing w:before="0"/>
        <w:ind w:left="1134" w:hanging="425"/>
        <w:jc w:val="both"/>
        <w:rPr>
          <w:rFonts w:ascii="Times New Roman" w:hAnsi="Times New Roman"/>
          <w:noProof/>
          <w:sz w:val="24"/>
        </w:rPr>
      </w:pPr>
      <w:r>
        <w:rPr>
          <w:rFonts w:ascii="Times New Roman" w:hAnsi="Times New Roman"/>
          <w:noProof/>
          <w:sz w:val="24"/>
        </w:rPr>
        <w:lastRenderedPageBreak/>
        <w:t>kapitāla iepludināšanu traktē kā finanšu darījumu par pilnu ieguldījuma summu.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privātie ieguldītāji neatbilst kādam no iepriekš minētajiem nosacījumiem, kapitāla iepludināšana jātraktē atbilstoši noteikumiem, kas paredzēti gadījumiem, kuros nav privāto akcionāru.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194" w:name="III.2.2.3.2_Private_shareholders_partici"/>
      <w:bookmarkEnd w:id="194"/>
      <w:r>
        <w:rPr>
          <w:rFonts w:ascii="Times New Roman" w:hAnsi="Times New Roman"/>
          <w:noProof/>
          <w:sz w:val="24"/>
        </w:rPr>
        <w:t>III.2.2.3.2. Privātie akcionāri piedalās kapitāla iepludināšanā kotētajās akcijās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Ja apmaiņā pret savu maksājumu sabiedrībai valdība iegūst kotētās akcijas, kuras tā nekavējoties varētu pārdot par samaksāto cenu, tad darījums būtībā ir finanšu darījums ar akcijām un citu pašu kapitālu (F.511).</w:t>
      </w:r>
      <w:r>
        <w:rPr>
          <w:rStyle w:val="FootnoteReference"/>
          <w:rFonts w:ascii="Times New Roman" w:hAnsi="Times New Roman"/>
          <w:noProof/>
          <w:sz w:val="24"/>
        </w:rPr>
        <w:footnoteReference w:id="149"/>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5"/>
        </w:tabs>
        <w:jc w:val="both"/>
        <w:rPr>
          <w:rFonts w:ascii="Times New Roman" w:hAnsi="Times New Roman"/>
          <w:noProof/>
          <w:sz w:val="24"/>
        </w:rPr>
      </w:pPr>
      <w:bookmarkStart w:id="195" w:name="III.2.2.3.3_Special_case:_It_is_a_new_co"/>
      <w:bookmarkEnd w:id="195"/>
      <w:r>
        <w:rPr>
          <w:rFonts w:ascii="Times New Roman" w:hAnsi="Times New Roman"/>
          <w:noProof/>
          <w:sz w:val="24"/>
        </w:rPr>
        <w:t>III.2.2.3.3. Īpašs gadījums. Tā ir jauna sabiedrība, vai tiek apsvērta jauna darbība/aktīvi</w:t>
      </w:r>
    </w:p>
    <w:p w:rsidR="00523A0A" w:rsidRPr="001973D0" w:rsidRDefault="00523A0A" w:rsidP="00523A0A">
      <w:pPr>
        <w:pStyle w:val="Heading6"/>
        <w:tabs>
          <w:tab w:val="left" w:pos="1875"/>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Traktējums būs atkarīgs no īpašas izpētes, pamatojoties uz dažādiem rādītājiem, kurus parasti izmanto ieguldījumu analīzē. Būtisks rādītājs varētu būt arī privāto ieguldītāju esamība. Jebkurā gadījumā jābūt skaidram, ka valdība jauno vienību plāno izmantot ne tikai valsts politikas mērķiem.</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Līdz ar to:</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 apstākļi apstiprina secinājumu, ka pēc “parasta” īslaicīga zaudējumu perioda (ko bieži var novērot arī līdzīgu privātu ieguldījumu gadījumā) sabiedrība kļūs strukturāli ienesīga, nodrošinot kopumā atbilstošu peļņas normu, valdības kapitāla iepludināšanu traktē kā finanšu darījumu par pilnu ieguldījuma summu;</w:t>
      </w:r>
    </w:p>
    <w:p w:rsidR="00523A0A"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 savukārt dažādu faktoru dēļ (nenoteikta ekonomiskā vide, darbības un nozares būtība, atsevišķu valdības noteiktu izmaksu neatlīdzināšana, neatkarīgu dažādu jomu, piemēram, grāmatvedības, ekonomikas, finanšu analīzes u. c., ekspertu vienprātīgs atzinums) pastāv šaubas par projekta ilgtermiņa ienesīgumu, kapitāla iepludināšanu traktē kā nefinanšu darījumu par pilnu ieguldījuma summu.</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peļņa no kapitāla iepludināšanas ievērojami atšķiras no sākotnēji prognozētās peļņas (piemēram, plānoto zaudējumu vietā tiek gūta peļņa vai citi ieņēmumi vai paredzētās peļņas vietā rodas zaudējumi), kapitāla iepludināšanas uzskaite netiek pārskatīta, kad tiek saņemta jauna informācija vai rodas jauni apstākļi, ja vien sākotnējais plāns nav bijis maldinošs un nav nepareizi atspoguļojis ekonomisko realitāti (sk. 2. ierāmēj</w:t>
      </w:r>
      <w:r w:rsidR="00C65F65">
        <w:rPr>
          <w:rFonts w:ascii="Times New Roman" w:hAnsi="Times New Roman"/>
          <w:noProof/>
          <w:sz w:val="24"/>
        </w:rPr>
        <w:t>umu III.2.3. iedaļā). Neieraksta</w:t>
      </w:r>
      <w:r>
        <w:rPr>
          <w:rFonts w:ascii="Times New Roman" w:hAnsi="Times New Roman"/>
          <w:noProof/>
          <w:sz w:val="24"/>
        </w:rPr>
        <w:t xml:space="preserve"> nekādus ieņēmumus vai izdevumus, lai atspoguļotu šīs atšķirības; tā vietā šādas atšķirības starp realitāti un prognozēm atspoguļo pārvērtēšanas kontos.</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Proti, gadījumā, ja valdībai naudu atmaksā subjekts, kurā iepriekšējos gados ir i</w:t>
      </w:r>
      <w:r w:rsidR="00C65F65">
        <w:rPr>
          <w:rFonts w:ascii="Times New Roman" w:hAnsi="Times New Roman"/>
          <w:noProof/>
          <w:sz w:val="24"/>
        </w:rPr>
        <w:t>epludināts kapitāls, ierakstot</w:t>
      </w:r>
      <w:r>
        <w:rPr>
          <w:rFonts w:ascii="Times New Roman" w:hAnsi="Times New Roman"/>
          <w:noProof/>
          <w:sz w:val="24"/>
        </w:rPr>
        <w:t xml:space="preserve"> to kā valdības izdevumus par kapitāla pārved</w:t>
      </w:r>
      <w:r w:rsidR="00C65F65">
        <w:rPr>
          <w:rFonts w:ascii="Times New Roman" w:hAnsi="Times New Roman"/>
          <w:noProof/>
          <w:sz w:val="24"/>
        </w:rPr>
        <w:t>umu, tas nav obligāti jāieraksta</w:t>
      </w:r>
      <w:r>
        <w:rPr>
          <w:rFonts w:ascii="Times New Roman" w:hAnsi="Times New Roman"/>
          <w:noProof/>
          <w:sz w:val="24"/>
        </w:rPr>
        <w:t xml:space="preserve"> kā valdības ieņēmumi. Tā vietā attiecībā uz valdības iekasētajiem ienākumiem veic superdividenžu testu, lai noteiktu, vai šie ienākumi ir valdības ieņēmumi vai tomēr pašu kapitāla izņemšana.</w:t>
      </w:r>
    </w:p>
    <w:p w:rsidR="008F11FC" w:rsidRDefault="008F11FC">
      <w:pPr>
        <w:widowControl/>
        <w:spacing w:after="160" w:line="259" w:lineRule="auto"/>
        <w:rPr>
          <w:rFonts w:ascii="Times New Roman" w:hAnsi="Times New Roman"/>
          <w:noProof/>
          <w:sz w:val="24"/>
        </w:rPr>
      </w:pPr>
      <w:r>
        <w:rPr>
          <w:rFonts w:ascii="Times New Roman" w:hAnsi="Times New Roman"/>
          <w:noProof/>
          <w:sz w:val="24"/>
        </w:rPr>
        <w:br w:type="page"/>
      </w:r>
    </w:p>
    <w:p w:rsidR="00523A0A" w:rsidRPr="001973D0" w:rsidRDefault="00523A0A" w:rsidP="00523A0A">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23A0A" w:rsidTr="00523A0A">
        <w:tc>
          <w:tcPr>
            <w:tcW w:w="9291" w:type="dxa"/>
          </w:tcPr>
          <w:p w:rsidR="00523A0A" w:rsidRPr="001973D0" w:rsidRDefault="00523A0A" w:rsidP="00523A0A">
            <w:pPr>
              <w:jc w:val="both"/>
              <w:rPr>
                <w:rFonts w:ascii="Times New Roman" w:eastAsia="Arial" w:hAnsi="Times New Roman" w:cs="Arial"/>
                <w:noProof/>
                <w:sz w:val="24"/>
                <w:szCs w:val="20"/>
              </w:rPr>
            </w:pPr>
            <w:r>
              <w:rPr>
                <w:rFonts w:ascii="Times New Roman" w:hAnsi="Times New Roman"/>
                <w:b/>
                <w:noProof/>
                <w:sz w:val="24"/>
              </w:rPr>
              <w:t>1. i</w:t>
            </w:r>
            <w:r w:rsidR="00C65F65">
              <w:rPr>
                <w:rFonts w:ascii="Times New Roman" w:hAnsi="Times New Roman"/>
                <w:b/>
                <w:noProof/>
                <w:sz w:val="24"/>
              </w:rPr>
              <w:t>erāmējums. Darījumu ierakstīšana</w:t>
            </w:r>
            <w:r>
              <w:rPr>
                <w:rFonts w:ascii="Times New Roman" w:hAnsi="Times New Roman"/>
                <w:b/>
                <w:noProof/>
                <w:sz w:val="24"/>
              </w:rPr>
              <w:t>: vienkārši gadījumi un sarežģītas jomas</w:t>
            </w:r>
          </w:p>
          <w:p w:rsidR="00523A0A" w:rsidRPr="001973D0" w:rsidRDefault="00523A0A" w:rsidP="00523A0A">
            <w:pPr>
              <w:jc w:val="both"/>
              <w:rPr>
                <w:rFonts w:ascii="Times New Roman" w:eastAsia="Arial" w:hAnsi="Times New Roman" w:cs="Arial"/>
                <w:b/>
                <w:bCs/>
                <w:noProof/>
                <w:sz w:val="24"/>
                <w:szCs w:val="23"/>
              </w:rPr>
            </w:pPr>
          </w:p>
          <w:p w:rsidR="00523A0A" w:rsidRPr="001973D0" w:rsidRDefault="00523A0A" w:rsidP="00523A0A">
            <w:pPr>
              <w:jc w:val="both"/>
              <w:rPr>
                <w:rFonts w:ascii="Times New Roman" w:hAnsi="Times New Roman"/>
                <w:noProof/>
                <w:sz w:val="24"/>
              </w:rPr>
            </w:pPr>
            <w:r>
              <w:rPr>
                <w:rFonts w:ascii="Times New Roman" w:hAnsi="Times New Roman"/>
                <w:noProof/>
                <w:sz w:val="24"/>
              </w:rPr>
              <w:t>Praksē statistikas veidotāji var saskarties ar vienkāršiem gadījumiem, attiecībā uz kuriem iespējams skaidrs statistiskais traktējums, vai ar robežgadījumiem, attiecībā uz kuriem ir jāveic padziļināta izpēte un jāizmanto dažādi testi.</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hAnsi="Times New Roman"/>
                <w:b/>
                <w:noProof/>
                <w:sz w:val="24"/>
                <w:u w:val="thick" w:color="000000"/>
              </w:rPr>
            </w:pPr>
            <w:r>
              <w:rPr>
                <w:rFonts w:ascii="Times New Roman" w:hAnsi="Times New Roman"/>
                <w:b/>
                <w:noProof/>
                <w:sz w:val="24"/>
                <w:u w:val="thick" w:color="000000"/>
              </w:rPr>
              <w:t>Vienkārši gadījumi</w:t>
            </w:r>
          </w:p>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a) Ieguldījumu dotācija (D.92)</w:t>
            </w: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Kapitāla iepludināšanu, kas “veidota no kapitāla pārvedumiem skaidrā naudā vai natūrā, ko valdība [..] veic citām institucionālām rezidentvienībām [..], lai finansētu visas izmaksas vai to daļu, tām ie</w:t>
            </w:r>
            <w:r w:rsidR="00C65F65">
              <w:rPr>
                <w:rFonts w:ascii="Times New Roman" w:hAnsi="Times New Roman"/>
                <w:noProof/>
                <w:sz w:val="24"/>
              </w:rPr>
              <w:t>gādājoties pamatlīdzekļus”, ieraksta</w:t>
            </w:r>
            <w:r>
              <w:rPr>
                <w:rFonts w:ascii="Times New Roman" w:hAnsi="Times New Roman"/>
                <w:noProof/>
                <w:sz w:val="24"/>
              </w:rPr>
              <w:t xml:space="preserve"> kā ieguldījumu dotāciju (D.92). EKS 2010 4.152. punkts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69"/>
              </w:tabs>
              <w:jc w:val="both"/>
              <w:rPr>
                <w:rFonts w:ascii="Times New Roman" w:hAnsi="Times New Roman"/>
                <w:b/>
                <w:noProof/>
                <w:sz w:val="24"/>
              </w:rPr>
            </w:pPr>
            <w:r>
              <w:rPr>
                <w:rFonts w:ascii="Times New Roman" w:hAnsi="Times New Roman"/>
                <w:b/>
                <w:noProof/>
                <w:sz w:val="24"/>
              </w:rPr>
              <w:t>b) Iepriekšējie zaudējumi (D.99)</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iepludināšanu, kas veikta, lai seg</w:t>
            </w:r>
            <w:r w:rsidR="00C65F65">
              <w:rPr>
                <w:rFonts w:ascii="Times New Roman" w:hAnsi="Times New Roman"/>
                <w:noProof/>
                <w:sz w:val="24"/>
              </w:rPr>
              <w:t>tu uzkrātos zaudējumus, ieraksta</w:t>
            </w:r>
            <w:r>
              <w:rPr>
                <w:rFonts w:ascii="Times New Roman" w:hAnsi="Times New Roman"/>
                <w:noProof/>
                <w:sz w:val="24"/>
              </w:rPr>
              <w:t xml:space="preserve"> kā kapitāla pārvedumu (D.99) (EKS 2010 4.165. punkta b) apakšpunkts).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c) Kotēto akciju iegāde (F.5)</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iepludināšanu, kas izriet no tā, ka valdība iegādājas kotētas akc</w:t>
            </w:r>
            <w:r w:rsidR="00C65F65">
              <w:rPr>
                <w:rFonts w:ascii="Times New Roman" w:hAnsi="Times New Roman"/>
                <w:noProof/>
                <w:sz w:val="24"/>
              </w:rPr>
              <w:t>ijas tādā pašā vērtībā, ieraksta</w:t>
            </w:r>
            <w:r>
              <w:rPr>
                <w:rFonts w:ascii="Times New Roman" w:hAnsi="Times New Roman"/>
                <w:noProof/>
                <w:sz w:val="24"/>
              </w:rPr>
              <w:t xml:space="preserve"> kā darījumu ar akcijām un citu pašu kapitālu (F.5).</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69"/>
              </w:tabs>
              <w:jc w:val="both"/>
              <w:rPr>
                <w:rFonts w:ascii="Times New Roman" w:hAnsi="Times New Roman"/>
                <w:b/>
                <w:noProof/>
                <w:sz w:val="24"/>
              </w:rPr>
            </w:pPr>
            <w:r>
              <w:rPr>
                <w:rFonts w:ascii="Times New Roman" w:hAnsi="Times New Roman"/>
                <w:b/>
                <w:noProof/>
                <w:sz w:val="24"/>
              </w:rPr>
              <w:t>d) Aizdevumi un obligācijas (F.3 un F.4)</w:t>
            </w:r>
          </w:p>
          <w:p w:rsidR="00523A0A" w:rsidRPr="001973D0" w:rsidRDefault="00523A0A" w:rsidP="00523A0A">
            <w:pPr>
              <w:numPr>
                <w:ilvl w:val="0"/>
                <w:numId w:val="34"/>
              </w:numPr>
              <w:tabs>
                <w:tab w:val="left" w:pos="709"/>
              </w:tabs>
              <w:ind w:left="0" w:firstLine="0"/>
              <w:jc w:val="both"/>
              <w:rPr>
                <w:rFonts w:ascii="Times New Roman" w:eastAsia="Arial" w:hAnsi="Times New Roman" w:cs="Arial"/>
                <w:noProof/>
                <w:sz w:val="24"/>
                <w:szCs w:val="20"/>
              </w:rPr>
            </w:pPr>
            <w:r>
              <w:rPr>
                <w:rFonts w:ascii="Times New Roman" w:hAnsi="Times New Roman"/>
                <w:noProof/>
                <w:sz w:val="24"/>
              </w:rPr>
              <w:t>Aizdevumi – līdzekļu piešķīrumu aizdevuma veidā, ko apstiprina juridisks dokuments, kurā norādītas aizdevuma ņēmēja saistības (pamatsummas izpirkšanas datums u</w:t>
            </w:r>
            <w:r w:rsidR="00C65F65">
              <w:rPr>
                <w:rFonts w:ascii="Times New Roman" w:hAnsi="Times New Roman"/>
                <w:noProof/>
                <w:sz w:val="24"/>
              </w:rPr>
              <w:t>n maksājamie procenti), ieraksta</w:t>
            </w:r>
            <w:r>
              <w:rPr>
                <w:rFonts w:ascii="Times New Roman" w:hAnsi="Times New Roman"/>
                <w:noProof/>
                <w:sz w:val="24"/>
              </w:rPr>
              <w:t xml:space="preserve"> kā darījumu pozīcijā F.4.</w:t>
            </w:r>
          </w:p>
          <w:p w:rsidR="00523A0A" w:rsidRPr="001973D0" w:rsidRDefault="00523A0A" w:rsidP="00523A0A">
            <w:pPr>
              <w:numPr>
                <w:ilvl w:val="0"/>
                <w:numId w:val="34"/>
              </w:numPr>
              <w:tabs>
                <w:tab w:val="left" w:pos="709"/>
              </w:tabs>
              <w:ind w:left="0" w:firstLine="0"/>
              <w:jc w:val="both"/>
              <w:rPr>
                <w:rFonts w:ascii="Times New Roman" w:hAnsi="Times New Roman"/>
                <w:noProof/>
                <w:sz w:val="24"/>
              </w:rPr>
            </w:pPr>
            <w:r>
              <w:rPr>
                <w:rFonts w:ascii="Times New Roman" w:hAnsi="Times New Roman"/>
                <w:noProof/>
                <w:sz w:val="24"/>
              </w:rPr>
              <w:t>Obligācijas – valdības piešķirtos līdzekļus sabiedrības emitēto obligāciju iegādei (arī šajā gadījumā jābūt apliecinošam</w:t>
            </w:r>
            <w:r w:rsidR="00C65F65">
              <w:rPr>
                <w:rFonts w:ascii="Times New Roman" w:hAnsi="Times New Roman"/>
                <w:noProof/>
                <w:sz w:val="24"/>
              </w:rPr>
              <w:t xml:space="preserve"> juridiskam dokumentam) ieraksta</w:t>
            </w:r>
            <w:r>
              <w:rPr>
                <w:rFonts w:ascii="Times New Roman" w:hAnsi="Times New Roman"/>
                <w:noProof/>
                <w:sz w:val="24"/>
              </w:rPr>
              <w:t xml:space="preserve"> kā darījumu pozīcijā F.3.</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e) Parāda dzēšana/uzņemšanās</w:t>
            </w:r>
          </w:p>
          <w:p w:rsidR="00523A0A" w:rsidRPr="001973D0" w:rsidRDefault="00523A0A" w:rsidP="00523A0A">
            <w:pPr>
              <w:jc w:val="both"/>
              <w:rPr>
                <w:rFonts w:ascii="Times New Roman" w:hAnsi="Times New Roman"/>
                <w:noProof/>
                <w:sz w:val="24"/>
              </w:rPr>
            </w:pPr>
            <w:r>
              <w:rPr>
                <w:rFonts w:ascii="Times New Roman" w:hAnsi="Times New Roman"/>
                <w:noProof/>
                <w:sz w:val="24"/>
              </w:rPr>
              <w:t>Parāda dzēšana vai parāda uzņemšanās nozīmē kapitāla pārvedumu vai to, ka vienību privatizē, nepārsniedzot privatizācijas ieņēmumu summu (EKS 2010 20.227. punkts).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14"/>
              </w:tabs>
              <w:jc w:val="both"/>
              <w:rPr>
                <w:rFonts w:ascii="Times New Roman" w:hAnsi="Times New Roman"/>
                <w:b/>
                <w:noProof/>
                <w:sz w:val="24"/>
              </w:rPr>
            </w:pPr>
            <w:r>
              <w:rPr>
                <w:rFonts w:ascii="Times New Roman" w:hAnsi="Times New Roman"/>
                <w:b/>
                <w:noProof/>
                <w:sz w:val="24"/>
              </w:rPr>
              <w:t>f) Privatizācija (F.5)</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iepludināšanu, ko veic kā daļu no privatizācijas procesa īstermiņā (mazāk nekā viens gads), kad valdība plāno saņ</w:t>
            </w:r>
            <w:r w:rsidR="00C65F65">
              <w:rPr>
                <w:rFonts w:ascii="Times New Roman" w:hAnsi="Times New Roman"/>
                <w:noProof/>
                <w:sz w:val="24"/>
              </w:rPr>
              <w:t>emt atpakaļ savu naudu, ieraksta</w:t>
            </w:r>
            <w:r>
              <w:rPr>
                <w:rFonts w:ascii="Times New Roman" w:hAnsi="Times New Roman"/>
                <w:noProof/>
                <w:sz w:val="24"/>
              </w:rPr>
              <w:t xml:space="preserve"> pozīcijā F.5 privatizācijas ieņēmumu summas robežās (saskaņā ar EKS 2010 20.227. punktā sniegto pamatojumu parāda dzēšanas/uzņemšanās gadījumā; sk. arī iepriekš e) punktu).</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hAnsi="Times New Roman"/>
                <w:b/>
                <w:noProof/>
                <w:sz w:val="24"/>
                <w:u w:val="thick" w:color="000000"/>
              </w:rPr>
            </w:pPr>
            <w:r>
              <w:rPr>
                <w:rFonts w:ascii="Times New Roman" w:hAnsi="Times New Roman"/>
                <w:b/>
                <w:noProof/>
                <w:sz w:val="24"/>
                <w:u w:val="thick" w:color="000000"/>
              </w:rPr>
              <w:t>Robežgadījumi</w:t>
            </w:r>
          </w:p>
          <w:p w:rsidR="00523A0A" w:rsidRPr="001973D0" w:rsidRDefault="00523A0A" w:rsidP="00523A0A">
            <w:pPr>
              <w:jc w:val="both"/>
              <w:rPr>
                <w:rFonts w:ascii="Times New Roman" w:hAnsi="Times New Roman"/>
                <w:noProof/>
                <w:sz w:val="24"/>
              </w:rPr>
            </w:pPr>
            <w:r>
              <w:rPr>
                <w:rFonts w:ascii="Times New Roman" w:hAnsi="Times New Roman"/>
                <w:noProof/>
                <w:sz w:val="24"/>
              </w:rPr>
              <w:t>Turpmāk minētajās sarežģītajās jomās ir ļoti lietderīgi ievērot šādas divas vadlīnijas:</w:t>
            </w:r>
          </w:p>
          <w:p w:rsidR="00523A0A" w:rsidRPr="001973D0" w:rsidRDefault="00523A0A" w:rsidP="00523A0A">
            <w:pPr>
              <w:numPr>
                <w:ilvl w:val="0"/>
                <w:numId w:val="81"/>
              </w:numPr>
              <w:tabs>
                <w:tab w:val="left" w:pos="709"/>
              </w:tabs>
              <w:ind w:left="0" w:firstLine="0"/>
              <w:jc w:val="both"/>
              <w:rPr>
                <w:rFonts w:ascii="Times New Roman" w:hAnsi="Times New Roman"/>
                <w:noProof/>
                <w:sz w:val="24"/>
              </w:rPr>
            </w:pPr>
            <w:r>
              <w:rPr>
                <w:rFonts w:ascii="Times New Roman" w:hAnsi="Times New Roman"/>
                <w:noProof/>
                <w:sz w:val="24"/>
              </w:rPr>
              <w:t>atkārtoti maksājumi liecina par neatlīdzināmiem</w:t>
            </w:r>
            <w:r w:rsidR="00C65F65">
              <w:rPr>
                <w:rFonts w:ascii="Times New Roman" w:hAnsi="Times New Roman"/>
                <w:noProof/>
                <w:sz w:val="24"/>
              </w:rPr>
              <w:t xml:space="preserve"> pārvedumiem, tāpēc tos ieraksta</w:t>
            </w:r>
            <w:r>
              <w:rPr>
                <w:rFonts w:ascii="Times New Roman" w:hAnsi="Times New Roman"/>
                <w:noProof/>
                <w:sz w:val="24"/>
              </w:rPr>
              <w:t xml:space="preserve"> kā kapitāla pārvedumu;</w:t>
            </w:r>
          </w:p>
          <w:p w:rsidR="00523A0A" w:rsidRPr="00DB7E4C" w:rsidRDefault="00523A0A" w:rsidP="00523A0A">
            <w:pPr>
              <w:numPr>
                <w:ilvl w:val="0"/>
                <w:numId w:val="81"/>
              </w:numPr>
              <w:tabs>
                <w:tab w:val="left" w:pos="709"/>
              </w:tabs>
              <w:ind w:left="0" w:firstLine="0"/>
              <w:jc w:val="both"/>
              <w:rPr>
                <w:rFonts w:ascii="Times New Roman" w:eastAsia="Arial" w:hAnsi="Times New Roman" w:cs="Arial"/>
                <w:noProof/>
                <w:sz w:val="24"/>
                <w:szCs w:val="20"/>
              </w:rPr>
            </w:pPr>
            <w:r>
              <w:rPr>
                <w:rFonts w:ascii="Times New Roman" w:hAnsi="Times New Roman"/>
                <w:noProof/>
                <w:sz w:val="24"/>
              </w:rPr>
              <w:t>ja Eiropas Komisija klasificē valdības veiktos maksājumus kā “valsts atbalstu”, tas statistikas traktējumā jāņem vērā kā analītisks rādītājs. Plūsmas, kuras uzskata</w:t>
            </w:r>
            <w:r w:rsidR="00D12FAB">
              <w:rPr>
                <w:rFonts w:ascii="Times New Roman" w:hAnsi="Times New Roman"/>
                <w:noProof/>
                <w:sz w:val="24"/>
              </w:rPr>
              <w:t xml:space="preserve"> par valsts atbalstu, jāieraksta</w:t>
            </w:r>
            <w:r>
              <w:rPr>
                <w:rFonts w:ascii="Times New Roman" w:hAnsi="Times New Roman"/>
                <w:noProof/>
                <w:sz w:val="24"/>
              </w:rPr>
              <w:t xml:space="preserve"> kā kapitāla pārvedumi.</w:t>
            </w:r>
          </w:p>
        </w:tc>
      </w:tr>
    </w:tbl>
    <w:p w:rsidR="008F11FC" w:rsidRDefault="008F11FC" w:rsidP="00523A0A">
      <w:pPr>
        <w:jc w:val="both"/>
        <w:rPr>
          <w:rFonts w:ascii="Times New Roman" w:hAnsi="Times New Roman"/>
          <w:noProof/>
          <w:sz w:val="24"/>
        </w:rPr>
      </w:pPr>
    </w:p>
    <w:p w:rsidR="008F11FC" w:rsidRDefault="008F11FC">
      <w:pPr>
        <w:widowControl/>
        <w:spacing w:after="160" w:line="259" w:lineRule="auto"/>
        <w:rPr>
          <w:rFonts w:ascii="Times New Roman" w:hAnsi="Times New Roman"/>
          <w:noProof/>
          <w:sz w:val="24"/>
        </w:rPr>
      </w:pPr>
      <w:r>
        <w:rPr>
          <w:rFonts w:ascii="Times New Roman" w:hAnsi="Times New Roman"/>
          <w:noProof/>
          <w:sz w:val="24"/>
        </w:rPr>
        <w:br w:type="page"/>
      </w:r>
    </w:p>
    <w:p w:rsidR="00523A0A" w:rsidRPr="001973D0" w:rsidRDefault="00523A0A" w:rsidP="00523A0A">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23A0A" w:rsidTr="00523A0A">
        <w:tc>
          <w:tcPr>
            <w:tcW w:w="9291" w:type="dxa"/>
          </w:tcPr>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a) Paredzami turpmāki zaudējumi/ atkārtoti zaudējumi (D.9)</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iepludināšana, kas veikta, lai segtu prognozētos zaudējumus, kā arī, iespējams, lai samazinātu sabiedrība</w:t>
            </w:r>
            <w:r w:rsidR="00D12FAB">
              <w:rPr>
                <w:rFonts w:ascii="Times New Roman" w:hAnsi="Times New Roman"/>
                <w:noProof/>
                <w:sz w:val="24"/>
              </w:rPr>
              <w:t>s aizņēmumu izmaksas, jāieraksta</w:t>
            </w:r>
            <w:r>
              <w:rPr>
                <w:rFonts w:ascii="Times New Roman" w:hAnsi="Times New Roman"/>
                <w:noProof/>
                <w:sz w:val="24"/>
              </w:rPr>
              <w:t xml:space="preserve"> kā kapitāla pārvedums (D.9), pat ja tiek emitētas akcijas (vai to ekvivalents). Šajā saistībā pastāv augsta varbūtība, ka īpašo darbības apstākļu dēļ sabiedrība ilgstoši negūs peļņu. Ja ir emitētas akcijas, var pieņemt, ka tām nav nekādas vērtības.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69"/>
              </w:tabs>
              <w:jc w:val="both"/>
              <w:rPr>
                <w:rFonts w:ascii="Times New Roman" w:hAnsi="Times New Roman"/>
                <w:b/>
                <w:noProof/>
                <w:sz w:val="24"/>
              </w:rPr>
            </w:pPr>
            <w:r>
              <w:rPr>
                <w:rFonts w:ascii="Times New Roman" w:hAnsi="Times New Roman"/>
                <w:b/>
                <w:noProof/>
                <w:sz w:val="24"/>
              </w:rPr>
              <w:t>b) Prognozēts ienesīgs ieguldījums (F.5)</w:t>
            </w: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Kapitāla iepludināšanu publiskā sabiedrībā, ko veic, lai palielinātu valdībai turpmāk i</w:t>
            </w:r>
            <w:r w:rsidR="00D12FAB">
              <w:rPr>
                <w:rFonts w:ascii="Times New Roman" w:hAnsi="Times New Roman"/>
                <w:noProof/>
                <w:sz w:val="24"/>
              </w:rPr>
              <w:t>zmaksājamās dividendes, ieraksta</w:t>
            </w:r>
            <w:r>
              <w:rPr>
                <w:rFonts w:ascii="Times New Roman" w:hAnsi="Times New Roman"/>
                <w:noProof/>
                <w:sz w:val="24"/>
              </w:rPr>
              <w:t xml:space="preserve"> pozīcijā F.5. To ievēro gadījumā, ja sabiedrība var brīvi izmantot līdzekļus peļņas palielināšanai un valdība prognozē peļņas normu no sava ieguldījuma, t. i., peļņu apmērā, kas līdzīgs tam, kādu tā varētu saņemt, iegādājoties tirgū kotētas akcijas.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c) Sadarbība ar partneri no privātā sektora (F.5)</w:t>
            </w:r>
          </w:p>
          <w:p w:rsidR="00523A0A" w:rsidRPr="001973D0" w:rsidRDefault="00523A0A" w:rsidP="00523A0A">
            <w:pPr>
              <w:jc w:val="both"/>
              <w:rPr>
                <w:rFonts w:ascii="Times New Roman" w:hAnsi="Times New Roman"/>
                <w:noProof/>
                <w:sz w:val="24"/>
              </w:rPr>
            </w:pPr>
            <w:r>
              <w:rPr>
                <w:rFonts w:ascii="Times New Roman" w:hAnsi="Times New Roman"/>
                <w:noProof/>
                <w:sz w:val="24"/>
              </w:rPr>
              <w:t>Ja valdība kopīgi ar privātu partneri veic kapitāla iepludināšanu vienībā, kā rezultātā īpašumtiesības, tostarp tiesības uz īpašuma ienākumu, tiek mainītas proporcionāli ieguldījuma vērtībai, tas liecina, ka ieguldījums paredzams</w:t>
            </w:r>
            <w:r w:rsidR="00D12FAB">
              <w:rPr>
                <w:rFonts w:ascii="Times New Roman" w:hAnsi="Times New Roman"/>
                <w:noProof/>
                <w:sz w:val="24"/>
              </w:rPr>
              <w:t xml:space="preserve"> kā ienesīgs un to var ierakstīt</w:t>
            </w:r>
            <w:r>
              <w:rPr>
                <w:rFonts w:ascii="Times New Roman" w:hAnsi="Times New Roman"/>
                <w:noProof/>
                <w:sz w:val="24"/>
              </w:rPr>
              <w:t xml:space="preserve"> pozīcijā F.5.</w:t>
            </w:r>
          </w:p>
          <w:p w:rsidR="00523A0A" w:rsidRPr="001973D0" w:rsidRDefault="00523A0A" w:rsidP="00523A0A">
            <w:pPr>
              <w:jc w:val="both"/>
              <w:rPr>
                <w:rFonts w:ascii="Times New Roman" w:hAnsi="Times New Roman"/>
                <w:noProof/>
                <w:sz w:val="24"/>
              </w:rPr>
            </w:pPr>
            <w:r>
              <w:rPr>
                <w:rFonts w:ascii="Times New Roman" w:hAnsi="Times New Roman"/>
                <w:noProof/>
                <w:sz w:val="24"/>
              </w:rPr>
              <w:t>Ja šāda proporcionalitāte nepastāv (īpašumtiesības nemainās tādā pašā proporcijā), tas var liecināt, ka valdība tiecas sasniegt valsts politikas mērķus un veic neatlīdzināmu pārvedumu. Šā</w:t>
            </w:r>
            <w:r w:rsidR="00D12FAB">
              <w:rPr>
                <w:rFonts w:ascii="Times New Roman" w:hAnsi="Times New Roman"/>
                <w:noProof/>
                <w:sz w:val="24"/>
              </w:rPr>
              <w:t>dā gadījumā ieguldījumu ieraksta</w:t>
            </w:r>
            <w:r>
              <w:rPr>
                <w:rFonts w:ascii="Times New Roman" w:hAnsi="Times New Roman"/>
                <w:noProof/>
                <w:sz w:val="24"/>
              </w:rPr>
              <w:t xml:space="preserve"> kā kapitāla pārvedumu.</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69"/>
              </w:tabs>
              <w:jc w:val="both"/>
              <w:rPr>
                <w:rFonts w:ascii="Times New Roman" w:hAnsi="Times New Roman"/>
                <w:b/>
                <w:noProof/>
                <w:sz w:val="24"/>
              </w:rPr>
            </w:pPr>
            <w:r>
              <w:rPr>
                <w:rFonts w:ascii="Times New Roman" w:hAnsi="Times New Roman"/>
                <w:b/>
                <w:noProof/>
                <w:sz w:val="24"/>
              </w:rPr>
              <w:t>d) Struktūra pārvalda finanšu aktīvus valdības vārdā (F.5)</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iepludināšanu publiskā kontrolakciju sabiedrībā/centrālajā birojā vai finanšu sabiedrībā, kas valdības vārdā rentabli pārvalda aktīvus, lai iegūtu vair</w:t>
            </w:r>
            <w:r w:rsidR="00D12FAB">
              <w:rPr>
                <w:rFonts w:ascii="Times New Roman" w:hAnsi="Times New Roman"/>
                <w:noProof/>
                <w:sz w:val="24"/>
              </w:rPr>
              <w:t>āk finanšu aktīvu, var ierakstīt</w:t>
            </w:r>
            <w:r>
              <w:rPr>
                <w:rFonts w:ascii="Times New Roman" w:hAnsi="Times New Roman"/>
                <w:noProof/>
                <w:sz w:val="24"/>
              </w:rPr>
              <w:t xml:space="preserve"> kā darījumu pozīcijā F.5. Šajā gadījumā piemēro šādu nosacījumu – aktīvi tiek pārvaldīti, lai palielinātu valdības peļņu, un tiek prognozētas lielākas dividendes.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tabs>
                <w:tab w:val="left" w:pos="1158"/>
              </w:tabs>
              <w:jc w:val="both"/>
              <w:rPr>
                <w:rFonts w:ascii="Times New Roman" w:hAnsi="Times New Roman"/>
                <w:b/>
                <w:noProof/>
                <w:sz w:val="24"/>
              </w:rPr>
            </w:pPr>
            <w:r>
              <w:rPr>
                <w:rFonts w:ascii="Times New Roman" w:hAnsi="Times New Roman"/>
                <w:b/>
                <w:noProof/>
                <w:sz w:val="24"/>
              </w:rPr>
              <w:t>e) Aizdevumi, ko piešķir noteiktos apstākļos</w:t>
            </w:r>
          </w:p>
          <w:p w:rsidR="00523A0A" w:rsidRPr="00DB7E4C" w:rsidRDefault="00523A0A" w:rsidP="00523A0A">
            <w:pPr>
              <w:jc w:val="both"/>
              <w:rPr>
                <w:rFonts w:ascii="Times New Roman" w:eastAsia="Arial" w:hAnsi="Times New Roman" w:cs="Arial"/>
                <w:noProof/>
                <w:sz w:val="24"/>
                <w:szCs w:val="20"/>
              </w:rPr>
            </w:pPr>
            <w:r>
              <w:rPr>
                <w:rFonts w:ascii="Times New Roman" w:hAnsi="Times New Roman"/>
                <w:noProof/>
                <w:sz w:val="24"/>
              </w:rPr>
              <w:t>Noteiktos apstākļos (piemēram, finanšu darījumu anulēšana, uzņēmējdarbības glābšana, eksporta apdrošināšana u. c.) rūpīgi jāpārbauda valdības piešķirto aizdevumu (un līgumsaistību) pazīmes, lai noteiktu, vai ir iespējama to klasifikācija aizdevumu pozīcijā F.4. Īpašā gadījumā, kurā aizdevumu saņēmusī publiskā sabiedrība atrodas finanšu grūtībās un nespēj atmaksāt aizdevu</w:t>
            </w:r>
            <w:r w:rsidR="00D12FAB">
              <w:rPr>
                <w:rFonts w:ascii="Times New Roman" w:hAnsi="Times New Roman"/>
                <w:noProof/>
                <w:sz w:val="24"/>
              </w:rPr>
              <w:t>mu, līdzekļu piešķīrumu ieraksta</w:t>
            </w:r>
            <w:r>
              <w:rPr>
                <w:rFonts w:ascii="Times New Roman" w:hAnsi="Times New Roman"/>
                <w:noProof/>
                <w:sz w:val="24"/>
              </w:rPr>
              <w:t xml:space="preserve"> kā kapitāla pārvedumu (D.99). Ja publiska sabiedrība (un, iespējams, dažos gadījumos arī privāta sabiedrība) spēj atmaksāt lielāko aizdevuma daļu, taču ne visu aizdevumu, tad aizdevumu var sadalīt starp F.4 pozīciju un citu kapitāla pārvedumu pozīciju (D.99) (sk. EKS 2010 1.72. punktu un 1.76.–1.77. punktu).</w:t>
            </w:r>
          </w:p>
        </w:tc>
      </w:tr>
    </w:tbl>
    <w:p w:rsidR="00523A0A" w:rsidRDefault="00523A0A" w:rsidP="00523A0A">
      <w:pPr>
        <w:jc w:val="both"/>
        <w:rPr>
          <w:rFonts w:ascii="Times New Roman" w:hAnsi="Times New Roman"/>
          <w:noProof/>
          <w:sz w:val="24"/>
        </w:rPr>
      </w:pPr>
    </w:p>
    <w:p w:rsidR="00523A0A" w:rsidRDefault="00523A0A" w:rsidP="00523A0A">
      <w:pPr>
        <w:rPr>
          <w:rFonts w:ascii="Times New Roman" w:hAnsi="Times New Roman"/>
          <w:noProof/>
          <w:sz w:val="24"/>
        </w:rPr>
      </w:pPr>
      <w:r>
        <w:br w:type="page"/>
      </w:r>
    </w:p>
    <w:p w:rsidR="00523A0A" w:rsidRPr="001973D0" w:rsidRDefault="00523A0A" w:rsidP="008F11FC">
      <w:pPr>
        <w:pStyle w:val="Heading2"/>
        <w:rPr>
          <w:noProof/>
          <w:u w:color="000000"/>
        </w:rPr>
      </w:pPr>
      <w:bookmarkStart w:id="196" w:name="III.2.3_Rationale_of_the_treatment"/>
      <w:bookmarkStart w:id="197" w:name="_Toc471135887"/>
      <w:bookmarkEnd w:id="196"/>
      <w:r>
        <w:rPr>
          <w:noProof/>
        </w:rPr>
        <w:lastRenderedPageBreak/>
        <w:t>III.2.3. </w:t>
      </w:r>
      <w:r w:rsidRPr="008F11FC">
        <w:rPr>
          <w:noProof/>
          <w:u w:val="single"/>
        </w:rPr>
        <w:t>Traktējuma pamatojums</w:t>
      </w:r>
      <w:bookmarkEnd w:id="197"/>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16"/>
        </w:tabs>
        <w:jc w:val="both"/>
        <w:rPr>
          <w:rFonts w:ascii="Times New Roman" w:hAnsi="Times New Roman"/>
          <w:noProof/>
          <w:sz w:val="24"/>
        </w:rPr>
      </w:pPr>
      <w:bookmarkStart w:id="198" w:name="III.2.3.1_Three_common_ways_of_providing"/>
      <w:bookmarkEnd w:id="198"/>
      <w:r>
        <w:rPr>
          <w:rFonts w:ascii="Times New Roman" w:hAnsi="Times New Roman"/>
          <w:noProof/>
          <w:sz w:val="24"/>
        </w:rPr>
        <w:t>III.2.3.1. Trīs izplatīti veidi, kā publiskām sabiedrībām piešķir līdzekļus</w:t>
      </w:r>
    </w:p>
    <w:p w:rsidR="00523A0A" w:rsidRPr="001973D0" w:rsidRDefault="00523A0A" w:rsidP="00523A0A">
      <w:pPr>
        <w:pStyle w:val="Heading6"/>
        <w:tabs>
          <w:tab w:val="left" w:pos="2016"/>
        </w:tabs>
        <w:jc w:val="both"/>
        <w:rPr>
          <w:rFonts w:ascii="Times New Roman" w:hAnsi="Times New Roman"/>
          <w:noProof/>
          <w:sz w:val="24"/>
        </w:rPr>
      </w:pP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 noteiktā brīdī var palielināt publiskas sabiedrības finanšu aktīvus (parasti – naudas līdzekļus), parasti izmantojot kādu no šādiem trīs veidiem: a) piešķirot dotāciju; b) piešķirot pašu kapitālu; c) piešķirot aizdevuma kapitālu. Nacionālajos kontos šos veidus ir būtiski skaidri nošķirt, jo saskaņā ar EKS 2010 paredzēto darījumu un aktīvu klasifikāciju tie tiek traktēti atšķirīgi.</w:t>
      </w:r>
    </w:p>
    <w:p w:rsidR="00523A0A" w:rsidRPr="00DB7E4C"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0"/>
        </w:numPr>
        <w:tabs>
          <w:tab w:val="left" w:pos="1592"/>
        </w:tabs>
        <w:spacing w:before="0"/>
        <w:ind w:left="1134" w:hanging="425"/>
        <w:jc w:val="both"/>
        <w:rPr>
          <w:rFonts w:ascii="Times New Roman" w:hAnsi="Times New Roman"/>
          <w:noProof/>
          <w:sz w:val="24"/>
        </w:rPr>
      </w:pPr>
      <w:r>
        <w:rPr>
          <w:rFonts w:ascii="Times New Roman" w:hAnsi="Times New Roman"/>
          <w:noProof/>
          <w:sz w:val="24"/>
          <w:u w:val="single"/>
        </w:rPr>
        <w:t>Dotācijas (t. i., dāvinājuma) piešķiršana</w:t>
      </w:r>
      <w:r>
        <w:rPr>
          <w:rFonts w:ascii="Times New Roman" w:hAnsi="Times New Roman"/>
          <w:noProof/>
          <w:sz w:val="24"/>
        </w:rPr>
        <w:t xml:space="preserve"> – nacionālo kontu izpratnē tas ir kapitāla pārvedums. Tas var mainīt neto aizdevumu/aizņēmumu (B.9), kā arī neto vērtību uzkrājuma un kapitāla pārvedumu dēļ (B.10.1.) un tādējādi sabiedrības pašu līdzekļus. Šādu kapitāla pārvedumu būtiska pazīme ir tā, ka tie ir darījumi, kādus parasti veic vienīgi valdība. Šādu pārvedumu saņēmēji parasti ir uzņēmumi, kuri nestrādā tirgū konkurences apstākļos. Šādi rīkojoties, valdība negaida no sava ieguldījuma nekādu peļņu dividenžu veidā (šādus pārvedumus saņemošais uzņēmums lielāko daļu laika nemaksā dividendes) vai citu ieņēmumu veidā, kuri parasti tiek gūti privatizācijā. Valdības rīkojas ar nolūku īstenot valsts politikas mērķus un gaida vienīgi to, ka izlietotie līdzekļi dos noteiktus rezultātus ekonomikas vai sociālajā jomā.</w:t>
      </w:r>
    </w:p>
    <w:p w:rsidR="00523A0A" w:rsidRPr="001973D0" w:rsidRDefault="00523A0A" w:rsidP="00523A0A">
      <w:pPr>
        <w:pStyle w:val="BodyText"/>
        <w:numPr>
          <w:ilvl w:val="1"/>
          <w:numId w:val="80"/>
        </w:numPr>
        <w:tabs>
          <w:tab w:val="left" w:pos="1592"/>
        </w:tabs>
        <w:spacing w:before="0"/>
        <w:ind w:left="1134" w:hanging="425"/>
        <w:jc w:val="both"/>
        <w:rPr>
          <w:rFonts w:ascii="Times New Roman" w:hAnsi="Times New Roman"/>
          <w:noProof/>
          <w:sz w:val="24"/>
        </w:rPr>
      </w:pPr>
      <w:r>
        <w:rPr>
          <w:rFonts w:ascii="Times New Roman" w:hAnsi="Times New Roman"/>
          <w:noProof/>
          <w:sz w:val="24"/>
          <w:u w:val="single"/>
        </w:rPr>
        <w:t>Pašu kapitāla piešķiršana</w:t>
      </w:r>
      <w:r>
        <w:rPr>
          <w:rFonts w:ascii="Times New Roman" w:hAnsi="Times New Roman"/>
          <w:noProof/>
          <w:sz w:val="24"/>
        </w:rPr>
        <w:t xml:space="preserve"> – tas ir finanšu darījums ar akcijām un citu pašu kapitālu. Neto aizdevums/aizņēmums (B.9) un neto vērtība nemainās (bet pašu kapitāla palielināšanas dēļ mainās pašu līdzekļi). Parasti sabiedrības, kuras palielina pašu kapitālu, konkurē tirgos, un tām ir jāstiprina savs finanšu stāvoklis, palielinot pašu līdzekļus, lai plānotu ieguldījumus u. tml. Piešķirot sabiedrībai pašu kapitālu, valdība rīkojas līdzīgi privātam akcionāram, pamatoti gaidot pietiekamu peļņu no ieguldījuma. Šajā saistībā faktiskie dividenžu maksājumi akcionāriem un/vai pozitīva akciju vērtības tendence ir izšķirīgi kritēriji, lai iepludināšanu traktētu kā pašu kapitāla palielinājumu. Turklāt, kā parādīts lēmumu pieņemšanas shēmā (sk. šīs nodaļās beigās), privāto akcionāru dalība uzņēmumā arī i</w:t>
      </w:r>
      <w:r w:rsidR="00D12FAB">
        <w:rPr>
          <w:rFonts w:ascii="Times New Roman" w:hAnsi="Times New Roman"/>
          <w:noProof/>
          <w:sz w:val="24"/>
        </w:rPr>
        <w:t>r spēcīgs rādītājs ierakstīšanai</w:t>
      </w:r>
      <w:r>
        <w:rPr>
          <w:rFonts w:ascii="Times New Roman" w:hAnsi="Times New Roman"/>
          <w:noProof/>
          <w:sz w:val="24"/>
        </w:rPr>
        <w:t xml:space="preserve"> pašu kapitālā, jo īpaši tad, ja akcijas tiek kotētas biržā. Tomēr privāto ieguldītāju daļa sabiedrības pašu kapitālā nedrīkst mazināties līdz ar valdības veiktu jaunu akciju iegādi (kas samazinātu privāto ieguldītāju līdzdalību tiktāl, ka tie vairs nevarētu realizēt savu ietekmi). Viņiem arī jāuzņemas tādi paši riski un jāsaņem priekšrocības, kādus attiecīgi uzņemas un saņem valdība, jo īpaši saistībā ar tiesībām uz sabiedrības neto aktīviem likvidācijas gadījumā (gadījums, kad tiek emitētas akcijas ar īpašām tiesībām).</w:t>
      </w:r>
    </w:p>
    <w:p w:rsidR="00523A0A" w:rsidRPr="001973D0" w:rsidRDefault="00523A0A" w:rsidP="00523A0A">
      <w:pPr>
        <w:pStyle w:val="BodyText"/>
        <w:numPr>
          <w:ilvl w:val="1"/>
          <w:numId w:val="80"/>
        </w:numPr>
        <w:tabs>
          <w:tab w:val="left" w:pos="1592"/>
        </w:tabs>
        <w:spacing w:before="0"/>
        <w:ind w:left="1134" w:hanging="425"/>
        <w:jc w:val="both"/>
        <w:rPr>
          <w:rFonts w:ascii="Times New Roman" w:hAnsi="Times New Roman"/>
          <w:noProof/>
          <w:sz w:val="24"/>
        </w:rPr>
      </w:pPr>
      <w:r>
        <w:rPr>
          <w:rFonts w:ascii="Times New Roman" w:hAnsi="Times New Roman"/>
          <w:noProof/>
          <w:sz w:val="24"/>
          <w:u w:val="single" w:color="000000"/>
        </w:rPr>
        <w:t xml:space="preserve">Aizdevuma kapitāla piešķiršana (vai, iespējams, sabiedrības obligāciju iegāde) – </w:t>
      </w:r>
      <w:r>
        <w:rPr>
          <w:rFonts w:ascii="Times New Roman" w:hAnsi="Times New Roman"/>
          <w:noProof/>
          <w:sz w:val="24"/>
        </w:rPr>
        <w:t>tas parasti ir finanšu darījums. Šajā gadījumā nemainās ne valdības, ne komercsabiedrības neto aizdevums/aizņēmums (B.9), ne arī tīrā vērtība (B.90), un nemainās arī pašu līdzekļi. Valdība kā aizdevēja gaida, ka publiska sabiedrība kā aizdevuma ņēmēja spēs atmaksāt aizdevumus atbilstoši sākotnēji saskaņotajam grafikam.</w:t>
      </w:r>
    </w:p>
    <w:p w:rsidR="008F11FC" w:rsidRDefault="008F11FC">
      <w:pPr>
        <w:widowControl/>
        <w:spacing w:after="160" w:line="259" w:lineRule="auto"/>
        <w:rPr>
          <w:rFonts w:ascii="Times New Roman" w:hAnsi="Times New Roman"/>
          <w:noProof/>
          <w:sz w:val="24"/>
        </w:rPr>
      </w:pPr>
      <w:r>
        <w:rPr>
          <w:rFonts w:ascii="Times New Roman" w:hAnsi="Times New Roman"/>
          <w:noProof/>
          <w:sz w:val="24"/>
        </w:rPr>
        <w:br w:type="page"/>
      </w:r>
    </w:p>
    <w:p w:rsidR="00523A0A" w:rsidRPr="001973D0" w:rsidRDefault="00523A0A" w:rsidP="00523A0A">
      <w:pPr>
        <w:jc w:val="both"/>
        <w:rPr>
          <w:rFonts w:ascii="Times New Roman" w:hAnsi="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23A0A" w:rsidTr="00523A0A">
        <w:tc>
          <w:tcPr>
            <w:tcW w:w="9291" w:type="dxa"/>
          </w:tcPr>
          <w:p w:rsidR="00523A0A" w:rsidRPr="001973D0" w:rsidRDefault="00523A0A" w:rsidP="00523A0A">
            <w:pPr>
              <w:jc w:val="both"/>
              <w:rPr>
                <w:rFonts w:ascii="Times New Roman" w:eastAsia="Arial" w:hAnsi="Times New Roman" w:cs="Arial"/>
                <w:b/>
                <w:bCs/>
                <w:noProof/>
                <w:sz w:val="24"/>
                <w:szCs w:val="20"/>
              </w:rPr>
            </w:pPr>
            <w:r>
              <w:rPr>
                <w:rFonts w:ascii="Times New Roman" w:hAnsi="Times New Roman"/>
                <w:b/>
                <w:noProof/>
                <w:sz w:val="24"/>
              </w:rPr>
              <w:t>2. ierāmējums. Pietiekama peļņas norma</w:t>
            </w:r>
          </w:p>
          <w:p w:rsidR="00523A0A" w:rsidRPr="001973D0" w:rsidRDefault="00523A0A" w:rsidP="00523A0A">
            <w:pPr>
              <w:jc w:val="both"/>
              <w:rPr>
                <w:rFonts w:ascii="Times New Roman" w:hAnsi="Times New Roman"/>
                <w:noProof/>
                <w:sz w:val="24"/>
              </w:rPr>
            </w:pPr>
            <w:r>
              <w:rPr>
                <w:rFonts w:ascii="Times New Roman" w:hAnsi="Times New Roman"/>
                <w:noProof/>
                <w:sz w:val="24"/>
              </w:rPr>
              <w:t>Lai noskaidrotu, vai valdība rīkojas tāpat kā privātais ieguldītājs/akcionārs, lai kapitāla ieguldījumu varētu traktēt kā pašu kapitāla palielinājumu (F.5), izšķirīgs rādītājs ir no ieguldījuma gaidāmā peļņa (ko para</w:t>
            </w:r>
            <w:r w:rsidR="00826349">
              <w:rPr>
                <w:rFonts w:ascii="Times New Roman" w:hAnsi="Times New Roman"/>
                <w:noProof/>
                <w:sz w:val="24"/>
              </w:rPr>
              <w:t>sti dēvē par pašu kapitāla atdevi</w:t>
            </w:r>
            <w:r>
              <w:rPr>
                <w:rFonts w:ascii="Times New Roman" w:hAnsi="Times New Roman"/>
                <w:noProof/>
                <w:sz w:val="24"/>
              </w:rPr>
              <w:t xml:space="preserve"> (</w:t>
            </w:r>
            <w:r>
              <w:rPr>
                <w:rFonts w:ascii="Times New Roman" w:hAnsi="Times New Roman"/>
                <w:i/>
                <w:noProof/>
                <w:sz w:val="24"/>
              </w:rPr>
              <w:t>RoE</w:t>
            </w:r>
            <w:r>
              <w:rPr>
                <w:rFonts w:ascii="Times New Roman" w:hAnsi="Times New Roman"/>
                <w:noProof/>
                <w:sz w:val="24"/>
              </w:rPr>
              <w:t xml:space="preserve">)). Šāda </w:t>
            </w:r>
            <w:r w:rsidR="00826349">
              <w:rPr>
                <w:rFonts w:ascii="Times New Roman" w:hAnsi="Times New Roman"/>
                <w:noProof/>
                <w:sz w:val="24"/>
              </w:rPr>
              <w:t>atdeve</w:t>
            </w:r>
            <w:r>
              <w:rPr>
                <w:rFonts w:ascii="Times New Roman" w:hAnsi="Times New Roman"/>
                <w:noProof/>
                <w:sz w:val="24"/>
              </w:rPr>
              <w:t xml:space="preserve"> dividenžu vai turēšanas guvumu veidā liecina par to, ka juridisks finanšu instruments (piemēram, akcijas), kas izsniegts tā īpašniekiem apmaiņā pret ieguldītajiem līdzekļiem, ir nākotnes ekonomisko labumu avots (kas tādējādi atbilst EKS 2010 noteiktajai aktīva pamatdefinīcijai) un ka tam ir tirgus vērtība.</w:t>
            </w:r>
          </w:p>
          <w:p w:rsidR="00523A0A" w:rsidRPr="001973D0" w:rsidRDefault="00826349" w:rsidP="00523A0A">
            <w:pPr>
              <w:jc w:val="both"/>
              <w:rPr>
                <w:rFonts w:ascii="Times New Roman" w:hAnsi="Times New Roman"/>
                <w:noProof/>
                <w:sz w:val="24"/>
              </w:rPr>
            </w:pPr>
            <w:r>
              <w:rPr>
                <w:rFonts w:ascii="Times New Roman" w:hAnsi="Times New Roman"/>
                <w:noProof/>
                <w:sz w:val="24"/>
              </w:rPr>
              <w:t>Šādu gaidāmo “atbilstošo atdeves</w:t>
            </w:r>
            <w:r w:rsidR="00523A0A">
              <w:rPr>
                <w:rFonts w:ascii="Times New Roman" w:hAnsi="Times New Roman"/>
                <w:noProof/>
                <w:sz w:val="24"/>
              </w:rPr>
              <w:t xml:space="preserve"> normu” v</w:t>
            </w:r>
            <w:r>
              <w:rPr>
                <w:rFonts w:ascii="Times New Roman" w:hAnsi="Times New Roman"/>
                <w:noProof/>
                <w:sz w:val="24"/>
              </w:rPr>
              <w:t>ai “tirgus atdeves</w:t>
            </w:r>
            <w:r w:rsidR="00523A0A">
              <w:rPr>
                <w:rFonts w:ascii="Times New Roman" w:hAnsi="Times New Roman"/>
                <w:noProof/>
                <w:sz w:val="24"/>
              </w:rPr>
              <w:t xml:space="preserve"> normu” valsts finanšu statistikā var</w:t>
            </w:r>
            <w:r>
              <w:rPr>
                <w:rFonts w:ascii="Times New Roman" w:hAnsi="Times New Roman"/>
                <w:noProof/>
                <w:sz w:val="24"/>
              </w:rPr>
              <w:t xml:space="preserve"> uzskatīt par “pietiekamu atdeves</w:t>
            </w:r>
            <w:r w:rsidR="00523A0A">
              <w:rPr>
                <w:rFonts w:ascii="Times New Roman" w:hAnsi="Times New Roman"/>
                <w:noProof/>
                <w:sz w:val="24"/>
              </w:rPr>
              <w:t xml:space="preserve"> normu” (sk. III.2.2.1. apakšiedaļu).</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Valdībai ekonomikā ir ļoti specifiskas funkcijas. Tai ir jārisina kopējās problēmas un jāmazina ārēju faktoru ietekme, lai ilgtermiņā nodrošinātu sabiedrības labklājību un pārticību (sabiedrības veselību un izglītību, sabiedrisko kārtību un drošību, sabiedrisko infrastruktūru, apkārtējo vidi u. c.), un tādējādi tā galvenokārt rīkojas kā ārpustirgus ražotājs. Līdzekļi, kas šādā saistībā ieguldīti, tiek nodrošināti ar nolūku īstenot valsts politikas mērķus, negaidot nekādu tiešu finansiālu peļņu: nacionālajos kontos šād</w:t>
            </w:r>
            <w:r w:rsidR="00D12FAB">
              <w:rPr>
                <w:rFonts w:ascii="Times New Roman" w:hAnsi="Times New Roman"/>
                <w:noProof/>
                <w:sz w:val="24"/>
              </w:rPr>
              <w:t>us ieguldītos līdzekļus ieraksta</w:t>
            </w:r>
            <w:r>
              <w:rPr>
                <w:rFonts w:ascii="Times New Roman" w:hAnsi="Times New Roman"/>
                <w:noProof/>
                <w:sz w:val="24"/>
              </w:rPr>
              <w:t xml:space="preserve"> kā kapitāla pārvedumus (D.9).</w:t>
            </w:r>
          </w:p>
          <w:p w:rsidR="00523A0A" w:rsidRPr="001973D0" w:rsidRDefault="00523A0A" w:rsidP="00523A0A">
            <w:pPr>
              <w:jc w:val="both"/>
              <w:rPr>
                <w:rFonts w:ascii="Times New Roman" w:hAnsi="Times New Roman"/>
                <w:noProof/>
                <w:sz w:val="24"/>
              </w:rPr>
            </w:pPr>
            <w:r>
              <w:rPr>
                <w:rFonts w:ascii="Times New Roman" w:hAnsi="Times New Roman"/>
                <w:noProof/>
                <w:sz w:val="24"/>
              </w:rPr>
              <w:t>Tomēr valdība arī tieši iesaistās ekonomikā tāpat kā citi ieguldītāji un akcionāri, piemēram, ar publisko sabiedrību starpniecību, tiecoties tās padarīt iespējami efektīvākas un ienesīgākas, lai tās būtu arī ieņēmumu avots vai sniegtu citus labumus.</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Valdības ieguldītajam kapitālam vienmēr ir alternatīvās izmaksas. Līdz ar to, kad valdība veic ieguldījumus, vēloties saņemt peļņu no sava ieguldījuma, ideālos apstākļos līdzīgai peļņai būtu jābūt sagaidāmai arī no salīdzināmiem privātiem ieguldījumiem. Tas nozīmē, ka tirgus peļņas normas ir jāizmanto kā salīdzināšanas rādītāji. Tomēr var pastāvēt iemesli, kuru dēļ valdība tiecas gūt no ieguldījuma atšķirīgu nepieciešamo gaidāmo peļņu. Kapitāla tirgos var rasties sarežģījumi, tāpēc tirgus peļņas normās var nebūt atspoguļotas pareizās alternatīvās izmaksas. Turklāt valdība nereti iegulda jomās vai rūpnieciskās ražošanas posmos, kuros privāti ieguldītāji neiesaistās, un tas attiecīgi apgrūtina salīdzināšanu ar privātā sektora peļņu.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hAnsi="Times New Roman"/>
                <w:noProof/>
                <w:sz w:val="24"/>
              </w:rPr>
            </w:pPr>
            <w:r>
              <w:rPr>
                <w:rFonts w:ascii="Times New Roman" w:hAnsi="Times New Roman"/>
                <w:noProof/>
                <w:sz w:val="24"/>
              </w:rPr>
              <w:t>Lai noteiktu atbilstošu minimālo peļņu no ieguldījuma, finanšu teorijā ir zināmas vairākas standarta metodes. Šajās metodēs bieži izmanto alternatīvo izmaksu pieeju, ņemot vērā likmes, kuras piemēro alternatīviem ieguldījumiem vai finansējuma izmaksām (t. i., citām alternatīvām). Šīs metodes izmanto, lai, izpētot uzņēmuma aktīvus (ieguldījumus) un saistības (finansējumu), aprēķinātu no ieguldījuma gaidāmo peļņas normu. Viena plaši izmantota metode ir kapitāla aktīvu cenas noteikšanas modelis [</w:t>
            </w:r>
            <w:r>
              <w:rPr>
                <w:rFonts w:ascii="Times New Roman" w:hAnsi="Times New Roman"/>
                <w:i/>
                <w:noProof/>
                <w:sz w:val="24"/>
              </w:rPr>
              <w:t>Capital Asset Pricing Model</w:t>
            </w:r>
            <w:r>
              <w:rPr>
                <w:rFonts w:ascii="Times New Roman" w:hAnsi="Times New Roman"/>
                <w:noProof/>
                <w:sz w:val="24"/>
              </w:rPr>
              <w:t>, (</w:t>
            </w:r>
            <w:r>
              <w:rPr>
                <w:rFonts w:ascii="Times New Roman" w:hAnsi="Times New Roman"/>
                <w:i/>
                <w:noProof/>
                <w:sz w:val="24"/>
              </w:rPr>
              <w:t>CAPM</w:t>
            </w:r>
            <w:r>
              <w:rPr>
                <w:rFonts w:ascii="Times New Roman" w:hAnsi="Times New Roman"/>
                <w:noProof/>
                <w:sz w:val="24"/>
              </w:rPr>
              <w:t>)], ko var būt atbilstoši piemērot noteiktos gadījumos. Saskaņā ar šo modeli novērtē peļņu no aktīviem, un tas nozīmē, ka novērtē arī atbilstoši riskam koriģēto peļņas normu. Tas ietver nepieciešamās minimālās, no ieguldījuma gaidāmās peļņas normas aprēķināšanu, pamatojoties uz pastāvošo risku, kad peļņu var aprēķināt, izmantojot vienādojumu ar riska neietekmēto procentu likmi, vidējo tirgus peļņu un rādītāju, kas izsaka konkrētajai aktīvu kategorijai raksturīgo risku.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Praksē gaidāmās pietiekamās peļņas normas noteikšanai var izmantot iepriekš novēroto peļņu (ja vien ir pamats uzskatīt, ka turpmāk tā nemainīsies), jo īpaši gadījumā, ja nav veikta uzņēmējdarbības plāna analīze.</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hAnsi="Times New Roman"/>
                <w:noProof/>
                <w:sz w:val="24"/>
              </w:rPr>
            </w:pPr>
            <w:r>
              <w:rPr>
                <w:rFonts w:ascii="Times New Roman" w:hAnsi="Times New Roman"/>
                <w:noProof/>
                <w:sz w:val="24"/>
              </w:rPr>
              <w:t xml:space="preserve">Ņemot vērā īpatnības, kas valdībām piemīt ieguldītāja statusā, “pietiekamu peļņas normu” </w:t>
            </w:r>
            <w:r>
              <w:rPr>
                <w:rFonts w:ascii="Times New Roman" w:hAnsi="Times New Roman"/>
                <w:noProof/>
                <w:sz w:val="24"/>
              </w:rPr>
              <w:lastRenderedPageBreak/>
              <w:t>izmanto kā gaidāmās tirgus peļņas tuvinājumu rādītāju vispusīgam salīdzinājumam, lai noteiktu atbilstošu no valdības ieguldījumiem gaidāmo peļņu.</w:t>
            </w:r>
          </w:p>
          <w:p w:rsidR="00523A0A" w:rsidRPr="001973D0" w:rsidRDefault="00523A0A" w:rsidP="00523A0A">
            <w:pPr>
              <w:jc w:val="both"/>
              <w:rPr>
                <w:rFonts w:ascii="Times New Roman" w:hAnsi="Times New Roman"/>
                <w:noProof/>
                <w:sz w:val="24"/>
              </w:rPr>
            </w:pPr>
            <w:r>
              <w:rPr>
                <w:rFonts w:ascii="Times New Roman" w:hAnsi="Times New Roman"/>
                <w:noProof/>
                <w:sz w:val="24"/>
              </w:rPr>
              <w:t>Tādējādi, ievērojot valdības īpatnības, no ieguldītajiem līdzekļiem gaidāmajai “pietiekamai peļņas normai” ir jāatbilst vismaz turpmāk norādītajām peļņas normām:</w:t>
            </w:r>
          </w:p>
          <w:p w:rsidR="00523A0A" w:rsidRPr="001973D0" w:rsidRDefault="00523A0A" w:rsidP="00523A0A">
            <w:pPr>
              <w:jc w:val="both"/>
              <w:rPr>
                <w:rFonts w:ascii="Times New Roman" w:eastAsia="Arial" w:hAnsi="Times New Roman" w:cs="Arial"/>
                <w:noProof/>
                <w:sz w:val="24"/>
                <w:szCs w:val="20"/>
              </w:rPr>
            </w:pPr>
          </w:p>
          <w:p w:rsidR="00523A0A" w:rsidRPr="00DB7E4C" w:rsidRDefault="00523A0A" w:rsidP="00523A0A">
            <w:pPr>
              <w:numPr>
                <w:ilvl w:val="0"/>
                <w:numId w:val="79"/>
              </w:numPr>
              <w:tabs>
                <w:tab w:val="left" w:pos="709"/>
              </w:tabs>
              <w:spacing w:before="30" w:line="222" w:lineRule="auto"/>
              <w:ind w:left="0" w:right="106" w:firstLine="0"/>
              <w:jc w:val="both"/>
              <w:rPr>
                <w:rFonts w:ascii="Times New Roman" w:eastAsia="Arial" w:hAnsi="Times New Roman" w:cs="Times New Roman"/>
                <w:noProof/>
                <w:sz w:val="24"/>
                <w:szCs w:val="24"/>
              </w:rPr>
            </w:pPr>
            <w:r>
              <w:rPr>
                <w:rFonts w:ascii="Times New Roman" w:hAnsi="Times New Roman"/>
                <w:noProof/>
                <w:sz w:val="24"/>
              </w:rPr>
              <w:t>ja valdība ir vienīgais sabiedrības ieguldītājs, tai principā jāatbilst ilgtermiņa (10 gadu)</w:t>
            </w:r>
            <w:r>
              <w:rPr>
                <w:rStyle w:val="FootnoteReference"/>
                <w:rFonts w:ascii="Times New Roman" w:hAnsi="Times New Roman"/>
                <w:noProof/>
                <w:sz w:val="24"/>
              </w:rPr>
              <w:footnoteReference w:id="150"/>
            </w:r>
            <w:r>
              <w:rPr>
                <w:rFonts w:ascii="Times New Roman" w:hAnsi="Times New Roman"/>
                <w:noProof/>
                <w:sz w:val="24"/>
              </w:rPr>
              <w:t xml:space="preserve"> valdības obligāciju likmēm, kas savukārt nozīmē, ka valdība neplāno saņemt peļņu, kas būtu zemāka par tās aizņemšanās izmaksām;</w:t>
            </w:r>
          </w:p>
          <w:p w:rsidR="00523A0A" w:rsidRPr="00DB7E4C" w:rsidRDefault="00523A0A" w:rsidP="00523A0A">
            <w:pPr>
              <w:tabs>
                <w:tab w:val="left" w:pos="709"/>
              </w:tabs>
              <w:spacing w:before="4"/>
              <w:rPr>
                <w:rFonts w:ascii="Times New Roman" w:eastAsia="Arial" w:hAnsi="Times New Roman" w:cs="Times New Roman"/>
                <w:noProof/>
                <w:sz w:val="24"/>
                <w:szCs w:val="24"/>
              </w:rPr>
            </w:pPr>
          </w:p>
          <w:p w:rsidR="00523A0A" w:rsidRPr="00DB7E4C" w:rsidRDefault="00523A0A" w:rsidP="00523A0A">
            <w:pPr>
              <w:numPr>
                <w:ilvl w:val="0"/>
                <w:numId w:val="79"/>
              </w:numPr>
              <w:tabs>
                <w:tab w:val="left" w:pos="709"/>
              </w:tabs>
              <w:ind w:left="0" w:right="104" w:firstLine="0"/>
              <w:jc w:val="both"/>
              <w:rPr>
                <w:rFonts w:ascii="Times New Roman" w:hAnsi="Times New Roman" w:cs="Times New Roman"/>
                <w:noProof/>
                <w:sz w:val="24"/>
                <w:szCs w:val="24"/>
              </w:rPr>
            </w:pPr>
            <w:r>
              <w:rPr>
                <w:rFonts w:ascii="Times New Roman" w:hAnsi="Times New Roman"/>
                <w:noProof/>
                <w:sz w:val="24"/>
              </w:rPr>
              <w:t>ja valdība veic ieguldījumu kopā ar privātiem ieguldītājiem (neatkarīgi no to īpašumtiesību daļas sabiedrībā), tai jāatbilst atbilstoši riskam koriģētajām peļņas normām, ko privātie ieguldītāji vidēji un atbilstošā laika posmā vēlētos iegūt no līdzīgiem ieguldījumiem pašu kapitālā tajā pašā darbības jomā; praksē kā tuvi</w:t>
            </w:r>
            <w:r w:rsidR="00826349">
              <w:rPr>
                <w:rFonts w:ascii="Times New Roman" w:hAnsi="Times New Roman"/>
                <w:noProof/>
                <w:sz w:val="24"/>
              </w:rPr>
              <w:t>nājumu var izmantot vidējo</w:t>
            </w:r>
            <w:r>
              <w:rPr>
                <w:rFonts w:ascii="Times New Roman" w:hAnsi="Times New Roman"/>
                <w:noProof/>
                <w:sz w:val="24"/>
              </w:rPr>
              <w:t xml:space="preserve"> pašu kapitāla</w:t>
            </w:r>
            <w:r w:rsidR="00826349">
              <w:rPr>
                <w:rFonts w:ascii="Times New Roman" w:hAnsi="Times New Roman"/>
                <w:noProof/>
                <w:sz w:val="24"/>
              </w:rPr>
              <w:t xml:space="preserve"> atdevi</w:t>
            </w:r>
            <w:r>
              <w:rPr>
                <w:rFonts w:ascii="Times New Roman" w:hAnsi="Times New Roman"/>
                <w:noProof/>
                <w:sz w:val="24"/>
              </w:rPr>
              <w:t>, kas konkrētajā brīdī tiek novērota (līdzīga lieluma) sabiedrību sektorā (nozarē), ja šāds rādītājs ir pieejams.</w:t>
            </w:r>
            <w:r>
              <w:rPr>
                <w:rStyle w:val="FootnoteReference"/>
                <w:rFonts w:ascii="Times New Roman" w:hAnsi="Times New Roman"/>
                <w:noProof/>
                <w:sz w:val="24"/>
              </w:rPr>
              <w:footnoteReference w:id="151"/>
            </w:r>
          </w:p>
          <w:p w:rsidR="00523A0A" w:rsidRPr="00DB7E4C" w:rsidRDefault="00523A0A" w:rsidP="00523A0A">
            <w:pPr>
              <w:spacing w:before="9"/>
              <w:rPr>
                <w:rFonts w:ascii="Times New Roman" w:eastAsia="Arial" w:hAnsi="Times New Roman" w:cs="Times New Roman"/>
                <w:noProof/>
                <w:sz w:val="24"/>
                <w:szCs w:val="24"/>
              </w:rPr>
            </w:pPr>
          </w:p>
          <w:p w:rsidR="00523A0A" w:rsidRPr="00DB7E4C" w:rsidRDefault="00523A0A" w:rsidP="00523A0A">
            <w:pPr>
              <w:jc w:val="both"/>
              <w:rPr>
                <w:rFonts w:ascii="Times New Roman" w:hAnsi="Times New Roman" w:cs="Times New Roman"/>
                <w:noProof/>
                <w:sz w:val="24"/>
                <w:szCs w:val="24"/>
              </w:rPr>
            </w:pPr>
            <w:r>
              <w:rPr>
                <w:rFonts w:ascii="Times New Roman" w:hAnsi="Times New Roman"/>
                <w:noProof/>
                <w:sz w:val="24"/>
              </w:rPr>
              <w:t>Jāsalīdzina likmes, kurām ir vienots pamats, proti, reālās likmes jāsalīdzina ar reālajām likmēm un nominālās likmes ar nominālajām likmēm.</w:t>
            </w:r>
          </w:p>
          <w:p w:rsidR="00523A0A" w:rsidRPr="00DB7E4C" w:rsidRDefault="00523A0A" w:rsidP="00523A0A">
            <w:pPr>
              <w:spacing w:before="11"/>
              <w:rPr>
                <w:rFonts w:ascii="Times New Roman" w:eastAsia="Arial" w:hAnsi="Times New Roman" w:cs="Times New Roman"/>
                <w:noProof/>
                <w:sz w:val="24"/>
                <w:szCs w:val="24"/>
              </w:rPr>
            </w:pPr>
          </w:p>
          <w:p w:rsidR="00523A0A" w:rsidRPr="00DB7E4C" w:rsidRDefault="00523A0A" w:rsidP="00523A0A">
            <w:pPr>
              <w:ind w:right="107"/>
              <w:jc w:val="both"/>
              <w:rPr>
                <w:rFonts w:ascii="Times New Roman" w:hAnsi="Times New Roman" w:cs="Times New Roman"/>
                <w:noProof/>
                <w:sz w:val="24"/>
                <w:szCs w:val="24"/>
              </w:rPr>
            </w:pPr>
            <w:r>
              <w:rPr>
                <w:rFonts w:ascii="Times New Roman" w:hAnsi="Times New Roman"/>
                <w:noProof/>
                <w:sz w:val="24"/>
              </w:rPr>
              <w:t>Valdības vai starptautisku organizāciju veikti pārveduma maksājumi ražotājiem subsīdiju veidā zaudējumu segšanai, citi kārtējie pārvedumi vai kapitāla pārvedumi (kas nav tieši produkcijas iepirkumi) nav jāiekļauj ieguldījuma peļņas aprēķinā (t. i., tie jāņem vērā kā negatīvi diskontētas naudas plūsmas). Šādus maksājumus kopā ar pārējiem maksājumiem, ko veic vispārējā deficīta segšanai, nedrīkst iekļaut ieguldītā kapitāla aprēķinā. Tomēr atsevišķus maksājumus, piemēram, maksājumus, kas piešķirti kādam ražotājam konkrētajā darbības jomā (ja ir konstatēts, ka tajā ir gan publiskie, gan privātie saņēmēji), tostarp visus ar produkcijas apjomu vai vērtību saistītos maksājumus, var iekļaut peļņas normas aprēķinā.</w:t>
            </w:r>
          </w:p>
          <w:p w:rsidR="00523A0A" w:rsidRPr="00DB7E4C" w:rsidRDefault="00523A0A" w:rsidP="00523A0A">
            <w:pPr>
              <w:spacing w:before="11"/>
              <w:rPr>
                <w:rFonts w:ascii="Times New Roman" w:eastAsia="Arial" w:hAnsi="Times New Roman" w:cs="Times New Roman"/>
                <w:noProof/>
                <w:sz w:val="24"/>
                <w:szCs w:val="24"/>
              </w:rPr>
            </w:pPr>
          </w:p>
          <w:p w:rsidR="00523A0A" w:rsidRPr="00DB7E4C" w:rsidRDefault="00523A0A" w:rsidP="00523A0A">
            <w:pPr>
              <w:ind w:right="107"/>
              <w:jc w:val="both"/>
              <w:rPr>
                <w:rFonts w:ascii="Times New Roman" w:hAnsi="Times New Roman" w:cs="Times New Roman"/>
                <w:noProof/>
                <w:sz w:val="24"/>
                <w:szCs w:val="24"/>
              </w:rPr>
            </w:pPr>
            <w:r>
              <w:rPr>
                <w:rFonts w:ascii="Times New Roman" w:hAnsi="Times New Roman"/>
                <w:noProof/>
                <w:sz w:val="24"/>
              </w:rPr>
              <w:t>Gadījums, kad ir izmantots uzņēmējdarbības plāns: iepludināšanas darījuma sākotnējā klasifikācija nav jāpārskata, pat ja sākotnējā situācija ir mainījusies turpmāku ekonomikas norišu dēļ. Ja tomēr pēc tam publicētie gada pārskati, precizētie uzņēmējdarbības plāni vai revīzijas atskaites liecina par to, ka sākotnējais uzņēmējdarbības plāns ir bijis nepareizs vai nepareizi interpretēts, sākotnējā statistiskā klasifikācija ir jāpārvērtē un pēc tam jāpārskata arī dati.</w:t>
            </w:r>
          </w:p>
        </w:tc>
      </w:tr>
    </w:tbl>
    <w:p w:rsidR="00523A0A" w:rsidRPr="001973D0" w:rsidRDefault="00523A0A" w:rsidP="00523A0A">
      <w:pPr>
        <w:jc w:val="both"/>
        <w:rPr>
          <w:rFonts w:ascii="Times New Roman" w:eastAsia="Arial" w:hAnsi="Times New Roman" w:cs="Arial"/>
          <w:noProof/>
          <w:sz w:val="24"/>
          <w:szCs w:val="14"/>
        </w:rPr>
      </w:pPr>
    </w:p>
    <w:p w:rsidR="00523A0A" w:rsidRDefault="00523A0A" w:rsidP="00523A0A">
      <w:pPr>
        <w:pStyle w:val="Heading6"/>
        <w:tabs>
          <w:tab w:val="left" w:pos="2016"/>
        </w:tabs>
        <w:jc w:val="both"/>
        <w:rPr>
          <w:rFonts w:ascii="Times New Roman" w:hAnsi="Times New Roman"/>
          <w:noProof/>
          <w:sz w:val="24"/>
        </w:rPr>
      </w:pPr>
      <w:bookmarkStart w:id="199" w:name="III.2.3.2_Characteristics_of_financial_a"/>
      <w:bookmarkEnd w:id="199"/>
      <w:r>
        <w:rPr>
          <w:rFonts w:ascii="Times New Roman" w:hAnsi="Times New Roman"/>
          <w:noProof/>
          <w:sz w:val="24"/>
        </w:rPr>
        <w:t>III.2.3.2. Iesaistīto finanšu un nefinanšu darījumu īpašības</w:t>
      </w:r>
      <w:bookmarkStart w:id="200" w:name="III.2.3.2.1_Recording_a_financial_transa"/>
      <w:bookmarkEnd w:id="200"/>
    </w:p>
    <w:p w:rsidR="00523A0A" w:rsidRDefault="00523A0A" w:rsidP="00523A0A">
      <w:pPr>
        <w:pStyle w:val="Heading6"/>
        <w:tabs>
          <w:tab w:val="left" w:pos="2016"/>
        </w:tabs>
        <w:jc w:val="both"/>
        <w:rPr>
          <w:rFonts w:ascii="Times New Roman" w:hAnsi="Times New Roman"/>
          <w:noProof/>
          <w:sz w:val="24"/>
        </w:rPr>
      </w:pPr>
    </w:p>
    <w:p w:rsidR="00523A0A" w:rsidRDefault="00523A0A" w:rsidP="00523A0A">
      <w:pPr>
        <w:pStyle w:val="Heading6"/>
        <w:tabs>
          <w:tab w:val="left" w:pos="2016"/>
        </w:tabs>
        <w:jc w:val="both"/>
        <w:rPr>
          <w:rFonts w:ascii="Times New Roman" w:hAnsi="Times New Roman"/>
          <w:noProof/>
          <w:sz w:val="24"/>
        </w:rPr>
      </w:pPr>
      <w:r>
        <w:rPr>
          <w:rFonts w:ascii="Times New Roman" w:hAnsi="Times New Roman"/>
          <w:noProof/>
          <w:sz w:val="24"/>
        </w:rPr>
        <w:t>III.2.3.</w:t>
      </w:r>
      <w:r w:rsidR="00D12FAB">
        <w:rPr>
          <w:rFonts w:ascii="Times New Roman" w:hAnsi="Times New Roman"/>
          <w:noProof/>
          <w:sz w:val="24"/>
        </w:rPr>
        <w:t>2.1. Finanšu darījuma ierakstīšana</w:t>
      </w:r>
      <w:r>
        <w:rPr>
          <w:rFonts w:ascii="Times New Roman" w:hAnsi="Times New Roman"/>
          <w:noProof/>
          <w:sz w:val="24"/>
        </w:rPr>
        <w:t xml:space="preserve"> pašu kapitālā</w:t>
      </w:r>
    </w:p>
    <w:p w:rsidR="00523A0A" w:rsidRPr="001973D0" w:rsidRDefault="00523A0A" w:rsidP="00523A0A">
      <w:pPr>
        <w:pStyle w:val="Heading6"/>
        <w:tabs>
          <w:tab w:val="left" w:pos="2016"/>
        </w:tabs>
        <w:jc w:val="both"/>
        <w:rPr>
          <w:rFonts w:ascii="Times New Roman" w:hAnsi="Times New Roman"/>
          <w:noProof/>
          <w:sz w:val="24"/>
        </w:rPr>
      </w:pPr>
    </w:p>
    <w:p w:rsidR="00523A0A" w:rsidRPr="00C460C7" w:rsidRDefault="00D12FAB"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iepludināšanu ieraksta</w:t>
      </w:r>
      <w:r w:rsidR="00523A0A">
        <w:rPr>
          <w:rFonts w:ascii="Times New Roman" w:hAnsi="Times New Roman"/>
          <w:noProof/>
          <w:sz w:val="24"/>
        </w:rPr>
        <w:t xml:space="preserve"> kā finanšu darījumu tikai tad, ja valdība pretī saņem finanšu aktīvu, kur vērtība atbilst maksājuma vērtībai. Tā ir būtiska finanšu darījuma pazīme. Turēšanas guvumi no akcijām un cita pašu kapitāla, kas, i</w:t>
      </w:r>
      <w:r>
        <w:rPr>
          <w:rFonts w:ascii="Times New Roman" w:hAnsi="Times New Roman"/>
          <w:noProof/>
          <w:sz w:val="24"/>
        </w:rPr>
        <w:t>espējams, ierakstīti</w:t>
      </w:r>
      <w:r w:rsidR="00523A0A">
        <w:rPr>
          <w:rFonts w:ascii="Times New Roman" w:hAnsi="Times New Roman"/>
          <w:noProof/>
          <w:sz w:val="24"/>
        </w:rPr>
        <w:t xml:space="preserve"> pēc kapitāla iepludināšanas, ir “cita plūsma”, nevis “pretī saņemts finanšu aktīvs”.</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Lielākajā daļā gadījumu iesaistītie finanšu instrumenti ir akcijas un cits pašu kapitāls (AF.5). Darījums ar pašu kapitālu šajā saistībā ir darbība, ar ko “nodod līdzekļus sabiedrību rīcībā” (EKS 2010 4.53. punkts), palielinot pašu kapitālu.</w:t>
      </w:r>
      <w:r w:rsidR="00D12FAB">
        <w:rPr>
          <w:rFonts w:ascii="Times New Roman" w:hAnsi="Times New Roman"/>
          <w:noProof/>
          <w:sz w:val="24"/>
        </w:rPr>
        <w:t xml:space="preserve"> Nacionālajos kontos to ieraksta</w:t>
      </w:r>
      <w:r>
        <w:rPr>
          <w:rFonts w:ascii="Times New Roman" w:hAnsi="Times New Roman"/>
          <w:noProof/>
          <w:sz w:val="24"/>
        </w:rPr>
        <w:t xml:space="preserve"> kā finanšu darījumu ar akcijām un citu pašu kapitālu (F.5). Saskaņā </w:t>
      </w:r>
      <w:r>
        <w:rPr>
          <w:rFonts w:ascii="Times New Roman" w:hAnsi="Times New Roman"/>
          <w:noProof/>
          <w:sz w:val="24"/>
        </w:rPr>
        <w:lastRenderedPageBreak/>
        <w:t>ar EKS 2010 4.53. un 5.142. punktu šis darījums palielina sabiedrības akcionāru īpašumtiesības. Ieguldījumu galvenokārt veic tirgus apstākļos un ne tikai valsts politikas mērķu sasniegšanai.</w:t>
      </w:r>
    </w:p>
    <w:p w:rsidR="00523A0A" w:rsidRPr="00C460C7"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Īpaši jāuzsver, ka, piešķirot sabiedrībai pašu kapitālu, valdība rīkojas kā akcionārs atbilstoši tirgus apstākļiem, parasti pretī vēloties saņemt dividendes. Faktiskais dividenžu maksājums akcionāram ir būtisks kritērijs tam, lai ieguldījumu traktētu kā pašu kapitālu.</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Turklāt kapitāla iepludināšanu, ko privatizācijas procesā veic īsā termiņā (kas mazāks par vienu gadu), valdībai plānojot saņ</w:t>
      </w:r>
      <w:r w:rsidR="00D12FAB">
        <w:rPr>
          <w:rFonts w:ascii="Times New Roman" w:hAnsi="Times New Roman"/>
          <w:noProof/>
          <w:sz w:val="24"/>
        </w:rPr>
        <w:t>emt savu naudu atpakaļ, ieraksta</w:t>
      </w:r>
      <w:r>
        <w:rPr>
          <w:rFonts w:ascii="Times New Roman" w:hAnsi="Times New Roman"/>
          <w:noProof/>
          <w:sz w:val="24"/>
        </w:rPr>
        <w:t xml:space="preserve"> pozīcijā F.5 privatizācijas ieņēmumu summas robežās (atbilstoši EKS 2010 20.201. punktam). Šis gadījums un arī citi šajā nodaļā minētie gadījumi ir jāuzskata par izņēmumiem no noteikuma, kas paredz, ka tādas plūsma</w:t>
      </w:r>
      <w:r w:rsidR="00D12FAB">
        <w:rPr>
          <w:rFonts w:ascii="Times New Roman" w:hAnsi="Times New Roman"/>
          <w:noProof/>
          <w:sz w:val="24"/>
        </w:rPr>
        <w:t>s ierakstīšana</w:t>
      </w:r>
      <w:r>
        <w:rPr>
          <w:rFonts w:ascii="Times New Roman" w:hAnsi="Times New Roman"/>
          <w:noProof/>
          <w:sz w:val="24"/>
        </w:rPr>
        <w:t xml:space="preserve"> nacionālajos kontos, kura palielina kotētas sabiedrības akcijas un citu pašu kapitālu (F.5), parasti jāattiecina uz jaunu akciju faktisko emisiju.</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Ir jānošķir divi gadījumi, kas izklāstīti turpmāk.</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Kotēto akciju gadījums. Kapitāla iepludināšana, kuras rezultātā valdība iegūst kotētas akcijas tādā pašā vērtībā, ir vienkār</w:t>
      </w:r>
      <w:r w:rsidR="00D12FAB">
        <w:rPr>
          <w:rFonts w:ascii="Times New Roman" w:hAnsi="Times New Roman"/>
          <w:noProof/>
          <w:sz w:val="24"/>
        </w:rPr>
        <w:t>šs gadījums. To parasti ieraksta</w:t>
      </w:r>
      <w:r>
        <w:rPr>
          <w:rFonts w:ascii="Times New Roman" w:hAnsi="Times New Roman"/>
          <w:noProof/>
          <w:sz w:val="24"/>
        </w:rPr>
        <w:t xml:space="preserve"> kā pašu kapitāla iegādi (F.5). Fakts, ka akcijas tiek kotētas, nozīmē to, ka akcijas tirgū var tirgot privāti ieguldītāji (kā noteikts EKS 2010 2. nodaļā “Vienības un vienību grupējumi”) un ka līdz ar to sabiedrība ilgtermiņā ievēro noteiktas minimālās tirgus prasības.</w:t>
      </w:r>
    </w:p>
    <w:p w:rsidR="00523A0A"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Nekotēta pašu kapitāla gadījums. Ja kapitāla iepludināšana ir veikta biržas sarakstā neiekļautā publiskajā sabiedrībā, kapitāla</w:t>
      </w:r>
      <w:r w:rsidR="00D12FAB">
        <w:rPr>
          <w:rFonts w:ascii="Times New Roman" w:hAnsi="Times New Roman"/>
          <w:noProof/>
          <w:sz w:val="24"/>
        </w:rPr>
        <w:t xml:space="preserve"> iepludināšanu ieraksta</w:t>
      </w:r>
      <w:r>
        <w:rPr>
          <w:rFonts w:ascii="Times New Roman" w:hAnsi="Times New Roman"/>
          <w:noProof/>
          <w:sz w:val="24"/>
        </w:rPr>
        <w:t xml:space="preserve"> pozīcijā F.5 tikai tad, ja valdības mērķis ir palielināt savu bagātību dividenžu vai saņemtā ekvivalentā finanšu instrumenta paaugstinātas vērtības veidā (vai arī īstermiņā tās vērtība sasniegs vismaz summu, kas iepludināta privatizācijas procesa laikā).</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Parasti ievēro nosacījumu, kas paredz, ka publiskai sabiedrībai nav uzkrātu net</w:t>
      </w:r>
      <w:r w:rsidR="00D12FAB">
        <w:rPr>
          <w:rFonts w:ascii="Times New Roman" w:hAnsi="Times New Roman"/>
          <w:noProof/>
          <w:sz w:val="24"/>
        </w:rPr>
        <w:t>o zaudējumu, kas būtu ierakstīti</w:t>
      </w:r>
      <w:r>
        <w:rPr>
          <w:rFonts w:ascii="Times New Roman" w:hAnsi="Times New Roman"/>
          <w:noProof/>
          <w:sz w:val="24"/>
        </w:rPr>
        <w:t xml:space="preserve"> tās bilancē saskaņā ar vispārpieņemtiem uzskaites standartiem vai ko apliecinātu, piemēram, negatīvas tendences pašu līdzekļos. Tomēr pat šādos gadījumos kā finanšu darījumu (par</w:t>
      </w:r>
      <w:r w:rsidR="00D12FAB">
        <w:rPr>
          <w:rFonts w:ascii="Times New Roman" w:hAnsi="Times New Roman"/>
          <w:noProof/>
          <w:sz w:val="24"/>
        </w:rPr>
        <w:t>asti F.5 pozīcijā) var ierakstīt</w:t>
      </w:r>
      <w:r>
        <w:rPr>
          <w:rFonts w:ascii="Times New Roman" w:hAnsi="Times New Roman"/>
          <w:noProof/>
          <w:sz w:val="24"/>
        </w:rPr>
        <w:t xml:space="preserve"> jebkuru iepludinātā kapitāla daļu (kas pārsniedz uzkrātos zaudējumus), kuru izmanto ieguldījumiem ienesīgās darbības jomās, no kā valdība gūs atbilstošu peļņu no sava ieguldījuma.</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w:t>
      </w:r>
      <w:r w:rsidR="00D12FAB">
        <w:rPr>
          <w:rFonts w:ascii="Times New Roman" w:hAnsi="Times New Roman"/>
          <w:noProof/>
          <w:sz w:val="24"/>
        </w:rPr>
        <w:t>tāla iepludināšanu var ierakstīt</w:t>
      </w:r>
      <w:r>
        <w:rPr>
          <w:rFonts w:ascii="Times New Roman" w:hAnsi="Times New Roman"/>
          <w:noProof/>
          <w:sz w:val="24"/>
        </w:rPr>
        <w:t xml:space="preserve"> kā finanšu darījumu arī divos īpašos gadījumos, kas minēti turpmāk.</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Jaunas sabiedrības vai kvazisabiedrības (“jaunuzņēmumi”). Ja valdība izveido jaunu tirgus vienību, kura nav radusies esošu sabiedrību pārstrukturēšanas rezultātā, traktējums ir atkarīgs no sīkākas projekta izpētes, izmantojot dažādus rādītājus, kas līdzinās ieguldījumu analīzei, un ņemot vērā citus ar darījumu saistītus aspektus. Līdz ar to atkarībā no analīzes rezultātiem darījumu pilnā tā apmērā var uzskatīt par finanšu darījumu vai nefinanšu darījumu. Tas attiecas arī uz gadījumu, kad esoša sabiedrība sāk pilnīgi jaunu darbību vai iegūst jauna veida aktīvus par lielām summām.</w:t>
      </w:r>
    </w:p>
    <w:p w:rsidR="00523A0A" w:rsidRPr="001973D0" w:rsidRDefault="00523A0A" w:rsidP="00523A0A">
      <w:pPr>
        <w:pStyle w:val="BodyText"/>
        <w:numPr>
          <w:ilvl w:val="1"/>
          <w:numId w:val="84"/>
        </w:numPr>
        <w:tabs>
          <w:tab w:val="left" w:pos="1592"/>
        </w:tabs>
        <w:spacing w:before="0"/>
        <w:ind w:left="1134" w:hanging="425"/>
        <w:jc w:val="both"/>
        <w:rPr>
          <w:rFonts w:ascii="Times New Roman" w:hAnsi="Times New Roman"/>
          <w:noProof/>
          <w:sz w:val="24"/>
        </w:rPr>
      </w:pPr>
      <w:r>
        <w:rPr>
          <w:rFonts w:ascii="Times New Roman" w:hAnsi="Times New Roman"/>
          <w:noProof/>
          <w:sz w:val="24"/>
        </w:rPr>
        <w:t>Struktūras, kuras pārvalda finanšu aktīvus valdības vārdā. Kapitāla iepludināšanu publiskā kontrolakciju sabiedrībā/centrālajā birojā vai finanšu sabiedrībā, kas valdības vārdā rentabli pārvalda aktīvus, lai iegūtu vair</w:t>
      </w:r>
      <w:r w:rsidR="00D12FAB">
        <w:rPr>
          <w:rFonts w:ascii="Times New Roman" w:hAnsi="Times New Roman"/>
          <w:noProof/>
          <w:sz w:val="24"/>
        </w:rPr>
        <w:t>āk finanšu aktīvu, var ierakstīt</w:t>
      </w:r>
      <w:r>
        <w:rPr>
          <w:rFonts w:ascii="Times New Roman" w:hAnsi="Times New Roman"/>
          <w:noProof/>
          <w:sz w:val="24"/>
        </w:rPr>
        <w:t xml:space="preserve"> kā darījumu pozīcijā F.5. Šajā gadījumā ievēro šādu noteikumu – aktīvi </w:t>
      </w:r>
      <w:r>
        <w:rPr>
          <w:rFonts w:ascii="Times New Roman" w:hAnsi="Times New Roman"/>
          <w:noProof/>
          <w:sz w:val="24"/>
        </w:rPr>
        <w:lastRenderedPageBreak/>
        <w:t>tiek pārvaldīti, lai palielinātu valdības peļņu, un tiek plānots saņemt lielākas dividendes vai lielāku pašu kapitālu.</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6"/>
        <w:tabs>
          <w:tab w:val="left" w:pos="2016"/>
        </w:tabs>
        <w:jc w:val="both"/>
        <w:rPr>
          <w:rFonts w:ascii="Times New Roman" w:hAnsi="Times New Roman"/>
          <w:noProof/>
          <w:sz w:val="24"/>
        </w:rPr>
      </w:pPr>
      <w:bookmarkStart w:id="201" w:name="III.2.3.2.2_Special_cases_–_transactions"/>
      <w:bookmarkEnd w:id="201"/>
      <w:r>
        <w:rPr>
          <w:rFonts w:ascii="Times New Roman" w:hAnsi="Times New Roman"/>
          <w:noProof/>
          <w:sz w:val="24"/>
        </w:rPr>
        <w:t>III.2.3.2.2. Īpaši gadījumi. Darījumi ar citiem finanšu instrumentiem</w:t>
      </w:r>
    </w:p>
    <w:p w:rsidR="00523A0A" w:rsidRPr="001973D0" w:rsidRDefault="00523A0A" w:rsidP="00523A0A">
      <w:pPr>
        <w:pStyle w:val="Heading6"/>
        <w:tabs>
          <w:tab w:val="left" w:pos="2016"/>
        </w:tabs>
        <w:jc w:val="both"/>
        <w:rPr>
          <w:rFonts w:ascii="Times New Roman" w:hAnsi="Times New Roman"/>
          <w:b w:val="0"/>
          <w:bCs w:val="0"/>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Ne katrs līd</w:t>
      </w:r>
      <w:r w:rsidR="00D12FAB">
        <w:rPr>
          <w:rFonts w:ascii="Times New Roman" w:hAnsi="Times New Roman"/>
          <w:noProof/>
          <w:sz w:val="24"/>
        </w:rPr>
        <w:t>zekļu piešķīrums, kas ierakstīts</w:t>
      </w:r>
      <w:r>
        <w:rPr>
          <w:rFonts w:ascii="Times New Roman" w:hAnsi="Times New Roman"/>
          <w:noProof/>
          <w:sz w:val="24"/>
        </w:rPr>
        <w:t xml:space="preserve"> kā finanšu darījums, notiek pašu kapitāla iegādes veidā (F.5); pastāv arī citas iespējas – aizdevuma piešķiršana (F.4) vai obligāciju pirkšana (F.3).</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Aizdevumi – parasti līdzekļu piešķīrums aizdevuma veidā, ko apstiprina juridisks dokuments, kurā norādītas aizdevuma ņēmēja saistības (pamatsummas izpirkšanas datums un </w:t>
      </w:r>
      <w:r w:rsidR="00D12FAB">
        <w:rPr>
          <w:rFonts w:ascii="Times New Roman" w:hAnsi="Times New Roman"/>
          <w:noProof/>
          <w:sz w:val="24"/>
        </w:rPr>
        <w:t>maksājamie procenti), jāieraksta</w:t>
      </w:r>
      <w:r>
        <w:rPr>
          <w:rFonts w:ascii="Times New Roman" w:hAnsi="Times New Roman"/>
          <w:noProof/>
          <w:sz w:val="24"/>
        </w:rPr>
        <w:t xml:space="preserve"> kā darījums F.4 pozīcijā.</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Viens izņēmums ir gadījums, kad valdība piešķir aizdevumu zaudējumus nesošai publiskai sabiedrībai situācijā, kurā sabiedrība visticamāk nespēs atmaksāt lielāko daļu aizdevuma savu periodisko zaudējumu dēļ (un nevis ārkārtas zaudējumu dēļ, kuri radušies gadā, kad piešķirts aizdevums) un tāpēc, ka ienesīguma atjaunošanās pirms atmaksas termiņa/-iem nav paredzama. Šajā gadījumā līdzekļus, kurus valdība ir pār</w:t>
      </w:r>
      <w:r w:rsidR="00D12FAB">
        <w:rPr>
          <w:rFonts w:ascii="Times New Roman" w:hAnsi="Times New Roman"/>
          <w:noProof/>
          <w:sz w:val="24"/>
        </w:rPr>
        <w:t>skaitījusi sabiedrībai, ieraksta</w:t>
      </w:r>
      <w:r>
        <w:rPr>
          <w:rFonts w:ascii="Times New Roman" w:hAnsi="Times New Roman"/>
          <w:noProof/>
          <w:sz w:val="24"/>
        </w:rPr>
        <w:t xml:space="preserve"> kā nefinanšu darījumu par pilnu summu, ja vien nav pieejamas pamatotas zaudējumu aplēses, kuras ļauj sadalīt aizdevumu. Ja būtu iespējams prognozēt, ka aizdevuma ņēmējs spēs pats</w:t>
      </w:r>
      <w:r>
        <w:rPr>
          <w:rStyle w:val="FootnoteReference"/>
          <w:rFonts w:ascii="Times New Roman" w:hAnsi="Times New Roman"/>
          <w:noProof/>
          <w:sz w:val="24"/>
        </w:rPr>
        <w:footnoteReference w:id="152"/>
      </w:r>
      <w:r>
        <w:rPr>
          <w:rFonts w:ascii="Times New Roman" w:hAnsi="Times New Roman"/>
          <w:noProof/>
          <w:sz w:val="24"/>
        </w:rPr>
        <w:t xml:space="preserve"> atmaksāt lielāko daļu aizdevuma, tad uz šo gadījumu attiektos aizdevuma sadalīšana, un to daļu, kas atbilst paredzamajiem zaudējumiem, aizdevu</w:t>
      </w:r>
      <w:r w:rsidR="00D12FAB">
        <w:rPr>
          <w:rFonts w:ascii="Times New Roman" w:hAnsi="Times New Roman"/>
          <w:noProof/>
          <w:sz w:val="24"/>
        </w:rPr>
        <w:t>ma piešķiršanas brīdī ierakstītu</w:t>
      </w:r>
      <w:r>
        <w:rPr>
          <w:rFonts w:ascii="Times New Roman" w:hAnsi="Times New Roman"/>
          <w:noProof/>
          <w:sz w:val="24"/>
        </w:rPr>
        <w:t xml:space="preserve"> kā kapitāla pārvedumu. Bilancē iekļaujamais aizdevumu fonds jāpalielina p</w:t>
      </w:r>
      <w:r w:rsidR="00D12FAB">
        <w:rPr>
          <w:rFonts w:ascii="Times New Roman" w:hAnsi="Times New Roman"/>
          <w:noProof/>
          <w:sz w:val="24"/>
        </w:rPr>
        <w:t>ar summu, kas atbilst ierakstītā</w:t>
      </w:r>
      <w:r>
        <w:rPr>
          <w:rFonts w:ascii="Times New Roman" w:hAnsi="Times New Roman"/>
          <w:noProof/>
          <w:sz w:val="24"/>
        </w:rPr>
        <w:t xml:space="preserve"> aizdevuma darījuma vērtībai. Ja valdība pēc tam atzīst jebkādus aizdevumus vai to daļas, kuras netiks atmaksātas, tas jātraktē saskaņā ar VII.2. nodaļā “Parāda pārņemšana un parāda atcelšana” sniegtajām vadlīnijām.</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Tādējādi noteiktos īpašos apstākļos (finanšu darījumu anulēšana, uzņēmējdarbības glābšana, eksporta apdrošināšana un citi apstākļi) rūpīgi jāpārbauda valdības piešķirto aizdevumu (un līgumsaistību) pazīmes, lai noteiktu, vai ir pareizi tos klasificēt pozīcijā F.4.</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Parāda instrumenti – līdzekļu piešķīrumu, valdībai iegādājoties sabiedrības emitētas obligācijas, parādzīmes vai hibrīdu instrumentus</w:t>
      </w:r>
      <w:r>
        <w:rPr>
          <w:rStyle w:val="FootnoteReference"/>
          <w:rFonts w:ascii="Times New Roman" w:hAnsi="Times New Roman"/>
          <w:noProof/>
          <w:sz w:val="24"/>
        </w:rPr>
        <w:footnoteReference w:id="153"/>
      </w:r>
      <w:r>
        <w:rPr>
          <w:rFonts w:ascii="Times New Roman" w:hAnsi="Times New Roman"/>
          <w:noProof/>
          <w:sz w:val="24"/>
        </w:rPr>
        <w:t xml:space="preserve"> (tam ir jābūt arī apstiprinātam a</w:t>
      </w:r>
      <w:r w:rsidR="00D12FAB">
        <w:rPr>
          <w:rFonts w:ascii="Times New Roman" w:hAnsi="Times New Roman"/>
          <w:noProof/>
          <w:sz w:val="24"/>
        </w:rPr>
        <w:t>r juridisku dokumentu), ieraksta</w:t>
      </w:r>
      <w:r>
        <w:rPr>
          <w:rFonts w:ascii="Times New Roman" w:hAnsi="Times New Roman"/>
          <w:noProof/>
          <w:sz w:val="24"/>
        </w:rPr>
        <w:t xml:space="preserve"> kā darījumu parāda vērtspapīru pozīcijā (F.3).</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Ja tomēr sabiedrībai ir uzkrāti ievērojami zaudējumi un valdība ir faktiski vienīgais obligāciju pircējs, šādu valdības veikto iegādi uzskata par nefinanšu darījumu.</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Turklāt rūpīgi jāizpēta gadījums, kad obligācijas emitē sabiedrība ar parādsaistību nepildīšanas vēsturi, kas nozīmē to, ka privātajiem ieguldītājiem obligācijas varētu pārdot tikai ar pilnu valdības galvojumu (ar ieguldītāju atzinumu kā a</w:t>
      </w:r>
      <w:r w:rsidR="00407C0E">
        <w:rPr>
          <w:rFonts w:ascii="Times New Roman" w:hAnsi="Times New Roman"/>
          <w:noProof/>
          <w:sz w:val="24"/>
        </w:rPr>
        <w:t>pliecinājumu). Lai to ierakstītu</w:t>
      </w:r>
      <w:r>
        <w:rPr>
          <w:rFonts w:ascii="Times New Roman" w:hAnsi="Times New Roman"/>
          <w:noProof/>
          <w:sz w:val="24"/>
        </w:rPr>
        <w:t xml:space="preserve"> kā darījumu parāda vērtspapīru (F.3) pozīcijā, darījuma laikā jānodrošina ticamība, ka sabiedrība spēs izpildīt savas parādsaistības (samaksāt procentus un pamatsummu) saskaņā ar līgumā noteikto maksājumu grafiku.</w:t>
      </w:r>
    </w:p>
    <w:p w:rsidR="00523A0A" w:rsidRPr="001973D0" w:rsidRDefault="00523A0A" w:rsidP="00523A0A">
      <w:pPr>
        <w:jc w:val="both"/>
        <w:rPr>
          <w:rFonts w:ascii="Times New Roman" w:eastAsia="Arial" w:hAnsi="Times New Roman" w:cs="Arial"/>
          <w:noProof/>
          <w:sz w:val="24"/>
          <w:szCs w:val="16"/>
        </w:rPr>
      </w:pPr>
    </w:p>
    <w:p w:rsidR="00523A0A" w:rsidRDefault="00523A0A" w:rsidP="00523A0A">
      <w:pPr>
        <w:pStyle w:val="Heading6"/>
        <w:tabs>
          <w:tab w:val="left" w:pos="2016"/>
        </w:tabs>
        <w:jc w:val="both"/>
        <w:rPr>
          <w:rFonts w:ascii="Times New Roman" w:hAnsi="Times New Roman"/>
          <w:noProof/>
          <w:sz w:val="24"/>
        </w:rPr>
      </w:pPr>
      <w:bookmarkStart w:id="202" w:name="III.2.3.2.3_Recording_a_non-financial_tr"/>
      <w:bookmarkEnd w:id="202"/>
      <w:r>
        <w:rPr>
          <w:rFonts w:ascii="Times New Roman" w:hAnsi="Times New Roman"/>
          <w:noProof/>
          <w:sz w:val="24"/>
        </w:rPr>
        <w:t>III.2.3.2.3.</w:t>
      </w:r>
      <w:r w:rsidR="00407C0E">
        <w:rPr>
          <w:rFonts w:ascii="Times New Roman" w:hAnsi="Times New Roman"/>
          <w:noProof/>
          <w:sz w:val="24"/>
        </w:rPr>
        <w:t> Nefinanšu darījuma ierakstīšana</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Izņemot subsīdijas (D.3), sk. EKS 2010 4.30. punktu un turpmākos punktus, un citus kārtējos pārvedumus (D.75), sk. jo īpaši EKS 2010 4.138. punkta b) apakšpunktu, ar kapitāla iepludināšanu saistītais nefinanšu darījums ir kapitāla pārvedums.</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ieguldījumu natūrā gadījums (piemēram, pamatlīdzekļu nodošana) ir aplūkots šīs rokasgrāmatas III.4. nodaļā, bet šeit ir aprakstīti tikai kapitāla pārvedumi naudā.</w:t>
      </w: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Kapitāla iepludināšanu uzskata par nefinanšu darījumu, ja līdzekļu piešķiršana ir neatlīdzināms darījums. Valdība apmaiņā nesaņem tādas pašas vērtības finanšu aktīvu, un jebkāda iespējamā ietekme uz valdības pašu kapitālu ir netieša, dažkārt arī tā nav tūlītēja, ir nenoteikta un atšķiras pēc sava apmēr</w:t>
      </w:r>
      <w:r w:rsidR="00407C0E">
        <w:rPr>
          <w:rFonts w:ascii="Times New Roman" w:hAnsi="Times New Roman"/>
          <w:noProof/>
          <w:sz w:val="24"/>
        </w:rPr>
        <w:t>a. Šāda veida maksājumu ieraksta</w:t>
      </w:r>
      <w:r>
        <w:rPr>
          <w:rFonts w:ascii="Times New Roman" w:hAnsi="Times New Roman"/>
          <w:noProof/>
          <w:sz w:val="24"/>
        </w:rPr>
        <w:t xml:space="preserve"> kā kapitāla pārvedumu (D.9), proti, vai nu kā ieguldījumu dotāciju (D.92) vai kā citu kapitāla pārvedumu (D.99).</w:t>
      </w:r>
    </w:p>
    <w:p w:rsidR="00523A0A"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Parasti kapitāla pārvedumi ir valdības darījumi, kurus tā veic ar nolūku īstenot valsts politikas mērķus, kas ir svarīga kapitāla pārvedumu pazīme. Šādi rīkojoties, valdība neplāno pretī saņemt dividendes (parasti uzņēmumi, kas saņem šādus pārvedumus, dividendes nemaksā), bet vēlas vienīgi uzlabot sabiedrības finanšu stāvokli un nodrošināt noteiktas sociālās vajadzības (sabiedriskā infrastruktūra, nodarbinātība u. tml.).</w:t>
      </w:r>
    </w:p>
    <w:p w:rsidR="00523A0A" w:rsidRPr="001973D0" w:rsidRDefault="00523A0A" w:rsidP="00523A0A">
      <w:pPr>
        <w:pStyle w:val="BodyText"/>
        <w:tabs>
          <w:tab w:val="left" w:pos="124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78"/>
        </w:numPr>
        <w:tabs>
          <w:tab w:val="left" w:pos="1602"/>
        </w:tabs>
        <w:spacing w:before="0"/>
        <w:ind w:left="1134" w:hanging="425"/>
        <w:jc w:val="both"/>
        <w:rPr>
          <w:rFonts w:ascii="Times New Roman" w:hAnsi="Times New Roman"/>
          <w:noProof/>
          <w:sz w:val="24"/>
        </w:rPr>
      </w:pPr>
      <w:r>
        <w:rPr>
          <w:rFonts w:ascii="Times New Roman" w:hAnsi="Times New Roman"/>
          <w:noProof/>
          <w:sz w:val="24"/>
        </w:rPr>
        <w:t>Ieguldījumu dotācijas (D.92).</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Kapitāla iepludināšanu, kas “veidota no kapitāla pārvedumiem skaidrā naudā vai natūrā, ko valdība [..] veic citām institucionālām rezidentvienībām [..], lai finansētu visas izmaksas vai to daļu, tām iegādā</w:t>
      </w:r>
      <w:r w:rsidR="00407C0E">
        <w:rPr>
          <w:rFonts w:ascii="Times New Roman" w:hAnsi="Times New Roman"/>
          <w:noProof/>
          <w:sz w:val="24"/>
        </w:rPr>
        <w:t>joties pamatlīdzekļus”, ieraksta</w:t>
      </w:r>
      <w:r>
        <w:rPr>
          <w:rFonts w:ascii="Times New Roman" w:hAnsi="Times New Roman"/>
          <w:noProof/>
          <w:sz w:val="24"/>
        </w:rPr>
        <w:t xml:space="preserve"> kā ieguldījumu dotāciju (D.92).</w:t>
      </w:r>
    </w:p>
    <w:p w:rsidR="00523A0A" w:rsidRPr="001973D0" w:rsidRDefault="00523A0A" w:rsidP="00523A0A">
      <w:pPr>
        <w:pStyle w:val="BodyText"/>
        <w:numPr>
          <w:ilvl w:val="0"/>
          <w:numId w:val="78"/>
        </w:numPr>
        <w:tabs>
          <w:tab w:val="left" w:pos="1602"/>
        </w:tabs>
        <w:spacing w:before="0"/>
        <w:ind w:left="1134" w:hanging="425"/>
        <w:jc w:val="both"/>
        <w:rPr>
          <w:rFonts w:ascii="Times New Roman" w:hAnsi="Times New Roman"/>
          <w:noProof/>
          <w:sz w:val="24"/>
        </w:rPr>
      </w:pPr>
      <w:r>
        <w:rPr>
          <w:rFonts w:ascii="Times New Roman" w:hAnsi="Times New Roman"/>
          <w:noProof/>
          <w:sz w:val="24"/>
        </w:rPr>
        <w:t>Citi kapitāla pārvedumi (D.99) par uzkrātajiem zaudējumiem.</w:t>
      </w:r>
    </w:p>
    <w:p w:rsidR="00523A0A"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 xml:space="preserve">Kapitāla iepludināšanu, kura veikta, lai segtu uzkrātos zaudējumus (radušos vai nu regulāri dažu pēdējo finanšu gadu laikā, vai arī neregulāri, bet tādā apmērā, ka tos nav iespējams </w:t>
      </w:r>
      <w:r w:rsidR="00407C0E">
        <w:rPr>
          <w:rFonts w:ascii="Times New Roman" w:hAnsi="Times New Roman"/>
          <w:noProof/>
          <w:sz w:val="24"/>
        </w:rPr>
        <w:t>nosegt ar peļņu), kas ierakstīti</w:t>
      </w:r>
      <w:r>
        <w:rPr>
          <w:rFonts w:ascii="Times New Roman" w:hAnsi="Times New Roman"/>
          <w:noProof/>
          <w:sz w:val="24"/>
        </w:rPr>
        <w:t xml:space="preserve"> saskaņā ar vispārpieņemtiem uzskaites principiem un par ko liecina, piemēram, sabiedrības pašu līdzekļu tendence, parasti uzskata par nefinanšu darījumu par pilnu tā summu (uzskatot to par kapitāla pārvedumu D.99), pat ja ir emitēti noteikti vērtspapīri (akcijas vai to ekvivalents).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84"/>
        </w:numPr>
        <w:tabs>
          <w:tab w:val="left" w:pos="1242"/>
        </w:tabs>
        <w:spacing w:before="0"/>
        <w:ind w:left="709" w:hanging="709"/>
        <w:jc w:val="both"/>
        <w:rPr>
          <w:rFonts w:ascii="Times New Roman" w:hAnsi="Times New Roman"/>
          <w:noProof/>
          <w:sz w:val="24"/>
        </w:rPr>
      </w:pPr>
      <w:r>
        <w:rPr>
          <w:rFonts w:ascii="Times New Roman" w:hAnsi="Times New Roman"/>
          <w:noProof/>
          <w:sz w:val="24"/>
        </w:rPr>
        <w:t>Tāpat arī kapitāla iepludināšanu, kuru veic, lai kompensētu kapitāla īpašniekiem preces, kas iznīcinātas karadarbības, citu politisku notikumu va</w:t>
      </w:r>
      <w:r w:rsidR="00407C0E">
        <w:rPr>
          <w:rFonts w:ascii="Times New Roman" w:hAnsi="Times New Roman"/>
          <w:noProof/>
          <w:sz w:val="24"/>
        </w:rPr>
        <w:t>i dabas katastrofu dēļ, ieraksta</w:t>
      </w:r>
      <w:r>
        <w:rPr>
          <w:rFonts w:ascii="Times New Roman" w:hAnsi="Times New Roman"/>
          <w:noProof/>
          <w:sz w:val="24"/>
        </w:rPr>
        <w:t xml:space="preserve"> kā kapitāla pārvedumus (D.99).</w:t>
      </w:r>
    </w:p>
    <w:p w:rsidR="00523A0A" w:rsidRDefault="00523A0A" w:rsidP="00523A0A">
      <w:pPr>
        <w:rPr>
          <w:rFonts w:ascii="Times New Roman" w:eastAsia="Arial" w:hAnsi="Times New Roman" w:cs="Arial"/>
          <w:noProof/>
          <w:sz w:val="24"/>
          <w:szCs w:val="20"/>
        </w:rPr>
      </w:pPr>
      <w:r>
        <w:br w:type="page"/>
      </w:r>
    </w:p>
    <w:p w:rsidR="00523A0A" w:rsidRPr="001973D0" w:rsidRDefault="00523A0A" w:rsidP="00523A0A">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523A0A" w:rsidTr="00523A0A">
        <w:tc>
          <w:tcPr>
            <w:tcW w:w="9291" w:type="dxa"/>
          </w:tcPr>
          <w:p w:rsidR="00523A0A" w:rsidRPr="001973D0" w:rsidRDefault="00523A0A" w:rsidP="00523A0A">
            <w:pPr>
              <w:tabs>
                <w:tab w:val="center" w:pos="4537"/>
              </w:tabs>
              <w:jc w:val="both"/>
              <w:rPr>
                <w:rFonts w:ascii="Times New Roman" w:eastAsia="Arial" w:hAnsi="Times New Roman" w:cs="Arial"/>
                <w:b/>
                <w:bCs/>
                <w:noProof/>
                <w:sz w:val="24"/>
                <w:szCs w:val="20"/>
              </w:rPr>
            </w:pPr>
            <w:r>
              <w:rPr>
                <w:rFonts w:ascii="Times New Roman" w:hAnsi="Times New Roman"/>
                <w:b/>
                <w:noProof/>
                <w:sz w:val="24"/>
              </w:rPr>
              <w:t>3. ierāmējums. EKS jēdzieni</w:t>
            </w:r>
          </w:p>
          <w:p w:rsidR="00523A0A" w:rsidRPr="001973D0" w:rsidRDefault="00523A0A" w:rsidP="00523A0A">
            <w:pPr>
              <w:jc w:val="both"/>
              <w:rPr>
                <w:rFonts w:ascii="Times New Roman" w:eastAsia="Arial" w:hAnsi="Times New Roman" w:cs="Arial"/>
                <w:b/>
                <w:bCs/>
                <w:noProof/>
                <w:sz w:val="24"/>
                <w:szCs w:val="13"/>
              </w:rPr>
            </w:pPr>
          </w:p>
          <w:p w:rsidR="00523A0A" w:rsidRPr="001973D0" w:rsidRDefault="00523A0A" w:rsidP="00523A0A">
            <w:pPr>
              <w:numPr>
                <w:ilvl w:val="0"/>
                <w:numId w:val="77"/>
              </w:numPr>
              <w:tabs>
                <w:tab w:val="left" w:pos="1064"/>
              </w:tabs>
              <w:ind w:left="709" w:hanging="709"/>
              <w:jc w:val="both"/>
              <w:rPr>
                <w:rFonts w:ascii="Times New Roman" w:hAnsi="Times New Roman"/>
                <w:b/>
                <w:noProof/>
                <w:sz w:val="24"/>
              </w:rPr>
            </w:pPr>
            <w:r>
              <w:rPr>
                <w:rFonts w:ascii="Times New Roman" w:hAnsi="Times New Roman"/>
                <w:b/>
                <w:noProof/>
                <w:sz w:val="24"/>
              </w:rPr>
              <w:t>Pašu līdzekļi un pašu kapitāls</w:t>
            </w: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 xml:space="preserve">EKS 2010 7.07. punktā ir sniegta šāda pašu līdzekļu definīcija: </w:t>
            </w:r>
            <w:r>
              <w:rPr>
                <w:rFonts w:ascii="Times New Roman" w:hAnsi="Times New Roman"/>
                <w:i/>
                <w:noProof/>
                <w:sz w:val="24"/>
              </w:rPr>
              <w:t>Pašu līdzekļi ir summa, ko veido neto vērtība (B.90) un pašu kapitāla un ieguldījumu fondu apliecību vērtība (AF.5) un kas bilancē ir saistības</w:t>
            </w:r>
            <w:r>
              <w:rPr>
                <w:rFonts w:ascii="Times New Roman" w:hAnsi="Times New Roman"/>
                <w:noProof/>
                <w:sz w:val="24"/>
              </w:rPr>
              <w:t>.</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“Sabiedrības palielina pašu kapitālu, lai stiprinātu tirgū savu finansiālo stāvokli, palielinot pašu līdzekļus.“ ”Tādējādi pašu kapitāls ir daļa no pašu līdzekļiem, jo to izsaka, emitējot akcijas”.</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hAnsi="Times New Roman"/>
                <w:noProof/>
                <w:sz w:val="24"/>
              </w:rPr>
            </w:pPr>
            <w:r>
              <w:rPr>
                <w:rFonts w:ascii="Times New Roman" w:hAnsi="Times New Roman"/>
                <w:noProof/>
                <w:sz w:val="24"/>
              </w:rPr>
              <w:t>Pašu kapitāla nodrošināšanas un pašu līdzekļu palielināšanas tūlītējs rezultāts ir tāds, ka sabiedrība ir labākā stāvoklī, lai finansētu ieguldījumu, atmaksātu esošu parādu vai vajadzības gadījumā aizņemtos</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papildu līdzekļus (garantijas kreditoriem sniedz sabiedrības maksātspēja) un, visbeidzot, gūtu un sadalītu peļņu. Akcijas un citu pašu kapitālu (AF.5) korpo</w:t>
            </w:r>
            <w:r w:rsidR="0006414A">
              <w:rPr>
                <w:rFonts w:ascii="Times New Roman" w:hAnsi="Times New Roman"/>
                <w:noProof/>
                <w:sz w:val="24"/>
              </w:rPr>
              <w:t>ratīvā uzņēmuma bilancē ieraksta</w:t>
            </w:r>
            <w:r>
              <w:rPr>
                <w:rFonts w:ascii="Times New Roman" w:hAnsi="Times New Roman"/>
                <w:noProof/>
                <w:sz w:val="24"/>
              </w:rPr>
              <w:t xml:space="preserve"> tāpat kā lielāko daļu aktīvu un saistību nacionālajos kontos, proti, atbilstoši tirgus vērtībai (EKS 2010 7.34., 7.25. un 7.71. punkts).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numPr>
                <w:ilvl w:val="0"/>
                <w:numId w:val="77"/>
              </w:numPr>
              <w:tabs>
                <w:tab w:val="left" w:pos="1064"/>
              </w:tabs>
              <w:ind w:left="709" w:hanging="709"/>
              <w:jc w:val="both"/>
              <w:rPr>
                <w:rFonts w:ascii="Times New Roman" w:hAnsi="Times New Roman"/>
                <w:b/>
                <w:noProof/>
                <w:sz w:val="24"/>
              </w:rPr>
            </w:pPr>
            <w:r>
              <w:rPr>
                <w:rFonts w:ascii="Times New Roman" w:hAnsi="Times New Roman"/>
                <w:b/>
                <w:noProof/>
                <w:sz w:val="24"/>
              </w:rPr>
              <w:t>Dividendes (D.421)</w:t>
            </w: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“Dividendes (D.421) ir īpašuma ienākuma veids, ko saņem akciju (AF.5) īpašnieki, uz kuriem viņi iegūst tiesības tā rezultātā, ka nodod līdzekļus sabiedrību rīcībā. Pašu kapitāla palielināšana, emitējot akcijas, ir alternatīvs veids, kā piesaistīt līdzekļus, izmantojot aizņemšanos. Pretstatā aizdevuma kapitālam pašu kapitāls tomēr nerada naudas izteiksmē fiksētas saistības un nedod sabiedrības akciju turētājiem tiesības saņemt fiksētu vai iepriekšnoteiktu ienākumu” (EKS 2010 4.53. punkts).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numPr>
                <w:ilvl w:val="0"/>
                <w:numId w:val="77"/>
              </w:numPr>
              <w:tabs>
                <w:tab w:val="left" w:pos="1064"/>
              </w:tabs>
              <w:ind w:left="709" w:hanging="709"/>
              <w:jc w:val="both"/>
              <w:rPr>
                <w:rFonts w:ascii="Times New Roman" w:hAnsi="Times New Roman"/>
                <w:b/>
                <w:noProof/>
                <w:sz w:val="24"/>
              </w:rPr>
            </w:pPr>
            <w:r>
              <w:rPr>
                <w:rFonts w:ascii="Times New Roman" w:hAnsi="Times New Roman"/>
                <w:b/>
                <w:noProof/>
                <w:sz w:val="24"/>
              </w:rPr>
              <w:t>Akcijas un cits pašu kapitāls (F.5)</w:t>
            </w: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Kategorija “akcijas un cits pašu kapitāls” (F.5) sastāv no visiem darījumiem ar akcijām un citu pašu kapitālu (AF.5), kas ir finanšu aktīvi, kuri apliecina īpašumtiesības uz sabiedrībām vai kvazisabiedrībām. Šādi finanšu aktīvi parasti dod to turētājiem tiesības uz daļu no sabiedrību vai kvazisabiedrību peļņas un uz daļu no pašu tīrajiem aktīviem sabiedrības likvidācijas gadījumā (EKS 2010 5.142. punkts). Tādējādi darījumiem ar akcijām un citu pašu kapitālu, piemēram, kapitāla iepludināšanai, kas sabiedrībai nodrošina pašu kapitālu, ir spēcīgs juridiskais pamats, jo šie finanšu aktīvi apliecina īpašumtiesības uz sabiedrību.</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hAnsi="Times New Roman"/>
                <w:noProof/>
                <w:sz w:val="24"/>
              </w:rPr>
            </w:pPr>
            <w:r>
              <w:rPr>
                <w:rFonts w:ascii="Times New Roman" w:hAnsi="Times New Roman"/>
                <w:noProof/>
                <w:sz w:val="24"/>
              </w:rPr>
              <w:t>Darījumam ar pašu kapitālu parasti ir trīs pazīmes: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numPr>
                <w:ilvl w:val="0"/>
                <w:numId w:val="81"/>
              </w:numPr>
              <w:tabs>
                <w:tab w:val="left" w:pos="1602"/>
              </w:tabs>
              <w:ind w:left="709" w:hanging="709"/>
              <w:jc w:val="both"/>
              <w:rPr>
                <w:rFonts w:ascii="Times New Roman" w:hAnsi="Times New Roman"/>
                <w:noProof/>
                <w:sz w:val="24"/>
              </w:rPr>
            </w:pPr>
            <w:r>
              <w:rPr>
                <w:rFonts w:ascii="Times New Roman" w:hAnsi="Times New Roman"/>
                <w:noProof/>
                <w:sz w:val="24"/>
              </w:rPr>
              <w:t>līdzekļus nodod sabiedrības rīcībā, un tā var ļoti brīvi ar tiem rīkoties;</w:t>
            </w:r>
          </w:p>
          <w:p w:rsidR="00523A0A" w:rsidRPr="001973D0" w:rsidRDefault="00523A0A" w:rsidP="00523A0A">
            <w:pPr>
              <w:numPr>
                <w:ilvl w:val="0"/>
                <w:numId w:val="81"/>
              </w:numPr>
              <w:tabs>
                <w:tab w:val="left" w:pos="1602"/>
              </w:tabs>
              <w:ind w:left="709" w:hanging="709"/>
              <w:jc w:val="both"/>
              <w:rPr>
                <w:rFonts w:ascii="Times New Roman" w:hAnsi="Times New Roman"/>
                <w:noProof/>
                <w:sz w:val="24"/>
              </w:rPr>
            </w:pPr>
            <w:r>
              <w:rPr>
                <w:rFonts w:ascii="Times New Roman" w:hAnsi="Times New Roman"/>
                <w:noProof/>
                <w:sz w:val="24"/>
              </w:rPr>
              <w:t>akcionāriem ir tiesības saņemt peļņu no saviem ieguldījumiem;</w:t>
            </w:r>
          </w:p>
          <w:p w:rsidR="00523A0A" w:rsidRPr="001973D0" w:rsidRDefault="00523A0A" w:rsidP="00523A0A">
            <w:pPr>
              <w:numPr>
                <w:ilvl w:val="0"/>
                <w:numId w:val="81"/>
              </w:numPr>
              <w:tabs>
                <w:tab w:val="left" w:pos="1602"/>
              </w:tabs>
              <w:ind w:left="709" w:hanging="709"/>
              <w:jc w:val="both"/>
              <w:rPr>
                <w:rFonts w:ascii="Times New Roman" w:hAnsi="Times New Roman"/>
                <w:noProof/>
                <w:sz w:val="24"/>
              </w:rPr>
            </w:pPr>
            <w:r>
              <w:rPr>
                <w:rFonts w:ascii="Times New Roman" w:hAnsi="Times New Roman"/>
                <w:noProof/>
                <w:sz w:val="24"/>
              </w:rPr>
              <w:t>ja sabiedrības juridiskais statuss ir “akciju sabiedrība”, emitē jaunas akcijas (par summu, kas vienāda ar piešķirtajiem līdzekļiem vai saistīta ar to).</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eastAsia="Arial" w:hAnsi="Times New Roman" w:cs="Arial"/>
                <w:noProof/>
                <w:sz w:val="24"/>
                <w:szCs w:val="20"/>
              </w:rPr>
            </w:pPr>
            <w:r>
              <w:rPr>
                <w:rFonts w:ascii="Times New Roman" w:hAnsi="Times New Roman"/>
                <w:noProof/>
                <w:sz w:val="24"/>
              </w:rPr>
              <w:t xml:space="preserve">Līdz ar to nacionālajos kontos akcijas un cits pašu kapitāls jānovērtē pēc tirgus vērtības, kas atspoguļo cerības uz peļņu gan turētāja, gan emitenta nacionālo kontu bilancē, turpretim paša emitenta bilancē tos parasti reģistrē atbilstoši vēsturiskajai vērtībai (vai uzskaites vērtībai). Ja akcijas ir iekļautas tirgus sarakstā, to vērtība ir novērotā cena. Ja pašu kapitālu neveido akcijas vai tas veidots no akcijām, kuras nav tirgojamas tirgū, kā tas bieži ir publisku sabiedrību gadījumā, nacionālajos kontos jāievieš tirgus aizstājējvērtība (sk. EKS 2010 7.73. punktu un </w:t>
            </w:r>
            <w:r>
              <w:rPr>
                <w:rFonts w:ascii="Times New Roman" w:hAnsi="Times New Roman"/>
                <w:noProof/>
                <w:sz w:val="24"/>
              </w:rPr>
              <w:lastRenderedPageBreak/>
              <w:t>turpmākos punktus).</w:t>
            </w:r>
          </w:p>
          <w:p w:rsidR="00523A0A" w:rsidRPr="001973D0" w:rsidRDefault="00523A0A" w:rsidP="00523A0A">
            <w:pPr>
              <w:jc w:val="both"/>
              <w:rPr>
                <w:rFonts w:ascii="Times New Roman" w:eastAsia="Arial" w:hAnsi="Times New Roman" w:cs="Arial"/>
                <w:noProof/>
                <w:sz w:val="24"/>
                <w:szCs w:val="15"/>
              </w:rPr>
            </w:pPr>
          </w:p>
          <w:p w:rsidR="00523A0A" w:rsidRPr="001973D0" w:rsidRDefault="00523A0A" w:rsidP="00523A0A">
            <w:pPr>
              <w:numPr>
                <w:ilvl w:val="0"/>
                <w:numId w:val="77"/>
              </w:numPr>
              <w:tabs>
                <w:tab w:val="left" w:pos="1064"/>
              </w:tabs>
              <w:ind w:left="709" w:hanging="709"/>
              <w:jc w:val="both"/>
              <w:rPr>
                <w:rFonts w:ascii="Times New Roman" w:hAnsi="Times New Roman"/>
                <w:b/>
                <w:noProof/>
                <w:sz w:val="24"/>
              </w:rPr>
            </w:pPr>
            <w:r>
              <w:rPr>
                <w:rFonts w:ascii="Times New Roman" w:hAnsi="Times New Roman"/>
                <w:b/>
                <w:noProof/>
                <w:sz w:val="24"/>
              </w:rPr>
              <w:t>Kapitāla pārvedumi (D.9)</w:t>
            </w:r>
          </w:p>
          <w:p w:rsidR="00523A0A" w:rsidRPr="001973D0" w:rsidRDefault="00523A0A" w:rsidP="00523A0A">
            <w:pPr>
              <w:jc w:val="both"/>
              <w:rPr>
                <w:rFonts w:ascii="Times New Roman" w:hAnsi="Times New Roman"/>
                <w:noProof/>
                <w:sz w:val="24"/>
              </w:rPr>
            </w:pPr>
            <w:r>
              <w:rPr>
                <w:rFonts w:ascii="Times New Roman" w:hAnsi="Times New Roman"/>
                <w:noProof/>
                <w:sz w:val="24"/>
              </w:rPr>
              <w:t>Kapitāla pārveduma jēdziens ir izklāstīts EKS 2010 4. nodaļā “Sadales darījumi”. Kapitāla pārvedums nozīmē brīvprātīgu bagātības nodošanu starp divām vienībām (“kaut kas pret neko”). Kapitāla pārvedumiem ir trīs galvenās pazīmes (sk. SNA 2008 8.10. punktu):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numPr>
                <w:ilvl w:val="1"/>
                <w:numId w:val="77"/>
              </w:numPr>
              <w:tabs>
                <w:tab w:val="left" w:pos="2322"/>
              </w:tabs>
              <w:ind w:left="1134" w:hanging="425"/>
              <w:jc w:val="both"/>
              <w:rPr>
                <w:rFonts w:ascii="Times New Roman" w:hAnsi="Times New Roman"/>
                <w:noProof/>
                <w:sz w:val="24"/>
              </w:rPr>
            </w:pPr>
            <w:r>
              <w:rPr>
                <w:rFonts w:ascii="Times New Roman" w:hAnsi="Times New Roman"/>
                <w:noProof/>
                <w:sz w:val="24"/>
              </w:rPr>
              <w:t>Tie ir darījumi, kurus veic saskaņā ar divu vienību savstarpēju vienošanos (atšķirībā no citām aktīvu izmaiņām).</w:t>
            </w:r>
          </w:p>
          <w:p w:rsidR="00523A0A" w:rsidRPr="001973D0" w:rsidRDefault="00523A0A" w:rsidP="00523A0A">
            <w:pPr>
              <w:numPr>
                <w:ilvl w:val="1"/>
                <w:numId w:val="77"/>
              </w:numPr>
              <w:tabs>
                <w:tab w:val="left" w:pos="2322"/>
              </w:tabs>
              <w:ind w:left="1134" w:hanging="425"/>
              <w:jc w:val="both"/>
              <w:rPr>
                <w:rFonts w:ascii="Times New Roman" w:hAnsi="Times New Roman"/>
                <w:noProof/>
                <w:sz w:val="24"/>
              </w:rPr>
            </w:pPr>
            <w:r>
              <w:rPr>
                <w:rFonts w:ascii="Times New Roman" w:hAnsi="Times New Roman"/>
                <w:noProof/>
                <w:sz w:val="24"/>
              </w:rPr>
              <w:t>Pretī nesaņem nekādu ekvivalentu.</w:t>
            </w:r>
          </w:p>
          <w:p w:rsidR="00523A0A" w:rsidRPr="001973D0" w:rsidRDefault="00523A0A" w:rsidP="00523A0A">
            <w:pPr>
              <w:numPr>
                <w:ilvl w:val="1"/>
                <w:numId w:val="77"/>
              </w:numPr>
              <w:tabs>
                <w:tab w:val="left" w:pos="2322"/>
              </w:tabs>
              <w:ind w:left="1134" w:hanging="425"/>
              <w:jc w:val="both"/>
              <w:rPr>
                <w:rFonts w:ascii="Times New Roman" w:hAnsi="Times New Roman"/>
                <w:noProof/>
                <w:sz w:val="24"/>
              </w:rPr>
            </w:pPr>
            <w:r>
              <w:rPr>
                <w:rFonts w:ascii="Times New Roman" w:hAnsi="Times New Roman"/>
                <w:noProof/>
                <w:sz w:val="24"/>
              </w:rPr>
              <w:t>Tie ir saistīti ar proporcionālām izmaiņām īpašumtiesībās uz aktīviem (vai ar saistību dzēšanu, ko veic kreditors) starp abām pusēm vai ar aktīvu iegādi vai realizāciju.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hAnsi="Times New Roman"/>
                <w:noProof/>
                <w:sz w:val="24"/>
              </w:rPr>
            </w:pPr>
            <w:r>
              <w:rPr>
                <w:rFonts w:ascii="Times New Roman" w:hAnsi="Times New Roman"/>
                <w:noProof/>
                <w:sz w:val="24"/>
              </w:rPr>
              <w:t>Pirmās divas īpašības ir kopīgas visiem pārvedumiem (kārtējiem pārvedumiem un kapitāla pārvedumiem). Turklāt visus pārvedumus var veikt naudā vai natūrā.</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jc w:val="both"/>
              <w:rPr>
                <w:rFonts w:ascii="Times New Roman" w:hAnsi="Times New Roman"/>
                <w:noProof/>
                <w:sz w:val="24"/>
              </w:rPr>
            </w:pPr>
            <w:r>
              <w:rPr>
                <w:rFonts w:ascii="Times New Roman" w:hAnsi="Times New Roman"/>
                <w:noProof/>
                <w:sz w:val="24"/>
              </w:rPr>
              <w:t>Vēl viena kapitāla pārvedumu pazīme ir tā, ka tie mēdz būt apjomīgi un reti. Izšķir divu veidu kapitāla pārvedumus (EKS 2010 4.146. punkts).</w:t>
            </w:r>
          </w:p>
          <w:p w:rsidR="00523A0A" w:rsidRPr="001973D0" w:rsidRDefault="00523A0A" w:rsidP="00523A0A">
            <w:pPr>
              <w:numPr>
                <w:ilvl w:val="0"/>
                <w:numId w:val="81"/>
              </w:numPr>
              <w:tabs>
                <w:tab w:val="left" w:pos="709"/>
              </w:tabs>
              <w:ind w:left="0" w:firstLine="0"/>
              <w:jc w:val="both"/>
              <w:rPr>
                <w:rFonts w:ascii="Times New Roman" w:hAnsi="Times New Roman"/>
                <w:noProof/>
                <w:sz w:val="24"/>
              </w:rPr>
            </w:pPr>
            <w:r>
              <w:rPr>
                <w:rFonts w:ascii="Times New Roman" w:hAnsi="Times New Roman"/>
                <w:noProof/>
                <w:sz w:val="24"/>
              </w:rPr>
              <w:t>Kapitāla pārvedumi naudā – tie ietver naudas pārvedumus ar aktīvu īpašumtiesību maiņu. Saņēmējam bieži ir pienākums izmantot skaidru naudu, lai iegādātos aktīvus, un tas ir nosacījums pārveduma veikšanai (piemēram, ieguldījumu dotācija), sk. EKS 2010 4.146. punktu.</w:t>
            </w:r>
          </w:p>
          <w:p w:rsidR="00523A0A" w:rsidRPr="001973D0" w:rsidRDefault="00523A0A" w:rsidP="00523A0A">
            <w:pPr>
              <w:tabs>
                <w:tab w:val="left" w:pos="709"/>
              </w:tabs>
              <w:jc w:val="both"/>
              <w:rPr>
                <w:rFonts w:ascii="Times New Roman" w:eastAsia="Arial" w:hAnsi="Times New Roman" w:cs="Arial"/>
                <w:noProof/>
                <w:sz w:val="24"/>
                <w:szCs w:val="19"/>
              </w:rPr>
            </w:pPr>
          </w:p>
          <w:p w:rsidR="00523A0A" w:rsidRPr="001973D0" w:rsidRDefault="00523A0A" w:rsidP="00523A0A">
            <w:pPr>
              <w:numPr>
                <w:ilvl w:val="0"/>
                <w:numId w:val="81"/>
              </w:numPr>
              <w:tabs>
                <w:tab w:val="left" w:pos="709"/>
                <w:tab w:val="left" w:pos="1100"/>
              </w:tabs>
              <w:ind w:left="0" w:firstLine="0"/>
              <w:jc w:val="both"/>
              <w:rPr>
                <w:rFonts w:ascii="Times New Roman" w:hAnsi="Times New Roman"/>
                <w:noProof/>
                <w:sz w:val="24"/>
              </w:rPr>
            </w:pPr>
            <w:r>
              <w:rPr>
                <w:rFonts w:ascii="Times New Roman" w:hAnsi="Times New Roman"/>
                <w:noProof/>
                <w:sz w:val="24"/>
              </w:rPr>
              <w:t>Kapitāla pārvedumi natūrā – citi aktīvu īpašumtiesību nodošanas gadījumi, izņemot naudu, kā arī parāda dzēšana vai uzņemšanās bez ekvivalenta saņemšanas.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jc w:val="both"/>
              <w:rPr>
                <w:rFonts w:ascii="Times New Roman" w:hAnsi="Times New Roman"/>
                <w:noProof/>
                <w:sz w:val="24"/>
              </w:rPr>
            </w:pPr>
            <w:r>
              <w:rPr>
                <w:rFonts w:ascii="Times New Roman" w:hAnsi="Times New Roman"/>
                <w:noProof/>
                <w:sz w:val="24"/>
              </w:rPr>
              <w:t>Kapitāla pārvedumi parasti ir valdības darījumi; valsts politikas mērķu dēļ valdībai var būt vajadzība veikt pārvedumus sabiedrībām bez ekvivalenta saņemšanas. Kapitāla pārveduma paredzamā ietekme uz pašu kapitāla vērtību (piemēram, tirgus reakcijas dēļ) nav pamatots iemesls, lai šo darījumu uzskatītu par finanšu darījumu; arī šajā gadījumā nav skaidri zināms ne tas, kāda būs ietekme, ne arī tās apmērs.</w:t>
            </w:r>
          </w:p>
          <w:p w:rsidR="00523A0A" w:rsidRPr="001973D0" w:rsidRDefault="00523A0A" w:rsidP="00523A0A">
            <w:pPr>
              <w:jc w:val="both"/>
              <w:rPr>
                <w:rFonts w:ascii="Times New Roman" w:eastAsia="Arial" w:hAnsi="Times New Roman" w:cs="Arial"/>
                <w:noProof/>
                <w:sz w:val="24"/>
              </w:rPr>
            </w:pPr>
          </w:p>
          <w:p w:rsidR="00523A0A" w:rsidRDefault="00523A0A" w:rsidP="00523A0A">
            <w:pPr>
              <w:jc w:val="both"/>
              <w:rPr>
                <w:rFonts w:ascii="Times New Roman" w:eastAsia="Arial" w:hAnsi="Times New Roman" w:cs="Arial"/>
                <w:noProof/>
                <w:sz w:val="24"/>
                <w:szCs w:val="20"/>
              </w:rPr>
            </w:pPr>
            <w:r>
              <w:rPr>
                <w:rFonts w:ascii="Times New Roman" w:hAnsi="Times New Roman"/>
                <w:noProof/>
                <w:sz w:val="24"/>
              </w:rPr>
              <w:t>Tāpēc atšķirībā no finanšu darījumiem kapitāla pārvedumi ir ekvivalentā plūsma “vienvirziena” izmaiņām aktīvos vai saistībās, un tas nozīmē, ka saņēmējs ir kļuvis bagātāks, savukārt otra puse – nabadzīgāka. To izsaka ar neto vērtības pieaugumu pirmās puses bilancē un neto vērtības samazinājumu otras puses bilancē.</w:t>
            </w:r>
          </w:p>
        </w:tc>
      </w:tr>
    </w:tbl>
    <w:p w:rsidR="00523A0A" w:rsidRPr="001973D0" w:rsidRDefault="00523A0A" w:rsidP="00523A0A">
      <w:pPr>
        <w:jc w:val="both"/>
        <w:rPr>
          <w:rFonts w:ascii="Times New Roman" w:eastAsia="Arial" w:hAnsi="Times New Roman" w:cs="Arial"/>
          <w:noProof/>
          <w:sz w:val="24"/>
          <w:szCs w:val="15"/>
        </w:rPr>
      </w:pPr>
    </w:p>
    <w:p w:rsidR="00523A0A" w:rsidRPr="001973D0" w:rsidRDefault="00523A0A" w:rsidP="00523A0A">
      <w:pPr>
        <w:jc w:val="both"/>
        <w:rPr>
          <w:rFonts w:ascii="Times New Roman" w:eastAsia="Arial" w:hAnsi="Times New Roman" w:cs="Arial"/>
          <w:noProof/>
          <w:sz w:val="24"/>
          <w:szCs w:val="20"/>
        </w:rPr>
        <w:sectPr w:rsidR="00523A0A" w:rsidRPr="001973D0" w:rsidSect="00523A0A">
          <w:headerReference w:type="default" r:id="rId57"/>
          <w:footerReference w:type="default" r:id="rId58"/>
          <w:headerReference w:type="first" r:id="rId59"/>
          <w:footerReference w:type="first" r:id="rId60"/>
          <w:pgSz w:w="11910" w:h="16840"/>
          <w:pgMar w:top="1134" w:right="1134" w:bottom="1134" w:left="1701" w:header="567" w:footer="567" w:gutter="0"/>
          <w:cols w:space="720"/>
          <w:titlePg/>
        </w:sectPr>
      </w:pPr>
    </w:p>
    <w:p w:rsidR="00523A0A" w:rsidRPr="001973D0" w:rsidRDefault="00523A0A" w:rsidP="00523A0A">
      <w:pPr>
        <w:pStyle w:val="Heading3"/>
        <w:ind w:left="0"/>
        <w:jc w:val="both"/>
        <w:rPr>
          <w:rFonts w:ascii="Times New Roman" w:hAnsi="Times New Roman"/>
          <w:noProof/>
          <w:sz w:val="24"/>
        </w:rPr>
      </w:pPr>
      <w:bookmarkStart w:id="203" w:name="_Toc471135888"/>
      <w:r>
        <w:rPr>
          <w:rFonts w:ascii="Times New Roman" w:hAnsi="Times New Roman"/>
          <w:noProof/>
          <w:sz w:val="24"/>
        </w:rPr>
        <w:lastRenderedPageBreak/>
        <w:t>LLēmuma pieņemšanas shēma attiecībā uz kapitāla iepludināšanu</w:t>
      </w:r>
      <w:bookmarkEnd w:id="203"/>
    </w:p>
    <w:p w:rsidR="00523A0A" w:rsidRPr="001973D0" w:rsidRDefault="00523A0A" w:rsidP="00523A0A">
      <w:pPr>
        <w:pStyle w:val="Heading4"/>
        <w:ind w:left="0" w:firstLine="0"/>
        <w:jc w:val="both"/>
        <w:rPr>
          <w:rFonts w:ascii="Times New Roman" w:hAnsi="Times New Roman"/>
          <w:noProof/>
          <w:u w:val="none"/>
        </w:rPr>
      </w:pPr>
      <w:r>
        <w:rPr>
          <w:rFonts w:ascii="Times New Roman" w:hAnsi="Times New Roman"/>
          <w:noProof/>
          <w:u w:val="none"/>
        </w:rPr>
        <w:t>(izņemot ieguldījumu dotācijas (D.92))</w:t>
      </w:r>
    </w:p>
    <w:p w:rsidR="00523A0A" w:rsidRPr="001973D0" w:rsidRDefault="00523A0A" w:rsidP="00523A0A">
      <w:pPr>
        <w:jc w:val="both"/>
        <w:rPr>
          <w:rFonts w:ascii="Times New Roman" w:eastAsia="Arial" w:hAnsi="Times New Roman" w:cs="Arial"/>
          <w:noProof/>
          <w:sz w:val="24"/>
          <w:szCs w:val="20"/>
        </w:rPr>
      </w:pPr>
    </w:p>
    <w:p w:rsidR="00523A0A" w:rsidRDefault="008F11FC" w:rsidP="008F11FC">
      <w:pPr>
        <w:pStyle w:val="Heading5"/>
        <w:jc w:val="center"/>
        <w:rPr>
          <w:rFonts w:ascii="Times New Roman" w:hAnsi="Times New Roman"/>
          <w:noProof/>
        </w:rPr>
      </w:pPr>
      <w:r w:rsidRPr="008F11FC">
        <w:rPr>
          <w:rFonts w:ascii="Times New Roman" w:hAnsi="Times New Roman"/>
          <w:noProof/>
          <w:lang w:bidi="ar-SA"/>
        </w:rPr>
        <w:drawing>
          <wp:inline distT="0" distB="0" distL="0" distR="0">
            <wp:extent cx="8869562" cy="5253808"/>
            <wp:effectExtent l="0" t="0" r="8255" b="444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82388" cy="5261406"/>
                    </a:xfrm>
                    <a:prstGeom prst="rect">
                      <a:avLst/>
                    </a:prstGeom>
                    <a:noFill/>
                    <a:ln>
                      <a:noFill/>
                    </a:ln>
                  </pic:spPr>
                </pic:pic>
              </a:graphicData>
            </a:graphic>
          </wp:inline>
        </w:drawing>
      </w:r>
    </w:p>
    <w:p w:rsidR="00523A0A" w:rsidRPr="00C460C7" w:rsidRDefault="00523A0A" w:rsidP="00523A0A">
      <w:pPr>
        <w:jc w:val="both"/>
        <w:rPr>
          <w:rFonts w:ascii="Times New Roman" w:eastAsia="Arial" w:hAnsi="Times New Roman"/>
          <w:noProof/>
          <w:sz w:val="24"/>
          <w:szCs w:val="24"/>
        </w:rPr>
        <w:sectPr w:rsidR="00523A0A" w:rsidRPr="00C460C7" w:rsidSect="00282E8B">
          <w:headerReference w:type="default" r:id="rId62"/>
          <w:footerReference w:type="default" r:id="rId63"/>
          <w:headerReference w:type="first" r:id="rId64"/>
          <w:pgSz w:w="16840" w:h="11910" w:orient="landscape"/>
          <w:pgMar w:top="1134" w:right="1134" w:bottom="1134" w:left="1701" w:header="567" w:footer="567" w:gutter="0"/>
          <w:cols w:space="720"/>
          <w:docGrid w:linePitch="299"/>
        </w:sectPr>
      </w:pPr>
    </w:p>
    <w:p w:rsidR="00523A0A" w:rsidRDefault="00523A0A" w:rsidP="008F11FC">
      <w:pPr>
        <w:pStyle w:val="Heading2"/>
        <w:rPr>
          <w:noProof/>
        </w:rPr>
      </w:pPr>
      <w:bookmarkStart w:id="204" w:name="III.3_Capital_injections_into_public_qua"/>
      <w:bookmarkStart w:id="205" w:name="_bookmark23"/>
      <w:bookmarkStart w:id="206" w:name="_Toc471135889"/>
      <w:bookmarkEnd w:id="204"/>
      <w:bookmarkEnd w:id="205"/>
      <w:r>
        <w:rPr>
          <w:noProof/>
        </w:rPr>
        <w:lastRenderedPageBreak/>
        <w:t xml:space="preserve">III.3. Kapitāla </w:t>
      </w:r>
      <w:r w:rsidRPr="008F11FC">
        <w:t>iepludināšana</w:t>
      </w:r>
      <w:r>
        <w:rPr>
          <w:noProof/>
        </w:rPr>
        <w:t xml:space="preserve"> publiskās kvazisabiedrībās</w:t>
      </w:r>
      <w:bookmarkEnd w:id="206"/>
    </w:p>
    <w:p w:rsidR="00523A0A" w:rsidRPr="001973D0" w:rsidRDefault="00523A0A" w:rsidP="00523A0A">
      <w:pPr>
        <w:pStyle w:val="Heading2"/>
        <w:tabs>
          <w:tab w:val="left" w:pos="1662"/>
        </w:tabs>
        <w:jc w:val="both"/>
        <w:rPr>
          <w:noProof/>
          <w:sz w:val="24"/>
        </w:rPr>
      </w:pPr>
    </w:p>
    <w:p w:rsidR="00523A0A" w:rsidRDefault="00523A0A" w:rsidP="00523A0A">
      <w:pPr>
        <w:pStyle w:val="Heading4"/>
        <w:tabs>
          <w:tab w:val="left" w:pos="1652"/>
        </w:tabs>
        <w:ind w:left="0" w:firstLine="0"/>
        <w:jc w:val="both"/>
        <w:rPr>
          <w:rFonts w:ascii="Times New Roman" w:hAnsi="Times New Roman"/>
          <w:noProof/>
          <w:u w:val="thick" w:color="000000"/>
        </w:rPr>
      </w:pPr>
      <w:bookmarkStart w:id="207" w:name="III.3.1_Background"/>
      <w:bookmarkEnd w:id="207"/>
      <w:r>
        <w:rPr>
          <w:rFonts w:ascii="Times New Roman" w:hAnsi="Times New Roman"/>
          <w:noProof/>
          <w:u w:val="none"/>
        </w:rPr>
        <w:t>III.3.1. </w:t>
      </w:r>
      <w:r>
        <w:rPr>
          <w:rFonts w:ascii="Times New Roman" w:hAnsi="Times New Roman"/>
          <w:noProof/>
          <w:u w:val="thick" w:color="000000"/>
        </w:rPr>
        <w:t>Vispārēja informācija</w:t>
      </w:r>
    </w:p>
    <w:p w:rsidR="00523A0A" w:rsidRPr="001973D0" w:rsidRDefault="00523A0A" w:rsidP="00523A0A">
      <w:pPr>
        <w:pStyle w:val="Heading4"/>
        <w:tabs>
          <w:tab w:val="left" w:pos="1652"/>
        </w:tabs>
        <w:ind w:left="0" w:firstLine="0"/>
        <w:jc w:val="both"/>
        <w:rPr>
          <w:rFonts w:ascii="Times New Roman" w:hAnsi="Times New Roman"/>
          <w:noProof/>
          <w:u w:val="thick" w:color="000000"/>
        </w:rPr>
      </w:pPr>
    </w:p>
    <w:p w:rsidR="00523A0A" w:rsidRPr="001973D0"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Viens no nacionālo kontu pamatelementiem ir institucionālo vienību jēdziens un šo vienību apvienošana institucionālajos sektoros. Tā kā sistēmas mērķis ekonomiskās analīzes pamatošanai ir aprakstīt saimnieciskās darbības subjektu mijiedarbību, tad galvenā pazīme, saskaņā ar kuru saimnieciskās darbības subjektu var atzīt par institucionālu vienību, ir tā spēja pieņemt autonomus ekonomiskos lēmumus attiecībā uz tā galvenās funkcijas īstenošanu, nevis kādi citi apsvērumi, piemēram, juridiskais statuss.</w:t>
      </w:r>
    </w:p>
    <w:p w:rsidR="00523A0A" w:rsidRPr="001973D0"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Publisku kvazisabiedrību jēdziens ir paredzēts ar mērķi nošķirt publiskus subjektus no to valdības īpašniekiem, jo tās ir iesaistītas tirgus darbībā tādā veidā, kas atbilst tirgus ražotāja kritērijiem, uzskatot, ka tām ir lēmumu pieņemšanas autonomija. Pat ja tām nav juridiskā statusa, tās tomēr ir pietiekami neatkarīgas un rīkojas atšķirīgi no to īpašniekiem un līdzīgi sabiedrībām. Proti, tām var piederēt aktīvi, tās var pieņemt ekonomiskus lēmumus, slēgt līgumus un uzņemties saistības (EKS 2010 2.12. punkts). Publiskām kvazisabiedrībām ir jāuztur pilns kontu komplekts, vai vajadzības gadījumā jābūt iespējai apkopot šādu pilnu komplektu, kas būtu jēgpilns no ekonomiskā un juridiskā viedokļa; pretējā gadījumā no uzskaites viedokļa šādas sabiedrības visticamāk nebūtu iespējams atšķirt no to īpašniekiem</w:t>
      </w:r>
      <w:r w:rsidR="005A7579">
        <w:rPr>
          <w:rFonts w:ascii="Times New Roman" w:hAnsi="Times New Roman"/>
          <w:noProof/>
          <w:sz w:val="24"/>
        </w:rPr>
        <w:t xml:space="preserve"> </w:t>
      </w:r>
      <w:r>
        <w:rPr>
          <w:rFonts w:ascii="Times New Roman" w:hAnsi="Times New Roman"/>
          <w:noProof/>
          <w:sz w:val="24"/>
        </w:rPr>
        <w:t>(EKS 2010 2.13. punkta f) apakšpunkts). Lai varētu uzskatīt, ka vienībai ir pilnīgs kontu komplekts, tai jāveic uzskaite, kas aptver visus tās ekonomiskos un finanšu darījumus, kurus tā veikusi uzskaites periodā, kā arī jāveido aktīvu un saistību bilance.</w:t>
      </w:r>
    </w:p>
    <w:p w:rsidR="00523A0A" w:rsidRPr="001973D0"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Tā kā publiskas kvazisabiedrības nacionālajos kontos ir atzītas kā institucionālas vienības un tirgus ražotājas (t. i., tās piemēro ekonomiski nozīmīgas cenas), tās būtu jātraktē tāpat kā jebkura cita sabiedrība, kā noteikts EKS 2010 20.193. punktā. Šīs nodaļas mērķis ir sniegt īsus, taču vispusīgus norādījumus par to, kādos gadījumos valdības iepludinātais kapitāls vai citi pārvedum</w:t>
      </w:r>
      <w:r w:rsidR="0006414A">
        <w:rPr>
          <w:rFonts w:ascii="Times New Roman" w:hAnsi="Times New Roman"/>
          <w:noProof/>
          <w:sz w:val="24"/>
        </w:rPr>
        <w:t>i to kvazisabiedrībām jāieraksta</w:t>
      </w:r>
      <w:r>
        <w:rPr>
          <w:rFonts w:ascii="Times New Roman" w:hAnsi="Times New Roman"/>
          <w:noProof/>
          <w:sz w:val="24"/>
        </w:rPr>
        <w:t xml:space="preserve"> kā finanšu vai nefinanšu darījumi.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652"/>
        </w:tabs>
        <w:ind w:left="0" w:firstLine="0"/>
        <w:jc w:val="both"/>
        <w:rPr>
          <w:rFonts w:ascii="Times New Roman" w:hAnsi="Times New Roman"/>
          <w:noProof/>
          <w:u w:val="thick" w:color="000000"/>
        </w:rPr>
      </w:pPr>
      <w:bookmarkStart w:id="208" w:name="III.3.2_Treatment_in_national_accounts"/>
      <w:bookmarkEnd w:id="208"/>
      <w:r>
        <w:rPr>
          <w:rFonts w:ascii="Times New Roman" w:hAnsi="Times New Roman"/>
          <w:noProof/>
          <w:u w:val="none"/>
        </w:rPr>
        <w:t>III.3.2. </w:t>
      </w:r>
      <w:r>
        <w:rPr>
          <w:rFonts w:ascii="Times New Roman" w:hAnsi="Times New Roman"/>
          <w:noProof/>
        </w:rPr>
        <w:t>Traktējums nacionālajos kontos</w:t>
      </w:r>
    </w:p>
    <w:p w:rsidR="00523A0A" w:rsidRPr="001973D0" w:rsidRDefault="00523A0A" w:rsidP="00523A0A">
      <w:pPr>
        <w:pStyle w:val="Heading4"/>
        <w:tabs>
          <w:tab w:val="left" w:pos="1652"/>
        </w:tabs>
        <w:ind w:left="0" w:firstLine="0"/>
        <w:jc w:val="both"/>
        <w:rPr>
          <w:rFonts w:ascii="Times New Roman" w:hAnsi="Times New Roman"/>
          <w:noProof/>
          <w:u w:val="thick" w:color="000000"/>
        </w:rPr>
      </w:pPr>
    </w:p>
    <w:p w:rsidR="00523A0A" w:rsidRPr="001973D0" w:rsidRDefault="0006414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Ierakstot</w:t>
      </w:r>
      <w:r w:rsidR="00523A0A">
        <w:rPr>
          <w:rFonts w:ascii="Times New Roman" w:hAnsi="Times New Roman"/>
          <w:noProof/>
          <w:sz w:val="24"/>
        </w:rPr>
        <w:t xml:space="preserve"> nacionālajos kontos valdības pārvedumu publiskajām kvazisabiedrībām, kopumā jāievēro tie paši noteikumi, ko piemēro attiecībā uz citām publiskajām sabiedrībām (sk. III.2. nodaļu “Kapitāla iepludināšana publiskās sabiedrībās”), ja vien EKS 2010 nav skaidri noteikts citādi. Kapitāla iepludināšanas tests, kas noteikts šīs rokasgrāmatas III.2.2. apakšiedaļā, jāpiemēro atkarībā no tā, kā kvazisabiedrības strādā – ar zaudējumiem vai ar peļņu.</w:t>
      </w:r>
    </w:p>
    <w:p w:rsidR="00523A0A"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Jāievēro turpmāk minētie darbības norādījumi.</w:t>
      </w:r>
    </w:p>
    <w:p w:rsidR="00523A0A" w:rsidRPr="001973D0" w:rsidRDefault="00523A0A" w:rsidP="00523A0A">
      <w:pPr>
        <w:pStyle w:val="BodyText"/>
        <w:tabs>
          <w:tab w:val="left" w:pos="1302"/>
        </w:tabs>
        <w:spacing w:before="0"/>
        <w:ind w:left="0" w:firstLine="0"/>
        <w:rPr>
          <w:rFonts w:ascii="Times New Roman" w:hAnsi="Times New Roman"/>
          <w:noProof/>
          <w:sz w:val="24"/>
        </w:rPr>
      </w:pPr>
    </w:p>
    <w:p w:rsidR="00523A0A" w:rsidRPr="001973D0" w:rsidRDefault="00523A0A" w:rsidP="00523A0A">
      <w:pPr>
        <w:pStyle w:val="BodyText"/>
        <w:numPr>
          <w:ilvl w:val="1"/>
          <w:numId w:val="76"/>
        </w:numPr>
        <w:tabs>
          <w:tab w:val="left" w:pos="1662"/>
        </w:tabs>
        <w:spacing w:before="0"/>
        <w:ind w:left="1134" w:hanging="425"/>
        <w:jc w:val="both"/>
        <w:rPr>
          <w:rFonts w:ascii="Times New Roman" w:hAnsi="Times New Roman"/>
          <w:noProof/>
          <w:sz w:val="24"/>
        </w:rPr>
      </w:pPr>
      <w:r>
        <w:rPr>
          <w:rFonts w:ascii="Times New Roman" w:hAnsi="Times New Roman"/>
          <w:noProof/>
          <w:sz w:val="24"/>
        </w:rPr>
        <w:t xml:space="preserve">Ja publiska kvazisabiedrība gūst peļņu un plāno arī turpmāk gūt pietiekamu peļņu, valdības veikti kapitāla pārvedumi, piemēram, aktīvu iegādes vai saistību </w:t>
      </w:r>
      <w:r w:rsidR="0006414A">
        <w:rPr>
          <w:rFonts w:ascii="Times New Roman" w:hAnsi="Times New Roman"/>
          <w:noProof/>
          <w:sz w:val="24"/>
        </w:rPr>
        <w:t>samazināšanas nolūkā, jāieraksta</w:t>
      </w:r>
      <w:r>
        <w:rPr>
          <w:rFonts w:ascii="Times New Roman" w:hAnsi="Times New Roman"/>
          <w:noProof/>
          <w:sz w:val="24"/>
        </w:rPr>
        <w:t xml:space="preserve"> kā finanšu darījumi, cits pašu kapitāls (F.519) (EKS 2010 5.154. punkta f) apakšpunkts), be</w:t>
      </w:r>
      <w:r w:rsidR="0006414A">
        <w:rPr>
          <w:rFonts w:ascii="Times New Roman" w:hAnsi="Times New Roman"/>
          <w:noProof/>
          <w:sz w:val="24"/>
        </w:rPr>
        <w:t>t citos gadījumos tie jāieraksta</w:t>
      </w:r>
      <w:r>
        <w:rPr>
          <w:rFonts w:ascii="Times New Roman" w:hAnsi="Times New Roman"/>
          <w:noProof/>
          <w:sz w:val="24"/>
        </w:rPr>
        <w:t xml:space="preserve"> kā kapitāla pārvedums.</w:t>
      </w:r>
    </w:p>
    <w:p w:rsidR="00523A0A" w:rsidRPr="00C80961" w:rsidRDefault="00523A0A" w:rsidP="00523A0A">
      <w:pPr>
        <w:pStyle w:val="BodyText"/>
        <w:numPr>
          <w:ilvl w:val="1"/>
          <w:numId w:val="76"/>
        </w:numPr>
        <w:tabs>
          <w:tab w:val="left" w:pos="1662"/>
        </w:tabs>
        <w:spacing w:before="0"/>
        <w:ind w:left="1134" w:hanging="425"/>
        <w:jc w:val="both"/>
        <w:rPr>
          <w:rFonts w:ascii="Times New Roman" w:hAnsi="Times New Roman"/>
          <w:noProof/>
          <w:sz w:val="24"/>
        </w:rPr>
      </w:pPr>
      <w:r>
        <w:rPr>
          <w:rFonts w:ascii="Times New Roman" w:hAnsi="Times New Roman"/>
          <w:noProof/>
          <w:sz w:val="24"/>
        </w:rPr>
        <w:t>Ja valdības vai Eiropas apzinātas ekonomiskās un sociālās politikas dēļ publiska kvazisabiedrība saskaras ar pastāvīgu darbības deficītu, attiecībā uz galalietotājiem piemērojot nepietiekami augstu cenu, regulāri valdības pārvedumi ir j</w:t>
      </w:r>
      <w:r w:rsidR="0006414A">
        <w:rPr>
          <w:rFonts w:ascii="Times New Roman" w:hAnsi="Times New Roman"/>
          <w:noProof/>
          <w:sz w:val="24"/>
        </w:rPr>
        <w:t>āieraksta</w:t>
      </w:r>
      <w:r>
        <w:rPr>
          <w:rFonts w:ascii="Times New Roman" w:hAnsi="Times New Roman"/>
          <w:noProof/>
          <w:sz w:val="24"/>
        </w:rPr>
        <w:t xml:space="preserve"> kā citas produktu subsīdijas (D.319) (EKS 2010 4.35. punkta c) apakšpunkts un </w:t>
      </w:r>
      <w:r>
        <w:rPr>
          <w:rFonts w:ascii="Times New Roman" w:hAnsi="Times New Roman"/>
          <w:noProof/>
          <w:sz w:val="24"/>
        </w:rPr>
        <w:lastRenderedPageBreak/>
        <w:t>EKS 2010 4.61. punkts).</w:t>
      </w:r>
    </w:p>
    <w:p w:rsidR="00523A0A" w:rsidRPr="001973D0" w:rsidRDefault="00523A0A" w:rsidP="00523A0A">
      <w:pPr>
        <w:pStyle w:val="BodyText"/>
        <w:numPr>
          <w:ilvl w:val="1"/>
          <w:numId w:val="76"/>
        </w:numPr>
        <w:tabs>
          <w:tab w:val="left" w:pos="1662"/>
        </w:tabs>
        <w:spacing w:before="0"/>
        <w:ind w:left="1134" w:hanging="425"/>
        <w:jc w:val="both"/>
        <w:rPr>
          <w:rFonts w:ascii="Times New Roman" w:hAnsi="Times New Roman"/>
          <w:noProof/>
          <w:sz w:val="24"/>
        </w:rPr>
      </w:pPr>
      <w:r>
        <w:rPr>
          <w:rFonts w:ascii="Times New Roman" w:hAnsi="Times New Roman"/>
          <w:noProof/>
          <w:sz w:val="24"/>
        </w:rPr>
        <w:t>Ja publiska kvazisabiedrība saņem pārvedumus no valdības, lai segtu uzkrātos zaudējumus vai ārkārtas zaudējumus, kuru iemeslus tā nespēj kontrol</w:t>
      </w:r>
      <w:r w:rsidR="0006414A">
        <w:rPr>
          <w:rFonts w:ascii="Times New Roman" w:hAnsi="Times New Roman"/>
          <w:noProof/>
          <w:sz w:val="24"/>
        </w:rPr>
        <w:t>ēt, tos ieraksta</w:t>
      </w:r>
      <w:r>
        <w:rPr>
          <w:rFonts w:ascii="Times New Roman" w:hAnsi="Times New Roman"/>
          <w:noProof/>
          <w:sz w:val="24"/>
        </w:rPr>
        <w:t xml:space="preserve"> kā citus kapitāla pārvedumus (D.99) (EKS 2010 4.165. punkta b) apakšpunkts). Tomēr jebkuru iepludinātā kapitāla daļu, kas pārsniedz uz</w:t>
      </w:r>
      <w:r w:rsidR="0006414A">
        <w:rPr>
          <w:rFonts w:ascii="Times New Roman" w:hAnsi="Times New Roman"/>
          <w:noProof/>
          <w:sz w:val="24"/>
        </w:rPr>
        <w:t>krātos zaudējumus, var ierakstīt</w:t>
      </w:r>
      <w:r>
        <w:rPr>
          <w:rFonts w:ascii="Times New Roman" w:hAnsi="Times New Roman"/>
          <w:noProof/>
          <w:sz w:val="24"/>
        </w:rPr>
        <w:t xml:space="preserve"> kā finanšu darījumu (F.519), ja vien tas ir atbilstoši dokumentēts. Maksājumus, kas paredzēti turpmāko zaudējumu segšanai, arī traktē kā citus kapitāla pārvedumus (D.99).</w:t>
      </w:r>
    </w:p>
    <w:p w:rsidR="00523A0A" w:rsidRPr="001973D0" w:rsidRDefault="00523A0A" w:rsidP="00523A0A">
      <w:pPr>
        <w:pStyle w:val="BodyText"/>
        <w:numPr>
          <w:ilvl w:val="1"/>
          <w:numId w:val="76"/>
        </w:numPr>
        <w:tabs>
          <w:tab w:val="left" w:pos="1662"/>
        </w:tabs>
        <w:spacing w:before="0"/>
        <w:ind w:left="1134" w:hanging="425"/>
        <w:jc w:val="both"/>
        <w:rPr>
          <w:rFonts w:ascii="Times New Roman" w:hAnsi="Times New Roman"/>
          <w:noProof/>
          <w:sz w:val="24"/>
        </w:rPr>
      </w:pPr>
      <w:r>
        <w:rPr>
          <w:rFonts w:ascii="Times New Roman" w:hAnsi="Times New Roman"/>
          <w:noProof/>
          <w:sz w:val="24"/>
        </w:rPr>
        <w:t>Ja valdības īpašnieks dzēš finanšu prasījumus pret publisku kvazisabiedrību vai u</w:t>
      </w:r>
      <w:r w:rsidR="00FF05B1">
        <w:rPr>
          <w:rFonts w:ascii="Times New Roman" w:hAnsi="Times New Roman"/>
          <w:noProof/>
          <w:sz w:val="24"/>
        </w:rPr>
        <w:t>zņemas tās saistības, jāieraksta</w:t>
      </w:r>
      <w:r>
        <w:rPr>
          <w:rFonts w:ascii="Times New Roman" w:hAnsi="Times New Roman"/>
          <w:noProof/>
          <w:sz w:val="24"/>
        </w:rPr>
        <w:t xml:space="preserve"> finanšu darījumi pozīcijā “cits pašu kapitāls” (F.519) (EKS 2010 4.165. punkta f) apakšpunkts), ja vien operācija netiek veikta ar mērķi segt uzkrātos zaudējumus vai ārkārtīgi lielu zaudējumu, kas nav ietverts c) apakšpunkt</w:t>
      </w:r>
      <w:r w:rsidR="00FF05B1">
        <w:rPr>
          <w:rFonts w:ascii="Times New Roman" w:hAnsi="Times New Roman"/>
          <w:noProof/>
          <w:sz w:val="24"/>
        </w:rPr>
        <w:t>ā minētajā gadījumā, ierakstot</w:t>
      </w:r>
      <w:r>
        <w:rPr>
          <w:rFonts w:ascii="Times New Roman" w:hAnsi="Times New Roman"/>
          <w:noProof/>
          <w:sz w:val="24"/>
        </w:rPr>
        <w:t xml:space="preserve"> citus kapitāla pārvedumus (D.99) (EKS 2010 5.37. punkts). Arī turpmāko gaidāmo zaudējumu gadījumā to var traktēt kā citus kapitāla pārvedumus (D.99) (EKS 2010 4.165. punkta b) apakšpunkts).</w:t>
      </w:r>
    </w:p>
    <w:p w:rsidR="00523A0A" w:rsidRDefault="00523A0A" w:rsidP="00523A0A">
      <w:pPr>
        <w:pStyle w:val="BodyText"/>
        <w:numPr>
          <w:ilvl w:val="1"/>
          <w:numId w:val="76"/>
        </w:numPr>
        <w:tabs>
          <w:tab w:val="left" w:pos="1662"/>
        </w:tabs>
        <w:spacing w:before="0"/>
        <w:ind w:left="1134" w:hanging="425"/>
        <w:jc w:val="both"/>
        <w:rPr>
          <w:rFonts w:ascii="Times New Roman" w:hAnsi="Times New Roman"/>
          <w:noProof/>
          <w:sz w:val="24"/>
        </w:rPr>
      </w:pPr>
      <w:r>
        <w:rPr>
          <w:rFonts w:ascii="Times New Roman" w:hAnsi="Times New Roman"/>
          <w:noProof/>
          <w:sz w:val="24"/>
        </w:rPr>
        <w:t xml:space="preserve">Ja valdība veic pārvedumus publiskām kvazisabiedrībām, lai pilnībā vai daļēji finansētu tām ar pamatlīdzekļu iegādi </w:t>
      </w:r>
      <w:r w:rsidR="00FF05B1">
        <w:rPr>
          <w:rFonts w:ascii="Times New Roman" w:hAnsi="Times New Roman"/>
          <w:noProof/>
          <w:sz w:val="24"/>
        </w:rPr>
        <w:t>saistītās izmaksas, tos ieraksta</w:t>
      </w:r>
      <w:r>
        <w:rPr>
          <w:rFonts w:ascii="Times New Roman" w:hAnsi="Times New Roman"/>
          <w:noProof/>
          <w:sz w:val="24"/>
        </w:rPr>
        <w:t xml:space="preserve"> kā ieguldījumu dotāciju (D.92) (EKS 2010 4.157. un 20.42. punkts). Šajā gadījumā ir skaidri jānorāda, ka ar līdzekļu piešķiršanu tiek finansēta konkrētu pamatlīdzekļu iegāde vai to būtiska uzlabošana, nevis tiek veikta “vispārīga”, nenoteikta līdzekļu piešķiršana kvazisabiedrībai.</w:t>
      </w:r>
    </w:p>
    <w:p w:rsidR="00523A0A" w:rsidRPr="001973D0" w:rsidRDefault="00523A0A" w:rsidP="00523A0A">
      <w:pPr>
        <w:pStyle w:val="BodyText"/>
        <w:tabs>
          <w:tab w:val="left" w:pos="1662"/>
        </w:tabs>
        <w:spacing w:before="0"/>
        <w:ind w:left="0" w:firstLine="0"/>
        <w:rPr>
          <w:rFonts w:ascii="Times New Roman" w:hAnsi="Times New Roman"/>
          <w:noProof/>
          <w:sz w:val="24"/>
        </w:rPr>
      </w:pPr>
    </w:p>
    <w:p w:rsidR="00523A0A" w:rsidRPr="00C80961"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Šādos apstākļos līdzekļu pieplūdums peļņu nenesošai publiskai kvazisabiedrībai no vald</w:t>
      </w:r>
      <w:r w:rsidR="00FF05B1">
        <w:rPr>
          <w:rFonts w:ascii="Times New Roman" w:hAnsi="Times New Roman"/>
          <w:noProof/>
          <w:sz w:val="24"/>
        </w:rPr>
        <w:t>ības naudā vai natūrā jāieraksta</w:t>
      </w:r>
      <w:r>
        <w:rPr>
          <w:rFonts w:ascii="Times New Roman" w:hAnsi="Times New Roman"/>
          <w:noProof/>
          <w:sz w:val="24"/>
        </w:rPr>
        <w:t xml:space="preserve"> kā nefinanšu darījums (šādos gadījumos piemēro EKS 2010 4.165. punkta b) apakšpunktu, nevis f) apakšpunktu), kā norādīts EKS 2010 5.37. punktā. Līdzekļu pieplūdumu no valdības, kas pārsniedz uzkrātos vai pare</w:t>
      </w:r>
      <w:r w:rsidR="00FF05B1">
        <w:rPr>
          <w:rFonts w:ascii="Times New Roman" w:hAnsi="Times New Roman"/>
          <w:noProof/>
          <w:sz w:val="24"/>
        </w:rPr>
        <w:t>dzamos zaudējumus, var ierakstīt</w:t>
      </w:r>
      <w:r>
        <w:rPr>
          <w:rFonts w:ascii="Times New Roman" w:hAnsi="Times New Roman"/>
          <w:noProof/>
          <w:sz w:val="24"/>
        </w:rPr>
        <w:t xml:space="preserve"> kā finanšu darījumus.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652"/>
        </w:tabs>
        <w:ind w:left="0" w:firstLine="0"/>
        <w:jc w:val="both"/>
        <w:rPr>
          <w:rFonts w:ascii="Times New Roman" w:hAnsi="Times New Roman"/>
          <w:noProof/>
          <w:u w:val="thick" w:color="000000"/>
        </w:rPr>
      </w:pPr>
      <w:bookmarkStart w:id="209" w:name="III.3.3_Rationale_of_the_treatment"/>
      <w:bookmarkEnd w:id="209"/>
      <w:r>
        <w:rPr>
          <w:rFonts w:ascii="Times New Roman" w:hAnsi="Times New Roman"/>
          <w:noProof/>
          <w:u w:val="none"/>
        </w:rPr>
        <w:t>III.3.3. </w:t>
      </w:r>
      <w:r>
        <w:rPr>
          <w:rFonts w:ascii="Times New Roman" w:hAnsi="Times New Roman"/>
          <w:noProof/>
        </w:rPr>
        <w:t>Traktējuma pamatojums</w:t>
      </w:r>
    </w:p>
    <w:p w:rsidR="00523A0A" w:rsidRPr="001973D0" w:rsidRDefault="00523A0A" w:rsidP="00523A0A">
      <w:pPr>
        <w:pStyle w:val="Heading4"/>
        <w:tabs>
          <w:tab w:val="left" w:pos="1652"/>
        </w:tabs>
        <w:ind w:left="0" w:firstLine="0"/>
        <w:jc w:val="both"/>
        <w:rPr>
          <w:rFonts w:ascii="Times New Roman" w:hAnsi="Times New Roman"/>
          <w:noProof/>
          <w:u w:val="thick" w:color="000000"/>
        </w:rPr>
      </w:pPr>
    </w:p>
    <w:p w:rsidR="00523A0A" w:rsidRPr="001973D0"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Publisku kvazisabiedrību jēdziens ir ieviests nacionālo kontu sistēmā tāpēc, ka to darbība atšķiras no to valdības īpašnieku darbības un līdzinās sabiedrību darbībai; tāpēc tās ir atzītas kā institucionālas vienības un tirgus ražotāji. Līdz ar to nacionālajos kontos cenšas atspoguļot kvazisabiedrību un to valdības īpašnieku savstarpējo darījumu ekonomisko būtību. Publisku kvazisabiedrību traktējumu ir pamatoti pielīdzināt citu publisku sabiedrību traktējumam, ņemot vērā līdzības, kas pastāv abu šādu vienību darbībā.</w:t>
      </w:r>
    </w:p>
    <w:p w:rsidR="00523A0A" w:rsidRPr="00C80961"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Lai publiska kvazisabiedrība tiktu atzīta nacionālajos kontos, valdībai ir jāpiešķir uzņēmuma vadībai ievērojama rīcības brīvība attiecībā uz ražošanas procesa vadību un pašu līdzekļu izmantošanu, kā definēts EKS 2010 7.07. punktā, kā arī jābūt ievērotam lēmumu pieņemšanas autonomijas kritērijam (EKS 2010 2.12. punkts). Publiskām kvazisabiedrībām jāspēj uzturēt savu budžeta deficītu/pārpalikumu un uzņēmējdarbības kredītu, kā arī jāspēj finansēt dažus vai visus savus kapitālieguldījumus no saviem uzkrājumiem, rezervēm vai aizņēmumiem. Tas, ka starp kvazisabiedrībām un valdību ir iespējams nošķirt ienākumu un kapitāla plūsmas, nozīmē to, ka praksē kvazisabiedrību darbību un finansēšanas darījumus finanšu statistikā vajadzētu būt iespējams pilnīgi nošķirt no valdības ienākumiem, lai arī tās nav atsevišķas juridiskas personas. Publiskas kvazisabiedrības neto darbības pārpalikums neietilpst valdības ienāku</w:t>
      </w:r>
      <w:r w:rsidR="00FF05B1">
        <w:rPr>
          <w:rFonts w:ascii="Times New Roman" w:hAnsi="Times New Roman"/>
          <w:noProof/>
          <w:sz w:val="24"/>
        </w:rPr>
        <w:t>mos, un valdības kontos ieraksta</w:t>
      </w:r>
      <w:r>
        <w:rPr>
          <w:rFonts w:ascii="Times New Roman" w:hAnsi="Times New Roman"/>
          <w:noProof/>
          <w:sz w:val="24"/>
        </w:rPr>
        <w:t xml:space="preserve"> tikai ienākumu un kapitāla plūsmas starp kvazisabiedrību un valdību. Ja šajā ziņā subjektus nav iespējams nodalīt no valdības īpašniekiem, tos nevar traktēt kā kvazisabiedrības.</w:t>
      </w:r>
    </w:p>
    <w:p w:rsidR="00523A0A" w:rsidRPr="001973D0" w:rsidRDefault="00523A0A" w:rsidP="00523A0A">
      <w:pPr>
        <w:pStyle w:val="BodyText"/>
        <w:numPr>
          <w:ilvl w:val="0"/>
          <w:numId w:val="76"/>
        </w:numPr>
        <w:tabs>
          <w:tab w:val="left" w:pos="1202"/>
        </w:tabs>
        <w:spacing w:before="0"/>
        <w:ind w:left="709" w:hanging="709"/>
        <w:jc w:val="both"/>
        <w:rPr>
          <w:rFonts w:ascii="Times New Roman" w:hAnsi="Times New Roman"/>
          <w:noProof/>
          <w:sz w:val="24"/>
        </w:rPr>
      </w:pPr>
      <w:r>
        <w:rPr>
          <w:rFonts w:ascii="Times New Roman" w:hAnsi="Times New Roman"/>
          <w:noProof/>
          <w:sz w:val="24"/>
        </w:rPr>
        <w:lastRenderedPageBreak/>
        <w:t>Nulles neto vērtības nosacījums (t. i., EKS 2010 7.09. punktā noteikts, ka attiecībā uz kvazisabiedrībām pieņem, ka īpašnieka pašu kapitāls ir vienāds ar tās neto aktīviem) dažkārt tiek uzsvērts kā konceptuāls pamatojums tam</w:t>
      </w:r>
      <w:r w:rsidR="00FF05B1">
        <w:rPr>
          <w:rFonts w:ascii="Times New Roman" w:hAnsi="Times New Roman"/>
          <w:noProof/>
          <w:sz w:val="24"/>
        </w:rPr>
        <w:t>, lai noteiktu to, kā jāieraksta</w:t>
      </w:r>
      <w:r>
        <w:rPr>
          <w:rFonts w:ascii="Times New Roman" w:hAnsi="Times New Roman"/>
          <w:noProof/>
          <w:sz w:val="24"/>
        </w:rPr>
        <w:t xml:space="preserve"> darījumi starp valdību un tās kvazisabiedrībām (kā darījumi ar pašu kapitālu). Tomēr fakts, ka kvazisabiedrību neto vērtība ir nulle, praksē nesniedz pietiekamu pamatu tam, lai darījumus traktētu kā finanšu darījumus, nevis nefinanšu darījumus, jo iepludinātā kapitāla neto vērtība saņēmējiem kopumā ir neitrāla tāpēc, ka to pašu kapitāla saistību novērtējums parasti tiek palielināts par saņemto summu (EKS 2010 20.200. punkts). Piemēram, nekotētu publisku sabiedrību pašu kapitālu saskaņā ar ierasto praksi var novērtēt kā neto aktīvus, taču tas neliegtu piemērot kapitāla iepludināšanas te</w:t>
      </w:r>
      <w:r w:rsidR="00FF05B1">
        <w:rPr>
          <w:rFonts w:ascii="Times New Roman" w:hAnsi="Times New Roman"/>
          <w:noProof/>
          <w:sz w:val="24"/>
        </w:rPr>
        <w:t>stu. Šādos gadījumos ierakstot</w:t>
      </w:r>
      <w:r>
        <w:rPr>
          <w:rFonts w:ascii="Times New Roman" w:hAnsi="Times New Roman"/>
          <w:noProof/>
          <w:sz w:val="24"/>
        </w:rPr>
        <w:t xml:space="preserve"> kapitāla iepludināšanu kā nefinanšu darījumu, ieraksts jāveic </w:t>
      </w:r>
      <w:r w:rsidR="00FF05B1">
        <w:rPr>
          <w:rFonts w:ascii="Times New Roman" w:hAnsi="Times New Roman"/>
          <w:noProof/>
          <w:sz w:val="24"/>
        </w:rPr>
        <w:t>pārvērtēšanas kontā. Ierakstot</w:t>
      </w:r>
      <w:r>
        <w:rPr>
          <w:rFonts w:ascii="Times New Roman" w:hAnsi="Times New Roman"/>
          <w:noProof/>
          <w:sz w:val="24"/>
        </w:rPr>
        <w:t xml:space="preserve"> darījumus starp valdībām un tās kvazisabiedrībām, jāatspoguļo darījuma ekonomiskā būtība neatkarīgi no izmantotās pašu kapitāla novērtēšanas metodes.</w:t>
      </w:r>
    </w:p>
    <w:p w:rsidR="00523A0A" w:rsidRPr="001973D0" w:rsidRDefault="00523A0A" w:rsidP="00523A0A">
      <w:pPr>
        <w:pStyle w:val="BodyText"/>
        <w:numPr>
          <w:ilvl w:val="0"/>
          <w:numId w:val="76"/>
        </w:numPr>
        <w:tabs>
          <w:tab w:val="left" w:pos="1202"/>
        </w:tabs>
        <w:spacing w:before="0"/>
        <w:ind w:left="709" w:hanging="709"/>
        <w:jc w:val="both"/>
        <w:rPr>
          <w:rFonts w:ascii="Times New Roman" w:hAnsi="Times New Roman"/>
          <w:noProof/>
          <w:sz w:val="24"/>
        </w:rPr>
      </w:pPr>
      <w:r>
        <w:rPr>
          <w:rFonts w:ascii="Times New Roman" w:hAnsi="Times New Roman"/>
          <w:noProof/>
          <w:sz w:val="24"/>
        </w:rPr>
        <w:t>Ja valdības maksājumi publiskām sabiedrībām un publiskām kvazisabiedrībām ir paredzēti uzkrāto vai paredzamo zaudējumu segšanai, tos traktē kā kapitāla pārvedumus saskaņā ar EKS 2010 4.165. punkta b) apakšpunktu, kā sīkāk paskaidrots III.2. nodaļā “Kapitāla iepludināšana publiskās sabiedrībās”. Ja regulārus valdības pārvedumus veic publiskām kvazisabiedrībām, kurām pastāvīgi ir darbīb</w:t>
      </w:r>
      <w:r w:rsidR="00FF05B1">
        <w:rPr>
          <w:rFonts w:ascii="Times New Roman" w:hAnsi="Times New Roman"/>
          <w:noProof/>
          <w:sz w:val="24"/>
        </w:rPr>
        <w:t>as deficīts, subsīdijas ieraksta</w:t>
      </w:r>
      <w:r>
        <w:rPr>
          <w:rFonts w:ascii="Times New Roman" w:hAnsi="Times New Roman"/>
          <w:noProof/>
          <w:sz w:val="24"/>
        </w:rPr>
        <w:t xml:space="preserve"> kā citas produktu subsīdijas (D.319) saskaņā ar EKS 2010 4.61. punktu un 4.35. punkta c) apakšpunktu.</w:t>
      </w:r>
    </w:p>
    <w:p w:rsidR="00523A0A" w:rsidRPr="00C80961" w:rsidRDefault="00523A0A" w:rsidP="00523A0A">
      <w:pPr>
        <w:pStyle w:val="BodyText"/>
        <w:numPr>
          <w:ilvl w:val="0"/>
          <w:numId w:val="76"/>
        </w:numPr>
        <w:tabs>
          <w:tab w:val="left" w:pos="1202"/>
        </w:tabs>
        <w:spacing w:before="0"/>
        <w:ind w:left="709" w:hanging="709"/>
        <w:jc w:val="both"/>
        <w:rPr>
          <w:rFonts w:ascii="Times New Roman" w:hAnsi="Times New Roman"/>
          <w:noProof/>
          <w:sz w:val="24"/>
        </w:rPr>
      </w:pPr>
      <w:r>
        <w:rPr>
          <w:rFonts w:ascii="Times New Roman" w:hAnsi="Times New Roman"/>
          <w:noProof/>
          <w:sz w:val="24"/>
        </w:rPr>
        <w:t>Ja valdības dzēš parādu vai uzņemas parādu savu kvazisabiedrību la</w:t>
      </w:r>
      <w:r w:rsidR="00FF05B1">
        <w:rPr>
          <w:rFonts w:ascii="Times New Roman" w:hAnsi="Times New Roman"/>
          <w:noProof/>
          <w:sz w:val="24"/>
        </w:rPr>
        <w:t>bā, darījumus pieņemts ierakstīt</w:t>
      </w:r>
      <w:r>
        <w:rPr>
          <w:rFonts w:ascii="Times New Roman" w:hAnsi="Times New Roman"/>
          <w:noProof/>
          <w:sz w:val="24"/>
        </w:rPr>
        <w:t xml:space="preserve"> kā finanšu darījumus atbilstoši EKS 2010 4.165. punkta f) apakšpunktam, atkāpjo</w:t>
      </w:r>
      <w:r w:rsidR="00FF05B1">
        <w:rPr>
          <w:rFonts w:ascii="Times New Roman" w:hAnsi="Times New Roman"/>
          <w:noProof/>
          <w:sz w:val="24"/>
        </w:rPr>
        <w:t>ties no vispārējās ierakstīšanas</w:t>
      </w:r>
      <w:r>
        <w:rPr>
          <w:rFonts w:ascii="Times New Roman" w:hAnsi="Times New Roman"/>
          <w:noProof/>
          <w:sz w:val="24"/>
        </w:rPr>
        <w:t xml:space="preserve"> prakses, ko piemēro attiecībā uz sabiedrībām (kapitāla pārvedums), taču, ja darījums ir paredzēts zaudējumu segšanai, tad piemēro EKS 2010 4.165. punkta b) apakšpunktu, kā norādīts EKS 2010 5.37. punktā. EKS 2010 4.165. punkta b) apakšpunktu piemēro attiecībā uz parāda dzēšanas/ parāda uzņemšanās gadījumiem, kā arī attiecībā uz naudas pārvedumiem, jo līdzekļiem, kas naudas vai citu finanšu aktīvu/saistību izteiksmē paredzēti subjektu rekapitalizācijai, parasti nevajadzētu mainīt konkrētā darījuma uzskaites ierakstu.</w:t>
      </w:r>
    </w:p>
    <w:p w:rsidR="00523A0A" w:rsidRPr="00C80961" w:rsidRDefault="00523A0A" w:rsidP="00523A0A">
      <w:pPr>
        <w:pStyle w:val="BodyText"/>
        <w:numPr>
          <w:ilvl w:val="0"/>
          <w:numId w:val="76"/>
        </w:numPr>
        <w:tabs>
          <w:tab w:val="left" w:pos="1202"/>
        </w:tabs>
        <w:spacing w:before="0"/>
        <w:ind w:left="709" w:hanging="709"/>
        <w:jc w:val="both"/>
        <w:rPr>
          <w:rFonts w:ascii="Times New Roman" w:hAnsi="Times New Roman"/>
          <w:noProof/>
          <w:sz w:val="24"/>
        </w:rPr>
      </w:pPr>
      <w:r>
        <w:rPr>
          <w:rFonts w:ascii="Times New Roman" w:hAnsi="Times New Roman"/>
          <w:noProof/>
          <w:sz w:val="24"/>
        </w:rPr>
        <w:t>Ja valdība sniedz līdzekļus kvazisabiedrībai pam</w:t>
      </w:r>
      <w:r w:rsidR="00FF05B1">
        <w:rPr>
          <w:rFonts w:ascii="Times New Roman" w:hAnsi="Times New Roman"/>
          <w:noProof/>
          <w:sz w:val="24"/>
        </w:rPr>
        <w:t>atlīdzekļu iegādei, tos ieraksta</w:t>
      </w:r>
      <w:r>
        <w:rPr>
          <w:rFonts w:ascii="Times New Roman" w:hAnsi="Times New Roman"/>
          <w:noProof/>
          <w:sz w:val="24"/>
        </w:rPr>
        <w:t xml:space="preserve"> kā ieguldījumu dotācijas (D.92) saskaņā ar EKS 2010 4.157. punktu, kurā nenošķir sabiedrības un publiskās sabiedrības. Tas ir arī skaidri pateikts EKS 2010 20.42. punktā, kas formulēts šādi: </w:t>
      </w:r>
      <w:r>
        <w:rPr>
          <w:rFonts w:ascii="Times New Roman" w:hAnsi="Times New Roman"/>
          <w:i/>
          <w:noProof/>
          <w:sz w:val="24"/>
        </w:rPr>
        <w:t>Proti, ieguldījumu dotācijas ieraksta kā kapitāla pārvedumus</w:t>
      </w:r>
      <w:r>
        <w:rPr>
          <w:rFonts w:ascii="Times New Roman" w:hAnsi="Times New Roman"/>
          <w:noProof/>
          <w:sz w:val="24"/>
        </w:rPr>
        <w:t>. Šī klasifikācija nav atkarīga no kvazisabiedrības finanšu stāvokļa, no tā, vai tā ir rentabla vai zaudējumus nesoša, bet gan veidota, pamatojoties uz maksājuma mērķi. Ieguldījumu dotācija ir naudas pārvedums (dažos drīzāk izņēmuma gadījumos – pārvedums natūrā kāda esoša aktīva veidā), lai iegādātos pamatlīdzekli (iegādātos vai ražotu kapitāla pašveidošanos) vai lai to būtiski uzlabotu. Aktīva veidu nosaka tā piešķīrējs, un kopumā saņēmējam ir jāizpilda precīzas prasības (aktīva galvenās iezīmes, tā lietošana, realizācijas laiks utt.); pretējā gadījumā viņam var uzlikt par pienākumu līdzekļus atdot atpakaļ. Nav nozīmes, vai pārvedumu veic vienība, kurai pieder kvazisabiedrība (no kuras tā tika atdalīta nacionālajos kontos, lai arī tai nav neatkarīga juridiskā statusa), vai arī cita valdības vienība, piemēram, saistībā ar īpašām ieguldījumu programmām, ko šī vienība ir izstrādājusi (ilustratīvs piemērs ir vietēja kvazisabiedrība un centrālā valdība). Šādus pārvedumus valdība var piešķirt tiešā veidā vai ar attīstības vai attīstību veicinošu banku starpniecību, kas darbojas valdības vārdā (pārvirzīšana). Turklāt nav nozīmes, vai ieguldījumu dotācija tiek īstenota vispārējas shēmas ietvaros, aptverot publiskus vai privātus subjektus, vai arī ir izstrādāta konkrēti publiskiem subjektiem, kas ir iesaistīti darbībās, ko valdība ir paredzējusi atbalstīt/attīstīt.</w:t>
      </w:r>
    </w:p>
    <w:p w:rsidR="00523A0A" w:rsidRPr="001973D0" w:rsidRDefault="00523A0A" w:rsidP="00523A0A">
      <w:pPr>
        <w:pStyle w:val="BodyText"/>
        <w:numPr>
          <w:ilvl w:val="0"/>
          <w:numId w:val="76"/>
        </w:numPr>
        <w:tabs>
          <w:tab w:val="left" w:pos="1302"/>
        </w:tabs>
        <w:spacing w:before="0"/>
        <w:ind w:left="709" w:hanging="709"/>
        <w:jc w:val="both"/>
        <w:rPr>
          <w:rFonts w:ascii="Times New Roman" w:hAnsi="Times New Roman"/>
          <w:noProof/>
          <w:sz w:val="24"/>
        </w:rPr>
      </w:pPr>
      <w:r>
        <w:rPr>
          <w:rFonts w:ascii="Times New Roman" w:hAnsi="Times New Roman"/>
          <w:noProof/>
          <w:sz w:val="24"/>
        </w:rPr>
        <w:t xml:space="preserve">Šajā saistībā ieguldījumu dotācija visai atšķiras no līdzekļu piešķiršanas, ko veic </w:t>
      </w:r>
      <w:r>
        <w:rPr>
          <w:rFonts w:ascii="Times New Roman" w:hAnsi="Times New Roman"/>
          <w:noProof/>
          <w:sz w:val="24"/>
        </w:rPr>
        <w:lastRenderedPageBreak/>
        <w:t>kvazisabiedrības īpašnieks, nesniedzot precīzu norādi par konkrēto aktīva veidu. Kvazisabiedrība drīkst izmantot līdzekļus dažādos veidos (piemēram, akciju iegādei) un pati var noteikt ieguldījumu programmu (piemēram, gadījumā, ja kvazisabiedrība ir iesaistīta sociālo mājokļu būvniec</w:t>
      </w:r>
      <w:r w:rsidR="00FF05B1">
        <w:rPr>
          <w:rFonts w:ascii="Times New Roman" w:hAnsi="Times New Roman"/>
          <w:noProof/>
          <w:sz w:val="24"/>
        </w:rPr>
        <w:t>ībā). Šajā gadījumā ierakstīšanu</w:t>
      </w:r>
      <w:r>
        <w:rPr>
          <w:rFonts w:ascii="Times New Roman" w:hAnsi="Times New Roman"/>
          <w:noProof/>
          <w:sz w:val="24"/>
        </w:rPr>
        <w:t xml:space="preserve"> nacionālajos kontos veic, ievērojot parasto kārtību, pamatojoties uz to, vai kvazisabiedrība ir vai nav rentabla (saskaņā ar paredzēšanas pieeju) (pašu kapitāls AF.519 vai kapitāla pārvedums D.99). Var gadīties, ka statistiķiem nav pieejama visa informācija par līdzekļu sniegšanu. Šādā gadījumā, ja kvazisabiedrība parasti parāda kapitāla veidošanu un nevis gandrīz vienīgi pakalpojumu sniegšanu, līdzek</w:t>
      </w:r>
      <w:r w:rsidR="00FF05B1">
        <w:rPr>
          <w:rFonts w:ascii="Times New Roman" w:hAnsi="Times New Roman"/>
          <w:noProof/>
          <w:sz w:val="24"/>
        </w:rPr>
        <w:t>ļu sniegšanu ieteicams ierakstīt</w:t>
      </w:r>
      <w:r>
        <w:rPr>
          <w:rFonts w:ascii="Times New Roman" w:hAnsi="Times New Roman"/>
          <w:noProof/>
          <w:sz w:val="24"/>
        </w:rPr>
        <w:t xml:space="preserve"> kā ieguldījumu dotāciju (D.92).</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tabs>
          <w:tab w:val="left" w:pos="1652"/>
        </w:tabs>
        <w:jc w:val="both"/>
        <w:rPr>
          <w:rFonts w:ascii="Times New Roman" w:hAnsi="Times New Roman"/>
          <w:noProof/>
          <w:sz w:val="24"/>
          <w:u w:val="thick" w:color="000000"/>
        </w:rPr>
      </w:pPr>
      <w:r>
        <w:rPr>
          <w:rFonts w:ascii="Times New Roman" w:hAnsi="Times New Roman"/>
          <w:noProof/>
          <w:sz w:val="24"/>
        </w:rPr>
        <w:t>III.3.4. </w:t>
      </w:r>
      <w:r>
        <w:rPr>
          <w:rFonts w:ascii="Times New Roman" w:hAnsi="Times New Roman"/>
          <w:noProof/>
          <w:sz w:val="24"/>
          <w:u w:val="single"/>
        </w:rPr>
        <w:t>Uzskaites piemēri</w:t>
      </w:r>
    </w:p>
    <w:p w:rsidR="00523A0A" w:rsidRPr="001973D0" w:rsidRDefault="00523A0A" w:rsidP="00523A0A">
      <w:pPr>
        <w:jc w:val="both"/>
        <w:rPr>
          <w:rFonts w:ascii="Times New Roman" w:eastAsia="Arial" w:hAnsi="Times New Roman" w:cs="Arial"/>
          <w:b/>
          <w:bCs/>
          <w:noProof/>
          <w:sz w:val="24"/>
          <w:szCs w:val="25"/>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1. piemērs</w:t>
      </w:r>
    </w:p>
    <w:p w:rsidR="00523A0A" w:rsidRPr="001973D0" w:rsidRDefault="00523A0A" w:rsidP="00523A0A">
      <w:pPr>
        <w:pStyle w:val="BodyText"/>
        <w:spacing w:before="0"/>
        <w:ind w:left="0" w:firstLine="0"/>
        <w:jc w:val="both"/>
        <w:rPr>
          <w:rFonts w:ascii="Times New Roman" w:hAnsi="Times New Roman"/>
          <w:noProof/>
          <w:sz w:val="24"/>
          <w:szCs w:val="14"/>
        </w:rPr>
      </w:pPr>
      <w:r>
        <w:rPr>
          <w:rFonts w:ascii="Times New Roman" w:hAnsi="Times New Roman"/>
          <w:noProof/>
          <w:sz w:val="24"/>
        </w:rPr>
        <w:t>Valdība kvazisabiedrībā iepludina naudu 100 vienību apmērā, lai finansētu pamatlīdzekļus.</w:t>
      </w:r>
      <w:r>
        <w:rPr>
          <w:rStyle w:val="FootnoteReference"/>
          <w:rFonts w:ascii="Times New Roman" w:hAnsi="Times New Roman"/>
          <w:noProof/>
          <w:sz w:val="24"/>
        </w:rPr>
        <w:footnoteReference w:id="154"/>
      </w:r>
    </w:p>
    <w:p w:rsidR="00523A0A" w:rsidRPr="001973D0" w:rsidRDefault="00523A0A" w:rsidP="00523A0A">
      <w:pPr>
        <w:jc w:val="both"/>
        <w:rPr>
          <w:rFonts w:ascii="Times New Roman" w:eastAsia="Arial" w:hAnsi="Times New Roman" w:cs="Arial"/>
          <w:noProof/>
          <w:sz w:val="24"/>
          <w:szCs w:val="20"/>
        </w:rPr>
      </w:pPr>
    </w:p>
    <w:p w:rsidR="00523A0A" w:rsidRPr="001973D0" w:rsidRDefault="00D2398A" w:rsidP="00523A0A">
      <w:pPr>
        <w:jc w:val="center"/>
        <w:rPr>
          <w:rFonts w:ascii="Times New Roman" w:eastAsia="Arial" w:hAnsi="Times New Roman" w:cs="Arial"/>
          <w:noProof/>
          <w:sz w:val="24"/>
          <w:szCs w:val="20"/>
        </w:rPr>
      </w:pPr>
      <w:r w:rsidRPr="00D2398A">
        <w:rPr>
          <w:rFonts w:ascii="Times New Roman" w:eastAsia="Arial" w:hAnsi="Times New Roman" w:cs="Arial"/>
          <w:noProof/>
          <w:sz w:val="24"/>
          <w:szCs w:val="20"/>
          <w:lang w:bidi="ar-SA"/>
        </w:rPr>
        <w:drawing>
          <wp:inline distT="0" distB="0" distL="0" distR="0">
            <wp:extent cx="5760085" cy="3248222"/>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085" cy="3248222"/>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noProof/>
          <w:sz w:val="24"/>
          <w:szCs w:val="20"/>
        </w:rPr>
      </w:pPr>
    </w:p>
    <w:p w:rsidR="00523A0A" w:rsidRPr="001973D0" w:rsidRDefault="00D10B33" w:rsidP="00523A0A">
      <w:pPr>
        <w:jc w:val="both"/>
        <w:rPr>
          <w:rFonts w:ascii="Times New Roman" w:eastAsia="Arial" w:hAnsi="Times New Roman" w:cs="Arial"/>
          <w:noProof/>
          <w:sz w:val="24"/>
          <w:szCs w:val="20"/>
        </w:rPr>
      </w:pPr>
      <w:r w:rsidRPr="00D10B33">
        <w:rPr>
          <w:rFonts w:ascii="Times New Roman" w:eastAsia="Arial" w:hAnsi="Times New Roman" w:cs="Arial"/>
          <w:noProof/>
          <w:sz w:val="24"/>
          <w:szCs w:val="20"/>
          <w:lang w:bidi="ar-SA"/>
        </w:rPr>
        <w:lastRenderedPageBreak/>
        <w:drawing>
          <wp:inline distT="0" distB="0" distL="0" distR="0">
            <wp:extent cx="5760085" cy="3604388"/>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60085" cy="3604388"/>
                    </a:xfrm>
                    <a:prstGeom prst="rect">
                      <a:avLst/>
                    </a:prstGeom>
                    <a:noFill/>
                    <a:ln>
                      <a:noFill/>
                    </a:ln>
                  </pic:spPr>
                </pic:pic>
              </a:graphicData>
            </a:graphic>
          </wp:inline>
        </w:drawing>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2. piemērs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2. periodā iepludina naudu 100 vienību apmērā peļņu nesošā kvazisabiedrībā, kura var brīvi izlietot attiecīgos līdzekļus (nav pienākuma iegādāties konkrētus pamatlīdzekļus, ko noteicis līdzekļu devējs).</w:t>
      </w:r>
    </w:p>
    <w:p w:rsidR="00523A0A" w:rsidRPr="001973D0" w:rsidRDefault="00523A0A" w:rsidP="00523A0A">
      <w:pPr>
        <w:jc w:val="both"/>
        <w:rPr>
          <w:rFonts w:ascii="Times New Roman" w:eastAsia="Arial" w:hAnsi="Times New Roman" w:cs="Arial"/>
          <w:noProof/>
          <w:sz w:val="24"/>
          <w:szCs w:val="20"/>
        </w:rPr>
      </w:pPr>
    </w:p>
    <w:p w:rsidR="00523A0A" w:rsidRPr="001973D0" w:rsidRDefault="00D2398A" w:rsidP="00523A0A">
      <w:pPr>
        <w:jc w:val="both"/>
        <w:rPr>
          <w:rFonts w:ascii="Times New Roman" w:eastAsia="Arial" w:hAnsi="Times New Roman" w:cs="Arial"/>
          <w:noProof/>
          <w:sz w:val="24"/>
          <w:szCs w:val="20"/>
        </w:rPr>
      </w:pPr>
      <w:r w:rsidRPr="00D2398A">
        <w:rPr>
          <w:rFonts w:ascii="Times New Roman" w:eastAsia="Arial" w:hAnsi="Times New Roman" w:cs="Arial"/>
          <w:noProof/>
          <w:sz w:val="24"/>
          <w:szCs w:val="20"/>
          <w:lang w:bidi="ar-SA"/>
        </w:rPr>
        <w:drawing>
          <wp:inline distT="0" distB="0" distL="0" distR="0">
            <wp:extent cx="5760085" cy="3386152"/>
            <wp:effectExtent l="0" t="0" r="0" b="508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60085" cy="3386152"/>
                    </a:xfrm>
                    <a:prstGeom prst="rect">
                      <a:avLst/>
                    </a:prstGeom>
                    <a:noFill/>
                    <a:ln>
                      <a:noFill/>
                    </a:ln>
                  </pic:spPr>
                </pic:pic>
              </a:graphicData>
            </a:graphic>
          </wp:inline>
        </w:drawing>
      </w:r>
    </w:p>
    <w:p w:rsidR="00523A0A" w:rsidRPr="001973D0" w:rsidRDefault="00523A0A" w:rsidP="00523A0A">
      <w:pPr>
        <w:jc w:val="both"/>
        <w:rPr>
          <w:rFonts w:ascii="Times New Roman" w:eastAsia="Arial" w:hAnsi="Times New Roman" w:cs="Arial"/>
          <w:noProof/>
          <w:sz w:val="24"/>
          <w:szCs w:val="20"/>
        </w:rPr>
      </w:pPr>
    </w:p>
    <w:p w:rsidR="00523A0A" w:rsidRPr="001973D0" w:rsidRDefault="00D10B33" w:rsidP="00523A0A">
      <w:pPr>
        <w:pStyle w:val="BodyText"/>
        <w:spacing w:before="0"/>
        <w:ind w:left="0" w:firstLine="0"/>
        <w:jc w:val="both"/>
        <w:rPr>
          <w:rFonts w:ascii="Times New Roman" w:eastAsia="Calibri" w:hAnsi="Times New Roman" w:cs="Calibri"/>
          <w:noProof/>
          <w:sz w:val="24"/>
          <w:szCs w:val="20"/>
        </w:rPr>
      </w:pPr>
      <w:r w:rsidRPr="00D10B33">
        <w:rPr>
          <w:rFonts w:ascii="Times New Roman" w:eastAsia="Calibri" w:hAnsi="Times New Roman" w:cs="Calibri"/>
          <w:noProof/>
          <w:sz w:val="24"/>
          <w:szCs w:val="20"/>
          <w:lang w:bidi="ar-SA"/>
        </w:rPr>
        <w:lastRenderedPageBreak/>
        <w:drawing>
          <wp:inline distT="0" distB="0" distL="0" distR="0">
            <wp:extent cx="5760085" cy="4409783"/>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0085" cy="4409783"/>
                    </a:xfrm>
                    <a:prstGeom prst="rect">
                      <a:avLst/>
                    </a:prstGeom>
                    <a:noFill/>
                    <a:ln>
                      <a:noFill/>
                    </a:ln>
                  </pic:spPr>
                </pic:pic>
              </a:graphicData>
            </a:graphic>
          </wp:inline>
        </w:drawing>
      </w:r>
    </w:p>
    <w:p w:rsidR="00523A0A" w:rsidRDefault="00523A0A" w:rsidP="00523A0A">
      <w:pPr>
        <w:rPr>
          <w:rFonts w:ascii="Times New Roman" w:eastAsia="Calibri" w:hAnsi="Times New Roman" w:cs="Calibri"/>
          <w:noProof/>
          <w:sz w:val="24"/>
          <w:szCs w:val="20"/>
        </w:rPr>
      </w:pPr>
      <w:r>
        <w:br w:type="page"/>
      </w:r>
    </w:p>
    <w:p w:rsidR="00523A0A" w:rsidRDefault="00523A0A" w:rsidP="00D2398A">
      <w:pPr>
        <w:pStyle w:val="Heading2"/>
        <w:rPr>
          <w:noProof/>
        </w:rPr>
      </w:pPr>
      <w:bookmarkStart w:id="210" w:name="III.4__Capital_injections_in_kind"/>
      <w:bookmarkStart w:id="211" w:name="_bookmark24"/>
      <w:bookmarkStart w:id="212" w:name="_Toc471135890"/>
      <w:bookmarkEnd w:id="210"/>
      <w:bookmarkEnd w:id="211"/>
      <w:r>
        <w:rPr>
          <w:noProof/>
        </w:rPr>
        <w:lastRenderedPageBreak/>
        <w:t xml:space="preserve">III.4. Kapitāla </w:t>
      </w:r>
      <w:r w:rsidRPr="00D2398A">
        <w:t>iepludināšana</w:t>
      </w:r>
      <w:r>
        <w:rPr>
          <w:noProof/>
        </w:rPr>
        <w:t xml:space="preserve"> natūrā</w:t>
      </w:r>
      <w:bookmarkEnd w:id="212"/>
    </w:p>
    <w:p w:rsidR="00523A0A" w:rsidRPr="001973D0" w:rsidRDefault="00523A0A" w:rsidP="00523A0A">
      <w:pPr>
        <w:pStyle w:val="Heading2"/>
        <w:tabs>
          <w:tab w:val="left" w:pos="1562"/>
        </w:tabs>
        <w:jc w:val="both"/>
        <w:rPr>
          <w:noProof/>
          <w:sz w:val="24"/>
        </w:rPr>
      </w:pPr>
    </w:p>
    <w:p w:rsidR="00523A0A" w:rsidRDefault="00523A0A" w:rsidP="00523A0A">
      <w:pPr>
        <w:pStyle w:val="Heading4"/>
        <w:tabs>
          <w:tab w:val="left" w:pos="1552"/>
        </w:tabs>
        <w:ind w:left="0" w:firstLine="0"/>
        <w:jc w:val="both"/>
        <w:rPr>
          <w:rFonts w:ascii="Times New Roman" w:hAnsi="Times New Roman"/>
          <w:noProof/>
          <w:u w:val="thick" w:color="000000"/>
        </w:rPr>
      </w:pPr>
      <w:bookmarkStart w:id="213" w:name="III.4.1_Background"/>
      <w:bookmarkEnd w:id="213"/>
      <w:r>
        <w:rPr>
          <w:rFonts w:ascii="Times New Roman" w:hAnsi="Times New Roman"/>
          <w:noProof/>
          <w:u w:val="none"/>
        </w:rPr>
        <w:t>III.4.1. </w:t>
      </w:r>
      <w:r>
        <w:rPr>
          <w:rFonts w:ascii="Times New Roman" w:hAnsi="Times New Roman"/>
          <w:noProof/>
          <w:u w:val="thick" w:color="000000"/>
        </w:rPr>
        <w:t>Vispārēja informācija</w:t>
      </w:r>
    </w:p>
    <w:p w:rsidR="00523A0A" w:rsidRPr="001973D0" w:rsidRDefault="00523A0A" w:rsidP="00523A0A">
      <w:pPr>
        <w:pStyle w:val="Heading4"/>
        <w:tabs>
          <w:tab w:val="left" w:pos="1552"/>
        </w:tabs>
        <w:ind w:left="0" w:firstLine="0"/>
        <w:jc w:val="both"/>
        <w:rPr>
          <w:rFonts w:ascii="Times New Roman" w:hAnsi="Times New Roman"/>
          <w:noProof/>
          <w:u w:val="thick" w:color="000000"/>
        </w:rPr>
      </w:pP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Dažkārt valdības nodod pamatlīdzekļus (piemēram, ēkas) un/vai neražotus nefinanšu aktīvus (piemēram, zemi) publiskai vai privātai sabiedrībai, kas jau eksistē vai tiek dibināta ar mērķi turēt šādus aktīvus. Šādā gadījumā kapitāla iepludināšana nav parastā finanšu aktīvu plūsma (kas parasti notiek naudā, AF.2), bet gan nefinanšu aktīvu plūsma. Parasti tas tiek darīts tādēļ, lai uzņēmums šos aktīvus varētu izmantot ražošanas procesā, jo tiek pieņemts, ka uzņēmuma stāvoklis ir vairāk piemērots šādas saimnieciskās darbības veikšanai nekā valdības stāvoklis.</w:t>
      </w: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Dažos gadījumos valdība no aktīva nodošanas plāno iegūt kādu tiešu labumu īpašuma ienākuma plūsmu (piemēram, dividendes) vai sabiedrības ekonomiskās vērtības pieauguma veidā. Citos gadījumos valdību apmierina tas, ka valsts kopumā gūst pietiekamus saimnieciskos un sociālos labumus, kas atsver valdības zaudēto aktīvu. Dažās valstīs šāda nodošana var notikt kā “komunālās saimniecības koncesija”, kurā publisku infrastruktūru, pamatojoties uz terminētu līgumu (ar samērā ilgu darbības termiņu), pārvalda “koncesionārs”, kas dažos gadījumos var būt publiska sabiedrība, taču biežāk ir privāta vienība (sk. VI.4. nodaļu “Publiskas un privātas partnerības (PPP)”). Tādējādi piemērojamos noteikumus var attiecināt arī uz darījumiem ar privātām sabiedrībām.</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52"/>
        </w:tabs>
        <w:ind w:left="0" w:firstLine="0"/>
        <w:jc w:val="both"/>
        <w:rPr>
          <w:rFonts w:ascii="Times New Roman" w:hAnsi="Times New Roman"/>
          <w:noProof/>
          <w:u w:val="thick" w:color="000000"/>
        </w:rPr>
      </w:pPr>
      <w:bookmarkStart w:id="214" w:name="III.4.2_Treatment_in_national_accounts"/>
      <w:bookmarkEnd w:id="214"/>
      <w:r>
        <w:rPr>
          <w:rFonts w:ascii="Times New Roman" w:hAnsi="Times New Roman"/>
          <w:noProof/>
          <w:u w:val="none"/>
        </w:rPr>
        <w:t>III.4.2. </w:t>
      </w:r>
      <w:r>
        <w:rPr>
          <w:rFonts w:ascii="Times New Roman" w:hAnsi="Times New Roman"/>
          <w:noProof/>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76"/>
        </w:tabs>
        <w:jc w:val="both"/>
        <w:rPr>
          <w:rFonts w:ascii="Times New Roman" w:hAnsi="Times New Roman"/>
          <w:noProof/>
          <w:sz w:val="24"/>
        </w:rPr>
      </w:pPr>
      <w:bookmarkStart w:id="215" w:name="III.4.2.1_No_expectations_of_return"/>
      <w:bookmarkEnd w:id="215"/>
      <w:r>
        <w:rPr>
          <w:rFonts w:ascii="Times New Roman" w:hAnsi="Times New Roman"/>
          <w:noProof/>
          <w:sz w:val="24"/>
        </w:rPr>
        <w:t>III.4.2.1. Peļņa nav gaidāma</w:t>
      </w:r>
    </w:p>
    <w:p w:rsidR="00523A0A" w:rsidRPr="001973D0" w:rsidRDefault="00523A0A" w:rsidP="00523A0A">
      <w:pPr>
        <w:pStyle w:val="Heading6"/>
        <w:tabs>
          <w:tab w:val="left" w:pos="1976"/>
        </w:tabs>
        <w:jc w:val="both"/>
        <w:rPr>
          <w:rFonts w:ascii="Times New Roman" w:hAnsi="Times New Roman"/>
          <w:noProof/>
          <w:sz w:val="24"/>
        </w:rPr>
      </w:pP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Nefinanšu aktīva tiešs pārvedums bez jebkādu citu tiesību vai pienākumu noteikšanas un bez jaunu vienību izveidošanas ir valdības “dāvinājums” sabiedr</w:t>
      </w:r>
      <w:r w:rsidR="00D11C91">
        <w:rPr>
          <w:rFonts w:ascii="Times New Roman" w:hAnsi="Times New Roman"/>
          <w:noProof/>
          <w:sz w:val="24"/>
        </w:rPr>
        <w:t>ībai, un tāpēc tas ir jāieraksta</w:t>
      </w:r>
      <w:r>
        <w:rPr>
          <w:rFonts w:ascii="Times New Roman" w:hAnsi="Times New Roman"/>
          <w:noProof/>
          <w:sz w:val="24"/>
        </w:rPr>
        <w:t xml:space="preserve"> kā nefinanšu darījums.</w:t>
      </w: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Šajā saistībā nefinanšu aktīvu pārvedums ir tāda valdības veikta ieguldījumu dotācija natūrā (D.92), kas tiek līdzsvarota ar samazinājumu bruto pamatkapitāla veidošanā (P.51g) un/vai NP, ja ir iesaistīta zeme (EKS 2010 20.203. punkts).</w:t>
      </w:r>
    </w:p>
    <w:p w:rsidR="00523A0A" w:rsidRPr="001973D0" w:rsidRDefault="00D11C91"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Ja nefinanšu kontā ieraksta</w:t>
      </w:r>
      <w:r w:rsidR="00523A0A">
        <w:rPr>
          <w:rFonts w:ascii="Times New Roman" w:hAnsi="Times New Roman"/>
          <w:noProof/>
          <w:sz w:val="24"/>
        </w:rPr>
        <w:t xml:space="preserve"> divas vienāda apmēra plūsmas, tad neto aizdevums/aizņēmums (B.9) netiek ietekmēts.</w:t>
      </w: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Kapitāla pārveduma (ieguldījuma dotācijas) dēļ palielinās sabiedrības neto vērtība un simetriski samazinās valdības neto vērtība. Atkarībā no metodes, ko nacionālajos kontos izmanto, lai novērtētu valdības pašu kapitālu sabiedrībā, iespējams, jāpieņem, ka vispārējās valdības pašu kapitāla vērtība publiskā uzņēmumā atspoguļo šā uzņēmuma neto vērtības pieaugumu. Ja tā ir, tad pozitīvās neto vērtības (B.90) transformāciju pašu kapitālā (F.5) uzņēmuma kontā var aprakstīt pārvērtēšanas kontā, izmantojot turēšanas guvumu (K.7).</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76"/>
        </w:tabs>
        <w:jc w:val="both"/>
        <w:rPr>
          <w:rFonts w:ascii="Times New Roman" w:hAnsi="Times New Roman"/>
          <w:noProof/>
          <w:sz w:val="24"/>
        </w:rPr>
      </w:pPr>
      <w:bookmarkStart w:id="216" w:name="III.4.2.2_Expectation_of_higher_return"/>
      <w:bookmarkEnd w:id="216"/>
      <w:r>
        <w:rPr>
          <w:rFonts w:ascii="Times New Roman" w:hAnsi="Times New Roman"/>
          <w:noProof/>
          <w:sz w:val="24"/>
        </w:rPr>
        <w:t>III.4.2.2. Cerības uz lielāku peļņu</w:t>
      </w:r>
    </w:p>
    <w:p w:rsidR="00523A0A" w:rsidRPr="001973D0" w:rsidRDefault="00523A0A" w:rsidP="00523A0A">
      <w:pPr>
        <w:pStyle w:val="Heading6"/>
        <w:tabs>
          <w:tab w:val="left" w:pos="1976"/>
        </w:tabs>
        <w:jc w:val="both"/>
        <w:rPr>
          <w:rFonts w:ascii="Times New Roman" w:hAnsi="Times New Roman"/>
          <w:noProof/>
          <w:sz w:val="24"/>
        </w:rPr>
      </w:pPr>
    </w:p>
    <w:p w:rsidR="00523A0A" w:rsidRPr="00AD1F8E"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Tā vietā, lai valdības pašas tieši izmantotu aktīvus, tās var nodot nefinanšu aktīvus publiskai sabiedrībai, cerot tādējādi saņemt lielāku ekonomisko peļņu, jo tiek uzskatīts, ka sabiedrība spēs efektīvāk pārvaldīt šos aktīvus. Turklāt šī nodošana var ietilpt plašākā pasākumu pakotnē, ar kuriem tiek mainīti daži aspekti attiecībās starp valdību un sabiedrību (piemēram, tiek ieviesti jauni pienākumi, tiesības un prasības) vai izveidotas jaunas vienības.</w:t>
      </w:r>
    </w:p>
    <w:p w:rsidR="00523A0A" w:rsidRPr="00AD1F8E" w:rsidRDefault="00523A0A" w:rsidP="00523A0A">
      <w:pPr>
        <w:pStyle w:val="BodyText"/>
        <w:numPr>
          <w:ilvl w:val="0"/>
          <w:numId w:val="75"/>
        </w:numPr>
        <w:tabs>
          <w:tab w:val="left" w:pos="1302"/>
        </w:tabs>
        <w:spacing w:before="0"/>
        <w:ind w:left="709" w:hanging="709"/>
        <w:jc w:val="both"/>
        <w:rPr>
          <w:rFonts w:ascii="Times New Roman" w:hAnsi="Times New Roman"/>
          <w:noProof/>
          <w:sz w:val="24"/>
        </w:rPr>
      </w:pPr>
      <w:r>
        <w:rPr>
          <w:rFonts w:ascii="Times New Roman" w:hAnsi="Times New Roman"/>
          <w:noProof/>
          <w:sz w:val="24"/>
        </w:rPr>
        <w:lastRenderedPageBreak/>
        <w:t xml:space="preserve">Šo situāciju var uzskatīt par nefinanšu aktīva maiņu pret finanšu aktīvu (valdības pašu kapitāls publiskā sabiedrībā). Iepriekš izklāstītajā </w:t>
      </w:r>
      <w:r w:rsidR="00B809FA">
        <w:rPr>
          <w:rFonts w:ascii="Times New Roman" w:hAnsi="Times New Roman"/>
          <w:noProof/>
          <w:sz w:val="24"/>
        </w:rPr>
        <w:t>gadījumā darījums nav jāieraksta</w:t>
      </w:r>
      <w:r>
        <w:rPr>
          <w:rFonts w:ascii="Times New Roman" w:hAnsi="Times New Roman"/>
          <w:noProof/>
          <w:sz w:val="24"/>
        </w:rPr>
        <w:t>. Tā vietā nodotais aktīvs ir jāieraksta sabiedrības bilancē (un attiecīgi jādzēš no valdības bilances), šim nolūkam izmantojot kontu, kurā reģistrē citas pārmaiņas aktīvu apjomā (K.61), sk. EKS 2010 20.203. punktu un EKS 2010 6.19. punktu.</w:t>
      </w:r>
    </w:p>
    <w:p w:rsidR="00523A0A" w:rsidRPr="001973D0" w:rsidRDefault="00523A0A" w:rsidP="00523A0A">
      <w:pPr>
        <w:pStyle w:val="BodyText"/>
        <w:numPr>
          <w:ilvl w:val="0"/>
          <w:numId w:val="75"/>
        </w:numPr>
        <w:tabs>
          <w:tab w:val="left" w:pos="1302"/>
        </w:tabs>
        <w:spacing w:before="0"/>
        <w:ind w:left="709" w:hanging="709"/>
        <w:jc w:val="both"/>
        <w:rPr>
          <w:rFonts w:ascii="Times New Roman" w:hAnsi="Times New Roman"/>
          <w:noProof/>
          <w:sz w:val="24"/>
        </w:rPr>
      </w:pPr>
      <w:r>
        <w:rPr>
          <w:rFonts w:ascii="Times New Roman" w:hAnsi="Times New Roman"/>
          <w:noProof/>
          <w:sz w:val="24"/>
        </w:rPr>
        <w:t>Šajā gadījumā, tāpat kā iepriekš minētajā gadījumā, neto aizdevums/aizņēmums (B.9) netiek ietekmēts. Arī neto vērtī</w:t>
      </w:r>
      <w:r w:rsidR="00B809FA">
        <w:rPr>
          <w:rFonts w:ascii="Times New Roman" w:hAnsi="Times New Roman"/>
          <w:noProof/>
          <w:sz w:val="24"/>
        </w:rPr>
        <w:t>ba netiek ietekmēta, jo ieraksta</w:t>
      </w:r>
      <w:r>
        <w:rPr>
          <w:rFonts w:ascii="Times New Roman" w:hAnsi="Times New Roman"/>
          <w:noProof/>
          <w:sz w:val="24"/>
        </w:rPr>
        <w:t xml:space="preserve"> divas vienāda apmēra plūsmas, kuras līdzsvaro kontā “Citas aktīvu pārmaiņas”.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652"/>
        </w:tabs>
        <w:ind w:left="0" w:firstLine="0"/>
        <w:jc w:val="both"/>
        <w:rPr>
          <w:rFonts w:ascii="Times New Roman" w:hAnsi="Times New Roman"/>
          <w:noProof/>
          <w:u w:val="thick" w:color="000000"/>
        </w:rPr>
      </w:pPr>
      <w:bookmarkStart w:id="217" w:name="III.4.3_Rationale_of_the_treatment"/>
      <w:bookmarkEnd w:id="217"/>
      <w:r>
        <w:rPr>
          <w:rFonts w:ascii="Times New Roman" w:hAnsi="Times New Roman"/>
          <w:noProof/>
          <w:u w:val="none"/>
        </w:rPr>
        <w:t>III.4.3. </w:t>
      </w:r>
      <w:r>
        <w:rPr>
          <w:rFonts w:ascii="Times New Roman" w:hAnsi="Times New Roman"/>
          <w:noProof/>
        </w:rPr>
        <w:t>Traktējuma pamatojums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76"/>
        </w:tabs>
        <w:jc w:val="both"/>
        <w:rPr>
          <w:rFonts w:ascii="Times New Roman" w:hAnsi="Times New Roman"/>
          <w:noProof/>
          <w:sz w:val="24"/>
        </w:rPr>
      </w:pPr>
      <w:bookmarkStart w:id="218" w:name="III.4.3.1_For_treatment_as_investment_gr"/>
      <w:bookmarkEnd w:id="218"/>
      <w:r>
        <w:rPr>
          <w:rFonts w:ascii="Times New Roman" w:hAnsi="Times New Roman"/>
          <w:noProof/>
          <w:sz w:val="24"/>
        </w:rPr>
        <w:t>III.4.3.1. Lai traktētu kā ieguldījumu dotāciju</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1.70. punkts</w:t>
      </w:r>
      <w:r>
        <w:rPr>
          <w:rFonts w:ascii="Times New Roman" w:hAnsi="Times New Roman"/>
          <w:noProof/>
          <w:sz w:val="24"/>
        </w:rPr>
        <w:t xml:space="preserve">: </w:t>
      </w:r>
      <w:r>
        <w:rPr>
          <w:rFonts w:ascii="Times New Roman" w:hAnsi="Times New Roman"/>
          <w:i/>
          <w:noProof/>
          <w:sz w:val="24"/>
        </w:rPr>
        <w:t>Sistēma visus darījumus ieraksta naudas izteiksmē</w:t>
      </w:r>
      <w:r>
        <w:rPr>
          <w:rFonts w:ascii="Times New Roman" w:hAnsi="Times New Roman"/>
          <w:noProof/>
          <w:sz w:val="24"/>
        </w:rPr>
        <w:t>.</w:t>
      </w:r>
      <w:r>
        <w:rPr>
          <w:rFonts w:ascii="Times New Roman" w:hAnsi="Times New Roman"/>
          <w:i/>
          <w:noProof/>
          <w:sz w:val="24"/>
        </w:rPr>
        <w:t xml:space="preserve"> Tāpēc vērtības, kas jāieraksta kā beznaudas darījumi, jāmēra netieši vai jāaplēš citā veidā.</w:t>
      </w: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4.145. punkts</w:t>
      </w:r>
      <w:r>
        <w:rPr>
          <w:rFonts w:ascii="Times New Roman" w:hAnsi="Times New Roman"/>
          <w:noProof/>
          <w:sz w:val="24"/>
        </w:rPr>
        <w:t xml:space="preserve">: </w:t>
      </w:r>
      <w:r>
        <w:rPr>
          <w:rFonts w:ascii="Times New Roman" w:hAnsi="Times New Roman"/>
          <w:i/>
          <w:noProof/>
          <w:sz w:val="24"/>
        </w:rPr>
        <w:t>Kapitāla pārvedumiem nepieciešams, lai vismaz viena darījumā iesaistītā puse iegādājas vai atsavina aktīvu vai aktīvus</w:t>
      </w:r>
      <w:r>
        <w:rPr>
          <w:rFonts w:ascii="Times New Roman" w:hAnsi="Times New Roman"/>
          <w:noProof/>
          <w:sz w:val="24"/>
        </w:rPr>
        <w:t>.</w:t>
      </w:r>
      <w:r>
        <w:rPr>
          <w:rFonts w:ascii="Times New Roman" w:hAnsi="Times New Roman"/>
          <w:i/>
          <w:noProof/>
          <w:sz w:val="24"/>
        </w:rPr>
        <w:t xml:space="preserve"> Neatkarīgi no tā, vai tie veikti naudā vai natūrā, kapitāla pārvedumu rezultātā rodas samērīgas pārmaiņas finanšu vai nefinanšu aktīvos, kas tiek uzrādītas vienas vai abu darījumā iesaistīto pušu bilancēs</w:t>
      </w:r>
      <w:r>
        <w:rPr>
          <w:rFonts w:ascii="Times New Roman" w:hAnsi="Times New Roman"/>
          <w:noProof/>
          <w:sz w:val="24"/>
        </w:rPr>
        <w:t>.</w:t>
      </w: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4.146. punkts</w:t>
      </w:r>
      <w:r>
        <w:rPr>
          <w:rFonts w:ascii="Times New Roman" w:hAnsi="Times New Roman"/>
          <w:noProof/>
          <w:sz w:val="24"/>
        </w:rPr>
        <w:t xml:space="preserve">: </w:t>
      </w:r>
      <w:r>
        <w:rPr>
          <w:rFonts w:ascii="Times New Roman" w:hAnsi="Times New Roman"/>
          <w:i/>
          <w:noProof/>
          <w:sz w:val="24"/>
        </w:rPr>
        <w:t>Kapitāla pārvedumu natūrā veido aktīva (izņemot inventāra un naudas) īpašumtiesību maiņa vai kreditora anulētas saistības, par to nesaņemot nekādu pretvērtību</w:t>
      </w:r>
      <w:r>
        <w:rPr>
          <w:rFonts w:ascii="Times New Roman" w:hAnsi="Times New Roman"/>
          <w:noProof/>
          <w:sz w:val="24"/>
        </w:rPr>
        <w:t>”.</w:t>
      </w: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4.153. punkts</w:t>
      </w:r>
      <w:r>
        <w:rPr>
          <w:rFonts w:ascii="Times New Roman" w:hAnsi="Times New Roman"/>
          <w:noProof/>
          <w:sz w:val="24"/>
        </w:rPr>
        <w:t xml:space="preserve">: </w:t>
      </w:r>
      <w:r>
        <w:rPr>
          <w:rFonts w:ascii="Times New Roman" w:hAnsi="Times New Roman"/>
          <w:i/>
          <w:noProof/>
          <w:sz w:val="24"/>
        </w:rPr>
        <w:t>Ieguldījumu dotācijas natūrā veido valdību veikti transportlīdzekļu, mašīnu un citu iekārtu pārvedumi citām rezidentu vai nerezidentu vienībām, kā arī tieša ēku un citu celtņu nodrošināšana rezidentu vai nerezidentu vienībām</w:t>
      </w:r>
      <w:r>
        <w:rPr>
          <w:rFonts w:ascii="Times New Roman" w:hAnsi="Times New Roman"/>
          <w:noProof/>
          <w:sz w:val="24"/>
        </w:rPr>
        <w:t>.</w:t>
      </w:r>
    </w:p>
    <w:p w:rsidR="00523A0A" w:rsidRPr="001973D0" w:rsidRDefault="00523A0A" w:rsidP="00523A0A">
      <w:pPr>
        <w:pStyle w:val="BodyText"/>
        <w:numPr>
          <w:ilvl w:val="0"/>
          <w:numId w:val="75"/>
        </w:numPr>
        <w:tabs>
          <w:tab w:val="left" w:pos="1302"/>
        </w:tabs>
        <w:spacing w:before="0"/>
        <w:ind w:left="709" w:hanging="709"/>
        <w:jc w:val="both"/>
        <w:rPr>
          <w:rFonts w:ascii="Times New Roman" w:hAnsi="Times New Roman"/>
          <w:noProof/>
          <w:sz w:val="24"/>
        </w:rPr>
      </w:pPr>
      <w:r>
        <w:rPr>
          <w:rFonts w:ascii="Times New Roman" w:hAnsi="Times New Roman"/>
          <w:noProof/>
          <w:sz w:val="24"/>
        </w:rPr>
        <w:t>Iepriekš minētie punkti norāda, ka atbilstoši EKS 2010 pamatl</w:t>
      </w:r>
      <w:r w:rsidR="00B809FA">
        <w:rPr>
          <w:rFonts w:ascii="Times New Roman" w:hAnsi="Times New Roman"/>
          <w:noProof/>
          <w:sz w:val="24"/>
        </w:rPr>
        <w:t>īdzekļa dāvinājumu var ierakstīt</w:t>
      </w:r>
      <w:r>
        <w:rPr>
          <w:rFonts w:ascii="Times New Roman" w:hAnsi="Times New Roman"/>
          <w:noProof/>
          <w:sz w:val="24"/>
        </w:rPr>
        <w:t xml:space="preserve"> kā kapitāla pārvedumu natūrā (var izmantot arī pieeju, kas ir līdzvērtīga saistībā ar ietekmi uz uzskaiti, proti, kapitāla pārvedumu uzskata par nosacītu līdzekļu plūsmu, ko sabiedrība izmanto, lai iegādātos aktīvus no valdības).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76"/>
        </w:tabs>
        <w:jc w:val="both"/>
        <w:rPr>
          <w:rFonts w:ascii="Times New Roman" w:hAnsi="Times New Roman"/>
          <w:noProof/>
          <w:sz w:val="24"/>
        </w:rPr>
      </w:pPr>
      <w:bookmarkStart w:id="219" w:name="III.4.3.2_For_treatment_in_other_flow_ac"/>
      <w:bookmarkEnd w:id="219"/>
      <w:r>
        <w:rPr>
          <w:rFonts w:ascii="Times New Roman" w:hAnsi="Times New Roman"/>
          <w:noProof/>
          <w:sz w:val="24"/>
        </w:rPr>
        <w:t>III.4.3.2. Lai traktētu citos plūsmas kontos</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pStyle w:val="BodyText"/>
        <w:numPr>
          <w:ilvl w:val="0"/>
          <w:numId w:val="75"/>
        </w:numPr>
        <w:tabs>
          <w:tab w:val="left" w:pos="1302"/>
        </w:tabs>
        <w:spacing w:before="0"/>
        <w:ind w:left="709" w:hanging="709"/>
        <w:jc w:val="both"/>
        <w:rPr>
          <w:rFonts w:ascii="Times New Roman" w:hAnsi="Times New Roman"/>
          <w:noProof/>
          <w:sz w:val="24"/>
        </w:rPr>
      </w:pPr>
      <w:r>
        <w:rPr>
          <w:rFonts w:ascii="Times New Roman" w:hAnsi="Times New Roman"/>
          <w:noProof/>
          <w:sz w:val="24"/>
        </w:rPr>
        <w:t>Aktīvu un saistību pārstrukturēšana, šim nolūkam izmantojot ievērojamu aktīvu pārvedumu, atšķiras no darījumiem šā termina ierastajā nozīmē un, jebkurā gadījumā, no vienkāršas aktīva piešķiršanas.</w:t>
      </w: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6.20. punkts</w:t>
      </w:r>
      <w:r>
        <w:rPr>
          <w:rFonts w:ascii="Times New Roman" w:hAnsi="Times New Roman"/>
          <w:noProof/>
          <w:sz w:val="24"/>
        </w:rPr>
        <w:t xml:space="preserve">: </w:t>
      </w:r>
      <w:r>
        <w:rPr>
          <w:rFonts w:ascii="Times New Roman" w:hAnsi="Times New Roman"/>
          <w:i/>
          <w:noProof/>
          <w:sz w:val="24"/>
        </w:rPr>
        <w:t>Ja sabiedrību juridiski sadala divās vai vairākās institucionālās vienībās, finanšu aktīvu un saistību rašanos ieraksta kā sektoru klasifikācijas un struktūras pārmaiņas</w:t>
      </w:r>
      <w:r>
        <w:rPr>
          <w:rFonts w:ascii="Times New Roman" w:hAnsi="Times New Roman"/>
          <w:noProof/>
          <w:sz w:val="24"/>
        </w:rPr>
        <w:t>.</w:t>
      </w:r>
    </w:p>
    <w:p w:rsidR="00523A0A" w:rsidRPr="001973D0" w:rsidRDefault="00523A0A" w:rsidP="00523A0A">
      <w:pPr>
        <w:numPr>
          <w:ilvl w:val="0"/>
          <w:numId w:val="75"/>
        </w:numPr>
        <w:tabs>
          <w:tab w:val="left" w:pos="1302"/>
        </w:tabs>
        <w:ind w:left="709" w:hanging="709"/>
        <w:jc w:val="both"/>
        <w:rPr>
          <w:rFonts w:ascii="Times New Roman" w:eastAsia="Arial" w:hAnsi="Times New Roman" w:cs="Arial"/>
          <w:noProof/>
          <w:sz w:val="24"/>
        </w:rPr>
      </w:pPr>
      <w:r>
        <w:rPr>
          <w:rFonts w:ascii="Times New Roman" w:hAnsi="Times New Roman"/>
          <w:b/>
          <w:noProof/>
          <w:sz w:val="24"/>
        </w:rPr>
        <w:t>EKS 2010 6.19. punkts</w:t>
      </w:r>
      <w:r>
        <w:rPr>
          <w:rFonts w:ascii="Times New Roman" w:hAnsi="Times New Roman"/>
          <w:noProof/>
          <w:sz w:val="24"/>
        </w:rPr>
        <w:t xml:space="preserve">: </w:t>
      </w:r>
      <w:r>
        <w:rPr>
          <w:rFonts w:ascii="Times New Roman" w:hAnsi="Times New Roman"/>
          <w:i/>
          <w:noProof/>
          <w:sz w:val="24"/>
        </w:rPr>
        <w:t>Institucionālo vienību struktūras pārmaiņas ietver noteiktu finanšu aktīvu un saistību rašanos un izzušanu, kas rodas no uzņēmumu pārstrukturēšanas</w:t>
      </w:r>
      <w:r>
        <w:rPr>
          <w:rFonts w:ascii="Times New Roman" w:hAnsi="Times New Roman"/>
          <w:noProof/>
          <w:sz w:val="24"/>
        </w:rPr>
        <w:t>.</w:t>
      </w: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Pozīcija “Sektoru klasifikācijas un struktūras pārmaiņas” (K.61), šķiet, arī ir piemērojama nefinanšu aktīviem. Pieņem, ka “struktūras pārmaiņas” ietver būtiskas izmaiņas vienības bilancē, ja tās sakrīt ar citām izmaiņām, piemēram, ar izmaiņām vienības funkcijās.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76"/>
        </w:tabs>
        <w:jc w:val="both"/>
        <w:rPr>
          <w:rFonts w:ascii="Times New Roman" w:hAnsi="Times New Roman"/>
          <w:noProof/>
          <w:sz w:val="24"/>
        </w:rPr>
      </w:pPr>
      <w:bookmarkStart w:id="220" w:name="III.4.3.3_Comment_on_recording_the_event"/>
      <w:bookmarkEnd w:id="220"/>
      <w:r>
        <w:rPr>
          <w:rFonts w:ascii="Times New Roman" w:hAnsi="Times New Roman"/>
          <w:noProof/>
          <w:sz w:val="24"/>
        </w:rPr>
        <w:t>III.4.3.3. Kom</w:t>
      </w:r>
      <w:r w:rsidR="00B809FA">
        <w:rPr>
          <w:rFonts w:ascii="Times New Roman" w:hAnsi="Times New Roman"/>
          <w:noProof/>
          <w:sz w:val="24"/>
        </w:rPr>
        <w:t>entārs par darījuma ierakstīšanu</w:t>
      </w:r>
      <w:r>
        <w:rPr>
          <w:rFonts w:ascii="Times New Roman" w:hAnsi="Times New Roman"/>
          <w:noProof/>
          <w:sz w:val="24"/>
        </w:rPr>
        <w:t xml:space="preserve"> pozīcijā F.5 kā ieguldījumu pašu kapitālā</w:t>
      </w:r>
    </w:p>
    <w:p w:rsidR="00523A0A" w:rsidRPr="001973D0" w:rsidRDefault="00523A0A" w:rsidP="00523A0A">
      <w:pPr>
        <w:pStyle w:val="Heading6"/>
        <w:tabs>
          <w:tab w:val="left" w:pos="1976"/>
        </w:tabs>
        <w:jc w:val="both"/>
        <w:rPr>
          <w:rFonts w:ascii="Times New Roman" w:hAnsi="Times New Roman"/>
          <w:noProof/>
          <w:sz w:val="24"/>
        </w:rPr>
      </w:pP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Citu ieguldījumu pašu k</w:t>
      </w:r>
      <w:r w:rsidR="00B809FA">
        <w:rPr>
          <w:rFonts w:ascii="Times New Roman" w:hAnsi="Times New Roman"/>
          <w:noProof/>
          <w:sz w:val="24"/>
        </w:rPr>
        <w:t>apitālā nav atbilstoši ierakstīti</w:t>
      </w:r>
      <w:r>
        <w:rPr>
          <w:rFonts w:ascii="Times New Roman" w:hAnsi="Times New Roman"/>
          <w:noProof/>
          <w:sz w:val="24"/>
        </w:rPr>
        <w:t xml:space="preserve"> finanšu kontā. Pozīciju F.519 </w:t>
      </w:r>
      <w:r>
        <w:rPr>
          <w:rFonts w:ascii="Times New Roman" w:hAnsi="Times New Roman"/>
          <w:noProof/>
          <w:sz w:val="24"/>
        </w:rPr>
        <w:lastRenderedPageBreak/>
        <w:t>(cits pašu kapitāls = kapitāls, kas nav apliecināts ar akcijām) nacionālajos kontos drīkst izmantot tikai dažos skaidri noteiktos gadījumos. Šāds traktējums mākslīgi uzlabotu valdības neto aizdevumu/aizņēmumu (B.9) (ar ekvivalentu darījuma starpniecību pozīcijās P.51g vai NP).</w:t>
      </w:r>
    </w:p>
    <w:p w:rsidR="00523A0A" w:rsidRPr="001973D0" w:rsidRDefault="00523A0A" w:rsidP="00523A0A">
      <w:pPr>
        <w:pStyle w:val="BodyText"/>
        <w:numPr>
          <w:ilvl w:val="0"/>
          <w:numId w:val="75"/>
        </w:numPr>
        <w:tabs>
          <w:tab w:val="left" w:pos="1202"/>
        </w:tabs>
        <w:spacing w:before="0"/>
        <w:ind w:left="709" w:hanging="709"/>
        <w:jc w:val="both"/>
        <w:rPr>
          <w:rFonts w:ascii="Times New Roman" w:hAnsi="Times New Roman"/>
          <w:noProof/>
          <w:sz w:val="24"/>
        </w:rPr>
      </w:pPr>
      <w:r>
        <w:rPr>
          <w:rFonts w:ascii="Times New Roman" w:hAnsi="Times New Roman"/>
          <w:noProof/>
          <w:sz w:val="24"/>
        </w:rPr>
        <w:t>Turklāt, pat ja no uzskaites viedokļa šāda rīcība nebūtu nepareiza, tai nebūtu ekonomiska satura. Faktiski, ja vienībai ir neto aizņēmums (deficīts), tas nozīmē, ka ir pastāvējis līdzekļu iztrūkums, kas, iespējams, bijis jāfinansē, samazinot vienības aktīvus. Šajā situācijā cita pašu kapitāla rašanās ir diezgan automātiska</w:t>
      </w:r>
      <w:r w:rsidR="00B809FA">
        <w:rPr>
          <w:rFonts w:ascii="Times New Roman" w:hAnsi="Times New Roman"/>
          <w:noProof/>
          <w:sz w:val="24"/>
        </w:rPr>
        <w:t>, un to atbilstošāk ir ierakstīt</w:t>
      </w:r>
      <w:r>
        <w:rPr>
          <w:rFonts w:ascii="Times New Roman" w:hAnsi="Times New Roman"/>
          <w:noProof/>
          <w:sz w:val="24"/>
        </w:rPr>
        <w:t xml:space="preserve"> kontā “Citas pārmaiņas aktīvu apjomā”.</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52"/>
        </w:tabs>
        <w:ind w:left="0" w:firstLine="0"/>
        <w:jc w:val="both"/>
        <w:rPr>
          <w:rFonts w:ascii="Times New Roman" w:hAnsi="Times New Roman"/>
          <w:noProof/>
          <w:u w:val="thick" w:color="000000"/>
        </w:rPr>
      </w:pPr>
      <w:bookmarkStart w:id="221" w:name="III.4.4_Accounting_examples"/>
      <w:bookmarkEnd w:id="221"/>
      <w:r>
        <w:rPr>
          <w:rFonts w:ascii="Times New Roman" w:hAnsi="Times New Roman"/>
          <w:noProof/>
          <w:u w:val="none"/>
        </w:rPr>
        <w:t>III.4.4. </w:t>
      </w:r>
      <w:r>
        <w:rPr>
          <w:rFonts w:ascii="Times New Roman" w:hAnsi="Times New Roman"/>
          <w:noProof/>
          <w:u w:val="thick" w:color="000000"/>
        </w:rPr>
        <w:t>Uzskaites piemēri</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Turpmākajā piemērā tiek pieņemts, ka valdība nodod publiskai sabiedrībai ēku, kuras vērtība ir 100. Pirmajā gadījumā tas nepārprotami ir dāvinājums un nav nekādu saistītu notikumu, un valsts arī necer uz īpašuma ienākuma palielināšanos, kas varētu rasties šā aktīva nodošanas rezultātā. Otrajā gadījumā šā aktīva nodošana ir daļa no dažu tādu pakalpojumu sniegšanas reorganizācijas, kuros sabiedrība ir iesaistīta.</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numPr>
          <w:ilvl w:val="0"/>
          <w:numId w:val="74"/>
        </w:numPr>
        <w:tabs>
          <w:tab w:val="left" w:pos="1268"/>
        </w:tabs>
        <w:ind w:left="709" w:hanging="709"/>
        <w:jc w:val="both"/>
        <w:rPr>
          <w:rFonts w:ascii="Times New Roman" w:hAnsi="Times New Roman"/>
          <w:noProof/>
          <w:sz w:val="24"/>
          <w:u w:val="thick" w:color="000000"/>
        </w:rPr>
      </w:pPr>
      <w:r>
        <w:rPr>
          <w:rFonts w:ascii="Times New Roman" w:hAnsi="Times New Roman"/>
          <w:noProof/>
          <w:sz w:val="24"/>
          <w:u w:val="thick" w:color="000000"/>
        </w:rPr>
        <w:t xml:space="preserve">Kapitāla pārveduma un </w:t>
      </w:r>
      <w:r w:rsidR="00B809FA">
        <w:rPr>
          <w:rFonts w:ascii="Times New Roman" w:hAnsi="Times New Roman"/>
          <w:noProof/>
          <w:sz w:val="24"/>
          <w:u w:val="thick" w:color="000000"/>
        </w:rPr>
        <w:t>kapitāla veidošanas ierakstīšana</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Turpmākajā piemērā tiek pieņemts, ka kapitāla pārveduma dēļ, pirmkārt, palielinās publiska uzņēmuma neto vērtība. Pēc tam ir iespējams pieņemt, ka šo neto vērtības palielinājumu ar pārvērtēšanas konta starpniecību “absorbē” ekvivalents palielinājums valdības pašu kapitālā, kas tai pieder publiskajā uzņēmumā; šis otrais solis šeit</w:t>
      </w:r>
      <w:r w:rsidR="00826349">
        <w:rPr>
          <w:rFonts w:ascii="Times New Roman" w:hAnsi="Times New Roman"/>
          <w:noProof/>
          <w:sz w:val="24"/>
        </w:rPr>
        <w:t xml:space="preserve"> nav apspriests. Turklāt beigu</w:t>
      </w:r>
      <w:r>
        <w:rPr>
          <w:rFonts w:ascii="Times New Roman" w:hAnsi="Times New Roman"/>
          <w:noProof/>
          <w:sz w:val="24"/>
        </w:rPr>
        <w:t xml:space="preserve"> bilancē pārmaiņas ir uzrādītas vienīgi neto vērtībā.</w:t>
      </w:r>
    </w:p>
    <w:p w:rsidR="00523A0A" w:rsidRPr="001973D0" w:rsidRDefault="00523A0A" w:rsidP="00523A0A">
      <w:pPr>
        <w:jc w:val="both"/>
        <w:rPr>
          <w:rFonts w:ascii="Times New Roman" w:eastAsia="Arial" w:hAnsi="Times New Roman" w:cs="Arial"/>
          <w:noProof/>
          <w:sz w:val="24"/>
          <w:szCs w:val="20"/>
        </w:rPr>
      </w:pPr>
    </w:p>
    <w:p w:rsidR="00523A0A" w:rsidRPr="001973D0" w:rsidRDefault="00D326C6" w:rsidP="00D326C6">
      <w:pPr>
        <w:jc w:val="center"/>
        <w:rPr>
          <w:rFonts w:ascii="Times New Roman" w:eastAsia="Calibri" w:hAnsi="Times New Roman" w:cs="Calibri"/>
          <w:noProof/>
          <w:sz w:val="24"/>
          <w:szCs w:val="20"/>
        </w:rPr>
      </w:pPr>
      <w:r w:rsidRPr="00D326C6">
        <w:rPr>
          <w:rFonts w:ascii="Times New Roman" w:eastAsia="Calibri" w:hAnsi="Times New Roman" w:cs="Calibri"/>
          <w:noProof/>
          <w:sz w:val="24"/>
          <w:szCs w:val="20"/>
          <w:lang w:bidi="ar-SA"/>
        </w:rPr>
        <w:drawing>
          <wp:inline distT="0" distB="0" distL="0" distR="0">
            <wp:extent cx="5760085" cy="2829773"/>
            <wp:effectExtent l="0" t="0" r="0" b="889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085" cy="2829773"/>
                    </a:xfrm>
                    <a:prstGeom prst="rect">
                      <a:avLst/>
                    </a:prstGeom>
                    <a:noFill/>
                    <a:ln>
                      <a:noFill/>
                    </a:ln>
                  </pic:spPr>
                </pic:pic>
              </a:graphicData>
            </a:graphic>
          </wp:inline>
        </w:drawing>
      </w:r>
    </w:p>
    <w:p w:rsidR="00523A0A" w:rsidRDefault="00D10B33" w:rsidP="00D326C6">
      <w:pPr>
        <w:jc w:val="center"/>
        <w:rPr>
          <w:rFonts w:ascii="Times New Roman" w:eastAsia="Calibri" w:hAnsi="Times New Roman" w:cs="Calibri"/>
          <w:noProof/>
          <w:sz w:val="24"/>
          <w:szCs w:val="18"/>
        </w:rPr>
      </w:pPr>
      <w:r w:rsidRPr="00D10B33">
        <w:rPr>
          <w:rFonts w:ascii="Times New Roman" w:eastAsia="Calibri" w:hAnsi="Times New Roman" w:cs="Calibri"/>
          <w:noProof/>
          <w:sz w:val="24"/>
          <w:szCs w:val="18"/>
          <w:lang w:bidi="ar-SA"/>
        </w:rPr>
        <w:drawing>
          <wp:inline distT="0" distB="0" distL="0" distR="0">
            <wp:extent cx="5760085" cy="1195869"/>
            <wp:effectExtent l="0" t="0" r="0"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085" cy="1195869"/>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18"/>
        </w:rPr>
      </w:pPr>
    </w:p>
    <w:p w:rsidR="00523A0A" w:rsidRPr="001973D0" w:rsidRDefault="00523A0A" w:rsidP="00523A0A">
      <w:pPr>
        <w:pStyle w:val="Heading6"/>
        <w:numPr>
          <w:ilvl w:val="0"/>
          <w:numId w:val="74"/>
        </w:numPr>
        <w:tabs>
          <w:tab w:val="left" w:pos="1368"/>
        </w:tabs>
        <w:ind w:left="709" w:hanging="709"/>
        <w:jc w:val="both"/>
        <w:rPr>
          <w:rFonts w:ascii="Times New Roman" w:hAnsi="Times New Roman"/>
          <w:noProof/>
          <w:sz w:val="24"/>
          <w:u w:val="thick" w:color="000000"/>
        </w:rPr>
      </w:pPr>
      <w:r>
        <w:rPr>
          <w:rFonts w:ascii="Times New Roman" w:hAnsi="Times New Roman"/>
          <w:noProof/>
          <w:sz w:val="24"/>
          <w:u w:val="thick" w:color="000000"/>
        </w:rPr>
        <w:lastRenderedPageBreak/>
        <w:t xml:space="preserve">Klasifikācijas un </w:t>
      </w:r>
      <w:r w:rsidR="00B809FA">
        <w:rPr>
          <w:rFonts w:ascii="Times New Roman" w:hAnsi="Times New Roman"/>
          <w:noProof/>
          <w:sz w:val="24"/>
          <w:u w:val="thick" w:color="000000"/>
        </w:rPr>
        <w:t>struktūras pārmaiņu ierakstīšana</w:t>
      </w:r>
    </w:p>
    <w:p w:rsidR="00523A0A" w:rsidRPr="001973D0" w:rsidRDefault="00523A0A" w:rsidP="00523A0A">
      <w:pPr>
        <w:jc w:val="both"/>
        <w:rPr>
          <w:rFonts w:ascii="Times New Roman" w:eastAsia="Arial" w:hAnsi="Times New Roman" w:cs="Arial"/>
          <w:b/>
          <w:bCs/>
          <w:noProof/>
          <w:sz w:val="24"/>
          <w:szCs w:val="27"/>
        </w:rPr>
      </w:pPr>
    </w:p>
    <w:p w:rsidR="00523A0A" w:rsidRPr="001973D0" w:rsidRDefault="00D10B33" w:rsidP="00523A0A">
      <w:pPr>
        <w:jc w:val="both"/>
        <w:rPr>
          <w:rFonts w:ascii="Times New Roman" w:eastAsia="Calibri" w:hAnsi="Times New Roman" w:cs="Calibri"/>
          <w:noProof/>
          <w:sz w:val="24"/>
          <w:szCs w:val="20"/>
        </w:rPr>
      </w:pPr>
      <w:r w:rsidRPr="00D10B33">
        <w:rPr>
          <w:rFonts w:ascii="Times New Roman" w:eastAsia="Calibri" w:hAnsi="Times New Roman" w:cs="Calibri"/>
          <w:noProof/>
          <w:sz w:val="24"/>
          <w:szCs w:val="20"/>
          <w:lang w:bidi="ar-SA"/>
        </w:rPr>
        <w:drawing>
          <wp:inline distT="0" distB="0" distL="0" distR="0">
            <wp:extent cx="5760085" cy="5084961"/>
            <wp:effectExtent l="0" t="0" r="0" b="190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60085" cy="5084961"/>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0"/>
        </w:rPr>
      </w:pPr>
    </w:p>
    <w:p w:rsidR="00523A0A" w:rsidRDefault="00523A0A" w:rsidP="00523A0A">
      <w:pPr>
        <w:rPr>
          <w:rFonts w:ascii="Times New Roman" w:eastAsia="Calibri" w:hAnsi="Times New Roman" w:cs="Calibri"/>
          <w:noProof/>
          <w:sz w:val="24"/>
          <w:szCs w:val="14"/>
        </w:rPr>
      </w:pPr>
      <w:r>
        <w:br w:type="page"/>
      </w:r>
    </w:p>
    <w:p w:rsidR="00523A0A" w:rsidRDefault="00523A0A" w:rsidP="00D326C6">
      <w:pPr>
        <w:pStyle w:val="Heading2"/>
        <w:rPr>
          <w:noProof/>
        </w:rPr>
      </w:pPr>
      <w:bookmarkStart w:id="222" w:name="III.5_Dividends,_super-dividends,_interi"/>
      <w:bookmarkStart w:id="223" w:name="_bookmark25"/>
      <w:bookmarkStart w:id="224" w:name="_Toc471135891"/>
      <w:bookmarkEnd w:id="222"/>
      <w:bookmarkEnd w:id="223"/>
      <w:r>
        <w:rPr>
          <w:noProof/>
        </w:rPr>
        <w:lastRenderedPageBreak/>
        <w:t xml:space="preserve">III.5. Dividendes, </w:t>
      </w:r>
      <w:r w:rsidRPr="00D326C6">
        <w:t>superdividendes</w:t>
      </w:r>
      <w:r>
        <w:rPr>
          <w:noProof/>
        </w:rPr>
        <w:t xml:space="preserve">, </w:t>
      </w:r>
      <w:r w:rsidR="00826349">
        <w:rPr>
          <w:noProof/>
        </w:rPr>
        <w:t>starpperioda</w:t>
      </w:r>
      <w:r>
        <w:rPr>
          <w:noProof/>
        </w:rPr>
        <w:t xml:space="preserve"> dividendes</w:t>
      </w:r>
      <w:bookmarkEnd w:id="224"/>
    </w:p>
    <w:p w:rsidR="00523A0A" w:rsidRPr="001973D0" w:rsidRDefault="00523A0A" w:rsidP="00523A0A">
      <w:pPr>
        <w:pStyle w:val="Heading2"/>
        <w:tabs>
          <w:tab w:val="left" w:pos="1562"/>
        </w:tabs>
        <w:jc w:val="both"/>
        <w:rPr>
          <w:noProof/>
          <w:sz w:val="24"/>
        </w:rPr>
      </w:pPr>
    </w:p>
    <w:p w:rsidR="00523A0A" w:rsidRDefault="00523A0A" w:rsidP="00523A0A">
      <w:pPr>
        <w:pStyle w:val="Heading4"/>
        <w:tabs>
          <w:tab w:val="left" w:pos="1552"/>
        </w:tabs>
        <w:ind w:left="0" w:firstLine="0"/>
        <w:jc w:val="both"/>
        <w:rPr>
          <w:rFonts w:ascii="Times New Roman" w:hAnsi="Times New Roman"/>
          <w:noProof/>
          <w:u w:val="thick" w:color="000000"/>
        </w:rPr>
      </w:pPr>
      <w:bookmarkStart w:id="225" w:name="III.5.1_Background"/>
      <w:bookmarkEnd w:id="225"/>
      <w:r>
        <w:rPr>
          <w:rFonts w:ascii="Times New Roman" w:hAnsi="Times New Roman"/>
          <w:noProof/>
          <w:u w:val="none"/>
        </w:rPr>
        <w:t>III.5.1. </w:t>
      </w:r>
      <w:r>
        <w:rPr>
          <w:rFonts w:ascii="Times New Roman" w:hAnsi="Times New Roman"/>
          <w:noProof/>
          <w:u w:val="thick" w:color="000000"/>
        </w:rPr>
        <w:t>Vispārēja informācija</w:t>
      </w:r>
    </w:p>
    <w:p w:rsidR="00523A0A" w:rsidRPr="001973D0" w:rsidRDefault="00523A0A" w:rsidP="00523A0A">
      <w:pPr>
        <w:pStyle w:val="Heading4"/>
        <w:tabs>
          <w:tab w:val="left" w:pos="1552"/>
        </w:tabs>
        <w:ind w:left="0" w:firstLine="0"/>
        <w:jc w:val="both"/>
        <w:rPr>
          <w:rFonts w:ascii="Times New Roman" w:hAnsi="Times New Roman"/>
          <w:noProof/>
          <w:u w:val="thick" w:color="000000"/>
        </w:rPr>
      </w:pPr>
    </w:p>
    <w:p w:rsidR="00523A0A" w:rsidRPr="0068282C"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Maksājumus, kurus valsts komercsabiedrības veic valdībai kā akcionāram, parasti dēvē par “dividendēm”, atsaucoties uz komerctiesībām un saimnieciskās darbības grāmatvedības uzskaiti.</w:t>
      </w:r>
      <w:r>
        <w:rPr>
          <w:rStyle w:val="FootnoteReference"/>
          <w:rFonts w:ascii="Times New Roman" w:hAnsi="Times New Roman"/>
          <w:noProof/>
          <w:sz w:val="24"/>
        </w:rPr>
        <w:footnoteReference w:id="155"/>
      </w:r>
      <w:r>
        <w:rPr>
          <w:rFonts w:ascii="Times New Roman" w:hAnsi="Times New Roman"/>
          <w:noProof/>
          <w:sz w:val="24"/>
        </w:rPr>
        <w:t xml:space="preserve"> Lielākajā daļā gadījumu EKS šo</w:t>
      </w:r>
      <w:r w:rsidR="00B809FA">
        <w:rPr>
          <w:rFonts w:ascii="Times New Roman" w:hAnsi="Times New Roman"/>
          <w:noProof/>
          <w:sz w:val="24"/>
        </w:rPr>
        <w:t>s starpposma maksājumus ieraksta</w:t>
      </w:r>
      <w:r>
        <w:rPr>
          <w:rFonts w:ascii="Times New Roman" w:hAnsi="Times New Roman"/>
          <w:noProof/>
          <w:sz w:val="24"/>
        </w:rPr>
        <w:t xml:space="preserve"> arī kā īpašuma ienākumu (dividendes, D.42). Šajā nodaļā apspriests jautājums par to, vai pastāv tādi publisku sabiedrību veikti maksājumi valdībai, kuriem saistībā ar makroekonomikas statistiku ir nepieciešams atšķirīgs traktējums EKS, lai arī saimnieciskās darbības grāmatvedības uzskaitē tos var kvalificēt kā di</w:t>
      </w:r>
      <w:r w:rsidR="00B809FA">
        <w:rPr>
          <w:rFonts w:ascii="Times New Roman" w:hAnsi="Times New Roman"/>
          <w:noProof/>
          <w:sz w:val="24"/>
        </w:rPr>
        <w:t>videndes, t. i., vai tie ir jāieraksta</w:t>
      </w:r>
      <w:r>
        <w:rPr>
          <w:rFonts w:ascii="Times New Roman" w:hAnsi="Times New Roman"/>
          <w:noProof/>
          <w:sz w:val="24"/>
        </w:rPr>
        <w:t xml:space="preserve"> atšķirīgi no īpašuma ienākuma. Turpmākos noteikumus parasti nepiemēro attiecībā uz privātu sabiedrību veiktiem dividenžu maksājumiem, kad valdība ir mazākuma akcionārs, ja vien nav pierādījumu, ka valdībai ir bijusi izšķiroša ietekme uz ienākumu piešķiršanu un sadali.</w:t>
      </w:r>
      <w:r>
        <w:rPr>
          <w:rStyle w:val="FootnoteReference"/>
          <w:rFonts w:ascii="Times New Roman" w:hAnsi="Times New Roman"/>
          <w:noProof/>
          <w:sz w:val="24"/>
        </w:rPr>
        <w:footnoteReference w:id="156"/>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Īpaši svarīgi var būt divi jautājumi, kas skar darījuma būtību un attiecīgi arī EKS paredzēto maksājuma klasifikāciju: maksājuma lielums saistībā ar sabiedrības uzkrāto peļņu un maksājuma laiks, turklāt dažkārt ir jāņem vērā abi šie jautājumi.</w:t>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Dividende</w:t>
      </w:r>
      <w:r w:rsidR="00B809FA">
        <w:rPr>
          <w:rFonts w:ascii="Times New Roman" w:hAnsi="Times New Roman"/>
          <w:noProof/>
          <w:sz w:val="24"/>
        </w:rPr>
        <w:t>s tiek izmaksātas un ierakstītas</w:t>
      </w:r>
      <w:r>
        <w:rPr>
          <w:rFonts w:ascii="Times New Roman" w:hAnsi="Times New Roman"/>
          <w:noProof/>
          <w:sz w:val="24"/>
        </w:rPr>
        <w:t xml:space="preserve"> sabiedrības kontos, kad to nolemj sabiedrības īpašnieki (parasti tam nepieciešams valdes priekšlikums un lielākās akcionāru sapulces daļas apstiprinājums), parasti pamatojoties uz pārskata gadā gūtajiem ienākumiem. Šāds lēmums parasti tiek pieņemts nākamajā gadā pēc gūto ienākumu pārskata gada, kad attiecībā uz šo gadu ir apstiprināti pārskati. Tomēr nereti (jo īpaši tādu lielu sabiedrību gadījumā, kas sagatavo pusgada vai ceturkšņa pārskatus vai regulāri publicē paziņo</w:t>
      </w:r>
      <w:r w:rsidR="00345AF2">
        <w:rPr>
          <w:rFonts w:ascii="Times New Roman" w:hAnsi="Times New Roman"/>
          <w:noProof/>
          <w:sz w:val="24"/>
        </w:rPr>
        <w:t>jumus par ienākumiem) starpperioda</w:t>
      </w:r>
      <w:r>
        <w:rPr>
          <w:rFonts w:ascii="Times New Roman" w:hAnsi="Times New Roman"/>
          <w:noProof/>
          <w:sz w:val="24"/>
        </w:rPr>
        <w:t xml:space="preserve"> dividendes tiek izmaksātas pārskata gadā, pirms ir zināmi galīgie gada ienākumi. Komercuzņēmumu grāmatvedībā šī ir bieži izmantota prakse. Līdzīga prakse ir arī dažām publiskām sabiedrībām (tostarp centrālajām bankām) ES. EKS 2010 ir skaidri iz</w:t>
      </w:r>
      <w:r w:rsidR="00345AF2">
        <w:rPr>
          <w:rFonts w:ascii="Times New Roman" w:hAnsi="Times New Roman"/>
          <w:noProof/>
          <w:sz w:val="24"/>
        </w:rPr>
        <w:t>skatīts jautājums par starpperioda</w:t>
      </w:r>
      <w:r>
        <w:rPr>
          <w:rFonts w:ascii="Times New Roman" w:hAnsi="Times New Roman"/>
          <w:noProof/>
          <w:sz w:val="24"/>
        </w:rPr>
        <w:t xml:space="preserve"> dividendēm.</w:t>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Vēl viens jautājums ir par maksājuma apmēru. Saskaņā ar ienākuma definīciju nacionālajos kontos lielu maksājumu var veikt kā atskaitījumu no sabiedrības iepriekš uzkrātajām rezervēm, kas iekļautas tās pašu līdzekļos, nevis no tās gada peļņas. Maksājumi, kurus veic valdībai gan pēc tam, kad ir zināma sabiedrības gada peļņa, gan arī pirms tam (starpposma maksājumi), ir rūpīgi jāana</w:t>
      </w:r>
      <w:r w:rsidR="00B809FA">
        <w:rPr>
          <w:rFonts w:ascii="Times New Roman" w:hAnsi="Times New Roman"/>
          <w:noProof/>
          <w:sz w:val="24"/>
        </w:rPr>
        <w:t>lizē, lai noteiktu, kā ierakstīt</w:t>
      </w:r>
      <w:r>
        <w:rPr>
          <w:rFonts w:ascii="Times New Roman" w:hAnsi="Times New Roman"/>
          <w:noProof/>
          <w:sz w:val="24"/>
        </w:rPr>
        <w:t xml:space="preserve"> darījumus nacionālajos kontos.</w:t>
      </w:r>
    </w:p>
    <w:p w:rsidR="00523A0A" w:rsidRPr="001973D0" w:rsidRDefault="00523A0A" w:rsidP="00523A0A">
      <w:pPr>
        <w:jc w:val="both"/>
        <w:rPr>
          <w:rFonts w:ascii="Times New Roman" w:hAnsi="Times New Roman"/>
          <w:noProof/>
          <w:sz w:val="24"/>
        </w:rPr>
      </w:pPr>
    </w:p>
    <w:p w:rsidR="00523A0A" w:rsidRPr="001973D0" w:rsidRDefault="00523A0A" w:rsidP="00523A0A">
      <w:pPr>
        <w:pStyle w:val="Heading4"/>
        <w:tabs>
          <w:tab w:val="left" w:pos="1652"/>
        </w:tabs>
        <w:ind w:left="0" w:firstLine="0"/>
        <w:jc w:val="both"/>
        <w:rPr>
          <w:rFonts w:ascii="Times New Roman" w:hAnsi="Times New Roman"/>
          <w:noProof/>
          <w:u w:val="thick" w:color="000000"/>
        </w:rPr>
      </w:pPr>
      <w:bookmarkStart w:id="226" w:name="III.5.2_Treatment_in_national_accounts"/>
      <w:bookmarkEnd w:id="226"/>
      <w:r>
        <w:rPr>
          <w:rFonts w:ascii="Times New Roman" w:hAnsi="Times New Roman"/>
          <w:noProof/>
          <w:u w:val="none"/>
        </w:rPr>
        <w:t>III.5.2. </w:t>
      </w:r>
      <w:r>
        <w:rPr>
          <w:rFonts w:ascii="Times New Roman" w:hAnsi="Times New Roman"/>
          <w:noProof/>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76"/>
        </w:tabs>
        <w:jc w:val="both"/>
        <w:rPr>
          <w:rFonts w:ascii="Times New Roman" w:hAnsi="Times New Roman"/>
          <w:noProof/>
          <w:sz w:val="24"/>
        </w:rPr>
      </w:pPr>
      <w:bookmarkStart w:id="227" w:name="III.5.2.1_Dividends_and_super-dividends:"/>
      <w:bookmarkEnd w:id="227"/>
      <w:r>
        <w:rPr>
          <w:rFonts w:ascii="Times New Roman" w:hAnsi="Times New Roman"/>
          <w:noProof/>
          <w:sz w:val="24"/>
        </w:rPr>
        <w:t>III.5.2.1. Dividendes un superdividendes – definīcijas</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Dividendes. EKS 2010 4.53. punkts: “Dividendes (D.421) ir īpašuma ienākuma veids, ko ir tiesības saņemt akciju īpašniekiem (AF.5), piemēram, par sabiedrību rīcībā nodotajiem līdzekļiem”.</w:t>
      </w:r>
    </w:p>
    <w:p w:rsidR="00523A0A"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EKS 2010 ir noteikti turpmākie principi.</w:t>
      </w:r>
    </w:p>
    <w:p w:rsidR="00523A0A" w:rsidRPr="001973D0" w:rsidRDefault="00523A0A" w:rsidP="00523A0A">
      <w:pPr>
        <w:pStyle w:val="BodyText"/>
        <w:tabs>
          <w:tab w:val="left" w:pos="1302"/>
        </w:tabs>
        <w:spacing w:before="0"/>
        <w:ind w:left="0" w:firstLine="0"/>
        <w:rPr>
          <w:rFonts w:ascii="Times New Roman" w:hAnsi="Times New Roman"/>
          <w:noProof/>
          <w:sz w:val="24"/>
        </w:rPr>
      </w:pPr>
    </w:p>
    <w:p w:rsidR="00523A0A" w:rsidRPr="001973D0" w:rsidRDefault="00523A0A" w:rsidP="00523A0A">
      <w:pPr>
        <w:pStyle w:val="BodyText"/>
        <w:numPr>
          <w:ilvl w:val="1"/>
          <w:numId w:val="73"/>
        </w:numPr>
        <w:tabs>
          <w:tab w:val="left" w:pos="1662"/>
        </w:tabs>
        <w:spacing w:before="0"/>
        <w:ind w:left="1134" w:hanging="425"/>
        <w:jc w:val="both"/>
        <w:rPr>
          <w:rFonts w:ascii="Times New Roman" w:hAnsi="Times New Roman"/>
          <w:noProof/>
          <w:sz w:val="24"/>
        </w:rPr>
      </w:pPr>
      <w:r>
        <w:rPr>
          <w:rFonts w:ascii="Times New Roman" w:hAnsi="Times New Roman"/>
          <w:noProof/>
          <w:sz w:val="24"/>
        </w:rPr>
        <w:t>Līdzekļi, kas vienībai (sabiedrībai) ir pieejami sadalei kā dividendes, [..] ir vienības sadalāmie ienākumi, kas atbilst uzņēmējdarbības ienākumiem (B.4)</w:t>
      </w:r>
      <w:r>
        <w:rPr>
          <w:rStyle w:val="FootnoteReference"/>
          <w:rFonts w:ascii="Times New Roman" w:hAnsi="Times New Roman"/>
          <w:noProof/>
          <w:sz w:val="24"/>
        </w:rPr>
        <w:footnoteReference w:id="157"/>
      </w:r>
      <w:r>
        <w:rPr>
          <w:rFonts w:ascii="Times New Roman" w:hAnsi="Times New Roman"/>
          <w:noProof/>
          <w:sz w:val="24"/>
        </w:rPr>
        <w:t>, kam pieskaita visus saņemamos kārtējos pārvedumus un no kā atskaita visus maksājamos kārtējos pārvedumus un korekciju saistībā ar pensiju tiesību pārmaiņām (EKS 2010 4.55. punkts).</w:t>
      </w:r>
    </w:p>
    <w:p w:rsidR="00523A0A" w:rsidRPr="001973D0" w:rsidRDefault="00523A0A" w:rsidP="00523A0A">
      <w:pPr>
        <w:pStyle w:val="BodyText"/>
        <w:numPr>
          <w:ilvl w:val="1"/>
          <w:numId w:val="73"/>
        </w:numPr>
        <w:tabs>
          <w:tab w:val="left" w:pos="1662"/>
        </w:tabs>
        <w:spacing w:before="0"/>
        <w:ind w:left="1134" w:hanging="425"/>
        <w:jc w:val="both"/>
        <w:rPr>
          <w:rFonts w:ascii="Times New Roman" w:hAnsi="Times New Roman"/>
          <w:noProof/>
          <w:sz w:val="24"/>
        </w:rPr>
      </w:pPr>
      <w:r>
        <w:rPr>
          <w:rFonts w:ascii="Times New Roman" w:hAnsi="Times New Roman"/>
          <w:noProof/>
          <w:sz w:val="24"/>
        </w:rPr>
        <w:t>Ievērojot šādu loģiku, līdzekļos, no kuriem jāizmaksā dividendes, neiekļauj ne aktīvu pārdošanas ieņēmumus, ne turēšanas guvumus [..], kuri neietilpst sadalāmajos ienākumos.</w:t>
      </w:r>
    </w:p>
    <w:p w:rsidR="00523A0A" w:rsidRPr="001973D0" w:rsidRDefault="00523A0A" w:rsidP="00523A0A">
      <w:pPr>
        <w:pStyle w:val="BodyText"/>
        <w:numPr>
          <w:ilvl w:val="1"/>
          <w:numId w:val="73"/>
        </w:numPr>
        <w:tabs>
          <w:tab w:val="left" w:pos="1662"/>
        </w:tabs>
        <w:spacing w:before="0"/>
        <w:ind w:left="1134" w:hanging="425"/>
        <w:jc w:val="both"/>
        <w:rPr>
          <w:rFonts w:ascii="Times New Roman" w:hAnsi="Times New Roman"/>
          <w:noProof/>
          <w:sz w:val="24"/>
        </w:rPr>
      </w:pPr>
      <w:r>
        <w:rPr>
          <w:rFonts w:ascii="Times New Roman" w:hAnsi="Times New Roman"/>
          <w:noProof/>
          <w:sz w:val="24"/>
        </w:rPr>
        <w:t>No rezervēm veikts liels maksājums, samazinot komercsabiedrības pašu līdzekļus, nav ienākuma sadale. Šāds maksājums būtībā ir</w:t>
      </w:r>
      <w:r w:rsidR="00B809FA">
        <w:rPr>
          <w:rFonts w:ascii="Times New Roman" w:hAnsi="Times New Roman"/>
          <w:noProof/>
          <w:sz w:val="24"/>
        </w:rPr>
        <w:t xml:space="preserve"> kapitāla izņemšana, ko ieraksta</w:t>
      </w:r>
      <w:r>
        <w:rPr>
          <w:rFonts w:ascii="Times New Roman" w:hAnsi="Times New Roman"/>
          <w:noProof/>
          <w:sz w:val="24"/>
        </w:rPr>
        <w:t xml:space="preserve"> kā darījumu ar akcijām un citu pašu kapitālu.</w:t>
      </w:r>
    </w:p>
    <w:p w:rsidR="00523A0A" w:rsidRDefault="00523A0A" w:rsidP="00523A0A">
      <w:pPr>
        <w:pStyle w:val="BodyText"/>
        <w:numPr>
          <w:ilvl w:val="1"/>
          <w:numId w:val="73"/>
        </w:numPr>
        <w:tabs>
          <w:tab w:val="left" w:pos="1662"/>
        </w:tabs>
        <w:spacing w:before="0"/>
        <w:ind w:left="1134" w:hanging="425"/>
        <w:jc w:val="both"/>
        <w:rPr>
          <w:rFonts w:ascii="Times New Roman" w:hAnsi="Times New Roman"/>
          <w:noProof/>
          <w:sz w:val="24"/>
          <w:szCs w:val="14"/>
        </w:rPr>
      </w:pPr>
      <w:r>
        <w:rPr>
          <w:rFonts w:ascii="Times New Roman" w:hAnsi="Times New Roman"/>
          <w:noProof/>
          <w:sz w:val="24"/>
        </w:rPr>
        <w:t>Praksē attiecībā uz sadalāmajiem ienākumiem kā tuvinājumu var izmantot sabiedrības pamatdarbības peļņu vai pārpalikumu (tostarp neto procentu maksājumus, lai nodrošinātu atbilstību “B.4” jēdzienam, kas noteikts EKS 2010 8.26.–8.27. punktā).</w:t>
      </w:r>
      <w:r>
        <w:rPr>
          <w:rStyle w:val="FootnoteReference"/>
          <w:rFonts w:ascii="Times New Roman" w:hAnsi="Times New Roman"/>
          <w:noProof/>
          <w:sz w:val="24"/>
        </w:rPr>
        <w:footnoteReference w:id="158"/>
      </w:r>
    </w:p>
    <w:p w:rsidR="00523A0A" w:rsidRPr="001973D0" w:rsidRDefault="00523A0A" w:rsidP="00523A0A">
      <w:pPr>
        <w:pStyle w:val="BodyText"/>
        <w:tabs>
          <w:tab w:val="left" w:pos="1662"/>
        </w:tabs>
        <w:spacing w:before="0"/>
        <w:ind w:left="0" w:firstLine="0"/>
        <w:rPr>
          <w:rFonts w:ascii="Times New Roman" w:hAnsi="Times New Roman"/>
          <w:noProof/>
          <w:sz w:val="24"/>
          <w:szCs w:val="14"/>
        </w:rPr>
      </w:pP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Sabiedrības var izlīdzināt dividenžu summas, kuras tās izmaksā katru gadu. Vienā gadā tās var novirzīt daļu peļņas rezervēs un izmantot to nākamajā gadā dividenžu izlīdzināšanai. Lai arī konceptuāli nacionālajā kontu sistēmā ir pieņemami šādus i</w:t>
      </w:r>
      <w:r w:rsidR="00B809FA">
        <w:rPr>
          <w:rFonts w:ascii="Times New Roman" w:hAnsi="Times New Roman"/>
          <w:noProof/>
          <w:sz w:val="24"/>
        </w:rPr>
        <w:t>zlīdzinātus maksājumus ierakstīt</w:t>
      </w:r>
      <w:r>
        <w:rPr>
          <w:rFonts w:ascii="Times New Roman" w:hAnsi="Times New Roman"/>
          <w:noProof/>
          <w:sz w:val="24"/>
        </w:rPr>
        <w:t xml:space="preserve"> kā dividendes, jo tie faktiski iegūti no sadalāmiem ienākumiem, ja vien sabiedrības akcionāru sapulce to skaidri apstiprinājusi iepri</w:t>
      </w:r>
      <w:r w:rsidR="00B809FA">
        <w:rPr>
          <w:rFonts w:ascii="Times New Roman" w:hAnsi="Times New Roman"/>
          <w:noProof/>
          <w:sz w:val="24"/>
        </w:rPr>
        <w:t>ekšējā gadā un tas ir ierakstīts</w:t>
      </w:r>
      <w:r>
        <w:rPr>
          <w:rFonts w:ascii="Times New Roman" w:hAnsi="Times New Roman"/>
          <w:noProof/>
          <w:sz w:val="24"/>
        </w:rPr>
        <w:t xml:space="preserve"> identificētā rezervē, kas izveidota vienīgi šim nolūkam, tādu lielu maksājumu gadījumā, kuri pārsniedz speciālo rezervi, kas izveidota īstermiņa koriģēšanai un attiecībā uz kuriem ir pierādījumi, ka tie veidoti no rezervēm, kas uzkrātas no vairāk nekā viena iepriekšējā gada, tos pēc būtības uzskata par kapitāla izņemšanu, ka</w:t>
      </w:r>
      <w:r w:rsidR="00B809FA">
        <w:rPr>
          <w:rFonts w:ascii="Times New Roman" w:hAnsi="Times New Roman"/>
          <w:noProof/>
          <w:sz w:val="24"/>
        </w:rPr>
        <w:t>s nacionālajos kontos jāieraksta</w:t>
      </w:r>
      <w:r>
        <w:rPr>
          <w:rFonts w:ascii="Times New Roman" w:hAnsi="Times New Roman"/>
          <w:noProof/>
          <w:sz w:val="24"/>
        </w:rPr>
        <w:t xml:space="preserve"> kā finanšu darījums ar akcijām un citu pašu kapitālu.</w:t>
      </w: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Superdividendes pēc savas būtības atšķiras no dividendēm, jo tiek izmaksātas no uzkrātajām rezervēm, kuras ir reģistrētas sabiedrības pašu līdzekļos. Jebkādus atvilk</w:t>
      </w:r>
      <w:r w:rsidR="00B809FA">
        <w:rPr>
          <w:rFonts w:ascii="Times New Roman" w:hAnsi="Times New Roman"/>
          <w:noProof/>
          <w:sz w:val="24"/>
        </w:rPr>
        <w:t>umus no pašu līdzekļiem ieraksta</w:t>
      </w:r>
      <w:r>
        <w:rPr>
          <w:rFonts w:ascii="Times New Roman" w:hAnsi="Times New Roman"/>
          <w:noProof/>
          <w:sz w:val="24"/>
        </w:rPr>
        <w:t xml:space="preserve"> kā pašu kapitāla izņemšanu (F.5) vismaz attiecībā uz to summu, kas pārsniedz pārskata gada sadalāmos ienākumus.</w:t>
      </w:r>
    </w:p>
    <w:p w:rsidR="00523A0A" w:rsidRPr="0068282C"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EKS 2010 20.206.–20.207. punktā noteiktais “superdividenžu tests” ir jāpiemēro attiecībā uz visiem lielajiem maksājumiem, kas ievērojami atšķiras no parastajām dividenžu summām un bieži vien proporcionāli neatbilst vidējiem sadalāmajiem ienākumiem, kas gūti nesenā pagātnē. Kā</w:t>
      </w:r>
      <w:r w:rsidR="00B809FA">
        <w:rPr>
          <w:rFonts w:ascii="Times New Roman" w:hAnsi="Times New Roman"/>
          <w:noProof/>
          <w:sz w:val="24"/>
        </w:rPr>
        <w:t xml:space="preserve"> īpašuma ienākumus var ierakstīt</w:t>
      </w:r>
      <w:r>
        <w:rPr>
          <w:rFonts w:ascii="Times New Roman" w:hAnsi="Times New Roman"/>
          <w:noProof/>
          <w:sz w:val="24"/>
        </w:rPr>
        <w:t xml:space="preserve"> tikai to daļu, kas ir vienāda ar sadalāmajiem ienākumi</w:t>
      </w:r>
      <w:r w:rsidR="00B809FA">
        <w:rPr>
          <w:rFonts w:ascii="Times New Roman" w:hAnsi="Times New Roman"/>
          <w:noProof/>
          <w:sz w:val="24"/>
        </w:rPr>
        <w:t>em. Pārsnieguma summa jāieraksta</w:t>
      </w:r>
      <w:r>
        <w:rPr>
          <w:rFonts w:ascii="Times New Roman" w:hAnsi="Times New Roman"/>
          <w:noProof/>
          <w:sz w:val="24"/>
        </w:rPr>
        <w:t xml:space="preserve"> kā darījums ar pašu kapitālu (F.5). Šis ieteikums attiecas uz visām sabiedrībām, tostarp arī uz centrālo banku.</w:t>
      </w:r>
    </w:p>
    <w:p w:rsidR="00523A0A" w:rsidRPr="001973D0" w:rsidRDefault="00523A0A" w:rsidP="00523A0A">
      <w:pPr>
        <w:jc w:val="both"/>
        <w:rPr>
          <w:rFonts w:ascii="Times New Roman" w:eastAsia="Arial" w:hAnsi="Times New Roman" w:cs="Arial"/>
          <w:noProof/>
          <w:sz w:val="24"/>
          <w:szCs w:val="20"/>
        </w:rPr>
      </w:pPr>
    </w:p>
    <w:p w:rsidR="00523A0A" w:rsidRDefault="00B809FA" w:rsidP="00523A0A">
      <w:pPr>
        <w:pStyle w:val="Heading6"/>
        <w:tabs>
          <w:tab w:val="left" w:pos="1976"/>
        </w:tabs>
        <w:jc w:val="both"/>
        <w:rPr>
          <w:rFonts w:ascii="Times New Roman" w:hAnsi="Times New Roman"/>
          <w:noProof/>
          <w:sz w:val="24"/>
        </w:rPr>
      </w:pPr>
      <w:bookmarkStart w:id="228" w:name="III.5.2.2_Time_of_recording"/>
      <w:bookmarkEnd w:id="228"/>
      <w:r>
        <w:rPr>
          <w:rFonts w:ascii="Times New Roman" w:hAnsi="Times New Roman"/>
          <w:noProof/>
          <w:sz w:val="24"/>
        </w:rPr>
        <w:t>III.5.2.2. Ierakstīšanas</w:t>
      </w:r>
      <w:r w:rsidR="00523A0A">
        <w:rPr>
          <w:rFonts w:ascii="Times New Roman" w:hAnsi="Times New Roman"/>
          <w:noProof/>
          <w:sz w:val="24"/>
        </w:rPr>
        <w:t xml:space="preserve"> laiks</w:t>
      </w:r>
    </w:p>
    <w:p w:rsidR="00523A0A" w:rsidRPr="001973D0" w:rsidRDefault="00523A0A" w:rsidP="00523A0A">
      <w:pPr>
        <w:pStyle w:val="Heading6"/>
        <w:tabs>
          <w:tab w:val="left" w:pos="1976"/>
        </w:tabs>
        <w:jc w:val="both"/>
        <w:rPr>
          <w:rFonts w:ascii="Times New Roman" w:hAnsi="Times New Roman"/>
          <w:noProof/>
          <w:sz w:val="24"/>
        </w:rPr>
      </w:pPr>
    </w:p>
    <w:p w:rsidR="00523A0A"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EKS 2010 ir sniegti turpmāk izklāstītie norādījumi.</w:t>
      </w:r>
    </w:p>
    <w:p w:rsidR="00523A0A" w:rsidRPr="001973D0" w:rsidRDefault="00523A0A" w:rsidP="00523A0A">
      <w:pPr>
        <w:pStyle w:val="BodyText"/>
        <w:tabs>
          <w:tab w:val="left" w:pos="1202"/>
        </w:tabs>
        <w:spacing w:before="0"/>
        <w:ind w:left="0" w:firstLine="0"/>
        <w:rPr>
          <w:rFonts w:ascii="Times New Roman" w:hAnsi="Times New Roman"/>
          <w:noProof/>
          <w:sz w:val="24"/>
        </w:rPr>
      </w:pPr>
    </w:p>
    <w:p w:rsidR="00523A0A" w:rsidRPr="001973D0" w:rsidRDefault="00523A0A" w:rsidP="00523A0A">
      <w:pPr>
        <w:numPr>
          <w:ilvl w:val="1"/>
          <w:numId w:val="73"/>
        </w:numPr>
        <w:tabs>
          <w:tab w:val="left" w:pos="1562"/>
        </w:tabs>
        <w:ind w:left="1134" w:hanging="425"/>
        <w:jc w:val="both"/>
        <w:rPr>
          <w:rFonts w:ascii="Times New Roman" w:eastAsia="Arial" w:hAnsi="Times New Roman" w:cs="Arial"/>
          <w:noProof/>
          <w:sz w:val="24"/>
        </w:rPr>
      </w:pPr>
      <w:r>
        <w:rPr>
          <w:rFonts w:ascii="Times New Roman" w:hAnsi="Times New Roman"/>
          <w:noProof/>
          <w:sz w:val="24"/>
        </w:rPr>
        <w:t xml:space="preserve">Attiecībā uz dividendēm (D.421) EKS 2010 4.57. punkts: </w:t>
      </w:r>
      <w:r>
        <w:rPr>
          <w:rFonts w:ascii="Times New Roman" w:hAnsi="Times New Roman"/>
          <w:i/>
          <w:noProof/>
          <w:sz w:val="24"/>
        </w:rPr>
        <w:t xml:space="preserve">Dividenžu ierakstīšana </w:t>
      </w:r>
      <w:r>
        <w:rPr>
          <w:rFonts w:ascii="Times New Roman" w:hAnsi="Times New Roman"/>
          <w:i/>
          <w:noProof/>
          <w:sz w:val="24"/>
        </w:rPr>
        <w:lastRenderedPageBreak/>
        <w:t>notiek laikā, kad akciju cenu sāk kotēt bez dividendēm, nevis par cenu, kurā ietvertas dividendes</w:t>
      </w:r>
      <w:r>
        <w:rPr>
          <w:rFonts w:ascii="Times New Roman" w:hAnsi="Times New Roman"/>
          <w:noProof/>
          <w:sz w:val="24"/>
        </w:rPr>
        <w:t>. Praksē tas ir ļoti tuvu brīdim, kad tās tiek faktiski izmaksātas akcionāriem. Nekotētu akciju gadījumā tas ir brīdis, kad dividende ir jāizmaksā.</w:t>
      </w:r>
      <w:r>
        <w:rPr>
          <w:rStyle w:val="FootnoteReference"/>
          <w:rFonts w:ascii="Times New Roman" w:hAnsi="Times New Roman"/>
          <w:noProof/>
          <w:sz w:val="24"/>
        </w:rPr>
        <w:footnoteReference w:id="159"/>
      </w:r>
      <w:r>
        <w:rPr>
          <w:rFonts w:ascii="Times New Roman" w:hAnsi="Times New Roman"/>
          <w:noProof/>
          <w:sz w:val="24"/>
        </w:rPr>
        <w:t xml:space="preserve"> Līdz ar to tas nav brīdis, kad tiek pieņemts/apstiprināts galīgais lēmums par sadali</w:t>
      </w:r>
      <w:r>
        <w:rPr>
          <w:rStyle w:val="FootnoteReference"/>
          <w:rFonts w:ascii="Times New Roman" w:hAnsi="Times New Roman"/>
          <w:noProof/>
          <w:sz w:val="24"/>
        </w:rPr>
        <w:footnoteReference w:id="160"/>
      </w:r>
      <w:r>
        <w:rPr>
          <w:rFonts w:ascii="Times New Roman" w:hAnsi="Times New Roman"/>
          <w:noProof/>
          <w:sz w:val="24"/>
        </w:rPr>
        <w:t>, un tas atbilst bezdividenžu tirgus novērtēšanas principam.</w:t>
      </w:r>
    </w:p>
    <w:p w:rsidR="00523A0A" w:rsidRPr="001973D0" w:rsidRDefault="00523A0A" w:rsidP="00523A0A">
      <w:pPr>
        <w:numPr>
          <w:ilvl w:val="1"/>
          <w:numId w:val="73"/>
        </w:numPr>
        <w:tabs>
          <w:tab w:val="left" w:pos="1562"/>
        </w:tabs>
        <w:ind w:left="1134" w:hanging="425"/>
        <w:jc w:val="both"/>
        <w:rPr>
          <w:rFonts w:ascii="Times New Roman" w:hAnsi="Times New Roman"/>
          <w:noProof/>
          <w:sz w:val="24"/>
        </w:rPr>
      </w:pPr>
      <w:r>
        <w:rPr>
          <w:rFonts w:ascii="Times New Roman" w:hAnsi="Times New Roman"/>
          <w:noProof/>
          <w:sz w:val="24"/>
        </w:rPr>
        <w:t xml:space="preserve">Attiecībā uz atvilkumiem no kvazisabiedrību ienākuma (D.422) EKS 2010 4.62. punkts: </w:t>
      </w:r>
      <w:r>
        <w:rPr>
          <w:rFonts w:ascii="Times New Roman" w:hAnsi="Times New Roman"/>
          <w:i/>
          <w:noProof/>
          <w:sz w:val="24"/>
        </w:rPr>
        <w:t>Ierakstīšanas laiks: atskaitījumus no kvazisabiedrību ienākuma ieraksta tad, kad tos veic īpašnieki</w:t>
      </w:r>
      <w:r w:rsidR="00B809FA">
        <w:rPr>
          <w:rFonts w:ascii="Times New Roman" w:hAnsi="Times New Roman"/>
          <w:noProof/>
          <w:sz w:val="24"/>
        </w:rPr>
        <w:t>. Līdz ar to tie tiek ierakstīti</w:t>
      </w:r>
      <w:r>
        <w:rPr>
          <w:rFonts w:ascii="Times New Roman" w:hAnsi="Times New Roman"/>
          <w:noProof/>
          <w:sz w:val="24"/>
        </w:rPr>
        <w:t xml:space="preserve"> saskaņā ar naudas plūsmas principu.</w:t>
      </w:r>
    </w:p>
    <w:p w:rsidR="00523A0A" w:rsidRPr="001973D0" w:rsidRDefault="00523A0A" w:rsidP="00523A0A">
      <w:pPr>
        <w:jc w:val="both"/>
        <w:rPr>
          <w:rFonts w:ascii="Times New Roman" w:hAnsi="Times New Roman"/>
          <w:noProof/>
          <w:sz w:val="24"/>
        </w:rPr>
      </w:pPr>
    </w:p>
    <w:p w:rsidR="00523A0A" w:rsidRDefault="00345AF2" w:rsidP="00523A0A">
      <w:pPr>
        <w:pStyle w:val="Heading6"/>
        <w:tabs>
          <w:tab w:val="left" w:pos="1976"/>
        </w:tabs>
        <w:jc w:val="both"/>
        <w:rPr>
          <w:rFonts w:ascii="Times New Roman" w:hAnsi="Times New Roman"/>
          <w:noProof/>
          <w:sz w:val="24"/>
        </w:rPr>
      </w:pPr>
      <w:bookmarkStart w:id="229" w:name="III.5.2.3_The_case_of_interim_dividends"/>
      <w:bookmarkEnd w:id="229"/>
      <w:r>
        <w:rPr>
          <w:rFonts w:ascii="Times New Roman" w:hAnsi="Times New Roman"/>
          <w:noProof/>
          <w:sz w:val="24"/>
        </w:rPr>
        <w:t>III.5.2.3. Starpperioda</w:t>
      </w:r>
      <w:r w:rsidR="00523A0A">
        <w:rPr>
          <w:rFonts w:ascii="Times New Roman" w:hAnsi="Times New Roman"/>
          <w:noProof/>
          <w:sz w:val="24"/>
        </w:rPr>
        <w:t xml:space="preserve"> dividenžu gadījums</w:t>
      </w:r>
    </w:p>
    <w:p w:rsidR="00523A0A" w:rsidRPr="001973D0" w:rsidRDefault="00523A0A" w:rsidP="00523A0A">
      <w:pPr>
        <w:pStyle w:val="Heading6"/>
        <w:tabs>
          <w:tab w:val="left" w:pos="1976"/>
        </w:tabs>
        <w:jc w:val="both"/>
        <w:rPr>
          <w:rFonts w:ascii="Times New Roman" w:hAnsi="Times New Roman"/>
          <w:noProof/>
          <w:sz w:val="24"/>
        </w:rPr>
      </w:pP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Iepriekš</w:t>
      </w:r>
      <w:r w:rsidR="00345AF2">
        <w:rPr>
          <w:rFonts w:ascii="Times New Roman" w:hAnsi="Times New Roman"/>
          <w:noProof/>
          <w:sz w:val="24"/>
        </w:rPr>
        <w:t xml:space="preserve"> jau tika minēts, ka “starpperioda</w:t>
      </w:r>
      <w:r>
        <w:rPr>
          <w:rFonts w:ascii="Times New Roman" w:hAnsi="Times New Roman"/>
          <w:noProof/>
          <w:sz w:val="24"/>
        </w:rPr>
        <w:t xml:space="preserve"> dividende” attiecas uz gadījumu, kad sabiedrība veic maksājumu akcionāram pārskata gadā, pirms galīgo sabiedrības gada rezultātu uzzināšanas. Informācija par tām ir sniegta EKS 2010 20.207. punktā.</w:t>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Vispārējs princips: tā kā dividendes ir noteiktas kā ienākums, bet superdividendes – kā kapitāla izņemšana, nevar uzskatīt, ka starpposma maksājumi, kurus publiskas sabiedrības, tostarp centrālā banka, veic valdībai, nacionālajos kontos vienmēr var traktēt kā īpašuma ienākumu laikā, kad ir jāveic maksājums, un katrs šāds gadījums ir jāizvērtē atsevišķi.</w:t>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Starpposma dividenžu maksājums n</w:t>
      </w:r>
      <w:r w:rsidR="00B809FA">
        <w:rPr>
          <w:rFonts w:ascii="Times New Roman" w:hAnsi="Times New Roman"/>
          <w:noProof/>
          <w:sz w:val="24"/>
        </w:rPr>
        <w:t>acionālajos kontos ir ierakstīts</w:t>
      </w:r>
      <w:r>
        <w:rPr>
          <w:rFonts w:ascii="Times New Roman" w:hAnsi="Times New Roman"/>
          <w:noProof/>
          <w:sz w:val="24"/>
        </w:rPr>
        <w:t xml:space="preserve"> kā īpašuma ienākums (D.42), ja tiek izpildīti divi nosacījumi. Pirmkārt, izmaksātās dividendes summa ir noteikta, pamatojoties uz publiski pieejamiem pārskatiem par īsiem laika posmiem, kas ietver vismaz divus ceturkšņus (līdz ar to jābūt pierādījumiem, ka dividendes ir iespējams finansēt no uzņēmējdarbības ienākumiem (vai no darbības pārpalikuma uzņēmuma grāmatvedībā kā tuvinājuma)). Otrkārt, starpposma dividendei ir jāatbilst iepriekšējos gados novērotajai dividenžu sadalei, ņemot vērā uzņēmuma ienesīguma tendences.</w:t>
      </w:r>
    </w:p>
    <w:p w:rsidR="00523A0A" w:rsidRPr="001973D0" w:rsidRDefault="00523A0A" w:rsidP="00523A0A">
      <w:pPr>
        <w:pStyle w:val="BodyText"/>
        <w:numPr>
          <w:ilvl w:val="0"/>
          <w:numId w:val="73"/>
        </w:numPr>
        <w:tabs>
          <w:tab w:val="left" w:pos="1202"/>
        </w:tabs>
        <w:spacing w:before="0"/>
        <w:ind w:left="709" w:hanging="709"/>
        <w:jc w:val="both"/>
        <w:rPr>
          <w:rFonts w:ascii="Times New Roman" w:hAnsi="Times New Roman"/>
          <w:noProof/>
          <w:sz w:val="24"/>
        </w:rPr>
      </w:pPr>
      <w:r>
        <w:rPr>
          <w:rFonts w:ascii="Times New Roman" w:hAnsi="Times New Roman"/>
          <w:noProof/>
          <w:sz w:val="24"/>
        </w:rPr>
        <w:t>Ja neviens no šiem nosacījumiem nav izpildīts,</w:t>
      </w:r>
      <w:r w:rsidR="00B809FA">
        <w:rPr>
          <w:rFonts w:ascii="Times New Roman" w:hAnsi="Times New Roman"/>
          <w:noProof/>
          <w:sz w:val="24"/>
        </w:rPr>
        <w:t xml:space="preserve"> starpposma maksājums jāieraksta</w:t>
      </w:r>
      <w:r>
        <w:rPr>
          <w:rFonts w:ascii="Times New Roman" w:hAnsi="Times New Roman"/>
          <w:noProof/>
          <w:sz w:val="24"/>
        </w:rPr>
        <w:t xml:space="preserve"> kā finanšu avanss (attiecībā uz valdību F.8 pozīcijā “citas kreditoru saistības”). Tādējādi, piemērojot “superdividenžu testu”, visas dividendes nacionālajos kontos </w:t>
      </w:r>
      <w:r w:rsidR="00B809FA">
        <w:rPr>
          <w:rFonts w:ascii="Times New Roman" w:hAnsi="Times New Roman"/>
          <w:noProof/>
          <w:sz w:val="24"/>
        </w:rPr>
        <w:t>ieraksta</w:t>
      </w:r>
      <w:r>
        <w:rPr>
          <w:rFonts w:ascii="Times New Roman" w:hAnsi="Times New Roman"/>
          <w:noProof/>
          <w:sz w:val="24"/>
        </w:rPr>
        <w:t xml:space="preserve"> kā īpašuma ienākumu (D.42) tikai tad, kad akcionāriem ir nodota pēdējā dividende, kas notiek tikai pēc tam, kad ir skaidri zināmi sabiedrības gada darbības rezultāti (nākamajā gadā).</w:t>
      </w:r>
    </w:p>
    <w:p w:rsidR="00523A0A" w:rsidRPr="001973D0" w:rsidRDefault="00523A0A" w:rsidP="00523A0A">
      <w:pPr>
        <w:jc w:val="both"/>
        <w:rPr>
          <w:rFonts w:ascii="Times New Roman" w:hAnsi="Times New Roman"/>
          <w:noProof/>
          <w:sz w:val="24"/>
        </w:rPr>
      </w:pPr>
    </w:p>
    <w:p w:rsidR="00523A0A" w:rsidRDefault="00523A0A" w:rsidP="00523A0A">
      <w:pPr>
        <w:pStyle w:val="Heading6"/>
        <w:tabs>
          <w:tab w:val="left" w:pos="2076"/>
        </w:tabs>
        <w:jc w:val="both"/>
        <w:rPr>
          <w:rFonts w:ascii="Times New Roman" w:hAnsi="Times New Roman"/>
          <w:noProof/>
          <w:sz w:val="24"/>
        </w:rPr>
      </w:pPr>
      <w:bookmarkStart w:id="230" w:name="III.5.2.4_Rules_to_record_and_partition_"/>
      <w:bookmarkEnd w:id="230"/>
      <w:r>
        <w:rPr>
          <w:rFonts w:ascii="Times New Roman" w:hAnsi="Times New Roman"/>
          <w:noProof/>
          <w:sz w:val="24"/>
        </w:rPr>
        <w:t>III.5.2.4. Not</w:t>
      </w:r>
      <w:r w:rsidR="00B809FA">
        <w:rPr>
          <w:rFonts w:ascii="Times New Roman" w:hAnsi="Times New Roman"/>
          <w:noProof/>
          <w:sz w:val="24"/>
        </w:rPr>
        <w:t>eikumi par darījuma ierakstīšanu</w:t>
      </w:r>
      <w:r>
        <w:rPr>
          <w:rFonts w:ascii="Times New Roman" w:hAnsi="Times New Roman"/>
          <w:noProof/>
          <w:sz w:val="24"/>
        </w:rPr>
        <w:t xml:space="preserve"> un sadalīšanu</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Lai pieņemtu lēmumu par to, kā sadalīt starpposma dividendes starp dividendēm un finanšu komponentiem, sadalīto summu salīdzina ar sadalāmajiem ienākumiem (kas praksē ir darbības pārpalikums) par laika posmu no pārskata gada sākumā līdz brīdim, kad tie tika paziņoti. Ja šie ienākumi ir lielāki par sad</w:t>
      </w:r>
      <w:r w:rsidR="00535B40">
        <w:rPr>
          <w:rFonts w:ascii="Times New Roman" w:hAnsi="Times New Roman"/>
          <w:noProof/>
          <w:sz w:val="24"/>
        </w:rPr>
        <w:t>alīto summu, visu summu ieraksta</w:t>
      </w:r>
      <w:r>
        <w:rPr>
          <w:rFonts w:ascii="Times New Roman" w:hAnsi="Times New Roman"/>
          <w:noProof/>
          <w:sz w:val="24"/>
        </w:rPr>
        <w:t xml:space="preserve"> kā dividendes. Jebkuru sadales pārsniegumu virs sadalāmajiem ienākumiem, kuri jau publicēti pārskatos</w:t>
      </w:r>
      <w:r>
        <w:rPr>
          <w:rStyle w:val="FootnoteReference"/>
          <w:rFonts w:ascii="Times New Roman" w:hAnsi="Times New Roman"/>
          <w:noProof/>
          <w:sz w:val="24"/>
        </w:rPr>
        <w:footnoteReference w:id="161"/>
      </w:r>
      <w:r w:rsidR="00535B40">
        <w:rPr>
          <w:rFonts w:ascii="Times New Roman" w:hAnsi="Times New Roman"/>
          <w:noProof/>
          <w:sz w:val="24"/>
        </w:rPr>
        <w:t>, ieraksta</w:t>
      </w:r>
      <w:r>
        <w:rPr>
          <w:rFonts w:ascii="Times New Roman" w:hAnsi="Times New Roman"/>
          <w:noProof/>
          <w:sz w:val="24"/>
        </w:rPr>
        <w:t xml:space="preserve"> kā citas valdības kreditoru saistības, kamēr tiek gaidīti </w:t>
      </w:r>
      <w:r>
        <w:rPr>
          <w:rFonts w:ascii="Times New Roman" w:hAnsi="Times New Roman"/>
          <w:noProof/>
          <w:sz w:val="24"/>
        </w:rPr>
        <w:lastRenderedPageBreak/>
        <w:t>galīgie gada rezultāti. Galīgajā novērtēšanā šī plūsma tiks konvertēta vai nu dividendēs, vai arī pašu kapitāla izņemšanā (superdividenžu gadījumā).</w:t>
      </w: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Vispārējā pieeja galīgo dividenžu vai superdividenžu sadalīšanai starp dividendēm un finanšu komponentiem paredz, ka tiek salīdzināti sadalāmie ienākumi (kas praksē ir darbības pārpalikums) par attiecīgo laika posmu, atskaitot vis</w:t>
      </w:r>
      <w:r w:rsidR="00535B40">
        <w:rPr>
          <w:rFonts w:ascii="Times New Roman" w:hAnsi="Times New Roman"/>
          <w:noProof/>
          <w:sz w:val="24"/>
        </w:rPr>
        <w:t>as summas, kuras ir ierakstītas</w:t>
      </w:r>
      <w:r>
        <w:rPr>
          <w:rFonts w:ascii="Times New Roman" w:hAnsi="Times New Roman"/>
          <w:noProof/>
          <w:sz w:val="24"/>
        </w:rPr>
        <w:t xml:space="preserve"> kā d</w:t>
      </w:r>
      <w:r w:rsidR="00345AF2">
        <w:rPr>
          <w:rFonts w:ascii="Times New Roman" w:hAnsi="Times New Roman"/>
          <w:noProof/>
          <w:sz w:val="24"/>
        </w:rPr>
        <w:t>ividendes saistībā ar starpperioda</w:t>
      </w:r>
      <w:r>
        <w:rPr>
          <w:rFonts w:ascii="Times New Roman" w:hAnsi="Times New Roman"/>
          <w:noProof/>
          <w:sz w:val="24"/>
        </w:rPr>
        <w:t xml:space="preserve"> dividendēm, kas ir izmaksātas kopš brīža, kad tika izmaksātas pēdējās gada dividendes.</w:t>
      </w: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Ja sadalāmie ienākumi pārsniedz sad</w:t>
      </w:r>
      <w:r w:rsidR="00535B40">
        <w:rPr>
          <w:rFonts w:ascii="Times New Roman" w:hAnsi="Times New Roman"/>
          <w:noProof/>
          <w:sz w:val="24"/>
        </w:rPr>
        <w:t>alīto summu, visu summu ieraksta</w:t>
      </w:r>
      <w:r>
        <w:rPr>
          <w:rFonts w:ascii="Times New Roman" w:hAnsi="Times New Roman"/>
          <w:noProof/>
          <w:sz w:val="24"/>
        </w:rPr>
        <w:t xml:space="preserve"> kā dividendes. Jebkuru sadales pārsniegumu virs saistītajiem </w:t>
      </w:r>
      <w:r w:rsidR="00535B40">
        <w:rPr>
          <w:rFonts w:ascii="Times New Roman" w:hAnsi="Times New Roman"/>
          <w:noProof/>
          <w:sz w:val="24"/>
        </w:rPr>
        <w:t>sadalāmajiem ienākumiem ieraksta</w:t>
      </w:r>
      <w:r>
        <w:rPr>
          <w:rFonts w:ascii="Times New Roman" w:hAnsi="Times New Roman"/>
          <w:noProof/>
          <w:sz w:val="24"/>
        </w:rPr>
        <w:t xml:space="preserve"> kā pašu kapitāla izņemšanu. Tā kā galīgās dividendes parasti ir saistītas ar ienākumiem, kas gūti sabiedrības pārskata gadā pirms maksājuma veikšanas, tas ir atbilstošais uzņēmējdarbības ienākumu periods.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ind w:left="0" w:firstLine="0"/>
        <w:jc w:val="both"/>
        <w:rPr>
          <w:rFonts w:ascii="Times New Roman" w:hAnsi="Times New Roman"/>
          <w:noProof/>
          <w:u w:val="thick" w:color="000000"/>
        </w:rPr>
      </w:pPr>
      <w:bookmarkStart w:id="231" w:name="III.5.3_Rationale_of_the_treatment"/>
      <w:bookmarkEnd w:id="231"/>
      <w:r>
        <w:rPr>
          <w:rFonts w:ascii="Times New Roman" w:hAnsi="Times New Roman"/>
          <w:noProof/>
          <w:u w:val="none"/>
        </w:rPr>
        <w:t>III.5.3. </w:t>
      </w:r>
      <w:r>
        <w:rPr>
          <w:rFonts w:ascii="Times New Roman" w:hAnsi="Times New Roman"/>
          <w:noProof/>
        </w:rPr>
        <w:t>Traktējuma pamatojums</w:t>
      </w:r>
    </w:p>
    <w:p w:rsidR="00523A0A" w:rsidRPr="001973D0" w:rsidRDefault="00523A0A" w:rsidP="00523A0A">
      <w:pPr>
        <w:pStyle w:val="Heading4"/>
        <w:ind w:left="0" w:firstLine="0"/>
        <w:jc w:val="both"/>
        <w:rPr>
          <w:rFonts w:ascii="Times New Roman" w:hAnsi="Times New Roman"/>
          <w:b w:val="0"/>
          <w:bCs w:val="0"/>
          <w:noProof/>
          <w:u w:val="none"/>
        </w:rPr>
      </w:pP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Pamatojum</w:t>
      </w:r>
      <w:r w:rsidR="00535B40">
        <w:rPr>
          <w:rFonts w:ascii="Times New Roman" w:hAnsi="Times New Roman"/>
          <w:noProof/>
          <w:sz w:val="24"/>
        </w:rPr>
        <w:t>s tam, ka sadale tiek ierakstīta</w:t>
      </w:r>
      <w:r>
        <w:rPr>
          <w:rFonts w:ascii="Times New Roman" w:hAnsi="Times New Roman"/>
          <w:noProof/>
          <w:sz w:val="24"/>
        </w:rPr>
        <w:t xml:space="preserve"> kā dividendes, ir tas, ka šādai sadalei jāizriet no sabiedrības sadalāmajiem ienākumiem, kas uzkrāti periodā, uz kuru attiecas minētās dividendes. Šādā gadījumā pastāv cieša saistība starp dividenžu maksājumu un sabiedrības uzkrātajiem (kārtējiem) ienākumiem.</w:t>
      </w: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 xml:space="preserve">Pamatojums tam, ka </w:t>
      </w:r>
      <w:r w:rsidR="00535B40">
        <w:rPr>
          <w:rFonts w:ascii="Times New Roman" w:hAnsi="Times New Roman"/>
          <w:noProof/>
          <w:sz w:val="24"/>
        </w:rPr>
        <w:t>superdividendes tiek ierakstītas</w:t>
      </w:r>
      <w:r>
        <w:rPr>
          <w:rFonts w:ascii="Times New Roman" w:hAnsi="Times New Roman"/>
          <w:noProof/>
          <w:sz w:val="24"/>
        </w:rPr>
        <w:t xml:space="preserve"> kā finanšu darījumi, ir tas, ka superdividendes pēc būtības atšķiras no dividendēm, proti, dividendes atbilst ienākuma sadalei, savukārt superdividendes atbilst sabiedrības bagātības sadalei, samazinot sabiedrības pašu līdzekļus. Ja tiek veikti lieli maksājumi no uzkrātajām rezervēm, nepastāv nekāda saistība ar ienākumiem, ko sabiedrība ir uzkrājusi attiecīgajā pārskata gadā. Nacionālajos kontos kā īpašuma ienākumus (D.42) var sadalīt tikai sadalāmos ienākumus.</w:t>
      </w:r>
    </w:p>
    <w:p w:rsidR="00523A0A" w:rsidRPr="001973D0"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 xml:space="preserve">Iespēja </w:t>
      </w:r>
      <w:r w:rsidR="00535B40">
        <w:rPr>
          <w:rFonts w:ascii="Times New Roman" w:hAnsi="Times New Roman"/>
          <w:noProof/>
          <w:sz w:val="24"/>
        </w:rPr>
        <w:t>ierakstīt</w:t>
      </w:r>
      <w:r>
        <w:rPr>
          <w:rFonts w:ascii="Times New Roman" w:hAnsi="Times New Roman"/>
          <w:noProof/>
          <w:sz w:val="24"/>
        </w:rPr>
        <w:t xml:space="preserve"> starpposma dividendes kā īpašuma ienākumu pamatojama ar to, ka noteiktos apstākļos, pamatojoties uz atsevišķiem kritērijiem (novērotie ienākumi, sadales attiecība un sabiedrības ieņēmumu pieauguma tendence), starpposma maksājumu var uzskatīt par uzkrātā ienākuma pārvedumu. Šajā gadīju</w:t>
      </w:r>
      <w:r w:rsidR="00535B40">
        <w:rPr>
          <w:rFonts w:ascii="Times New Roman" w:hAnsi="Times New Roman"/>
          <w:noProof/>
          <w:sz w:val="24"/>
        </w:rPr>
        <w:t>mā īpašuma ienākuma ierakstīšana</w:t>
      </w:r>
      <w:r>
        <w:rPr>
          <w:rFonts w:ascii="Times New Roman" w:hAnsi="Times New Roman"/>
          <w:noProof/>
          <w:sz w:val="24"/>
        </w:rPr>
        <w:t>, pirms ir zināmi gada rezultāti, nav pretrunā statistikas un grāmatvedības pamatnoteikumiem.</w:t>
      </w:r>
    </w:p>
    <w:p w:rsidR="00523A0A" w:rsidRPr="0068282C" w:rsidRDefault="00523A0A" w:rsidP="00523A0A">
      <w:pPr>
        <w:pStyle w:val="BodyText"/>
        <w:numPr>
          <w:ilvl w:val="0"/>
          <w:numId w:val="73"/>
        </w:numPr>
        <w:tabs>
          <w:tab w:val="left" w:pos="1302"/>
        </w:tabs>
        <w:spacing w:before="0"/>
        <w:ind w:left="709" w:hanging="709"/>
        <w:jc w:val="both"/>
        <w:rPr>
          <w:rFonts w:ascii="Times New Roman" w:hAnsi="Times New Roman"/>
          <w:noProof/>
          <w:sz w:val="24"/>
        </w:rPr>
      </w:pPr>
      <w:r>
        <w:rPr>
          <w:rFonts w:ascii="Times New Roman" w:hAnsi="Times New Roman"/>
          <w:noProof/>
          <w:sz w:val="24"/>
        </w:rPr>
        <w:t>Ja starpposma maksājuma veikšanas brīdī nav i</w:t>
      </w:r>
      <w:r w:rsidR="00535B40">
        <w:rPr>
          <w:rFonts w:ascii="Times New Roman" w:hAnsi="Times New Roman"/>
          <w:noProof/>
          <w:sz w:val="24"/>
        </w:rPr>
        <w:t>zpildīti dividenžu ierakstīšanas</w:t>
      </w:r>
      <w:r>
        <w:rPr>
          <w:rFonts w:ascii="Times New Roman" w:hAnsi="Times New Roman"/>
          <w:noProof/>
          <w:sz w:val="24"/>
        </w:rPr>
        <w:t xml:space="preserve"> kritēriji un n</w:t>
      </w:r>
      <w:r w:rsidR="00535B40">
        <w:rPr>
          <w:rFonts w:ascii="Times New Roman" w:hAnsi="Times New Roman"/>
          <w:noProof/>
          <w:sz w:val="24"/>
        </w:rPr>
        <w:t>osacījumi, šo maksājumu ieraksta</w:t>
      </w:r>
      <w:r>
        <w:rPr>
          <w:rFonts w:ascii="Times New Roman" w:hAnsi="Times New Roman"/>
          <w:noProof/>
          <w:sz w:val="24"/>
        </w:rPr>
        <w:t xml:space="preserve"> kā finanšu avansu, atsaucoties uz EKS 2010 5.240. punktu: citas debitoru/kreditoru saistības, izņemot tirdzniecības kredītus un avansus (F.89), ir “finanšu prasības, ko rada laika starpības starp sadales darījumiem [..] un atbilstošo maksājumu”. Dividendes ir minētas kā piemērs 5.241. punk</w:t>
      </w:r>
      <w:r w:rsidR="00535B40">
        <w:rPr>
          <w:rFonts w:ascii="Times New Roman" w:hAnsi="Times New Roman"/>
          <w:noProof/>
          <w:sz w:val="24"/>
        </w:rPr>
        <w:t>tā. Finanšu avansa ierakstīšanas</w:t>
      </w:r>
      <w:r>
        <w:rPr>
          <w:rFonts w:ascii="Times New Roman" w:hAnsi="Times New Roman"/>
          <w:noProof/>
          <w:sz w:val="24"/>
        </w:rPr>
        <w:t xml:space="preserve"> pamatojums ir šāds – kamēr nav skaidri zināmi gada rezultāti un sadalāmā peļņa, pastāv risks, ka maksājums var būt lielāks par sadalāmo peļņu, kas tādējādi ietver superdividenžu elementu.</w:t>
      </w:r>
    </w:p>
    <w:p w:rsidR="00523A0A" w:rsidRDefault="00523A0A" w:rsidP="00523A0A">
      <w:pPr>
        <w:rPr>
          <w:rFonts w:ascii="Times New Roman" w:eastAsia="Arial" w:hAnsi="Times New Roman" w:cs="Arial"/>
          <w:noProof/>
          <w:sz w:val="24"/>
          <w:szCs w:val="20"/>
        </w:rPr>
      </w:pPr>
      <w:r>
        <w:br w:type="page"/>
      </w:r>
    </w:p>
    <w:p w:rsidR="00523A0A" w:rsidRDefault="00523A0A" w:rsidP="00D326C6">
      <w:pPr>
        <w:pStyle w:val="Heading2"/>
        <w:rPr>
          <w:noProof/>
        </w:rPr>
      </w:pPr>
      <w:bookmarkStart w:id="232" w:name="III.6__Impact_on_government_accounts_of_"/>
      <w:bookmarkStart w:id="233" w:name="_bookmark26"/>
      <w:bookmarkStart w:id="234" w:name="_Toc471135892"/>
      <w:bookmarkEnd w:id="232"/>
      <w:bookmarkEnd w:id="233"/>
      <w:r>
        <w:rPr>
          <w:noProof/>
        </w:rPr>
        <w:lastRenderedPageBreak/>
        <w:t xml:space="preserve">III.6. Pensiju </w:t>
      </w:r>
      <w:r w:rsidRPr="00D326C6">
        <w:t>saistību</w:t>
      </w:r>
      <w:r>
        <w:rPr>
          <w:noProof/>
        </w:rPr>
        <w:t xml:space="preserve"> nodošanas ietekme uz valdības kontiem.</w:t>
      </w:r>
      <w:bookmarkEnd w:id="234"/>
    </w:p>
    <w:p w:rsidR="00523A0A" w:rsidRPr="001973D0" w:rsidRDefault="00523A0A" w:rsidP="00523A0A">
      <w:pPr>
        <w:pStyle w:val="Heading2"/>
        <w:jc w:val="both"/>
        <w:rPr>
          <w:noProof/>
          <w:sz w:val="24"/>
        </w:rPr>
      </w:pPr>
    </w:p>
    <w:p w:rsidR="00523A0A" w:rsidRDefault="00523A0A" w:rsidP="00523A0A">
      <w:pPr>
        <w:pStyle w:val="Heading4"/>
        <w:ind w:left="0" w:firstLine="0"/>
        <w:jc w:val="both"/>
        <w:rPr>
          <w:rFonts w:ascii="Times New Roman" w:hAnsi="Times New Roman"/>
          <w:noProof/>
          <w:u w:val="thick" w:color="000000"/>
        </w:rPr>
      </w:pPr>
      <w:bookmarkStart w:id="235" w:name="III.6.1_Background"/>
      <w:bookmarkEnd w:id="235"/>
      <w:r>
        <w:rPr>
          <w:rFonts w:ascii="Times New Roman" w:hAnsi="Times New Roman"/>
          <w:noProof/>
          <w:u w:val="none"/>
        </w:rPr>
        <w:t>III.6.1. </w:t>
      </w:r>
      <w:r>
        <w:rPr>
          <w:rFonts w:ascii="Times New Roman" w:hAnsi="Times New Roman"/>
          <w:noProof/>
          <w:u w:val="thick" w:color="000000"/>
        </w:rPr>
        <w:t>Vispārēja informācija</w:t>
      </w:r>
    </w:p>
    <w:p w:rsidR="00523A0A" w:rsidRPr="001973D0" w:rsidRDefault="00523A0A" w:rsidP="00523A0A">
      <w:pPr>
        <w:pStyle w:val="Heading4"/>
        <w:ind w:left="0" w:firstLine="0"/>
        <w:jc w:val="both"/>
        <w:rPr>
          <w:rFonts w:ascii="Times New Roman" w:hAnsi="Times New Roman"/>
          <w:b w:val="0"/>
          <w:bCs w:val="0"/>
          <w:noProof/>
          <w:u w:val="none"/>
        </w:rPr>
      </w:pP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Šajā nodaļā apspriests vienīgi jautājum</w:t>
      </w:r>
      <w:r w:rsidR="00535B40">
        <w:rPr>
          <w:rFonts w:ascii="Times New Roman" w:hAnsi="Times New Roman"/>
          <w:noProof/>
          <w:sz w:val="24"/>
        </w:rPr>
        <w:t>s par tādu ieņēmumu ierakstīšanu</w:t>
      </w:r>
      <w:r>
        <w:rPr>
          <w:rFonts w:ascii="Times New Roman" w:hAnsi="Times New Roman"/>
          <w:noProof/>
          <w:sz w:val="24"/>
        </w:rPr>
        <w:t>, ko valdība saņem no publiskas sabiedrības un, iespējams, arī no privātas sabiedrības (un ko bieži vien dēvē par “vienreizēju summu”) saistībā ar pensiju saistību nodošanu valdībai vienreizējās operācijās.</w:t>
      </w:r>
    </w:p>
    <w:p w:rsidR="00523A0A" w:rsidRPr="001973D0" w:rsidRDefault="00523A0A" w:rsidP="00523A0A">
      <w:pPr>
        <w:jc w:val="both"/>
        <w:rPr>
          <w:rFonts w:ascii="Times New Roman" w:eastAsia="Arial" w:hAnsi="Times New Roman" w:cs="Arial"/>
          <w:noProof/>
          <w:sz w:val="24"/>
          <w:szCs w:val="18"/>
        </w:rPr>
      </w:pPr>
    </w:p>
    <w:p w:rsidR="00523A0A" w:rsidRDefault="00523A0A" w:rsidP="00523A0A">
      <w:pPr>
        <w:pStyle w:val="Heading6"/>
        <w:tabs>
          <w:tab w:val="left" w:pos="2076"/>
        </w:tabs>
        <w:jc w:val="both"/>
        <w:rPr>
          <w:rFonts w:ascii="Times New Roman" w:hAnsi="Times New Roman" w:cs="Arial"/>
          <w:b w:val="0"/>
          <w:noProof/>
          <w:sz w:val="24"/>
        </w:rPr>
      </w:pPr>
      <w:bookmarkStart w:id="236" w:name="III.6.1.1_Employers'_pension_schemes"/>
      <w:bookmarkEnd w:id="236"/>
      <w:r>
        <w:rPr>
          <w:rFonts w:ascii="Times New Roman" w:hAnsi="Times New Roman"/>
          <w:noProof/>
          <w:sz w:val="24"/>
        </w:rPr>
        <w:t>III.6.1.1. Darba devēju pensiju shēmas</w:t>
      </w:r>
      <w:r>
        <w:rPr>
          <w:rStyle w:val="FootnoteReference"/>
          <w:rFonts w:ascii="Times New Roman" w:hAnsi="Times New Roman"/>
          <w:noProof/>
          <w:sz w:val="24"/>
        </w:rPr>
        <w:footnoteReference w:id="162"/>
      </w:r>
    </w:p>
    <w:p w:rsidR="00523A0A" w:rsidRPr="001973D0" w:rsidRDefault="00523A0A" w:rsidP="00523A0A">
      <w:pPr>
        <w:pStyle w:val="Heading6"/>
        <w:tabs>
          <w:tab w:val="left" w:pos="2076"/>
        </w:tabs>
        <w:jc w:val="both"/>
        <w:rPr>
          <w:rFonts w:ascii="Times New Roman" w:hAnsi="Times New Roman" w:cs="Arial"/>
          <w:b w:val="0"/>
          <w:bCs w:val="0"/>
          <w:noProof/>
          <w:sz w:val="24"/>
          <w:szCs w:val="14"/>
        </w:rPr>
      </w:pPr>
    </w:p>
    <w:p w:rsidR="00523A0A" w:rsidRPr="007E22C1"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Vairākās ES dalībvalstīs institucionālas vienības, tostarp publiskas sabiedrības un valdība, drīkst veidot pensiju shēmas, kas paredzētas vienīgi to darbiniekiem. EKS 2010 4.89. punkta b) apakšpunktā noteikts, ka šīs ir otrā veida sociālās apdrošināšanas shēmas: “Otrā veida shēmas veido citas ar nodarbinātību saistītas shēmas. Šādas shēmas rodas darba devēja un darba ņēmēja attiecību rezultātā, nodrošinot pensiju un varbūtējas citas tiesības, kas ir daļa no nodarbinātības nosacījumiem, un ja atbildība par pabalstu nodrošināšanu netiek nodota vispārējai valdībai saskaņā ar sociālās nodrošināšanas noteikumiem.” Saskaņā ar EKS 2010 šāda atbildība tiek uzticēta “pensiju pārvaldītājam” (“sponsoram” saskaņā ar EKS 2010), nevis “pensiju administratoram”, kurš rīkojas vienīgi minētā pārvaldītāja vārdā. Šādas shēmas var būt organizētas atsevišķi no mātesvienības (EKS 2010 2.106. punktā dēvētas par “autonomām” vai “neautonomām” pensiju shēmām), un šādos gadījumos tās ir klasificētas pensiju fondu apakšsektorā (S.129) vai pat apdrošināšanas sabiedrību apakšsektorā (S.128). Vienība tās var organizēt tieši kā atsevišķi nodalītu rezervi, vai, piemērojot uzskaites principus, tiek atzīts ekvivalents. Šajā gadījumā nacionālajos kontos tās netiek uzskatītas par institucionālām vienībām un naci</w:t>
      </w:r>
      <w:r w:rsidR="00535B40">
        <w:rPr>
          <w:rFonts w:ascii="Times New Roman" w:hAnsi="Times New Roman"/>
          <w:noProof/>
          <w:sz w:val="24"/>
        </w:rPr>
        <w:t>onālajos kontos tiek ierakstītas</w:t>
      </w:r>
      <w:r>
        <w:rPr>
          <w:rFonts w:ascii="Times New Roman" w:hAnsi="Times New Roman"/>
          <w:noProof/>
          <w:sz w:val="24"/>
        </w:rPr>
        <w:t xml:space="preserve"> attiecīgajā vienībā.</w:t>
      </w: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Nacionālajos kontos šādas darba devēju pensiju shēmas netiek trak</w:t>
      </w:r>
      <w:r w:rsidR="00345AF2">
        <w:rPr>
          <w:rFonts w:ascii="Times New Roman" w:hAnsi="Times New Roman"/>
          <w:noProof/>
          <w:sz w:val="24"/>
        </w:rPr>
        <w:t>tētas kā sociālās drošības</w:t>
      </w:r>
      <w:r>
        <w:rPr>
          <w:rFonts w:ascii="Times New Roman" w:hAnsi="Times New Roman"/>
          <w:noProof/>
          <w:sz w:val="24"/>
        </w:rPr>
        <w:t xml:space="preserve"> shēmas, t. i., iemaksu (darba devēju un/vai darba ņēmēju) un pensiju pabalstu plūsmas nav daļa no valdības ieņēmumiem vai izdevumiem. Līdz ar to plūsmas un uzkrājumi tiek iekļauti pensiju fonda apakšsektorā, dzīvības apdrošinātāja apakšsektorā vai sektorā, kurā klasificēts darba devējs, kas organizē/pārvalda shēmu (sektors S.11 attiecībā uz nefinanšu sabiedrībām vai sektors S.12 attiecībā uz finanšu sabiedrībām). Sabiedrības, kuras organizē shēmu, var būt publiskas vai privātas sabiedrības.</w:t>
      </w: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Ja shēma ir klasificēta apakšsektorā S.129 vai S.128, tā saskaņā ar definīciju ir fondēta shēma. Ja shēma ir klasificēta darba devēju sektorā, tā var būt fondēta vai nefondēta shēma.</w:t>
      </w: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Darba devēja shēma ir fondēta shēma, ja darba devējs izveido atsevišķi nodalītu rezervi savā bilancē (neatkarīgi no tā, vai darba devējs šādi rīkojas tiesisku saistību, īpašu noteikumu, līgumsaistību vai grāmatvedības standartu dēļ vai brīvprātīgi), kas atspoguļo pensiju saistības (atbilstīgi uzkrāšanas principam) attiecībā pret saņēmējiem. Šī rezerve ar saistītiem, noteiktam mērķim paredzētiem aktīviem nodrošina būtisku saņēmēju pensiju tiesību aizsardzību; tas jo īpaši attiecas uz darba devēja apvienošanas vai bankrota gadījumiem (tā tiek uzskatīta par saņēmēju īpašumu).</w:t>
      </w:r>
    </w:p>
    <w:p w:rsidR="00523A0A" w:rsidRPr="007E22C1"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Nefondēta darba devēju pensiju shēma ir tāda shēma, kurā aktīvi netiek turēti ar konkrētu mērķi izpildīt pensiju saistības. Šādas shēmas bieži vien tiek dēvētas arī par “paaudžu solidaritātes” (</w:t>
      </w:r>
      <w:r>
        <w:rPr>
          <w:rFonts w:ascii="Times New Roman" w:hAnsi="Times New Roman"/>
          <w:i/>
          <w:noProof/>
          <w:sz w:val="24"/>
        </w:rPr>
        <w:t>PAYG</w:t>
      </w:r>
      <w:r>
        <w:rPr>
          <w:rFonts w:ascii="Times New Roman" w:hAnsi="Times New Roman"/>
          <w:noProof/>
          <w:sz w:val="24"/>
        </w:rPr>
        <w:t xml:space="preserve">) shēmām. Šādās shēmās pensiju pabalsti, kas jāizmaksā konkrētajā gadā, tiek finansēti no tajā pašā gadā uzkrātajām iemaksām un iespējamiem </w:t>
      </w:r>
      <w:r>
        <w:rPr>
          <w:rFonts w:ascii="Times New Roman" w:hAnsi="Times New Roman"/>
          <w:noProof/>
          <w:sz w:val="24"/>
        </w:rPr>
        <w:lastRenderedPageBreak/>
        <w:t>papildu maksājumiem. Vismaz dažu sabiedrību gadījumā (jo īpaši to, kuras ir kotētas biržā) uzņēmējdarbības pārskatos ir jābūt atzītām saistībām, tostarp tām, kuras ir uzkrājuma formā (ņemot vērā, ka maksājuma veikšana tiek uzskatīta par neizbēgamu). Citos gadījumos tā var būt vienīgi papildu informācija, kas tiek sniegta sabiedrības gada pārskatā. EKS 2010 pamatkontos atzīst darba devēju pensiju shēmu pensiju saistības S.11 un S.12 sektorā.</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Pensiju saistības attiecībā pret saņēmējiem EKS 2010 ti</w:t>
      </w:r>
      <w:r w:rsidR="00535B40">
        <w:rPr>
          <w:rFonts w:ascii="Times New Roman" w:hAnsi="Times New Roman"/>
          <w:noProof/>
          <w:sz w:val="24"/>
        </w:rPr>
        <w:t>ek ierakstītas</w:t>
      </w:r>
      <w:r>
        <w:rPr>
          <w:rFonts w:ascii="Times New Roman" w:hAnsi="Times New Roman"/>
          <w:noProof/>
          <w:sz w:val="24"/>
        </w:rPr>
        <w:t xml:space="preserve"> kā pensiju tiesības (AF.63). Ja darba devēja shēmā nav pietiekami daudz līdzekļu, darba devēja saistības attiecībā pret pensiju</w:t>
      </w:r>
      <w:r w:rsidR="00535B40">
        <w:rPr>
          <w:rFonts w:ascii="Times New Roman" w:hAnsi="Times New Roman"/>
          <w:noProof/>
          <w:sz w:val="24"/>
        </w:rPr>
        <w:t xml:space="preserve"> administratoru tiek ierakstītas</w:t>
      </w:r>
      <w:r>
        <w:rPr>
          <w:rFonts w:ascii="Times New Roman" w:hAnsi="Times New Roman"/>
          <w:noProof/>
          <w:sz w:val="24"/>
        </w:rPr>
        <w:t xml:space="preserve"> kā “pensiju fondu prasības pret pensiju pārvaldītājiem” (AF.64), bet tikai tad, j</w:t>
      </w:r>
      <w:r w:rsidR="00535B40">
        <w:rPr>
          <w:rFonts w:ascii="Times New Roman" w:hAnsi="Times New Roman"/>
          <w:noProof/>
          <w:sz w:val="24"/>
        </w:rPr>
        <w:t>a shēma nav ierakstīta</w:t>
      </w:r>
      <w:r>
        <w:rPr>
          <w:rFonts w:ascii="Times New Roman" w:hAnsi="Times New Roman"/>
          <w:noProof/>
          <w:sz w:val="24"/>
        </w:rPr>
        <w:t xml:space="preserve"> attiecīgā darba devēja sektorā, sedzot iztrūkumu, kas pastāv starp saistību pret saņēmējiem pašre</w:t>
      </w:r>
      <w:r w:rsidR="00535B40">
        <w:rPr>
          <w:rFonts w:ascii="Times New Roman" w:hAnsi="Times New Roman"/>
          <w:noProof/>
          <w:sz w:val="24"/>
        </w:rPr>
        <w:t>izējām vērtībām, kas ierakstītas</w:t>
      </w:r>
      <w:r>
        <w:rPr>
          <w:rFonts w:ascii="Times New Roman" w:hAnsi="Times New Roman"/>
          <w:noProof/>
          <w:sz w:val="24"/>
        </w:rPr>
        <w:t xml:space="preserve"> kā AF.63, un īpašam nolūkam paredzētiem aktīviem. Jāatceras, ka noteiktu pabalstu fondētās shēmas gadījumā (pensijas tiek noteiktas saskaņā ar formulu, kurā tās tiek saistītas ar algu) šīs saistības tiek noteiktas kā darba devēja neizmaksāto pensiju neto saistību pašreizējā vērtība. Noteiktu iemaksu shēmu gadījumā neizmaksāto pensiju saistību vērtība atbilst ieguldījumu tirgus vērtībai, jo šajā gadījumā pārvaldītājs parasti neuzņemas nekādu risku attiecībā uz pensiju saistībām un līdz ar to nebūtu atbilstoši attiecībā uz darba devēju, kurš veic p</w:t>
      </w:r>
      <w:r w:rsidR="00535B40">
        <w:rPr>
          <w:rFonts w:ascii="Times New Roman" w:hAnsi="Times New Roman"/>
          <w:noProof/>
          <w:sz w:val="24"/>
        </w:rPr>
        <w:t>ārvaldītāja funkcijas, ierakstīt</w:t>
      </w:r>
      <w:r>
        <w:rPr>
          <w:rFonts w:ascii="Times New Roman" w:hAnsi="Times New Roman"/>
          <w:noProof/>
          <w:sz w:val="24"/>
        </w:rPr>
        <w:t xml:space="preserve"> AF.63 saistības.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76"/>
        </w:tabs>
        <w:jc w:val="both"/>
        <w:rPr>
          <w:rFonts w:ascii="Times New Roman" w:hAnsi="Times New Roman"/>
          <w:noProof/>
          <w:sz w:val="24"/>
        </w:rPr>
      </w:pPr>
      <w:bookmarkStart w:id="237" w:name="III.6.1.2_Transfer_of_employers'_pension"/>
      <w:bookmarkEnd w:id="237"/>
      <w:r>
        <w:rPr>
          <w:rFonts w:ascii="Times New Roman" w:hAnsi="Times New Roman"/>
          <w:noProof/>
          <w:sz w:val="24"/>
        </w:rPr>
        <w:t>III.6.1.2. Darba devēju pensiju saistību nodošana valdībai</w:t>
      </w:r>
    </w:p>
    <w:p w:rsidR="00523A0A" w:rsidRPr="001973D0" w:rsidRDefault="00523A0A" w:rsidP="00523A0A">
      <w:pPr>
        <w:pStyle w:val="Heading6"/>
        <w:tabs>
          <w:tab w:val="left" w:pos="1976"/>
        </w:tabs>
        <w:jc w:val="both"/>
        <w:rPr>
          <w:rFonts w:ascii="Times New Roman" w:hAnsi="Times New Roman"/>
          <w:noProof/>
          <w:sz w:val="24"/>
        </w:rPr>
      </w:pP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Valdība dažādu iemeslu dēļ var pārņemt šīs pensiju saistības. Piemēri ir plāni attiecībā uz (pilnīgu vai daļēju) privatizāciju vai jaunu biržas kotāciju. Valdība kā publisku sabiedrību īpašniece (vai saistībā ar atbalstu privātam uzņēmumam) var vēlēties uzlabot to finanšu stāvokli, “dzēšot” saistības no to bilances. Piemēram, plānotas privatizācijas gadījumā ieguldītāji var nevēlēties pirkt tādas sabiedrības pašu kapitālu, kura ir uzņēmusies pensiju saistības, jo īpaši līdzekļu nepietiekamības gadījumā (kad shēmas aktīvu vērtība ir zemāka par to saistību vērtību un darba devējs ir uzņēmies segt iztrūkumu). Privātas sabiedrības gadījumā iemesls var būt arī uzlabot sabiedrības situāciju un, iespējams, arī pa</w:t>
      </w:r>
      <w:r w:rsidR="00345AF2">
        <w:rPr>
          <w:rFonts w:ascii="Times New Roman" w:hAnsi="Times New Roman"/>
          <w:noProof/>
          <w:sz w:val="24"/>
        </w:rPr>
        <w:t>plašināt sociālās drošības</w:t>
      </w:r>
      <w:r>
        <w:rPr>
          <w:rFonts w:ascii="Times New Roman" w:hAnsi="Times New Roman"/>
          <w:noProof/>
          <w:sz w:val="24"/>
        </w:rPr>
        <w:t xml:space="preserve"> tvērumu.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76"/>
        </w:tabs>
        <w:jc w:val="both"/>
        <w:rPr>
          <w:rFonts w:ascii="Times New Roman" w:hAnsi="Times New Roman"/>
          <w:noProof/>
          <w:sz w:val="24"/>
        </w:rPr>
      </w:pPr>
      <w:bookmarkStart w:id="238" w:name="III.6.1.3_The_key_issue_in_national_acco"/>
      <w:bookmarkEnd w:id="238"/>
      <w:r>
        <w:rPr>
          <w:rFonts w:ascii="Times New Roman" w:hAnsi="Times New Roman"/>
          <w:noProof/>
          <w:sz w:val="24"/>
        </w:rPr>
        <w:t>III.6.1.3. Galvenā problēma nacionālajos kontos</w:t>
      </w:r>
    </w:p>
    <w:p w:rsidR="00523A0A" w:rsidRPr="001973D0" w:rsidRDefault="00523A0A" w:rsidP="00523A0A">
      <w:pPr>
        <w:pStyle w:val="Heading6"/>
        <w:tabs>
          <w:tab w:val="left" w:pos="1976"/>
        </w:tabs>
        <w:jc w:val="both"/>
        <w:rPr>
          <w:rFonts w:ascii="Times New Roman" w:hAnsi="Times New Roman"/>
          <w:noProof/>
          <w:sz w:val="24"/>
        </w:rPr>
      </w:pPr>
    </w:p>
    <w:p w:rsidR="00523A0A" w:rsidRPr="007E22C1"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Nododot pensiju saistības valdībai, sabiedrībai ir jāsamaksā (iespējams, vairākos maksājumos noteiktā laika posmā) kopsumma (naudā vai citos finanšu aktīvos, piemēram, vērtspapīros</w:t>
      </w:r>
      <w:r>
        <w:rPr>
          <w:rStyle w:val="FootnoteReference"/>
          <w:rFonts w:ascii="Times New Roman" w:hAnsi="Times New Roman"/>
          <w:noProof/>
          <w:sz w:val="24"/>
        </w:rPr>
        <w:footnoteReference w:id="163"/>
      </w:r>
      <w:r>
        <w:rPr>
          <w:rFonts w:ascii="Times New Roman" w:hAnsi="Times New Roman"/>
          <w:noProof/>
          <w:sz w:val="24"/>
        </w:rPr>
        <w:t>), lai kompensētu valdībai atbildības uzņemšanos par pensiju apkalpošanu (gan attiecībā uz pensionētajām personām, gan turpmākajiem saņēmējiem, kuri vēl darbojas darba tirgū), ņemot vērā, ka lielākajā daļā gadījumu uz sabiedrības darba ņēmējiem tiks attiecinātas “p</w:t>
      </w:r>
      <w:r w:rsidR="00345AF2">
        <w:rPr>
          <w:rFonts w:ascii="Times New Roman" w:hAnsi="Times New Roman"/>
          <w:noProof/>
          <w:sz w:val="24"/>
        </w:rPr>
        <w:t>arastās” sociālās drošības</w:t>
      </w:r>
      <w:r>
        <w:rPr>
          <w:rFonts w:ascii="Times New Roman" w:hAnsi="Times New Roman"/>
          <w:noProof/>
          <w:sz w:val="24"/>
        </w:rPr>
        <w:t xml:space="preserve"> shēmas saistības, pamatojoties uz </w:t>
      </w:r>
      <w:r>
        <w:rPr>
          <w:rFonts w:ascii="Times New Roman" w:hAnsi="Times New Roman"/>
          <w:i/>
          <w:noProof/>
          <w:sz w:val="24"/>
        </w:rPr>
        <w:t>PAYG</w:t>
      </w:r>
      <w:r>
        <w:rPr>
          <w:rFonts w:ascii="Times New Roman" w:hAnsi="Times New Roman"/>
          <w:noProof/>
          <w:sz w:val="24"/>
        </w:rPr>
        <w:t xml:space="preserve"> sistēmu. Tas nozīmē, ka ar šādu nodošanu jebkura fondēta shēma tajā pat brīdī tiktu pārveidota par nefondētu shēmu. No analītiskā viedokļa var uzskatīt, ka valdība pārņem pensiju saistības, kas tiks uzskatītas par nefondēto shēmu (EKS 2010 nav paredzētas AF.63 saistības) neatkarīgi no tās shēmas būtības, kurā šīs saistības tika atzītas. Dažas operācijas var notikt pirms nodošanas, taču tās skars vienīgi sabiedrības, mājsaimniecību, kā arī, iespējams, pensiju shēmas vai apdrošināšanas sabiedrības, kontus, taču ne valdību (sk. turpmāk). Iespējami arī gadījumi, kad izmaiņas notiek vienīgi fondētās shēmas pārvaldībā bez izmaiņām shēmas būtībā (t. i., tās izzušana, </w:t>
      </w:r>
      <w:r>
        <w:rPr>
          <w:rFonts w:ascii="Times New Roman" w:hAnsi="Times New Roman"/>
          <w:noProof/>
          <w:sz w:val="24"/>
        </w:rPr>
        <w:lastRenderedPageBreak/>
        <w:t>aizvietojot to ar nefondētu shēmu attiecībā uz tā paša līmeņa pensiju tiesībām).</w:t>
      </w: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Kad aktīvu vērtība atbilst pensiju saistību vērtībai, tas jāuzskata par finanšu darījumu bez ietekmes uz valdības neto aizdevumu/aizņēmumu (B.9). Aktīvu pārvedums tiek līdzsvarots ar saistībām. Saskaņā ar 20.273.–20.275. punktu tas jāuztver kā finanšu avanss, sociālo iemaksu priekšmaksājums. Šie jaunie dalībnieki, kuri turpmāk veiks parastās iemaksas valdībai tik ilgi, kamēr būs darbspējas vecumā, ir ieguvuši tiesības uz pensijām, lai arī pirms nodošanas nav veikuši iemaksas šajā shēmā. Tas attiecas arī uz personām, kuras nodošanas laikā jau bija kļuvušas par saņēmējiem. Jāatzīmē, ka gadījumā, ja ar kompensācijas pakotni tiktu nodoti kādi nefinanšu aktīvi (piemēram, ēkas), valdības neto aizdevums/aizņēmums (B.9) tiktu ietekmēts, pieaugot bruto pamatkapitāla veidošanai.</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652"/>
        </w:tabs>
        <w:ind w:left="0" w:firstLine="0"/>
        <w:jc w:val="both"/>
        <w:rPr>
          <w:rFonts w:ascii="Times New Roman" w:hAnsi="Times New Roman"/>
          <w:noProof/>
          <w:u w:val="thick" w:color="000000"/>
        </w:rPr>
      </w:pPr>
      <w:bookmarkStart w:id="239" w:name="III.6.2_Treatment_in_national_accounts"/>
      <w:bookmarkEnd w:id="239"/>
      <w:r>
        <w:rPr>
          <w:rFonts w:ascii="Times New Roman" w:hAnsi="Times New Roman"/>
          <w:noProof/>
          <w:u w:val="none"/>
        </w:rPr>
        <w:t>III.6.2. </w:t>
      </w:r>
      <w:r>
        <w:rPr>
          <w:rFonts w:ascii="Times New Roman" w:hAnsi="Times New Roman"/>
          <w:noProof/>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76"/>
        </w:tabs>
        <w:jc w:val="both"/>
        <w:rPr>
          <w:rFonts w:ascii="Times New Roman" w:hAnsi="Times New Roman"/>
          <w:noProof/>
          <w:sz w:val="24"/>
        </w:rPr>
      </w:pPr>
      <w:r>
        <w:rPr>
          <w:rFonts w:ascii="Times New Roman" w:hAnsi="Times New Roman"/>
          <w:noProof/>
          <w:sz w:val="24"/>
        </w:rPr>
        <w:t>III.6.2.1. Pirmais gadījums – pensiju saistības netiek atzītas valdības kontos</w:t>
      </w:r>
    </w:p>
    <w:p w:rsidR="00523A0A" w:rsidRPr="001973D0" w:rsidRDefault="00523A0A" w:rsidP="00523A0A">
      <w:pPr>
        <w:pStyle w:val="Heading6"/>
        <w:tabs>
          <w:tab w:val="left" w:pos="2076"/>
        </w:tabs>
        <w:jc w:val="both"/>
        <w:rPr>
          <w:rFonts w:ascii="Times New Roman" w:hAnsi="Times New Roman"/>
          <w:b w:val="0"/>
          <w:bCs w:val="0"/>
          <w:noProof/>
          <w:sz w:val="24"/>
        </w:rPr>
      </w:pP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Pirmais gadījums ir darba devēja pensiju saistību nodošana nefondētajai shēmai valdības atbildībā</w:t>
      </w:r>
      <w:r w:rsidR="00345AF2">
        <w:rPr>
          <w:rFonts w:ascii="Times New Roman" w:hAnsi="Times New Roman"/>
          <w:noProof/>
          <w:sz w:val="24"/>
        </w:rPr>
        <w:t>, t. i., sociālās drošības</w:t>
      </w:r>
      <w:r>
        <w:rPr>
          <w:rFonts w:ascii="Times New Roman" w:hAnsi="Times New Roman"/>
          <w:noProof/>
          <w:sz w:val="24"/>
        </w:rPr>
        <w:t xml:space="preserve"> shēmai. Saistības (to pašreizējā vērtība) jāaprēķina, pamatojoties uz dažādiem pensiju parametriem, kas novēroti konkrētā nodošanas brīdī, nevis uz noteiktiem valdības turpmākajiem lēmumiem, ar ko tiek mainīti atsevišķi šajā aprēķinā izmantotie parametri, piemēram, diskonta likme.</w:t>
      </w:r>
      <w:r>
        <w:rPr>
          <w:rStyle w:val="FootnoteReference"/>
          <w:rFonts w:ascii="Times New Roman" w:hAnsi="Times New Roman"/>
          <w:noProof/>
          <w:sz w:val="24"/>
        </w:rPr>
        <w:footnoteReference w:id="164"/>
      </w:r>
      <w:r>
        <w:rPr>
          <w:rFonts w:ascii="Times New Roman" w:hAnsi="Times New Roman"/>
          <w:noProof/>
          <w:sz w:val="24"/>
        </w:rPr>
        <w:t xml:space="preserve"> Pat tad, ja neilgi pēc nodošanas valdība mainītu dažus parametrus (piemēram, pensiju līmeni vai noteikto iemaksu veikšanas laiku), piemēram, pielīdzinot tos valdības shēmas parametriem, tas tiktu apsvērts neatkarīgi no sākotnējiem apstākļiem, kādos nodošana tika veikta. Darba devēja pensiju shēma faktiski tiktu “likvidēta” tie</w:t>
      </w:r>
      <w:r w:rsidR="00535B40">
        <w:rPr>
          <w:rFonts w:ascii="Times New Roman" w:hAnsi="Times New Roman"/>
          <w:noProof/>
          <w:sz w:val="24"/>
        </w:rPr>
        <w:t>ši pirms nodošanas un ierakstīta</w:t>
      </w:r>
      <w:r>
        <w:rPr>
          <w:rFonts w:ascii="Times New Roman" w:hAnsi="Times New Roman"/>
          <w:noProof/>
          <w:sz w:val="24"/>
        </w:rPr>
        <w:t xml:space="preserve"> vienīgi sabiedrību un mājsaimniecību kontos (kas skartu shēmas un mājsaimniecību kontus vienīgi kā K.62 cita plūsma tādā apjomā, kurš atbilst dzēstajām AF.63 saistībām), un šajā gadījumā tiktu uzskatīts, ka aktīvi no mājsaimniecībām ir nodoti valdībai. Tas nemaina ietekmi uz valdības kontiem, bet vienīgi partnersektoru.</w:t>
      </w:r>
    </w:p>
    <w:p w:rsidR="00523A0A" w:rsidRPr="00B3275E"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Principā šajā gadījumā tiek pieņemts, ka parasti “vienreizējā summa”, kas tiek maksāta valdībai, atbilst vai atbildīs</w:t>
      </w:r>
      <w:r>
        <w:rPr>
          <w:rStyle w:val="FootnoteReference"/>
          <w:rFonts w:ascii="Times New Roman" w:hAnsi="Times New Roman"/>
          <w:noProof/>
          <w:sz w:val="24"/>
        </w:rPr>
        <w:footnoteReference w:id="165"/>
      </w:r>
      <w:r>
        <w:rPr>
          <w:rFonts w:ascii="Times New Roman" w:hAnsi="Times New Roman"/>
          <w:noProof/>
          <w:sz w:val="24"/>
        </w:rPr>
        <w:t xml:space="preserve"> pensiju saistībām, ko valdība uzņemas.</w:t>
      </w:r>
      <w:r w:rsidR="00535B40">
        <w:rPr>
          <w:rFonts w:ascii="Times New Roman" w:hAnsi="Times New Roman"/>
          <w:noProof/>
          <w:sz w:val="24"/>
        </w:rPr>
        <w:t xml:space="preserve"> Valdības bilancē nav jāieraksta</w:t>
      </w:r>
      <w:r>
        <w:rPr>
          <w:rFonts w:ascii="Times New Roman" w:hAnsi="Times New Roman"/>
          <w:noProof/>
          <w:sz w:val="24"/>
        </w:rPr>
        <w:t xml:space="preserve"> AF.63 saistības, bet gan vienīgi AF.89 saistības atbilstoši pretī saņemto aktīvu vērtībai. Nodošanas laikā tas neietekmē valdības neto aizdevumu/aizņēmumu (B.9) (ja vien netiek nodoti arī nefinanšu aktīvi). Ietekme uz valdības neto aizdevumu/aizņēmumu (B.9) parādītos tikai pēc šo AF.8 saistību dzēšanas.</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Izņēmuma gadījumos var pastāvēt pierādījumi, pamatojoties uz noteiktu publiski pieejamu informāciju un ekspertu un/vai parlamentārā apspriedē panāktu vienprātību, ka neto faktisko pensiju saistību novērtējums ir zemāks par to patieso vērtību</w:t>
      </w:r>
      <w:r>
        <w:rPr>
          <w:rStyle w:val="FootnoteReference"/>
          <w:rFonts w:ascii="Times New Roman" w:hAnsi="Times New Roman"/>
          <w:noProof/>
          <w:sz w:val="24"/>
        </w:rPr>
        <w:footnoteReference w:id="166"/>
      </w:r>
      <w:r>
        <w:rPr>
          <w:rFonts w:ascii="Times New Roman" w:hAnsi="Times New Roman"/>
          <w:noProof/>
          <w:sz w:val="24"/>
        </w:rPr>
        <w:t xml:space="preserve"> vai ka valdība apmaiņā pret šādu pensiju saistību pārņemšanu nav saņēmusi pietiekami daudz aktīvu, novērtējot šos aktīvus ar vispārpieņemtiem aprēķināšanas paņēmieniem. Šādos gadījumos atkārtoti jānovērtē iepriekš minētās AF.89 saistība</w:t>
      </w:r>
      <w:r w:rsidR="001E2EA1">
        <w:rPr>
          <w:rFonts w:ascii="Times New Roman" w:hAnsi="Times New Roman"/>
          <w:noProof/>
          <w:sz w:val="24"/>
        </w:rPr>
        <w:t>s un konkrētajā brīdī jāieraksta</w:t>
      </w:r>
      <w:r>
        <w:rPr>
          <w:rFonts w:ascii="Times New Roman" w:hAnsi="Times New Roman"/>
          <w:noProof/>
          <w:sz w:val="24"/>
        </w:rPr>
        <w:t xml:space="preserve"> ikviena atšķirība starp šo jauno saistību summu un visu to aktīvu vērtību, kas saņemti kā kompensācija un kapitāla pārvedums un uzreiz ietekmē valdības neto </w:t>
      </w:r>
      <w:r>
        <w:rPr>
          <w:rFonts w:ascii="Times New Roman" w:hAnsi="Times New Roman"/>
          <w:noProof/>
          <w:sz w:val="24"/>
        </w:rPr>
        <w:lastRenderedPageBreak/>
        <w:t>aizdevumu/aizņēmumu (B.9). Šajā gadījumā tiktu uzskatīts, ka valdība ir apzināti piekritusi nelīdzsvarotam darījumam ar skaidru nolūku sniegt atbalstu sabiedrībai.</w:t>
      </w:r>
    </w:p>
    <w:p w:rsidR="00523A0A" w:rsidRPr="001973D0" w:rsidRDefault="00523A0A" w:rsidP="00523A0A">
      <w:pPr>
        <w:jc w:val="both"/>
        <w:rPr>
          <w:rFonts w:ascii="Times New Roman" w:hAnsi="Times New Roman"/>
          <w:noProof/>
          <w:sz w:val="24"/>
        </w:rPr>
      </w:pPr>
    </w:p>
    <w:p w:rsidR="00523A0A" w:rsidRDefault="00523A0A" w:rsidP="00523A0A">
      <w:pPr>
        <w:pStyle w:val="Heading6"/>
        <w:tabs>
          <w:tab w:val="left" w:pos="1976"/>
        </w:tabs>
        <w:jc w:val="both"/>
        <w:rPr>
          <w:rFonts w:ascii="Times New Roman" w:hAnsi="Times New Roman"/>
          <w:noProof/>
          <w:sz w:val="24"/>
        </w:rPr>
      </w:pPr>
      <w:r>
        <w:rPr>
          <w:rFonts w:ascii="Times New Roman" w:hAnsi="Times New Roman"/>
          <w:noProof/>
          <w:sz w:val="24"/>
        </w:rPr>
        <w:t>III.6.2.2. Otrais gadījums – pensiju saistības tiek atzītas valdības kontos</w:t>
      </w:r>
    </w:p>
    <w:p w:rsidR="00523A0A" w:rsidRPr="001973D0" w:rsidRDefault="00523A0A" w:rsidP="00523A0A">
      <w:pPr>
        <w:pStyle w:val="Heading6"/>
        <w:tabs>
          <w:tab w:val="left" w:pos="1976"/>
        </w:tabs>
        <w:jc w:val="both"/>
        <w:rPr>
          <w:rFonts w:ascii="Times New Roman" w:hAnsi="Times New Roman"/>
          <w:b w:val="0"/>
          <w:bCs w:val="0"/>
          <w:noProof/>
          <w:sz w:val="24"/>
        </w:rPr>
      </w:pPr>
    </w:p>
    <w:p w:rsidR="00523A0A" w:rsidRPr="00B3275E"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Šajā gadījumā pensiju saistības tiek nodotas valdībai, kas vismaz pirmajā periodā ievieto tās shēmā, kur saņēmēju tiesības tiek atzītas nacionālajos pamatkontos ar AF.63 saistībām valdības kontos. Tomēr valdība visticamāk nepārņems pensiju administratora pienākumus, tāpēc shēma tiks klasificēta kā S.129 vai S.128.</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Ja shēma nacionālajos kontos tomēr tiktu klasificēta pensiju apakšsektorā, valdībai no sabiedrības pārņemot “pārvaldītāja” pienākumus, taču ne “administratora” pienākumus, šo izmaiņu laikā sabiedrībai tiktu sniegts līdzekļu prasījums, ja shēmas finansējums nebūtu</w:t>
      </w:r>
      <w:r w:rsidR="001E2EA1">
        <w:rPr>
          <w:rFonts w:ascii="Times New Roman" w:hAnsi="Times New Roman"/>
          <w:noProof/>
          <w:sz w:val="24"/>
        </w:rPr>
        <w:t xml:space="preserve"> pietiekams (EKS 2010 ierakstīts</w:t>
      </w:r>
      <w:r>
        <w:rPr>
          <w:rFonts w:ascii="Times New Roman" w:hAnsi="Times New Roman"/>
          <w:noProof/>
          <w:sz w:val="24"/>
        </w:rPr>
        <w:t xml:space="preserve"> kā AF.64). Atbilstošā summa jāuztver kā parādsaistību uzņemšanās, tāpēc kapitāla pārvedums sa</w:t>
      </w:r>
      <w:r w:rsidR="001E2EA1">
        <w:rPr>
          <w:rFonts w:ascii="Times New Roman" w:hAnsi="Times New Roman"/>
          <w:noProof/>
          <w:sz w:val="24"/>
        </w:rPr>
        <w:t>biedrībai no valdības jāieraksta</w:t>
      </w:r>
      <w:r>
        <w:rPr>
          <w:rFonts w:ascii="Times New Roman" w:hAnsi="Times New Roman"/>
          <w:noProof/>
          <w:sz w:val="24"/>
        </w:rPr>
        <w:t xml:space="preserve"> neatkarīgi no tā, ka valdība pēc pārveduma veic pasākumus, lai uzlabotu fonda neto stāvokli.</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Kopumā pamatpieņēmums ir tas, ka valdībai nodoto aktīvu tirgus vērtība (skaidra nauda, akcijas, parāda vērtspapīri un, iespējams, arī nefinanšu aktīvi) atbilst tajā laikā nodoto pensiju saistību (kas</w:t>
      </w:r>
      <w:r w:rsidR="001E2EA1">
        <w:rPr>
          <w:rFonts w:ascii="Times New Roman" w:hAnsi="Times New Roman"/>
          <w:noProof/>
          <w:sz w:val="24"/>
        </w:rPr>
        <w:t xml:space="preserve"> nacionālajos kontos ierakstītas</w:t>
      </w:r>
      <w:r>
        <w:rPr>
          <w:rFonts w:ascii="Times New Roman" w:hAnsi="Times New Roman"/>
          <w:noProof/>
          <w:sz w:val="24"/>
        </w:rPr>
        <w:t xml:space="preserve"> kā AF.63) vērtībai. Līdz ar to šī ekvivalence neietekmē valdības neto aizdevumu/aizņēmumu (B.9) (izņemot nefinanšu aktīvus atbilstīgi tam, kā minēts iepriekš). Ja tomēr finanšu aktīvu tirgus vērtība atšķiras no saistību vērtības (kā minēts iepriekš, tas nav attiecināms uz noteiktu iemaksu shēmu), pārveduma </w:t>
      </w:r>
      <w:r w:rsidR="001E2EA1">
        <w:rPr>
          <w:rFonts w:ascii="Times New Roman" w:hAnsi="Times New Roman"/>
          <w:noProof/>
          <w:sz w:val="24"/>
        </w:rPr>
        <w:t>laikā pastāvošā starpība jāieraksta</w:t>
      </w:r>
      <w:r>
        <w:rPr>
          <w:rFonts w:ascii="Times New Roman" w:hAnsi="Times New Roman"/>
          <w:noProof/>
          <w:sz w:val="24"/>
        </w:rPr>
        <w:t xml:space="preserve"> kā kapitāla pārvedums, kas ietekmē neto aizdevumu/aizņēmumu (B.9), lai atspoguļotu nelīdzsvarota darījuma radīto valdības neto vērtības samazinājumu.</w:t>
      </w:r>
    </w:p>
    <w:p w:rsidR="00523A0A" w:rsidRPr="001973D0" w:rsidRDefault="00523A0A" w:rsidP="00523A0A">
      <w:pPr>
        <w:jc w:val="both"/>
        <w:rPr>
          <w:rFonts w:ascii="Times New Roman" w:eastAsia="Arial" w:hAnsi="Times New Roman" w:cs="Arial"/>
          <w:noProof/>
          <w:sz w:val="24"/>
          <w:szCs w:val="20"/>
        </w:rPr>
      </w:pPr>
    </w:p>
    <w:p w:rsidR="00523A0A" w:rsidRDefault="001E2EA1" w:rsidP="00523A0A">
      <w:pPr>
        <w:pStyle w:val="Heading6"/>
        <w:tabs>
          <w:tab w:val="left" w:pos="2076"/>
        </w:tabs>
        <w:jc w:val="both"/>
        <w:rPr>
          <w:rFonts w:ascii="Times New Roman" w:hAnsi="Times New Roman"/>
          <w:noProof/>
          <w:sz w:val="24"/>
        </w:rPr>
      </w:pPr>
      <w:r>
        <w:rPr>
          <w:rFonts w:ascii="Times New Roman" w:hAnsi="Times New Roman"/>
          <w:noProof/>
          <w:sz w:val="24"/>
        </w:rPr>
        <w:t>III.6.2.3. Darījumu ierakstīšana</w:t>
      </w:r>
      <w:r w:rsidR="00523A0A">
        <w:rPr>
          <w:rFonts w:ascii="Times New Roman" w:hAnsi="Times New Roman"/>
          <w:noProof/>
          <w:sz w:val="24"/>
        </w:rPr>
        <w:t xml:space="preserve"> pēc nodošanas</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Pēc nodošanas tas, ka valdība pārvalda shēmu (proti, saņem sociālos maksājumus un izmaksā pensiju</w:t>
      </w:r>
      <w:r w:rsidR="006608FF">
        <w:rPr>
          <w:rFonts w:ascii="Times New Roman" w:hAnsi="Times New Roman"/>
          <w:noProof/>
          <w:sz w:val="24"/>
        </w:rPr>
        <w:t xml:space="preserve"> pabalstus, tos abus ierakstot</w:t>
      </w:r>
      <w:r>
        <w:rPr>
          <w:rFonts w:ascii="Times New Roman" w:hAnsi="Times New Roman"/>
          <w:noProof/>
          <w:sz w:val="24"/>
        </w:rPr>
        <w:t xml:space="preserve"> atbilstoši uzkrāšanas principam), nedrīkst skart valdības neto aizdevumu/aizņēmumu (B.9) līdz brīdim, kad tiek pilnīgi dzēstas AF.8 saistības. Tas nozīmē maksājumu avansā, kas ir “jāamortizē” D.759 nosacīto ieņēmumu formā, kompensējot pabalstu faktisko izmaksāšanu bijušās darba devēja shēmas pensionāriem. Šī pakāpeniskā saistību dzēšana var tikt īstenota saskaņā ar plānotu pabalsta maksājumu grafiku vai praktisku iemeslu dēļ būt veidota kā lineāra trūkstošās vērtības aprēķināšana attiecībā uz konkrēto laika posmu (piemēram, 20–25 gadiem). Svarīgi atzīmēt, ka nav būtiski pārbaudīt, vai pensiju izmaksa bijušajiem sabiedrības darbiniekiem precīzi atbilst tam, kas bija paredzēts nodošanas brīdī. Citiem vārdiem sakot, realitātē valdība visticamāk varētu faktiski izmaksāt summu, kas aptuveni atbilst tai, kura bija paredzēta nodošanas laikā</w:t>
      </w:r>
      <w:r>
        <w:rPr>
          <w:rStyle w:val="FootnoteReference"/>
          <w:rFonts w:ascii="Times New Roman" w:hAnsi="Times New Roman"/>
          <w:noProof/>
          <w:sz w:val="24"/>
        </w:rPr>
        <w:footnoteReference w:id="167"/>
      </w:r>
      <w:r>
        <w:rPr>
          <w:rFonts w:ascii="Times New Roman" w:hAnsi="Times New Roman"/>
          <w:noProof/>
          <w:sz w:val="24"/>
        </w:rPr>
        <w:t>, un tas netieši ietekmētu valdības neto aizdevumu/aizņēmumu (B.9). Šāds gadījums rastos jo īpaši tādēļ, ka tiek pārskatīti daži parametri.</w:t>
      </w: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szCs w:val="14"/>
        </w:rPr>
      </w:pPr>
      <w:r>
        <w:rPr>
          <w:rFonts w:ascii="Times New Roman" w:hAnsi="Times New Roman"/>
          <w:noProof/>
          <w:sz w:val="24"/>
        </w:rPr>
        <w:t xml:space="preserve">Tomēr saistībā ar laika ekvivalenci šī situācija pabalstu faktiskās izmaksāšanas brīdī ir jāpagriež pretējā virzienā, jo saistības tiek aprēķinātas izrietoši no pastāvošajiem apstākļiem (visiem izdevumiem nākotnē ir zemāka faktiskā vērtība). Šā iemesla dēļ arī procentu izdevumi ir jāpiedēvē valdības nefinanšu kontam. Šajā saistībā var izmantot diskonta likmi, kas izmantota tam, lai aprēķinātu pensiju saistības brīdī, kad tās tiek nodotas valdībai, vai valdības ilgtermiņa procentu pamatlikmi. Kopsummā var ieguldīt </w:t>
      </w:r>
      <w:r>
        <w:rPr>
          <w:rFonts w:ascii="Times New Roman" w:hAnsi="Times New Roman"/>
          <w:noProof/>
          <w:sz w:val="24"/>
        </w:rPr>
        <w:lastRenderedPageBreak/>
        <w:t>īpašam mērķim paredzētus aktīvus (darījuma konts), no kuriem gūtie ieņēmumi tiks izmantoti saistību vērtības palielināšanai (no neto pašreizējās vērtības līdz faktiskajai vērtībai). Parasti valdība tā nerīkojas, kopsummu izmantojot tam, lai samazinātu tās aizņemšanās vajadzības nodošanas gadā. Tomēr šajā gadījumā, samazinoties aizņēmumam, valdībai rodas “neplānots guvums”, un konceptuāli tas būtu līdzvērtīgs ieguldījumam aktīvos.</w:t>
      </w:r>
      <w:r>
        <w:rPr>
          <w:rStyle w:val="FootnoteReference"/>
          <w:rFonts w:ascii="Times New Roman" w:hAnsi="Times New Roman"/>
          <w:noProof/>
          <w:sz w:val="24"/>
        </w:rPr>
        <w:footnoteReference w:id="168"/>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652"/>
        </w:tabs>
        <w:ind w:left="0" w:firstLine="0"/>
        <w:jc w:val="both"/>
        <w:rPr>
          <w:rFonts w:ascii="Times New Roman" w:hAnsi="Times New Roman"/>
          <w:noProof/>
          <w:u w:val="thick" w:color="000000"/>
        </w:rPr>
      </w:pPr>
      <w:bookmarkStart w:id="240" w:name="III.6.3_Rationale_of_the_treatment"/>
      <w:bookmarkEnd w:id="240"/>
      <w:r>
        <w:rPr>
          <w:rFonts w:ascii="Times New Roman" w:hAnsi="Times New Roman"/>
          <w:noProof/>
          <w:u w:val="none"/>
        </w:rPr>
        <w:t>III.6.3. </w:t>
      </w:r>
      <w:r>
        <w:rPr>
          <w:rFonts w:ascii="Times New Roman" w:hAnsi="Times New Roman"/>
          <w:noProof/>
        </w:rPr>
        <w:t>Traktējuma pamatojums</w:t>
      </w:r>
    </w:p>
    <w:p w:rsidR="00523A0A" w:rsidRPr="001973D0" w:rsidRDefault="00523A0A" w:rsidP="00523A0A">
      <w:pPr>
        <w:pStyle w:val="Heading4"/>
        <w:tabs>
          <w:tab w:val="left" w:pos="1652"/>
        </w:tabs>
        <w:ind w:left="0" w:firstLine="0"/>
        <w:jc w:val="both"/>
        <w:rPr>
          <w:rFonts w:ascii="Times New Roman" w:hAnsi="Times New Roman"/>
          <w:noProof/>
          <w:u w:val="thick" w:color="000000"/>
        </w:rPr>
      </w:pPr>
    </w:p>
    <w:p w:rsidR="00523A0A" w:rsidRPr="001973D0"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Turpmāk sniegtas galvenās atsauces uz EKS 2010.</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20.273. punkts: “Atsevišķos gadījumos vienības var maksāt vienreizēju maksājumu valdībai par atsevišķu to pensiju saistību pārņemšanu. Šādi lieli vienreizēji darījumi notiek starp valdību un citu vienību, parasti publisku sabiedrību, un tie bieži ir saistīti ar pārmaiņām sabiedrības statusā vai ar tās privatizāciju. Valdība parasti pārņem attiecīgās saistības apmaiņā pret maksājumu naudā, kas sedz paredzamo pārveduma radīto deficītu.”</w:t>
      </w:r>
    </w:p>
    <w:p w:rsidR="00523A0A" w:rsidRPr="00620CC6" w:rsidRDefault="00523A0A" w:rsidP="00523A0A">
      <w:pPr>
        <w:pStyle w:val="BodyText"/>
        <w:numPr>
          <w:ilvl w:val="0"/>
          <w:numId w:val="72"/>
        </w:numPr>
        <w:tabs>
          <w:tab w:val="left" w:pos="1302"/>
        </w:tabs>
        <w:spacing w:before="0"/>
        <w:ind w:left="709" w:hanging="709"/>
        <w:jc w:val="both"/>
        <w:rPr>
          <w:rFonts w:ascii="Times New Roman" w:hAnsi="Times New Roman"/>
          <w:noProof/>
          <w:sz w:val="24"/>
        </w:rPr>
      </w:pPr>
      <w:r>
        <w:rPr>
          <w:rFonts w:ascii="Times New Roman" w:hAnsi="Times New Roman"/>
          <w:noProof/>
          <w:sz w:val="24"/>
        </w:rPr>
        <w:t>EKS 2010 20.274. punkts: “Tā kā konceptuāli darījums ir līdzvērtīgs naudas apmaiņai pret pienākuma pārņemšanu, kas ir saistība, darījumam nevajadzētu ietekmēt neto vērtības un finanšu neto vērtības mērus, ne arī izmainīt valdības neto aizdevumus/aizņēmumus (B.9). Tomēr pensiju saistības var neparādīties kā saistības nevienas vienības (ne tās, kas nodod, ne tās, kas pārņem saistības) bilancē. Piemēram, pensiju saistības, ja tās nodod valdībai, var tikt apvie</w:t>
      </w:r>
      <w:r w:rsidR="00345AF2">
        <w:rPr>
          <w:rFonts w:ascii="Times New Roman" w:hAnsi="Times New Roman"/>
          <w:noProof/>
          <w:sz w:val="24"/>
        </w:rPr>
        <w:t>notas ar sociālās drošības</w:t>
      </w:r>
      <w:r>
        <w:rPr>
          <w:rFonts w:ascii="Times New Roman" w:hAnsi="Times New Roman"/>
          <w:noProof/>
          <w:sz w:val="24"/>
        </w:rPr>
        <w:t xml:space="preserve"> shēmu, kurai neatzīst saistības.”</w:t>
      </w:r>
      <w:r>
        <w:rPr>
          <w:rStyle w:val="FootnoteReference"/>
          <w:rFonts w:ascii="Times New Roman" w:hAnsi="Times New Roman"/>
          <w:noProof/>
          <w:sz w:val="24"/>
        </w:rPr>
        <w:footnoteReference w:id="169"/>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EKS 2010 20.275. punkts: “Šajā kontekstā šādu vienreizēju maksājumu uzskata par sociālo iemaksu priekšapmaksu. Ņemot vērā dažādas praksē novērotas vienošanās un lai izvairītos no jebkādiem sagrozījumiem dažu agregātu, piemēram, darbaspēka izmaksu un obligāto nodevu, aprēķinā, vienreizēju maksājumu ieraksta kā finanšu avansu (F.8) – dažādu kārtējo pārvedumu (D.75) priekšapmaksu, ko ierakstīs nākotnē proporcionāli attiecīgajiem pensiju maksājumiem. Rezultātā vienreizējs maksājums neietekmē vispārējās valdības neto aizdevumus/aizņēmumus (B.9) gadā, kurā tiek nodotas saistības.”</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Gadījumā, ja saistības, ko valdība uzņemas, nav atzītas tās bilancē, kapit</w:t>
      </w:r>
      <w:r w:rsidR="006608FF">
        <w:rPr>
          <w:rFonts w:ascii="Times New Roman" w:hAnsi="Times New Roman"/>
          <w:noProof/>
          <w:sz w:val="24"/>
        </w:rPr>
        <w:t>āla pārvedumu parasti neieraksta</w:t>
      </w:r>
      <w:r>
        <w:rPr>
          <w:rFonts w:ascii="Times New Roman" w:hAnsi="Times New Roman"/>
          <w:noProof/>
          <w:sz w:val="24"/>
        </w:rPr>
        <w:t>. Tiek pieņemts, ka šādi pārvedumi parasti notiek saskaņā ar procedūru, ar kuru nodrošina, ka valdība saņem “godīgu” kompensāciju. Pastāv demokrātijas kontrole, ko īsteno parlaments, un tādiem gadījumiem, kad valdība faktiski saņem būtiski nepietiekamu kompensāciju un iesaistās “neizdevīgā darījumā”, ko apliecinātu neatkarīgi eksperti, būtu jānotiek ārkārtīgi reti. Turklāt parasti būtu nepieciešama Eiropas Komisijas piekrišana, jo pensiju saistību nepietiekamu samazināšanu bez atbilstoša samazinājuma sabiedrības aktīvos, sniedzot kompensāciju valdībai, atbilstīgi konkurences noteikumiem varētu uzskatīt par izkropļojuma avotu, šādiem nelīdzsvarotiem darījumiem nekavējoties uzlabojot sabiedrības finanšu stāvokli (kas atbilstīgi tam, kā minēts iepriekš, parasti ir iemesls šādas operācijas īstenošanai). Tas tiktu uzskatīts par nepārprotamu valdības atbalstu sabiedrībai, kas pārredzamības nodrošināšanas nol</w:t>
      </w:r>
      <w:r w:rsidR="006608FF">
        <w:rPr>
          <w:rFonts w:ascii="Times New Roman" w:hAnsi="Times New Roman"/>
          <w:noProof/>
          <w:sz w:val="24"/>
        </w:rPr>
        <w:t>ūkā un pēc būtības ir jāieraksta</w:t>
      </w:r>
      <w:r>
        <w:rPr>
          <w:rFonts w:ascii="Times New Roman" w:hAnsi="Times New Roman"/>
          <w:noProof/>
          <w:sz w:val="24"/>
        </w:rPr>
        <w:t xml:space="preserve"> nacionālajos kontos.</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 xml:space="preserve">Tomēr šādi nelīdzsvarotas kompensācijas gadījumi faktiski var notikt īpašu apstākļu ietekmē un dažādu iemeslu dēļ (piemēram, uz sabiedrībām nav attiecināmi konkurences </w:t>
      </w:r>
      <w:r>
        <w:rPr>
          <w:rFonts w:ascii="Times New Roman" w:hAnsi="Times New Roman"/>
          <w:noProof/>
          <w:sz w:val="24"/>
        </w:rPr>
        <w:lastRenderedPageBreak/>
        <w:t>noteikumi, ņemot vērā to darbības jomu vai to, ka tajā brīdī tiek īstenots privatizācijas plāns). Tāpēc šajā rokasgrāmatā ir jāpapildina EKS 2010, jo iepriekš minētajā gadījumā tiktu ietekmēta gan valdības neto vērtība (negatīva ietekme), gan darījumā iesaistītās sabiedrības neto vērtība (pozitīva ietekme).</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Saskaņā ar vispārēju princi</w:t>
      </w:r>
      <w:r w:rsidR="006608FF">
        <w:rPr>
          <w:rFonts w:ascii="Times New Roman" w:hAnsi="Times New Roman"/>
          <w:noProof/>
          <w:sz w:val="24"/>
        </w:rPr>
        <w:t>pu kapitāla pārvedums jāieraksta</w:t>
      </w:r>
      <w:r>
        <w:rPr>
          <w:rFonts w:ascii="Times New Roman" w:hAnsi="Times New Roman"/>
          <w:noProof/>
          <w:sz w:val="24"/>
        </w:rPr>
        <w:t xml:space="preserve"> nacionālajos kontos, kad valdība īsteno nevienlīdzīgu darījumu un ir pierādījumi, ka tas netiek darīts “tikai komerciālos nolūkos”, kas nozīmētu, ka abiem darījuma posmiem jābūt savstarpējā līdzsvarā. EKS 2010 5.21. punktā noteikts, ka finanšu darījuma (pilnīga vai daļēja) pretējā pārveduma gadījumā “par darījuma vērtību uzskata iesaistīto finanšu aktīvu un/vai saistību pašreizējo tirgus vērtību”. Citiem vārdiem sakot, </w:t>
      </w:r>
      <w:r w:rsidR="006608FF">
        <w:rPr>
          <w:rFonts w:ascii="Times New Roman" w:hAnsi="Times New Roman"/>
          <w:noProof/>
          <w:sz w:val="24"/>
        </w:rPr>
        <w:t>finanšu darījums tiek ierakstīts</w:t>
      </w:r>
      <w:r>
        <w:rPr>
          <w:rFonts w:ascii="Times New Roman" w:hAnsi="Times New Roman"/>
          <w:noProof/>
          <w:sz w:val="24"/>
        </w:rPr>
        <w:t xml:space="preserve"> par summu, kas augstāka par novēroto summu, un tajā iekļauta pārveduma komponente, kura ir pievienota to aktīvu faktiskajai summai, ar kuriem puses apmainās.</w:t>
      </w:r>
    </w:p>
    <w:p w:rsidR="00523A0A" w:rsidRPr="00620CC6"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Attiecībā uz gadījumu, kad tiek nodotas pensiju saistības, NKS 17.188. punktā ir ska</w:t>
      </w:r>
      <w:r w:rsidR="006608FF">
        <w:rPr>
          <w:rFonts w:ascii="Times New Roman" w:hAnsi="Times New Roman"/>
          <w:noProof/>
          <w:sz w:val="24"/>
        </w:rPr>
        <w:t>idri noteikts tas, kā jāieraksta</w:t>
      </w:r>
      <w:r>
        <w:rPr>
          <w:rFonts w:ascii="Times New Roman" w:hAnsi="Times New Roman"/>
          <w:noProof/>
          <w:sz w:val="24"/>
        </w:rPr>
        <w:t xml:space="preserve"> atšķirība starp kopsummu un pensiju saistībām: “Ja valdība uzņemas atbildību par pensiju nodrošināšanu ar valdību nesaistītas vienības darba ņēmējiem, veicot skaidri izteiktu darījumu,</w:t>
      </w:r>
      <w:r w:rsidR="006608FF">
        <w:rPr>
          <w:rFonts w:ascii="Times New Roman" w:hAnsi="Times New Roman"/>
          <w:noProof/>
          <w:sz w:val="24"/>
        </w:rPr>
        <w:t xml:space="preserve"> pensiju saistības ir jāieraksta</w:t>
      </w:r>
      <w:r>
        <w:rPr>
          <w:rFonts w:ascii="Times New Roman" w:hAnsi="Times New Roman"/>
          <w:noProof/>
          <w:sz w:val="24"/>
        </w:rPr>
        <w:t xml:space="preserve"> valdības bilancē. Ja valdība pretī nesaņem atbilstošus aktīvus, atšķirība starp valdības saistību pieaugumu un saņemtajiem aktīviem tiek norādīta kā kapitāla pārvedums ar valdību nesaistītam darba devējam.”</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Atšķirībā no NKS 2008 EKS 2010 neatzīst pensiju saistības valdības bilancē, jo īpaši atti</w:t>
      </w:r>
      <w:r w:rsidR="00345AF2">
        <w:rPr>
          <w:rFonts w:ascii="Times New Roman" w:hAnsi="Times New Roman"/>
          <w:noProof/>
          <w:sz w:val="24"/>
        </w:rPr>
        <w:t>ecībā uz sociālās drošības</w:t>
      </w:r>
      <w:r>
        <w:rPr>
          <w:rFonts w:ascii="Times New Roman" w:hAnsi="Times New Roman"/>
          <w:noProof/>
          <w:sz w:val="24"/>
        </w:rPr>
        <w:t xml:space="preserve"> shēmām vai tās pašas darba devēja pensiju shēmām. Tieši tādēļ val</w:t>
      </w:r>
      <w:r w:rsidR="006608FF">
        <w:rPr>
          <w:rFonts w:ascii="Times New Roman" w:hAnsi="Times New Roman"/>
          <w:noProof/>
          <w:sz w:val="24"/>
        </w:rPr>
        <w:t>dības kontos iespējams ierakstīt</w:t>
      </w:r>
      <w:r>
        <w:rPr>
          <w:rFonts w:ascii="Times New Roman" w:hAnsi="Times New Roman"/>
          <w:noProof/>
          <w:sz w:val="24"/>
        </w:rPr>
        <w:t xml:space="preserve"> vienīgi AF.8 saistības (nevis AF.63). Tomēr abos gadījumos, pārņemot pensiju saistības, valdība uzņemas nākotnes saistības, un ir skaidrs, ka valdība nav iesaistījusies darījumā ar mērķi saņemt pilnu kompensāciju par pārņemtajām saistībām. Tā ir apzināti piekritusi iesaistīties darījumā, attiecībā uz kuru ir pierādījumi, ka tajā ietilpst neatlīdzināms elements. No ekonomiskā viedokļa būtība ir visnotaļ līdzīga.</w:t>
      </w:r>
    </w:p>
    <w:p w:rsidR="00523A0A" w:rsidRPr="00620CC6"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Šādos apstākļos nacionālo kontu speciālistiem, kuriem ir jāsniedz tāds apraksts, kas ir “piemērots ekonomiskajai analīzei un ekonomiskās politikas novērtēšanai” (EKS 2010 1.25. punkta d) apakšpunkts), jāpieņem, ka saistību kodifikācija ir konvencionāla, un jāuztver tā kā otršķirīgs tehnisks aspekts. Tas jo īpaši attiecas uz gadījumiem, kuros varētu būt apsverams nelīdzsvarots darījums; valdība pat varētu nolemt pārņemt no sabiedrības pensiju saistības pilnīgi bez maksas vai par simbolisku samaksu.</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Līdz ar to neatkarīgi no vienošanās par to, kā naci</w:t>
      </w:r>
      <w:r w:rsidR="006608FF">
        <w:rPr>
          <w:rFonts w:ascii="Times New Roman" w:hAnsi="Times New Roman"/>
          <w:noProof/>
          <w:sz w:val="24"/>
        </w:rPr>
        <w:t>onālajos kontos tiek ierakstītas</w:t>
      </w:r>
      <w:r>
        <w:rPr>
          <w:rFonts w:ascii="Times New Roman" w:hAnsi="Times New Roman"/>
          <w:noProof/>
          <w:sz w:val="24"/>
        </w:rPr>
        <w:t xml:space="preserve"> pensiju saistības, attiecībā uz darījumu ekonomisko būtību nav atšķirības starp NKS 2008 un EKS 2010, kas ir juridiski saistoša Eiropas Savienībai. Abos gadījumos valdības bilancē jābūt norādītām saistībām precīzā to vērtībā. Tas nozīmē, ka gadījumā, ja darījums kāda iemesla dēļ nav līdzsvarots, t. i., pensiju saistības pārsniedz pretī saņemto aktīvu vērtību, darījums ir “jāpārlīdzsvaro”, un saskaņā ar EKS 2010 vienīgais veids, kā to paveikt, ir koriģēt saistības nacionālajos kontos neatkarīgi no šo saistību kodifikācijas. Tādējādi tiks radīts iztrūkums starp aktīviem, ko valdība saņēmusi darījumā, un “galīgo</w:t>
      </w:r>
      <w:r w:rsidR="006608FF">
        <w:rPr>
          <w:rFonts w:ascii="Times New Roman" w:hAnsi="Times New Roman"/>
          <w:noProof/>
          <w:sz w:val="24"/>
        </w:rPr>
        <w:t>” saistību summu, kas ierakstīta</w:t>
      </w:r>
      <w:r>
        <w:rPr>
          <w:rFonts w:ascii="Times New Roman" w:hAnsi="Times New Roman"/>
          <w:noProof/>
          <w:sz w:val="24"/>
        </w:rPr>
        <w:t xml:space="preserve"> bilancē. Saskaņā ar nacionālo ko</w:t>
      </w:r>
      <w:r w:rsidR="006608FF">
        <w:rPr>
          <w:rFonts w:ascii="Times New Roman" w:hAnsi="Times New Roman"/>
          <w:noProof/>
          <w:sz w:val="24"/>
        </w:rPr>
        <w:t>ntu pamatprincipu tas jāieraksta</w:t>
      </w:r>
      <w:r>
        <w:rPr>
          <w:rFonts w:ascii="Times New Roman" w:hAnsi="Times New Roman"/>
          <w:noProof/>
          <w:sz w:val="24"/>
        </w:rPr>
        <w:t xml:space="preserve"> kā kapitāla pārvedums ar ietekmi uz valdības neto aizdevumu/aizņēmumu (B.9).</w:t>
      </w:r>
    </w:p>
    <w:p w:rsidR="00523A0A" w:rsidRPr="001973D0" w:rsidRDefault="00523A0A" w:rsidP="00523A0A">
      <w:pPr>
        <w:pStyle w:val="BodyText"/>
        <w:numPr>
          <w:ilvl w:val="0"/>
          <w:numId w:val="72"/>
        </w:numPr>
        <w:tabs>
          <w:tab w:val="left" w:pos="1202"/>
        </w:tabs>
        <w:spacing w:before="0"/>
        <w:ind w:left="709" w:hanging="709"/>
        <w:jc w:val="both"/>
        <w:rPr>
          <w:rFonts w:ascii="Times New Roman" w:hAnsi="Times New Roman"/>
          <w:noProof/>
          <w:sz w:val="24"/>
        </w:rPr>
      </w:pPr>
      <w:r>
        <w:rPr>
          <w:rFonts w:ascii="Times New Roman" w:hAnsi="Times New Roman"/>
          <w:noProof/>
          <w:sz w:val="24"/>
        </w:rPr>
        <w:t>Tas nav atkarīgs no neviena pasākuma (kura ietekme un laiks nav zināms un paredzams darījuma laikā), ko valdība varētu piemērot nākotnē, lai segtu iztrūkumu. Citos gadījumos ka</w:t>
      </w:r>
      <w:r w:rsidR="00E0093A">
        <w:rPr>
          <w:rFonts w:ascii="Times New Roman" w:hAnsi="Times New Roman"/>
          <w:noProof/>
          <w:sz w:val="24"/>
        </w:rPr>
        <w:t>pitāla pārvedums tiek ierakstīts</w:t>
      </w:r>
      <w:r>
        <w:rPr>
          <w:rFonts w:ascii="Times New Roman" w:hAnsi="Times New Roman"/>
          <w:noProof/>
          <w:sz w:val="24"/>
        </w:rPr>
        <w:t>, pamatojoties vienīgi uz ietekmi uz valdības finanšu stāvokli, kas novērots darījuma brīdī, nevis uz informāciju par iespējamajām (taču pilnīgi nenoteiktajām un visnotaļ neparedzamajām) valdības turpmākajām darbībām vai turpmākajiem notikumiem.</w:t>
      </w:r>
    </w:p>
    <w:p w:rsidR="00523A0A" w:rsidRPr="001973D0" w:rsidRDefault="00523A0A" w:rsidP="00523A0A">
      <w:pPr>
        <w:jc w:val="both"/>
        <w:rPr>
          <w:rFonts w:ascii="Times New Roman" w:eastAsia="Arial" w:hAnsi="Times New Roman" w:cs="Arial"/>
          <w:noProof/>
          <w:sz w:val="24"/>
          <w:szCs w:val="17"/>
        </w:rPr>
      </w:pPr>
    </w:p>
    <w:p w:rsidR="00523A0A" w:rsidRDefault="00523A0A" w:rsidP="00523A0A">
      <w:pPr>
        <w:pStyle w:val="Heading4"/>
        <w:tabs>
          <w:tab w:val="left" w:pos="1552"/>
        </w:tabs>
        <w:ind w:left="0" w:firstLine="0"/>
        <w:jc w:val="both"/>
        <w:rPr>
          <w:rFonts w:ascii="Times New Roman" w:hAnsi="Times New Roman" w:cs="Arial"/>
          <w:b w:val="0"/>
          <w:noProof/>
          <w:u w:val="none"/>
        </w:rPr>
      </w:pPr>
      <w:bookmarkStart w:id="241" w:name="III.6.4_Accounting_simplified_examples"/>
      <w:bookmarkEnd w:id="241"/>
      <w:r>
        <w:rPr>
          <w:rFonts w:ascii="Times New Roman" w:hAnsi="Times New Roman"/>
          <w:noProof/>
          <w:u w:val="none"/>
        </w:rPr>
        <w:lastRenderedPageBreak/>
        <w:t>III.6.4. </w:t>
      </w:r>
      <w:r>
        <w:rPr>
          <w:rFonts w:ascii="Times New Roman" w:hAnsi="Times New Roman"/>
          <w:noProof/>
        </w:rPr>
        <w:t>Vienkāršoti uzskaites piemēri</w:t>
      </w:r>
      <w:r>
        <w:rPr>
          <w:rStyle w:val="FootnoteReference"/>
          <w:rFonts w:ascii="Times New Roman" w:hAnsi="Times New Roman"/>
          <w:noProof/>
          <w:u w:val="thick" w:color="000000"/>
        </w:rPr>
        <w:footnoteReference w:id="170"/>
      </w:r>
    </w:p>
    <w:p w:rsidR="00523A0A" w:rsidRPr="001973D0" w:rsidRDefault="00523A0A" w:rsidP="00523A0A">
      <w:pPr>
        <w:pStyle w:val="Heading4"/>
        <w:tabs>
          <w:tab w:val="left" w:pos="1552"/>
        </w:tabs>
        <w:ind w:left="0" w:firstLine="0"/>
        <w:jc w:val="both"/>
        <w:rPr>
          <w:rFonts w:ascii="Times New Roman" w:hAnsi="Times New Roman" w:cs="Arial"/>
          <w:b w:val="0"/>
          <w:bCs w:val="0"/>
          <w:noProof/>
          <w:szCs w:val="16"/>
          <w:u w:val="none"/>
        </w:rPr>
      </w:pPr>
    </w:p>
    <w:p w:rsidR="00523A0A" w:rsidRPr="001973D0" w:rsidRDefault="00523A0A" w:rsidP="00523A0A">
      <w:pPr>
        <w:pStyle w:val="Heading6"/>
        <w:jc w:val="both"/>
        <w:rPr>
          <w:rFonts w:ascii="Times New Roman" w:hAnsi="Times New Roman"/>
          <w:noProof/>
          <w:sz w:val="24"/>
        </w:rPr>
      </w:pPr>
      <w:bookmarkStart w:id="242" w:name="Case_1:_Pension_liability_not_recognised"/>
      <w:bookmarkEnd w:id="242"/>
      <w:r>
        <w:rPr>
          <w:rFonts w:ascii="Times New Roman" w:hAnsi="Times New Roman"/>
          <w:noProof/>
          <w:sz w:val="24"/>
        </w:rPr>
        <w:t>Pirmais gadījums – pensiju saistības netiek atzītas valdības kontos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Publiska sabiedrība nodod valdībai savas saistības attiecībā uz sabiedrības darbinieku pensijām, kuras sabiedrība ir organizējusi saviem spēkiem </w:t>
      </w:r>
      <w:r w:rsidR="00E0093A">
        <w:rPr>
          <w:rFonts w:ascii="Times New Roman" w:hAnsi="Times New Roman"/>
          <w:noProof/>
          <w:sz w:val="24"/>
        </w:rPr>
        <w:t>(nacionālajos kontos ierakstītas</w:t>
      </w:r>
      <w:r>
        <w:rPr>
          <w:rFonts w:ascii="Times New Roman" w:hAnsi="Times New Roman"/>
          <w:noProof/>
          <w:sz w:val="24"/>
        </w:rPr>
        <w:t xml:space="preserve"> kā pensiju tiesības (AF.63)). Valdība piekrīt maksāt turpmākās pensijas no “vis</w:t>
      </w:r>
      <w:r w:rsidR="00345AF2">
        <w:rPr>
          <w:rFonts w:ascii="Times New Roman" w:hAnsi="Times New Roman"/>
          <w:noProof/>
          <w:sz w:val="24"/>
        </w:rPr>
        <w:t>pārējām” sociālās drošības</w:t>
      </w:r>
      <w:r>
        <w:rPr>
          <w:rFonts w:ascii="Times New Roman" w:hAnsi="Times New Roman"/>
          <w:noProof/>
          <w:sz w:val="24"/>
        </w:rPr>
        <w:t xml:space="preserve"> shēmām. Nolemts (un turpmāk vairs netiek apspriests), ka pensiju tiesību neto pašreizējā vērtība ir 1000. Konkrētā gadā tālākā nākotnē (</w:t>
      </w:r>
      <w:r>
        <w:rPr>
          <w:rFonts w:ascii="Times New Roman" w:hAnsi="Times New Roman"/>
          <w:i/>
          <w:noProof/>
          <w:sz w:val="24"/>
        </w:rPr>
        <w:t>t+20</w:t>
      </w:r>
      <w:r>
        <w:rPr>
          <w:rFonts w:ascii="Times New Roman" w:hAnsi="Times New Roman"/>
          <w:noProof/>
          <w:sz w:val="24"/>
        </w:rPr>
        <w:t> gadā) pensijas bijušajiem sabiedrības darbiniekiem (pieņemot, ka viņi ir identificējami) jāizmaksā 50 vienību apmērā, lai gan nodošanas laikā tika paredzēts, ka pensijas būs jāizmaksā 40 vienību apmērā atbilstīgi grafikam, kas pieejams šajā laikā, un pēc pārrēķināšanas uz faktisko vērtību (piemērojot vienkāršošanu, procentu likme attiecībā uz valdības turējumiem atbilst diskonta likmei un sabiedrība un mājsaimniecības tiek atspoguļotas konsolidētā veidā.)</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numPr>
          <w:ilvl w:val="0"/>
          <w:numId w:val="71"/>
        </w:numPr>
        <w:tabs>
          <w:tab w:val="left" w:pos="1260"/>
        </w:tabs>
        <w:ind w:left="709" w:hanging="709"/>
        <w:jc w:val="both"/>
        <w:rPr>
          <w:rFonts w:ascii="Times New Roman" w:hAnsi="Times New Roman"/>
          <w:noProof/>
          <w:sz w:val="24"/>
          <w:u w:val="thick" w:color="000000"/>
        </w:rPr>
      </w:pPr>
      <w:r>
        <w:rPr>
          <w:rFonts w:ascii="Times New Roman" w:hAnsi="Times New Roman"/>
          <w:noProof/>
          <w:sz w:val="24"/>
          <w:u w:val="thick" w:color="000000"/>
        </w:rPr>
        <w:t>Darījums ir līdzsvarots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pretī saņem skaidras naudas maksājumu 1000 vienību apmērā, kas atbilst pārņemtajām pensiju saistībām, un nekavējoties iegulda to vērtspapīros. Ietekmi uz neto aizdevumu/aizņēmumu (B.9) iespējams konstatēt vienīgi tad, kad ir dzēstas AF.89 saistības, kas šajā gadījumā nav paredzams pēc 20 gadiem, pat ja faktiskie maksājumi neatbilst paredzētajai summai.</w:t>
      </w:r>
    </w:p>
    <w:p w:rsidR="00523A0A" w:rsidRDefault="00523A0A" w:rsidP="00523A0A">
      <w:pPr>
        <w:jc w:val="both"/>
        <w:rPr>
          <w:rFonts w:ascii="Times New Roman" w:eastAsia="Calibri" w:hAnsi="Times New Roman" w:cs="Calibri"/>
          <w:noProof/>
          <w:sz w:val="24"/>
          <w:szCs w:val="19"/>
        </w:rPr>
      </w:pPr>
    </w:p>
    <w:p w:rsidR="00523A0A" w:rsidRDefault="00D10B33" w:rsidP="005E1429">
      <w:pPr>
        <w:jc w:val="center"/>
        <w:rPr>
          <w:rFonts w:ascii="Times New Roman" w:eastAsia="Calibri" w:hAnsi="Times New Roman" w:cs="Calibri"/>
          <w:noProof/>
          <w:sz w:val="24"/>
          <w:szCs w:val="19"/>
        </w:rPr>
      </w:pPr>
      <w:r w:rsidRPr="00D10B33">
        <w:rPr>
          <w:rFonts w:ascii="Times New Roman" w:eastAsia="Calibri" w:hAnsi="Times New Roman" w:cs="Calibri"/>
          <w:noProof/>
          <w:sz w:val="24"/>
          <w:szCs w:val="19"/>
          <w:lang w:bidi="ar-SA"/>
        </w:rPr>
        <w:drawing>
          <wp:inline distT="0" distB="0" distL="0" distR="0">
            <wp:extent cx="5052868" cy="4776619"/>
            <wp:effectExtent l="0" t="0" r="0" b="508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55639" cy="4779239"/>
                    </a:xfrm>
                    <a:prstGeom prst="rect">
                      <a:avLst/>
                    </a:prstGeom>
                    <a:noFill/>
                    <a:ln>
                      <a:noFill/>
                    </a:ln>
                  </pic:spPr>
                </pic:pic>
              </a:graphicData>
            </a:graphic>
          </wp:inline>
        </w:drawing>
      </w:r>
    </w:p>
    <w:p w:rsidR="00523A0A" w:rsidRDefault="00D10B33" w:rsidP="005E1429">
      <w:pPr>
        <w:jc w:val="center"/>
        <w:rPr>
          <w:rFonts w:ascii="Times New Roman" w:eastAsia="Calibri" w:hAnsi="Times New Roman" w:cs="Calibri"/>
          <w:noProof/>
          <w:sz w:val="24"/>
          <w:szCs w:val="19"/>
        </w:rPr>
      </w:pPr>
      <w:r w:rsidRPr="00D10B33">
        <w:rPr>
          <w:rFonts w:ascii="Times New Roman" w:eastAsia="Calibri" w:hAnsi="Times New Roman" w:cs="Calibri"/>
          <w:noProof/>
          <w:sz w:val="24"/>
          <w:szCs w:val="19"/>
          <w:lang w:bidi="ar-SA"/>
        </w:rPr>
        <w:lastRenderedPageBreak/>
        <w:drawing>
          <wp:inline distT="0" distB="0" distL="0" distR="0">
            <wp:extent cx="5760085" cy="2391432"/>
            <wp:effectExtent l="0" t="0" r="0" b="889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085" cy="2391432"/>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19"/>
        </w:rPr>
      </w:pPr>
    </w:p>
    <w:p w:rsidR="00523A0A" w:rsidRPr="001973D0" w:rsidRDefault="00523A0A" w:rsidP="00523A0A">
      <w:pPr>
        <w:pStyle w:val="Heading6"/>
        <w:numPr>
          <w:ilvl w:val="0"/>
          <w:numId w:val="71"/>
        </w:numPr>
        <w:tabs>
          <w:tab w:val="left" w:pos="1368"/>
        </w:tabs>
        <w:ind w:left="709" w:hanging="709"/>
        <w:jc w:val="both"/>
        <w:rPr>
          <w:rFonts w:ascii="Times New Roman" w:hAnsi="Times New Roman"/>
          <w:noProof/>
          <w:sz w:val="24"/>
          <w:u w:val="thick" w:color="000000"/>
        </w:rPr>
      </w:pPr>
      <w:r>
        <w:rPr>
          <w:rFonts w:ascii="Times New Roman" w:hAnsi="Times New Roman"/>
          <w:noProof/>
          <w:sz w:val="24"/>
          <w:u w:val="thick" w:color="000000"/>
        </w:rPr>
        <w:t>Darījums nav līdzsvarots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pretī saņem skaidras naudas maksājumu 500 vienību apmērā, kas ir mazāk par pārņemtajām pensiju saistībām (1000), un nekavējoties iegulda to vērtspapīros. Ka</w:t>
      </w:r>
      <w:r w:rsidR="00E0093A">
        <w:rPr>
          <w:rFonts w:ascii="Times New Roman" w:hAnsi="Times New Roman"/>
          <w:noProof/>
          <w:sz w:val="24"/>
        </w:rPr>
        <w:t>pitāla pārvedums tiek ierakstīts</w:t>
      </w:r>
      <w:r>
        <w:rPr>
          <w:rFonts w:ascii="Times New Roman" w:hAnsi="Times New Roman"/>
          <w:noProof/>
          <w:sz w:val="24"/>
        </w:rPr>
        <w:t xml:space="preserve"> attiecībā uz iztrūkumu, ievērojot to, ka AF.89 neatbilst darījumā saņemtajiem aktīviem. Tas ietekmē valdības neto aizdevumu/aizņēmumu (B.9) tajā gadā, kad notiek nodošana, taču ne turpmākajos gados, kamēr nav dzēstas AF.89 saistības. Atšķirība no iepriekšējā gadījuma ir tāda, ka tas notiek pirms 20. gada (slēguma bilance gadā </w:t>
      </w:r>
      <w:r>
        <w:rPr>
          <w:rFonts w:ascii="Times New Roman" w:hAnsi="Times New Roman"/>
          <w:i/>
          <w:noProof/>
          <w:sz w:val="24"/>
        </w:rPr>
        <w:t>t+20</w:t>
      </w:r>
      <w:r>
        <w:rPr>
          <w:rFonts w:ascii="Times New Roman" w:hAnsi="Times New Roman"/>
          <w:noProof/>
          <w:sz w:val="24"/>
        </w:rPr>
        <w:t xml:space="preserve"> nav atspoguļota, jo vairs nepastāv saistība ar sākotnējo darījumu).</w:t>
      </w:r>
    </w:p>
    <w:p w:rsidR="00523A0A" w:rsidRDefault="00523A0A" w:rsidP="00523A0A">
      <w:pPr>
        <w:jc w:val="both"/>
        <w:rPr>
          <w:rFonts w:ascii="Times New Roman" w:eastAsia="Arial" w:hAnsi="Times New Roman" w:cs="Arial"/>
          <w:b/>
          <w:bCs/>
          <w:noProof/>
          <w:sz w:val="24"/>
          <w:szCs w:val="20"/>
        </w:rPr>
      </w:pPr>
    </w:p>
    <w:p w:rsidR="00523A0A" w:rsidRPr="001973D0" w:rsidRDefault="00D10B33" w:rsidP="00523A0A">
      <w:pPr>
        <w:jc w:val="both"/>
        <w:rPr>
          <w:rFonts w:ascii="Times New Roman" w:eastAsia="Arial" w:hAnsi="Times New Roman" w:cs="Arial"/>
          <w:b/>
          <w:bCs/>
          <w:noProof/>
          <w:sz w:val="24"/>
          <w:szCs w:val="20"/>
        </w:rPr>
      </w:pPr>
      <w:r w:rsidRPr="00D10B33">
        <w:rPr>
          <w:rFonts w:ascii="Times New Roman" w:eastAsia="Arial" w:hAnsi="Times New Roman" w:cs="Arial"/>
          <w:b/>
          <w:bCs/>
          <w:noProof/>
          <w:sz w:val="24"/>
          <w:szCs w:val="20"/>
          <w:lang w:bidi="ar-SA"/>
        </w:rPr>
        <w:drawing>
          <wp:inline distT="0" distB="0" distL="0" distR="0">
            <wp:extent cx="5760085" cy="3791637"/>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085" cy="3791637"/>
                    </a:xfrm>
                    <a:prstGeom prst="rect">
                      <a:avLst/>
                    </a:prstGeom>
                    <a:noFill/>
                    <a:ln>
                      <a:noFill/>
                    </a:ln>
                  </pic:spPr>
                </pic:pic>
              </a:graphicData>
            </a:graphic>
          </wp:inline>
        </w:drawing>
      </w:r>
    </w:p>
    <w:p w:rsidR="00523A0A" w:rsidRPr="001973D0" w:rsidRDefault="00C5605C" w:rsidP="00523A0A">
      <w:pPr>
        <w:jc w:val="both"/>
        <w:rPr>
          <w:rFonts w:ascii="Times New Roman" w:eastAsia="Arial" w:hAnsi="Times New Roman" w:cs="Arial"/>
          <w:b/>
          <w:bCs/>
          <w:noProof/>
          <w:sz w:val="24"/>
          <w:szCs w:val="20"/>
        </w:rPr>
      </w:pPr>
      <w:r w:rsidRPr="00C5605C">
        <w:rPr>
          <w:rFonts w:ascii="Times New Roman" w:eastAsia="Arial" w:hAnsi="Times New Roman" w:cs="Arial"/>
          <w:b/>
          <w:bCs/>
          <w:noProof/>
          <w:sz w:val="24"/>
          <w:szCs w:val="20"/>
          <w:lang w:bidi="ar-SA"/>
        </w:rPr>
        <w:lastRenderedPageBreak/>
        <w:drawing>
          <wp:inline distT="0" distB="0" distL="0" distR="0">
            <wp:extent cx="5760085" cy="3459788"/>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085" cy="3459788"/>
                    </a:xfrm>
                    <a:prstGeom prst="rect">
                      <a:avLst/>
                    </a:prstGeom>
                    <a:noFill/>
                    <a:ln>
                      <a:noFill/>
                    </a:ln>
                  </pic:spPr>
                </pic:pic>
              </a:graphicData>
            </a:graphic>
          </wp:inline>
        </w:drawing>
      </w:r>
    </w:p>
    <w:p w:rsidR="00523A0A" w:rsidRPr="001973D0" w:rsidRDefault="00523A0A" w:rsidP="00523A0A">
      <w:pPr>
        <w:jc w:val="both"/>
        <w:rPr>
          <w:rFonts w:ascii="Times New Roman" w:eastAsia="Arial" w:hAnsi="Times New Roman" w:cs="Arial"/>
          <w:b/>
          <w:bCs/>
          <w:noProof/>
          <w:sz w:val="24"/>
          <w:szCs w:val="20"/>
        </w:rPr>
      </w:pPr>
    </w:p>
    <w:p w:rsidR="00523A0A" w:rsidRDefault="00523A0A" w:rsidP="00523A0A">
      <w:pPr>
        <w:pStyle w:val="Heading6"/>
        <w:jc w:val="both"/>
        <w:rPr>
          <w:rFonts w:ascii="Times New Roman" w:hAnsi="Times New Roman"/>
          <w:noProof/>
          <w:sz w:val="24"/>
        </w:rPr>
      </w:pPr>
      <w:bookmarkStart w:id="243" w:name="Case_2:_Pension_liability_recognised_in_"/>
      <w:bookmarkEnd w:id="243"/>
      <w:r>
        <w:rPr>
          <w:rFonts w:ascii="Times New Roman" w:hAnsi="Times New Roman"/>
          <w:noProof/>
          <w:sz w:val="24"/>
        </w:rPr>
        <w:t>Otrais gadījums – pensiju saistības tiek atzītas valdības kontos pēc saistību nodošanas</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Heading6"/>
        <w:numPr>
          <w:ilvl w:val="0"/>
          <w:numId w:val="70"/>
        </w:numPr>
        <w:tabs>
          <w:tab w:val="left" w:pos="1268"/>
        </w:tabs>
        <w:ind w:left="709" w:hanging="709"/>
        <w:jc w:val="both"/>
        <w:rPr>
          <w:rFonts w:ascii="Times New Roman" w:hAnsi="Times New Roman"/>
          <w:noProof/>
          <w:sz w:val="24"/>
          <w:u w:val="thick" w:color="000000"/>
        </w:rPr>
      </w:pPr>
      <w:r>
        <w:rPr>
          <w:rFonts w:ascii="Times New Roman" w:hAnsi="Times New Roman"/>
          <w:noProof/>
          <w:sz w:val="24"/>
          <w:u w:val="thick" w:color="000000"/>
        </w:rPr>
        <w:t>Darījums ir līdzsvarots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Gadā</w:t>
      </w:r>
      <w:r>
        <w:rPr>
          <w:rFonts w:ascii="Times New Roman" w:hAnsi="Times New Roman"/>
          <w:i/>
          <w:noProof/>
          <w:sz w:val="24"/>
        </w:rPr>
        <w:t xml:space="preserve"> t</w:t>
      </w:r>
      <w:r>
        <w:rPr>
          <w:rFonts w:ascii="Times New Roman" w:hAnsi="Times New Roman"/>
          <w:noProof/>
          <w:sz w:val="24"/>
        </w:rPr>
        <w:t xml:space="preserve"> publiskā sabiedrība nodot valdībai AF.63 pensiju saistības attiecībā uz tās pašreizējiem un bijušajiem darbiniekiem. Valdība pensijas nākotnē maksās no shēmas, attiecībā uz kuru AF.63 pensiju saistības joprojām ir atzītas na</w:t>
      </w:r>
      <w:r w:rsidR="00E0093A">
        <w:rPr>
          <w:rFonts w:ascii="Times New Roman" w:hAnsi="Times New Roman"/>
          <w:noProof/>
          <w:sz w:val="24"/>
        </w:rPr>
        <w:t>cionālajos kontos (un šeit ierakstītas</w:t>
      </w:r>
      <w:r>
        <w:rPr>
          <w:rFonts w:ascii="Times New Roman" w:hAnsi="Times New Roman"/>
          <w:noProof/>
          <w:sz w:val="24"/>
        </w:rPr>
        <w:t xml:space="preserve"> valdībā). Valdība pretī saņem naudu 1000 vienību apmērā un nekavējoties iegulda to F.3 (vai visticamāk tieši F.3 vai F.5 aktīvos – šajā vienkāršotajā piemērā cena nemainās). Konkrētā gadā tālākā nākotnē (gadā </w:t>
      </w:r>
      <w:r>
        <w:rPr>
          <w:rFonts w:ascii="Times New Roman" w:hAnsi="Times New Roman"/>
          <w:i/>
          <w:noProof/>
          <w:sz w:val="24"/>
        </w:rPr>
        <w:t>t+20</w:t>
      </w:r>
      <w:r>
        <w:rPr>
          <w:rFonts w:ascii="Times New Roman" w:hAnsi="Times New Roman"/>
          <w:noProof/>
          <w:sz w:val="24"/>
        </w:rPr>
        <w:t>) ir jāizmaksā pensijas 50 vienību apmērā, un tās tiek maksātas no nodotajiem aktīviem. Ietekmes uz valdības neto aizdevumu/aizņēmumu (B.9) nav, jo nav jāņem aizdevums, lai varētu izmaksāt pensijas (korekcij</w:t>
      </w:r>
      <w:r w:rsidR="00E0093A">
        <w:rPr>
          <w:rFonts w:ascii="Times New Roman" w:hAnsi="Times New Roman"/>
          <w:noProof/>
          <w:sz w:val="24"/>
        </w:rPr>
        <w:t>a nefinanšu kontos ir ierakstīta</w:t>
      </w:r>
      <w:r>
        <w:rPr>
          <w:rFonts w:ascii="Times New Roman" w:hAnsi="Times New Roman"/>
          <w:noProof/>
          <w:sz w:val="24"/>
        </w:rPr>
        <w:t xml:space="preserve"> kā D.75).</w:t>
      </w:r>
    </w:p>
    <w:p w:rsidR="00523A0A" w:rsidRPr="001973D0" w:rsidRDefault="00523A0A" w:rsidP="00523A0A">
      <w:pPr>
        <w:jc w:val="both"/>
        <w:rPr>
          <w:rFonts w:ascii="Times New Roman" w:eastAsia="Arial" w:hAnsi="Times New Roman" w:cs="Arial"/>
          <w:noProof/>
          <w:sz w:val="24"/>
          <w:szCs w:val="20"/>
        </w:rPr>
      </w:pPr>
    </w:p>
    <w:p w:rsidR="00D10B33" w:rsidRPr="001973D0" w:rsidRDefault="00C5605C" w:rsidP="00523A0A">
      <w:pPr>
        <w:pStyle w:val="Heading6"/>
        <w:jc w:val="both"/>
        <w:rPr>
          <w:rFonts w:ascii="Times New Roman" w:eastAsia="Calibri" w:hAnsi="Times New Roman" w:cs="Calibri"/>
          <w:noProof/>
          <w:sz w:val="24"/>
          <w:szCs w:val="20"/>
        </w:rPr>
      </w:pPr>
      <w:r w:rsidRPr="00C5605C">
        <w:rPr>
          <w:rFonts w:ascii="Times New Roman" w:eastAsia="Calibri" w:hAnsi="Times New Roman" w:cs="Calibri"/>
          <w:noProof/>
          <w:sz w:val="24"/>
          <w:szCs w:val="20"/>
          <w:lang w:bidi="ar-SA"/>
        </w:rPr>
        <w:drawing>
          <wp:inline distT="0" distB="0" distL="0" distR="0">
            <wp:extent cx="5760085" cy="1965713"/>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085" cy="1965713"/>
                    </a:xfrm>
                    <a:prstGeom prst="rect">
                      <a:avLst/>
                    </a:prstGeom>
                    <a:noFill/>
                    <a:ln>
                      <a:noFill/>
                    </a:ln>
                  </pic:spPr>
                </pic:pic>
              </a:graphicData>
            </a:graphic>
          </wp:inline>
        </w:drawing>
      </w:r>
    </w:p>
    <w:p w:rsidR="00523A0A" w:rsidRPr="001973D0" w:rsidRDefault="00D10B33" w:rsidP="00523A0A">
      <w:pPr>
        <w:jc w:val="both"/>
        <w:rPr>
          <w:rFonts w:ascii="Times New Roman" w:eastAsia="Calibri" w:hAnsi="Times New Roman" w:cs="Calibri"/>
          <w:noProof/>
          <w:sz w:val="24"/>
          <w:szCs w:val="20"/>
        </w:rPr>
      </w:pPr>
      <w:r w:rsidRPr="00D10B33">
        <w:rPr>
          <w:rFonts w:ascii="Times New Roman" w:eastAsia="Calibri" w:hAnsi="Times New Roman" w:cs="Calibri"/>
          <w:noProof/>
          <w:sz w:val="24"/>
          <w:szCs w:val="20"/>
          <w:lang w:bidi="ar-SA"/>
        </w:rPr>
        <w:drawing>
          <wp:inline distT="0" distB="0" distL="0" distR="0">
            <wp:extent cx="5840408" cy="1216267"/>
            <wp:effectExtent l="0" t="0" r="8255"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01520" cy="1228994"/>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24"/>
        </w:rPr>
      </w:pPr>
    </w:p>
    <w:p w:rsidR="00C5605C" w:rsidRDefault="00AA2FE3" w:rsidP="00523A0A">
      <w:pPr>
        <w:jc w:val="both"/>
        <w:rPr>
          <w:rFonts w:ascii="Times New Roman" w:eastAsia="Calibri" w:hAnsi="Times New Roman" w:cs="Calibri"/>
          <w:noProof/>
          <w:sz w:val="24"/>
          <w:szCs w:val="24"/>
        </w:rPr>
      </w:pPr>
      <w:r w:rsidRPr="00AA2FE3">
        <w:rPr>
          <w:rFonts w:ascii="Times New Roman" w:eastAsia="Calibri" w:hAnsi="Times New Roman" w:cs="Calibri"/>
          <w:noProof/>
          <w:sz w:val="24"/>
          <w:szCs w:val="24"/>
          <w:lang w:bidi="ar-SA"/>
        </w:rPr>
        <w:drawing>
          <wp:inline distT="0" distB="0" distL="0" distR="0">
            <wp:extent cx="5760085" cy="4282517"/>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085" cy="4282517"/>
                    </a:xfrm>
                    <a:prstGeom prst="rect">
                      <a:avLst/>
                    </a:prstGeom>
                    <a:noFill/>
                    <a:ln>
                      <a:noFill/>
                    </a:ln>
                  </pic:spPr>
                </pic:pic>
              </a:graphicData>
            </a:graphic>
          </wp:inline>
        </w:drawing>
      </w:r>
    </w:p>
    <w:p w:rsidR="00C5605C" w:rsidRPr="001973D0" w:rsidRDefault="00C5605C" w:rsidP="00523A0A">
      <w:pPr>
        <w:jc w:val="both"/>
        <w:rPr>
          <w:rFonts w:ascii="Times New Roman" w:eastAsia="Calibri" w:hAnsi="Times New Roman" w:cs="Calibri"/>
          <w:noProof/>
          <w:sz w:val="24"/>
          <w:szCs w:val="24"/>
        </w:rPr>
      </w:pPr>
    </w:p>
    <w:p w:rsidR="00523A0A" w:rsidRPr="001973D0" w:rsidRDefault="00523A0A" w:rsidP="00523A0A">
      <w:pPr>
        <w:pStyle w:val="Heading6"/>
        <w:numPr>
          <w:ilvl w:val="0"/>
          <w:numId w:val="70"/>
        </w:numPr>
        <w:tabs>
          <w:tab w:val="left" w:pos="1368"/>
        </w:tabs>
        <w:ind w:left="709" w:hanging="709"/>
        <w:jc w:val="both"/>
        <w:rPr>
          <w:rFonts w:ascii="Times New Roman" w:hAnsi="Times New Roman"/>
          <w:noProof/>
          <w:sz w:val="24"/>
          <w:u w:val="thick" w:color="000000"/>
        </w:rPr>
      </w:pPr>
      <w:r>
        <w:rPr>
          <w:rFonts w:ascii="Times New Roman" w:hAnsi="Times New Roman"/>
          <w:noProof/>
          <w:sz w:val="24"/>
          <w:u w:val="thick" w:color="000000"/>
        </w:rPr>
        <w:t>Darījums nav līdzsvarots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Tajā pašā operācijā, pensiju saistību vērtībai atbilstot 1000 vienībām, valdība pretī saņem naudu 500 vienību apmērā un nekavējoties iegulda to F.3 (vai visticamāk tieši F.3 vai</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F.5 aktīvos – šajā vienkāršotajā piemērā cena nemainās). Šis iztrūkums tiek atspoguļots kā kapitāla pārvedums, jo valdība ir faktiski uzņēmusies sabiedrības netiešas AF.64 saistības mājsaimniecībām (kas neparādās piemērā, jo sabiedrību sektors ir konsolidēts ar mājsaimniecību sektoru). Atšķirībā no iepriekšējā piemēra šajā gadījumā gadā </w:t>
      </w:r>
      <w:r>
        <w:rPr>
          <w:rFonts w:ascii="Times New Roman" w:hAnsi="Times New Roman"/>
          <w:i/>
          <w:noProof/>
          <w:sz w:val="24"/>
        </w:rPr>
        <w:t>t+20</w:t>
      </w:r>
      <w:r>
        <w:rPr>
          <w:rFonts w:ascii="Times New Roman" w:hAnsi="Times New Roman"/>
          <w:noProof/>
          <w:sz w:val="24"/>
        </w:rPr>
        <w:t xml:space="preserve"> izmaksājamo pensiju vērtība atbilst 50 vienībām, taču valdībai vairs nav aktīvu, no kuriem tā varētu finansēt šīs pensijas, tāpēc tai jāņem jauni aizņēmumi, kas aizstātu AF.63 (tas varētu ietekmēt valdības (</w:t>
      </w:r>
      <w:r>
        <w:rPr>
          <w:rFonts w:ascii="Times New Roman" w:hAnsi="Times New Roman"/>
          <w:i/>
          <w:noProof/>
          <w:sz w:val="24"/>
        </w:rPr>
        <w:t>EDP</w:t>
      </w:r>
      <w:r>
        <w:rPr>
          <w:rFonts w:ascii="Times New Roman" w:hAnsi="Times New Roman"/>
          <w:noProof/>
          <w:sz w:val="24"/>
        </w:rPr>
        <w:t>) parādu, jo pretēji AF.6 tas ir instruments, kurš tajā ir iekļauts).</w:t>
      </w:r>
    </w:p>
    <w:p w:rsidR="00523A0A" w:rsidRPr="001973D0" w:rsidRDefault="00523A0A" w:rsidP="00523A0A">
      <w:pPr>
        <w:jc w:val="both"/>
        <w:rPr>
          <w:rFonts w:ascii="Times New Roman" w:hAnsi="Times New Roman"/>
          <w:noProof/>
          <w:sz w:val="24"/>
        </w:rPr>
      </w:pPr>
    </w:p>
    <w:p w:rsidR="00523A0A" w:rsidRPr="001973D0" w:rsidRDefault="00AA2FE3" w:rsidP="00523A0A">
      <w:pPr>
        <w:jc w:val="both"/>
        <w:rPr>
          <w:rFonts w:ascii="Times New Roman" w:eastAsia="Calibri" w:hAnsi="Times New Roman" w:cs="Calibri"/>
          <w:noProof/>
          <w:sz w:val="24"/>
          <w:szCs w:val="20"/>
        </w:rPr>
      </w:pPr>
      <w:r w:rsidRPr="00AA2FE3">
        <w:rPr>
          <w:rFonts w:ascii="Times New Roman" w:eastAsia="Calibri" w:hAnsi="Times New Roman" w:cs="Calibri"/>
          <w:noProof/>
          <w:sz w:val="24"/>
          <w:szCs w:val="20"/>
          <w:lang w:bidi="ar-SA"/>
        </w:rPr>
        <w:lastRenderedPageBreak/>
        <w:drawing>
          <wp:inline distT="0" distB="0" distL="0" distR="0">
            <wp:extent cx="5760085" cy="8121781"/>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085" cy="8121781"/>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0"/>
        </w:rPr>
      </w:pPr>
    </w:p>
    <w:p w:rsidR="00523A0A" w:rsidRDefault="00523A0A" w:rsidP="00523A0A">
      <w:pPr>
        <w:rPr>
          <w:rFonts w:ascii="Times New Roman" w:eastAsia="Calibri" w:hAnsi="Times New Roman" w:cs="Calibri"/>
          <w:noProof/>
          <w:sz w:val="24"/>
          <w:szCs w:val="20"/>
        </w:rPr>
      </w:pPr>
      <w:r>
        <w:br w:type="page"/>
      </w:r>
    </w:p>
    <w:p w:rsidR="00523A0A" w:rsidRDefault="00523A0A" w:rsidP="00C5605C">
      <w:pPr>
        <w:pStyle w:val="Heading2"/>
        <w:rPr>
          <w:noProof/>
        </w:rPr>
      </w:pPr>
      <w:bookmarkStart w:id="244" w:name="III.7_Impact_on_government_accounts_of_t"/>
      <w:bookmarkStart w:id="245" w:name="_bookmark27"/>
      <w:bookmarkStart w:id="246" w:name="_Toc471135893"/>
      <w:bookmarkEnd w:id="244"/>
      <w:bookmarkEnd w:id="245"/>
      <w:r>
        <w:rPr>
          <w:noProof/>
        </w:rPr>
        <w:lastRenderedPageBreak/>
        <w:t>III.7. Ekspluatācijas pārtraukšanas izmaksu pārneses ietekme uz valdības kontiem</w:t>
      </w:r>
      <w:bookmarkEnd w:id="246"/>
    </w:p>
    <w:p w:rsidR="00523A0A" w:rsidRPr="001973D0" w:rsidRDefault="00523A0A" w:rsidP="00523A0A">
      <w:pPr>
        <w:pStyle w:val="Heading2"/>
        <w:jc w:val="both"/>
        <w:rPr>
          <w:noProof/>
          <w:sz w:val="24"/>
        </w:rPr>
      </w:pPr>
    </w:p>
    <w:p w:rsidR="00523A0A" w:rsidRDefault="00523A0A" w:rsidP="00523A0A">
      <w:pPr>
        <w:pStyle w:val="Heading4"/>
        <w:ind w:left="0" w:firstLine="0"/>
        <w:jc w:val="both"/>
        <w:rPr>
          <w:rFonts w:ascii="Times New Roman" w:hAnsi="Times New Roman"/>
          <w:noProof/>
          <w:u w:val="thick" w:color="000000"/>
        </w:rPr>
      </w:pPr>
      <w:bookmarkStart w:id="247" w:name="III.7.1_Background"/>
      <w:bookmarkEnd w:id="247"/>
      <w:r>
        <w:rPr>
          <w:rFonts w:ascii="Times New Roman" w:hAnsi="Times New Roman"/>
          <w:noProof/>
          <w:u w:val="none"/>
        </w:rPr>
        <w:t>III.7.1. </w:t>
      </w:r>
      <w:r>
        <w:rPr>
          <w:rFonts w:ascii="Times New Roman" w:hAnsi="Times New Roman"/>
          <w:noProof/>
          <w:u w:val="thick" w:color="000000"/>
        </w:rPr>
        <w:t>Vispārēja informācija</w:t>
      </w:r>
    </w:p>
    <w:p w:rsidR="00523A0A" w:rsidRPr="001973D0" w:rsidRDefault="00523A0A" w:rsidP="00523A0A">
      <w:pPr>
        <w:pStyle w:val="Heading4"/>
        <w:ind w:left="0" w:firstLine="0"/>
        <w:jc w:val="both"/>
        <w:rPr>
          <w:rFonts w:ascii="Times New Roman" w:hAnsi="Times New Roman"/>
          <w:b w:val="0"/>
          <w:bCs w:val="0"/>
          <w:noProof/>
          <w:u w:val="none"/>
        </w:rPr>
      </w:pP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Ekspluatācijas pārtraukšana ir darbība, kas ietver ražošanas/rūpniecības vietas demontāžu (nojaukšanu), lai to sakārtotu un padarītu pieejamu citiem nolūkiem. Mērķis varētu būt atkārtoti izmantot ēkas un/vai citas ietaises vai pilnībā pārveidot šo vietu citiem nolūkiem (piemēram, pārveidot to par parku).</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szCs w:val="14"/>
        </w:rPr>
      </w:pPr>
      <w:r>
        <w:rPr>
          <w:rFonts w:ascii="Times New Roman" w:hAnsi="Times New Roman"/>
          <w:noProof/>
          <w:sz w:val="24"/>
        </w:rPr>
        <w:t xml:space="preserve">Šajā nodaļā tiek skatīts jautājums tikai par ekspluatācijas </w:t>
      </w:r>
      <w:r w:rsidR="00E0093A">
        <w:rPr>
          <w:rFonts w:ascii="Times New Roman" w:hAnsi="Times New Roman"/>
          <w:noProof/>
          <w:sz w:val="24"/>
        </w:rPr>
        <w:t>pārtraukšanas ierakstīšanu</w:t>
      </w:r>
      <w:r>
        <w:rPr>
          <w:rFonts w:ascii="Times New Roman" w:hAnsi="Times New Roman"/>
          <w:noProof/>
          <w:sz w:val="24"/>
        </w:rPr>
        <w:t xml:space="preserve"> gadījumos, kad no ekspluatācijas noņemamais aktīvs tiek nodots valdībai, kas pārņems turpmākās ekspluatācijas pārtraukšanas izmaksas. Šis gadījums atšķiras no tā, kad valdībai jau no paša sākuma pieder aktīvs, kura ekspluatācija būs kādreiz nākotnē jāpārtrauc. Ir vairāki šādi situāciju piemēri, piemēram, “eksperimentālās” iekārtas (piemēram, kodoljomā), militārās bāzes, laboratorijas, citas ļoti nozīmīgas ietaises utt. Tas atšķiras arī no gadījuma, kurā publiska sabiedrība tur tikai no ekspluatācijas noņemamos aktīvus, un tā būtu pārklasificējama vispārējās valdības sektorā tiklīdz tā vairs neizpilda tirgus/ārpustigus testu, t. i., ja vienība vairs faktiski nenodarbojas ar ražojošu darbību (piemēram, spēkstacija tiek atvienota no elektroenerģijas tīkla).</w:t>
      </w:r>
      <w:r>
        <w:rPr>
          <w:rStyle w:val="FootnoteReference"/>
          <w:rFonts w:ascii="Times New Roman" w:hAnsi="Times New Roman"/>
          <w:noProof/>
          <w:sz w:val="24"/>
        </w:rPr>
        <w:footnoteReference w:id="171"/>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Ekspluatācijas pārtraukšanas process var attiekties uz šādiem aktīviem: kodolspēkstacijām, naftas urbjtorņiem, raktuvēm, karjeriem, kompleksām ražošanas rūpnīcām (ķīmijas, pārstrādes utt.), izgāztuvēm u. c. Šis saraksts ir nepilnīgs. Ekspluatācijas pārtraukšanas darbs var noritēt kādu laiku, arī vairākus gadus, un kodoliekārtām tas var būt arī īpaši garš, ņemot vērā radioaktivitātes faktisko līmeni, kura dēļ nav iespējams piekļūt serdenim (reaktoram), tāpēc nākas gaidīt līdz būtiski samazinās radioaktivitāte. Citos gadījumos šīs darbības var veikt salīdzinoši īsākā laikā.</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Izmaksas var būt visai niecīgas salīdzinājumā ar pamatlīdzekļu sākotnējo vērtību vai arī visai būtiskas, jo īpaši, ja ir jānodrošina vides aizsardzība. Jāatzīmē arī tas, ka praksē ekspluatācijas pārtraukšanas projekts var iekļaut arī izmaksas, kas nav kvalificējamas kā ekspluatācijas pārtraukšanas izmaksas, piemēram, bieži vien kodolspēkstaciju gadījumā projekta kopējām izmaksām varētu pievienot kodolatkritumu turpmākās apstrādes un/vai uzglabāšanas izmaksas (t. i., pēc to drošas aizvākšanas no kodolspēkstacijas). Cits piemērs varētu būt izmaksas par apsardzi, kuriem maksā, lai tie aizsargātu paaugstinātas drošības vietu, tādu kā kodolspēkstaciju.</w:t>
      </w:r>
    </w:p>
    <w:p w:rsidR="00523A0A" w:rsidRPr="00EA2B7F"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Kopumā šādas ražošanas vietas pieder sabiedrībām, kas tiek uzskatītas par tirgus ražotājiem, ko klasificē nefinanšu sabiedrību sektorā (S.11), un kas arī ir atbildīgas par izbeigšanas (ekspluatācijas pārtraukšanas) izmaksām (valdībai tieši finansiāli neiesaistoties). Dažām no tām (jo īpaši, kad tās tiek kotētas tirgū) uzņēmējdarbības struktūra un grāmatvedības prasības var uzlikt par pienākumu izstrādāt noteikumus (lai arī ir skaidrs, ka būs nepieciešami turpmākie izdevumi, precīzas summas nav skaidras un tiek noteiktas, balstoties uz aplēsēm). Ņemot vērā, ka ir iespējamas papildu sekas, var būt arī īpaši starptautiski nolīgumi dažās ražošanas jomās, kā tas ir attiecībā uz kodolenerģiju.</w:t>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 xml:space="preserve">Kā minēts iepriekš, valdība var iesaistīties ekspluatācijas pārtraukšanas darbībās dažādos veidos. Valdības vienībai var piederēt šādi aktīvi jau no to ekspluatācijas laika sākuma vai arī tā var tos iegādāties vēlāk dažādos veidos. Turklāt valdība var arī finansēt </w:t>
      </w:r>
      <w:r>
        <w:rPr>
          <w:rFonts w:ascii="Times New Roman" w:hAnsi="Times New Roman"/>
          <w:noProof/>
          <w:sz w:val="24"/>
        </w:rPr>
        <w:lastRenderedPageBreak/>
        <w:t>ekspluatācijas pārtraukšanas izmaksas par aktīviem, kas pieder sabiedrībām, ar ieguldījumu dotāciju (D.92) starpniecību, ja tiek uzskatīts, ka izmaksas ir būtiskas, vai arī kādu citu iemeslu dēļ, piemēram, ja valdība ir atbildīga par vides aizsardzību. Šādam nolūkam aktīvu ekspluatācijas (produktīvajā) laikā var izveidot speciālus fondus valdības kontos.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75"/>
        </w:tabs>
        <w:jc w:val="both"/>
        <w:rPr>
          <w:rFonts w:ascii="Times New Roman" w:hAnsi="Times New Roman"/>
          <w:noProof/>
          <w:sz w:val="24"/>
        </w:rPr>
      </w:pPr>
      <w:bookmarkStart w:id="248" w:name="III.7.1.1_Overview_of_the_treatment_in_n"/>
      <w:bookmarkEnd w:id="248"/>
      <w:r>
        <w:rPr>
          <w:rFonts w:ascii="Times New Roman" w:hAnsi="Times New Roman"/>
          <w:noProof/>
          <w:sz w:val="24"/>
        </w:rPr>
        <w:t>III.7.1.1. Pārskats par traktējumu nacionālajos kontos</w:t>
      </w:r>
    </w:p>
    <w:p w:rsidR="00523A0A" w:rsidRPr="001973D0" w:rsidRDefault="00523A0A" w:rsidP="00523A0A">
      <w:pPr>
        <w:pStyle w:val="Heading6"/>
        <w:tabs>
          <w:tab w:val="left" w:pos="1975"/>
        </w:tabs>
        <w:jc w:val="both"/>
        <w:rPr>
          <w:rFonts w:ascii="Times New Roman" w:hAnsi="Times New Roman"/>
          <w:noProof/>
          <w:sz w:val="24"/>
        </w:rPr>
      </w:pPr>
    </w:p>
    <w:p w:rsidR="00523A0A" w:rsidRPr="001973D0" w:rsidRDefault="00523A0A" w:rsidP="00523A0A">
      <w:pPr>
        <w:numPr>
          <w:ilvl w:val="0"/>
          <w:numId w:val="69"/>
        </w:numPr>
        <w:tabs>
          <w:tab w:val="left" w:pos="1202"/>
        </w:tabs>
        <w:ind w:left="709" w:hanging="709"/>
        <w:jc w:val="both"/>
        <w:rPr>
          <w:rFonts w:ascii="Times New Roman" w:eastAsia="Arial" w:hAnsi="Times New Roman" w:cs="Arial"/>
          <w:noProof/>
          <w:sz w:val="24"/>
        </w:rPr>
      </w:pPr>
      <w:r>
        <w:rPr>
          <w:rFonts w:ascii="Times New Roman" w:hAnsi="Times New Roman"/>
          <w:noProof/>
          <w:sz w:val="24"/>
        </w:rPr>
        <w:t xml:space="preserve">Noteikumi par ekspluatācijas pārtraukšanas izmaksām tika ieviesti 2008 NKS un EKS 2010. Atzīstot praktiskas grūtības NKS 2008 pieejas vispārējā piemērošanā, </w:t>
      </w:r>
      <w:r>
        <w:rPr>
          <w:rFonts w:ascii="Times New Roman" w:hAnsi="Times New Roman"/>
          <w:i/>
          <w:noProof/>
          <w:sz w:val="24"/>
        </w:rPr>
        <w:t>Rokasgrāmatā par izmaiņām EKS 2010 attiecībā pret EKS 95</w:t>
      </w:r>
      <w:r>
        <w:rPr>
          <w:rFonts w:ascii="Times New Roman" w:hAnsi="Times New Roman"/>
          <w:noProof/>
          <w:sz w:val="24"/>
        </w:rPr>
        <w:t>[</w:t>
      </w:r>
      <w:r>
        <w:rPr>
          <w:rFonts w:ascii="Times New Roman" w:hAnsi="Times New Roman"/>
          <w:i/>
          <w:noProof/>
          <w:sz w:val="24"/>
        </w:rPr>
        <w:t>Manual on the changes between ESA 95 and ESA 10</w:t>
      </w:r>
      <w:r>
        <w:rPr>
          <w:rFonts w:ascii="Times New Roman" w:hAnsi="Times New Roman"/>
          <w:noProof/>
          <w:sz w:val="24"/>
        </w:rPr>
        <w:t>] sniegts ieteikums izmantot praktisku pieeju</w:t>
      </w:r>
      <w:r>
        <w:rPr>
          <w:rStyle w:val="FootnoteReference"/>
          <w:rFonts w:ascii="Times New Roman" w:hAnsi="Times New Roman"/>
          <w:noProof/>
          <w:sz w:val="24"/>
        </w:rPr>
        <w:footnoteReference w:id="172"/>
      </w:r>
      <w:r>
        <w:rPr>
          <w:rFonts w:ascii="Times New Roman" w:hAnsi="Times New Roman"/>
          <w:noProof/>
          <w:sz w:val="24"/>
        </w:rPr>
        <w:t>.</w:t>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szCs w:val="14"/>
        </w:rPr>
      </w:pPr>
      <w:r>
        <w:rPr>
          <w:rFonts w:ascii="Times New Roman" w:hAnsi="Times New Roman"/>
          <w:noProof/>
          <w:sz w:val="24"/>
        </w:rPr>
        <w:t>EKS 2010 3.129. punkta h) apakšpunktā norādīts, ka gala izmaksas, t. i., lielas izmaksas, kas saistītas ar likvidāciju</w:t>
      </w:r>
      <w:r>
        <w:rPr>
          <w:rStyle w:val="FootnoteReference"/>
          <w:rFonts w:ascii="Times New Roman" w:hAnsi="Times New Roman"/>
          <w:noProof/>
          <w:sz w:val="24"/>
        </w:rPr>
        <w:footnoteReference w:id="173"/>
      </w:r>
      <w:r>
        <w:rPr>
          <w:rFonts w:ascii="Times New Roman" w:hAnsi="Times New Roman"/>
          <w:noProof/>
          <w:sz w:val="24"/>
        </w:rPr>
        <w:t>, piemēram, atomelektrostaciju ekspluatācijas pārtraukšanas izmaksas vai pildizgāztuvju uzkopšanas izmaksas, tiek uzskatītas par bruto pamatkapitāla veidošanu (P.51g). Tomēr sliekšņa noteikšana šādām “lielām” izmaksām varētu būt visai patvaļīga.</w:t>
      </w:r>
      <w:r>
        <w:rPr>
          <w:rStyle w:val="FootnoteReference"/>
          <w:rFonts w:ascii="Times New Roman" w:hAnsi="Times New Roman"/>
          <w:noProof/>
          <w:sz w:val="24"/>
        </w:rPr>
        <w:footnoteReference w:id="174"/>
      </w:r>
      <w:r>
        <w:rPr>
          <w:rFonts w:ascii="Times New Roman" w:hAnsi="Times New Roman"/>
          <w:noProof/>
          <w:sz w:val="24"/>
        </w:rPr>
        <w:t xml:space="preserve"> Attiecīgi nav ieteicams ekspluatācijas pārtraukšanas izmaksu vērtību uzskatīt par operatīvu kritēriju attiecībā uz šo izmaksu klasificēšanu kā </w:t>
      </w:r>
      <w:r>
        <w:rPr>
          <w:rFonts w:ascii="Times New Roman" w:hAnsi="Times New Roman"/>
          <w:i/>
          <w:noProof/>
          <w:sz w:val="24"/>
        </w:rPr>
        <w:t>GFCF</w:t>
      </w:r>
      <w:r>
        <w:rPr>
          <w:rFonts w:ascii="Times New Roman" w:hAnsi="Times New Roman"/>
          <w:noProof/>
          <w:sz w:val="24"/>
        </w:rPr>
        <w:t>, jo tas var mazināt ES dalībvalstu datu salīdzināmību. Tā vietā pieņemamāka alternatīva varētu būt kā kritēriju izmantot periodu, kas nepieciešams ekspluatācijas pārtraukšanai, t. i., “vairāk vai mazāk par vienu gadu”, lai izlemtu, vai ar ekspluatācijas pārtraukšanas darbību sai</w:t>
      </w:r>
      <w:r w:rsidR="00E0093A">
        <w:rPr>
          <w:rFonts w:ascii="Times New Roman" w:hAnsi="Times New Roman"/>
          <w:noProof/>
          <w:sz w:val="24"/>
        </w:rPr>
        <w:t>stītās izmaksas ir ierakstāmas</w:t>
      </w:r>
      <w:r>
        <w:rPr>
          <w:rFonts w:ascii="Times New Roman" w:hAnsi="Times New Roman"/>
          <w:noProof/>
          <w:sz w:val="24"/>
        </w:rPr>
        <w:t xml:space="preserve"> kā </w:t>
      </w:r>
      <w:r>
        <w:rPr>
          <w:rFonts w:ascii="Times New Roman" w:hAnsi="Times New Roman"/>
          <w:i/>
          <w:noProof/>
          <w:sz w:val="24"/>
        </w:rPr>
        <w:t>GFCF</w:t>
      </w:r>
      <w:r>
        <w:rPr>
          <w:rFonts w:ascii="Times New Roman" w:hAnsi="Times New Roman"/>
          <w:noProof/>
          <w:sz w:val="24"/>
        </w:rPr>
        <w:t xml:space="preserve">. Tomēr kā iespējamais izņēmums varētu būt arī gadījumi, kad nozīmīgi ekspluatācijas pārtraukšanas izdevumi notiek īsā periodā (t. i., īsākā par vienu gadu), tomēr joprojām tiek uzskatīti par </w:t>
      </w:r>
      <w:r>
        <w:rPr>
          <w:rFonts w:ascii="Times New Roman" w:hAnsi="Times New Roman"/>
          <w:i/>
          <w:noProof/>
          <w:sz w:val="24"/>
        </w:rPr>
        <w:t>GFCF</w:t>
      </w:r>
      <w:r>
        <w:rPr>
          <w:rFonts w:ascii="Times New Roman" w:hAnsi="Times New Roman"/>
          <w:noProof/>
          <w:sz w:val="24"/>
        </w:rPr>
        <w:t>.</w:t>
      </w:r>
      <w:r>
        <w:rPr>
          <w:rStyle w:val="FootnoteReference"/>
          <w:rFonts w:ascii="Times New Roman" w:hAnsi="Times New Roman"/>
          <w:noProof/>
          <w:sz w:val="24"/>
        </w:rPr>
        <w:footnoteReference w:id="175"/>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szCs w:val="14"/>
        </w:rPr>
      </w:pPr>
      <w:r>
        <w:rPr>
          <w:rFonts w:ascii="Times New Roman" w:hAnsi="Times New Roman"/>
          <w:noProof/>
          <w:sz w:val="24"/>
        </w:rPr>
        <w:t>Turpmāko ekspluatācijas pārtraukšanas izmaksu aplēse nebūtu jāparāda pamatkapitāla patēriņā (P.51c) aktīva ekspluatācijas periodā. Tas ir galvenokārt tāpēc, ka kompleksu aktīvu gadījumā, attiecībā uz kuriem to ekspluatācijas sākumā ne tikai nav zināms faktiskais ekspluatācijas periods, bet turklāt arī nav iespējams sākumā ar pieņemamu ticamību aplēst izmaksas, šādas aplēses nav ticamas.</w:t>
      </w:r>
      <w:r>
        <w:rPr>
          <w:rStyle w:val="FootnoteReference"/>
          <w:rFonts w:ascii="Times New Roman" w:hAnsi="Times New Roman"/>
          <w:noProof/>
          <w:sz w:val="24"/>
        </w:rPr>
        <w:footnoteReference w:id="176"/>
      </w:r>
    </w:p>
    <w:p w:rsidR="00523A0A" w:rsidRPr="00EA2B7F"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 xml:space="preserve">Izdevumi, kas radušies, lai pārtrauktu attiecīgo aktīvu </w:t>
      </w:r>
      <w:r w:rsidR="006E42D8">
        <w:rPr>
          <w:rFonts w:ascii="Times New Roman" w:hAnsi="Times New Roman"/>
          <w:noProof/>
          <w:sz w:val="24"/>
        </w:rPr>
        <w:t>ekspluatāciju, būtu ierakstāmi</w:t>
      </w:r>
      <w:r>
        <w:rPr>
          <w:rFonts w:ascii="Times New Roman" w:hAnsi="Times New Roman"/>
          <w:noProof/>
          <w:sz w:val="24"/>
        </w:rPr>
        <w:t xml:space="preserve"> tajos gados, kuros tas faktiski ir darīts, kā bruto pamatkapitāla veidošana (P.51g), atskaitot dažu nozīmīgu posteņu iespējamo atkārtoto pārdošanu, un vienlaikus jāiekļauj līdzīga pamatkapitāla patēriņa (P.51c) summa tādā veidā, lai aktīvu vērtība ekspluatācijas pārtraukšanas periodā bilancē būtu nulle vai tuvu nullei.</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 xml:space="preserve">Saistītās izmaksas, kas nav kvalificējamas kā ekspluatācijas pārtraukšanas izmaksas (sk. iepriekš minētos piemērus), traktē nevis kā </w:t>
      </w:r>
      <w:r>
        <w:rPr>
          <w:rFonts w:ascii="Times New Roman" w:hAnsi="Times New Roman"/>
          <w:i/>
          <w:noProof/>
          <w:sz w:val="24"/>
        </w:rPr>
        <w:t>GFCF</w:t>
      </w:r>
      <w:r>
        <w:rPr>
          <w:rFonts w:ascii="Times New Roman" w:hAnsi="Times New Roman"/>
          <w:noProof/>
          <w:sz w:val="24"/>
        </w:rPr>
        <w:t>, bet kopumā kā starppatēriņu (P.2).</w:t>
      </w:r>
    </w:p>
    <w:p w:rsidR="00C5605C" w:rsidRDefault="00C5605C">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652"/>
        </w:tabs>
        <w:ind w:left="0" w:firstLine="0"/>
        <w:jc w:val="both"/>
        <w:rPr>
          <w:rFonts w:ascii="Times New Roman" w:hAnsi="Times New Roman"/>
          <w:noProof/>
          <w:u w:val="thick" w:color="000000"/>
        </w:rPr>
      </w:pPr>
      <w:bookmarkStart w:id="249" w:name="III.7.2_Treatment_in_national_accounts"/>
      <w:bookmarkEnd w:id="249"/>
      <w:r>
        <w:rPr>
          <w:rFonts w:ascii="Times New Roman" w:hAnsi="Times New Roman"/>
          <w:noProof/>
          <w:u w:val="none"/>
        </w:rPr>
        <w:t>III.7.2. </w:t>
      </w:r>
      <w:r>
        <w:rPr>
          <w:rFonts w:ascii="Times New Roman" w:hAnsi="Times New Roman"/>
          <w:noProof/>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2076"/>
        </w:tabs>
        <w:jc w:val="both"/>
        <w:rPr>
          <w:rFonts w:ascii="Times New Roman" w:hAnsi="Times New Roman"/>
          <w:noProof/>
          <w:sz w:val="24"/>
        </w:rPr>
      </w:pPr>
      <w:r>
        <w:rPr>
          <w:rFonts w:ascii="Times New Roman" w:hAnsi="Times New Roman"/>
          <w:noProof/>
          <w:sz w:val="24"/>
        </w:rPr>
        <w:t>III.7.2.1. Pārvedums, neveicot vienreizēju maksājumu</w:t>
      </w:r>
    </w:p>
    <w:p w:rsidR="00523A0A" w:rsidRPr="001973D0" w:rsidRDefault="00523A0A" w:rsidP="00523A0A">
      <w:pPr>
        <w:pStyle w:val="Heading6"/>
        <w:tabs>
          <w:tab w:val="left" w:pos="2076"/>
        </w:tabs>
        <w:jc w:val="both"/>
        <w:rPr>
          <w:rFonts w:ascii="Times New Roman" w:hAnsi="Times New Roman"/>
          <w:noProof/>
          <w:sz w:val="24"/>
        </w:rPr>
      </w:pP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No ekspluatācijas noņemamā aktīva pārvedums valdībai var notikt pirms aktīva ekspluatācijas perioda beigām. Šādā gadījumā aktīvam, iespējams, ir pozitīva vērtība, kas ir vienāda ar tā turpmāko ieguvumu (piemēram, gaidāmajiem kodolstacijas saražotās elektrības pārdošanas apjomiem) neto pašreizējo vērtību.</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Valdība aktīvu īpašniekam var samaksāt šo vērtību, kurā var tikt iekļauta turpmāko ekspluatācijas pārtraukšanas izmaksu aplēse un uzkrājumi</w:t>
      </w:r>
      <w:r>
        <w:rPr>
          <w:rStyle w:val="FootnoteReference"/>
          <w:rFonts w:ascii="Times New Roman" w:hAnsi="Times New Roman"/>
          <w:noProof/>
          <w:sz w:val="24"/>
        </w:rPr>
        <w:footnoteReference w:id="177"/>
      </w:r>
      <w:r>
        <w:rPr>
          <w:rFonts w:ascii="Times New Roman" w:hAnsi="Times New Roman"/>
          <w:noProof/>
          <w:sz w:val="24"/>
        </w:rPr>
        <w:t xml:space="preserve">, kas gūti gadu laikā, lai segtu šīs izmaksas (kā rezultātā vērtība var tuvināties nullei), vai arī valdība kopumā var tās ignorēt, jo īpaši, ja nav zināms, pēc cik ilga laika aktīvs varētu kļūt neproduktīvs, un/vai nav zināmas tā precīzās izmaksas. Jebkurā gadījumā </w:t>
      </w:r>
      <w:r>
        <w:rPr>
          <w:rFonts w:ascii="Times New Roman" w:hAnsi="Times New Roman"/>
          <w:i/>
          <w:noProof/>
          <w:sz w:val="24"/>
        </w:rPr>
        <w:t>GFCF</w:t>
      </w:r>
      <w:r w:rsidR="006E42D8">
        <w:rPr>
          <w:rFonts w:ascii="Times New Roman" w:hAnsi="Times New Roman"/>
          <w:noProof/>
          <w:sz w:val="24"/>
        </w:rPr>
        <w:t xml:space="preserve"> postenī ir jāieraksta</w:t>
      </w:r>
      <w:r>
        <w:rPr>
          <w:rFonts w:ascii="Times New Roman" w:hAnsi="Times New Roman"/>
          <w:noProof/>
          <w:sz w:val="24"/>
        </w:rPr>
        <w:t xml:space="preserve"> darījuma novērotā summa. Ja aktīvs tiek pārnests bez maksas, valdības </w:t>
      </w:r>
      <w:r>
        <w:rPr>
          <w:rFonts w:ascii="Times New Roman" w:hAnsi="Times New Roman"/>
          <w:i/>
          <w:noProof/>
          <w:sz w:val="24"/>
        </w:rPr>
        <w:t>GFCF</w:t>
      </w:r>
      <w:r>
        <w:rPr>
          <w:rFonts w:ascii="Times New Roman" w:hAnsi="Times New Roman"/>
          <w:noProof/>
          <w:sz w:val="24"/>
        </w:rPr>
        <w:t xml:space="preserve"> palielinājums būtu jākompensē ar kapitāla pārvedumu (natūrā), neietekmējot valdības neto aizdevumu/aizņēmumu (B.9). Citiem vārdiem, ekspluatācijas pārtraukšanas turpmākās izmaksas darījuma veikšanas brīdī nebūtu jāņem vērā.</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Aktīva pārvedums var notikt arī ekspluatācijas perioda pašās beigās vai pat vēlāk, proti, aktīva ekspluatācijas pārtraukšanas posmā. Parasti aktīva vērtībai būtu jābūt nullei vai tuvu nullei. Līdzīgi kā iepriekšējā gadījumā aktīvu var pārnest uz valdību bez maksas, t. i., nepārskaitot valdībai vienreizēju maksājumu kā kompensāciju par visām vai daļējām gaidāmajām ekspluatācijas pārtraukšanas izmaksām. Va</w:t>
      </w:r>
      <w:r w:rsidR="006E42D8">
        <w:rPr>
          <w:rFonts w:ascii="Times New Roman" w:hAnsi="Times New Roman"/>
          <w:noProof/>
          <w:sz w:val="24"/>
        </w:rPr>
        <w:t>ldības bilancē ierakstu ieraksta</w:t>
      </w:r>
      <w:r>
        <w:rPr>
          <w:rFonts w:ascii="Times New Roman" w:hAnsi="Times New Roman"/>
          <w:noProof/>
          <w:sz w:val="24"/>
        </w:rPr>
        <w:t xml:space="preserve"> kā aktīvu apjoma citas pārmaiņas.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738"/>
        </w:tabs>
        <w:jc w:val="both"/>
        <w:rPr>
          <w:rFonts w:ascii="Times New Roman" w:hAnsi="Times New Roman"/>
          <w:noProof/>
          <w:sz w:val="24"/>
        </w:rPr>
      </w:pPr>
      <w:r>
        <w:rPr>
          <w:rFonts w:ascii="Times New Roman" w:hAnsi="Times New Roman"/>
          <w:noProof/>
          <w:sz w:val="24"/>
        </w:rPr>
        <w:t>III.7.2.2. Pārvedums, maksājot vienreizēju maksājumu vai vairākus vienreizējus maksājumus</w:t>
      </w:r>
    </w:p>
    <w:p w:rsidR="00523A0A" w:rsidRPr="001973D0" w:rsidRDefault="00523A0A" w:rsidP="00523A0A">
      <w:pPr>
        <w:pStyle w:val="Heading6"/>
        <w:tabs>
          <w:tab w:val="left" w:pos="1738"/>
        </w:tabs>
        <w:jc w:val="both"/>
        <w:rPr>
          <w:rFonts w:ascii="Times New Roman" w:hAnsi="Times New Roman"/>
          <w:noProof/>
          <w:sz w:val="24"/>
        </w:rPr>
      </w:pP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Pārnesot aktīvu, kura ekspluatāciju pārtrauc, valdībai līdztekus var veikt vienu vai vairākus vienreizējus maksājumus. Ja īpašnieks sniedz valdībai vienreizēju maksājumu, kas paredzēts kādu turpmāko ekspluatācijas pārtraukšanas izmaksu segšanai, šī summa bū</w:t>
      </w:r>
      <w:r w:rsidR="006E42D8">
        <w:rPr>
          <w:rFonts w:ascii="Times New Roman" w:hAnsi="Times New Roman"/>
          <w:noProof/>
          <w:sz w:val="24"/>
        </w:rPr>
        <w:t>tu jāieraksta</w:t>
      </w:r>
      <w:r>
        <w:rPr>
          <w:rFonts w:ascii="Times New Roman" w:hAnsi="Times New Roman"/>
          <w:noProof/>
          <w:sz w:val="24"/>
        </w:rPr>
        <w:t xml:space="preserve"> nevis kā valdības ieņēmumi, bet gan kā finanšu avanss valdībai. Nodotā aktīva sākotnējais īpašnieks vairs nebūs iesaistīts turpmākajā ekspluatācijas pārtraukšanas procesā, tādējādi tas kompensē valdībai par to, ka tā uzņemas šo atbildību.</w:t>
      </w:r>
      <w:r>
        <w:rPr>
          <w:rStyle w:val="FootnoteReference"/>
          <w:rFonts w:ascii="Times New Roman" w:hAnsi="Times New Roman"/>
          <w:noProof/>
          <w:sz w:val="24"/>
        </w:rPr>
        <w:footnoteReference w:id="178"/>
      </w:r>
      <w:r>
        <w:rPr>
          <w:rFonts w:ascii="Times New Roman" w:hAnsi="Times New Roman"/>
          <w:noProof/>
          <w:sz w:val="24"/>
        </w:rPr>
        <w:t xml:space="preserve"> Finanšu aktīvu pārvedums “vienreizēja maksājuma” veidā, kas atbilst noteiktai uzkrātai rezervei, ir finanšu darījums, ko reģistrē kā citas debitoru/kreditoru saistības (F.89).</w:t>
      </w:r>
    </w:p>
    <w:p w:rsidR="00523A0A" w:rsidRPr="00EA2B7F"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Nebūtu vajadzības mēģināt aplēst, vai darījums ir vai nav līdzsvarots. Tas būtu jāuzskata par līdzsvarotu pēc definīcijas, kas, piemēram, nav kā pensiju saistību gadījumā, kam ir zināma analoģija ar šo skatīto gadījumu (sk. šīs rokasgrāmatas III.6. nodaļu). Izvērtējums, vai šāds vienreizējs maksājums varētu vai nevarētu segt kopējās faktiskās ekspluatācijas pārtraukšanas izmaksas, būtu pretrunā iepriekš minētajiem skaidrojumiem. Tā kā ir liela nenoteiktība attiecībā uz šīm izmaksām, kompensējošo valdības kapitāla pārveduma iz</w:t>
      </w:r>
      <w:r w:rsidR="00C36592">
        <w:rPr>
          <w:rFonts w:ascii="Times New Roman" w:hAnsi="Times New Roman"/>
          <w:noProof/>
          <w:sz w:val="24"/>
        </w:rPr>
        <w:t>devumu sistemātiska ierakstīšana</w:t>
      </w:r>
      <w:r>
        <w:rPr>
          <w:rFonts w:ascii="Times New Roman" w:hAnsi="Times New Roman"/>
          <w:noProof/>
          <w:sz w:val="24"/>
        </w:rPr>
        <w:t xml:space="preserve"> varētu būt visai patvaļīga. Tomēr pastāv iespējamība, ka attiecībā uz dažiem aktīviem tas tā varētu būt, </w:t>
      </w:r>
      <w:r>
        <w:rPr>
          <w:rFonts w:ascii="Times New Roman" w:hAnsi="Times New Roman"/>
          <w:noProof/>
          <w:sz w:val="24"/>
        </w:rPr>
        <w:lastRenderedPageBreak/>
        <w:t>taču konkrētas situācijas varētu būt visai dažādas.</w:t>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Tomēr varētu būt arī šī noteikuma izņēmums, ja aktīva nodošana notiek īsi pirms tā ekspluatācijas (produktīvā) perioda beigām, tādējādi varētu būt pieejamas ticamas ekspluatācijas pārtraukšanas izmaksu aplēses, jo īpaši tas attiecas uz aktīviem, par kuru demontāžu jau ir izveidojusies zināma pieredze. Šādā gadījumā šo izmaksu un vienreizējā maksājuma salīdzinājums varētu parādīt acīmredzamu nelīdzsvar</w:t>
      </w:r>
      <w:r w:rsidR="00C36592">
        <w:rPr>
          <w:rFonts w:ascii="Times New Roman" w:hAnsi="Times New Roman"/>
          <w:noProof/>
          <w:sz w:val="24"/>
        </w:rPr>
        <w:t>otību, kuras dēļ būtu jāieraksta</w:t>
      </w:r>
      <w:r>
        <w:rPr>
          <w:rFonts w:ascii="Times New Roman" w:hAnsi="Times New Roman"/>
          <w:noProof/>
          <w:sz w:val="24"/>
        </w:rPr>
        <w:t xml:space="preserve"> kapitāla pārvedums, līdzīgi kā tas ir šīs rokasgrāmatas III.6. nodaļā raksturoto pensiju saistību gadījumā.</w:t>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szCs w:val="14"/>
        </w:rPr>
      </w:pPr>
      <w:r>
        <w:rPr>
          <w:rFonts w:ascii="Times New Roman" w:hAnsi="Times New Roman"/>
          <w:noProof/>
          <w:sz w:val="24"/>
        </w:rPr>
        <w:t>Kad valdībai radīsies ekspluatācijas pārtraukšanas izdevumi, tā tos finansēs no paredzētajām rezervēm, kas līdz ar šo nozīmē, ka tas tiks darīts, samazinot citas debitoru/kreditoru saistības (F.89) līdz pilnīgai summas izsmelšanai. Tā kā vienreizējs maksājums ir diskontētas vērtības veidā (t. i., tiek ņemts vērā tas, ka izdevumi varētu rasties īsākā vai garākā laikposmā), varētu rasties vajadzība to atbilstīgi pārvērtēt.</w:t>
      </w:r>
      <w:r>
        <w:rPr>
          <w:rStyle w:val="FootnoteReference"/>
          <w:rFonts w:ascii="Times New Roman" w:hAnsi="Times New Roman"/>
          <w:noProof/>
          <w:sz w:val="24"/>
        </w:rPr>
        <w:footnoteReference w:id="179"/>
      </w: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 xml:space="preserve">Tādējādi līdzīgi kā pensiju gadījumā ietekmi uz valdības neto aizdevumu/aizņēmumu (B.9) varētu neitralizēt ar nosacītu ierakstu (ieņēmumos) </w:t>
      </w:r>
      <w:r w:rsidR="00C36592">
        <w:rPr>
          <w:rFonts w:ascii="Times New Roman" w:hAnsi="Times New Roman"/>
          <w:noProof/>
          <w:sz w:val="24"/>
        </w:rPr>
        <w:t>valdībai. Šādu ieņēmumu ieraksta</w:t>
      </w:r>
      <w:r>
        <w:rPr>
          <w:rFonts w:ascii="Times New Roman" w:hAnsi="Times New Roman"/>
          <w:noProof/>
          <w:sz w:val="24"/>
        </w:rPr>
        <w:t xml:space="preserve"> vai nu kā saņemamo kapitāla pārvedumu (D.99) (izdevumiem, kas attiecas uz aktīviem), vai kā saņemamo kārtējo pārvedumu (D.75) (citu veidu izdevumiem) precīzi par tādu pašu summu, kāda ir radušos ekspluatācijas pārtraukšanas izdevumu summa. Tas, ka sabiedrība, kurai sākotnēji piederējis aktīvs, šajā laikā jau varētu būt izzudusi (vai nu apvienošanās rezultātā vai vispār beigusi pastāvēt), nevarētu aizkavēt minētā neitralizācijas noteikuma piemērošanu. Tādējādi tikai pēc rezervju (citu kreditoru saistību) izsīkšanas varētu rasties negatīva ietekme uz valdības neto aizdevumu/aizņēmumu (B.9) atkarībā no atbilstības starp uzkrājumiem, kurus ir noteicis iepriekšējais īpašnieks, un faktiskajām ekspluatācijas pārtraukšanas izmaksām</w:t>
      </w:r>
      <w:r>
        <w:rPr>
          <w:rStyle w:val="FootnoteReference"/>
          <w:rFonts w:ascii="Times New Roman" w:hAnsi="Times New Roman"/>
          <w:noProof/>
          <w:sz w:val="24"/>
        </w:rPr>
        <w:footnoteReference w:id="180"/>
      </w:r>
      <w:r>
        <w:rPr>
          <w:rFonts w:ascii="Times New Roman" w:hAnsi="Times New Roman"/>
          <w:noProof/>
          <w:sz w:val="24"/>
        </w:rPr>
        <w:t>.</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52"/>
        </w:tabs>
        <w:ind w:left="0" w:firstLine="0"/>
        <w:jc w:val="both"/>
        <w:rPr>
          <w:rFonts w:ascii="Times New Roman" w:hAnsi="Times New Roman"/>
          <w:noProof/>
          <w:u w:val="thick" w:color="000000"/>
        </w:rPr>
      </w:pPr>
      <w:bookmarkStart w:id="250" w:name="III.7.3_Rationale_of_the_treatment"/>
      <w:bookmarkEnd w:id="250"/>
      <w:r>
        <w:rPr>
          <w:rFonts w:ascii="Times New Roman" w:hAnsi="Times New Roman"/>
          <w:noProof/>
          <w:u w:val="none"/>
        </w:rPr>
        <w:t>III.7.3. </w:t>
      </w:r>
      <w:r>
        <w:rPr>
          <w:rFonts w:ascii="Times New Roman" w:hAnsi="Times New Roman"/>
          <w:noProof/>
        </w:rPr>
        <w:t>Traktējuma pamatojums</w:t>
      </w:r>
    </w:p>
    <w:p w:rsidR="00523A0A" w:rsidRPr="001973D0" w:rsidRDefault="00523A0A" w:rsidP="00523A0A">
      <w:pPr>
        <w:pStyle w:val="Heading4"/>
        <w:tabs>
          <w:tab w:val="left" w:pos="1552"/>
        </w:tabs>
        <w:ind w:left="0" w:firstLine="0"/>
        <w:jc w:val="both"/>
        <w:rPr>
          <w:rFonts w:ascii="Times New Roman" w:hAnsi="Times New Roman"/>
          <w:noProof/>
          <w:u w:val="thick" w:color="000000"/>
        </w:rPr>
      </w:pPr>
    </w:p>
    <w:p w:rsidR="00523A0A" w:rsidRPr="001973D0"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Abos gadījumos, proti, pārveduma par brīvu vai par vienreizēju maksājumu gadījumā, ietekme uz valdības neto aizdevumu/aizņēmumu (B.9) saistībā ar ekspluatācijas pārtrauk</w:t>
      </w:r>
      <w:r w:rsidR="00C36592">
        <w:rPr>
          <w:rFonts w:ascii="Times New Roman" w:hAnsi="Times New Roman"/>
          <w:noProof/>
          <w:sz w:val="24"/>
        </w:rPr>
        <w:t>šanas izmaksām būtu ierakstāma</w:t>
      </w:r>
      <w:r>
        <w:rPr>
          <w:rFonts w:ascii="Times New Roman" w:hAnsi="Times New Roman"/>
          <w:noProof/>
          <w:sz w:val="24"/>
        </w:rPr>
        <w:t xml:space="preserve"> tikai tad, kad rodas faktiskie ekspluatācijas pārtraukšanas izdevumi. Ja valdība ir guvusi labumu, saņemot “priekšfinansējumu” (vienreizēju maksājumu), ietekmei ir jābūt neitrālai tik ilgi, kamēr šajā saistībā ar saņemto summu joprojām var segt faktiskos izdevumus. Valdības neto aizdevuma/aizņēmuma (B.9) izdevumu iespējamā neitralizēšana ir jāaprēķina vēlākā posmā, nevis tad, kad tiek veikts aktīvu pārvedums valdībai.</w:t>
      </w:r>
    </w:p>
    <w:p w:rsidR="00523A0A" w:rsidRPr="00EA2B7F" w:rsidRDefault="00523A0A" w:rsidP="00523A0A">
      <w:pPr>
        <w:pStyle w:val="BodyText"/>
        <w:numPr>
          <w:ilvl w:val="0"/>
          <w:numId w:val="69"/>
        </w:numPr>
        <w:tabs>
          <w:tab w:val="left" w:pos="1202"/>
        </w:tabs>
        <w:spacing w:before="0"/>
        <w:ind w:left="709" w:hanging="709"/>
        <w:jc w:val="both"/>
        <w:rPr>
          <w:rFonts w:ascii="Times New Roman" w:hAnsi="Times New Roman"/>
          <w:noProof/>
          <w:sz w:val="24"/>
        </w:rPr>
      </w:pPr>
      <w:r>
        <w:rPr>
          <w:rFonts w:ascii="Times New Roman" w:hAnsi="Times New Roman"/>
          <w:noProof/>
          <w:sz w:val="24"/>
        </w:rPr>
        <w:t>Kā minēts iepriekš, pastāv cieša analoģija ar pensiju saistību pārvedumu gadījumu (sk. šīs rokasgrāmatas III.6. nodaļu). Tādējādi var izmantot līdzīgu pamatojumu (EKS 2010 20.273. un 274. punkts), t. i., tiek uzskatīts, ka darījums ir līdzvērtīgs finanšu aktīvu apmaiņai pret pienākuma uzņemšanos, kas ir saistība, un tādējādi “darījumam nevajadzētu ietekmēt neto vērtības un finanšu neto vērtības mērus”. Tāda pati problēma pastāv arī at</w:t>
      </w:r>
      <w:r w:rsidR="00C36592">
        <w:rPr>
          <w:rFonts w:ascii="Times New Roman" w:hAnsi="Times New Roman"/>
          <w:noProof/>
          <w:sz w:val="24"/>
        </w:rPr>
        <w:t>tiecībā uz saistību ierakstīšanu</w:t>
      </w:r>
      <w:r>
        <w:rPr>
          <w:rFonts w:ascii="Times New Roman" w:hAnsi="Times New Roman"/>
          <w:noProof/>
          <w:sz w:val="24"/>
        </w:rPr>
        <w:t xml:space="preserve"> EKS 2010 kategorijās. Tā kā nacionālajos kontos ekspluatācijas pārtraukšanas saistības nevar uzskatīt par rezervju nodrošin</w:t>
      </w:r>
      <w:r w:rsidR="00C36592">
        <w:rPr>
          <w:rFonts w:ascii="Times New Roman" w:hAnsi="Times New Roman"/>
          <w:noProof/>
          <w:sz w:val="24"/>
        </w:rPr>
        <w:t>ājuma posteni, tās var ierakstīt</w:t>
      </w:r>
      <w:r>
        <w:rPr>
          <w:rFonts w:ascii="Times New Roman" w:hAnsi="Times New Roman"/>
          <w:noProof/>
          <w:sz w:val="24"/>
        </w:rPr>
        <w:t xml:space="preserve"> tikai kā citas debitoru/kreditoru saistības (F.89). Pastāv tomēr </w:t>
      </w:r>
      <w:r>
        <w:rPr>
          <w:rFonts w:ascii="Times New Roman" w:hAnsi="Times New Roman"/>
          <w:noProof/>
          <w:sz w:val="24"/>
        </w:rPr>
        <w:lastRenderedPageBreak/>
        <w:t xml:space="preserve">viena atšķirība, proti, kopumā nav iespējams </w:t>
      </w:r>
      <w:r>
        <w:rPr>
          <w:rFonts w:ascii="Times New Roman" w:hAnsi="Times New Roman"/>
          <w:i/>
          <w:noProof/>
          <w:sz w:val="24"/>
        </w:rPr>
        <w:t>ex ante</w:t>
      </w:r>
      <w:r>
        <w:rPr>
          <w:rFonts w:ascii="Times New Roman" w:hAnsi="Times New Roman"/>
          <w:noProof/>
          <w:sz w:val="24"/>
        </w:rPr>
        <w:t xml:space="preserve"> aprēķināt saistību un vienreizējā maksājuma nelīdzsvarotību.</w:t>
      </w: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Lai nacionālajos kontos nodrošinātu vispārēju atbilstību (“četrkāršā ieraksta” principu), maksājamā summa valdības sek</w:t>
      </w:r>
      <w:r w:rsidR="00C36592">
        <w:rPr>
          <w:rFonts w:ascii="Times New Roman" w:hAnsi="Times New Roman"/>
          <w:noProof/>
          <w:sz w:val="24"/>
        </w:rPr>
        <w:t>torā ir jālīdzsvaro, ierakstot</w:t>
      </w:r>
      <w:r>
        <w:rPr>
          <w:rFonts w:ascii="Times New Roman" w:hAnsi="Times New Roman"/>
          <w:noProof/>
          <w:sz w:val="24"/>
        </w:rPr>
        <w:t xml:space="preserve"> saņemamo summu nefinanšu sabiedrību sektorā. Var gadīties, ka (valdībai nodotā aktīva) iepriekšējais īpašnieks ekspluatācijas pārtraukšanas procesa laikā ir izzudis. Tas var notikt bankrota/likvidācijas un arī apvienošanas/iegādes rezultātā, un jaunais subjekts varētu neatzīt šādu aktīvu (debitoru saistības) savā bilancē. Statistiķiem varētu būt grūti izsekot šādiem procesiem</w:t>
      </w:r>
      <w:r w:rsidR="00C36592">
        <w:rPr>
          <w:rFonts w:ascii="Times New Roman" w:hAnsi="Times New Roman"/>
          <w:noProof/>
          <w:sz w:val="24"/>
        </w:rPr>
        <w:t>, tomēr būtu jāturpina ierakstīt</w:t>
      </w:r>
      <w:r>
        <w:rPr>
          <w:rFonts w:ascii="Times New Roman" w:hAnsi="Times New Roman"/>
          <w:noProof/>
          <w:sz w:val="24"/>
        </w:rPr>
        <w:t xml:space="preserve"> iepriekšējā īpašnieka kreditoru saņemamās summas, vajadzības gadījumā izmantojot nosacītu vienību.</w:t>
      </w:r>
    </w:p>
    <w:p w:rsidR="00523A0A" w:rsidRPr="001973D0" w:rsidRDefault="00523A0A" w:rsidP="00523A0A">
      <w:pPr>
        <w:jc w:val="both"/>
        <w:rPr>
          <w:rFonts w:ascii="Times New Roman" w:eastAsia="Arial" w:hAnsi="Times New Roman" w:cs="Arial"/>
          <w:noProof/>
          <w:sz w:val="24"/>
          <w:szCs w:val="17"/>
        </w:rPr>
      </w:pPr>
    </w:p>
    <w:p w:rsidR="00523A0A" w:rsidRDefault="00523A0A" w:rsidP="00523A0A">
      <w:pPr>
        <w:pStyle w:val="Heading4"/>
        <w:tabs>
          <w:tab w:val="left" w:pos="1652"/>
        </w:tabs>
        <w:ind w:left="0" w:firstLine="0"/>
        <w:jc w:val="both"/>
        <w:rPr>
          <w:rFonts w:ascii="Times New Roman" w:hAnsi="Times New Roman" w:cs="Arial"/>
          <w:b w:val="0"/>
          <w:noProof/>
          <w:u w:val="none"/>
        </w:rPr>
      </w:pPr>
      <w:bookmarkStart w:id="251" w:name="III.7.4_Accounting_simplified_example"/>
      <w:bookmarkEnd w:id="251"/>
      <w:r>
        <w:rPr>
          <w:rFonts w:ascii="Times New Roman" w:hAnsi="Times New Roman"/>
          <w:noProof/>
          <w:u w:val="none"/>
        </w:rPr>
        <w:t>III.7.4. </w:t>
      </w:r>
      <w:r>
        <w:rPr>
          <w:rFonts w:ascii="Times New Roman" w:hAnsi="Times New Roman"/>
          <w:noProof/>
        </w:rPr>
        <w:t>Vienkāršots uzskaites piemērs</w:t>
      </w:r>
      <w:r>
        <w:rPr>
          <w:rStyle w:val="FootnoteReference"/>
          <w:rFonts w:ascii="Times New Roman" w:hAnsi="Times New Roman"/>
          <w:noProof/>
          <w:u w:val="thick" w:color="000000"/>
        </w:rPr>
        <w:footnoteReference w:id="181"/>
      </w:r>
    </w:p>
    <w:p w:rsidR="00523A0A" w:rsidRPr="001973D0" w:rsidRDefault="00523A0A" w:rsidP="00523A0A">
      <w:pPr>
        <w:pStyle w:val="Heading4"/>
        <w:tabs>
          <w:tab w:val="left" w:pos="1652"/>
        </w:tabs>
        <w:ind w:left="0" w:firstLine="0"/>
        <w:jc w:val="both"/>
        <w:rPr>
          <w:rFonts w:ascii="Times New Roman" w:hAnsi="Times New Roman" w:cs="Arial"/>
          <w:b w:val="0"/>
          <w:bCs w:val="0"/>
          <w:noProof/>
          <w:szCs w:val="16"/>
          <w:u w:val="none"/>
        </w:rPr>
      </w:pPr>
    </w:p>
    <w:p w:rsidR="00523A0A" w:rsidRPr="001973D0" w:rsidRDefault="00523A0A" w:rsidP="00523A0A">
      <w:pPr>
        <w:pStyle w:val="BodyText"/>
        <w:numPr>
          <w:ilvl w:val="0"/>
          <w:numId w:val="69"/>
        </w:numPr>
        <w:tabs>
          <w:tab w:val="left" w:pos="1302"/>
        </w:tabs>
        <w:spacing w:before="0"/>
        <w:ind w:left="709" w:hanging="709"/>
        <w:jc w:val="both"/>
        <w:rPr>
          <w:rFonts w:ascii="Times New Roman" w:hAnsi="Times New Roman"/>
          <w:noProof/>
          <w:sz w:val="24"/>
        </w:rPr>
      </w:pPr>
      <w:r>
        <w:rPr>
          <w:rFonts w:ascii="Times New Roman" w:hAnsi="Times New Roman"/>
          <w:noProof/>
          <w:sz w:val="24"/>
        </w:rPr>
        <w:t>Publiska sabiedrība nodod valdībai pamatlīdzekli kopā ar pienākumiem, kas attiecas uz šā aktīva turpmāko ekspluatācijas pārtraukšanu, kad pienāks tā ekspluatācijas beigas (t. i., kad vairs nebūs ieņēmumu no izlaides, ko rada aktīva lietošana). Ekspluatācijas pārtraukšanas process sākas nekavējoties un ilgst 10 gadus, un tā ikgadējās izmaksas ir 150 vienības. Valdība ir saņēmusi vienreizēju maksājumu 1000 vienību apmērā, un uzskatāms, ka aktīvam ir nulles vērtība.</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Publiskajai sabiedrībai ir citas darbības, un tā saglabā savu tirgus ražotāja statusu.</w:t>
      </w:r>
    </w:p>
    <w:p w:rsidR="00523A0A" w:rsidRDefault="00523A0A" w:rsidP="00523A0A">
      <w:pPr>
        <w:jc w:val="both"/>
        <w:rPr>
          <w:rFonts w:ascii="Times New Roman" w:eastAsia="Calibri" w:hAnsi="Times New Roman" w:cs="Calibri"/>
          <w:noProof/>
          <w:sz w:val="24"/>
          <w:szCs w:val="20"/>
        </w:rPr>
      </w:pPr>
    </w:p>
    <w:p w:rsidR="00523A0A" w:rsidRPr="001973D0" w:rsidRDefault="00091195" w:rsidP="00523A0A">
      <w:pPr>
        <w:jc w:val="both"/>
        <w:rPr>
          <w:rFonts w:ascii="Times New Roman" w:eastAsia="Calibri" w:hAnsi="Times New Roman" w:cs="Calibri"/>
          <w:noProof/>
          <w:sz w:val="24"/>
          <w:szCs w:val="20"/>
        </w:rPr>
      </w:pPr>
      <w:r w:rsidRPr="00091195">
        <w:rPr>
          <w:rFonts w:ascii="Times New Roman" w:eastAsia="Calibri" w:hAnsi="Times New Roman" w:cs="Calibri"/>
          <w:noProof/>
          <w:sz w:val="24"/>
          <w:szCs w:val="20"/>
          <w:lang w:bidi="ar-SA"/>
        </w:rPr>
        <w:drawing>
          <wp:inline distT="0" distB="0" distL="0" distR="0">
            <wp:extent cx="5760085" cy="2102767"/>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085" cy="2102767"/>
                    </a:xfrm>
                    <a:prstGeom prst="rect">
                      <a:avLst/>
                    </a:prstGeom>
                    <a:noFill/>
                    <a:ln>
                      <a:noFill/>
                    </a:ln>
                  </pic:spPr>
                </pic:pic>
              </a:graphicData>
            </a:graphic>
          </wp:inline>
        </w:drawing>
      </w:r>
    </w:p>
    <w:p w:rsidR="00523A0A" w:rsidRPr="001973D0" w:rsidRDefault="00AA2FE3" w:rsidP="00523A0A">
      <w:pPr>
        <w:jc w:val="both"/>
        <w:rPr>
          <w:rFonts w:ascii="Times New Roman" w:eastAsia="Calibri" w:hAnsi="Times New Roman" w:cs="Calibri"/>
          <w:noProof/>
          <w:sz w:val="24"/>
          <w:szCs w:val="20"/>
        </w:rPr>
      </w:pPr>
      <w:r w:rsidRPr="00AA2FE3">
        <w:rPr>
          <w:rFonts w:ascii="Times New Roman" w:eastAsia="Calibri" w:hAnsi="Times New Roman" w:cs="Calibri"/>
          <w:noProof/>
          <w:sz w:val="24"/>
          <w:szCs w:val="20"/>
          <w:lang w:bidi="ar-SA"/>
        </w:rPr>
        <w:drawing>
          <wp:inline distT="0" distB="0" distL="0" distR="0">
            <wp:extent cx="5760085" cy="1440021"/>
            <wp:effectExtent l="0" t="0" r="0" b="825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085" cy="1440021"/>
                    </a:xfrm>
                    <a:prstGeom prst="rect">
                      <a:avLst/>
                    </a:prstGeom>
                    <a:noFill/>
                    <a:ln>
                      <a:noFill/>
                    </a:ln>
                  </pic:spPr>
                </pic:pic>
              </a:graphicData>
            </a:graphic>
          </wp:inline>
        </w:drawing>
      </w:r>
    </w:p>
    <w:p w:rsidR="00523A0A" w:rsidRDefault="00AA2FE3" w:rsidP="00091195">
      <w:pPr>
        <w:jc w:val="center"/>
        <w:rPr>
          <w:rFonts w:ascii="Times New Roman" w:eastAsia="Calibri" w:hAnsi="Times New Roman" w:cs="Calibri"/>
          <w:noProof/>
          <w:sz w:val="24"/>
          <w:szCs w:val="20"/>
        </w:rPr>
      </w:pPr>
      <w:r w:rsidRPr="00AA2FE3">
        <w:rPr>
          <w:rFonts w:ascii="Times New Roman" w:eastAsia="Calibri" w:hAnsi="Times New Roman" w:cs="Calibri"/>
          <w:noProof/>
          <w:sz w:val="24"/>
          <w:szCs w:val="20"/>
          <w:lang w:bidi="ar-SA"/>
        </w:rPr>
        <w:lastRenderedPageBreak/>
        <w:drawing>
          <wp:inline distT="0" distB="0" distL="0" distR="0">
            <wp:extent cx="5760085" cy="5752353"/>
            <wp:effectExtent l="0" t="0" r="0" b="127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085" cy="5752353"/>
                    </a:xfrm>
                    <a:prstGeom prst="rect">
                      <a:avLst/>
                    </a:prstGeom>
                    <a:noFill/>
                    <a:ln>
                      <a:noFill/>
                    </a:ln>
                  </pic:spPr>
                </pic:pic>
              </a:graphicData>
            </a:graphic>
          </wp:inline>
        </w:drawing>
      </w:r>
    </w:p>
    <w:p w:rsidR="00523A0A" w:rsidRDefault="00AA2FE3" w:rsidP="00091195">
      <w:pPr>
        <w:jc w:val="center"/>
        <w:rPr>
          <w:rFonts w:ascii="Times New Roman" w:eastAsia="Calibri" w:hAnsi="Times New Roman" w:cs="Calibri"/>
          <w:noProof/>
          <w:sz w:val="24"/>
          <w:szCs w:val="20"/>
        </w:rPr>
      </w:pPr>
      <w:r w:rsidRPr="00AA2FE3">
        <w:rPr>
          <w:rFonts w:ascii="Times New Roman" w:eastAsia="Calibri" w:hAnsi="Times New Roman" w:cs="Calibri"/>
          <w:noProof/>
          <w:sz w:val="24"/>
          <w:szCs w:val="20"/>
          <w:lang w:bidi="ar-SA"/>
        </w:rPr>
        <w:lastRenderedPageBreak/>
        <w:drawing>
          <wp:inline distT="0" distB="0" distL="0" distR="0">
            <wp:extent cx="5760085" cy="4154599"/>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085" cy="4154599"/>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20"/>
        </w:rPr>
      </w:pPr>
    </w:p>
    <w:p w:rsidR="00523A0A" w:rsidRDefault="00523A0A" w:rsidP="00523A0A">
      <w:pPr>
        <w:rPr>
          <w:rFonts w:ascii="Times New Roman" w:eastAsia="Calibri" w:hAnsi="Times New Roman" w:cs="Calibri"/>
          <w:noProof/>
          <w:sz w:val="24"/>
          <w:szCs w:val="20"/>
        </w:rPr>
      </w:pPr>
      <w:r>
        <w:br w:type="page"/>
      </w:r>
    </w:p>
    <w:p w:rsidR="00523A0A" w:rsidRDefault="00523A0A" w:rsidP="00091195">
      <w:pPr>
        <w:pStyle w:val="Heading2"/>
        <w:rPr>
          <w:noProof/>
        </w:rPr>
      </w:pPr>
      <w:bookmarkStart w:id="252" w:name="III.8_Annex:_selected_ESA_2010_transacti"/>
      <w:bookmarkStart w:id="253" w:name="_bookmark28"/>
      <w:bookmarkStart w:id="254" w:name="_Toc471135894"/>
      <w:bookmarkEnd w:id="252"/>
      <w:bookmarkEnd w:id="253"/>
      <w:r>
        <w:rPr>
          <w:noProof/>
        </w:rPr>
        <w:lastRenderedPageBreak/>
        <w:t xml:space="preserve">III.8. pielikums. EKS 2010 </w:t>
      </w:r>
      <w:r w:rsidRPr="00091195">
        <w:t>darījumu</w:t>
      </w:r>
      <w:r>
        <w:rPr>
          <w:noProof/>
        </w:rPr>
        <w:t xml:space="preserve"> izlase</w:t>
      </w:r>
      <w:bookmarkEnd w:id="254"/>
    </w:p>
    <w:p w:rsidR="00523A0A" w:rsidRPr="001973D0" w:rsidRDefault="00523A0A" w:rsidP="00523A0A">
      <w:pPr>
        <w:pStyle w:val="Heading2"/>
        <w:tabs>
          <w:tab w:val="left" w:pos="1562"/>
        </w:tabs>
        <w:jc w:val="both"/>
        <w:rPr>
          <w:noProof/>
          <w:sz w:val="24"/>
        </w:rPr>
      </w:pPr>
    </w:p>
    <w:p w:rsidR="00523A0A" w:rsidRDefault="00523A0A" w:rsidP="00523A0A">
      <w:pPr>
        <w:pStyle w:val="Heading4"/>
        <w:tabs>
          <w:tab w:val="left" w:pos="1552"/>
        </w:tabs>
        <w:ind w:left="0" w:firstLine="0"/>
        <w:jc w:val="both"/>
        <w:rPr>
          <w:rFonts w:ascii="Times New Roman" w:hAnsi="Times New Roman"/>
          <w:noProof/>
          <w:u w:val="thick" w:color="000000"/>
        </w:rPr>
      </w:pPr>
      <w:bookmarkStart w:id="255" w:name="III.8.1_Payments_by_public_corporations_"/>
      <w:bookmarkEnd w:id="255"/>
      <w:r>
        <w:rPr>
          <w:rFonts w:ascii="Times New Roman" w:hAnsi="Times New Roman"/>
          <w:noProof/>
          <w:u w:val="none"/>
        </w:rPr>
        <w:t>III.8.1. </w:t>
      </w:r>
      <w:r>
        <w:rPr>
          <w:rFonts w:ascii="Times New Roman" w:hAnsi="Times New Roman"/>
          <w:noProof/>
          <w:u w:val="thick" w:color="000000"/>
        </w:rPr>
        <w:t>Publisku sabiedrību maksājumi valdībai</w:t>
      </w:r>
    </w:p>
    <w:p w:rsidR="00523A0A" w:rsidRPr="001973D0" w:rsidRDefault="00523A0A" w:rsidP="00523A0A">
      <w:pPr>
        <w:pStyle w:val="Heading4"/>
        <w:tabs>
          <w:tab w:val="left" w:pos="1552"/>
        </w:tabs>
        <w:ind w:left="0" w:firstLine="0"/>
        <w:jc w:val="both"/>
        <w:rPr>
          <w:rFonts w:ascii="Times New Roman" w:hAnsi="Times New Roman"/>
          <w:noProof/>
          <w:u w:val="thick" w:color="000000"/>
        </w:rPr>
      </w:pP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Ienākuma un mantas kārtējie nodokļi (D.5) un kapitāla nodokļi (D.91)</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Kopumā jābūt skaidrībai par to, kas ir nodoklis un ka publiskas sabiedrības nodokļus maksā tāpat kā citi. Tomēr dažos īpašos klasifikācijas jautājumu gadījumos valdības funkcija nodokļu iekasēšanas jomā var būt pretrunā tās kā publiskas vienības īpašnieces funkcijai un tāpēc nodokļu maksājumus ir pareizāk traktēt kā pašu kapitāla izņemšanu. Tas visticamāk attieksies uz nodokļiem, ko piemēro attiecībā uz valdības ierosinātajiem darījumiem.</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Attiecīgie piemēri ir liels ar privatizāciju saistīts maksājums, lieli maksājumi, kas saistīti ar ārvalstu aktīvu rezervju ārkārtas pārdošanu vai pārvērtēšanu.</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Dažādi kārtējie pārvedumi (D.75)</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Tie varētu būt darījumi, kas saistīti ar normai neatbilstošām pensiju izmaksām (simetriski EKS 2010 4.138. punkta b) apakšpunktam).</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Dividendes (D.421)</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Dividendes izriet no valdības īpašumtiesībām uz vienību. Tās attiecas uz maksājumiem, kurus vienība veic valdībai no vienības ienākumiem. Dividendes neattiecas uz maksājumiem, kurus finansē no aktīvu tirdzniecības, kapitāla pieauguma vai vairāku gadu laikā uzkrātajām rezervēm (izņemot dividenžu izlīdzināšanai paredzētos maksājumus), pat ja vienības kontos šādus maksājumus atzīmē kā dividendes. Pozīcijā F.5 šādus maksājumus traktē kā pašu kapitāla izņemšanu. Sk. iepriekš punktu par ienākumu un dividenžu jēdzieniem.</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Sociālās iemaksas un pabalsti (D.6), korekcija saistībā ar pensiju tiesību pārmaiņām (D.8), ieguldījumu dotācijas (D.92)</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Nepiemēro.</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Citi kapitāla pārvedumi (D.99)</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Kapitāla dotācijas ir neatlīdzināmi maksājumi, tāpēc ir grūti paredzēt apstākļus, kuros pozīciju D.99 varētu piemērot, lai klasificētu maksājumu, ko tirgus vienība veic valdībai. Kāpēc uzņēmumam būtu jāatdod savi naudas līdzekļi, neko nesaņemot pretī? EKS 2010 ir minētas tikai divas turpmāk norādītās iespējas.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1"/>
          <w:numId w:val="68"/>
        </w:numPr>
        <w:tabs>
          <w:tab w:val="left" w:pos="1552"/>
        </w:tabs>
        <w:spacing w:before="0"/>
        <w:ind w:left="1134" w:hanging="425"/>
        <w:jc w:val="both"/>
        <w:rPr>
          <w:rFonts w:ascii="Times New Roman" w:hAnsi="Times New Roman"/>
          <w:noProof/>
          <w:sz w:val="24"/>
        </w:rPr>
      </w:pPr>
      <w:r>
        <w:rPr>
          <w:rFonts w:ascii="Times New Roman" w:hAnsi="Times New Roman"/>
          <w:noProof/>
          <w:sz w:val="24"/>
        </w:rPr>
        <w:t>EKS 2010 4.165. punkta h) apakšpunkts. Lieli maksājumi, lai atlīdzinātu būtisku kaitējumu vai miesas bojājumus, ko nesedz apdrošināšanas polises.</w:t>
      </w:r>
    </w:p>
    <w:p w:rsidR="00523A0A" w:rsidRDefault="00523A0A" w:rsidP="00523A0A">
      <w:pPr>
        <w:pStyle w:val="BodyText"/>
        <w:numPr>
          <w:ilvl w:val="1"/>
          <w:numId w:val="68"/>
        </w:numPr>
        <w:tabs>
          <w:tab w:val="left" w:pos="1552"/>
        </w:tabs>
        <w:spacing w:before="0"/>
        <w:ind w:left="1134" w:hanging="425"/>
        <w:jc w:val="both"/>
        <w:rPr>
          <w:rFonts w:ascii="Times New Roman" w:hAnsi="Times New Roman"/>
          <w:noProof/>
          <w:sz w:val="24"/>
        </w:rPr>
      </w:pPr>
      <w:r>
        <w:rPr>
          <w:rFonts w:ascii="Times New Roman" w:hAnsi="Times New Roman"/>
          <w:noProof/>
          <w:sz w:val="24"/>
        </w:rPr>
        <w:t>EKS 2010 4.165. punkta i) apakšpunkts. Ārkārtas maksājumi sociālās apdrošināšanas fondos, ko veic darba devēji (tostarp valdība) vai valdība (kā daļu savas sociālās funkcijas) tiktāl, ciktāl tādi maksājumi ir paredzēti tādu fondu aktuāru rezervju palielināšanai. Šādas iespējas īstenošanai vajadzīgs tāds faktisks aktīvu fonds sociālo pabalstu finansēšanai, kura rīcībā ir aktī</w:t>
      </w:r>
      <w:r w:rsidR="00C36592">
        <w:rPr>
          <w:rFonts w:ascii="Times New Roman" w:hAnsi="Times New Roman"/>
          <w:noProof/>
          <w:sz w:val="24"/>
        </w:rPr>
        <w:t>vi un saistības, kas ierakstītas</w:t>
      </w:r>
      <w:r>
        <w:rPr>
          <w:rFonts w:ascii="Times New Roman" w:hAnsi="Times New Roman"/>
          <w:noProof/>
          <w:sz w:val="24"/>
        </w:rPr>
        <w:t xml:space="preserve"> kā AF.6. Tas neattiecas uz valdības pārvaldītām nefondētām sociālās apdrošināšanas shēmām.</w:t>
      </w:r>
    </w:p>
    <w:p w:rsidR="00523A0A" w:rsidRPr="001973D0" w:rsidRDefault="00523A0A" w:rsidP="00523A0A">
      <w:pPr>
        <w:pStyle w:val="BodyText"/>
        <w:tabs>
          <w:tab w:val="left" w:pos="1552"/>
        </w:tabs>
        <w:spacing w:before="0"/>
        <w:ind w:left="0" w:firstLine="0"/>
        <w:rPr>
          <w:rFonts w:ascii="Times New Roman" w:hAnsi="Times New Roman"/>
          <w:noProof/>
          <w:sz w:val="24"/>
        </w:rPr>
      </w:pPr>
    </w:p>
    <w:p w:rsidR="00523A0A" w:rsidRPr="001973D0" w:rsidRDefault="00523A0A" w:rsidP="00523A0A">
      <w:pPr>
        <w:pStyle w:val="BodyText"/>
        <w:numPr>
          <w:ilvl w:val="0"/>
          <w:numId w:val="68"/>
        </w:numPr>
        <w:tabs>
          <w:tab w:val="left" w:pos="1202"/>
        </w:tabs>
        <w:spacing w:before="0"/>
        <w:ind w:left="709" w:hanging="709"/>
        <w:jc w:val="both"/>
        <w:rPr>
          <w:rFonts w:ascii="Times New Roman" w:hAnsi="Times New Roman"/>
          <w:noProof/>
          <w:sz w:val="24"/>
        </w:rPr>
      </w:pPr>
      <w:r>
        <w:rPr>
          <w:rFonts w:ascii="Times New Roman" w:hAnsi="Times New Roman"/>
          <w:noProof/>
          <w:sz w:val="24"/>
        </w:rPr>
        <w:t>Publiskas sabiedrības var nodot valdībai pamatkapitāla aktīvus kā daļu no pārstrukturēšanas darbības. Aktīvu pārvedums var notikt arī izpirkumnomas veida līguma darbības beigās, kad aktīvs tiek nodots valdības īpašumā pēc tam, kad kādu laiku publiskai sabiedrībai bija atļauts izmantot aktīvu saskaņā ar konkrētiem nosacījumiem. Šādos gadījumos visatbilstošākais traktējums starpībai starp samaksāto cenu un aktīvu tirgus vērtību ir klasifikācijas un struktūras pārmaiņu (K.6) izmantošana.</w:t>
      </w: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 xml:space="preserve">Valūta un noguldījumi (F.2), parāda vērtspapīri (F.3) un apdrošināšanas, pensiju </w:t>
      </w:r>
      <w:r>
        <w:rPr>
          <w:rFonts w:ascii="Times New Roman" w:hAnsi="Times New Roman"/>
          <w:noProof/>
          <w:sz w:val="24"/>
        </w:rPr>
        <w:lastRenderedPageBreak/>
        <w:t>un standarta garantiju shēmas (F.6)</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Saskaņā ar F.66 pozīciju “uzkrājumi standarta garantiju prasījumiem” paredzamo zaudējumu summas, ko valdība paredz saistībā ar garantijām, kas izsniegtas šādās shēmās. Ekvivalents ir kapitāla pārvedums, sk. VII.4. nodaļu “Valdības garantijas”.</w:t>
      </w: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Aizdevumi (F.4)</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Tas ietver aizdevuma faktisko atmaksu un nosacītās atmaksas, kas saistītas ar parāda dzēšanu. Vairumā gadīj</w:t>
      </w:r>
      <w:r w:rsidR="00C36592">
        <w:rPr>
          <w:rFonts w:ascii="Times New Roman" w:hAnsi="Times New Roman"/>
          <w:noProof/>
          <w:sz w:val="24"/>
        </w:rPr>
        <w:t>umu parāda dzēšana ir jāieraksta</w:t>
      </w:r>
      <w:r>
        <w:rPr>
          <w:rFonts w:ascii="Times New Roman" w:hAnsi="Times New Roman"/>
          <w:noProof/>
          <w:sz w:val="24"/>
        </w:rPr>
        <w:t xml:space="preserve"> kā darījums pozīcijā F.4. Ekvivalents parasti ir kapitāla pārvedums no valdības, ko veic valdība (D.99), izņemot gadījumu, ja privatizācija ir nenovēršama, tādā gadījumā ekvivalents ir darījums ar pašu kapitālu (F.5).</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Dažos gadījumos p</w:t>
      </w:r>
      <w:r w:rsidR="00C36592">
        <w:rPr>
          <w:rFonts w:ascii="Times New Roman" w:hAnsi="Times New Roman"/>
          <w:noProof/>
          <w:sz w:val="24"/>
        </w:rPr>
        <w:t>arāda norakstīšana ir ierakstīta</w:t>
      </w:r>
      <w:r>
        <w:rPr>
          <w:rFonts w:ascii="Times New Roman" w:hAnsi="Times New Roman"/>
          <w:noProof/>
          <w:sz w:val="24"/>
        </w:rPr>
        <w:t xml:space="preserve"> kā sektoru klasifikācijas un institucionālās vienības struktūras pārmaiņas (K.61) vai kā citur neklasificētas citas apjoma pārmaiņas (K.5), taču tikai tad, ja norakstīšana ir saistīta ar vienību parādīšanos vai izzušanu.</w:t>
      </w: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Cits pašu kapitāls (F.519). Pašu kapitāla izņemšana</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Šeit ietilpst būtiski vienreizēji maksājumi valdībai. Šāds maksājums tiek finansēts, likvidējot aktīvus, piemēram, no uzkrātajām rezervēm, finanšu vai nefinanšu aktīvu tirdzniecības vai kapitāla pieauguma realizācijas. Neietilpst maksājumi, kurus teorētiskos vai praktiskos nolūkos var klasificēt kā dividendes (sk. iepriekš D.4).</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Maksājumus, kas veikti valdībai un izriet no ievērojamas aktīvu tirdzniecības pēc valdības pieprasījuma vai radušies saistīb</w:t>
      </w:r>
      <w:r w:rsidR="00C36592">
        <w:rPr>
          <w:rFonts w:ascii="Times New Roman" w:hAnsi="Times New Roman"/>
          <w:noProof/>
          <w:sz w:val="24"/>
        </w:rPr>
        <w:t>ā ar valdības politiku, ieraksta</w:t>
      </w:r>
      <w:r>
        <w:rPr>
          <w:rFonts w:ascii="Times New Roman" w:hAnsi="Times New Roman"/>
          <w:noProof/>
          <w:sz w:val="24"/>
        </w:rPr>
        <w:t xml:space="preserve"> kā pašu kapitāla izņemšanu, nevis kā dividendes vai citus nefinanšu darījumus.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Šāda klasifikācija ir atbilstoša pat tad, ja vienības publiskajos kontos minētais darījums norādīts kā kaut kas cits, piemēram, kā dividende vai dažos gadījumos kā nodoklis.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Šis traktējums attiecas uz netiešo privatizāciju (sk. V.2. nodaļu “Finanšu un nefinanšu aktīvu pārdošana”). Privatizācijas ieņēmumu traktējums nacionālajos kontos galvenokārt nozīmē to, ka valdības pašu kapitāla pārdošanu uzskata par finanšu aktīva (akciju un cita pašu kapitāla) maiņu pret cita veida finanšu aktīvu (kopumā – likvīdiem aktīviem). Ievērojot šādu loģiku, privatizācijas ieņēmumi nesamazina valdības neto aizdevumu/aizņēmumu (B.9), bet maina tā finansējumu. Valdības jaunajiem likvīdajiem aktīviem jāsamazina valdības parāds vai nu tieši, atpērkot valdības parāda vērtspapīrus, vai netieši, samazinot vajadzību pēc jaunas parāda vērtspapīru emisijas.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Lai garantētu konsekvenci un pārredzamību, tiešas privatizācijas traktējumu attiecina arī uz netiešu privatizāciju, piemēram, gadījumos, kad valdības pašu kapitālu pārdod starpnieks – parasti tā ir publiska kontrolakciju sabiedrība/centrālais birojs – un pārdošanas ieņēmumus atmaksā valdībai (neatkarīgi no šīs atmaksas juridiskās formas – dividende, nodoklis, pārvedums utt.).</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Lai nodrošinātu konsekvenci ar finanšu aktīvu tirdzniecību, šo traktējumu attiecina arī uz ievērojamu nefinanšu aktīvu netiešo tirdzniecību (bez ietekmes uz neto aizdevumu/aizņēmumu (B.9)).</w:t>
      </w:r>
    </w:p>
    <w:p w:rsidR="00523A0A" w:rsidRPr="001973D0" w:rsidRDefault="00523A0A" w:rsidP="00523A0A">
      <w:pPr>
        <w:pStyle w:val="Heading6"/>
        <w:ind w:left="709"/>
        <w:jc w:val="both"/>
        <w:rPr>
          <w:rFonts w:ascii="Times New Roman" w:hAnsi="Times New Roman"/>
          <w:noProof/>
          <w:sz w:val="24"/>
        </w:rPr>
      </w:pPr>
      <w:r>
        <w:rPr>
          <w:rFonts w:ascii="Times New Roman" w:hAnsi="Times New Roman"/>
          <w:noProof/>
          <w:sz w:val="24"/>
        </w:rPr>
        <w:t>Pašu kapitāla izņemšana natūrā</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Maksājumi valdībai natūrā ir sarežģīts gadījums, jo pastāv pretrunīga vēlme ievērot konsekvenci gan attiecībā uz nefinanšu aktīvu netiešās tirdzniecības traktējumu (traktēts kā F.5), gan attiecībā uz vēlmi ievērot simetriju ar maksājumiem natūrā, kurus valdība veic publiskai sabiedrībai (sk. D.9 turpmāk).</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Ja aktīvu pārvedums starp publisku sabiedrību un valdību ir saistīts ar citu pārstrukturēšanos un pārmaiņām funkcijās un pienākumos, tad ir atbilstoši</w:t>
      </w:r>
      <w:r w:rsidR="003A54F7">
        <w:rPr>
          <w:rFonts w:ascii="Times New Roman" w:hAnsi="Times New Roman"/>
          <w:noProof/>
          <w:sz w:val="24"/>
        </w:rPr>
        <w:t xml:space="preserve"> šos pārvedumus natūrā ierakstīt</w:t>
      </w:r>
      <w:r>
        <w:rPr>
          <w:rFonts w:ascii="Times New Roman" w:hAnsi="Times New Roman"/>
          <w:noProof/>
          <w:sz w:val="24"/>
        </w:rPr>
        <w:t xml:space="preserve"> kā klasifikācijas un struktūras pārmaiņas (K.12) kontā “Citas aktīvu apjoma pārmaiņas”.</w:t>
      </w:r>
    </w:p>
    <w:p w:rsidR="00523A0A" w:rsidRPr="001973D0" w:rsidRDefault="00523A0A" w:rsidP="00523A0A">
      <w:pPr>
        <w:pStyle w:val="Heading6"/>
        <w:ind w:left="709"/>
        <w:jc w:val="both"/>
        <w:rPr>
          <w:rFonts w:ascii="Times New Roman" w:hAnsi="Times New Roman"/>
          <w:noProof/>
          <w:sz w:val="24"/>
        </w:rPr>
      </w:pPr>
      <w:r>
        <w:rPr>
          <w:rFonts w:ascii="Times New Roman" w:hAnsi="Times New Roman"/>
          <w:noProof/>
          <w:sz w:val="24"/>
        </w:rPr>
        <w:t>Pašu kapitāla izņemšana no centrālās bankas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 xml:space="preserve">Klasifikācija pozīcijā F.5 attiecas arī uz dažiem darījumiem starp valdību un centrālajām </w:t>
      </w:r>
      <w:r>
        <w:rPr>
          <w:rFonts w:ascii="Times New Roman" w:hAnsi="Times New Roman"/>
          <w:noProof/>
          <w:sz w:val="24"/>
        </w:rPr>
        <w:lastRenderedPageBreak/>
        <w:t>bankām. Tas ir tāpēc, ka centrālās bankas aktīvus nacionālajos kontos traktē kā valsts īpašumu, un tādējādi, piemēram, kritums centrālās bankas zelta un ārvalsts valūtu rezervēs samazinātu vērtību valdības pašu kapitālam centrālajā bankā.</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Izmaiņas sektoru klasifikācijā un institucionālās vienības struktūrā (K.61)</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Attiecas uz gadījumiem, kad dibina, slēdz vai apvieno vienības vai kad veic tādas būtiskas izmaiņas vienību funkcijās un atbildībā, kuras nav</w:t>
      </w:r>
      <w:r w:rsidR="003A54F7">
        <w:rPr>
          <w:rFonts w:ascii="Times New Roman" w:hAnsi="Times New Roman"/>
          <w:noProof/>
          <w:sz w:val="24"/>
        </w:rPr>
        <w:t xml:space="preserve"> iespējams atbilstoši ierakstīt</w:t>
      </w:r>
      <w:r>
        <w:rPr>
          <w:rFonts w:ascii="Times New Roman" w:hAnsi="Times New Roman"/>
          <w:noProof/>
          <w:sz w:val="24"/>
        </w:rPr>
        <w:t xml:space="preserve"> darījumu kontos. Šī kategorija attiecas arī uz gadījumiem, kad aktīvus atdod valdības īpašumā pēc perioda, kurā tos bija atļauts izmantot publiskai sabiedrībai (sk. VI.3. nodaļu par līgumiem saistībā ar pamatlīdzekļiem, piemēram, koncesijas līgumiem).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52"/>
        </w:tabs>
        <w:ind w:left="0" w:firstLine="0"/>
        <w:jc w:val="both"/>
        <w:rPr>
          <w:rFonts w:ascii="Times New Roman" w:hAnsi="Times New Roman"/>
          <w:noProof/>
          <w:u w:val="thick" w:color="000000"/>
        </w:rPr>
      </w:pPr>
      <w:bookmarkStart w:id="256" w:name="III.8.2_Payments_by_government_to_public"/>
      <w:bookmarkEnd w:id="256"/>
      <w:r>
        <w:rPr>
          <w:rFonts w:ascii="Times New Roman" w:hAnsi="Times New Roman"/>
          <w:noProof/>
          <w:u w:val="none"/>
        </w:rPr>
        <w:t>III.8.2. </w:t>
      </w:r>
      <w:r>
        <w:rPr>
          <w:rFonts w:ascii="Times New Roman" w:hAnsi="Times New Roman"/>
          <w:noProof/>
          <w:u w:val="thick" w:color="000000"/>
        </w:rPr>
        <w:t>Valdības veiktie maksājumi publiskām vienībām</w:t>
      </w:r>
    </w:p>
    <w:p w:rsidR="00523A0A" w:rsidRPr="001973D0" w:rsidRDefault="00523A0A" w:rsidP="00523A0A">
      <w:pPr>
        <w:pStyle w:val="Heading4"/>
        <w:tabs>
          <w:tab w:val="left" w:pos="1552"/>
        </w:tabs>
        <w:ind w:left="0" w:firstLine="0"/>
        <w:jc w:val="both"/>
        <w:rPr>
          <w:rFonts w:ascii="Times New Roman" w:hAnsi="Times New Roman"/>
          <w:noProof/>
          <w:u w:val="thick" w:color="000000"/>
        </w:rPr>
      </w:pPr>
    </w:p>
    <w:p w:rsidR="00523A0A" w:rsidRPr="001973D0" w:rsidRDefault="00523A0A" w:rsidP="00523A0A">
      <w:pPr>
        <w:pStyle w:val="BodyText"/>
        <w:numPr>
          <w:ilvl w:val="0"/>
          <w:numId w:val="68"/>
        </w:numPr>
        <w:tabs>
          <w:tab w:val="left" w:pos="1202"/>
        </w:tabs>
        <w:spacing w:before="0"/>
        <w:ind w:left="709" w:hanging="709"/>
        <w:jc w:val="both"/>
        <w:rPr>
          <w:rFonts w:ascii="Times New Roman" w:hAnsi="Times New Roman"/>
          <w:noProof/>
          <w:sz w:val="24"/>
        </w:rPr>
      </w:pPr>
      <w:r>
        <w:rPr>
          <w:rFonts w:ascii="Times New Roman" w:hAnsi="Times New Roman"/>
          <w:noProof/>
          <w:sz w:val="24"/>
        </w:rPr>
        <w:t>Vairākos šādos gadījumos ir svarīgi apsvērt, vai valdība veic maksājumu, lai palielinātu savus ieguldījumus finanšu aktīvos, kā to darītu ikviens racionāls ieguldītājs, vai arī tā cenšas atbalstīt noteiktu veidu saimniecisko darbību. Frāzi “kapitāla iepludināšana” bieži lieto, lai aprakstītu lielus maksājumus, ko valdība veic publiskām sabiedrībām. Tas nav nacionālo kontu jēdziens. Nacionālajos kontos tas varētu būt vai nu kapitāla pārvedums, vai darījums ar pašu kapitālu.</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Ražošanas un importa nodokļi (D.2)</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Nepiemēro.</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Subsīdijas (D.3)</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Subsīdijas ir regulāri maksājumi, ko valdība veic, lai samazinātu vienības noteiktās cenas un segtu zaudējumus. Ir neatbilstoši šādus maksājumus uzskatīt par ieguldījumiem pašu kapitālā (F.5), jo ar tiem finansē kārtējos izdevumus, un bieži šos maksājumus veic atkarībā no vienības, kura darbojas kādā konkrētā veidā, piemēram, nosakot zemas cenas, kas var samazināt pašu kapitāla vērtību.</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Citi kārtējie pārvedumi (D.7)</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Normai neatbilstoši pensiju maksājumi tiktu iekļauti dažādos kārtējos pārvedumos (D.75), sk. EKS 2010 4.139. punkta b) apakšpunktu.</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Ienākuma un mantas kārtējie nodokļi (D.5), sociālās iemaksas un pabalsti (D.6) un korekcija saistībā ar pensiju tiesību pārmaiņām (D.8)</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Nepiemēro.</w:t>
      </w: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Ieguldījumu dotācijas (D.92)</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Šī pozīcija attiecas uz visiem publiskām vienībām veiktiem neatlīdzināmiem maksājumiem, kurus izmanto ieguldījumiem pamatkapitālā, nevis kārtējo izdevumu segšanai.</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Kapitālizdevumi, kurus finansē ar valdības veiktajiem maksājumiem, var veicināt valdības pašu kapitāla vērtības pieaugumu publiskā sabiedrībā. Tomēr tas nav pietiekams iemesls, lai šo maksājumu klasificētu kā ieguldījumu pašu kapitālā (F.5), jo nav pārliecības par to, ka valdības pašu kapitāla vērtība palielināsies tādā pašā apmērā. Sabiedrība kapitālieguldījumus var izmantot tam, lai īstenotu valdības ekonomisko un sociālo politiku (piemēram, dzelzceļa līniju būvniecībai vai slimnīcu celtniecībai), nevis ienesīguma palielināšanai. Proti, veicot “kapitāla iepludināšanu” publiskā sabiedrībā, ir svarīgi apsvērt valdības noteiktos mērķus.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 xml:space="preserve">“Kapitāla iepludināšana natūrā” ir valdības pamatkapitāla aktīvu īpašumtiesību nodošana kādai publiskai sabiedrībai (sk. III.3. nodaļu “Kapitāla iepludināšana publiskās kvazisabiedrībās” un III.3.2. iedaļu “Traktējums nacionālajos kontos”). Vienkāršu gadījumu, kad valdība nodod </w:t>
      </w:r>
      <w:r w:rsidR="003A54F7">
        <w:rPr>
          <w:rFonts w:ascii="Times New Roman" w:hAnsi="Times New Roman"/>
          <w:noProof/>
          <w:sz w:val="24"/>
        </w:rPr>
        <w:t>dāvinājumu sabiedrībai, ieraksta</w:t>
      </w:r>
      <w:r>
        <w:rPr>
          <w:rFonts w:ascii="Times New Roman" w:hAnsi="Times New Roman"/>
          <w:noProof/>
          <w:sz w:val="24"/>
        </w:rPr>
        <w:t xml:space="preserve"> kā ieguldījumu dotācijas ar atbilstīgām negatīvām summām, kur</w:t>
      </w:r>
      <w:r w:rsidR="003A54F7">
        <w:rPr>
          <w:rFonts w:ascii="Times New Roman" w:hAnsi="Times New Roman"/>
          <w:noProof/>
          <w:sz w:val="24"/>
        </w:rPr>
        <w:t>as ierakstītas</w:t>
      </w:r>
      <w:r>
        <w:rPr>
          <w:rFonts w:ascii="Times New Roman" w:hAnsi="Times New Roman"/>
          <w:noProof/>
          <w:sz w:val="24"/>
        </w:rPr>
        <w:t xml:space="preserve"> ieguldījumos pamatkapitālā. Tādējādi valdības neto aizdevums/aizņēmums (B.9) paliek nemainīgs.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lastRenderedPageBreak/>
        <w:t>Sarežģītākos gadījumos, kad ieguldījumi natūrā ir saistīti ar citu aktīvu un saistību pārstrukturēšanu un, iespējams, jaunu vienību dibināšanu, rezultātu labāk ierakstīt kontā “Citas aktīvu apjoma pārmaiņas” (K.5) vai kontā “Izmaiņas klasifikācijā un struktūrā” (K.61) atbilstīgi uzkrājumiem, kas saistīti ar šīm plūsmām. Tādējādi arī valdības neto aizdevums/aizņēmums (B.9) paliek nemainīgs.</w:t>
      </w: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Citi kapitāla pārvedumi (D.99)</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EKS 2010 4.165. punkts nosaka, ka D.99 ir piemērojams attiecībā uz šādiem gadījumiem:</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67"/>
        </w:numPr>
        <w:tabs>
          <w:tab w:val="left" w:pos="1652"/>
        </w:tabs>
        <w:spacing w:before="0"/>
        <w:ind w:left="1134" w:hanging="425"/>
        <w:jc w:val="both"/>
        <w:rPr>
          <w:rFonts w:ascii="Times New Roman" w:hAnsi="Times New Roman"/>
          <w:noProof/>
          <w:sz w:val="24"/>
        </w:rPr>
      </w:pPr>
      <w:r>
        <w:rPr>
          <w:rFonts w:ascii="Times New Roman" w:hAnsi="Times New Roman"/>
          <w:noProof/>
          <w:sz w:val="24"/>
        </w:rPr>
        <w:t>kaitējuma atlīdzība;</w:t>
      </w:r>
    </w:p>
    <w:p w:rsidR="00523A0A" w:rsidRPr="001973D0" w:rsidRDefault="00523A0A" w:rsidP="00523A0A">
      <w:pPr>
        <w:pStyle w:val="BodyText"/>
        <w:numPr>
          <w:ilvl w:val="0"/>
          <w:numId w:val="67"/>
        </w:numPr>
        <w:tabs>
          <w:tab w:val="left" w:pos="1652"/>
        </w:tabs>
        <w:spacing w:before="0"/>
        <w:ind w:left="1134" w:hanging="425"/>
        <w:jc w:val="both"/>
        <w:rPr>
          <w:rFonts w:ascii="Times New Roman" w:hAnsi="Times New Roman"/>
          <w:noProof/>
          <w:sz w:val="24"/>
        </w:rPr>
      </w:pPr>
      <w:r>
        <w:rPr>
          <w:rFonts w:ascii="Times New Roman" w:hAnsi="Times New Roman"/>
          <w:noProof/>
          <w:sz w:val="24"/>
        </w:rPr>
        <w:t>maksājumi tādu zaudējumu segšanai, kuri radušies vairākus gadus ilgā laika posmā, vai ārkārtas zaudējumu segšanai, kuri radušies, dzēšot parādus, ja vien tas nav darīts privatizācijas procesā (ieraksta F.5).</w:t>
      </w:r>
    </w:p>
    <w:p w:rsidR="00091195" w:rsidRDefault="00091195" w:rsidP="00523A0A">
      <w:pPr>
        <w:pStyle w:val="BodyText"/>
        <w:spacing w:before="0"/>
        <w:ind w:left="709" w:firstLine="0"/>
        <w:jc w:val="both"/>
        <w:rPr>
          <w:rFonts w:ascii="Times New Roman" w:hAnsi="Times New Roman"/>
          <w:noProof/>
          <w:sz w:val="24"/>
        </w:rPr>
      </w:pP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 xml:space="preserve">Pozīcija D.99 attiecas arī uz gadījumiem, kad valdības veiktais finanšu aktīvu iegādes darījums notiek nevis par tirgus cenām, bet galvenokārt tāpēc, lai atbalstītu konkrēto vienību. Piemēram, valdība var nopirkt bezcerīgos parādus vai piešķirt aizdevumus ar atvieglotiem nosacījumiem. Šādos gadījumos ir jānovērtē starpība starp iegūto finanšu aktīvu tirgus vērtību un valdības samaksāto </w:t>
      </w:r>
      <w:r w:rsidR="003A54F7">
        <w:rPr>
          <w:rFonts w:ascii="Times New Roman" w:hAnsi="Times New Roman"/>
          <w:noProof/>
          <w:sz w:val="24"/>
        </w:rPr>
        <w:t>cenu. Minētā starpība jāieraksta</w:t>
      </w:r>
      <w:r>
        <w:rPr>
          <w:rFonts w:ascii="Times New Roman" w:hAnsi="Times New Roman"/>
          <w:noProof/>
          <w:sz w:val="24"/>
        </w:rPr>
        <w:t xml:space="preserve"> kā valdības kapitāla pārvedums vienībai. Būtībā šo maksājumu, ko veic valdība, traktē daļēji kā finanšu aktīvu iegādi un daļēji kā dāvinājumu. Šāds traktējums bieži ir atbilstošs finanšu darījumu anulēšanas struktūrvienībām, kas izveidotas banku glābšanai.</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Heading6"/>
        <w:numPr>
          <w:ilvl w:val="0"/>
          <w:numId w:val="68"/>
        </w:numPr>
        <w:tabs>
          <w:tab w:val="left" w:pos="1302"/>
        </w:tabs>
        <w:ind w:left="709" w:hanging="709"/>
        <w:jc w:val="both"/>
        <w:rPr>
          <w:rFonts w:ascii="Times New Roman" w:hAnsi="Times New Roman"/>
          <w:noProof/>
          <w:sz w:val="24"/>
        </w:rPr>
      </w:pPr>
      <w:r>
        <w:rPr>
          <w:rFonts w:ascii="Times New Roman" w:hAnsi="Times New Roman"/>
          <w:noProof/>
          <w:sz w:val="24"/>
        </w:rPr>
        <w:t>Aizdevumi (F.4)</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Gadījumos, kad maksājumus publiskām vienībām klasificē kā aizdevumus, ir svarīgi pārbaudīt atmaksas iespējamību, kā arī atmaksas un procentu maksājumu komerciālos noteikumus. Dažos gadījumos, kad atmaksa ir nenoteikta, aizdevumus var būt atbilst</w:t>
      </w:r>
      <w:r w:rsidR="003A54F7">
        <w:rPr>
          <w:rFonts w:ascii="Times New Roman" w:hAnsi="Times New Roman"/>
          <w:noProof/>
          <w:sz w:val="24"/>
        </w:rPr>
        <w:t>ošāk ierakstīt</w:t>
      </w:r>
      <w:r>
        <w:rPr>
          <w:rFonts w:ascii="Times New Roman" w:hAnsi="Times New Roman"/>
          <w:noProof/>
          <w:sz w:val="24"/>
        </w:rPr>
        <w:t xml:space="preserve"> kā kapitāla pārvedumus vai, ja nav noteik</w:t>
      </w:r>
      <w:r w:rsidR="003A54F7">
        <w:rPr>
          <w:rFonts w:ascii="Times New Roman" w:hAnsi="Times New Roman"/>
          <w:noProof/>
          <w:sz w:val="24"/>
        </w:rPr>
        <w:t>ti procentu maksājumi, ierakstīt</w:t>
      </w:r>
      <w:r>
        <w:rPr>
          <w:rFonts w:ascii="Times New Roman" w:hAnsi="Times New Roman"/>
          <w:noProof/>
          <w:sz w:val="24"/>
        </w:rPr>
        <w:t xml:space="preserve"> tos kā cita pašu kapitāla iegādi.</w:t>
      </w:r>
    </w:p>
    <w:p w:rsidR="00523A0A" w:rsidRPr="001973D0" w:rsidRDefault="00523A0A" w:rsidP="00523A0A">
      <w:pPr>
        <w:pStyle w:val="Heading6"/>
        <w:numPr>
          <w:ilvl w:val="0"/>
          <w:numId w:val="68"/>
        </w:numPr>
        <w:tabs>
          <w:tab w:val="left" w:pos="1202"/>
        </w:tabs>
        <w:ind w:left="709" w:hanging="709"/>
        <w:jc w:val="both"/>
        <w:rPr>
          <w:rFonts w:ascii="Times New Roman" w:hAnsi="Times New Roman"/>
          <w:noProof/>
          <w:sz w:val="24"/>
        </w:rPr>
      </w:pPr>
      <w:r>
        <w:rPr>
          <w:rFonts w:ascii="Times New Roman" w:hAnsi="Times New Roman"/>
          <w:noProof/>
          <w:sz w:val="24"/>
        </w:rPr>
        <w:t>Pašu kapitāls un ieguldījumu fondu apliecības vai daļas (F.5)</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 xml:space="preserve">Pašu kapitāla iegāde publiskās sabiedrībās – šajā kategorijā neietilpst maksājumi, ko veic saistībā ar pamatkapitāla iegādi, un </w:t>
      </w:r>
      <w:r w:rsidR="003A54F7">
        <w:rPr>
          <w:rFonts w:ascii="Times New Roman" w:hAnsi="Times New Roman"/>
          <w:noProof/>
          <w:sz w:val="24"/>
        </w:rPr>
        <w:t>maksājumi natūrā: tie jāieraksta</w:t>
      </w:r>
      <w:r>
        <w:rPr>
          <w:rFonts w:ascii="Times New Roman" w:hAnsi="Times New Roman"/>
          <w:noProof/>
          <w:sz w:val="24"/>
        </w:rPr>
        <w:t xml:space="preserve"> kā ieguldījumu dotācijas. Svarīga pazīme ieguldījumam pašu kapitālā ir tā, ka publiskai vienībai jābūt rīcības brīvībai izmantot līdzekļus tā, kā tās skatījumā tie vislabāk palielinātu uzņēmuma vērtību. Ir trīs gadījumi.</w:t>
      </w:r>
    </w:p>
    <w:p w:rsidR="00523A0A" w:rsidRPr="001973D0" w:rsidRDefault="00523A0A" w:rsidP="00523A0A">
      <w:pPr>
        <w:pStyle w:val="BodyText"/>
        <w:spacing w:before="0"/>
        <w:ind w:left="709" w:firstLine="0"/>
        <w:jc w:val="both"/>
        <w:rPr>
          <w:rFonts w:ascii="Times New Roman" w:hAnsi="Times New Roman"/>
          <w:noProof/>
          <w:sz w:val="24"/>
          <w:u w:val="single" w:color="000000"/>
        </w:rPr>
      </w:pPr>
      <w:r>
        <w:rPr>
          <w:rFonts w:ascii="Times New Roman" w:hAnsi="Times New Roman"/>
          <w:noProof/>
          <w:sz w:val="24"/>
          <w:u w:val="single" w:color="000000"/>
        </w:rPr>
        <w:t>Valdība ir vienīgais publiskas vienības akcionārs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Dažus valdības veiktus maksājumus varētu būt atbilstoši klasificēt kategorijā F.51 (pašu kapitāls), bet tikai tad, ja tiek piemēroti stingri nosacījumi. Maksājumi jāveic finansiālu apsvērumu dēļ ar tādiem pašiem mērķiem, kādi būtu racionālam privātam ieguldītājam, ieguldot līdzekļus kādā uzņēmumā.</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Proti, valdībai ir jāplāno tirgus peļņas gūšana, piemēram, lielākas dividendes no sava ieguldījuma, vai arī tai ir jāplāno uzņēmuma pārdošana, par kuru ieguldījuma pašu kapitālā rezultātā tā varētu saņemt augstāku cenu. Maksājumi, kas vienībai veikti citos nolūkos (piemēram, zaudējumu segšanai), jāklasificē kā kapitāla pārvedumi.</w:t>
      </w:r>
    </w:p>
    <w:p w:rsidR="00523A0A" w:rsidRPr="001973D0" w:rsidRDefault="00523A0A" w:rsidP="00523A0A">
      <w:pPr>
        <w:pStyle w:val="BodyText"/>
        <w:spacing w:before="0"/>
        <w:ind w:left="709" w:firstLine="0"/>
        <w:jc w:val="both"/>
        <w:rPr>
          <w:rFonts w:ascii="Times New Roman" w:hAnsi="Times New Roman"/>
          <w:noProof/>
          <w:sz w:val="24"/>
          <w:u w:val="single" w:color="000000"/>
        </w:rPr>
      </w:pPr>
      <w:r>
        <w:rPr>
          <w:rFonts w:ascii="Times New Roman" w:hAnsi="Times New Roman"/>
          <w:noProof/>
          <w:sz w:val="24"/>
          <w:u w:val="single" w:color="000000"/>
        </w:rPr>
        <w:t>Valdība un dažas citas vienības ir īpašumtiesību partneri</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Daži valdībai veiktie maksājumi dod tai tiesības saņemt lielāku vienības akciju un paredzamās peļņas daļu. Ja vienība saimnieciski darbojas tā, ka valdība varētu saņemt ienākumus no saviem ieguldījumiem, to būtu atbilstoši klasificēt pozīcijā F.5.</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Ja valdības akciju daļas palielināšana nesniedz tai finansiālu labumu (iespējams, tādēļ, ka vienības mērķis ir atbalstīt valdības sociālo politiku, nevis gūt peļņu), piemērotāk būtu to klasificēt kā kapitāla pārvedumu.</w:t>
      </w:r>
    </w:p>
    <w:p w:rsidR="00523A0A" w:rsidRPr="001973D0" w:rsidRDefault="00523A0A" w:rsidP="00523A0A">
      <w:pPr>
        <w:pStyle w:val="BodyText"/>
        <w:spacing w:before="0"/>
        <w:ind w:left="709" w:firstLine="0"/>
        <w:jc w:val="both"/>
        <w:rPr>
          <w:rFonts w:ascii="Times New Roman" w:hAnsi="Times New Roman"/>
          <w:noProof/>
          <w:sz w:val="24"/>
          <w:u w:val="single" w:color="000000"/>
        </w:rPr>
      </w:pPr>
      <w:r>
        <w:rPr>
          <w:rFonts w:ascii="Times New Roman" w:hAnsi="Times New Roman"/>
          <w:noProof/>
          <w:sz w:val="24"/>
          <w:u w:val="single" w:color="000000"/>
        </w:rPr>
        <w:lastRenderedPageBreak/>
        <w:t>Valdībai publiskajā vienībā pieder tirgojamas akcijas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Ja valdība apmaiņā pret savu maksājumu iegūst tirgojamas akcijas, ko tā nekavējoties varētu pārdot par samaksāto cenu, to ir pareizi klasificēt kā akciju iegādi.</w:t>
      </w:r>
    </w:p>
    <w:p w:rsidR="00523A0A" w:rsidRDefault="00523A0A" w:rsidP="00523A0A">
      <w:pPr>
        <w:rPr>
          <w:rFonts w:ascii="Times New Roman" w:eastAsia="Arial" w:hAnsi="Times New Roman" w:cs="Arial"/>
          <w:noProof/>
          <w:sz w:val="24"/>
          <w:szCs w:val="20"/>
        </w:rPr>
      </w:pPr>
      <w:r>
        <w:br w:type="page"/>
      </w:r>
    </w:p>
    <w:p w:rsidR="00523A0A" w:rsidRDefault="00523A0A" w:rsidP="00091195">
      <w:pPr>
        <w:pStyle w:val="Heading2"/>
        <w:rPr>
          <w:noProof/>
        </w:rPr>
      </w:pPr>
      <w:bookmarkStart w:id="257" w:name="III.9_Keywords_and_accounting_references"/>
      <w:bookmarkStart w:id="258" w:name="_bookmark29"/>
      <w:bookmarkStart w:id="259" w:name="_Toc471135895"/>
      <w:bookmarkEnd w:id="257"/>
      <w:bookmarkEnd w:id="258"/>
      <w:r>
        <w:rPr>
          <w:noProof/>
        </w:rPr>
        <w:lastRenderedPageBreak/>
        <w:t xml:space="preserve">III.9. Atslēgvārdi un </w:t>
      </w:r>
      <w:r w:rsidRPr="00091195">
        <w:t>atsauces</w:t>
      </w:r>
      <w:bookmarkEnd w:id="259"/>
    </w:p>
    <w:p w:rsidR="00523A0A" w:rsidRPr="001973D0" w:rsidRDefault="00523A0A" w:rsidP="00523A0A">
      <w:pPr>
        <w:pStyle w:val="Heading2"/>
        <w:jc w:val="both"/>
        <w:rPr>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4947"/>
        <w:gridCol w:w="4124"/>
      </w:tblGrid>
      <w:tr w:rsidR="00523A0A" w:rsidRPr="001973D0" w:rsidTr="00523A0A">
        <w:trPr>
          <w:trHeight w:hRule="exact" w:val="379"/>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Kapitāla pārvedumi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4.145. un turpmākie punkti</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Kapitāla pārvedumi natūrā</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4.146.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Klasifikācijas un struktūras pārmaiņas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6.17.–6.20. punkts</w:t>
            </w:r>
          </w:p>
        </w:tc>
      </w:tr>
      <w:tr w:rsidR="00523A0A" w:rsidRPr="001973D0" w:rsidTr="00523A0A">
        <w:trPr>
          <w:trHeight w:hRule="exact" w:val="418"/>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Sabiedrības pārstrukturēšana</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6.19.–6.20.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Parāda dzēšana, saistību uzņemšanās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5.36.–5.39.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Dividendes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4.53.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Uzņēmējdarbības ienākumi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8.26.–8.28.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Pašu kapitāls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5.141. un turpmākie punkti</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Pašu kapitāls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5.148. punkts</w:t>
            </w:r>
          </w:p>
        </w:tc>
      </w:tr>
      <w:tr w:rsidR="00523A0A" w:rsidRPr="001973D0" w:rsidTr="00091195">
        <w:trPr>
          <w:trHeight w:hRule="exact" w:val="575"/>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Finanšu darījumi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5.17., 5.19.–5.22., 5.32.–5.35.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Institucionālā vienība</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2.12.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Ieguldījumu dotācijas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4.152.–4.163.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Neto vērtība</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7.01.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Beznaudas darījumi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1.70.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Citas debitoru un kreditoru saistības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5.230.–5.244.</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Citi kapitāla pārvedumi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4.164–4.167.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Pašu līdzekļi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7.07. punkts</w:t>
            </w:r>
          </w:p>
        </w:tc>
      </w:tr>
      <w:tr w:rsidR="00523A0A" w:rsidRPr="001973D0" w:rsidTr="00091195">
        <w:trPr>
          <w:trHeight w:hRule="exact" w:val="685"/>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Pastāvīgi zaudējumi</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4.35. punkta c) apakšpunkts, 4.61.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Īpašuma ienākums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4.41.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Kvazisabiedrība</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2.13. punkts</w:t>
            </w:r>
          </w:p>
        </w:tc>
      </w:tr>
      <w:tr w:rsidR="00523A0A" w:rsidRPr="001973D0" w:rsidTr="00523A0A">
        <w:trPr>
          <w:trHeight w:hRule="exact" w:val="417"/>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Subsīdijas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4.30. punkts</w:t>
            </w:r>
          </w:p>
        </w:tc>
      </w:tr>
      <w:tr w:rsidR="00523A0A" w:rsidRPr="001973D0" w:rsidTr="00091195">
        <w:trPr>
          <w:trHeight w:hRule="exact" w:val="629"/>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Gala (piem., ekspluatācijas pārtraukšanas) izmaksas</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3.129. punkta h) apakšpunkts</w:t>
            </w:r>
          </w:p>
        </w:tc>
      </w:tr>
      <w:tr w:rsidR="00523A0A" w:rsidRPr="001973D0" w:rsidTr="00523A0A">
        <w:trPr>
          <w:trHeight w:hRule="exact" w:val="379"/>
        </w:trPr>
        <w:tc>
          <w:tcPr>
            <w:tcW w:w="272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Pamatkapitāla patēriņš gala izmaksām</w:t>
            </w:r>
          </w:p>
        </w:tc>
        <w:tc>
          <w:tcPr>
            <w:tcW w:w="227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3.139. punkts</w:t>
            </w:r>
          </w:p>
        </w:tc>
      </w:tr>
    </w:tbl>
    <w:p w:rsidR="00523A0A" w:rsidRPr="001973D0" w:rsidRDefault="00523A0A" w:rsidP="00523A0A">
      <w:pPr>
        <w:jc w:val="both"/>
        <w:rPr>
          <w:rFonts w:ascii="Times New Roman" w:hAnsi="Times New Roman"/>
          <w:b/>
          <w:noProof/>
          <w:color w:val="FFFFFF"/>
          <w:sz w:val="24"/>
        </w:rPr>
      </w:pPr>
      <w:r>
        <w:rPr>
          <w:rFonts w:ascii="Times New Roman" w:hAnsi="Times New Roman"/>
          <w:b/>
          <w:noProof/>
          <w:color w:val="FFFFFF"/>
          <w:sz w:val="24"/>
        </w:rPr>
        <w:t>Andale</w:t>
      </w:r>
    </w:p>
    <w:p w:rsidR="00523A0A" w:rsidRDefault="00523A0A" w:rsidP="00523A0A">
      <w:pPr>
        <w:rPr>
          <w:rFonts w:ascii="Times New Roman" w:eastAsia="Arial" w:hAnsi="Times New Roman" w:cs="Arial"/>
          <w:b/>
          <w:bCs/>
          <w:noProof/>
          <w:sz w:val="24"/>
          <w:szCs w:val="40"/>
        </w:rPr>
      </w:pPr>
      <w:r>
        <w:br w:type="page"/>
      </w:r>
    </w:p>
    <w:p w:rsidR="00523A0A" w:rsidRPr="001973D0" w:rsidRDefault="00091195" w:rsidP="00091195">
      <w:pPr>
        <w:pStyle w:val="Heading1"/>
        <w:tabs>
          <w:tab w:val="left" w:pos="1418"/>
        </w:tabs>
        <w:rPr>
          <w:noProof/>
        </w:rPr>
      </w:pPr>
      <w:bookmarkStart w:id="260" w:name="Part_IV_Relations_between_government_and"/>
      <w:bookmarkStart w:id="261" w:name="_bookmark30"/>
      <w:bookmarkStart w:id="262" w:name="_Toc471135896"/>
      <w:bookmarkEnd w:id="260"/>
      <w:bookmarkEnd w:id="261"/>
      <w:r>
        <w:rPr>
          <w:noProof/>
        </w:rPr>
        <w:lastRenderedPageBreak/>
        <w:t>IV daļa.</w:t>
      </w:r>
      <w:r>
        <w:rPr>
          <w:noProof/>
        </w:rPr>
        <w:tab/>
      </w:r>
      <w:r w:rsidR="00523A0A" w:rsidRPr="00091195">
        <w:t>Attiecības</w:t>
      </w:r>
      <w:r w:rsidR="00523A0A">
        <w:rPr>
          <w:noProof/>
        </w:rPr>
        <w:t xml:space="preserve"> starp valdību un finanšu sektoru</w:t>
      </w:r>
      <w:bookmarkEnd w:id="262"/>
    </w:p>
    <w:p w:rsidR="00523A0A" w:rsidRPr="001973D0" w:rsidRDefault="00523A0A" w:rsidP="00523A0A">
      <w:pPr>
        <w:jc w:val="both"/>
        <w:rPr>
          <w:rFonts w:ascii="Times New Roman" w:eastAsia="Arial" w:hAnsi="Times New Roman" w:cs="Arial"/>
          <w:b/>
          <w:bCs/>
          <w:noProof/>
          <w:sz w:val="24"/>
          <w:szCs w:val="31"/>
        </w:rPr>
      </w:pPr>
    </w:p>
    <w:p w:rsidR="00523A0A" w:rsidRDefault="00523A0A" w:rsidP="00091195">
      <w:pPr>
        <w:pStyle w:val="Heading2"/>
        <w:rPr>
          <w:noProof/>
        </w:rPr>
      </w:pPr>
      <w:bookmarkStart w:id="263" w:name="IV.1_Overview"/>
      <w:bookmarkStart w:id="264" w:name="_bookmark31"/>
      <w:bookmarkStart w:id="265" w:name="_Toc471135897"/>
      <w:bookmarkEnd w:id="263"/>
      <w:bookmarkEnd w:id="264"/>
      <w:r>
        <w:rPr>
          <w:noProof/>
        </w:rPr>
        <w:t>IV.1. </w:t>
      </w:r>
      <w:r w:rsidRPr="00091195">
        <w:t>Pārskats</w:t>
      </w:r>
      <w:bookmarkEnd w:id="265"/>
    </w:p>
    <w:p w:rsidR="00523A0A" w:rsidRPr="001973D0" w:rsidRDefault="00523A0A" w:rsidP="00523A0A">
      <w:pPr>
        <w:pStyle w:val="Heading2"/>
        <w:tabs>
          <w:tab w:val="left" w:pos="1602"/>
        </w:tabs>
        <w:jc w:val="both"/>
        <w:rPr>
          <w:noProof/>
          <w:sz w:val="24"/>
        </w:rPr>
      </w:pPr>
    </w:p>
    <w:p w:rsidR="00523A0A" w:rsidRPr="001973D0" w:rsidRDefault="00523A0A" w:rsidP="00523A0A">
      <w:pPr>
        <w:pStyle w:val="BodyText"/>
        <w:numPr>
          <w:ilvl w:val="0"/>
          <w:numId w:val="66"/>
        </w:numPr>
        <w:tabs>
          <w:tab w:val="left" w:pos="1242"/>
        </w:tabs>
        <w:spacing w:before="0"/>
        <w:ind w:left="709" w:hanging="709"/>
        <w:jc w:val="both"/>
        <w:rPr>
          <w:rFonts w:ascii="Times New Roman" w:hAnsi="Times New Roman"/>
          <w:noProof/>
          <w:sz w:val="24"/>
        </w:rPr>
      </w:pPr>
      <w:r>
        <w:rPr>
          <w:rFonts w:ascii="Times New Roman" w:hAnsi="Times New Roman"/>
          <w:noProof/>
          <w:sz w:val="24"/>
        </w:rPr>
        <w:t>Šajā daļā ir aprakstīta valdības un valsts centrālās bankas (VCB), kā arī valdības un citu finanšu iestāžu, sa</w:t>
      </w:r>
      <w:r w:rsidR="003A54F7">
        <w:rPr>
          <w:rFonts w:ascii="Times New Roman" w:hAnsi="Times New Roman"/>
          <w:noProof/>
          <w:sz w:val="24"/>
        </w:rPr>
        <w:t>vstarpējo attiecību ierakstīšana</w:t>
      </w:r>
      <w:r>
        <w:rPr>
          <w:rFonts w:ascii="Times New Roman" w:hAnsi="Times New Roman"/>
          <w:noProof/>
          <w:sz w:val="24"/>
        </w:rPr>
        <w:t xml:space="preserve"> saistībā ar tām sniegto valsts atbalstu.</w:t>
      </w:r>
    </w:p>
    <w:p w:rsidR="00523A0A" w:rsidRPr="001973D0" w:rsidRDefault="00523A0A" w:rsidP="00523A0A">
      <w:pPr>
        <w:pStyle w:val="BodyText"/>
        <w:numPr>
          <w:ilvl w:val="0"/>
          <w:numId w:val="66"/>
        </w:numPr>
        <w:tabs>
          <w:tab w:val="left" w:pos="1242"/>
        </w:tabs>
        <w:spacing w:before="0"/>
        <w:ind w:left="709" w:hanging="709"/>
        <w:jc w:val="both"/>
        <w:rPr>
          <w:rFonts w:ascii="Times New Roman" w:hAnsi="Times New Roman"/>
          <w:noProof/>
          <w:sz w:val="24"/>
        </w:rPr>
      </w:pPr>
      <w:r>
        <w:rPr>
          <w:rFonts w:ascii="Times New Roman" w:hAnsi="Times New Roman"/>
          <w:noProof/>
          <w:sz w:val="24"/>
        </w:rPr>
        <w:t>Ir konstatēts, ka dažas VCB veic ievērojamus maksājumus</w:t>
      </w:r>
      <w:r w:rsidR="003A54F7">
        <w:rPr>
          <w:rFonts w:ascii="Times New Roman" w:hAnsi="Times New Roman"/>
          <w:noProof/>
          <w:sz w:val="24"/>
        </w:rPr>
        <w:t xml:space="preserve"> valdībai. Ja šādus maksājumus ieraksta</w:t>
      </w:r>
      <w:r>
        <w:rPr>
          <w:rFonts w:ascii="Times New Roman" w:hAnsi="Times New Roman"/>
          <w:noProof/>
          <w:sz w:val="24"/>
        </w:rPr>
        <w:t xml:space="preserve"> kā nefinanšu darījumus, tie samazina valdības neto aizdevumu/aizņēmumu (B.9). Ne vienmēr ir viegli noteikt, vai šādi maksājumi ir finanšu darījumi vai tomēr nefinanšu darījumi, jo valdība zināmā mērā ir valsts centrālās bankas īpašniece un var to ietekmēt, uzdodot veikt darījumus, lai samazinātu valdības neto aizdevumu/aizņēmumu (B.9). Galvenā problēma ir noteikt, vai valdības ieņēmumi no VCB, kurus apzīmē kā dividend</w:t>
      </w:r>
      <w:r w:rsidR="003A54F7">
        <w:rPr>
          <w:rFonts w:ascii="Times New Roman" w:hAnsi="Times New Roman"/>
          <w:noProof/>
          <w:sz w:val="24"/>
        </w:rPr>
        <w:t>es vai nodokļus, būtu jāieraksta</w:t>
      </w:r>
      <w:r>
        <w:rPr>
          <w:rFonts w:ascii="Times New Roman" w:hAnsi="Times New Roman"/>
          <w:noProof/>
          <w:sz w:val="24"/>
        </w:rPr>
        <w:t xml:space="preserve"> nacionālajos kontos kā pašu kapitāla izņemšana, jo tas labāk atspoguļo ekonomisko realitāti (taču nesamazina valdības neto aizdevumu/aizņēmumu (B.9)).</w:t>
      </w:r>
    </w:p>
    <w:p w:rsidR="00523A0A" w:rsidRPr="001973D0" w:rsidRDefault="00523A0A" w:rsidP="00523A0A">
      <w:pPr>
        <w:pStyle w:val="BodyText"/>
        <w:numPr>
          <w:ilvl w:val="0"/>
          <w:numId w:val="66"/>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Šajā rokasgrāmatā nav aplūkots valdības atbalsts finanšu iestādēm smagu finanšu krīžu laikā, taču uz to attiecas atsevišķas </w:t>
      </w:r>
      <w:r>
        <w:rPr>
          <w:rFonts w:ascii="Times New Roman" w:hAnsi="Times New Roman"/>
          <w:i/>
          <w:noProof/>
          <w:sz w:val="24"/>
        </w:rPr>
        <w:t>Eurostat</w:t>
      </w:r>
      <w:r>
        <w:rPr>
          <w:rFonts w:ascii="Times New Roman" w:hAnsi="Times New Roman"/>
          <w:noProof/>
          <w:sz w:val="24"/>
        </w:rPr>
        <w:t xml:space="preserve"> izstrādātas vienošanās par uzskaiti. Citi finanšu atbalsta gadījumi, kad nav šādu krīžu un kurus dažkārt dēvē par “finanšu sanāciju”, ir apspriesti IV.5. nodaļā.</w:t>
      </w:r>
    </w:p>
    <w:p w:rsidR="00523A0A" w:rsidRDefault="00523A0A" w:rsidP="00523A0A">
      <w:pPr>
        <w:rPr>
          <w:rFonts w:ascii="Times New Roman" w:eastAsia="Arial" w:hAnsi="Times New Roman" w:cs="Arial"/>
          <w:noProof/>
          <w:sz w:val="24"/>
          <w:szCs w:val="20"/>
        </w:rPr>
      </w:pPr>
      <w:r>
        <w:br w:type="page"/>
      </w:r>
    </w:p>
    <w:p w:rsidR="00523A0A" w:rsidRDefault="00523A0A" w:rsidP="00091195">
      <w:pPr>
        <w:pStyle w:val="Heading2"/>
        <w:rPr>
          <w:noProof/>
        </w:rPr>
      </w:pPr>
      <w:bookmarkStart w:id="266" w:name="IV.2_Payments_between_the_central_bank_a"/>
      <w:bookmarkStart w:id="267" w:name="_bookmark32"/>
      <w:bookmarkStart w:id="268" w:name="_Toc471135898"/>
      <w:bookmarkEnd w:id="266"/>
      <w:bookmarkEnd w:id="267"/>
      <w:r>
        <w:rPr>
          <w:noProof/>
        </w:rPr>
        <w:lastRenderedPageBreak/>
        <w:t xml:space="preserve">IV.2. Maksājumi starp </w:t>
      </w:r>
      <w:r w:rsidRPr="00091195">
        <w:t>centrālo</w:t>
      </w:r>
      <w:r>
        <w:rPr>
          <w:noProof/>
        </w:rPr>
        <w:t xml:space="preserve"> banku un valdību</w:t>
      </w:r>
      <w:bookmarkEnd w:id="268"/>
    </w:p>
    <w:p w:rsidR="00523A0A" w:rsidRPr="001973D0" w:rsidRDefault="00523A0A" w:rsidP="00523A0A">
      <w:pPr>
        <w:pStyle w:val="Heading2"/>
        <w:tabs>
          <w:tab w:val="left" w:pos="1602"/>
        </w:tabs>
        <w:jc w:val="both"/>
        <w:rPr>
          <w:noProof/>
          <w:sz w:val="24"/>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269" w:name="IV.2.1_Background"/>
      <w:bookmarkEnd w:id="269"/>
      <w:r>
        <w:rPr>
          <w:rFonts w:ascii="Times New Roman" w:hAnsi="Times New Roman"/>
          <w:noProof/>
          <w:u w:val="none"/>
        </w:rPr>
        <w:t>IV.2.1. </w:t>
      </w:r>
      <w:r>
        <w:rPr>
          <w:rFonts w:ascii="Times New Roman" w:hAnsi="Times New Roman"/>
          <w:noProof/>
          <w:u w:val="thick" w:color="000000"/>
        </w:rPr>
        <w:t>Vispārēja informācija</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Aktīvu portfeļu pārvaldība un intervence ārvalstu valūtu tirgos ar nolūku īstenot monetārās politikas mērķus var radīt centrālajām bankām kapitāla pieaugumu, ko var izmaksāt vispārējai valdībai galvenokārt dividenžu veidā. Iesaistītās summas dažkārt var būt ļoti lielas.</w:t>
      </w: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Kapitāla pieaugumu nacionālajos kontos neuzskata par ienākumiem, un attiecīgi no kapitāla pieauguma finansētus mak</w:t>
      </w:r>
      <w:r w:rsidR="001270D7">
        <w:rPr>
          <w:rFonts w:ascii="Times New Roman" w:hAnsi="Times New Roman"/>
          <w:noProof/>
          <w:sz w:val="24"/>
        </w:rPr>
        <w:t>sājumus valdībai nevar ierakstīt</w:t>
      </w:r>
      <w:r>
        <w:rPr>
          <w:rFonts w:ascii="Times New Roman" w:hAnsi="Times New Roman"/>
          <w:noProof/>
          <w:sz w:val="24"/>
        </w:rPr>
        <w:t xml:space="preserve"> kā īpašuma ienākumus. Šajā nodaļā ir izklāstīts, kā nepieļaut to, ka no centrālās bankas gūtais </w:t>
      </w:r>
      <w:r w:rsidR="001270D7">
        <w:rPr>
          <w:rFonts w:ascii="Times New Roman" w:hAnsi="Times New Roman"/>
          <w:noProof/>
          <w:sz w:val="24"/>
        </w:rPr>
        <w:t>kapitāla pieaugums tiek ierakstīts</w:t>
      </w:r>
      <w:r>
        <w:rPr>
          <w:rFonts w:ascii="Times New Roman" w:hAnsi="Times New Roman"/>
          <w:noProof/>
          <w:sz w:val="24"/>
        </w:rPr>
        <w:t xml:space="preserve"> valdības kontos kā īpašuma ienākumi. Šeit ir arī ierosināts piemērot noteikumus par kapitāla iepludināšanu, kad valdība veic maksājumu centrālajai bankai. Valdība šādus maksājumus var veikt, lai segtu centrālajai bankai radušos zaudējumus. Kapitāla zaudējumi var rasties ārvalstu valūtu turēšanas zaudējumu dēļ. Pamatdarbības zaudējumi var rasties tādēļ, ka procenti un citi pamatdarbības ienākumi nesedz centrālās bankas pamatdarbības izmaksas.</w:t>
      </w:r>
      <w:r>
        <w:rPr>
          <w:rStyle w:val="FootnoteReference"/>
          <w:rFonts w:ascii="Times New Roman" w:hAnsi="Times New Roman"/>
          <w:noProof/>
          <w:sz w:val="24"/>
        </w:rPr>
        <w:footnoteReference w:id="182"/>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270" w:name="IV.2.2_Treatment_in_national_accounts"/>
      <w:bookmarkEnd w:id="270"/>
      <w:r>
        <w:rPr>
          <w:rFonts w:ascii="Times New Roman" w:hAnsi="Times New Roman"/>
          <w:noProof/>
          <w:u w:val="none"/>
        </w:rPr>
        <w:t>IV.2.2. </w:t>
      </w:r>
      <w:r>
        <w:rPr>
          <w:rFonts w:ascii="Times New Roman" w:hAnsi="Times New Roman"/>
          <w:noProof/>
          <w:u w:val="thick" w:color="000000"/>
        </w:rPr>
        <w:t>Traktējums nacionālajos kontos</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Nacionālajos kontos kapitāla pieaugums ir jāizslēdz no centrālās bankas sadalāmajiem ienākumiem, kas līdz ar to galvenokārt izriet no neto procentu ieņēmumiem (no ārvalstu valūtas, banku sistēmā veiktajām naudas operācijām un citiem aktīviem un saistībām), no vienas puses, un centrālo banku darbības izmaksām, no otras puses. Tāpat ieņēmumi dažādās proporcionālās daļās var būt gūti arī no noteiktu pakalpojumu pārdošanas (tostarp valdībai). Šajā saistībā var piemērot praktisku metodi, izmantojot vispārēju pieejamo informāciju par centrālās bankas peļņu, zaudējumiem un maksājumiem starp centrālo banku un valdību. Tās pamatā ir divu šādu summu salīdzināšana:</w:t>
      </w:r>
    </w:p>
    <w:p w:rsidR="00523A0A" w:rsidRPr="001973D0" w:rsidRDefault="00523A0A" w:rsidP="00523A0A">
      <w:pPr>
        <w:pStyle w:val="BodyText"/>
        <w:tabs>
          <w:tab w:val="left" w:pos="1242"/>
        </w:tabs>
        <w:spacing w:before="0"/>
        <w:ind w:left="0" w:firstLine="0"/>
        <w:rPr>
          <w:rFonts w:ascii="Times New Roman" w:hAnsi="Times New Roman"/>
          <w:noProof/>
          <w:sz w:val="24"/>
        </w:rPr>
      </w:pPr>
    </w:p>
    <w:p w:rsidR="00523A0A" w:rsidRPr="001973D0" w:rsidRDefault="00523A0A" w:rsidP="00523A0A">
      <w:pPr>
        <w:pStyle w:val="BodyText"/>
        <w:numPr>
          <w:ilvl w:val="1"/>
          <w:numId w:val="65"/>
        </w:numPr>
        <w:tabs>
          <w:tab w:val="left" w:pos="1596"/>
        </w:tabs>
        <w:spacing w:before="0"/>
        <w:ind w:left="1134" w:hanging="425"/>
        <w:jc w:val="both"/>
        <w:rPr>
          <w:rFonts w:ascii="Times New Roman" w:hAnsi="Times New Roman"/>
          <w:noProof/>
          <w:sz w:val="24"/>
        </w:rPr>
      </w:pPr>
      <w:r>
        <w:rPr>
          <w:rFonts w:ascii="Times New Roman" w:hAnsi="Times New Roman"/>
          <w:noProof/>
          <w:sz w:val="24"/>
        </w:rPr>
        <w:t>pamatdarbības peļņas/zaudējumu summa – šī summa ir vienāda ar VCB kopējo peļņu/zaudējumiem pirms sadales, atņemot kopējā peļņā/zaudējumos iekļauto kapitāla pieaugumu/zaudējumus. Tādējādi tā ir vienāda ar neto procentu ienākumu un citiem pamatdarbības ienākumiem, no kuriem atņem pamatdarbības izmaksas, piemēram, personāla izmaksas;</w:t>
      </w:r>
    </w:p>
    <w:p w:rsidR="00523A0A" w:rsidRDefault="00523A0A" w:rsidP="00523A0A">
      <w:pPr>
        <w:pStyle w:val="BodyText"/>
        <w:numPr>
          <w:ilvl w:val="1"/>
          <w:numId w:val="65"/>
        </w:numPr>
        <w:tabs>
          <w:tab w:val="left" w:pos="1600"/>
        </w:tabs>
        <w:spacing w:before="0"/>
        <w:ind w:left="1134" w:hanging="425"/>
        <w:jc w:val="both"/>
        <w:rPr>
          <w:rFonts w:ascii="Times New Roman" w:hAnsi="Times New Roman"/>
          <w:noProof/>
          <w:sz w:val="24"/>
        </w:rPr>
      </w:pPr>
      <w:r>
        <w:rPr>
          <w:rFonts w:ascii="Times New Roman" w:hAnsi="Times New Roman"/>
          <w:noProof/>
          <w:sz w:val="24"/>
        </w:rPr>
        <w:t>summa, kas izmaksāta vispārējai valdībai kā daļa no sadalītās peļņas.</w:t>
      </w:r>
    </w:p>
    <w:p w:rsidR="00523A0A" w:rsidRPr="001973D0" w:rsidRDefault="00523A0A" w:rsidP="00523A0A">
      <w:pPr>
        <w:pStyle w:val="BodyText"/>
        <w:tabs>
          <w:tab w:val="left" w:pos="1600"/>
        </w:tabs>
        <w:spacing w:before="0"/>
        <w:ind w:left="0" w:firstLine="0"/>
        <w:rPr>
          <w:rFonts w:ascii="Times New Roman" w:hAnsi="Times New Roman"/>
          <w:noProof/>
          <w:sz w:val="24"/>
        </w:rPr>
      </w:pPr>
    </w:p>
    <w:p w:rsidR="00523A0A" w:rsidRPr="00B244D8"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Centrālajām bankām, kuras piemēro Eirosistēmas uzskaites noteikumus (tostarp daudzām ES dalībvalstīm, kas neietilpst eirozonā), postenis “Finanšu operāciju, norakstījumu un riska uzkrājumu neto rezultāts” (Pamatnostādnes ECB/2010/20 IX pielikumā iekļautā peļņas un zaudējumu pārskata 2.1., 2.2. un 2.3. postenis) ir jāatņem no gada kopējās peļņas/zaudējumiem, tādējādi iegūstot pamatdarbības peļņu/zaudējumus. Finanšu operāciju neto rezultāts ietver realizētos turēšanas guvumus/zaudējumus, kas izriet no finanšu operācijām, kā arī nerealizētos turēšanas zaudējumus (ko dēvē par “norakstījumiem”) un pārskaitījumus uz valūtas kursa un procentu likmes riska uzkrājumu un pārskaitījumus no tā. Lai pamatdarbības </w:t>
      </w:r>
      <w:r>
        <w:rPr>
          <w:rFonts w:ascii="Times New Roman" w:hAnsi="Times New Roman"/>
          <w:noProof/>
          <w:sz w:val="24"/>
        </w:rPr>
        <w:lastRenderedPageBreak/>
        <w:t>peļņas/zaudējumu aprēķins ES dalībvalstīs būtu saskaņots, nerealizētos guvumus no finanšu aktīviem, kas ir daļa no kopējās peļņas, kuru ir guvušas Eirosistēmā neietilpstošas centrālās bankas, vajadzētu atskaitīt no kopējās peļņas kopā ar jebkādiem realizētajiem turēšanas guvumiem un (ne)realizētajiem zaudējumiem, kas iekļauti kopējā peļņā.</w:t>
      </w:r>
    </w:p>
    <w:p w:rsidR="00523A0A"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Piemēro turpmākos noteikumus.</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0"/>
          <w:numId w:val="64"/>
        </w:numPr>
        <w:tabs>
          <w:tab w:val="left" w:pos="1512"/>
        </w:tabs>
        <w:spacing w:before="0"/>
        <w:ind w:left="1134" w:hanging="425"/>
        <w:jc w:val="both"/>
        <w:rPr>
          <w:rFonts w:ascii="Times New Roman" w:hAnsi="Times New Roman"/>
          <w:noProof/>
          <w:sz w:val="24"/>
        </w:rPr>
      </w:pPr>
      <w:r>
        <w:rPr>
          <w:rFonts w:ascii="Times New Roman" w:hAnsi="Times New Roman"/>
          <w:noProof/>
          <w:sz w:val="24"/>
        </w:rPr>
        <w:t xml:space="preserve">Ja maksājums valdībai (B) ir vienāds ar pamatdarbības peļņu (A), visu </w:t>
      </w:r>
      <w:r w:rsidR="001270D7">
        <w:rPr>
          <w:rFonts w:ascii="Times New Roman" w:hAnsi="Times New Roman"/>
          <w:noProof/>
          <w:sz w:val="24"/>
        </w:rPr>
        <w:t>maksājumu valdībai (B) ieraksta</w:t>
      </w:r>
      <w:r>
        <w:rPr>
          <w:rFonts w:ascii="Times New Roman" w:hAnsi="Times New Roman"/>
          <w:noProof/>
          <w:sz w:val="24"/>
        </w:rPr>
        <w:t xml:space="preserve"> kā īpašuma ienākumu (D.4) valdības kontos.</w:t>
      </w:r>
    </w:p>
    <w:p w:rsidR="00523A0A" w:rsidRPr="001973D0" w:rsidRDefault="00523A0A" w:rsidP="00523A0A">
      <w:pPr>
        <w:pStyle w:val="BodyText"/>
        <w:numPr>
          <w:ilvl w:val="0"/>
          <w:numId w:val="64"/>
        </w:numPr>
        <w:tabs>
          <w:tab w:val="left" w:pos="1512"/>
        </w:tabs>
        <w:spacing w:before="0"/>
        <w:ind w:left="1134" w:hanging="425"/>
        <w:jc w:val="both"/>
        <w:rPr>
          <w:rFonts w:ascii="Times New Roman" w:hAnsi="Times New Roman"/>
          <w:noProof/>
          <w:sz w:val="24"/>
        </w:rPr>
      </w:pPr>
      <w:r>
        <w:rPr>
          <w:rFonts w:ascii="Times New Roman" w:hAnsi="Times New Roman"/>
          <w:noProof/>
          <w:sz w:val="24"/>
        </w:rPr>
        <w:t>Ja maksājums valdībai (B) ir mazāks par pamatdarbības peļņu (A), visu maks</w:t>
      </w:r>
      <w:r w:rsidR="001270D7">
        <w:rPr>
          <w:rFonts w:ascii="Times New Roman" w:hAnsi="Times New Roman"/>
          <w:noProof/>
          <w:sz w:val="24"/>
        </w:rPr>
        <w:t>ājumu valdībai (B) arī ieraksta</w:t>
      </w:r>
      <w:r>
        <w:rPr>
          <w:rFonts w:ascii="Times New Roman" w:hAnsi="Times New Roman"/>
          <w:noProof/>
          <w:sz w:val="24"/>
        </w:rPr>
        <w:t xml:space="preserve"> kā īpašuma ienākumu valdības kontos. Tas attiecas uz visiem gadījumiem, kuros maksājums valdībai (B) ir mazāks par pamatdarbības peļņu (A) saistībā ar kapitāla zaudējumu vai arī iekļaušanu centrālās bankas rezervēs.</w:t>
      </w:r>
    </w:p>
    <w:p w:rsidR="00523A0A" w:rsidRPr="001973D0" w:rsidRDefault="00523A0A" w:rsidP="00523A0A">
      <w:pPr>
        <w:pStyle w:val="BodyText"/>
        <w:numPr>
          <w:ilvl w:val="0"/>
          <w:numId w:val="64"/>
        </w:numPr>
        <w:tabs>
          <w:tab w:val="left" w:pos="1512"/>
        </w:tabs>
        <w:spacing w:before="0"/>
        <w:ind w:left="1134" w:hanging="425"/>
        <w:jc w:val="both"/>
        <w:rPr>
          <w:rFonts w:ascii="Times New Roman" w:hAnsi="Times New Roman"/>
          <w:noProof/>
          <w:sz w:val="24"/>
        </w:rPr>
      </w:pPr>
      <w:r>
        <w:rPr>
          <w:rFonts w:ascii="Times New Roman" w:hAnsi="Times New Roman"/>
          <w:noProof/>
          <w:sz w:val="24"/>
        </w:rPr>
        <w:t>Ja maksājums valdībai netiek veikts, valdības kon</w:t>
      </w:r>
      <w:r w:rsidR="001270D7">
        <w:rPr>
          <w:rFonts w:ascii="Times New Roman" w:hAnsi="Times New Roman"/>
          <w:noProof/>
          <w:sz w:val="24"/>
        </w:rPr>
        <w:t>tos īpašuma ienākumus neieraksta</w:t>
      </w:r>
      <w:r>
        <w:rPr>
          <w:rFonts w:ascii="Times New Roman" w:hAnsi="Times New Roman"/>
          <w:noProof/>
          <w:sz w:val="24"/>
        </w:rPr>
        <w:t>.</w:t>
      </w:r>
    </w:p>
    <w:p w:rsidR="00523A0A" w:rsidRPr="001973D0" w:rsidRDefault="00523A0A" w:rsidP="00523A0A">
      <w:pPr>
        <w:pStyle w:val="BodyText"/>
        <w:numPr>
          <w:ilvl w:val="0"/>
          <w:numId w:val="64"/>
        </w:numPr>
        <w:tabs>
          <w:tab w:val="left" w:pos="1512"/>
        </w:tabs>
        <w:spacing w:before="0"/>
        <w:ind w:left="1134" w:hanging="425"/>
        <w:jc w:val="both"/>
        <w:rPr>
          <w:rFonts w:ascii="Times New Roman" w:hAnsi="Times New Roman"/>
          <w:noProof/>
          <w:sz w:val="24"/>
        </w:rPr>
      </w:pPr>
      <w:r>
        <w:rPr>
          <w:rFonts w:ascii="Times New Roman" w:hAnsi="Times New Roman"/>
          <w:noProof/>
          <w:sz w:val="24"/>
        </w:rPr>
        <w:t>Ja maksājums valdībai (B) ir lielāks par pamatdarbības peļņu (A), summu,</w:t>
      </w:r>
      <w:r w:rsidR="001270D7">
        <w:rPr>
          <w:rFonts w:ascii="Times New Roman" w:hAnsi="Times New Roman"/>
          <w:noProof/>
          <w:sz w:val="24"/>
        </w:rPr>
        <w:t xml:space="preserve"> kas ir vienāda ar (A), ieraksta</w:t>
      </w:r>
      <w:r>
        <w:rPr>
          <w:rFonts w:ascii="Times New Roman" w:hAnsi="Times New Roman"/>
          <w:noProof/>
          <w:sz w:val="24"/>
        </w:rPr>
        <w:t xml:space="preserve"> kā īpašuma ienākumu. Starpību</w:t>
      </w:r>
      <w:r w:rsidR="001270D7">
        <w:rPr>
          <w:rFonts w:ascii="Times New Roman" w:hAnsi="Times New Roman"/>
          <w:noProof/>
          <w:sz w:val="24"/>
        </w:rPr>
        <w:t xml:space="preserve"> starp (B) un (A) ieraksta</w:t>
      </w:r>
      <w:r>
        <w:rPr>
          <w:rFonts w:ascii="Times New Roman" w:hAnsi="Times New Roman"/>
          <w:noProof/>
          <w:sz w:val="24"/>
        </w:rPr>
        <w:t xml:space="preserve"> kā valdības veiktu pašu kapitāla izņemšanu.</w:t>
      </w:r>
    </w:p>
    <w:p w:rsidR="00523A0A" w:rsidRDefault="00523A0A" w:rsidP="00523A0A">
      <w:pPr>
        <w:pStyle w:val="BodyText"/>
        <w:numPr>
          <w:ilvl w:val="0"/>
          <w:numId w:val="64"/>
        </w:numPr>
        <w:tabs>
          <w:tab w:val="left" w:pos="1512"/>
        </w:tabs>
        <w:spacing w:before="0"/>
        <w:ind w:left="1134" w:hanging="425"/>
        <w:jc w:val="both"/>
        <w:rPr>
          <w:rFonts w:ascii="Times New Roman" w:hAnsi="Times New Roman"/>
          <w:noProof/>
          <w:sz w:val="24"/>
        </w:rPr>
      </w:pPr>
      <w:r>
        <w:rPr>
          <w:rFonts w:ascii="Times New Roman" w:hAnsi="Times New Roman"/>
          <w:noProof/>
          <w:sz w:val="24"/>
        </w:rPr>
        <w:t>Ja pamatdarbības peļņa (A) ir nulle vai ja ir pamatdarbības zau</w:t>
      </w:r>
      <w:r w:rsidR="001270D7">
        <w:rPr>
          <w:rFonts w:ascii="Times New Roman" w:hAnsi="Times New Roman"/>
          <w:noProof/>
          <w:sz w:val="24"/>
        </w:rPr>
        <w:t>dējumi, nevienu summu neieraksta</w:t>
      </w:r>
      <w:r>
        <w:rPr>
          <w:rFonts w:ascii="Times New Roman" w:hAnsi="Times New Roman"/>
          <w:noProof/>
          <w:sz w:val="24"/>
        </w:rPr>
        <w:t xml:space="preserve"> kā īpašuma ienākumu</w:t>
      </w:r>
      <w:r w:rsidR="001270D7">
        <w:rPr>
          <w:rFonts w:ascii="Times New Roman" w:hAnsi="Times New Roman"/>
          <w:noProof/>
          <w:sz w:val="24"/>
        </w:rPr>
        <w:t>s un visu maksājumu (B) ieraksta</w:t>
      </w:r>
      <w:r>
        <w:rPr>
          <w:rFonts w:ascii="Times New Roman" w:hAnsi="Times New Roman"/>
          <w:noProof/>
          <w:sz w:val="24"/>
        </w:rPr>
        <w:t xml:space="preserve"> kā valdības īstenotu pašu kapitāla izņemšanu (F.5).</w:t>
      </w:r>
    </w:p>
    <w:p w:rsidR="00523A0A" w:rsidRPr="001973D0" w:rsidRDefault="00523A0A" w:rsidP="00523A0A">
      <w:pPr>
        <w:pStyle w:val="BodyText"/>
        <w:tabs>
          <w:tab w:val="left" w:pos="151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Šie noteikumi attiecas uz maksājumiem, kurus valdība saņem kā centrālās bankas akcionāre. Regulāros uzņēmuma peļņas nodokļus (kurus iekasē arī no citu sabiedrības peļņas), ko centrāl</w:t>
      </w:r>
      <w:r w:rsidR="001270D7">
        <w:rPr>
          <w:rFonts w:ascii="Times New Roman" w:hAnsi="Times New Roman"/>
          <w:noProof/>
          <w:sz w:val="24"/>
        </w:rPr>
        <w:t>ā banka maksā valdībai, ieraksta</w:t>
      </w:r>
      <w:r>
        <w:rPr>
          <w:rFonts w:ascii="Times New Roman" w:hAnsi="Times New Roman"/>
          <w:noProof/>
          <w:sz w:val="24"/>
        </w:rPr>
        <w:t xml:space="preserve"> kā kārtējo ienākuma un mantas nodokli.</w:t>
      </w: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Ja valdība nav vienīgais centrālās bankas peļņas saņēmējs un peļņu sadala vairākiem īpašniekiem, šeit IV.2.2. apakšiedaļā izklāstītos noteikumus izmanto, lai noteiktu, kāda kopējās sadal</w:t>
      </w:r>
      <w:r w:rsidR="001270D7">
        <w:rPr>
          <w:rFonts w:ascii="Times New Roman" w:hAnsi="Times New Roman"/>
          <w:noProof/>
          <w:sz w:val="24"/>
        </w:rPr>
        <w:t>āmās peļņas daļa būtu jāieraksta</w:t>
      </w:r>
      <w:r>
        <w:rPr>
          <w:rFonts w:ascii="Times New Roman" w:hAnsi="Times New Roman"/>
          <w:noProof/>
          <w:sz w:val="24"/>
        </w:rPr>
        <w:t xml:space="preserve"> kā īpašuma ienākums, kuru centrālā banka maksā visiem īpašniekiem, </w:t>
      </w:r>
      <w:r w:rsidR="001270D7">
        <w:rPr>
          <w:rFonts w:ascii="Times New Roman" w:hAnsi="Times New Roman"/>
          <w:noProof/>
          <w:sz w:val="24"/>
        </w:rPr>
        <w:t>un kāda tās daļa būtu jāieraksta</w:t>
      </w:r>
      <w:r>
        <w:rPr>
          <w:rFonts w:ascii="Times New Roman" w:hAnsi="Times New Roman"/>
          <w:noProof/>
          <w:sz w:val="24"/>
        </w:rPr>
        <w:t xml:space="preserve"> kā visu īpašnieku veikta kapitāla izņemšana. Ja valdība saņem daļu no sadalāmās peļņas, tad tādu pašu kopējā īpa</w:t>
      </w:r>
      <w:r w:rsidR="001270D7">
        <w:rPr>
          <w:rFonts w:ascii="Times New Roman" w:hAnsi="Times New Roman"/>
          <w:noProof/>
          <w:sz w:val="24"/>
        </w:rPr>
        <w:t>šuma ienākuma daļu var ierakstīt</w:t>
      </w:r>
      <w:r>
        <w:rPr>
          <w:rFonts w:ascii="Times New Roman" w:hAnsi="Times New Roman"/>
          <w:noProof/>
          <w:sz w:val="24"/>
        </w:rPr>
        <w:t xml:space="preserve"> valdības kontos kā īpašuma ienākumu un tāda pati no pašu kapitāla izņem</w:t>
      </w:r>
      <w:r w:rsidR="001270D7">
        <w:rPr>
          <w:rFonts w:ascii="Times New Roman" w:hAnsi="Times New Roman"/>
          <w:noProof/>
          <w:sz w:val="24"/>
        </w:rPr>
        <w:t>tās kopsummas daļa ir jāieraksta</w:t>
      </w:r>
      <w:r>
        <w:rPr>
          <w:rFonts w:ascii="Times New Roman" w:hAnsi="Times New Roman"/>
          <w:noProof/>
          <w:sz w:val="24"/>
        </w:rPr>
        <w:t xml:space="preserve"> valdības kontos kā valdības veikta pašu kapitāla izņemšana.</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271" w:name="IV.2.3_Rationale_of_the_treatment"/>
      <w:bookmarkEnd w:id="271"/>
      <w:r>
        <w:rPr>
          <w:rFonts w:ascii="Times New Roman" w:hAnsi="Times New Roman"/>
          <w:noProof/>
          <w:u w:val="none"/>
        </w:rPr>
        <w:t>IV.2.3.</w:t>
      </w:r>
      <w:r>
        <w:rPr>
          <w:rFonts w:ascii="Times New Roman" w:hAnsi="Times New Roman"/>
          <w:noProof/>
          <w:u w:val="thick" w:color="000000"/>
        </w:rPr>
        <w:t> Traktējuma pamatojums</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B244D8"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Turēšanas guvumi un zaudējumi rodas aktīvu cenu pārmaiņu dēļ. Tie nav ražošanas vai ražošanas ienākuma sadalī</w:t>
      </w:r>
      <w:r w:rsidR="001270D7">
        <w:rPr>
          <w:rFonts w:ascii="Times New Roman" w:hAnsi="Times New Roman"/>
          <w:noProof/>
          <w:sz w:val="24"/>
        </w:rPr>
        <w:t>šanas rezultāts, un tos ieraksta</w:t>
      </w:r>
      <w:r>
        <w:rPr>
          <w:rFonts w:ascii="Times New Roman" w:hAnsi="Times New Roman"/>
          <w:noProof/>
          <w:sz w:val="24"/>
        </w:rPr>
        <w:t xml:space="preserve"> kontā “Citas aktīvu pārmaiņas”, proti, kā aktīvu un saistību vērtības pārmaiņas (sk. EKS 2010 1.80. un 1.81. punktu). Tā kā turēšanas guvumi nav sadal</w:t>
      </w:r>
      <w:r w:rsidR="001270D7">
        <w:rPr>
          <w:rFonts w:ascii="Times New Roman" w:hAnsi="Times New Roman"/>
          <w:noProof/>
          <w:sz w:val="24"/>
        </w:rPr>
        <w:t>es darījumi, tos nevar ierakstīt</w:t>
      </w:r>
      <w:r>
        <w:rPr>
          <w:rFonts w:ascii="Times New Roman" w:hAnsi="Times New Roman"/>
          <w:noProof/>
          <w:sz w:val="24"/>
        </w:rPr>
        <w:t xml:space="preserve"> kā īpašuma ienākumu (sk. EKS 2010 4.01. punktu). Centrālo banku kapitāla pieaugums, kas norādīts privātajā grāmatvedībā, konceptuāli neatšķiras no turēšanas guvumiem tādā izpratnē, kāda tiek pieņemta nacionālajos kontos – vienīgā atšķi</w:t>
      </w:r>
      <w:r w:rsidR="001270D7">
        <w:rPr>
          <w:rFonts w:ascii="Times New Roman" w:hAnsi="Times New Roman"/>
          <w:noProof/>
          <w:sz w:val="24"/>
        </w:rPr>
        <w:t>rība ir to aprēķināšanas veids.</w:t>
      </w:r>
      <w:r>
        <w:rPr>
          <w:rFonts w:ascii="Times New Roman" w:hAnsi="Times New Roman"/>
          <w:noProof/>
          <w:sz w:val="24"/>
        </w:rPr>
        <w:t xml:space="preserve"> Piemēram, Eirosistēmā ietilpstošo centrālo banku grāmatvedībā kopējā peļņā kā kapitāla pieaugums/zaudējumi tiek iekļauti realizētie turēšanas guvumi, kā arī realizētie un nerealizētie turēšanas zaudējumi. Dažas Eirosistēmā neietilpstošas centrālās bankas savā kopējā peļņā var iekļaut arī nerealizētos turēšanas guvumus.</w:t>
      </w:r>
      <w:r>
        <w:rPr>
          <w:rStyle w:val="FootnoteReference"/>
          <w:rFonts w:ascii="Times New Roman" w:hAnsi="Times New Roman"/>
          <w:noProof/>
          <w:sz w:val="24"/>
        </w:rPr>
        <w:footnoteReference w:id="183"/>
      </w:r>
      <w:r>
        <w:rPr>
          <w:rFonts w:ascii="Times New Roman" w:hAnsi="Times New Roman"/>
          <w:noProof/>
          <w:sz w:val="24"/>
        </w:rPr>
        <w:t xml:space="preserve"> Kapitāla ienākumi </w:t>
      </w:r>
      <w:r>
        <w:rPr>
          <w:rFonts w:ascii="Times New Roman" w:hAnsi="Times New Roman"/>
          <w:noProof/>
          <w:sz w:val="24"/>
        </w:rPr>
        <w:lastRenderedPageBreak/>
        <w:t>nav daļa no ienākuma neatkarīgi no to aprēķināšanas metodes.</w:t>
      </w: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Ja kapitāla zaudējumu dēļ centrālās bankas maksājums valdībai (B) ir mazāks par pamatdarbības peļņu (A), kopējo maksājumu (B</w:t>
      </w:r>
      <w:r w:rsidR="001270D7">
        <w:rPr>
          <w:rFonts w:ascii="Times New Roman" w:hAnsi="Times New Roman"/>
          <w:noProof/>
          <w:sz w:val="24"/>
        </w:rPr>
        <w:t>) ieraksta</w:t>
      </w:r>
      <w:r>
        <w:rPr>
          <w:rFonts w:ascii="Times New Roman" w:hAnsi="Times New Roman"/>
          <w:noProof/>
          <w:sz w:val="24"/>
        </w:rPr>
        <w:t xml:space="preserve"> kā īpašuma ienākumu (sk. 2. noteikumu iepriekšējās IV.2.2. apakšiedaļas 5. punktā). Šād</w:t>
      </w:r>
      <w:r w:rsidR="001270D7">
        <w:rPr>
          <w:rFonts w:ascii="Times New Roman" w:hAnsi="Times New Roman"/>
          <w:noProof/>
          <w:sz w:val="24"/>
        </w:rPr>
        <w:t>ā gadījumā nav atļauts ierakstīt</w:t>
      </w:r>
      <w:r>
        <w:rPr>
          <w:rFonts w:ascii="Times New Roman" w:hAnsi="Times New Roman"/>
          <w:noProof/>
          <w:sz w:val="24"/>
        </w:rPr>
        <w:t xml:space="preserve"> summu (A) kā īpašuma ienākumus un starpību starp (B) un (A) kā valdības veiktu centrālās bankas pašu kapitāla iegādi. Tādējādi kapitāla pieauguma un zaudējumu traktējums zināmā mērā nav simetrisks. Šis jautājums ir izskatīts sīkāk 1. tabulā.</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Turpmāk 1. tabulā ir minēti šādi divi gadījumi:</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63"/>
        </w:numPr>
        <w:tabs>
          <w:tab w:val="left" w:pos="1602"/>
        </w:tabs>
        <w:spacing w:before="0"/>
        <w:ind w:left="1134" w:hanging="425"/>
        <w:jc w:val="both"/>
        <w:rPr>
          <w:rFonts w:ascii="Times New Roman" w:hAnsi="Times New Roman"/>
          <w:noProof/>
          <w:sz w:val="24"/>
        </w:rPr>
      </w:pPr>
      <w:r>
        <w:rPr>
          <w:rFonts w:ascii="Times New Roman" w:hAnsi="Times New Roman"/>
          <w:noProof/>
          <w:sz w:val="24"/>
        </w:rPr>
        <w:t>X gadījums – centrālā banka cieš kapitāla zaudējumus;</w:t>
      </w:r>
    </w:p>
    <w:p w:rsidR="00523A0A" w:rsidRPr="001973D0" w:rsidRDefault="00523A0A" w:rsidP="00523A0A">
      <w:pPr>
        <w:pStyle w:val="BodyText"/>
        <w:numPr>
          <w:ilvl w:val="0"/>
          <w:numId w:val="63"/>
        </w:numPr>
        <w:tabs>
          <w:tab w:val="left" w:pos="1602"/>
        </w:tabs>
        <w:spacing w:before="0"/>
        <w:ind w:left="1134" w:hanging="425"/>
        <w:jc w:val="both"/>
        <w:rPr>
          <w:rFonts w:ascii="Times New Roman" w:hAnsi="Times New Roman"/>
          <w:noProof/>
          <w:sz w:val="24"/>
        </w:rPr>
      </w:pPr>
      <w:r>
        <w:rPr>
          <w:rFonts w:ascii="Times New Roman" w:hAnsi="Times New Roman"/>
          <w:noProof/>
          <w:sz w:val="24"/>
        </w:rPr>
        <w:t>Y gadījums – centrālajai bankai ir kapitāla pieaugums.</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1. tabula. Centrālās bankas un valdības gada pārskati</w:t>
      </w:r>
    </w:p>
    <w:p w:rsidR="00523A0A" w:rsidRPr="001973D0" w:rsidRDefault="00523A0A" w:rsidP="00523A0A">
      <w:pPr>
        <w:jc w:val="both"/>
        <w:rPr>
          <w:rFonts w:ascii="Times New Roman" w:eastAsia="Arial" w:hAnsi="Times New Roman" w:cs="Arial"/>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5055"/>
        <w:gridCol w:w="1926"/>
        <w:gridCol w:w="2078"/>
      </w:tblGrid>
      <w:tr w:rsidR="00523A0A" w:rsidRPr="001973D0" w:rsidTr="00091195">
        <w:trPr>
          <w:trHeight w:hRule="exact" w:val="405"/>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1270D7" w:rsidP="00523A0A">
            <w:pPr>
              <w:pStyle w:val="TableParagraph"/>
              <w:jc w:val="both"/>
              <w:rPr>
                <w:rFonts w:ascii="Times New Roman" w:eastAsia="Calibri" w:hAnsi="Times New Roman" w:cs="Calibri"/>
                <w:b/>
                <w:bCs/>
                <w:noProof/>
                <w:sz w:val="24"/>
                <w:szCs w:val="18"/>
              </w:rPr>
            </w:pPr>
            <w:r>
              <w:rPr>
                <w:rFonts w:ascii="Times New Roman" w:hAnsi="Times New Roman"/>
                <w:b/>
                <w:noProof/>
                <w:sz w:val="24"/>
              </w:rPr>
              <w:t>Ierakstīšana</w:t>
            </w:r>
            <w:r w:rsidR="00523A0A">
              <w:rPr>
                <w:rFonts w:ascii="Times New Roman" w:hAnsi="Times New Roman"/>
                <w:b/>
                <w:noProof/>
                <w:sz w:val="24"/>
              </w:rPr>
              <w:t xml:space="preserve"> centrālās bankas grāmatvedībā</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b/>
                <w:noProof/>
                <w:sz w:val="24"/>
              </w:rPr>
            </w:pPr>
            <w:r>
              <w:rPr>
                <w:rFonts w:ascii="Times New Roman" w:hAnsi="Times New Roman"/>
                <w:b/>
                <w:noProof/>
                <w:sz w:val="24"/>
              </w:rPr>
              <w:t>X gadījums</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b/>
                <w:noProof/>
                <w:sz w:val="24"/>
              </w:rPr>
            </w:pPr>
            <w:r>
              <w:rPr>
                <w:rFonts w:ascii="Times New Roman" w:hAnsi="Times New Roman"/>
                <w:b/>
                <w:noProof/>
                <w:sz w:val="24"/>
              </w:rPr>
              <w:t>Y gadījums</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Pamatdarbības peļņa (a)</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100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100</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Kapitāla pieaugums/zaudējumi (d)</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-20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20</w:t>
            </w:r>
          </w:p>
        </w:tc>
      </w:tr>
      <w:tr w:rsidR="00523A0A" w:rsidRPr="001973D0" w:rsidTr="00091195">
        <w:trPr>
          <w:trHeight w:hRule="exact" w:val="341"/>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Kopējā peļņa (e) = (a) + (d)</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80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120</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Maksājums valdībai (b)</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80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120</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1270D7" w:rsidP="00523A0A">
            <w:pPr>
              <w:pStyle w:val="TableParagraph"/>
              <w:jc w:val="both"/>
              <w:rPr>
                <w:rFonts w:ascii="Times New Roman" w:hAnsi="Times New Roman"/>
                <w:b/>
                <w:noProof/>
                <w:sz w:val="24"/>
              </w:rPr>
            </w:pPr>
            <w:r>
              <w:rPr>
                <w:rFonts w:ascii="Times New Roman" w:hAnsi="Times New Roman"/>
                <w:b/>
                <w:noProof/>
                <w:sz w:val="24"/>
              </w:rPr>
              <w:t>Maksājuma ierakstīšana</w:t>
            </w:r>
            <w:r w:rsidR="00523A0A">
              <w:rPr>
                <w:rFonts w:ascii="Times New Roman" w:hAnsi="Times New Roman"/>
                <w:b/>
                <w:noProof/>
                <w:sz w:val="24"/>
              </w:rPr>
              <w:t xml:space="preserve"> valdības kontos</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b/>
                <w:noProof/>
                <w:sz w:val="24"/>
              </w:rPr>
            </w:pPr>
            <w:r>
              <w:rPr>
                <w:rFonts w:ascii="Times New Roman" w:hAnsi="Times New Roman"/>
                <w:b/>
                <w:noProof/>
                <w:sz w:val="24"/>
              </w:rPr>
              <w:t>X gadījums</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b/>
                <w:noProof/>
                <w:sz w:val="24"/>
              </w:rPr>
            </w:pPr>
            <w:r>
              <w:rPr>
                <w:rFonts w:ascii="Times New Roman" w:hAnsi="Times New Roman"/>
                <w:b/>
                <w:noProof/>
                <w:sz w:val="24"/>
              </w:rPr>
              <w:t>Y gadījums</w:t>
            </w:r>
          </w:p>
        </w:tc>
      </w:tr>
      <w:tr w:rsidR="00523A0A" w:rsidRPr="001973D0" w:rsidTr="00091195">
        <w:trPr>
          <w:trHeight w:hRule="exact" w:val="341"/>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D.4R Īpašuma ienākums</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80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100</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B.9 Neto aizdevums/aizņēmums</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80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100</w:t>
            </w: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F.2. Valūta un noguldījumi</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80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120</w:t>
            </w:r>
          </w:p>
        </w:tc>
      </w:tr>
      <w:tr w:rsidR="00523A0A" w:rsidRPr="001973D0" w:rsidTr="00091195">
        <w:trPr>
          <w:trHeight w:hRule="exact" w:val="341"/>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F.5. Pašu kapitāla iepludināšana</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jc w:val="center"/>
              <w:rPr>
                <w:rFonts w:ascii="Times New Roman" w:hAnsi="Times New Roman"/>
                <w:noProof/>
                <w:sz w:val="24"/>
              </w:rPr>
            </w:pPr>
          </w:p>
        </w:tc>
      </w:tr>
      <w:tr w:rsidR="00523A0A" w:rsidRPr="001973D0" w:rsidTr="00091195">
        <w:trPr>
          <w:trHeight w:hRule="exact" w:val="340"/>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F.5. Pašu kapitāla izņemšana</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jc w:val="center"/>
              <w:rPr>
                <w:rFonts w:ascii="Times New Roman" w:hAnsi="Times New Roman"/>
                <w:noProof/>
                <w:sz w:val="24"/>
              </w:rPr>
            </w:pP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-20</w:t>
            </w:r>
          </w:p>
        </w:tc>
      </w:tr>
      <w:tr w:rsidR="00523A0A" w:rsidRPr="001973D0" w:rsidTr="00091195">
        <w:trPr>
          <w:trHeight w:hRule="exact" w:val="341"/>
        </w:trPr>
        <w:tc>
          <w:tcPr>
            <w:tcW w:w="279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F.5. Pārvērtēšana</w:t>
            </w:r>
          </w:p>
        </w:tc>
        <w:tc>
          <w:tcPr>
            <w:tcW w:w="1063"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0</w:t>
            </w:r>
          </w:p>
        </w:tc>
        <w:tc>
          <w:tcPr>
            <w:tcW w:w="1147" w:type="pct"/>
            <w:tcBorders>
              <w:top w:val="single" w:sz="5" w:space="0" w:color="000000"/>
              <w:left w:val="single" w:sz="5" w:space="0" w:color="000000"/>
              <w:bottom w:val="single" w:sz="5" w:space="0" w:color="000000"/>
              <w:right w:val="single" w:sz="5" w:space="0" w:color="000000"/>
            </w:tcBorders>
          </w:tcPr>
          <w:p w:rsidR="00523A0A" w:rsidRPr="001973D0" w:rsidRDefault="00523A0A" w:rsidP="00091195">
            <w:pPr>
              <w:pStyle w:val="TableParagraph"/>
              <w:jc w:val="center"/>
              <w:rPr>
                <w:rFonts w:ascii="Times New Roman" w:hAnsi="Times New Roman"/>
                <w:noProof/>
                <w:sz w:val="24"/>
              </w:rPr>
            </w:pPr>
            <w:r>
              <w:rPr>
                <w:rFonts w:ascii="Times New Roman" w:hAnsi="Times New Roman"/>
                <w:noProof/>
                <w:sz w:val="24"/>
              </w:rPr>
              <w:t>20</w:t>
            </w:r>
          </w:p>
        </w:tc>
      </w:tr>
    </w:tbl>
    <w:p w:rsidR="00523A0A" w:rsidRPr="001973D0" w:rsidRDefault="00523A0A" w:rsidP="00523A0A">
      <w:pPr>
        <w:jc w:val="both"/>
        <w:rPr>
          <w:rFonts w:ascii="Times New Roman" w:eastAsia="Arial" w:hAnsi="Times New Roman" w:cs="Arial"/>
          <w:b/>
          <w:bCs/>
          <w:noProof/>
          <w:sz w:val="24"/>
          <w:szCs w:val="25"/>
        </w:rPr>
      </w:pP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Abos gadījumos kopējā peļņa tiek izmaksāta valdībai. Tabulas augšējā daļā ir attēlota uzskaite centrālās bankas grāmatvedības sistēmā.</w:t>
      </w:r>
    </w:p>
    <w:p w:rsidR="00523A0A" w:rsidRPr="001973D0" w:rsidRDefault="00523A0A" w:rsidP="00091195">
      <w:pPr>
        <w:pStyle w:val="BodyText"/>
        <w:spacing w:before="0"/>
        <w:ind w:left="709" w:firstLine="0"/>
        <w:jc w:val="both"/>
        <w:rPr>
          <w:rFonts w:ascii="Times New Roman" w:hAnsi="Times New Roman"/>
          <w:noProof/>
          <w:sz w:val="24"/>
        </w:rPr>
      </w:pPr>
      <w:r>
        <w:rPr>
          <w:rFonts w:ascii="Times New Roman" w:hAnsi="Times New Roman"/>
          <w:noProof/>
          <w:sz w:val="24"/>
        </w:rPr>
        <w:t>Pirmās tabulas apakšējā daļā ir attēlota X un Y gadījuma uzskaite saskaņā ar IV.2.2. apakšiedaļā (Traktējums nacionālajos kontos) izklāstītajiem noteikumiem.</w:t>
      </w:r>
    </w:p>
    <w:p w:rsidR="00523A0A" w:rsidRPr="00B244D8"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Iepriekš IV.2.2. apakšiedaļā minētais 2. noteikums nosaka, ka X ga</w:t>
      </w:r>
      <w:r w:rsidR="001270D7">
        <w:rPr>
          <w:rFonts w:ascii="Times New Roman" w:hAnsi="Times New Roman"/>
          <w:noProof/>
          <w:sz w:val="24"/>
        </w:rPr>
        <w:t>dījumā viss maksājums jāieraksta</w:t>
      </w:r>
      <w:r>
        <w:rPr>
          <w:rFonts w:ascii="Times New Roman" w:hAnsi="Times New Roman"/>
          <w:noProof/>
          <w:sz w:val="24"/>
        </w:rPr>
        <w:t xml:space="preserve"> kā īpašuma ienākumi. Savukārt 4. noteikums paredz to, ka Y gadījumā daļa no maksājuma jā</w:t>
      </w:r>
      <w:r w:rsidR="001270D7">
        <w:rPr>
          <w:rFonts w:ascii="Times New Roman" w:hAnsi="Times New Roman"/>
          <w:noProof/>
          <w:sz w:val="24"/>
        </w:rPr>
        <w:t>ieraksta</w:t>
      </w:r>
      <w:r>
        <w:rPr>
          <w:rFonts w:ascii="Times New Roman" w:hAnsi="Times New Roman"/>
          <w:noProof/>
          <w:sz w:val="24"/>
        </w:rPr>
        <w:t xml:space="preserve"> kā īpašuma ienākumi un</w:t>
      </w:r>
      <w:r w:rsidR="001270D7">
        <w:rPr>
          <w:rFonts w:ascii="Times New Roman" w:hAnsi="Times New Roman"/>
          <w:noProof/>
          <w:sz w:val="24"/>
        </w:rPr>
        <w:t xml:space="preserve"> ka daļa no maksājuma jāieraksta</w:t>
      </w:r>
      <w:r>
        <w:rPr>
          <w:rFonts w:ascii="Times New Roman" w:hAnsi="Times New Roman"/>
          <w:noProof/>
          <w:sz w:val="24"/>
        </w:rPr>
        <w:t xml:space="preserve"> kā pašu kapitāla izņemšana. X gadījumā kapitāla pieauguma un z</w:t>
      </w:r>
      <w:r w:rsidR="00A17C13">
        <w:rPr>
          <w:rFonts w:ascii="Times New Roman" w:hAnsi="Times New Roman"/>
          <w:noProof/>
          <w:sz w:val="24"/>
        </w:rPr>
        <w:t>audējumu simetriska ierakstīšana</w:t>
      </w:r>
      <w:r>
        <w:rPr>
          <w:rFonts w:ascii="Times New Roman" w:hAnsi="Times New Roman"/>
          <w:noProof/>
          <w:sz w:val="24"/>
        </w:rPr>
        <w:t xml:space="preserve"> nozī</w:t>
      </w:r>
      <w:r w:rsidR="00A17C13">
        <w:rPr>
          <w:rFonts w:ascii="Times New Roman" w:hAnsi="Times New Roman"/>
          <w:noProof/>
          <w:sz w:val="24"/>
        </w:rPr>
        <w:t>mētu to, ka 100 tiktu ierakstīts</w:t>
      </w:r>
      <w:r>
        <w:rPr>
          <w:rFonts w:ascii="Times New Roman" w:hAnsi="Times New Roman"/>
          <w:noProof/>
          <w:sz w:val="24"/>
        </w:rPr>
        <w:t xml:space="preserve"> kā īpašuma ienākumi un 20 kā valdības pašu kapitāla iepludināšana. Šāds traktējums būtu piemērots saistībā ar atkārtoti ieguldītu peļņu, taču šāda pieeja starptautiskajos uzskaites standartos (EKS 2010, SVF Maksājumu bilances rokasgrāmata) tiek pieņemta vienīgi tieša ārvalstu ieguldījuma gadījumā.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2" w:name="IV.2.3.1_Legal_and_economic_ownership"/>
      <w:bookmarkEnd w:id="272"/>
      <w:r>
        <w:rPr>
          <w:rFonts w:ascii="Times New Roman" w:hAnsi="Times New Roman"/>
          <w:noProof/>
          <w:sz w:val="24"/>
        </w:rPr>
        <w:t>IV.2.3.1. Juridiskās un ekonomiskās īpašumtiesības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Noteikumi, kas minēti IV.2.2. apakšiedaļā, attiecas tikai uz maksājumiem, kas veikti </w:t>
      </w:r>
      <w:r>
        <w:rPr>
          <w:rFonts w:ascii="Times New Roman" w:hAnsi="Times New Roman"/>
          <w:noProof/>
          <w:sz w:val="24"/>
        </w:rPr>
        <w:lastRenderedPageBreak/>
        <w:t>valdībai kā centrālās bankas akcionārei. Pat ja no juridiskā viedokļa starp valdību un centrālo banku nepastāv īpašumtiesību attiecības, n</w:t>
      </w:r>
      <w:r w:rsidR="00A17C13">
        <w:rPr>
          <w:rFonts w:ascii="Times New Roman" w:hAnsi="Times New Roman"/>
          <w:noProof/>
          <w:sz w:val="24"/>
        </w:rPr>
        <w:t>acionālajos kontos ir jāieraksta</w:t>
      </w:r>
      <w:r>
        <w:rPr>
          <w:rFonts w:ascii="Times New Roman" w:hAnsi="Times New Roman"/>
          <w:noProof/>
          <w:sz w:val="24"/>
        </w:rPr>
        <w:t xml:space="preserve"> pašu kapitāls, lai atspoguļotu faktu, ka centrālā banka tautas un valdības vārdā tur un pārvalda rezervju aktīvus. Turklāt, ja valdība regulāri saņem daļu peļņas vai tai ir tiesības uz neto aktīviem likvidācijas gadījumā, arī tas liecina, ka valdība ir centrālās bankas ekonomiskā īpašniece. Šādos gadījumos, ja valdībai ir ekonomiskās īpašumtiesības, pat ja tā nav juridiskā īpašniece, valdības īpašumti</w:t>
      </w:r>
      <w:r w:rsidR="00A17C13">
        <w:rPr>
          <w:rFonts w:ascii="Times New Roman" w:hAnsi="Times New Roman"/>
          <w:noProof/>
          <w:sz w:val="24"/>
        </w:rPr>
        <w:t>esības centrālajā bankā ieraksta</w:t>
      </w:r>
      <w:r>
        <w:rPr>
          <w:rFonts w:ascii="Times New Roman" w:hAnsi="Times New Roman"/>
          <w:noProof/>
          <w:sz w:val="24"/>
        </w:rPr>
        <w:t xml:space="preserve"> nacionālajos kontos kā “citu pašu kapitālu”.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3" w:name="IV.2.3.2_Valuation_of_government_equity"/>
      <w:bookmarkEnd w:id="273"/>
      <w:r>
        <w:rPr>
          <w:rFonts w:ascii="Times New Roman" w:hAnsi="Times New Roman"/>
          <w:noProof/>
          <w:sz w:val="24"/>
        </w:rPr>
        <w:t>IV.2.3.2. Valdības pašu kapitāla novērtēšana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Valdības pašu kapitāla daļu centrālajā bankā novērtē atbilstoši neto aktīviem. Tā ietver pašu kapitālu (emitēto), pārvērtēšanas rezerves (jo īpaši zeltu un ārvalstu valūtas), juridiskās un speciālās rezerves un paturētos ieņēmumus.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4" w:name="IV.2.3.3_Other_payments"/>
      <w:bookmarkEnd w:id="274"/>
      <w:r>
        <w:rPr>
          <w:rFonts w:ascii="Times New Roman" w:hAnsi="Times New Roman"/>
          <w:noProof/>
          <w:sz w:val="24"/>
        </w:rPr>
        <w:t>IV.2.3.3. Citi maksājumi</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Iepriekš minētie noteikumi neattiecas uz maksājumiem, kurus centrālā banka ir veikusi par valdības sniegtajiem pakalpojumiem vai saistībā ar nodokļu nomaksu. Arī citām komercsabiedrībām piemērojamos regulāros uzņēmuma nodokļus, kurus centrālā banka ir</w:t>
      </w:r>
      <w:r w:rsidR="00A17C13">
        <w:rPr>
          <w:rFonts w:ascii="Times New Roman" w:hAnsi="Times New Roman"/>
          <w:noProof/>
          <w:sz w:val="24"/>
        </w:rPr>
        <w:t xml:space="preserve"> samaksājusi valdībai, ieraksta</w:t>
      </w:r>
      <w:r>
        <w:rPr>
          <w:rFonts w:ascii="Times New Roman" w:hAnsi="Times New Roman"/>
          <w:noProof/>
          <w:sz w:val="24"/>
        </w:rPr>
        <w:t xml:space="preserve"> kā ienākuma nodokli (D.51), izņemot nodokļus, kas ir samaksāti par izņēmuma darījumiem (sk. IV.3. nodaļu “Zelta tirdzniecība un ārvalstu valūtu maiņa centrālajā bankā”). Sarežģījumus nerada arī tas, ka kapitāla pieaugumu var aplikt ar nodokli. Saskaņā ar EKS 2010 ienākuma nodokļus iekasē ne tikai par ienākumiem, bet arī par peļņu un kapitāla pieaugumu (sk. EKS 2010 4.78. punktu).</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275" w:name="IV.2.4_Accounting_examples"/>
      <w:bookmarkEnd w:id="275"/>
      <w:r>
        <w:rPr>
          <w:rFonts w:ascii="Times New Roman" w:hAnsi="Times New Roman"/>
          <w:noProof/>
          <w:u w:val="none"/>
        </w:rPr>
        <w:t>IV.2.4. </w:t>
      </w:r>
      <w:r>
        <w:rPr>
          <w:rFonts w:ascii="Times New Roman" w:hAnsi="Times New Roman"/>
          <w:noProof/>
          <w:u w:val="thick" w:color="000000"/>
        </w:rPr>
        <w:t>Uzskaites piemēri</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Turpmāk tabulā ir iekļauti daži tipiski piemēri attiecībā uz centrālās bankas gada peļņas un zaudējumu pārskatu un maksājumiem v</w:t>
      </w:r>
      <w:r w:rsidR="00A17C13">
        <w:rPr>
          <w:rFonts w:ascii="Times New Roman" w:hAnsi="Times New Roman"/>
          <w:noProof/>
          <w:sz w:val="24"/>
        </w:rPr>
        <w:t>aldībai. Atbilstošu ierakstīšanu</w:t>
      </w:r>
      <w:r>
        <w:rPr>
          <w:rFonts w:ascii="Times New Roman" w:hAnsi="Times New Roman"/>
          <w:noProof/>
          <w:sz w:val="24"/>
        </w:rPr>
        <w:t xml:space="preserve"> valsts kontos var noteikt, salīdzinot maksājumu valdībai (B) ar pamatdarbības peļņu/zaudējumiem (A). Vispārējās valdības turēšanas guvumus/zaudējumus F.5 aprēķina, no kopējās peļņas atskaitot samaksāto īpašuma ienākumu summu.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2. tabula. Centrālās bankas maksā</w:t>
      </w:r>
      <w:r w:rsidR="00A17C13">
        <w:rPr>
          <w:rFonts w:ascii="Times New Roman" w:hAnsi="Times New Roman"/>
          <w:noProof/>
          <w:sz w:val="24"/>
        </w:rPr>
        <w:t>jumi valdībai un to ierakstīšana</w:t>
      </w:r>
      <w:r>
        <w:rPr>
          <w:rFonts w:ascii="Times New Roman" w:hAnsi="Times New Roman"/>
          <w:noProof/>
          <w:sz w:val="24"/>
        </w:rPr>
        <w:t xml:space="preserve"> nacionālajos kontos</w:t>
      </w:r>
    </w:p>
    <w:p w:rsidR="00523A0A" w:rsidRPr="001973D0" w:rsidRDefault="00523A0A" w:rsidP="00523A0A">
      <w:pPr>
        <w:jc w:val="both"/>
        <w:rPr>
          <w:rFonts w:ascii="Times New Roman" w:eastAsia="Arial" w:hAnsi="Times New Roman" w:cs="Arial"/>
          <w:b/>
          <w:bCs/>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2702"/>
        <w:gridCol w:w="704"/>
        <w:gridCol w:w="844"/>
        <w:gridCol w:w="842"/>
        <w:gridCol w:w="846"/>
        <w:gridCol w:w="842"/>
        <w:gridCol w:w="846"/>
        <w:gridCol w:w="705"/>
        <w:gridCol w:w="728"/>
      </w:tblGrid>
      <w:tr w:rsidR="00523A0A" w:rsidRPr="001973D0" w:rsidTr="00523A0A">
        <w:trPr>
          <w:trHeight w:hRule="exact" w:val="312"/>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1</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2</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3</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4</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5</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6</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7</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b/>
                <w:noProof/>
                <w:sz w:val="24"/>
              </w:rPr>
            </w:pPr>
            <w:r>
              <w:rPr>
                <w:rFonts w:ascii="Times New Roman" w:hAnsi="Times New Roman"/>
                <w:b/>
                <w:noProof/>
                <w:sz w:val="24"/>
              </w:rPr>
              <w:t>8</w:t>
            </w:r>
          </w:p>
        </w:tc>
      </w:tr>
      <w:tr w:rsidR="00523A0A" w:rsidRPr="001973D0" w:rsidTr="009804C1">
        <w:trPr>
          <w:trHeight w:hRule="exact" w:val="569"/>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Kopējā peļņa (+) / zaudējumi (-)</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r>
      <w:tr w:rsidR="00523A0A" w:rsidRPr="001973D0" w:rsidTr="009804C1">
        <w:trPr>
          <w:trHeight w:hRule="exact" w:val="645"/>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Pamatdarbības peļņa (+)/zaudējumi (-)</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r>
      <w:tr w:rsidR="00523A0A" w:rsidRPr="001973D0" w:rsidTr="009804C1">
        <w:trPr>
          <w:trHeight w:hRule="exact" w:val="573"/>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Kapitāla pieaugums (+)/zaudējumi (-)</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r>
      <w:tr w:rsidR="00523A0A" w:rsidRPr="001973D0" w:rsidTr="00523A0A">
        <w:trPr>
          <w:trHeight w:hRule="exact" w:val="312"/>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VCB maksājums</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r>
      <w:tr w:rsidR="00523A0A" w:rsidRPr="001973D0" w:rsidTr="00523A0A">
        <w:trPr>
          <w:trHeight w:hRule="exact" w:val="421"/>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Pārmaiņas rezervēs dēļ</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r>
      <w:tr w:rsidR="00523A0A" w:rsidRPr="001973D0" w:rsidTr="009804C1">
        <w:trPr>
          <w:trHeight w:hRule="exact" w:val="593"/>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A17C13" w:rsidP="00523A0A">
            <w:pPr>
              <w:pStyle w:val="TableParagraph"/>
              <w:jc w:val="both"/>
              <w:rPr>
                <w:rFonts w:ascii="Times New Roman" w:hAnsi="Times New Roman"/>
                <w:b/>
                <w:noProof/>
                <w:sz w:val="24"/>
              </w:rPr>
            </w:pPr>
            <w:r>
              <w:rPr>
                <w:rFonts w:ascii="Times New Roman" w:hAnsi="Times New Roman"/>
                <w:b/>
                <w:noProof/>
                <w:sz w:val="24"/>
              </w:rPr>
              <w:t>Ierakstīšana</w:t>
            </w:r>
            <w:r w:rsidR="00523A0A">
              <w:rPr>
                <w:rFonts w:ascii="Times New Roman" w:hAnsi="Times New Roman"/>
                <w:b/>
                <w:noProof/>
                <w:sz w:val="24"/>
              </w:rPr>
              <w:t xml:space="preserve"> valdības kontā</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r>
      <w:tr w:rsidR="00523A0A" w:rsidRPr="001973D0" w:rsidTr="00523A0A">
        <w:trPr>
          <w:trHeight w:hRule="exact" w:val="312"/>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Īpašuma ienākums D.4R</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r>
      <w:tr w:rsidR="00523A0A" w:rsidRPr="001973D0" w:rsidTr="00523A0A">
        <w:trPr>
          <w:trHeight w:hRule="exact" w:val="623"/>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lastRenderedPageBreak/>
              <w:t>Ietekme uz B.9 neto aizdevumu (+)</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r>
      <w:tr w:rsidR="00523A0A" w:rsidRPr="001973D0" w:rsidTr="009804C1">
        <w:trPr>
          <w:trHeight w:hRule="exact" w:val="404"/>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Pašu kapitāla iegāde F.5 A</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r>
      <w:tr w:rsidR="00523A0A" w:rsidRPr="001973D0" w:rsidTr="009804C1">
        <w:trPr>
          <w:trHeight w:hRule="exact" w:val="679"/>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Pašu kapitāla izņemšana F.5 A</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r>
      <w:tr w:rsidR="00523A0A" w:rsidRPr="001973D0" w:rsidTr="00523A0A">
        <w:trPr>
          <w:trHeight w:hRule="exact" w:val="625"/>
        </w:trPr>
        <w:tc>
          <w:tcPr>
            <w:tcW w:w="1491"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Turēšanas guvums (+) zaudējumi (-) F.5 A</w:t>
            </w:r>
          </w:p>
        </w:tc>
        <w:tc>
          <w:tcPr>
            <w:tcW w:w="388"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jc w:val="both"/>
              <w:rPr>
                <w:rFonts w:ascii="Times New Roman" w:hAnsi="Times New Roman"/>
                <w:noProof/>
                <w:sz w:val="24"/>
              </w:rPr>
            </w:pPr>
          </w:p>
        </w:tc>
        <w:tc>
          <w:tcPr>
            <w:tcW w:w="466"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0</w:t>
            </w:r>
          </w:p>
        </w:tc>
        <w:tc>
          <w:tcPr>
            <w:tcW w:w="465"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67"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389"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c>
          <w:tcPr>
            <w:tcW w:w="403"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50</w:t>
            </w:r>
          </w:p>
        </w:tc>
      </w:tr>
    </w:tbl>
    <w:p w:rsidR="00523A0A" w:rsidRPr="00791176" w:rsidRDefault="00523A0A" w:rsidP="00523A0A">
      <w:pPr>
        <w:jc w:val="both"/>
        <w:rPr>
          <w:rFonts w:ascii="Times New Roman" w:hAnsi="Times New Roman"/>
          <w:noProof/>
          <w:sz w:val="20"/>
          <w:szCs w:val="20"/>
        </w:rPr>
      </w:pPr>
      <w:r>
        <w:rPr>
          <w:rFonts w:ascii="Times New Roman" w:hAnsi="Times New Roman"/>
          <w:noProof/>
          <w:sz w:val="20"/>
        </w:rPr>
        <w:t>* Šajos piemēros nav ņemtas vērā izmaiņas rezervēs, kas radušās citu iemeslu dēļ (likumīgās un īpašam nolūkam paredzētās rezervēs).</w:t>
      </w:r>
    </w:p>
    <w:p w:rsidR="00523A0A" w:rsidRPr="001973D0" w:rsidRDefault="00523A0A" w:rsidP="00523A0A">
      <w:pPr>
        <w:jc w:val="both"/>
        <w:rPr>
          <w:rFonts w:ascii="Times New Roman" w:eastAsia="Arial" w:hAnsi="Times New Roman" w:cs="Arial"/>
          <w:noProof/>
          <w:sz w:val="24"/>
          <w:szCs w:val="16"/>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3. tabula. Centrālās bankas peļņas un zaudējumu pārskats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Turpmāk 3. tabulā ir attēloti tādas centrālās bankas publicētie peļņas un zaudējumu pārskati, kura piemēro Eirosistēmas grāmatvedības noteikumus.</w:t>
      </w:r>
    </w:p>
    <w:p w:rsidR="00523A0A" w:rsidRPr="001973D0" w:rsidRDefault="00523A0A" w:rsidP="00523A0A">
      <w:pPr>
        <w:jc w:val="both"/>
        <w:rPr>
          <w:rFonts w:ascii="Times New Roman" w:eastAsia="Arial" w:hAnsi="Times New Roman" w:cs="Arial"/>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9059"/>
      </w:tblGrid>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1.1. Procentu ienākumi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1.2. Procentu izdevumi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 Neto procentu ienākumi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2.1. Realizētie guvumi/zaudējumi no finanšu operācijām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2.2. Finanšu aktīvu un uzkrājumu norakstīšana</w:t>
            </w:r>
          </w:p>
        </w:tc>
      </w:tr>
      <w:tr w:rsidR="00523A0A" w:rsidRPr="001973D0" w:rsidTr="00523A0A">
        <w:trPr>
          <w:trHeight w:hRule="exact" w:val="649"/>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eastAsia="Calibri" w:hAnsi="Times New Roman" w:cs="Calibri"/>
                <w:noProof/>
                <w:sz w:val="24"/>
                <w:szCs w:val="18"/>
              </w:rPr>
            </w:pPr>
            <w:r>
              <w:rPr>
                <w:rFonts w:ascii="Times New Roman" w:hAnsi="Times New Roman"/>
                <w:noProof/>
                <w:sz w:val="24"/>
              </w:rPr>
              <w:t>2.3. Pārskaitījumi uzkrājumiem un no tiem atbilstīgi ārvalstu valūtas kursam, procentu likme, kredīta un zelta likmes riskiem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2. Finanšu operāciju, norakstījumu un riska uzkrājumu neto rezultāts</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3.1. Ienākumi no maksājumiem un komisijas maksām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3.2. Izdevumi par maksājumiem un komisijas maksām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3. Maksājumu un komisijas maksu neto ienākumi/izdevumi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4. Ienākumi no akcijām un līdzdalības daļām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5. Monetārā ienākuma apvienošanas kopējā fondā neto rezultāts</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6. Citi ienākumi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9804C1">
            <w:pPr>
              <w:pStyle w:val="TableParagraph"/>
              <w:jc w:val="right"/>
              <w:rPr>
                <w:rFonts w:ascii="Times New Roman" w:hAnsi="Times New Roman"/>
                <w:b/>
                <w:noProof/>
                <w:sz w:val="24"/>
              </w:rPr>
            </w:pPr>
            <w:r>
              <w:rPr>
                <w:rFonts w:ascii="Times New Roman" w:hAnsi="Times New Roman"/>
                <w:b/>
                <w:noProof/>
                <w:sz w:val="24"/>
              </w:rPr>
              <w:t>Kopējais neto ienākums</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7. Personāla izmaksas</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8. Administratīvie izdevumi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9. Materiālo un nemateriālo pamatlīdzekļu nolietojums</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10. Banknošu ražošanas pakalpojumi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11. Citi izdevumi</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12. Ienākuma nodoklis un citi maksājumi valstij par ienākumiem</w:t>
            </w:r>
          </w:p>
        </w:tc>
      </w:tr>
      <w:tr w:rsidR="00523A0A" w:rsidRPr="001973D0" w:rsidTr="00523A0A">
        <w:trPr>
          <w:trHeight w:hRule="exact" w:val="312"/>
        </w:trPr>
        <w:tc>
          <w:tcPr>
            <w:tcW w:w="5000" w:type="pct"/>
            <w:tcBorders>
              <w:top w:val="single" w:sz="5" w:space="0" w:color="000000"/>
              <w:left w:val="single" w:sz="5" w:space="0" w:color="000000"/>
              <w:bottom w:val="single" w:sz="5" w:space="0" w:color="000000"/>
              <w:right w:val="single" w:sz="5" w:space="0" w:color="000000"/>
            </w:tcBorders>
          </w:tcPr>
          <w:p w:rsidR="00523A0A" w:rsidRPr="001973D0" w:rsidRDefault="00523A0A" w:rsidP="009804C1">
            <w:pPr>
              <w:pStyle w:val="TableParagraph"/>
              <w:jc w:val="right"/>
              <w:rPr>
                <w:rFonts w:ascii="Times New Roman" w:hAnsi="Times New Roman"/>
                <w:b/>
                <w:noProof/>
                <w:sz w:val="24"/>
              </w:rPr>
            </w:pPr>
            <w:r>
              <w:rPr>
                <w:rFonts w:ascii="Times New Roman" w:hAnsi="Times New Roman"/>
                <w:b/>
                <w:noProof/>
                <w:sz w:val="24"/>
              </w:rPr>
              <w:t>Gada (zaudējumi)/peļņa</w:t>
            </w:r>
          </w:p>
        </w:tc>
      </w:tr>
    </w:tbl>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Pamatdarbības peļņu/zaudējumus parasti var aprēķināt, atņemot peļņas un zaudējumu pārskata 2. posteni “Finanšu operāciju, norakstījumu un riska uzkrājumu neto rezultāts” no gada kopējās peļņas/zaudējumiem, iegūstot pamatdarbības peļņu/zaudējumus, kā arī atņemot visus </w:t>
      </w:r>
      <w:r w:rsidR="00D86920">
        <w:rPr>
          <w:rFonts w:ascii="Times New Roman" w:hAnsi="Times New Roman"/>
          <w:noProof/>
          <w:sz w:val="24"/>
        </w:rPr>
        <w:t>pārējos 2. postenī neierakstītos</w:t>
      </w:r>
      <w:r>
        <w:rPr>
          <w:rFonts w:ascii="Times New Roman" w:hAnsi="Times New Roman"/>
          <w:noProof/>
          <w:sz w:val="24"/>
        </w:rPr>
        <w:t xml:space="preserve"> uzkrājumus un rezerves, jo nav iespējams pilnīgi izslēgt, izņemot 2. posteni, ka arī citi centrālās bankas peļņas un zaudējumu pārskata posteņi nesatur uzkrājumus un rezerves (piemēram, 5. postenis). Arī šādi uzkrājumi un rezerves ir jāatņem no kopējās peļņas/zaudējumiem, lai iegūtu pamatdarbības peļņu/zaudējumus.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none"/>
        </w:rPr>
      </w:pPr>
      <w:bookmarkStart w:id="276" w:name="IV.2.5_Annex:_Bookkeeping_in_central_ban"/>
      <w:bookmarkEnd w:id="276"/>
      <w:r>
        <w:rPr>
          <w:rFonts w:ascii="Times New Roman" w:hAnsi="Times New Roman"/>
          <w:noProof/>
          <w:u w:val="none"/>
        </w:rPr>
        <w:t>IV.2.5. Pielikums. Grāmatvedība centrālajās bankās</w:t>
      </w:r>
    </w:p>
    <w:p w:rsidR="00523A0A" w:rsidRPr="001973D0" w:rsidRDefault="00523A0A" w:rsidP="00523A0A">
      <w:pPr>
        <w:jc w:val="both"/>
        <w:rPr>
          <w:rFonts w:ascii="Times New Roman" w:eastAsia="Arial" w:hAnsi="Times New Roman" w:cs="Arial"/>
          <w:b/>
          <w:bCs/>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7" w:name="IV.2.5.1_Introduction"/>
      <w:bookmarkEnd w:id="277"/>
      <w:r>
        <w:rPr>
          <w:rFonts w:ascii="Times New Roman" w:hAnsi="Times New Roman"/>
          <w:noProof/>
          <w:sz w:val="24"/>
        </w:rPr>
        <w:t>IV.2.5.1. Ievads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Pēc eirozonas izveides Eiropas Centrālo banku sistēma (ECBS) ir saskaņojusi savu uzskaites praksi visos centrālo banku darbības pasākumos saistībā ar Eirosistēmas finanšu pārskatiem. Saskaņošanas noteikumi ir izklāstīti ECB 2010. gada 11. novembra pamatnostādnēs par Eiropas Centrālo banku sistēmas tiesisko regulējumu un finanšu pārskatiem (ECB/2010/20) un grozošajās ECB 2012. gada 10. decembra pamatnostādnēs (ECB/2012/29).</w:t>
      </w: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ECB pamatnostādnes ir juridiski saistošas eirozonas VCB (Eirosistēmai), taču lielākā daļa tajā neietilpstošo ES dalībvalstu VCB arī ir saskaņojušas savu praksi ar pamatnostādnēm, tādējādi gatavojoties iespējamai </w:t>
      </w:r>
      <w:r>
        <w:rPr>
          <w:rFonts w:ascii="Times New Roman" w:hAnsi="Times New Roman"/>
          <w:i/>
          <w:noProof/>
          <w:sz w:val="24"/>
        </w:rPr>
        <w:t>euro</w:t>
      </w:r>
      <w:r>
        <w:rPr>
          <w:rFonts w:ascii="Times New Roman" w:hAnsi="Times New Roman"/>
          <w:noProof/>
          <w:sz w:val="24"/>
        </w:rPr>
        <w:t xml:space="preserve"> ieviešanai. Pamatnostādnes nav obligātas attiecībā uz dažiem posteņiem (“Citi aktīvi”), attiecībā uz kuriem noteikumiem ir tikai ieteikuma raksturs. Gadījumos, kad kāds postenis nav apspriests pamatnostādnēs, centrālās bankas rīkojas saskaņā ar starptautiskajiem finanšu standartiem vai valsts tiesību aktiem.</w:t>
      </w: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Ieviešot iepriekš minētās ECB pamatnostādnes, tika saskaņots ienākumu un zaudējumu uzskaites traktējums Eirosistēmā. Tomēr iepriekš minētās pamatnostādnes nenosaka VCB peļņas sadali, jo šo jautājumu reglamentē valsts tiesību akti vai līgums ar finanšu ministriju, un šie nosacījumi katrā valstī joprojām ievērojami atšķiras.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8" w:name="IV.2.5.2_Recording_capital_gains/losses"/>
      <w:bookmarkEnd w:id="278"/>
      <w:r>
        <w:rPr>
          <w:rFonts w:ascii="Times New Roman" w:hAnsi="Times New Roman"/>
          <w:noProof/>
          <w:sz w:val="24"/>
        </w:rPr>
        <w:t xml:space="preserve">IV.2.5.2. Kapitāla </w:t>
      </w:r>
      <w:r w:rsidR="00D86920">
        <w:rPr>
          <w:rFonts w:ascii="Times New Roman" w:hAnsi="Times New Roman"/>
          <w:noProof/>
          <w:sz w:val="24"/>
        </w:rPr>
        <w:t>pieauguma/zaudējumu ierakstīšana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Realizētie ienākumi vai zaudējumi rodas, tiklīdz tiek pārdoti finanšu aktīvi, savukārt nerealizētos ienākumus vai zaudējumus rada finanšu aktīvu saglabāšana grāmatvedības uzskaitē un to pārvērtēšana. Šajā pielikumā ir aplūkots, pirmkārt, gan realizēto, gan nerealizēto guvumu un zaudējumu traktējums Eirosistēmas grāmatvedībā un, otrkārt, pastāvošā prakse attiecībā uz ES VCB peļņas sadali. Izmantotie Eirosistēmas uzskaites jēdzieni var neatbilst nacionālajos kontos izmantotajiem formulējumiem (piemēram, ienākumi).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79" w:name="IV.2.5.2.1_Income_recognition_and_balanc"/>
      <w:bookmarkEnd w:id="279"/>
      <w:r>
        <w:rPr>
          <w:rFonts w:ascii="Times New Roman" w:hAnsi="Times New Roman"/>
          <w:noProof/>
          <w:sz w:val="24"/>
        </w:rPr>
        <w:t>IV.2.5.2.1. Eirosistēmas noteikumi attiecībā uz ienākumu atzīšanu un bilances novērtēšanu</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Ienākumu atzīšanas un bilances novērtēšanas noteikumu pamatā ir piesardzīga uzskaites pieeja, kurā nerealizētais kapitāla pieaugums netiek uzskatīts par ienākumiem (un līdz ar to netiek sadalīts). Piemēro šādus galvenos noteikumus:</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0"/>
          <w:numId w:val="62"/>
        </w:numPr>
        <w:tabs>
          <w:tab w:val="left" w:pos="1522"/>
        </w:tabs>
        <w:spacing w:before="0"/>
        <w:ind w:left="1134" w:hanging="425"/>
        <w:jc w:val="both"/>
        <w:rPr>
          <w:rFonts w:ascii="Times New Roman" w:hAnsi="Times New Roman"/>
          <w:noProof/>
          <w:sz w:val="24"/>
        </w:rPr>
      </w:pPr>
      <w:r>
        <w:rPr>
          <w:rFonts w:ascii="Times New Roman" w:hAnsi="Times New Roman"/>
          <w:noProof/>
          <w:sz w:val="24"/>
        </w:rPr>
        <w:t>realizētos guvumus un zaudējumus iekļauj peļņas un zaudējumu pārskatā;</w:t>
      </w:r>
    </w:p>
    <w:p w:rsidR="00523A0A" w:rsidRPr="001973D0" w:rsidRDefault="00523A0A" w:rsidP="00523A0A">
      <w:pPr>
        <w:pStyle w:val="BodyText"/>
        <w:numPr>
          <w:ilvl w:val="0"/>
          <w:numId w:val="62"/>
        </w:numPr>
        <w:tabs>
          <w:tab w:val="left" w:pos="1522"/>
        </w:tabs>
        <w:spacing w:before="0"/>
        <w:ind w:left="1134" w:hanging="425"/>
        <w:jc w:val="both"/>
        <w:rPr>
          <w:rFonts w:ascii="Times New Roman" w:hAnsi="Times New Roman"/>
          <w:noProof/>
          <w:sz w:val="24"/>
        </w:rPr>
      </w:pPr>
      <w:r>
        <w:rPr>
          <w:rFonts w:ascii="Times New Roman" w:hAnsi="Times New Roman"/>
          <w:noProof/>
          <w:sz w:val="24"/>
        </w:rPr>
        <w:t>nerealizētos guvumus neatzīst par ienākumiem peļņas u</w:t>
      </w:r>
      <w:r w:rsidR="00D86920">
        <w:rPr>
          <w:rFonts w:ascii="Times New Roman" w:hAnsi="Times New Roman"/>
          <w:noProof/>
          <w:sz w:val="24"/>
        </w:rPr>
        <w:t>n zaudējumu kontā, taču ieraksta</w:t>
      </w:r>
      <w:r>
        <w:rPr>
          <w:rFonts w:ascii="Times New Roman" w:hAnsi="Times New Roman"/>
          <w:noProof/>
          <w:sz w:val="24"/>
        </w:rPr>
        <w:t xml:space="preserve"> bilancē pārvērtēšanas kontā;</w:t>
      </w:r>
    </w:p>
    <w:p w:rsidR="00523A0A" w:rsidRPr="001973D0" w:rsidRDefault="00523A0A" w:rsidP="00523A0A">
      <w:pPr>
        <w:pStyle w:val="BodyText"/>
        <w:numPr>
          <w:ilvl w:val="0"/>
          <w:numId w:val="62"/>
        </w:numPr>
        <w:tabs>
          <w:tab w:val="left" w:pos="1522"/>
        </w:tabs>
        <w:spacing w:before="0"/>
        <w:ind w:left="1134" w:hanging="425"/>
        <w:jc w:val="both"/>
        <w:rPr>
          <w:rFonts w:ascii="Times New Roman" w:hAnsi="Times New Roman"/>
          <w:noProof/>
          <w:sz w:val="24"/>
        </w:rPr>
      </w:pPr>
      <w:r>
        <w:rPr>
          <w:rFonts w:ascii="Times New Roman" w:hAnsi="Times New Roman"/>
          <w:noProof/>
          <w:sz w:val="24"/>
        </w:rPr>
        <w:t>nerealizētos zaudējumus gada beigās iekļauj peļņas un zaudējumu pārskatā, ja tie pārsniedz pārvērtēšanas kontā reģistrētos iepriekšējos pārvērtēšanas ienākumus; peļņas un zaudējumu pārskatā iekļautos nerealizētos zaudējumus turpmākajos gados neapvērš, pamatojoties uz jauniem nerealizētajiem ienākumiem;</w:t>
      </w:r>
    </w:p>
    <w:p w:rsidR="00523A0A" w:rsidRDefault="00523A0A" w:rsidP="00523A0A">
      <w:pPr>
        <w:pStyle w:val="BodyText"/>
        <w:numPr>
          <w:ilvl w:val="1"/>
          <w:numId w:val="62"/>
        </w:numPr>
        <w:tabs>
          <w:tab w:val="left" w:pos="1602"/>
        </w:tabs>
        <w:spacing w:before="0"/>
        <w:ind w:left="1134" w:hanging="425"/>
        <w:jc w:val="both"/>
        <w:rPr>
          <w:rFonts w:ascii="Times New Roman" w:hAnsi="Times New Roman"/>
          <w:noProof/>
          <w:sz w:val="24"/>
        </w:rPr>
      </w:pPr>
      <w:r>
        <w:rPr>
          <w:rFonts w:ascii="Times New Roman" w:hAnsi="Times New Roman"/>
          <w:noProof/>
          <w:sz w:val="24"/>
        </w:rPr>
        <w:t>netiek veikts nekāds nerealizēto zaudējumu ieskaits jebkādā vērtspapīrā, valūtā vai zelta krājumos pret nerealizētajiem ienākumiem citos vērtspapīros, valūtā vai zeltā.</w:t>
      </w:r>
    </w:p>
    <w:p w:rsidR="00523A0A" w:rsidRPr="001973D0" w:rsidRDefault="00523A0A" w:rsidP="00523A0A">
      <w:pPr>
        <w:pStyle w:val="BodyText"/>
        <w:tabs>
          <w:tab w:val="left" w:pos="160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Šie noteikumi attiecas uz zeltu, aktīviem un saistībām ārvalstu valūtā, tirgojamiem </w:t>
      </w:r>
      <w:r>
        <w:rPr>
          <w:rFonts w:ascii="Times New Roman" w:hAnsi="Times New Roman"/>
          <w:noProof/>
          <w:sz w:val="24"/>
        </w:rPr>
        <w:lastRenderedPageBreak/>
        <w:t>vērtspapīriem, kas nav līdz termiņa beigām turēti vērtspapīri, tirgojamiem pašu kapitāla instrumentiem, kas nav dalības tiesības un netiek turēti kā pastāvīgi ieguldījumi, un ārpusbilances instrumentiem. Līdz termiņa beigām turēti vērtspapīri un netirgojami vērtspapīri tiek uzrādīti ar amortizētajām izmaksām atbilstīgi vērtības samazinājumam. Nelikvīdas pašu kapitāla daļas, dalības tiesības un citas kapitāla daļas, kas tiek turētas kā pastāvīgs ieguldījums, arī tiek novērtētas ar izmaksām atbilstīgi vērtības samazinājumam, savukārt aizdevumi tiek uzrādīti nominālvērtībā (vai ar izmaksām).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280" w:name="IV.2.5.2.2_Other_systems"/>
      <w:bookmarkEnd w:id="280"/>
      <w:r>
        <w:rPr>
          <w:rFonts w:ascii="Times New Roman" w:hAnsi="Times New Roman"/>
          <w:noProof/>
          <w:sz w:val="24"/>
        </w:rPr>
        <w:t>IV.2.5.2.2. Citas sistēmas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Tām valstu centrālajām bankām, kuras vēl nav ieviesušas ECBS pamatnostādnes, var būt pieejams arī bilances pārvērtēšanas postenis, kas ietver nerealizētos guvumus. Tomēr atsevišķos gadījumos visus novērtējamos ieņēmumus un zaudējumus uzskaita peļņas un zaudējumu pārskatā.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281" w:name="IV.2.5.3_Recording_distribution_of_profi"/>
      <w:bookmarkEnd w:id="281"/>
      <w:r>
        <w:rPr>
          <w:rFonts w:ascii="Times New Roman" w:hAnsi="Times New Roman"/>
          <w:noProof/>
          <w:sz w:val="24"/>
        </w:rPr>
        <w:t>IV.2.</w:t>
      </w:r>
      <w:r w:rsidR="00D86920">
        <w:rPr>
          <w:rFonts w:ascii="Times New Roman" w:hAnsi="Times New Roman"/>
          <w:noProof/>
          <w:sz w:val="24"/>
        </w:rPr>
        <w:t>5.3. Peļņas sadales ierakstīšana</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Valdības parasti ir valstu centrālo banku galvenās akcionāres un attiecīgi arī galvenās to sadalītās peļņas saņēmējas. Tomēr noteikumi, saskaņā ar kuriem VCB peļņu sadala un izmaksā attiecīgajām valdībām, katrā ES dalībvalstī atšķiras, jo tos nosaka katrā valstī pastāvošā prakse.</w:t>
      </w: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Lielākajā daļā gadījumu VCB peļņas izmaksa ir reglamentēta valsts tiesību aktos, taču dažos gadījumus peļņu sadala saskaņā ar centrālās bankas un Finanšu ministrijas līgumu. Gadījumā, kad valdība juridiski nav akcionāre, lielākā daļa VCB peļņas tiek nodota valdībai. Šajā gadījumā valdības ekonomiskās īpašumtiesības uz VCB nacionālajo</w:t>
      </w:r>
      <w:r w:rsidR="00D86920">
        <w:rPr>
          <w:rFonts w:ascii="Times New Roman" w:hAnsi="Times New Roman"/>
          <w:noProof/>
          <w:sz w:val="24"/>
        </w:rPr>
        <w:t>s kontos ir atzītas, ierakstot</w:t>
      </w:r>
      <w:r>
        <w:rPr>
          <w:rFonts w:ascii="Times New Roman" w:hAnsi="Times New Roman"/>
          <w:noProof/>
          <w:sz w:val="24"/>
        </w:rPr>
        <w:t xml:space="preserve"> valdību kā “cita pašu kapitāla” turētāju VCB.</w:t>
      </w: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Akcionāriem izmaksātās peļņas apmērs ECBS atšķiras. Dažos gadījumus peļņu sadala vienādās daļās starp VCB un akcionāriem, savukārt citos gadījumos akcionāri (galvenokārt valdība) saņem lielāko daļu no tīrās peļņas. Dažas VCB sadala iepriekš noteiktu tīrās peļņas procentuālo daļu, savukārt citas VCB ierobežo peļņas sadali atkarībā no rezervju un uzkrājumu līmeņa.</w:t>
      </w:r>
    </w:p>
    <w:p w:rsidR="00523A0A" w:rsidRPr="001973D0" w:rsidRDefault="00523A0A" w:rsidP="00523A0A">
      <w:pPr>
        <w:pStyle w:val="BodyText"/>
        <w:numPr>
          <w:ilvl w:val="0"/>
          <w:numId w:val="65"/>
        </w:numPr>
        <w:tabs>
          <w:tab w:val="left" w:pos="1242"/>
        </w:tabs>
        <w:spacing w:before="0"/>
        <w:ind w:left="709" w:hanging="709"/>
        <w:jc w:val="both"/>
        <w:rPr>
          <w:rFonts w:ascii="Times New Roman" w:hAnsi="Times New Roman"/>
          <w:noProof/>
          <w:sz w:val="24"/>
        </w:rPr>
      </w:pPr>
      <w:r>
        <w:rPr>
          <w:rFonts w:ascii="Times New Roman" w:hAnsi="Times New Roman"/>
          <w:noProof/>
          <w:sz w:val="24"/>
        </w:rPr>
        <w:t>Lai pasargātu sevi no ārvalstu valūtu maiņas kursa un procentu likmju riska, virkne VCB var novirzīt daļu peļņas uzkrājumos un rezervēs. Peļņas izmaksa valdībai ir asimetriska, jo peļņas gadījumā valdība saņem vismaz nepilnus maksājumus, savukārt zaudējumu gadījumā valdība ne vienmēr veic maksājumu VCB (valdība šādu maksājumu veic tikai izņēmuma gadījumos). Lai segtu iespējamos zaudējumus to rašanās gadījumā, finanšu drošības nolūkā var izveidot vispārējus riska uzkrājumus un rezerves.</w:t>
      </w:r>
    </w:p>
    <w:p w:rsidR="00523A0A" w:rsidRPr="00791176" w:rsidRDefault="00523A0A" w:rsidP="00523A0A">
      <w:pPr>
        <w:numPr>
          <w:ilvl w:val="0"/>
          <w:numId w:val="65"/>
        </w:numPr>
        <w:tabs>
          <w:tab w:val="left" w:pos="1242"/>
        </w:tabs>
        <w:ind w:left="709" w:hanging="709"/>
        <w:jc w:val="both"/>
        <w:rPr>
          <w:rFonts w:ascii="Times New Roman" w:eastAsia="Arial" w:hAnsi="Times New Roman" w:cs="Arial"/>
          <w:noProof/>
          <w:sz w:val="24"/>
        </w:rPr>
      </w:pPr>
      <w:r>
        <w:rPr>
          <w:rFonts w:ascii="Times New Roman" w:hAnsi="Times New Roman"/>
          <w:noProof/>
          <w:sz w:val="24"/>
        </w:rPr>
        <w:t xml:space="preserve">ECB Pamatnostādnēs ECB/2012/29 tika iekļauta šāda jauna rindkopa: </w:t>
      </w:r>
      <w:r>
        <w:rPr>
          <w:rFonts w:ascii="Times New Roman" w:hAnsi="Times New Roman"/>
          <w:i/>
          <w:noProof/>
          <w:sz w:val="24"/>
        </w:rPr>
        <w:t>Ņemot vērā valsts centrālo banku darbības būtību, valsts centrālā banka var izveidot savā bilancē uzkrājumu attiecībā uz ārvalstu valūtas kursu, procentu likmes, kredīta un zelta cenu riskiem. VCB ir jānosaka uzkrājuma apmērs un izmantošana, pamatojoties uz argumentētu VCB riska līmeņa novērtējumu.</w:t>
      </w:r>
      <w:r>
        <w:rPr>
          <w:rFonts w:ascii="Times New Roman" w:hAnsi="Times New Roman"/>
          <w:noProof/>
          <w:sz w:val="24"/>
        </w:rPr>
        <w:t xml:space="preserve"> Tomēr ar šo normu nevar aizstāt valsts tiesību aktus, un uzkrājumi un rezerves kopumā joprojām jāveido saskaņā ar valsts tiesību aktiem. Turpmāk sniegta šo abu jēdzienu vispārpieņemta definīcija (šīs definīcijas tiek izmantotas ECBS uzskaites pamatnostādnēs).</w:t>
      </w:r>
    </w:p>
    <w:p w:rsidR="00523A0A" w:rsidRPr="00791176" w:rsidRDefault="00523A0A" w:rsidP="00523A0A">
      <w:pPr>
        <w:tabs>
          <w:tab w:val="left" w:pos="1242"/>
        </w:tabs>
        <w:jc w:val="both"/>
        <w:rPr>
          <w:rFonts w:ascii="Times New Roman" w:eastAsia="Arial" w:hAnsi="Times New Roman" w:cs="Arial"/>
          <w:noProof/>
          <w:sz w:val="24"/>
        </w:rPr>
      </w:pPr>
    </w:p>
    <w:p w:rsidR="00523A0A" w:rsidRPr="001973D0" w:rsidRDefault="00523A0A" w:rsidP="00523A0A">
      <w:pPr>
        <w:pStyle w:val="BodyText"/>
        <w:numPr>
          <w:ilvl w:val="0"/>
          <w:numId w:val="61"/>
        </w:numPr>
        <w:tabs>
          <w:tab w:val="left" w:pos="1522"/>
        </w:tabs>
        <w:spacing w:before="0"/>
        <w:ind w:left="1134" w:hanging="425"/>
        <w:jc w:val="both"/>
        <w:rPr>
          <w:rFonts w:ascii="Times New Roman" w:hAnsi="Times New Roman" w:cs="Arial"/>
          <w:noProof/>
          <w:sz w:val="24"/>
        </w:rPr>
      </w:pPr>
      <w:r>
        <w:rPr>
          <w:rFonts w:ascii="Times New Roman" w:hAnsi="Times New Roman"/>
          <w:noProof/>
          <w:sz w:val="24"/>
        </w:rPr>
        <w:t>“</w:t>
      </w:r>
      <w:r>
        <w:rPr>
          <w:rFonts w:ascii="Times New Roman" w:hAnsi="Times New Roman"/>
          <w:b/>
          <w:noProof/>
          <w:sz w:val="24"/>
        </w:rPr>
        <w:t>Uzkrājumi</w:t>
      </w:r>
      <w:r>
        <w:rPr>
          <w:rFonts w:ascii="Times New Roman" w:hAnsi="Times New Roman"/>
          <w:noProof/>
          <w:sz w:val="24"/>
        </w:rPr>
        <w:t xml:space="preserve"> ir summas, kas atskaitītas pirms peļņas vai zaudējumu aprēķināšanas, lai nodrošinātos pret jebkādu zināmu vai gaidāmu saistību vai risku, kura izmaksas nevar precīzi noteikt.”</w:t>
      </w:r>
    </w:p>
    <w:p w:rsidR="00523A0A" w:rsidRPr="001973D0" w:rsidRDefault="00523A0A" w:rsidP="00523A0A">
      <w:pPr>
        <w:pStyle w:val="BodyText"/>
        <w:numPr>
          <w:ilvl w:val="0"/>
          <w:numId w:val="61"/>
        </w:numPr>
        <w:tabs>
          <w:tab w:val="left" w:pos="1522"/>
        </w:tabs>
        <w:spacing w:before="0"/>
        <w:ind w:left="1134" w:hanging="425"/>
        <w:jc w:val="both"/>
        <w:rPr>
          <w:rFonts w:ascii="Times New Roman" w:hAnsi="Times New Roman" w:cs="Arial"/>
          <w:noProof/>
          <w:sz w:val="24"/>
        </w:rPr>
      </w:pPr>
      <w:r>
        <w:rPr>
          <w:rFonts w:ascii="Times New Roman" w:hAnsi="Times New Roman"/>
          <w:noProof/>
          <w:sz w:val="24"/>
        </w:rPr>
        <w:t>“</w:t>
      </w:r>
      <w:r>
        <w:rPr>
          <w:rFonts w:ascii="Times New Roman" w:hAnsi="Times New Roman"/>
          <w:b/>
          <w:noProof/>
          <w:sz w:val="24"/>
        </w:rPr>
        <w:t>Rezerves</w:t>
      </w:r>
      <w:r>
        <w:rPr>
          <w:rFonts w:ascii="Times New Roman" w:hAnsi="Times New Roman"/>
          <w:noProof/>
          <w:sz w:val="24"/>
        </w:rPr>
        <w:t xml:space="preserve"> ir summas, kuras atskaitītas no sadalāmās peļņas un kuras nav paredzētas tam, lai segtu jebkādas īpašas saistības, neparedzētus izdevumus vai </w:t>
      </w:r>
      <w:r>
        <w:rPr>
          <w:rFonts w:ascii="Times New Roman" w:hAnsi="Times New Roman"/>
          <w:noProof/>
          <w:sz w:val="24"/>
        </w:rPr>
        <w:lastRenderedPageBreak/>
        <w:t>gaidāmu aktīvu vērtības samazināšanos, kas pastāv bilances datumā.”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82" w:name="IV.2.5.4_Special_transitional_rules_for_"/>
      <w:bookmarkEnd w:id="282"/>
      <w:r>
        <w:rPr>
          <w:rFonts w:ascii="Times New Roman" w:hAnsi="Times New Roman"/>
          <w:noProof/>
          <w:sz w:val="24"/>
        </w:rPr>
        <w:t>IV.2.5.4. Īpaši pārejas noteikumi valstīm, kas pievienojas eirozonai</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5"/>
        </w:numPr>
        <w:tabs>
          <w:tab w:val="left" w:pos="1162"/>
        </w:tabs>
        <w:spacing w:before="0"/>
        <w:ind w:left="709" w:hanging="709"/>
        <w:jc w:val="both"/>
        <w:rPr>
          <w:rFonts w:ascii="Times New Roman" w:hAnsi="Times New Roman"/>
          <w:noProof/>
          <w:sz w:val="24"/>
        </w:rPr>
      </w:pPr>
      <w:r>
        <w:rPr>
          <w:rFonts w:ascii="Times New Roman" w:hAnsi="Times New Roman"/>
          <w:noProof/>
          <w:sz w:val="24"/>
        </w:rPr>
        <w:t>VCB pārvērtē visus finanšu aktīvus un saistības datumā, kad tās kļūst par Eirosistēmas dalībniecēm. Nerealizētos guvumus, kas radušies pirms iestāšanās eirozonā, nodala no tiem nerealizētajiem novērtēšanas guvumiem, kas radušies pēc iestāšanās eirozonā. ECB Uzskaites pamatnostādnēs VCB ir ieteikts nesadalīt nerealizētos guvumus pārejas periodā, pēc kura notiek iestāšanās Eirosistēmā. Šajā gadījumā nerealizētos guvumus, kas radušies pirms iestāšanās eirozonā, var sadalīt, tiklīdz tie ir faktiski realizēti darījumos, kas veikti pēc iestāšanās eirozonā.</w:t>
      </w:r>
    </w:p>
    <w:p w:rsidR="00523A0A" w:rsidRDefault="00523A0A" w:rsidP="00523A0A">
      <w:pPr>
        <w:rPr>
          <w:rFonts w:ascii="Times New Roman" w:eastAsia="Arial" w:hAnsi="Times New Roman" w:cs="Arial"/>
          <w:noProof/>
          <w:sz w:val="24"/>
          <w:szCs w:val="20"/>
        </w:rPr>
      </w:pPr>
      <w:r>
        <w:br w:type="page"/>
      </w:r>
    </w:p>
    <w:p w:rsidR="00523A0A" w:rsidRDefault="00523A0A" w:rsidP="009804C1">
      <w:pPr>
        <w:pStyle w:val="Heading2"/>
        <w:rPr>
          <w:noProof/>
        </w:rPr>
      </w:pPr>
      <w:bookmarkStart w:id="283" w:name="IV.3_The_sale_of_gold_and_foreign_exchan"/>
      <w:bookmarkStart w:id="284" w:name="_bookmark33"/>
      <w:bookmarkStart w:id="285" w:name="_Toc471135899"/>
      <w:bookmarkEnd w:id="283"/>
      <w:bookmarkEnd w:id="284"/>
      <w:r>
        <w:rPr>
          <w:noProof/>
        </w:rPr>
        <w:lastRenderedPageBreak/>
        <w:t xml:space="preserve">IV.3. Zelta </w:t>
      </w:r>
      <w:r w:rsidRPr="009804C1">
        <w:t>tirdzniecība</w:t>
      </w:r>
      <w:r>
        <w:rPr>
          <w:noProof/>
        </w:rPr>
        <w:t xml:space="preserve"> un ārvalstu valūtu maiņa centrālajā bankā</w:t>
      </w:r>
      <w:bookmarkEnd w:id="285"/>
    </w:p>
    <w:p w:rsidR="00523A0A" w:rsidRPr="001973D0" w:rsidRDefault="00523A0A" w:rsidP="00523A0A">
      <w:pPr>
        <w:pStyle w:val="Heading2"/>
        <w:tabs>
          <w:tab w:val="left" w:pos="1602"/>
        </w:tabs>
        <w:jc w:val="both"/>
        <w:rPr>
          <w:noProof/>
          <w:sz w:val="24"/>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286" w:name="IV.3.1_Background"/>
      <w:bookmarkEnd w:id="286"/>
      <w:r>
        <w:rPr>
          <w:rFonts w:ascii="Times New Roman" w:hAnsi="Times New Roman"/>
          <w:noProof/>
          <w:u w:val="none"/>
        </w:rPr>
        <w:t>IV.3.1. </w:t>
      </w:r>
      <w:r>
        <w:rPr>
          <w:rFonts w:ascii="Times New Roman" w:hAnsi="Times New Roman"/>
          <w:noProof/>
          <w:u w:val="thick" w:color="000000"/>
        </w:rPr>
        <w:t>Vispārēja informācija</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Ieņēmumi no centrālās bankas zelta vai citu rezervju aktīvu pārdošanas var tikt nodoti valdībai. Šajā nodaļā paskaidrots, kāpēc šāds pārvedums neietekmē valdības neto aizdevumu/aizņēmumu, jo tas tiek uzskatīts par pašu kapitāla izņemšanu. Šis traktējums ir īsi pieminēts EKS 2010 20.217. punktā.</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Pirmkārt, ir lietderīgi sniegt rezervju aktīvu definīciju. Šāda definīcija ir sniegta SVF Maksājumu bilances rokasgrāmatā: “Rezervju aktīvi ir tādi monetārajām iestādēm nekavējoties pieejami un to kontrolē esoši ārējie aktīvi, kurus tās izmanto maksājumu bilances finansēšanas vajadzībām, intervencei valūtas maiņas tirgos nolūkā ietekmēt valūtas kursu un citiem saistītiem mērķiem (piemēram, lai uzturētu uzticību valūtai un tautsaimniecībai un izmantotu par pamatu ārvalstu aizņēmumu saņemšanai). Rezervju aktīvi ir ārvalstu valūtu aktīvi un reāli pastāvoši aktīvi. Iespējamie aktīvi netiek iekļauti. Rezerves aktīvu jēdziena pamatā ir tādi jēdzieni kā monetāro iestāžu “kontrole” un “pieejamība izmantošanai” šādām iestādēm.</w:t>
      </w:r>
      <w:r>
        <w:rPr>
          <w:rStyle w:val="FootnoteReference"/>
          <w:rFonts w:ascii="Times New Roman" w:hAnsi="Times New Roman"/>
          <w:noProof/>
          <w:sz w:val="24"/>
        </w:rPr>
        <w:footnoteReference w:id="184"/>
      </w:r>
      <w:r>
        <w:rPr>
          <w:rFonts w:ascii="Times New Roman" w:hAnsi="Times New Roman"/>
          <w:noProof/>
          <w:sz w:val="24"/>
        </w:rPr>
        <w:t xml:space="preserve"> Rezerves aktīvi ir monetārais zelts, speciālo aizņēmuma tiesību (</w:t>
      </w:r>
      <w:r>
        <w:rPr>
          <w:rFonts w:ascii="Times New Roman" w:hAnsi="Times New Roman"/>
          <w:i/>
          <w:noProof/>
          <w:sz w:val="24"/>
        </w:rPr>
        <w:t>SDR</w:t>
      </w:r>
      <w:r>
        <w:rPr>
          <w:rFonts w:ascii="Times New Roman" w:hAnsi="Times New Roman"/>
          <w:noProof/>
          <w:sz w:val="24"/>
        </w:rPr>
        <w:t>) turējumi, rezerves posteņi SVF, valūta un noguldījumi, vērtspapīri (tostarp parāda un pašu kapitāla vērtspapīri), atvasinātie finanšu instrumenti un citi prasījumi (aizdevumi un citi finanšu instrumenti).</w:t>
      </w:r>
      <w:r>
        <w:rPr>
          <w:rStyle w:val="FootnoteReference"/>
          <w:rFonts w:ascii="Times New Roman" w:hAnsi="Times New Roman"/>
          <w:noProof/>
          <w:sz w:val="24"/>
        </w:rPr>
        <w:footnoteReference w:id="185"/>
      </w:r>
      <w:r>
        <w:rPr>
          <w:rFonts w:ascii="Times New Roman" w:hAnsi="Times New Roman"/>
          <w:noProof/>
          <w:sz w:val="24"/>
        </w:rPr>
        <w:t xml:space="preserve"> Turpmākajās sadaļās ir aplūkots tikai zelts un ārvalstu valūtu aktīvi.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287" w:name="IV.3.2_Treatment_in_national_accounts"/>
      <w:bookmarkEnd w:id="287"/>
      <w:r>
        <w:rPr>
          <w:rFonts w:ascii="Times New Roman" w:hAnsi="Times New Roman"/>
          <w:noProof/>
          <w:u w:val="none"/>
        </w:rPr>
        <w:t>IV.3.2. </w:t>
      </w:r>
      <w:r>
        <w:rPr>
          <w:rFonts w:ascii="Times New Roman" w:hAnsi="Times New Roman"/>
          <w:noProof/>
          <w:u w:val="thick" w:color="000000"/>
        </w:rPr>
        <w:t>Traktējums nacionālajos kontos</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Centrālā banka var pārdot ievērojamu daļu no saviem rezervju aktīviem un pārskaitīt valdībai visus ieņēmumus vai to daļu. Šādā gadījumā ieņēmumu maksājumu valdībai pilnīg</w:t>
      </w:r>
      <w:r w:rsidR="00D86920">
        <w:rPr>
          <w:rFonts w:ascii="Times New Roman" w:hAnsi="Times New Roman"/>
          <w:noProof/>
          <w:sz w:val="24"/>
        </w:rPr>
        <w:t>i ieraksta</w:t>
      </w:r>
      <w:r>
        <w:rPr>
          <w:rFonts w:ascii="Times New Roman" w:hAnsi="Times New Roman"/>
          <w:noProof/>
          <w:sz w:val="24"/>
        </w:rPr>
        <w:t xml:space="preserve"> valsts un centrālās ba</w:t>
      </w:r>
      <w:r w:rsidR="00D86920">
        <w:rPr>
          <w:rFonts w:ascii="Times New Roman" w:hAnsi="Times New Roman"/>
          <w:noProof/>
          <w:sz w:val="24"/>
        </w:rPr>
        <w:t>nkas finanšu kontos. To ieraksta</w:t>
      </w:r>
      <w:r>
        <w:rPr>
          <w:rFonts w:ascii="Times New Roman" w:hAnsi="Times New Roman"/>
          <w:noProof/>
          <w:sz w:val="24"/>
        </w:rPr>
        <w:t xml:space="preserve"> kā valdības veiktu akciju vai cita pašu kapitāla (F.5) izņemšanu no centrālās bankas ar pretēju ierakstu valdības turēto finanšu aktīvu palielināšanai (lielākoties noguldījumi (F.2)), vai, iespējams, valdības finanšu prasījuma pret centrālo banku samazināšanai (piemēram, aizdevumi (F.4)).</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Šāds traktējums nacionālajos kontos jāievēro neatkarīgi no tā, kā šis maksājums ir nosaukts centrālās bankas grāmatvedībā vai publiskajos kontos, piemēram, vai kā dividendes vai nodokļi. Lielu ar zelta vai ārvalstu valūtu rezervju ārkārtas pārdevumu saistītu maksājumu gad</w:t>
      </w:r>
      <w:r w:rsidR="00D86920">
        <w:rPr>
          <w:rFonts w:ascii="Times New Roman" w:hAnsi="Times New Roman"/>
          <w:noProof/>
          <w:sz w:val="24"/>
        </w:rPr>
        <w:t>ījumā nodokļu maksājumu ieraksta</w:t>
      </w:r>
      <w:r>
        <w:rPr>
          <w:rFonts w:ascii="Times New Roman" w:hAnsi="Times New Roman"/>
          <w:noProof/>
          <w:sz w:val="24"/>
        </w:rPr>
        <w:t xml:space="preserve"> kā pašu kapitāla izņemšanu (skatīt IV.2. nodaļu “Maksājumi starp centrālo banku un valdību”).</w:t>
      </w:r>
    </w:p>
    <w:p w:rsidR="00523A0A" w:rsidRPr="00411CE1"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Nacionālajos kontos zelt</w:t>
      </w:r>
      <w:r w:rsidR="00D86920">
        <w:rPr>
          <w:rFonts w:ascii="Times New Roman" w:hAnsi="Times New Roman"/>
          <w:noProof/>
          <w:sz w:val="24"/>
        </w:rPr>
        <w:t>a pārdevuma pareiza ierakstīšana</w:t>
      </w:r>
      <w:r>
        <w:rPr>
          <w:rFonts w:ascii="Times New Roman" w:hAnsi="Times New Roman"/>
          <w:noProof/>
          <w:sz w:val="24"/>
        </w:rPr>
        <w:t xml:space="preserve"> VCB kontos ir atkarīga no tā, kāds zelts ir pārdots – monetārais vai nemonetārais. Monetārais zelts ir finanšu aktīvs, un monetārajām iestādēm (vai citām iestādēm, kuras atrodas faktiskā monetāro iestāžu kontrolē) pieder īpašumtiesības uz šādu zeltu, un tas tiek turēts kā rezervju aktīvi. Nemonetārais zelts ir dārgmetāls un tātad nefinanšu aktīvs. Monetārā zelta pārdošana nekādi neietekmēs centrālās bankas neto aizdevumu/aizņēmumu (B.9). Nemonetārā zelta (t.i., demonetizēta monetārā zelta) pārdevums ietekmēs centrālās bankas neto aizdevumu/aizņēmumu (B.9). Abos gadījumus centrālās bankas ieņēmumu maksājums valdībai neietekmē valdības neto aizdevumu/aizņēmumu (B.9).</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288" w:name="IV.3.3_Rationale_of_the_treatment"/>
      <w:bookmarkEnd w:id="288"/>
      <w:r>
        <w:rPr>
          <w:rFonts w:ascii="Times New Roman" w:hAnsi="Times New Roman"/>
          <w:noProof/>
          <w:u w:val="none"/>
        </w:rPr>
        <w:lastRenderedPageBreak/>
        <w:t>IV.3.3. </w:t>
      </w:r>
      <w:r>
        <w:rPr>
          <w:rFonts w:ascii="Times New Roman" w:hAnsi="Times New Roman"/>
          <w:noProof/>
          <w:u w:val="thick" w:color="000000"/>
        </w:rPr>
        <w:t>Traktējuma pamatojums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36"/>
        </w:tabs>
        <w:jc w:val="both"/>
        <w:rPr>
          <w:rFonts w:ascii="Times New Roman" w:hAnsi="Times New Roman"/>
          <w:noProof/>
          <w:sz w:val="24"/>
        </w:rPr>
      </w:pPr>
      <w:bookmarkStart w:id="289" w:name="IV.3.3.1_The_specific_nature_of_reserve_"/>
      <w:bookmarkEnd w:id="289"/>
      <w:r>
        <w:rPr>
          <w:rFonts w:ascii="Times New Roman" w:hAnsi="Times New Roman"/>
          <w:noProof/>
          <w:sz w:val="24"/>
        </w:rPr>
        <w:t>IV.3.3.1. Rezervju aktīvu īpašās iezīmes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0"/>
        </w:numPr>
        <w:tabs>
          <w:tab w:val="left" w:pos="1162"/>
        </w:tabs>
        <w:spacing w:before="0"/>
        <w:ind w:left="709" w:hanging="709"/>
        <w:jc w:val="both"/>
        <w:rPr>
          <w:rFonts w:ascii="Times New Roman" w:hAnsi="Times New Roman"/>
          <w:noProof/>
          <w:sz w:val="24"/>
        </w:rPr>
      </w:pPr>
      <w:r>
        <w:rPr>
          <w:rFonts w:ascii="Times New Roman" w:hAnsi="Times New Roman"/>
          <w:noProof/>
          <w:sz w:val="24"/>
        </w:rPr>
        <w:t>Salīdzinājumā ar citiem finanšu aktīviem rezervju aktīviem ir īpašas iezīmes. Lai gan centrālajai bankai ir pilnīga autonomija attiecībā uz aktīvu pārvaldību, šī iestāde nerīkojas savās interesēs kā sabiedrība, piemēram, palielinot savu akcionāru peļņu vai bagātību. Centrālās bankas uzdevums ārvalstu aktīvu pārvaldības jomā ir noteikts īpašos tiesību aktos. Tos atbilstoši monetārajai politikai pārvalda ar nolūku īstenot makroekonomikas mērķus un sabiedrības intereses. Tādējādi šie aktīvi faktiski nav to vienību īpašums, kuras tos pārvalda. Tie pieder valstij, ko nacionālajos kontos pārstāv vispārējā valdība.</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290" w:name="IV.3.3.2_The_recording_of_foreign_exchan"/>
      <w:bookmarkEnd w:id="290"/>
      <w:r>
        <w:rPr>
          <w:rFonts w:ascii="Times New Roman" w:hAnsi="Times New Roman"/>
          <w:noProof/>
          <w:sz w:val="24"/>
        </w:rPr>
        <w:t>IV.3.3</w:t>
      </w:r>
      <w:r w:rsidR="00D86920">
        <w:rPr>
          <w:rFonts w:ascii="Times New Roman" w:hAnsi="Times New Roman"/>
          <w:noProof/>
          <w:sz w:val="24"/>
        </w:rPr>
        <w:t>.2. Ārvalstu valūtu ierakstīšana</w:t>
      </w:r>
      <w:r>
        <w:rPr>
          <w:rFonts w:ascii="Times New Roman" w:hAnsi="Times New Roman"/>
          <w:noProof/>
          <w:sz w:val="24"/>
        </w:rPr>
        <w:t xml:space="preserve"> centrālās bankas bilancē</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60"/>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Iepriekš minētās centrālās bankas īpašumā esošo ārvalstu valūtu īpašās iezīmes jāatspoguļo nacionālajos kontos </w:t>
      </w:r>
      <w:r w:rsidR="00D86920">
        <w:rPr>
          <w:rFonts w:ascii="Times New Roman" w:hAnsi="Times New Roman"/>
          <w:noProof/>
          <w:sz w:val="24"/>
        </w:rPr>
        <w:t>kā pašu kapitāls, kas ierakstīts</w:t>
      </w:r>
      <w:r>
        <w:rPr>
          <w:rFonts w:ascii="Times New Roman" w:hAnsi="Times New Roman"/>
          <w:noProof/>
          <w:sz w:val="24"/>
        </w:rPr>
        <w:t xml:space="preserve"> vispārējās valdības aktīva pusē un centrālās bankas pasīva pusē. Statistiskā traktējuma vienveidīgumam un apsvērumiem visās ES dalībvalstīs ir lielāka nozīme nekā centrālās bankas juridiskajam statusam. Pat ja juridiskā izpratnē starp valdību un centrālo banku nav nekādu īpašumtiesību attiec</w:t>
      </w:r>
      <w:r w:rsidR="00D86920">
        <w:rPr>
          <w:rFonts w:ascii="Times New Roman" w:hAnsi="Times New Roman"/>
          <w:noProof/>
          <w:sz w:val="24"/>
        </w:rPr>
        <w:t>ību, pašu kapitāls ir jāieraksta</w:t>
      </w:r>
      <w:r>
        <w:rPr>
          <w:rFonts w:ascii="Times New Roman" w:hAnsi="Times New Roman"/>
          <w:noProof/>
          <w:sz w:val="24"/>
        </w:rPr>
        <w:t xml:space="preserve"> nacionālajos kontos, lai atspoguļotu faktu, ka centrālā banka tur un pārvalda rezervju aktīvus valsts un attiecīgi valdības vārdā vai ka valdība ir centrālās bankas ekonomiskā īpašniece, jo tai ir tiesības uz neto aktīviem likvidācijas gadījumā vai arī tai regulāri izmaksā daļu peļņas (EKS 2010 5.148. punkts).</w:t>
      </w:r>
    </w:p>
    <w:p w:rsidR="00523A0A" w:rsidRPr="001973D0" w:rsidRDefault="00523A0A" w:rsidP="00523A0A">
      <w:pPr>
        <w:pStyle w:val="BodyText"/>
        <w:numPr>
          <w:ilvl w:val="0"/>
          <w:numId w:val="60"/>
        </w:numPr>
        <w:tabs>
          <w:tab w:val="left" w:pos="1162"/>
        </w:tabs>
        <w:spacing w:before="0"/>
        <w:ind w:left="709" w:hanging="709"/>
        <w:jc w:val="both"/>
        <w:rPr>
          <w:rFonts w:ascii="Times New Roman" w:hAnsi="Times New Roman"/>
          <w:noProof/>
          <w:sz w:val="24"/>
        </w:rPr>
      </w:pPr>
      <w:r>
        <w:rPr>
          <w:rFonts w:ascii="Times New Roman" w:hAnsi="Times New Roman"/>
          <w:noProof/>
          <w:sz w:val="24"/>
        </w:rPr>
        <w:t>Jautājums ir par to, kā novērtēt valdības pašu kapitālu centrālajā bankā attiecībā uz rezervju aktīvu turējumu. Lai atbildētu uz šo jautājumu, ir lietderīgi izvērtēt naudas rašanās procesu ārvalstu darījumu rezultātā, proti, laikā, kad centrālā banka iegūst rezervju aktīvus, visticamāk, tās bilancē veic pretēju iera</w:t>
      </w:r>
      <w:r w:rsidR="00D86920">
        <w:rPr>
          <w:rFonts w:ascii="Times New Roman" w:hAnsi="Times New Roman"/>
          <w:noProof/>
          <w:sz w:val="24"/>
        </w:rPr>
        <w:t>kstu pasīva pusē, lai ierakstītu</w:t>
      </w:r>
      <w:r>
        <w:rPr>
          <w:rFonts w:ascii="Times New Roman" w:hAnsi="Times New Roman"/>
          <w:noProof/>
          <w:sz w:val="24"/>
        </w:rPr>
        <w:t xml:space="preserve"> (pamata) naudas emisiju. Turēšanas guvumi rodas tad, kad palielinās šādi iegūto rezervju aktīvu tirgus cena. Nacionālo kontu bilancēs turēšanas guvumi izraisa instrumenta vērtības palielināšanos centrālās bankas bilances aktīva pusē. Šādam palielinājumam aktīva pusē ir ekvivalents pasīva pusē: valdības pašu kapitāla palielināšanās.</w:t>
      </w:r>
    </w:p>
    <w:p w:rsidR="00523A0A" w:rsidRPr="001973D0" w:rsidRDefault="00523A0A" w:rsidP="00523A0A">
      <w:pPr>
        <w:pStyle w:val="BodyText"/>
        <w:numPr>
          <w:ilvl w:val="0"/>
          <w:numId w:val="60"/>
        </w:numPr>
        <w:tabs>
          <w:tab w:val="left" w:pos="1162"/>
        </w:tabs>
        <w:spacing w:before="0"/>
        <w:ind w:left="709" w:hanging="709"/>
        <w:jc w:val="both"/>
        <w:rPr>
          <w:rFonts w:ascii="Times New Roman" w:hAnsi="Times New Roman"/>
          <w:noProof/>
          <w:sz w:val="24"/>
        </w:rPr>
      </w:pPr>
      <w:r>
        <w:rPr>
          <w:rFonts w:ascii="Times New Roman" w:hAnsi="Times New Roman"/>
          <w:noProof/>
          <w:sz w:val="24"/>
        </w:rPr>
        <w:t>Tādējādi kādā konkrētā brīdī valdības pašu kapitāla vērtība centrālās bankas bilancē attiecībā uz rezervju aktīviem tiks atspoguļota ar starpību starp cenām, par kurām centrālā banka iegādājās šos aktīvus, un to pašreizējām tirgus cenām. Precīzāk, tā ir vienāda ar turēšanas guvumu/zaudējumu uzkrājumu, no kā atņem valdības izņemto pašu kapitālu. Šajā posmā ir lietderīgi nošķirt monetāro zeltu un ārvalstu valūtas aktīvus.</w:t>
      </w:r>
    </w:p>
    <w:p w:rsidR="00523A0A" w:rsidRPr="001973D0" w:rsidRDefault="00523A0A" w:rsidP="00523A0A">
      <w:pPr>
        <w:pStyle w:val="BodyText"/>
        <w:numPr>
          <w:ilvl w:val="0"/>
          <w:numId w:val="60"/>
        </w:numPr>
        <w:tabs>
          <w:tab w:val="left" w:pos="1162"/>
        </w:tabs>
        <w:spacing w:before="0"/>
        <w:ind w:left="709" w:hanging="709"/>
        <w:jc w:val="both"/>
        <w:rPr>
          <w:rFonts w:ascii="Times New Roman" w:hAnsi="Times New Roman"/>
          <w:noProof/>
          <w:sz w:val="24"/>
        </w:rPr>
      </w:pPr>
      <w:r>
        <w:rPr>
          <w:rFonts w:ascii="Times New Roman" w:hAnsi="Times New Roman"/>
          <w:noProof/>
          <w:sz w:val="24"/>
        </w:rPr>
        <w:t>Parasti centrālās bankas zeltu ir iegādājušās ļoti sen, un zelta cenas kopš tā brīža ir ievērojami pieaugušas. Tādējādi valdības pašu kapitāls attiecībā uz monetārā zelta turējumiem ir kopumā svarīgs tiktāl, ciktāl centrālās bankas ir paturējušas rezervju aktīvus saskaņā ar šo formu.</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Grūtāk ir izdarīt pārliecinošus secinājumus par pašu kapitālu, kas saistīts ar ārvalstu valūtu aktīviem: valūtas kursu svārstību galīgā ietekme ir atkarīga no ļoti daudziem faktoriem, piemēram, no ietekmes uz importu un eksportu, norēķinu valūtu u. c. Iespējams, ka turēšanas zaudējumu dēļ pašu kapitāla vērtība krīt vai pat kļūst negatīva.</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Tomēr tas, ka valdībai ir maksājumi, kas saistīti ar ārvalstu valūtu aktīviem, nozīmē, ka pastāv pozitīva starpība starp ārvalstu valūtu pašreizējo tirgus vērtību un to iegādes cenu – ja būtu radušies zaudējumi, nebūtu iespējams veikt maksājumus no centrālās bankas valdībai. Tātad šeit aplūkotajos gadījumos pastāv turēšanas guvums, un tādējādi </w:t>
      </w:r>
      <w:r>
        <w:rPr>
          <w:rFonts w:ascii="Times New Roman" w:hAnsi="Times New Roman"/>
          <w:noProof/>
          <w:sz w:val="24"/>
        </w:rPr>
        <w:lastRenderedPageBreak/>
        <w:t>valdības pašu kapitāla vērtība centrālajā bankā attiecībā uz ārvalstu valūtu aktīviem ir palielinājusies.</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Visi centrālās bankas maksājumi valdībai saistībā ar rezervju aktīvu turēšanu un pārvaldību notiek tāpēc, ka valdībai pieder pašu kapitāls centrālajā bankā attiecībā uz šādiem rezervju aktīviem. Tādējādi tos traktē kā akciju un cita pašu kapitāla izņemšanu (F.5).</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291" w:name="IV.3.3.3_Monetary_vs._non-monetary_gold"/>
      <w:bookmarkEnd w:id="291"/>
      <w:r>
        <w:rPr>
          <w:rFonts w:ascii="Times New Roman" w:hAnsi="Times New Roman"/>
          <w:noProof/>
          <w:sz w:val="24"/>
        </w:rPr>
        <w:t>IV.3.3.3. Monetārais un nemonetārais zelts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Monetārā zelta pārdevuma uzskaite VCB kontos atšķiras no nemonetārā zelta pārdevuma uzskaites. Monetārais zelts ir finanšu aktīvs, kuru tur monetārās iestādes (centrālā banka vai dažās valstīs – centrālā valdība) kā daļu no ārvalstu rezervēm (sk. EKS 2010 5.57. punktu). Ja VCB pārdod zeltu citām (t. i., ārvalstu) mo</w:t>
      </w:r>
      <w:r w:rsidR="00D86920">
        <w:rPr>
          <w:rFonts w:ascii="Times New Roman" w:hAnsi="Times New Roman"/>
          <w:noProof/>
          <w:sz w:val="24"/>
        </w:rPr>
        <w:t>netārajām iestādēm, to ieraksta</w:t>
      </w:r>
      <w:r>
        <w:rPr>
          <w:rFonts w:ascii="Times New Roman" w:hAnsi="Times New Roman"/>
          <w:noProof/>
          <w:sz w:val="24"/>
        </w:rPr>
        <w:t xml:space="preserve"> iekšzemes centrālās bankas finanšu kontos kā finanšu aktīvu samazinājumu ar ekvivalentu samazinājuma ierakstu centrālās bankas pasīvā attiecībā pret ārvalstu monetārajām iestādēm (vai kā centrālās bankas finanšu prasību pieaugumu pret ārvalstu monetārajām iestādēm). Ja zeltu pārdod nemonetārajām iestādēm, to traktē kā dārgmetāla realizāciju. Pirms šāda pārdevuma monetāro zeltu centrālās bankas kontos demonetizē.</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Demonetizāciju, proti, monetārā zelta pārklasificēšanu</w:t>
      </w:r>
      <w:r w:rsidR="00D86920">
        <w:rPr>
          <w:rFonts w:ascii="Times New Roman" w:hAnsi="Times New Roman"/>
          <w:noProof/>
          <w:sz w:val="24"/>
        </w:rPr>
        <w:t xml:space="preserve"> par nemonetāro zeltu, ieraksta</w:t>
      </w:r>
      <w:r>
        <w:rPr>
          <w:rFonts w:ascii="Times New Roman" w:hAnsi="Times New Roman"/>
          <w:noProof/>
          <w:sz w:val="24"/>
        </w:rPr>
        <w:t xml:space="preserve"> centrālās bankas aktīvu un saistību klasifikācijas pārmaiņas kontos (K.62), sk. EKS 2010 6.22.–6.24. punktu.</w:t>
      </w:r>
      <w:r>
        <w:rPr>
          <w:rStyle w:val="FootnoteReference"/>
          <w:rFonts w:ascii="Times New Roman" w:hAnsi="Times New Roman"/>
          <w:noProof/>
          <w:sz w:val="24"/>
        </w:rPr>
        <w:footnoteReference w:id="186"/>
      </w:r>
      <w:r>
        <w:rPr>
          <w:rFonts w:ascii="Times New Roman" w:hAnsi="Times New Roman"/>
          <w:noProof/>
          <w:sz w:val="24"/>
        </w:rPr>
        <w:t xml:space="preserve"> Lai gan nemonetārā zelta pārdevumu centrālās bankas kontā iegrāmato atšķirīgi no monetārā zelta pārdevuma, ieņēmumu pā</w:t>
      </w:r>
      <w:r w:rsidR="00F13572">
        <w:rPr>
          <w:rFonts w:ascii="Times New Roman" w:hAnsi="Times New Roman"/>
          <w:noProof/>
          <w:sz w:val="24"/>
        </w:rPr>
        <w:t>rvedumu abos gadījumos ieraksta</w:t>
      </w:r>
      <w:r>
        <w:rPr>
          <w:rFonts w:ascii="Times New Roman" w:hAnsi="Times New Roman"/>
          <w:noProof/>
          <w:sz w:val="24"/>
        </w:rPr>
        <w:t xml:space="preserve"> kā pašu kapitāla izņemšanu, jo abos gadījumos zeltu pārvalda centrālā banka tautas un attiecīgi valdības vārdā.</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rPr>
      </w:pPr>
      <w:r>
        <w:rPr>
          <w:rFonts w:ascii="Times New Roman" w:hAnsi="Times New Roman"/>
          <w:noProof/>
          <w:sz w:val="24"/>
        </w:rPr>
        <w:t>Turklāt zelta pārdevums neietekmē centrālās bankas pamatdarbības peļņu. Tādējādi pārdevuma ieņēmumu pā</w:t>
      </w:r>
      <w:r w:rsidR="00F13572">
        <w:rPr>
          <w:rFonts w:ascii="Times New Roman" w:hAnsi="Times New Roman"/>
          <w:noProof/>
          <w:sz w:val="24"/>
        </w:rPr>
        <w:t>rvedumu valdībai nevar ierakstīt</w:t>
      </w:r>
      <w:r>
        <w:rPr>
          <w:rFonts w:ascii="Times New Roman" w:hAnsi="Times New Roman"/>
          <w:noProof/>
          <w:sz w:val="24"/>
        </w:rPr>
        <w:t xml:space="preserve"> kā īpašuma ienākumu valdības kontos neatkarīgi no tā, kam ir pārdots zelts – monetārajām iestādēm vai citiem institucionālajiem sektoriem. Šis nemonetārā zelta pārdevuma traktējums atbilst nefinanšu aktīvu netiešo pārdevumu uzskaitei (sk. V.2.2.4. apakšiedaļu “Nefinanšu aktīvu netieša pārdošana”).</w:t>
      </w:r>
    </w:p>
    <w:p w:rsidR="00523A0A" w:rsidRPr="001973D0" w:rsidRDefault="00523A0A" w:rsidP="00523A0A">
      <w:pPr>
        <w:pStyle w:val="BodyText"/>
        <w:numPr>
          <w:ilvl w:val="0"/>
          <w:numId w:val="60"/>
        </w:numPr>
        <w:tabs>
          <w:tab w:val="left" w:pos="1242"/>
        </w:tabs>
        <w:spacing w:before="0"/>
        <w:ind w:left="709" w:hanging="709"/>
        <w:jc w:val="both"/>
        <w:rPr>
          <w:rFonts w:ascii="Times New Roman" w:hAnsi="Times New Roman"/>
          <w:noProof/>
          <w:sz w:val="24"/>
          <w:szCs w:val="14"/>
        </w:rPr>
      </w:pPr>
      <w:r>
        <w:rPr>
          <w:rFonts w:ascii="Times New Roman" w:hAnsi="Times New Roman"/>
          <w:noProof/>
          <w:sz w:val="24"/>
        </w:rPr>
        <w:t>Līgums par zelta pārdošanu 5 gadus ilgā laika posmā starp vairākām Eiropas centrālajām bankām tika atjaunots 2009. gadā, un tajā bija ierosināta saskaņota pārdošanas programma attiecībā uz 5 gadus ilgu laika posmu un maksimālais pieļaujamais pārdošanas apjoms – kopā ne vairāk par 500 tonnām katru gadu.</w:t>
      </w:r>
      <w:r>
        <w:rPr>
          <w:rStyle w:val="FootnoteReference"/>
          <w:rFonts w:ascii="Times New Roman" w:hAnsi="Times New Roman"/>
          <w:noProof/>
          <w:sz w:val="24"/>
        </w:rPr>
        <w:footnoteReference w:id="187"/>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292" w:name="IV.3.4_Accounting_examples"/>
      <w:bookmarkEnd w:id="292"/>
      <w:r>
        <w:rPr>
          <w:rFonts w:ascii="Times New Roman" w:hAnsi="Times New Roman"/>
          <w:noProof/>
          <w:u w:val="none"/>
        </w:rPr>
        <w:t>IV.3.4. </w:t>
      </w:r>
      <w:r>
        <w:rPr>
          <w:rFonts w:ascii="Times New Roman" w:hAnsi="Times New Roman"/>
          <w:noProof/>
          <w:u w:val="thick" w:color="000000"/>
        </w:rPr>
        <w:t>Uzskaites piemēri</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1. piemērs</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2"/>
          <w:numId w:val="32"/>
        </w:numPr>
        <w:tabs>
          <w:tab w:val="left" w:pos="1228"/>
        </w:tabs>
        <w:spacing w:before="0"/>
        <w:ind w:left="709" w:hanging="709"/>
        <w:jc w:val="both"/>
        <w:rPr>
          <w:rFonts w:ascii="Times New Roman" w:hAnsi="Times New Roman"/>
          <w:noProof/>
          <w:sz w:val="24"/>
        </w:rPr>
      </w:pPr>
      <w:r>
        <w:rPr>
          <w:rFonts w:ascii="Times New Roman" w:hAnsi="Times New Roman"/>
          <w:noProof/>
          <w:sz w:val="24"/>
        </w:rPr>
        <w:t xml:space="preserve">Pieņemsim, ka centrālā banka tur monetāro zeltu, kura vērtība 1. gadā palielinās par 100 miljoniem </w:t>
      </w:r>
      <w:r>
        <w:rPr>
          <w:rFonts w:ascii="Times New Roman" w:hAnsi="Times New Roman"/>
          <w:i/>
          <w:noProof/>
          <w:sz w:val="24"/>
        </w:rPr>
        <w:t>euro</w:t>
      </w:r>
      <w:r>
        <w:rPr>
          <w:rFonts w:ascii="Times New Roman" w:hAnsi="Times New Roman"/>
          <w:noProof/>
          <w:sz w:val="24"/>
        </w:rPr>
        <w:t>.</w:t>
      </w:r>
    </w:p>
    <w:p w:rsidR="00523A0A" w:rsidRPr="001973D0" w:rsidRDefault="00523A0A" w:rsidP="00523A0A">
      <w:pPr>
        <w:pStyle w:val="BodyText"/>
        <w:numPr>
          <w:ilvl w:val="2"/>
          <w:numId w:val="32"/>
        </w:numPr>
        <w:tabs>
          <w:tab w:val="left" w:pos="1228"/>
        </w:tabs>
        <w:spacing w:before="0"/>
        <w:ind w:left="709" w:hanging="709"/>
        <w:jc w:val="both"/>
        <w:rPr>
          <w:rFonts w:ascii="Times New Roman" w:hAnsi="Times New Roman"/>
          <w:noProof/>
          <w:sz w:val="24"/>
        </w:rPr>
      </w:pPr>
      <w:r>
        <w:rPr>
          <w:rFonts w:ascii="Times New Roman" w:hAnsi="Times New Roman"/>
          <w:noProof/>
          <w:sz w:val="24"/>
        </w:rPr>
        <w:t xml:space="preserve">Otrajā gadā centrālā banka pārdod ārvalstu monetārajām iestādēm zeltu 90 miljonu </w:t>
      </w:r>
      <w:r>
        <w:rPr>
          <w:rFonts w:ascii="Times New Roman" w:hAnsi="Times New Roman"/>
          <w:i/>
          <w:noProof/>
          <w:sz w:val="24"/>
        </w:rPr>
        <w:t>euro</w:t>
      </w:r>
      <w:r>
        <w:rPr>
          <w:rFonts w:ascii="Times New Roman" w:hAnsi="Times New Roman"/>
          <w:noProof/>
          <w:sz w:val="24"/>
        </w:rPr>
        <w:t xml:space="preserve"> vērtībā.</w:t>
      </w:r>
    </w:p>
    <w:p w:rsidR="00523A0A" w:rsidRPr="001973D0" w:rsidRDefault="00523A0A" w:rsidP="00523A0A">
      <w:pPr>
        <w:pStyle w:val="BodyText"/>
        <w:numPr>
          <w:ilvl w:val="2"/>
          <w:numId w:val="32"/>
        </w:numPr>
        <w:tabs>
          <w:tab w:val="left" w:pos="1228"/>
        </w:tabs>
        <w:spacing w:before="0"/>
        <w:ind w:left="709" w:hanging="709"/>
        <w:jc w:val="both"/>
        <w:rPr>
          <w:rFonts w:ascii="Times New Roman" w:hAnsi="Times New Roman"/>
          <w:noProof/>
          <w:sz w:val="24"/>
        </w:rPr>
      </w:pPr>
      <w:r>
        <w:rPr>
          <w:rFonts w:ascii="Times New Roman" w:hAnsi="Times New Roman"/>
          <w:noProof/>
          <w:sz w:val="24"/>
        </w:rPr>
        <w:t>3. gadā ieņēmumus pārskaita valdībai.</w:t>
      </w:r>
    </w:p>
    <w:p w:rsidR="00523A0A" w:rsidRPr="001973D0" w:rsidRDefault="00523A0A" w:rsidP="00523A0A">
      <w:pPr>
        <w:jc w:val="both"/>
        <w:rPr>
          <w:rFonts w:ascii="Times New Roman" w:eastAsia="Arial" w:hAnsi="Times New Roman" w:cs="Arial"/>
          <w:noProof/>
          <w:sz w:val="24"/>
          <w:szCs w:val="20"/>
        </w:rPr>
      </w:pPr>
    </w:p>
    <w:p w:rsidR="00523A0A" w:rsidRDefault="00AA2FE3" w:rsidP="00523A0A">
      <w:pPr>
        <w:jc w:val="both"/>
        <w:rPr>
          <w:rFonts w:ascii="Times New Roman" w:eastAsia="Calibri" w:hAnsi="Times New Roman" w:cs="Calibri"/>
          <w:noProof/>
          <w:sz w:val="24"/>
          <w:szCs w:val="24"/>
        </w:rPr>
      </w:pPr>
      <w:r w:rsidRPr="00AA2FE3">
        <w:rPr>
          <w:rFonts w:ascii="Times New Roman" w:eastAsia="Calibri" w:hAnsi="Times New Roman" w:cs="Calibri"/>
          <w:noProof/>
          <w:sz w:val="24"/>
          <w:szCs w:val="24"/>
          <w:lang w:bidi="ar-SA"/>
        </w:rPr>
        <w:lastRenderedPageBreak/>
        <w:drawing>
          <wp:inline distT="0" distB="0" distL="0" distR="0">
            <wp:extent cx="5760085" cy="4275439"/>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085" cy="4275439"/>
                    </a:xfrm>
                    <a:prstGeom prst="rect">
                      <a:avLst/>
                    </a:prstGeom>
                    <a:noFill/>
                    <a:ln>
                      <a:noFill/>
                    </a:ln>
                  </pic:spPr>
                </pic:pic>
              </a:graphicData>
            </a:graphic>
          </wp:inline>
        </w:drawing>
      </w:r>
    </w:p>
    <w:p w:rsidR="00523A0A" w:rsidRDefault="00CA7911" w:rsidP="00523A0A">
      <w:pPr>
        <w:jc w:val="both"/>
        <w:rPr>
          <w:rFonts w:ascii="Times New Roman" w:eastAsia="Calibri" w:hAnsi="Times New Roman" w:cs="Calibri"/>
          <w:noProof/>
          <w:sz w:val="24"/>
          <w:szCs w:val="24"/>
        </w:rPr>
      </w:pPr>
      <w:r w:rsidRPr="00CA7911">
        <w:rPr>
          <w:rFonts w:ascii="Times New Roman" w:eastAsia="Calibri" w:hAnsi="Times New Roman" w:cs="Calibri"/>
          <w:noProof/>
          <w:sz w:val="24"/>
          <w:szCs w:val="24"/>
          <w:lang w:bidi="ar-SA"/>
        </w:rPr>
        <w:drawing>
          <wp:inline distT="0" distB="0" distL="0" distR="0">
            <wp:extent cx="5760085" cy="1788186"/>
            <wp:effectExtent l="0" t="0" r="0" b="254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085" cy="1788186"/>
                    </a:xfrm>
                    <a:prstGeom prst="rect">
                      <a:avLst/>
                    </a:prstGeom>
                    <a:noFill/>
                    <a:ln>
                      <a:noFill/>
                    </a:ln>
                  </pic:spPr>
                </pic:pic>
              </a:graphicData>
            </a:graphic>
          </wp:inline>
        </w:drawing>
      </w:r>
    </w:p>
    <w:p w:rsidR="00523A0A" w:rsidRDefault="00AA2FE3" w:rsidP="00523A0A">
      <w:pPr>
        <w:jc w:val="both"/>
        <w:rPr>
          <w:rFonts w:ascii="Times New Roman" w:eastAsia="Calibri" w:hAnsi="Times New Roman" w:cs="Calibri"/>
          <w:noProof/>
          <w:sz w:val="24"/>
          <w:szCs w:val="24"/>
        </w:rPr>
      </w:pPr>
      <w:r w:rsidRPr="00AA2FE3">
        <w:rPr>
          <w:rFonts w:ascii="Times New Roman" w:eastAsia="Calibri" w:hAnsi="Times New Roman" w:cs="Calibri"/>
          <w:noProof/>
          <w:sz w:val="24"/>
          <w:szCs w:val="24"/>
          <w:lang w:bidi="ar-SA"/>
        </w:rPr>
        <w:drawing>
          <wp:inline distT="0" distB="0" distL="0" distR="0">
            <wp:extent cx="5760085" cy="1938600"/>
            <wp:effectExtent l="0" t="0" r="0" b="508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085" cy="1938600"/>
                    </a:xfrm>
                    <a:prstGeom prst="rect">
                      <a:avLst/>
                    </a:prstGeom>
                    <a:noFill/>
                    <a:ln>
                      <a:noFill/>
                    </a:ln>
                  </pic:spPr>
                </pic:pic>
              </a:graphicData>
            </a:graphic>
          </wp:inline>
        </w:drawing>
      </w:r>
    </w:p>
    <w:p w:rsidR="00523A0A" w:rsidRDefault="00AA2FE3" w:rsidP="00523A0A">
      <w:pPr>
        <w:jc w:val="both"/>
        <w:rPr>
          <w:rFonts w:ascii="Times New Roman" w:eastAsia="Calibri" w:hAnsi="Times New Roman" w:cs="Calibri"/>
          <w:noProof/>
          <w:sz w:val="24"/>
          <w:szCs w:val="24"/>
        </w:rPr>
      </w:pPr>
      <w:r w:rsidRPr="00AA2FE3">
        <w:rPr>
          <w:rFonts w:ascii="Times New Roman" w:eastAsia="Calibri" w:hAnsi="Times New Roman" w:cs="Calibri"/>
          <w:noProof/>
          <w:sz w:val="24"/>
          <w:szCs w:val="24"/>
          <w:lang w:bidi="ar-SA"/>
        </w:rPr>
        <w:lastRenderedPageBreak/>
        <w:drawing>
          <wp:inline distT="0" distB="0" distL="0" distR="0">
            <wp:extent cx="5760085" cy="4471062"/>
            <wp:effectExtent l="0" t="0" r="0" b="571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085" cy="4471062"/>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4"/>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2. piemērs</w:t>
      </w:r>
    </w:p>
    <w:p w:rsidR="00523A0A" w:rsidRPr="001973D0" w:rsidRDefault="00523A0A" w:rsidP="00523A0A">
      <w:pPr>
        <w:pStyle w:val="BodyText"/>
        <w:numPr>
          <w:ilvl w:val="3"/>
          <w:numId w:val="32"/>
        </w:numPr>
        <w:tabs>
          <w:tab w:val="left" w:pos="1308"/>
        </w:tabs>
        <w:spacing w:before="0"/>
        <w:ind w:left="709" w:hanging="709"/>
        <w:jc w:val="both"/>
        <w:rPr>
          <w:rFonts w:ascii="Times New Roman" w:hAnsi="Times New Roman"/>
          <w:noProof/>
          <w:sz w:val="24"/>
        </w:rPr>
      </w:pPr>
      <w:r>
        <w:rPr>
          <w:rFonts w:ascii="Times New Roman" w:hAnsi="Times New Roman"/>
          <w:noProof/>
          <w:sz w:val="24"/>
        </w:rPr>
        <w:t xml:space="preserve">Pieņemsim, ka centrālā banka tur monetāro zeltu, kura vērtība 1. gadā palielinās par 100 miljoniem </w:t>
      </w:r>
      <w:r>
        <w:rPr>
          <w:rFonts w:ascii="Times New Roman" w:hAnsi="Times New Roman"/>
          <w:i/>
          <w:noProof/>
          <w:sz w:val="24"/>
        </w:rPr>
        <w:t>euro</w:t>
      </w:r>
      <w:r>
        <w:rPr>
          <w:rFonts w:ascii="Times New Roman" w:hAnsi="Times New Roman"/>
          <w:noProof/>
          <w:sz w:val="24"/>
        </w:rPr>
        <w:t>.</w:t>
      </w:r>
    </w:p>
    <w:p w:rsidR="00523A0A" w:rsidRPr="001973D0" w:rsidRDefault="00523A0A" w:rsidP="00523A0A">
      <w:pPr>
        <w:pStyle w:val="BodyText"/>
        <w:numPr>
          <w:ilvl w:val="3"/>
          <w:numId w:val="32"/>
        </w:numPr>
        <w:tabs>
          <w:tab w:val="left" w:pos="1308"/>
        </w:tabs>
        <w:spacing w:before="0"/>
        <w:ind w:left="709" w:hanging="709"/>
        <w:jc w:val="both"/>
        <w:rPr>
          <w:rFonts w:ascii="Times New Roman" w:hAnsi="Times New Roman"/>
          <w:noProof/>
          <w:sz w:val="24"/>
        </w:rPr>
      </w:pPr>
      <w:r>
        <w:rPr>
          <w:rFonts w:ascii="Times New Roman" w:hAnsi="Times New Roman"/>
          <w:noProof/>
          <w:sz w:val="24"/>
        </w:rPr>
        <w:t xml:space="preserve">Otrajā gadā centrālā banka pārdod finanšu sabiedrībām zeltu 90 miljonu </w:t>
      </w:r>
      <w:r>
        <w:rPr>
          <w:rFonts w:ascii="Times New Roman" w:hAnsi="Times New Roman"/>
          <w:i/>
          <w:noProof/>
          <w:sz w:val="24"/>
        </w:rPr>
        <w:t>euro</w:t>
      </w:r>
      <w:r>
        <w:rPr>
          <w:rFonts w:ascii="Times New Roman" w:hAnsi="Times New Roman"/>
          <w:noProof/>
          <w:sz w:val="24"/>
        </w:rPr>
        <w:t xml:space="preserve"> vērtībā. Pirms faktiskā pārdevuma zeltu demonetizē.</w:t>
      </w:r>
    </w:p>
    <w:p w:rsidR="00523A0A" w:rsidRPr="001973D0" w:rsidRDefault="00523A0A" w:rsidP="00523A0A">
      <w:pPr>
        <w:pStyle w:val="BodyText"/>
        <w:numPr>
          <w:ilvl w:val="3"/>
          <w:numId w:val="32"/>
        </w:numPr>
        <w:tabs>
          <w:tab w:val="left" w:pos="1308"/>
        </w:tabs>
        <w:spacing w:before="0"/>
        <w:ind w:left="709" w:hanging="709"/>
        <w:jc w:val="both"/>
        <w:rPr>
          <w:rFonts w:ascii="Times New Roman" w:hAnsi="Times New Roman"/>
          <w:noProof/>
          <w:sz w:val="24"/>
        </w:rPr>
      </w:pPr>
      <w:r>
        <w:rPr>
          <w:rFonts w:ascii="Times New Roman" w:hAnsi="Times New Roman"/>
          <w:noProof/>
          <w:sz w:val="24"/>
        </w:rPr>
        <w:t>3. gadā ieņēmumus pārskaita valdībai.</w:t>
      </w:r>
    </w:p>
    <w:p w:rsidR="00523A0A" w:rsidRPr="001973D0" w:rsidRDefault="00523A0A" w:rsidP="00523A0A">
      <w:pPr>
        <w:jc w:val="both"/>
        <w:rPr>
          <w:rFonts w:ascii="Times New Roman" w:eastAsia="Arial" w:hAnsi="Times New Roman" w:cs="Arial"/>
          <w:noProof/>
          <w:sz w:val="24"/>
          <w:szCs w:val="20"/>
        </w:rPr>
      </w:pPr>
    </w:p>
    <w:p w:rsidR="00523A0A" w:rsidRPr="001973D0" w:rsidRDefault="00AA2FE3" w:rsidP="00523A0A">
      <w:pPr>
        <w:jc w:val="both"/>
        <w:rPr>
          <w:rFonts w:ascii="Times New Roman" w:eastAsia="Arial" w:hAnsi="Times New Roman" w:cs="Arial"/>
          <w:noProof/>
          <w:sz w:val="24"/>
          <w:szCs w:val="20"/>
        </w:rPr>
      </w:pPr>
      <w:r w:rsidRPr="00AA2FE3">
        <w:rPr>
          <w:rFonts w:ascii="Times New Roman" w:eastAsia="Arial" w:hAnsi="Times New Roman" w:cs="Arial"/>
          <w:noProof/>
          <w:sz w:val="24"/>
          <w:szCs w:val="20"/>
          <w:lang w:bidi="ar-SA"/>
        </w:rPr>
        <w:lastRenderedPageBreak/>
        <w:drawing>
          <wp:inline distT="0" distB="0" distL="0" distR="0">
            <wp:extent cx="5760085" cy="7961426"/>
            <wp:effectExtent l="0" t="0" r="0" b="190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085" cy="7961426"/>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b/>
          <w:bCs/>
          <w:noProof/>
          <w:sz w:val="24"/>
          <w:szCs w:val="20"/>
        </w:rPr>
      </w:pPr>
    </w:p>
    <w:p w:rsidR="00523A0A" w:rsidRDefault="00AA2FE3" w:rsidP="00523A0A">
      <w:pPr>
        <w:jc w:val="both"/>
        <w:rPr>
          <w:rFonts w:ascii="Times New Roman" w:eastAsia="Calibri" w:hAnsi="Times New Roman" w:cs="Calibri"/>
          <w:b/>
          <w:bCs/>
          <w:noProof/>
          <w:sz w:val="24"/>
          <w:szCs w:val="20"/>
        </w:rPr>
      </w:pPr>
      <w:r w:rsidRPr="00AA2FE3">
        <w:rPr>
          <w:rFonts w:ascii="Times New Roman" w:eastAsia="Calibri" w:hAnsi="Times New Roman" w:cs="Calibri"/>
          <w:b/>
          <w:bCs/>
          <w:noProof/>
          <w:sz w:val="24"/>
          <w:szCs w:val="20"/>
          <w:lang w:bidi="ar-SA"/>
        </w:rPr>
        <w:lastRenderedPageBreak/>
        <w:drawing>
          <wp:inline distT="0" distB="0" distL="0" distR="0">
            <wp:extent cx="5760085" cy="252206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085" cy="2522065"/>
                    </a:xfrm>
                    <a:prstGeom prst="rect">
                      <a:avLst/>
                    </a:prstGeom>
                    <a:noFill/>
                    <a:ln>
                      <a:noFill/>
                    </a:ln>
                  </pic:spPr>
                </pic:pic>
              </a:graphicData>
            </a:graphic>
          </wp:inline>
        </w:drawing>
      </w:r>
    </w:p>
    <w:p w:rsidR="00681853" w:rsidRDefault="00AA2FE3" w:rsidP="00523A0A">
      <w:pPr>
        <w:jc w:val="both"/>
        <w:rPr>
          <w:rFonts w:ascii="Times New Roman" w:eastAsia="Calibri" w:hAnsi="Times New Roman" w:cs="Calibri"/>
          <w:b/>
          <w:bCs/>
          <w:noProof/>
          <w:sz w:val="24"/>
          <w:szCs w:val="20"/>
        </w:rPr>
      </w:pPr>
      <w:r w:rsidRPr="00AA2FE3">
        <w:rPr>
          <w:rFonts w:ascii="Times New Roman" w:eastAsia="Calibri" w:hAnsi="Times New Roman" w:cs="Calibri"/>
          <w:b/>
          <w:bCs/>
          <w:noProof/>
          <w:sz w:val="24"/>
          <w:szCs w:val="20"/>
          <w:lang w:bidi="ar-SA"/>
        </w:rPr>
        <w:drawing>
          <wp:inline distT="0" distB="0" distL="0" distR="0">
            <wp:extent cx="5760085" cy="4298109"/>
            <wp:effectExtent l="0" t="0" r="0" b="76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085" cy="4298109"/>
                    </a:xfrm>
                    <a:prstGeom prst="rect">
                      <a:avLst/>
                    </a:prstGeom>
                    <a:noFill/>
                    <a:ln>
                      <a:noFill/>
                    </a:ln>
                  </pic:spPr>
                </pic:pic>
              </a:graphicData>
            </a:graphic>
          </wp:inline>
        </w:drawing>
      </w:r>
    </w:p>
    <w:p w:rsidR="00523A0A" w:rsidRDefault="00523A0A" w:rsidP="00523A0A">
      <w:pPr>
        <w:rPr>
          <w:rFonts w:ascii="Times New Roman" w:eastAsia="Calibri" w:hAnsi="Times New Roman" w:cs="Calibri"/>
          <w:b/>
          <w:bCs/>
          <w:noProof/>
          <w:sz w:val="24"/>
          <w:szCs w:val="20"/>
        </w:rPr>
      </w:pPr>
      <w:r>
        <w:br w:type="page"/>
      </w:r>
    </w:p>
    <w:p w:rsidR="00523A0A" w:rsidRDefault="00523A0A" w:rsidP="00681853">
      <w:pPr>
        <w:pStyle w:val="Heading2"/>
        <w:rPr>
          <w:noProof/>
        </w:rPr>
      </w:pPr>
      <w:bookmarkStart w:id="293" w:name="IV.4_Non-returned_banknotes_and_coins_af"/>
      <w:bookmarkStart w:id="294" w:name="_bookmark34"/>
      <w:bookmarkStart w:id="295" w:name="_Toc471135900"/>
      <w:bookmarkEnd w:id="293"/>
      <w:bookmarkEnd w:id="294"/>
      <w:r>
        <w:rPr>
          <w:noProof/>
        </w:rPr>
        <w:lastRenderedPageBreak/>
        <w:t xml:space="preserve">IV.4. Neatgūtās </w:t>
      </w:r>
      <w:r w:rsidR="00345AF2">
        <w:t>banknotes</w:t>
      </w:r>
      <w:r>
        <w:rPr>
          <w:noProof/>
        </w:rPr>
        <w:t xml:space="preserve"> un monētas pēc naudas nomaiņas</w:t>
      </w:r>
      <w:bookmarkEnd w:id="295"/>
    </w:p>
    <w:p w:rsidR="00523A0A" w:rsidRPr="001973D0" w:rsidRDefault="00523A0A" w:rsidP="00523A0A">
      <w:pPr>
        <w:pStyle w:val="Heading2"/>
        <w:tabs>
          <w:tab w:val="left" w:pos="1512"/>
        </w:tabs>
        <w:jc w:val="both"/>
        <w:rPr>
          <w:noProof/>
          <w:sz w:val="24"/>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296" w:name="IV.4.1_Background"/>
      <w:bookmarkEnd w:id="296"/>
      <w:r>
        <w:rPr>
          <w:rFonts w:ascii="Times New Roman" w:hAnsi="Times New Roman"/>
          <w:noProof/>
          <w:u w:val="none"/>
        </w:rPr>
        <w:t>IV.4.1. </w:t>
      </w:r>
      <w:r>
        <w:rPr>
          <w:rFonts w:ascii="Times New Roman" w:hAnsi="Times New Roman"/>
          <w:noProof/>
          <w:u w:val="thick" w:color="000000"/>
        </w:rPr>
        <w:t>Vispārēja informācija</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Naudas nomaiņas laikā apgrozībā e</w:t>
      </w:r>
      <w:r w:rsidR="00345AF2">
        <w:rPr>
          <w:rFonts w:ascii="Times New Roman" w:hAnsi="Times New Roman"/>
          <w:noProof/>
          <w:sz w:val="24"/>
        </w:rPr>
        <w:t>sošās valsts valūtas banknotes</w:t>
      </w:r>
      <w:r>
        <w:rPr>
          <w:rFonts w:ascii="Times New Roman" w:hAnsi="Times New Roman"/>
          <w:noProof/>
          <w:sz w:val="24"/>
        </w:rPr>
        <w:t xml:space="preserve"> un monētas nodod atpakaļ to attiecīga</w:t>
      </w:r>
      <w:r w:rsidR="00345AF2">
        <w:rPr>
          <w:rFonts w:ascii="Times New Roman" w:hAnsi="Times New Roman"/>
          <w:noProof/>
          <w:sz w:val="24"/>
        </w:rPr>
        <w:t>jiem emitentiem, kas banknošu</w:t>
      </w:r>
      <w:r>
        <w:rPr>
          <w:rFonts w:ascii="Times New Roman" w:hAnsi="Times New Roman"/>
          <w:noProof/>
          <w:sz w:val="24"/>
        </w:rPr>
        <w:t xml:space="preserve"> gadījumā ir valstu centrālās bankas, bet monētu gadījumā tās parasti ir valdības. Tomēr daļa no iepriekš apgrozībā bijušās valsts valūtas nekad netiks saņemta atpakaļ, jo tā ir tikusi iznīcināta vai nozaudēta, vai arī tāpēc, ka turētāji ir nolēmuši to paturēt savā kolekcijā vai citiem mērķiem.</w:t>
      </w: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Tiklīdz VCB vairs nemaina vai neplāno mainīt vecās valsts </w:t>
      </w:r>
      <w:r w:rsidR="00345AF2">
        <w:rPr>
          <w:rFonts w:ascii="Times New Roman" w:hAnsi="Times New Roman"/>
          <w:noProof/>
          <w:sz w:val="24"/>
        </w:rPr>
        <w:t>valūtas banknotes</w:t>
      </w:r>
      <w:r>
        <w:rPr>
          <w:rFonts w:ascii="Times New Roman" w:hAnsi="Times New Roman"/>
          <w:noProof/>
          <w:sz w:val="24"/>
        </w:rPr>
        <w:t xml:space="preserve">, tā noraksta saistību. </w:t>
      </w:r>
      <w:r w:rsidR="00A91AD9">
        <w:rPr>
          <w:rFonts w:ascii="Times New Roman" w:hAnsi="Times New Roman"/>
          <w:noProof/>
          <w:sz w:val="24"/>
        </w:rPr>
        <w:t>Šo norakstīšanu pēc tam ieraksta</w:t>
      </w:r>
      <w:r>
        <w:rPr>
          <w:rFonts w:ascii="Times New Roman" w:hAnsi="Times New Roman"/>
          <w:noProof/>
          <w:sz w:val="24"/>
        </w:rPr>
        <w:t xml:space="preserve"> kā peļņu VCB peļņas un zaudējumu pārskatā. Valdībai pēc tam var uzkrāties peļ</w:t>
      </w:r>
      <w:r w:rsidR="00345AF2">
        <w:rPr>
          <w:rFonts w:ascii="Times New Roman" w:hAnsi="Times New Roman"/>
          <w:noProof/>
          <w:sz w:val="24"/>
        </w:rPr>
        <w:t>ņa no valsts valūtas banknošu</w:t>
      </w:r>
      <w:r>
        <w:rPr>
          <w:rFonts w:ascii="Times New Roman" w:hAnsi="Times New Roman"/>
          <w:noProof/>
          <w:sz w:val="24"/>
        </w:rPr>
        <w:t xml:space="preserve"> nesaņemšanas vai nu kā valstu centrālo banku (VCB) veikts atsevišķs maksājums, vai kā daļa no regulāriem dividenžu un/vai ienākuma nodokļa maksājumiem. Jautājums ir par to, ciktāl šāds maksājums ietekmē valdības neto aizņēmumu/aizdevumu (B.9).</w:t>
      </w:r>
    </w:p>
    <w:p w:rsidR="00523A0A" w:rsidRPr="001973D0" w:rsidRDefault="00A91AD9"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EKS 2010 ierakstīšanas</w:t>
      </w:r>
      <w:r w:rsidR="00523A0A">
        <w:rPr>
          <w:rFonts w:ascii="Times New Roman" w:hAnsi="Times New Roman"/>
          <w:noProof/>
          <w:sz w:val="24"/>
        </w:rPr>
        <w:t xml:space="preserve"> noteikumi attiecas tikai u</w:t>
      </w:r>
      <w:r>
        <w:rPr>
          <w:rFonts w:ascii="Times New Roman" w:hAnsi="Times New Roman"/>
          <w:noProof/>
          <w:sz w:val="24"/>
        </w:rPr>
        <w:t>z krājumu un plūsmu ierakstīšanu</w:t>
      </w:r>
      <w:r w:rsidR="00523A0A">
        <w:rPr>
          <w:rFonts w:ascii="Times New Roman" w:hAnsi="Times New Roman"/>
          <w:noProof/>
          <w:sz w:val="24"/>
        </w:rPr>
        <w:t xml:space="preserve"> nacionālajos kontos, un tajos nekas nav paredzēts attiecībā uz VCB faktiski kārtoto grāmatvedību. ECB Pamatnostādnes 2006/16 nosaka tiesisko regulējumu uzskaitei un finanšu ziņojumu sniegšanai Eiropas Centrālo banku sistēmā.</w:t>
      </w:r>
    </w:p>
    <w:p w:rsidR="00523A0A" w:rsidRPr="00411CE1"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Kopumā monētas ir valdības saistības, un rodas jautājums, vai to neatgūšana ietekmē valdības neto aizdevumu/aizņēmumu (B.9) un parādu (sk. turpmāk IV.4.2.2. iedaļas “Neatgūtās monētas” traktējumu, par kuru panākta vienošanās EKS 2010).</w:t>
      </w: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Šajā </w:t>
      </w:r>
      <w:r w:rsidR="00A91AD9">
        <w:rPr>
          <w:rFonts w:ascii="Times New Roman" w:hAnsi="Times New Roman"/>
          <w:noProof/>
          <w:sz w:val="24"/>
        </w:rPr>
        <w:t>nodaļā izklāstītos ierakstīšanas</w:t>
      </w:r>
      <w:r>
        <w:rPr>
          <w:rFonts w:ascii="Times New Roman" w:hAnsi="Times New Roman"/>
          <w:noProof/>
          <w:sz w:val="24"/>
        </w:rPr>
        <w:t xml:space="preserve"> principus piemēro ne tikai attiecībā uz naudas nomaiņu uz </w:t>
      </w:r>
      <w:r>
        <w:rPr>
          <w:rFonts w:ascii="Times New Roman" w:hAnsi="Times New Roman"/>
          <w:i/>
          <w:noProof/>
          <w:sz w:val="24"/>
        </w:rPr>
        <w:t>euro</w:t>
      </w:r>
      <w:r>
        <w:rPr>
          <w:rFonts w:ascii="Times New Roman" w:hAnsi="Times New Roman"/>
          <w:noProof/>
          <w:sz w:val="24"/>
        </w:rPr>
        <w:t xml:space="preserve">, bet arī attiecībā uz citiem gadījumiem, </w:t>
      </w:r>
      <w:r w:rsidR="00345AF2">
        <w:rPr>
          <w:rFonts w:ascii="Times New Roman" w:hAnsi="Times New Roman"/>
          <w:noProof/>
          <w:sz w:val="24"/>
        </w:rPr>
        <w:t>kad esošās monētu un banknošu</w:t>
      </w:r>
      <w:r>
        <w:rPr>
          <w:rFonts w:ascii="Times New Roman" w:hAnsi="Times New Roman"/>
          <w:noProof/>
          <w:sz w:val="24"/>
        </w:rPr>
        <w:t xml:space="preserve"> sērijas aizstāj</w:t>
      </w:r>
      <w:r w:rsidR="00345AF2">
        <w:rPr>
          <w:rFonts w:ascii="Times New Roman" w:hAnsi="Times New Roman"/>
          <w:noProof/>
          <w:sz w:val="24"/>
        </w:rPr>
        <w:t xml:space="preserve"> ar jaunām monētu un banknošu sērijām, piemēram, banknošu</w:t>
      </w:r>
      <w:r>
        <w:rPr>
          <w:rFonts w:ascii="Times New Roman" w:hAnsi="Times New Roman"/>
          <w:noProof/>
          <w:sz w:val="24"/>
        </w:rPr>
        <w:t xml:space="preserve"> noformējuma maiņas dēļ.</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297" w:name="IV.4.2_Treatment_in_national_accounts"/>
      <w:bookmarkEnd w:id="297"/>
      <w:r>
        <w:rPr>
          <w:rFonts w:ascii="Times New Roman" w:hAnsi="Times New Roman"/>
          <w:noProof/>
          <w:u w:val="none"/>
        </w:rPr>
        <w:t>IV.4.2. </w:t>
      </w:r>
      <w:r>
        <w:rPr>
          <w:rFonts w:ascii="Times New Roman" w:hAnsi="Times New Roman"/>
          <w:noProof/>
          <w:u w:val="thick" w:color="000000"/>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345AF2" w:rsidP="00523A0A">
      <w:pPr>
        <w:pStyle w:val="Heading6"/>
        <w:tabs>
          <w:tab w:val="left" w:pos="1936"/>
        </w:tabs>
        <w:jc w:val="both"/>
        <w:rPr>
          <w:rFonts w:ascii="Times New Roman" w:hAnsi="Times New Roman"/>
          <w:noProof/>
          <w:sz w:val="24"/>
        </w:rPr>
      </w:pPr>
      <w:bookmarkStart w:id="298" w:name="IV.4.2.1_Non-returned_banknotes"/>
      <w:bookmarkEnd w:id="298"/>
      <w:r>
        <w:rPr>
          <w:rFonts w:ascii="Times New Roman" w:hAnsi="Times New Roman"/>
          <w:noProof/>
          <w:sz w:val="24"/>
        </w:rPr>
        <w:t>IV.4.2.1. Neatgūtās banknotes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Ien</w:t>
      </w:r>
      <w:r w:rsidR="00345AF2">
        <w:rPr>
          <w:rFonts w:ascii="Times New Roman" w:hAnsi="Times New Roman"/>
          <w:noProof/>
          <w:sz w:val="24"/>
        </w:rPr>
        <w:t>ākumi no neatgūtajām banknotēm</w:t>
      </w:r>
      <w:r>
        <w:rPr>
          <w:rFonts w:ascii="Times New Roman" w:hAnsi="Times New Roman"/>
          <w:noProof/>
          <w:sz w:val="24"/>
        </w:rPr>
        <w:t xml:space="preserve"> nekādi neietekmē valdības neto aizdevumu/aizņēmumu (B.</w:t>
      </w:r>
      <w:r w:rsidR="00345AF2">
        <w:rPr>
          <w:rFonts w:ascii="Times New Roman" w:hAnsi="Times New Roman"/>
          <w:noProof/>
          <w:sz w:val="24"/>
        </w:rPr>
        <w:t>9). Apgrozībā esošās banknotes</w:t>
      </w:r>
      <w:r>
        <w:rPr>
          <w:rFonts w:ascii="Times New Roman" w:hAnsi="Times New Roman"/>
          <w:noProof/>
          <w:sz w:val="24"/>
        </w:rPr>
        <w:t xml:space="preserve"> uzrāda VCB bilances postenī “Valūta un noguldījumi” (AF.2). Naudas nomaiņas gadījumā vec</w:t>
      </w:r>
      <w:r w:rsidR="00345AF2">
        <w:rPr>
          <w:rFonts w:ascii="Times New Roman" w:hAnsi="Times New Roman"/>
          <w:noProof/>
          <w:sz w:val="24"/>
        </w:rPr>
        <w:t>ās valsts valūtas banknotes</w:t>
      </w:r>
      <w:r>
        <w:rPr>
          <w:rFonts w:ascii="Times New Roman" w:hAnsi="Times New Roman"/>
          <w:noProof/>
          <w:sz w:val="24"/>
        </w:rPr>
        <w:t>, kuras vairs nav likumīgs maksāšanas līdzeklis un nav atdotas VCB, klasificē VCB bilancē kā citas kreditoru s</w:t>
      </w:r>
      <w:r w:rsidR="00345AF2">
        <w:rPr>
          <w:rFonts w:ascii="Times New Roman" w:hAnsi="Times New Roman"/>
          <w:noProof/>
          <w:sz w:val="24"/>
        </w:rPr>
        <w:t>aistības (AF.8). Kad banknotes</w:t>
      </w:r>
      <w:r>
        <w:rPr>
          <w:rFonts w:ascii="Times New Roman" w:hAnsi="Times New Roman"/>
          <w:noProof/>
          <w:sz w:val="24"/>
        </w:rPr>
        <w:t>, kuras vairs nav likumīgs maksāšanas līdzeklis,</w:t>
      </w:r>
      <w:r w:rsidR="00345AF2">
        <w:rPr>
          <w:rFonts w:ascii="Times New Roman" w:hAnsi="Times New Roman"/>
          <w:noProof/>
          <w:sz w:val="24"/>
        </w:rPr>
        <w:t xml:space="preserve"> apmaina pret jaunām banknotēm</w:t>
      </w:r>
      <w:r>
        <w:rPr>
          <w:rFonts w:ascii="Times New Roman" w:hAnsi="Times New Roman"/>
          <w:noProof/>
          <w:sz w:val="24"/>
        </w:rPr>
        <w:t>, posteņa “Citas kreditoru saistības” samazināju</w:t>
      </w:r>
      <w:r w:rsidR="005F64D6">
        <w:rPr>
          <w:rFonts w:ascii="Times New Roman" w:hAnsi="Times New Roman"/>
          <w:noProof/>
          <w:sz w:val="24"/>
        </w:rPr>
        <w:t>mu ieraksta</w:t>
      </w:r>
      <w:r>
        <w:rPr>
          <w:rFonts w:ascii="Times New Roman" w:hAnsi="Times New Roman"/>
          <w:noProof/>
          <w:sz w:val="24"/>
        </w:rPr>
        <w:t xml:space="preserve"> ar pretēju ierakstu postenī “Valūta un noguldījumi”.</w:t>
      </w:r>
    </w:p>
    <w:p w:rsidR="00523A0A" w:rsidRPr="00411CE1"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Neat</w:t>
      </w:r>
      <w:r w:rsidR="00345AF2">
        <w:rPr>
          <w:rFonts w:ascii="Times New Roman" w:hAnsi="Times New Roman"/>
          <w:noProof/>
          <w:sz w:val="24"/>
        </w:rPr>
        <w:t>gūtās valsts valūtas banknotes</w:t>
      </w:r>
      <w:r>
        <w:rPr>
          <w:rFonts w:ascii="Times New Roman" w:hAnsi="Times New Roman"/>
          <w:noProof/>
          <w:sz w:val="24"/>
        </w:rPr>
        <w:t xml:space="preserve"> noraksta no VCB bilances nacionālajos kontos, tiklīdz VCB vairs neveic to</w:t>
      </w:r>
      <w:r w:rsidR="00FC43C0">
        <w:rPr>
          <w:rFonts w:ascii="Times New Roman" w:hAnsi="Times New Roman"/>
          <w:noProof/>
          <w:sz w:val="24"/>
        </w:rPr>
        <w:t xml:space="preserve"> apmaiņu pret jaunām banknotēm</w:t>
      </w:r>
      <w:r>
        <w:rPr>
          <w:rFonts w:ascii="Times New Roman" w:hAnsi="Times New Roman"/>
          <w:noProof/>
          <w:sz w:val="24"/>
        </w:rPr>
        <w:t>. Valstīs, kurās vecā</w:t>
      </w:r>
      <w:r w:rsidR="00FC43C0">
        <w:rPr>
          <w:rFonts w:ascii="Times New Roman" w:hAnsi="Times New Roman"/>
          <w:noProof/>
          <w:sz w:val="24"/>
        </w:rPr>
        <w:t>s nacionālās valūtas banknotes</w:t>
      </w:r>
      <w:r>
        <w:rPr>
          <w:rFonts w:ascii="Times New Roman" w:hAnsi="Times New Roman"/>
          <w:noProof/>
          <w:sz w:val="24"/>
        </w:rPr>
        <w:t xml:space="preserve"> var ap</w:t>
      </w:r>
      <w:r w:rsidR="00FC43C0">
        <w:rPr>
          <w:rFonts w:ascii="Times New Roman" w:hAnsi="Times New Roman"/>
          <w:noProof/>
          <w:sz w:val="24"/>
        </w:rPr>
        <w:t>mainīt pret jaunajām banknotēm</w:t>
      </w:r>
      <w:r>
        <w:rPr>
          <w:rFonts w:ascii="Times New Roman" w:hAnsi="Times New Roman"/>
          <w:noProof/>
          <w:sz w:val="24"/>
        </w:rPr>
        <w:t xml:space="preserve"> neier</w:t>
      </w:r>
      <w:r w:rsidR="00FC43C0">
        <w:rPr>
          <w:rFonts w:ascii="Times New Roman" w:hAnsi="Times New Roman"/>
          <w:noProof/>
          <w:sz w:val="24"/>
        </w:rPr>
        <w:t>obežotu laiku, vecās banknotes</w:t>
      </w:r>
      <w:r>
        <w:rPr>
          <w:rFonts w:ascii="Times New Roman" w:hAnsi="Times New Roman"/>
          <w:noProof/>
          <w:sz w:val="24"/>
        </w:rPr>
        <w:t xml:space="preserve"> noraksta no VCB bilances brīdī, kad ir skaidrs, ka tās vairs netiks atgūtas, pat ja joprojām pastāv juridisks pienākums tās apmainīt. Šķiet, ka praksē tiek ievērota piesardzīga pieeja, saskaņā ar kuru statistiķi vairs neatzīst VCB saistības finanšu kontu veidošanas mērķiem, lai gan VCB grāmatveži vēl joprojām to </w:t>
      </w:r>
      <w:r w:rsidR="005F64D6">
        <w:rPr>
          <w:rFonts w:ascii="Times New Roman" w:hAnsi="Times New Roman"/>
          <w:noProof/>
          <w:sz w:val="24"/>
        </w:rPr>
        <w:t>dara. Šādu norakstīšanu ieraksta</w:t>
      </w:r>
      <w:r>
        <w:rPr>
          <w:rFonts w:ascii="Times New Roman" w:hAnsi="Times New Roman"/>
          <w:noProof/>
          <w:sz w:val="24"/>
        </w:rPr>
        <w:t xml:space="preserve"> kā citas apjoma pārmaiņas VCB postenī “Citas kreditoru saistības”.</w:t>
      </w:r>
    </w:p>
    <w:p w:rsidR="00523A0A" w:rsidRPr="001973D0" w:rsidRDefault="00523A0A" w:rsidP="00523A0A">
      <w:pPr>
        <w:pStyle w:val="BodyText"/>
        <w:numPr>
          <w:ilvl w:val="0"/>
          <w:numId w:val="59"/>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Valdībai piederošā pašu kapitāla vērtība palielināsies par summu, kas atbilst norakstītajai summai, pieņemot, ka valdība ir vienīgā akcionāre, kam ir tiesības uz </w:t>
      </w:r>
      <w:r>
        <w:rPr>
          <w:rFonts w:ascii="Times New Roman" w:hAnsi="Times New Roman"/>
          <w:noProof/>
          <w:sz w:val="24"/>
        </w:rPr>
        <w:lastRenderedPageBreak/>
        <w:t>ienāk</w:t>
      </w:r>
      <w:r w:rsidR="00FC43C0">
        <w:rPr>
          <w:rFonts w:ascii="Times New Roman" w:hAnsi="Times New Roman"/>
          <w:noProof/>
          <w:sz w:val="24"/>
        </w:rPr>
        <w:t>umiem no neatgūtajām banknotēm</w:t>
      </w:r>
      <w:r w:rsidR="005F64D6">
        <w:rPr>
          <w:rFonts w:ascii="Times New Roman" w:hAnsi="Times New Roman"/>
          <w:noProof/>
          <w:sz w:val="24"/>
        </w:rPr>
        <w:t>. Šādu palielinājumu ieraksta</w:t>
      </w:r>
      <w:r>
        <w:rPr>
          <w:rFonts w:ascii="Times New Roman" w:hAnsi="Times New Roman"/>
          <w:noProof/>
          <w:sz w:val="24"/>
        </w:rPr>
        <w:t xml:space="preserve"> gan VCB, gan valdības kontā “Citas aktīvu pārmaiņas”. Ja ienā</w:t>
      </w:r>
      <w:r w:rsidR="00FC43C0">
        <w:rPr>
          <w:rFonts w:ascii="Times New Roman" w:hAnsi="Times New Roman"/>
          <w:noProof/>
          <w:sz w:val="24"/>
        </w:rPr>
        <w:t>kumus no neatgūtajām banknotēm</w:t>
      </w:r>
      <w:r>
        <w:rPr>
          <w:rFonts w:ascii="Times New Roman" w:hAnsi="Times New Roman"/>
          <w:noProof/>
          <w:sz w:val="24"/>
        </w:rPr>
        <w:t xml:space="preserve"> izmaksā vald</w:t>
      </w:r>
      <w:r w:rsidR="005F64D6">
        <w:rPr>
          <w:rFonts w:ascii="Times New Roman" w:hAnsi="Times New Roman"/>
          <w:noProof/>
          <w:sz w:val="24"/>
        </w:rPr>
        <w:t>ībai, izmaksātās summas ieraksta</w:t>
      </w:r>
      <w:r>
        <w:rPr>
          <w:rFonts w:ascii="Times New Roman" w:hAnsi="Times New Roman"/>
          <w:noProof/>
          <w:sz w:val="24"/>
        </w:rPr>
        <w:t xml:space="preserve"> kā finanšu darījumus (valdības veikta pašu kapitāla izņemšana (F.5)), nevis kā valdības ieņēmumus (dividendes, peļņas nodokļus vai kapitāla pārvedumus). Atsevišķās valstīs valdība juridiski nav VCB akcionāre, tomēr saskaņā ar tiesību aktiem valdībai ir tiesības saņemt ieņē</w:t>
      </w:r>
      <w:r w:rsidR="00FC43C0">
        <w:rPr>
          <w:rFonts w:ascii="Times New Roman" w:hAnsi="Times New Roman"/>
          <w:noProof/>
          <w:sz w:val="24"/>
        </w:rPr>
        <w:t>mumus no neatgūtajām banknotēm</w:t>
      </w:r>
      <w:r>
        <w:rPr>
          <w:rFonts w:ascii="Times New Roman" w:hAnsi="Times New Roman"/>
          <w:noProof/>
          <w:sz w:val="24"/>
        </w:rPr>
        <w:t>. Šādos gadījumos nacionālajos kontos atzīst valdības ekonom</w:t>
      </w:r>
      <w:r w:rsidR="005F64D6">
        <w:rPr>
          <w:rFonts w:ascii="Times New Roman" w:hAnsi="Times New Roman"/>
          <w:noProof/>
          <w:sz w:val="24"/>
        </w:rPr>
        <w:t>iskās īpašumtiesības un ieraksta</w:t>
      </w:r>
      <w:r>
        <w:rPr>
          <w:rFonts w:ascii="Times New Roman" w:hAnsi="Times New Roman"/>
          <w:noProof/>
          <w:sz w:val="24"/>
        </w:rPr>
        <w:t xml:space="preserve"> valdības pašu kapitāla daļu (F.519) VCB.</w:t>
      </w:r>
    </w:p>
    <w:p w:rsidR="00523A0A" w:rsidRPr="001973D0" w:rsidRDefault="00523A0A" w:rsidP="00523A0A">
      <w:pPr>
        <w:pStyle w:val="BodyText"/>
        <w:numPr>
          <w:ilvl w:val="0"/>
          <w:numId w:val="59"/>
        </w:numPr>
        <w:tabs>
          <w:tab w:val="left" w:pos="1242"/>
        </w:tabs>
        <w:spacing w:before="0"/>
        <w:ind w:left="709" w:hanging="709"/>
        <w:jc w:val="both"/>
        <w:rPr>
          <w:rFonts w:ascii="Times New Roman" w:hAnsi="Times New Roman"/>
          <w:noProof/>
          <w:sz w:val="24"/>
        </w:rPr>
      </w:pPr>
      <w:r>
        <w:rPr>
          <w:rFonts w:ascii="Times New Roman" w:hAnsi="Times New Roman"/>
          <w:noProof/>
          <w:sz w:val="24"/>
        </w:rPr>
        <w:t>Ja VCB veic maksājumus valdība</w:t>
      </w:r>
      <w:r w:rsidR="00FC43C0">
        <w:rPr>
          <w:rFonts w:ascii="Times New Roman" w:hAnsi="Times New Roman"/>
          <w:noProof/>
          <w:sz w:val="24"/>
        </w:rPr>
        <w:t>i, paredzot neatgūto banknošu</w:t>
      </w:r>
      <w:r>
        <w:rPr>
          <w:rFonts w:ascii="Times New Roman" w:hAnsi="Times New Roman"/>
          <w:noProof/>
          <w:sz w:val="24"/>
        </w:rPr>
        <w:t xml:space="preserve"> norakstīšanu, maksājumus nacionālajos kontos uzskata par avansa </w:t>
      </w:r>
      <w:r w:rsidR="000A0865">
        <w:rPr>
          <w:rFonts w:ascii="Times New Roman" w:hAnsi="Times New Roman"/>
          <w:noProof/>
          <w:sz w:val="24"/>
        </w:rPr>
        <w:t>maksājumiem. Maksājumus ieraksta</w:t>
      </w:r>
      <w:r>
        <w:rPr>
          <w:rFonts w:ascii="Times New Roman" w:hAnsi="Times New Roman"/>
          <w:noProof/>
          <w:sz w:val="24"/>
        </w:rPr>
        <w:t xml:space="preserve"> kā citas kreditoru saistības (F.8) valdības kontos un kā citas debitoru saistības (F.8) VCB kontos ar pretējiem ierakstiem postenī “Valūta un noguldījumi” (F.2.). Tiklīdz notiek faktiska nor</w:t>
      </w:r>
      <w:r w:rsidR="000A0865">
        <w:rPr>
          <w:rFonts w:ascii="Times New Roman" w:hAnsi="Times New Roman"/>
          <w:noProof/>
          <w:sz w:val="24"/>
        </w:rPr>
        <w:t>akstīšana, F.8 iepriekš ierakstītās</w:t>
      </w:r>
      <w:r>
        <w:rPr>
          <w:rFonts w:ascii="Times New Roman" w:hAnsi="Times New Roman"/>
          <w:noProof/>
          <w:sz w:val="24"/>
        </w:rPr>
        <w:t xml:space="preserve"> summas pārvērš par valdības veiktu pašu kapitāla izņemšanu.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299" w:name="IV.4.2.2_Non-returned_coins"/>
      <w:bookmarkEnd w:id="299"/>
      <w:r>
        <w:rPr>
          <w:rFonts w:ascii="Times New Roman" w:hAnsi="Times New Roman"/>
          <w:noProof/>
          <w:sz w:val="24"/>
        </w:rPr>
        <w:t>IV.4.2.2. Neatgūtās monētas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9"/>
        </w:numPr>
        <w:tabs>
          <w:tab w:val="left" w:pos="1242"/>
        </w:tabs>
        <w:spacing w:before="0"/>
        <w:ind w:left="709" w:hanging="709"/>
        <w:jc w:val="both"/>
        <w:rPr>
          <w:rFonts w:ascii="Times New Roman" w:hAnsi="Times New Roman"/>
          <w:noProof/>
          <w:sz w:val="24"/>
        </w:rPr>
      </w:pPr>
      <w:r>
        <w:rPr>
          <w:rFonts w:ascii="Times New Roman" w:hAnsi="Times New Roman"/>
          <w:noProof/>
          <w:sz w:val="24"/>
        </w:rPr>
        <w:t>Neatgūtās monētas ietekmē valsts parādu atbilstīgi tam, kā noteikts attiecībā uz pārmērīga budžeta deficīta novēršanas procedūru, bet neietekmē valdības neto aizdevumu/aizņēmumu (B.9). Traktējums nacionālajos kontos ir tāds pats kā atti</w:t>
      </w:r>
      <w:r w:rsidR="00FC43C0">
        <w:rPr>
          <w:rFonts w:ascii="Times New Roman" w:hAnsi="Times New Roman"/>
          <w:noProof/>
          <w:sz w:val="24"/>
        </w:rPr>
        <w:t>ecībā uz neatgūtajām banknotēm</w:t>
      </w:r>
      <w:r>
        <w:rPr>
          <w:rFonts w:ascii="Times New Roman" w:hAnsi="Times New Roman"/>
          <w:noProof/>
          <w:sz w:val="24"/>
        </w:rPr>
        <w:t>.</w:t>
      </w:r>
    </w:p>
    <w:p w:rsidR="00523A0A" w:rsidRPr="001973D0" w:rsidRDefault="00523A0A" w:rsidP="00523A0A">
      <w:pPr>
        <w:pStyle w:val="BodyText"/>
        <w:numPr>
          <w:ilvl w:val="0"/>
          <w:numId w:val="59"/>
        </w:numPr>
        <w:tabs>
          <w:tab w:val="left" w:pos="1242"/>
        </w:tabs>
        <w:spacing w:before="0"/>
        <w:ind w:left="709" w:hanging="709"/>
        <w:jc w:val="both"/>
        <w:rPr>
          <w:rFonts w:ascii="Times New Roman" w:hAnsi="Times New Roman"/>
          <w:noProof/>
          <w:sz w:val="24"/>
        </w:rPr>
      </w:pPr>
      <w:r>
        <w:rPr>
          <w:rFonts w:ascii="Times New Roman" w:hAnsi="Times New Roman"/>
          <w:noProof/>
          <w:sz w:val="24"/>
        </w:rPr>
        <w:t>Apgrozībā esošās monētas publiskajos kontos ir centrālās valdības saistības, nevis centrālās bankas saistības, tāpēc centrālā banka samaksā centrālajai valdībai emitēto monētu nominālvērtību. Tomēr monētas ir daļa no naudas rādītājiem un saistības, kas atbilst emitētajai summai, ir pieņemts norādīt kategorijā “Apgrozībā esošā valūta” centrālās bankas bilancē ar nosacītu prasījumu (AF.29) pret centrālo valdību un ar saistībām (AF.29) valdības kontos (sk. EKS 2010 5. nodaļas B.5.2. ierāmējumu un VIII.2. nodaļu “Vispārējās valdības parāda aprēķināšana”).</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Naudas maiņas laikā vecās valsts valūtas monētas, kuras vairs nav likumīgs maksāšanas līdzeklis un vēl nav atdotas valdībai, taču kuras joprojām var apmainīt pret likumīgu maksāšanas līdzekli, pārklasificē kā citas kreditoru saistības (F.8) konta “Citas aktīvu pārmaiņas” postenī “Citas apjoma pārmaiņas” (K.5). Tas samazina parāda uzkrājumu, tiklīdz vecā valūta vairs nav likumīgs maksāšanas līdzeklis, jo citas kreditoru saistības nav daļa no valsts parāda. Ja veco valūtu apmaina pret jaunām monētām, valdības parāds palielinās, jo palielinās apgrozībā esošo monētu summa.</w:t>
      </w:r>
    </w:p>
    <w:p w:rsidR="00523A0A" w:rsidRPr="001973D0" w:rsidRDefault="00523A0A" w:rsidP="00523A0A">
      <w:pPr>
        <w:pStyle w:val="BodyText"/>
        <w:numPr>
          <w:ilvl w:val="0"/>
          <w:numId w:val="59"/>
        </w:numPr>
        <w:tabs>
          <w:tab w:val="left" w:pos="1242"/>
        </w:tabs>
        <w:spacing w:before="0"/>
        <w:ind w:left="709" w:hanging="709"/>
        <w:jc w:val="both"/>
        <w:rPr>
          <w:rFonts w:ascii="Times New Roman" w:hAnsi="Times New Roman"/>
          <w:noProof/>
          <w:sz w:val="24"/>
        </w:rPr>
      </w:pPr>
      <w:r>
        <w:rPr>
          <w:rFonts w:ascii="Times New Roman" w:hAnsi="Times New Roman"/>
          <w:noProof/>
          <w:sz w:val="24"/>
        </w:rPr>
        <w:t>Neatgūtās valsts valūtas monētas valdības bilancē noraksta brīdī, kad valdība vairs nemaina vecās valsts valūtas monētas pret jaunu likumīgo maksāšanas līdzekli vai arī kad kļuvis skaidrs, ka tās vairs netiks atgūtas.</w:t>
      </w:r>
      <w:r w:rsidR="000A0865">
        <w:rPr>
          <w:rFonts w:ascii="Times New Roman" w:hAnsi="Times New Roman"/>
          <w:noProof/>
          <w:sz w:val="24"/>
        </w:rPr>
        <w:t xml:space="preserve"> Nacionālajos kontos to ieraksta</w:t>
      </w:r>
      <w:r>
        <w:rPr>
          <w:rFonts w:ascii="Times New Roman" w:hAnsi="Times New Roman"/>
          <w:noProof/>
          <w:sz w:val="24"/>
        </w:rPr>
        <w:t xml:space="preserve"> kā citas apjoma pārmaiņas (K.5), neietekmējot valdības neto aizdevumu/aizņēmumu (B.9).</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300" w:name="IV.4.3_Rationale_of_the_treatment"/>
      <w:bookmarkEnd w:id="300"/>
      <w:r>
        <w:rPr>
          <w:rFonts w:ascii="Times New Roman" w:hAnsi="Times New Roman"/>
          <w:noProof/>
          <w:u w:val="none"/>
        </w:rPr>
        <w:t>IV.4.3. </w:t>
      </w:r>
      <w:r>
        <w:rPr>
          <w:rFonts w:ascii="Times New Roman" w:hAnsi="Times New Roman"/>
          <w:noProof/>
          <w:u w:val="thick" w:color="000000"/>
        </w:rPr>
        <w:t>Traktējuma pamatojums</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EKS 2010 kategorijā “Valūta” (F.12)</w:t>
      </w:r>
      <w:r w:rsidR="00FC43C0">
        <w:rPr>
          <w:rFonts w:ascii="Times New Roman" w:hAnsi="Times New Roman"/>
          <w:noProof/>
          <w:sz w:val="24"/>
        </w:rPr>
        <w:t xml:space="preserve"> ietilpst monētas un banknotes</w:t>
      </w:r>
      <w:r>
        <w:rPr>
          <w:rFonts w:ascii="Times New Roman" w:hAnsi="Times New Roman"/>
          <w:noProof/>
          <w:sz w:val="24"/>
        </w:rPr>
        <w:t xml:space="preserve">, kuras plaši izmanto norēķiniem (sk. EKS 2010 5.76.–5.78. punktu). Tiklīdz </w:t>
      </w:r>
      <w:r w:rsidR="00FC43C0">
        <w:rPr>
          <w:rFonts w:ascii="Times New Roman" w:hAnsi="Times New Roman"/>
          <w:noProof/>
          <w:sz w:val="24"/>
        </w:rPr>
        <w:t>vecās valsts valūtas banknotes</w:t>
      </w:r>
      <w:r>
        <w:rPr>
          <w:rFonts w:ascii="Times New Roman" w:hAnsi="Times New Roman"/>
          <w:noProof/>
          <w:sz w:val="24"/>
        </w:rPr>
        <w:t xml:space="preserve"> un monētas vairs nav likumīgs maksāšanas līdzeklis, tās vairs nevar izmantot norēķiniem un attiecīgi tās ir jāizslēdz no EKS 2010 aktīvu kategorijas “Valūta” (F.21). Tā nav institucionālo vienību sadarbība uz savstarpējas vienošan</w:t>
      </w:r>
      <w:r w:rsidR="000A0865">
        <w:rPr>
          <w:rFonts w:ascii="Times New Roman" w:hAnsi="Times New Roman"/>
          <w:noProof/>
          <w:sz w:val="24"/>
        </w:rPr>
        <w:t>ās pamata un tāpēc to neieraksta</w:t>
      </w:r>
      <w:r>
        <w:rPr>
          <w:rFonts w:ascii="Times New Roman" w:hAnsi="Times New Roman"/>
          <w:noProof/>
          <w:sz w:val="24"/>
        </w:rPr>
        <w:t xml:space="preserve"> kā finanšu darījumu (sk. EKS 2010 1.66. punktu). Tā vietā aktīva pārklasificēšanu, izņemot zelta (</w:t>
      </w:r>
      <w:r w:rsidR="000A0865">
        <w:rPr>
          <w:rFonts w:ascii="Times New Roman" w:hAnsi="Times New Roman"/>
          <w:noProof/>
          <w:sz w:val="24"/>
        </w:rPr>
        <w:t>de)monetizāciju (K.62), ieraksta</w:t>
      </w:r>
      <w:r>
        <w:rPr>
          <w:rFonts w:ascii="Times New Roman" w:hAnsi="Times New Roman"/>
          <w:noProof/>
          <w:sz w:val="24"/>
        </w:rPr>
        <w:t xml:space="preserve"> (EKS 2010 6.24. punktā) gan debitora, gan kreditora kontā “Citas aktīvu pārmaiņas”. Tik ilgi, ka</w:t>
      </w:r>
      <w:r w:rsidR="00FC43C0">
        <w:rPr>
          <w:rFonts w:ascii="Times New Roman" w:hAnsi="Times New Roman"/>
          <w:noProof/>
          <w:sz w:val="24"/>
        </w:rPr>
        <w:t>mēr vecās monētas un banknotes</w:t>
      </w:r>
      <w:r>
        <w:rPr>
          <w:rFonts w:ascii="Times New Roman" w:hAnsi="Times New Roman"/>
          <w:noProof/>
          <w:sz w:val="24"/>
        </w:rPr>
        <w:t xml:space="preserve"> var apmainīt pret jaunām, tās ir uzskatāmas par </w:t>
      </w:r>
      <w:r>
        <w:rPr>
          <w:rFonts w:ascii="Times New Roman" w:hAnsi="Times New Roman"/>
          <w:noProof/>
          <w:sz w:val="24"/>
        </w:rPr>
        <w:lastRenderedPageBreak/>
        <w:t>finanšu prasījumiem pret emitentiem un attiecīgi arī par finanšu aktīviem (atšķirībā no dārgmetāliem), tāpēc tās ir jāpārklasificē EKS 2010 kategorijā “Citas debitoru/kreditoru saistības”. Tās faktiski pilda vērtību uzkrāšanas funkciju to turētājiem, savukārt to emitentam ir saistības, jo šo instrumentu uzrādīšanas gadījumā tie ir jāizpērk.</w:t>
      </w: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Tiklīdz </w:t>
      </w:r>
      <w:r w:rsidR="00FC43C0">
        <w:rPr>
          <w:rFonts w:ascii="Times New Roman" w:hAnsi="Times New Roman"/>
          <w:noProof/>
          <w:sz w:val="24"/>
        </w:rPr>
        <w:t>vecās valsts valūtas banknotes</w:t>
      </w:r>
      <w:r>
        <w:rPr>
          <w:rFonts w:ascii="Times New Roman" w:hAnsi="Times New Roman"/>
          <w:noProof/>
          <w:sz w:val="24"/>
        </w:rPr>
        <w:t xml:space="preserve"> un monētas vairs nevar apmainīt pret jauno valūtu un tādējādi tās vairs neveido prasījumu</w:t>
      </w:r>
      <w:r w:rsidR="000A0865">
        <w:rPr>
          <w:rFonts w:ascii="Times New Roman" w:hAnsi="Times New Roman"/>
          <w:noProof/>
          <w:sz w:val="24"/>
        </w:rPr>
        <w:t xml:space="preserve"> pret to emitentu, ir jāieraksta</w:t>
      </w:r>
      <w:r>
        <w:rPr>
          <w:rFonts w:ascii="Times New Roman" w:hAnsi="Times New Roman"/>
          <w:noProof/>
          <w:sz w:val="24"/>
        </w:rPr>
        <w:t xml:space="preserve"> citas finanšu aktīvu un saistību apjoma pārmaiņas (K.5) gan debitora, gan kreditora kontā “Citas aktīvu pārmaiņas”, jo šādas pārmaiņas nav radušās ne savstarpējas vienošanās, ne arī finanšu darījuma vai kapitāla pārveduma rezultātā. Praksē grāmatveži arī noraksta veco valūtu, tiklīdz ir (gandrīz pilnīg</w:t>
      </w:r>
      <w:r w:rsidR="00FC43C0">
        <w:rPr>
          <w:rFonts w:ascii="Times New Roman" w:hAnsi="Times New Roman"/>
          <w:noProof/>
          <w:sz w:val="24"/>
        </w:rPr>
        <w:t>i) skaidrs, ka vecās banknotes</w:t>
      </w:r>
      <w:r>
        <w:rPr>
          <w:rFonts w:ascii="Times New Roman" w:hAnsi="Times New Roman"/>
          <w:noProof/>
          <w:sz w:val="24"/>
        </w:rPr>
        <w:t xml:space="preserve"> un monētas vairs netiks mainītas, pat ja joprojām pastāv juridisks pienākums tās apmainīt. Grāmatveži no pieredzes zin</w:t>
      </w:r>
      <w:r w:rsidR="00FC43C0">
        <w:rPr>
          <w:rFonts w:ascii="Times New Roman" w:hAnsi="Times New Roman"/>
          <w:noProof/>
          <w:sz w:val="24"/>
        </w:rPr>
        <w:t>a, ka ne visas vecās banknotes</w:t>
      </w:r>
      <w:r>
        <w:rPr>
          <w:rFonts w:ascii="Times New Roman" w:hAnsi="Times New Roman"/>
          <w:noProof/>
          <w:sz w:val="24"/>
        </w:rPr>
        <w:t xml:space="preserve"> un monētas tiks apmainītas vai nu ārkārtas zaudējumu dēļ (sk. EKS 2010 6.14. punkta a) apakšpunktu), vai</w:t>
      </w:r>
      <w:r w:rsidR="00FC43C0">
        <w:rPr>
          <w:rFonts w:ascii="Times New Roman" w:hAnsi="Times New Roman"/>
          <w:noProof/>
          <w:sz w:val="24"/>
        </w:rPr>
        <w:t xml:space="preserve"> arī tāpēc, ka vecās banknotes</w:t>
      </w:r>
      <w:r>
        <w:rPr>
          <w:rFonts w:ascii="Times New Roman" w:hAnsi="Times New Roman"/>
          <w:noProof/>
          <w:sz w:val="24"/>
        </w:rPr>
        <w:t xml:space="preserve"> un monētas tiek paturētas kolekcionēšanai. Šādā gadījumā statistiķi ievēro tādu pašu piee</w:t>
      </w:r>
      <w:r w:rsidR="000A0865">
        <w:rPr>
          <w:rFonts w:ascii="Times New Roman" w:hAnsi="Times New Roman"/>
          <w:noProof/>
          <w:sz w:val="24"/>
        </w:rPr>
        <w:t>ju kā grāmatveži un arī ieraksta</w:t>
      </w:r>
      <w:r>
        <w:rPr>
          <w:rFonts w:ascii="Times New Roman" w:hAnsi="Times New Roman"/>
          <w:noProof/>
          <w:sz w:val="24"/>
        </w:rPr>
        <w:t xml:space="preserve"> norakstīšanu nacionālajos kontos, lai atspoguļotu ekonomisko, nevis juridisko realitāti. </w:t>
      </w:r>
      <w:r w:rsidR="00FC43C0">
        <w:rPr>
          <w:rFonts w:ascii="Times New Roman" w:hAnsi="Times New Roman"/>
          <w:noProof/>
          <w:sz w:val="24"/>
        </w:rPr>
        <w:t>Ja norakstītās vecās banknotes</w:t>
      </w:r>
      <w:r>
        <w:rPr>
          <w:rFonts w:ascii="Times New Roman" w:hAnsi="Times New Roman"/>
          <w:noProof/>
          <w:sz w:val="24"/>
        </w:rPr>
        <w:t xml:space="preserve"> un monētas pretēji gaidītajam tomēr nodod </w:t>
      </w:r>
      <w:r w:rsidR="00FC43C0">
        <w:rPr>
          <w:rFonts w:ascii="Times New Roman" w:hAnsi="Times New Roman"/>
          <w:noProof/>
          <w:sz w:val="24"/>
        </w:rPr>
        <w:t>apmaiņai pret jaunām banknotēm</w:t>
      </w:r>
      <w:r>
        <w:rPr>
          <w:rFonts w:ascii="Times New Roman" w:hAnsi="Times New Roman"/>
          <w:noProof/>
          <w:sz w:val="24"/>
        </w:rPr>
        <w:t xml:space="preserve"> un monētām, norakstīšanu apvērš gan debitora, gan kreditora kontā “Citas aktīvu pārmaiņas”.</w:t>
      </w:r>
    </w:p>
    <w:p w:rsidR="00523A0A" w:rsidRPr="001973D0" w:rsidRDefault="00FC43C0"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Banknošu</w:t>
      </w:r>
      <w:r w:rsidR="00523A0A">
        <w:rPr>
          <w:rFonts w:ascii="Times New Roman" w:hAnsi="Times New Roman"/>
          <w:noProof/>
          <w:sz w:val="24"/>
        </w:rPr>
        <w:t xml:space="preserve"> norakstīšanas dēļ palielināsies valdībai piederošā VCB pašu kapitāla vērtība, jo samazināsies VCB nenokārtoto saistību summa. Arī pārmaiņas pašu ka</w:t>
      </w:r>
      <w:r w:rsidR="000A0865">
        <w:rPr>
          <w:rFonts w:ascii="Times New Roman" w:hAnsi="Times New Roman"/>
          <w:noProof/>
          <w:sz w:val="24"/>
        </w:rPr>
        <w:t>pitāla novērtējumā ir jāieraksta</w:t>
      </w:r>
      <w:r w:rsidR="00523A0A">
        <w:rPr>
          <w:rFonts w:ascii="Times New Roman" w:hAnsi="Times New Roman"/>
          <w:noProof/>
          <w:sz w:val="24"/>
        </w:rPr>
        <w:t xml:space="preserve"> kontā “Citas aktīvu pārmaiņas” (pārvērtēšanas kontā).</w:t>
      </w: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Maksājumus, kurus VCB veic valdībai pēc ienāku</w:t>
      </w:r>
      <w:r w:rsidR="00FC43C0">
        <w:rPr>
          <w:rFonts w:ascii="Times New Roman" w:hAnsi="Times New Roman"/>
          <w:noProof/>
          <w:sz w:val="24"/>
        </w:rPr>
        <w:t>mu no neatgrieztajām banknotēm</w:t>
      </w:r>
      <w:r w:rsidR="000A0865">
        <w:rPr>
          <w:rFonts w:ascii="Times New Roman" w:hAnsi="Times New Roman"/>
          <w:noProof/>
          <w:sz w:val="24"/>
        </w:rPr>
        <w:t xml:space="preserve"> gūšanas, nevar ierakstīt</w:t>
      </w:r>
      <w:r>
        <w:rPr>
          <w:rFonts w:ascii="Times New Roman" w:hAnsi="Times New Roman"/>
          <w:noProof/>
          <w:sz w:val="24"/>
        </w:rPr>
        <w:t xml:space="preserve"> kā dividenžu ienākumus (ņemot vērā, ka pašu kapitālu novērtē pēc VCB neto aktīviem). Šie ienākumi ir gūti norakstīšanas rezultātā, nevis ražošanas vai ražošanas pārdales rezultātā, un tāpēc tie nevar būt daļa no VCB pamatdarbības peļņas. Šā iemesla dēļ maksājums valdībai</w:t>
      </w:r>
      <w:r w:rsidR="000A0865">
        <w:rPr>
          <w:rFonts w:ascii="Times New Roman" w:hAnsi="Times New Roman"/>
          <w:noProof/>
          <w:sz w:val="24"/>
        </w:rPr>
        <w:t xml:space="preserve"> ir jāieraksta</w:t>
      </w:r>
      <w:r>
        <w:rPr>
          <w:rFonts w:ascii="Times New Roman" w:hAnsi="Times New Roman"/>
          <w:noProof/>
          <w:sz w:val="24"/>
        </w:rPr>
        <w:t xml:space="preserve"> kā valdības veikta pašu kapitāla izņemšana bez izmaiņām valdības neto aizdevumā/aizņēmumā (B.9).</w:t>
      </w:r>
    </w:p>
    <w:p w:rsidR="00523A0A" w:rsidRPr="001973D0" w:rsidRDefault="00523A0A" w:rsidP="00523A0A">
      <w:pPr>
        <w:pStyle w:val="BodyText"/>
        <w:numPr>
          <w:ilvl w:val="0"/>
          <w:numId w:val="59"/>
        </w:numPr>
        <w:tabs>
          <w:tab w:val="left" w:pos="1162"/>
        </w:tabs>
        <w:spacing w:before="0"/>
        <w:ind w:left="709" w:hanging="709"/>
        <w:jc w:val="both"/>
        <w:rPr>
          <w:rFonts w:ascii="Times New Roman" w:hAnsi="Times New Roman"/>
          <w:noProof/>
          <w:sz w:val="24"/>
        </w:rPr>
      </w:pPr>
      <w:r>
        <w:rPr>
          <w:rFonts w:ascii="Times New Roman" w:hAnsi="Times New Roman"/>
          <w:noProof/>
          <w:sz w:val="24"/>
        </w:rPr>
        <w:t>Pārklasificēšana vai veco monētu norakstīšana arī nerada nekādas izmaiņas neto aizdevumā/aizņēmumā (B.9). Saskaņā ar definīciju, ko izmanto pārmērīga budžeta deficīta novēršanas procedūrā, valdības parādā ietilpst valūtas un noguldījumi (F.2), parāda vērtspapīri (F.3) un aizdevumi (F.4). Veco monētu pārklasificēšana no valūtas un noguldījumiem uz citām kreditoru saistībā”, tiklīdz tās vairs nav likumīgs maksāšanas līdzeklis, samazina parāda uzkrājumu, jo citas kreditoru saistības nav daļa no valdības parāda. Ja veco valūtu apmaina pret jaunām monētām, valdības parāds palielinās, jo palielinās apgrozībā esošo monētu summa.</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301" w:name="IV.4.4_Accounting_examples"/>
      <w:bookmarkEnd w:id="301"/>
      <w:r>
        <w:rPr>
          <w:rFonts w:ascii="Times New Roman" w:hAnsi="Times New Roman"/>
          <w:noProof/>
          <w:u w:val="none"/>
        </w:rPr>
        <w:t>IV.4.4. </w:t>
      </w:r>
      <w:r>
        <w:rPr>
          <w:rFonts w:ascii="Times New Roman" w:hAnsi="Times New Roman"/>
          <w:noProof/>
          <w:u w:val="thick" w:color="000000"/>
        </w:rPr>
        <w:t>Uzskaites piemēri</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1. piemērs</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i/>
          <w:noProof/>
          <w:sz w:val="24"/>
        </w:rPr>
        <w:t>Euro</w:t>
      </w:r>
      <w:r>
        <w:rPr>
          <w:rFonts w:ascii="Times New Roman" w:hAnsi="Times New Roman"/>
          <w:noProof/>
          <w:sz w:val="24"/>
        </w:rPr>
        <w:t xml:space="preserve"> ievieš 1. gada 1. dienā.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Pēc pusgada vecā</w:t>
      </w:r>
      <w:r w:rsidR="006B5E51">
        <w:rPr>
          <w:rFonts w:ascii="Times New Roman" w:hAnsi="Times New Roman"/>
          <w:noProof/>
          <w:sz w:val="24"/>
        </w:rPr>
        <w:t>s nacionālās valūtas banknotes</w:t>
      </w:r>
      <w:r>
        <w:rPr>
          <w:rFonts w:ascii="Times New Roman" w:hAnsi="Times New Roman"/>
          <w:noProof/>
          <w:sz w:val="24"/>
        </w:rPr>
        <w:t xml:space="preserve"> vairs nepieņem kā likumīgu maksāšanas līdzekli. Līdz 1. gada beigām pret </w:t>
      </w:r>
      <w:r>
        <w:rPr>
          <w:rFonts w:ascii="Times New Roman" w:hAnsi="Times New Roman"/>
          <w:i/>
          <w:noProof/>
          <w:sz w:val="24"/>
        </w:rPr>
        <w:t>euro</w:t>
      </w:r>
      <w:r>
        <w:rPr>
          <w:rFonts w:ascii="Times New Roman" w:hAnsi="Times New Roman"/>
          <w:noProof/>
          <w:sz w:val="24"/>
        </w:rPr>
        <w:t xml:space="preserve"> vēl </w:t>
      </w:r>
      <w:r w:rsidR="006B5E51">
        <w:rPr>
          <w:rFonts w:ascii="Times New Roman" w:hAnsi="Times New Roman"/>
          <w:noProof/>
          <w:sz w:val="24"/>
        </w:rPr>
        <w:t>nav apmainītas vecās banknotes</w:t>
      </w:r>
      <w:r>
        <w:rPr>
          <w:rFonts w:ascii="Times New Roman" w:hAnsi="Times New Roman"/>
          <w:noProof/>
          <w:sz w:val="24"/>
        </w:rPr>
        <w:t xml:space="preserve"> 100 miljonu </w:t>
      </w:r>
      <w:r>
        <w:rPr>
          <w:rFonts w:ascii="Times New Roman" w:hAnsi="Times New Roman"/>
          <w:i/>
          <w:noProof/>
          <w:sz w:val="24"/>
        </w:rPr>
        <w:t>euro</w:t>
      </w:r>
      <w:r>
        <w:rPr>
          <w:rFonts w:ascii="Times New Roman" w:hAnsi="Times New Roman"/>
          <w:noProof/>
          <w:sz w:val="24"/>
        </w:rPr>
        <w:t xml:space="preserve"> vērtībā.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Pē</w:t>
      </w:r>
      <w:r w:rsidR="006B5E51">
        <w:rPr>
          <w:rFonts w:ascii="Times New Roman" w:hAnsi="Times New Roman"/>
          <w:noProof/>
          <w:sz w:val="24"/>
        </w:rPr>
        <w:t>c pusotra gada vecās banknotes</w:t>
      </w:r>
      <w:r>
        <w:rPr>
          <w:rFonts w:ascii="Times New Roman" w:hAnsi="Times New Roman"/>
          <w:noProof/>
          <w:sz w:val="24"/>
        </w:rPr>
        <w:t xml:space="preserve"> vairs nevar apmainīt pret </w:t>
      </w:r>
      <w:r>
        <w:rPr>
          <w:rFonts w:ascii="Times New Roman" w:hAnsi="Times New Roman"/>
          <w:i/>
          <w:noProof/>
          <w:sz w:val="24"/>
        </w:rPr>
        <w:t>euro</w:t>
      </w:r>
      <w:r>
        <w:rPr>
          <w:rFonts w:ascii="Times New Roman" w:hAnsi="Times New Roman"/>
          <w:noProof/>
          <w:sz w:val="24"/>
        </w:rPr>
        <w:t xml:space="preserve">. Līdz 2. gada beigām pret </w:t>
      </w:r>
      <w:r>
        <w:rPr>
          <w:rFonts w:ascii="Times New Roman" w:hAnsi="Times New Roman"/>
          <w:i/>
          <w:noProof/>
          <w:sz w:val="24"/>
        </w:rPr>
        <w:t>euro</w:t>
      </w:r>
      <w:r>
        <w:rPr>
          <w:rFonts w:ascii="Times New Roman" w:hAnsi="Times New Roman"/>
          <w:noProof/>
          <w:sz w:val="24"/>
        </w:rPr>
        <w:t xml:space="preserve"> vēl </w:t>
      </w:r>
      <w:r w:rsidR="006B5E51">
        <w:rPr>
          <w:rFonts w:ascii="Times New Roman" w:hAnsi="Times New Roman"/>
          <w:noProof/>
          <w:sz w:val="24"/>
        </w:rPr>
        <w:t>nav apmainītas vecās banknotes</w:t>
      </w:r>
      <w:r>
        <w:rPr>
          <w:rFonts w:ascii="Times New Roman" w:hAnsi="Times New Roman"/>
          <w:noProof/>
          <w:sz w:val="24"/>
        </w:rPr>
        <w:t xml:space="preserve"> 15 miljonu </w:t>
      </w:r>
      <w:r>
        <w:rPr>
          <w:rFonts w:ascii="Times New Roman" w:hAnsi="Times New Roman"/>
          <w:i/>
          <w:noProof/>
          <w:sz w:val="24"/>
        </w:rPr>
        <w:t>euro</w:t>
      </w:r>
      <w:r>
        <w:rPr>
          <w:rFonts w:ascii="Times New Roman" w:hAnsi="Times New Roman"/>
          <w:noProof/>
          <w:sz w:val="24"/>
        </w:rPr>
        <w:t xml:space="preserve"> vērtībā, kuras attiecīgi tiek norakstītas.</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 xml:space="preserve">Otrā gada otrajā pusē VCB samaksā valdībai summu 15 miljonu </w:t>
      </w:r>
      <w:r>
        <w:rPr>
          <w:rFonts w:ascii="Times New Roman" w:hAnsi="Times New Roman"/>
          <w:i/>
          <w:noProof/>
          <w:sz w:val="24"/>
        </w:rPr>
        <w:t>euro</w:t>
      </w:r>
      <w:r>
        <w:rPr>
          <w:rFonts w:ascii="Times New Roman" w:hAnsi="Times New Roman"/>
          <w:noProof/>
          <w:sz w:val="24"/>
        </w:rPr>
        <w:t xml:space="preserve"> apmērā.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Vienkāršošanas nolūkā tie</w:t>
      </w:r>
      <w:r w:rsidR="006B5E51">
        <w:rPr>
          <w:rFonts w:ascii="Times New Roman" w:hAnsi="Times New Roman"/>
          <w:noProof/>
          <w:sz w:val="24"/>
        </w:rPr>
        <w:t>k pieņemts, ka vecās banknotes apmaina pret jaunām banknotēm</w:t>
      </w:r>
      <w:r>
        <w:rPr>
          <w:rFonts w:ascii="Times New Roman" w:hAnsi="Times New Roman"/>
          <w:noProof/>
          <w:sz w:val="24"/>
        </w:rPr>
        <w:t>, nevis pret monētām vai noguldījumiem.</w:t>
      </w:r>
    </w:p>
    <w:p w:rsidR="00523A0A" w:rsidRPr="001973D0" w:rsidRDefault="00523A0A" w:rsidP="00523A0A">
      <w:pPr>
        <w:jc w:val="both"/>
        <w:rPr>
          <w:rFonts w:ascii="Times New Roman" w:eastAsia="Arial" w:hAnsi="Times New Roman" w:cs="Arial"/>
          <w:noProof/>
          <w:sz w:val="24"/>
          <w:szCs w:val="20"/>
        </w:rPr>
      </w:pPr>
    </w:p>
    <w:p w:rsidR="00523A0A" w:rsidRPr="001973D0" w:rsidRDefault="00AA2FE3" w:rsidP="00523A0A">
      <w:pPr>
        <w:jc w:val="both"/>
        <w:rPr>
          <w:rFonts w:ascii="Times New Roman" w:eastAsia="Times New Roman" w:hAnsi="Times New Roman" w:cs="Times New Roman"/>
          <w:noProof/>
          <w:sz w:val="24"/>
          <w:szCs w:val="20"/>
        </w:rPr>
      </w:pPr>
      <w:r w:rsidRPr="00AA2FE3">
        <w:rPr>
          <w:rFonts w:ascii="Times New Roman" w:eastAsia="Times New Roman" w:hAnsi="Times New Roman" w:cs="Times New Roman"/>
          <w:noProof/>
          <w:sz w:val="24"/>
          <w:szCs w:val="20"/>
          <w:lang w:bidi="ar-SA"/>
        </w:rPr>
        <w:lastRenderedPageBreak/>
        <w:drawing>
          <wp:inline distT="0" distB="0" distL="0" distR="0">
            <wp:extent cx="5760085" cy="5125476"/>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085" cy="5125476"/>
                    </a:xfrm>
                    <a:prstGeom prst="rect">
                      <a:avLst/>
                    </a:prstGeom>
                    <a:noFill/>
                    <a:ln>
                      <a:noFill/>
                    </a:ln>
                  </pic:spPr>
                </pic:pic>
              </a:graphicData>
            </a:graphic>
          </wp:inline>
        </w:drawing>
      </w:r>
    </w:p>
    <w:p w:rsidR="00523A0A" w:rsidRPr="001973D0" w:rsidRDefault="00523A0A" w:rsidP="00523A0A">
      <w:pPr>
        <w:jc w:val="both"/>
        <w:rPr>
          <w:rFonts w:ascii="Times New Roman" w:eastAsia="Times New Roman" w:hAnsi="Times New Roman" w:cs="Times New Roman"/>
          <w:noProof/>
          <w:sz w:val="24"/>
          <w:szCs w:val="20"/>
        </w:rPr>
      </w:pPr>
    </w:p>
    <w:p w:rsidR="00523A0A" w:rsidRPr="001973D0" w:rsidRDefault="00AA2FE3" w:rsidP="00523A0A">
      <w:pPr>
        <w:jc w:val="both"/>
        <w:rPr>
          <w:rFonts w:ascii="Times New Roman" w:eastAsia="Times New Roman" w:hAnsi="Times New Roman" w:cs="Times New Roman"/>
          <w:noProof/>
          <w:sz w:val="24"/>
          <w:szCs w:val="20"/>
        </w:rPr>
      </w:pPr>
      <w:r w:rsidRPr="00AA2FE3">
        <w:rPr>
          <w:rFonts w:ascii="Times New Roman" w:eastAsia="Times New Roman" w:hAnsi="Times New Roman" w:cs="Times New Roman"/>
          <w:noProof/>
          <w:sz w:val="24"/>
          <w:szCs w:val="20"/>
          <w:lang w:bidi="ar-SA"/>
        </w:rPr>
        <w:lastRenderedPageBreak/>
        <w:drawing>
          <wp:inline distT="0" distB="0" distL="0" distR="0">
            <wp:extent cx="5760085" cy="7701718"/>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85" cy="7701718"/>
                    </a:xfrm>
                    <a:prstGeom prst="rect">
                      <a:avLst/>
                    </a:prstGeom>
                    <a:noFill/>
                    <a:ln>
                      <a:noFill/>
                    </a:ln>
                  </pic:spPr>
                </pic:pic>
              </a:graphicData>
            </a:graphic>
          </wp:inline>
        </w:drawing>
      </w:r>
    </w:p>
    <w:p w:rsidR="00523A0A" w:rsidRPr="001973D0" w:rsidRDefault="00523A0A" w:rsidP="00523A0A">
      <w:pPr>
        <w:jc w:val="both"/>
        <w:rPr>
          <w:rFonts w:ascii="Times New Roman" w:eastAsia="Times New Roman" w:hAnsi="Times New Roman" w:cs="Times New Roman"/>
          <w:noProof/>
          <w:sz w:val="24"/>
          <w:szCs w:val="19"/>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2. piemērs</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i/>
          <w:noProof/>
          <w:sz w:val="24"/>
        </w:rPr>
        <w:t>Euro</w:t>
      </w:r>
      <w:r>
        <w:rPr>
          <w:rFonts w:ascii="Times New Roman" w:hAnsi="Times New Roman"/>
          <w:noProof/>
          <w:sz w:val="24"/>
        </w:rPr>
        <w:t xml:space="preserve"> ievieš 1. gada 1. dienā.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Pēc pusgada vecā</w:t>
      </w:r>
      <w:r w:rsidR="006B5E51">
        <w:rPr>
          <w:rFonts w:ascii="Times New Roman" w:hAnsi="Times New Roman"/>
          <w:noProof/>
          <w:sz w:val="24"/>
        </w:rPr>
        <w:t>s nacionālās valūtas banknotes</w:t>
      </w:r>
      <w:r>
        <w:rPr>
          <w:rFonts w:ascii="Times New Roman" w:hAnsi="Times New Roman"/>
          <w:noProof/>
          <w:sz w:val="24"/>
        </w:rPr>
        <w:t xml:space="preserve"> vairs nepieņem kā likumīgu maksāšanas līdzekli. Līdz 1. gada beigām pret </w:t>
      </w:r>
      <w:r>
        <w:rPr>
          <w:rFonts w:ascii="Times New Roman" w:hAnsi="Times New Roman"/>
          <w:i/>
          <w:noProof/>
          <w:sz w:val="24"/>
        </w:rPr>
        <w:t>euro</w:t>
      </w:r>
      <w:r>
        <w:rPr>
          <w:rFonts w:ascii="Times New Roman" w:hAnsi="Times New Roman"/>
          <w:noProof/>
          <w:sz w:val="24"/>
        </w:rPr>
        <w:t xml:space="preserve"> vēl </w:t>
      </w:r>
      <w:r w:rsidR="00D06750">
        <w:rPr>
          <w:rFonts w:ascii="Times New Roman" w:hAnsi="Times New Roman"/>
          <w:noProof/>
          <w:sz w:val="24"/>
        </w:rPr>
        <w:t>nav apmainītas vecās banknotes</w:t>
      </w:r>
      <w:r>
        <w:rPr>
          <w:rFonts w:ascii="Times New Roman" w:hAnsi="Times New Roman"/>
          <w:noProof/>
          <w:sz w:val="24"/>
        </w:rPr>
        <w:t xml:space="preserve"> 100 miljonu </w:t>
      </w:r>
      <w:r>
        <w:rPr>
          <w:rFonts w:ascii="Times New Roman" w:hAnsi="Times New Roman"/>
          <w:i/>
          <w:noProof/>
          <w:sz w:val="24"/>
        </w:rPr>
        <w:t>euro</w:t>
      </w:r>
      <w:r>
        <w:rPr>
          <w:rFonts w:ascii="Times New Roman" w:hAnsi="Times New Roman"/>
          <w:noProof/>
          <w:sz w:val="24"/>
        </w:rPr>
        <w:t xml:space="preserve"> vērtībā.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Pē</w:t>
      </w:r>
      <w:r w:rsidR="00D06750">
        <w:rPr>
          <w:rFonts w:ascii="Times New Roman" w:hAnsi="Times New Roman"/>
          <w:noProof/>
          <w:sz w:val="24"/>
        </w:rPr>
        <w:t>c pusotra gada vecās banknotes</w:t>
      </w:r>
      <w:r>
        <w:rPr>
          <w:rFonts w:ascii="Times New Roman" w:hAnsi="Times New Roman"/>
          <w:noProof/>
          <w:sz w:val="24"/>
        </w:rPr>
        <w:t xml:space="preserve"> vairs nevar apmainīt pret </w:t>
      </w:r>
      <w:r>
        <w:rPr>
          <w:rFonts w:ascii="Times New Roman" w:hAnsi="Times New Roman"/>
          <w:i/>
          <w:noProof/>
          <w:sz w:val="24"/>
        </w:rPr>
        <w:t>euro</w:t>
      </w:r>
      <w:r>
        <w:rPr>
          <w:rFonts w:ascii="Times New Roman" w:hAnsi="Times New Roman"/>
          <w:noProof/>
          <w:sz w:val="24"/>
        </w:rPr>
        <w:t xml:space="preserve">. Otrajā gadā no VCB </w:t>
      </w:r>
      <w:r>
        <w:rPr>
          <w:rFonts w:ascii="Times New Roman" w:hAnsi="Times New Roman"/>
          <w:noProof/>
          <w:sz w:val="24"/>
        </w:rPr>
        <w:lastRenderedPageBreak/>
        <w:t>bil</w:t>
      </w:r>
      <w:r w:rsidR="00D06750">
        <w:rPr>
          <w:rFonts w:ascii="Times New Roman" w:hAnsi="Times New Roman"/>
          <w:noProof/>
          <w:sz w:val="24"/>
        </w:rPr>
        <w:t>ances noraksta vecās banknotes</w:t>
      </w:r>
      <w:r>
        <w:rPr>
          <w:rFonts w:ascii="Times New Roman" w:hAnsi="Times New Roman"/>
          <w:noProof/>
          <w:sz w:val="24"/>
        </w:rPr>
        <w:t xml:space="preserve"> 15 miljonu </w:t>
      </w:r>
      <w:r>
        <w:rPr>
          <w:rFonts w:ascii="Times New Roman" w:hAnsi="Times New Roman"/>
          <w:i/>
          <w:noProof/>
          <w:sz w:val="24"/>
        </w:rPr>
        <w:t>euro</w:t>
      </w:r>
      <w:r>
        <w:rPr>
          <w:rFonts w:ascii="Times New Roman" w:hAnsi="Times New Roman"/>
          <w:noProof/>
          <w:sz w:val="24"/>
        </w:rPr>
        <w:t xml:space="preserve"> vērtībā. Pirmā gada laikā VCB samaksā valdībai avansā summu 15 miljonu </w:t>
      </w:r>
      <w:r>
        <w:rPr>
          <w:rFonts w:ascii="Times New Roman" w:hAnsi="Times New Roman"/>
          <w:i/>
          <w:noProof/>
          <w:sz w:val="24"/>
        </w:rPr>
        <w:t>euro</w:t>
      </w:r>
      <w:r>
        <w:rPr>
          <w:rFonts w:ascii="Times New Roman" w:hAnsi="Times New Roman"/>
          <w:noProof/>
          <w:sz w:val="24"/>
        </w:rPr>
        <w:t xml:space="preserve"> apmērā.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Vienkāršošanas nolūkā tie</w:t>
      </w:r>
      <w:r w:rsidR="00D06750">
        <w:rPr>
          <w:rFonts w:ascii="Times New Roman" w:hAnsi="Times New Roman"/>
          <w:noProof/>
          <w:sz w:val="24"/>
        </w:rPr>
        <w:t>k pieņemts, ka vecās banknotes apmaina pret jaunām banknotēm</w:t>
      </w:r>
      <w:r>
        <w:rPr>
          <w:rFonts w:ascii="Times New Roman" w:hAnsi="Times New Roman"/>
          <w:noProof/>
          <w:sz w:val="24"/>
        </w:rPr>
        <w:t>, nevis pret monētām vai noguldījumiem.</w:t>
      </w:r>
    </w:p>
    <w:p w:rsidR="00523A0A" w:rsidRPr="007E3901" w:rsidRDefault="00523A0A" w:rsidP="00523A0A">
      <w:pPr>
        <w:jc w:val="both"/>
        <w:rPr>
          <w:rFonts w:ascii="Times New Roman" w:eastAsia="Calibri" w:hAnsi="Times New Roman" w:cs="Calibri"/>
          <w:bCs/>
          <w:noProof/>
          <w:sz w:val="24"/>
          <w:szCs w:val="20"/>
        </w:rPr>
      </w:pPr>
    </w:p>
    <w:p w:rsidR="00523A0A" w:rsidRDefault="00AA2FE3" w:rsidP="00523A0A">
      <w:pPr>
        <w:jc w:val="both"/>
        <w:rPr>
          <w:rFonts w:ascii="Times New Roman" w:eastAsia="Calibri" w:hAnsi="Times New Roman" w:cs="Calibri"/>
          <w:bCs/>
          <w:noProof/>
          <w:sz w:val="24"/>
          <w:szCs w:val="20"/>
        </w:rPr>
      </w:pPr>
      <w:r w:rsidRPr="00AA2FE3">
        <w:rPr>
          <w:rFonts w:ascii="Times New Roman" w:eastAsia="Calibri" w:hAnsi="Times New Roman" w:cs="Calibri"/>
          <w:bCs/>
          <w:noProof/>
          <w:sz w:val="24"/>
          <w:szCs w:val="20"/>
          <w:lang w:bidi="ar-SA"/>
        </w:rPr>
        <w:drawing>
          <wp:inline distT="0" distB="0" distL="0" distR="0">
            <wp:extent cx="5760085" cy="6309379"/>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085" cy="6309379"/>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bCs/>
          <w:noProof/>
          <w:sz w:val="24"/>
          <w:szCs w:val="20"/>
        </w:rPr>
      </w:pPr>
    </w:p>
    <w:p w:rsidR="00523A0A" w:rsidRDefault="00AA2FE3" w:rsidP="00523A0A">
      <w:pPr>
        <w:jc w:val="both"/>
        <w:rPr>
          <w:rFonts w:ascii="Times New Roman" w:eastAsia="Calibri" w:hAnsi="Times New Roman" w:cs="Calibri"/>
          <w:bCs/>
          <w:noProof/>
          <w:sz w:val="24"/>
          <w:szCs w:val="20"/>
        </w:rPr>
      </w:pPr>
      <w:r w:rsidRPr="00AA2FE3">
        <w:rPr>
          <w:rFonts w:ascii="Times New Roman" w:eastAsia="Calibri" w:hAnsi="Times New Roman" w:cs="Calibri"/>
          <w:bCs/>
          <w:noProof/>
          <w:sz w:val="24"/>
          <w:szCs w:val="20"/>
          <w:lang w:bidi="ar-SA"/>
        </w:rPr>
        <w:lastRenderedPageBreak/>
        <w:drawing>
          <wp:inline distT="0" distB="0" distL="0" distR="0">
            <wp:extent cx="5760085" cy="7350750"/>
            <wp:effectExtent l="0" t="0" r="0" b="317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085" cy="7350750"/>
                    </a:xfrm>
                    <a:prstGeom prst="rect">
                      <a:avLst/>
                    </a:prstGeom>
                    <a:noFill/>
                    <a:ln>
                      <a:noFill/>
                    </a:ln>
                  </pic:spPr>
                </pic:pic>
              </a:graphicData>
            </a:graphic>
          </wp:inline>
        </w:drawing>
      </w:r>
    </w:p>
    <w:p w:rsidR="00523A0A" w:rsidRPr="007E3901" w:rsidRDefault="00523A0A" w:rsidP="00523A0A">
      <w:pPr>
        <w:jc w:val="both"/>
        <w:rPr>
          <w:rFonts w:ascii="Times New Roman" w:eastAsia="Calibri" w:hAnsi="Times New Roman" w:cs="Calibri"/>
          <w:bCs/>
          <w:noProof/>
          <w:sz w:val="24"/>
          <w:szCs w:val="29"/>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3. piemērs</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i/>
          <w:noProof/>
          <w:sz w:val="24"/>
        </w:rPr>
        <w:t>Euro</w:t>
      </w:r>
      <w:r>
        <w:rPr>
          <w:rFonts w:ascii="Times New Roman" w:hAnsi="Times New Roman"/>
          <w:noProof/>
          <w:sz w:val="24"/>
        </w:rPr>
        <w:t xml:space="preserve"> ievieš 1. gada 1. dienā. Monētas ir valdības saistības.</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 xml:space="preserve">Pēc pusgada vecās nacionālās valūtas monētas vairs nepieņem kā likumīgu maksāšanas līdzekli. Līdz 1. gada beigām pret </w:t>
      </w:r>
      <w:r>
        <w:rPr>
          <w:rFonts w:ascii="Times New Roman" w:hAnsi="Times New Roman"/>
          <w:i/>
          <w:noProof/>
          <w:sz w:val="24"/>
        </w:rPr>
        <w:t>euro</w:t>
      </w:r>
      <w:r>
        <w:rPr>
          <w:rFonts w:ascii="Times New Roman" w:hAnsi="Times New Roman"/>
          <w:noProof/>
          <w:sz w:val="24"/>
        </w:rPr>
        <w:t xml:space="preserve"> vēl nav apmainītas vecās monētas 100 miljonu </w:t>
      </w:r>
      <w:r>
        <w:rPr>
          <w:rFonts w:ascii="Times New Roman" w:hAnsi="Times New Roman"/>
          <w:i/>
          <w:noProof/>
          <w:sz w:val="24"/>
        </w:rPr>
        <w:t>euro</w:t>
      </w:r>
      <w:r>
        <w:rPr>
          <w:rFonts w:ascii="Times New Roman" w:hAnsi="Times New Roman"/>
          <w:noProof/>
          <w:sz w:val="24"/>
        </w:rPr>
        <w:t xml:space="preserve"> vērtībā.</w:t>
      </w:r>
    </w:p>
    <w:p w:rsidR="00523A0A" w:rsidRPr="001973D0" w:rsidRDefault="00523A0A" w:rsidP="00523A0A">
      <w:pPr>
        <w:pStyle w:val="BodyText"/>
        <w:numPr>
          <w:ilvl w:val="0"/>
          <w:numId w:val="58"/>
        </w:numPr>
        <w:tabs>
          <w:tab w:val="left" w:pos="1308"/>
        </w:tabs>
        <w:spacing w:before="0"/>
        <w:ind w:left="709" w:hanging="709"/>
        <w:jc w:val="both"/>
        <w:rPr>
          <w:rFonts w:ascii="Times New Roman" w:hAnsi="Times New Roman"/>
          <w:noProof/>
          <w:sz w:val="24"/>
        </w:rPr>
      </w:pPr>
      <w:r>
        <w:rPr>
          <w:rFonts w:ascii="Times New Roman" w:hAnsi="Times New Roman"/>
          <w:noProof/>
          <w:sz w:val="24"/>
        </w:rPr>
        <w:t xml:space="preserve">Pēc pusotra gada vecās monētas vairs nevar apmainīt pret </w:t>
      </w:r>
      <w:r>
        <w:rPr>
          <w:rFonts w:ascii="Times New Roman" w:hAnsi="Times New Roman"/>
          <w:i/>
          <w:noProof/>
          <w:sz w:val="24"/>
        </w:rPr>
        <w:t>euro</w:t>
      </w:r>
      <w:r>
        <w:rPr>
          <w:rFonts w:ascii="Times New Roman" w:hAnsi="Times New Roman"/>
          <w:noProof/>
          <w:sz w:val="24"/>
        </w:rPr>
        <w:t xml:space="preserve">. Līdz konkrētajam datumam pret </w:t>
      </w:r>
      <w:r>
        <w:rPr>
          <w:rFonts w:ascii="Times New Roman" w:hAnsi="Times New Roman"/>
          <w:i/>
          <w:noProof/>
          <w:sz w:val="24"/>
        </w:rPr>
        <w:t>euro</w:t>
      </w:r>
      <w:r>
        <w:rPr>
          <w:rFonts w:ascii="Times New Roman" w:hAnsi="Times New Roman"/>
          <w:noProof/>
          <w:sz w:val="24"/>
        </w:rPr>
        <w:t xml:space="preserve"> nav apmainītas vecās monētas 15 miljonu </w:t>
      </w:r>
      <w:r>
        <w:rPr>
          <w:rFonts w:ascii="Times New Roman" w:hAnsi="Times New Roman"/>
          <w:i/>
          <w:noProof/>
          <w:sz w:val="24"/>
        </w:rPr>
        <w:t>euro</w:t>
      </w:r>
      <w:r>
        <w:rPr>
          <w:rFonts w:ascii="Times New Roman" w:hAnsi="Times New Roman"/>
          <w:noProof/>
          <w:sz w:val="24"/>
        </w:rPr>
        <w:t xml:space="preserve"> vērtībā. No 85 miljoniem veco monētu, kas tika apmainītas bankās, 40 miljoni tika apmainīti pret </w:t>
      </w:r>
      <w:r>
        <w:rPr>
          <w:rFonts w:ascii="Times New Roman" w:hAnsi="Times New Roman"/>
          <w:noProof/>
          <w:sz w:val="24"/>
        </w:rPr>
        <w:lastRenderedPageBreak/>
        <w:t xml:space="preserve">jaunajām </w:t>
      </w:r>
      <w:r>
        <w:rPr>
          <w:rFonts w:ascii="Times New Roman" w:hAnsi="Times New Roman"/>
          <w:i/>
          <w:noProof/>
          <w:sz w:val="24"/>
        </w:rPr>
        <w:t>euro</w:t>
      </w:r>
      <w:r>
        <w:rPr>
          <w:rFonts w:ascii="Times New Roman" w:hAnsi="Times New Roman"/>
          <w:noProof/>
          <w:sz w:val="24"/>
        </w:rPr>
        <w:t xml:space="preserve"> monētām. Bankas kontos tika noguldītas vecās monētas 45 miljonu </w:t>
      </w:r>
      <w:r>
        <w:rPr>
          <w:rFonts w:ascii="Times New Roman" w:hAnsi="Times New Roman"/>
          <w:i/>
          <w:noProof/>
          <w:sz w:val="24"/>
        </w:rPr>
        <w:t>euro</w:t>
      </w:r>
      <w:r>
        <w:rPr>
          <w:rFonts w:ascii="Times New Roman" w:hAnsi="Times New Roman"/>
          <w:noProof/>
          <w:sz w:val="24"/>
        </w:rPr>
        <w:t xml:space="preserve"> apmērā.</w:t>
      </w:r>
    </w:p>
    <w:p w:rsidR="00523A0A" w:rsidRDefault="00523A0A" w:rsidP="00523A0A">
      <w:pPr>
        <w:jc w:val="both"/>
        <w:rPr>
          <w:rFonts w:ascii="Times New Roman" w:eastAsia="Arial" w:hAnsi="Times New Roman" w:cs="Arial"/>
          <w:noProof/>
          <w:sz w:val="24"/>
          <w:szCs w:val="26"/>
        </w:rPr>
      </w:pPr>
    </w:p>
    <w:p w:rsidR="00523A0A" w:rsidRDefault="00AA2FE3" w:rsidP="00523A0A">
      <w:pPr>
        <w:jc w:val="both"/>
        <w:rPr>
          <w:rFonts w:ascii="Times New Roman" w:eastAsia="Arial" w:hAnsi="Times New Roman" w:cs="Arial"/>
          <w:noProof/>
          <w:sz w:val="24"/>
          <w:szCs w:val="26"/>
        </w:rPr>
      </w:pPr>
      <w:r w:rsidRPr="00AA2FE3">
        <w:rPr>
          <w:rFonts w:ascii="Times New Roman" w:eastAsia="Arial" w:hAnsi="Times New Roman" w:cs="Arial"/>
          <w:noProof/>
          <w:sz w:val="24"/>
          <w:szCs w:val="26"/>
          <w:lang w:bidi="ar-SA"/>
        </w:rPr>
        <w:drawing>
          <wp:inline distT="0" distB="0" distL="0" distR="0">
            <wp:extent cx="5760085" cy="4702373"/>
            <wp:effectExtent l="0" t="0" r="0" b="317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085" cy="4702373"/>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noProof/>
          <w:sz w:val="24"/>
          <w:szCs w:val="26"/>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Jāņem vērā, ka 1. gada beigās valdības parāds ir samazinājies par 100 veco nacionālās valūtas monētu pārklasificēšanas dēļ.</w:t>
      </w:r>
    </w:p>
    <w:p w:rsidR="00523A0A" w:rsidRPr="001973D0" w:rsidRDefault="00523A0A" w:rsidP="00523A0A">
      <w:pPr>
        <w:jc w:val="both"/>
        <w:rPr>
          <w:rFonts w:ascii="Times New Roman" w:eastAsia="Arial" w:hAnsi="Times New Roman" w:cs="Arial"/>
          <w:noProof/>
          <w:sz w:val="24"/>
          <w:szCs w:val="20"/>
        </w:rPr>
      </w:pPr>
    </w:p>
    <w:p w:rsidR="00523A0A" w:rsidRPr="001973D0" w:rsidRDefault="00AA2FE3" w:rsidP="00523A0A">
      <w:pPr>
        <w:jc w:val="both"/>
        <w:rPr>
          <w:rFonts w:ascii="Times New Roman" w:eastAsia="Arial" w:hAnsi="Times New Roman" w:cs="Arial"/>
          <w:noProof/>
          <w:sz w:val="24"/>
          <w:szCs w:val="20"/>
        </w:rPr>
      </w:pPr>
      <w:r w:rsidRPr="00AA2FE3">
        <w:rPr>
          <w:rFonts w:ascii="Times New Roman" w:eastAsia="Arial" w:hAnsi="Times New Roman" w:cs="Arial"/>
          <w:noProof/>
          <w:sz w:val="24"/>
          <w:szCs w:val="20"/>
          <w:lang w:bidi="ar-SA"/>
        </w:rPr>
        <w:lastRenderedPageBreak/>
        <w:drawing>
          <wp:inline distT="0" distB="0" distL="0" distR="0">
            <wp:extent cx="5760085" cy="571976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085" cy="5719766"/>
                    </a:xfrm>
                    <a:prstGeom prst="rect">
                      <a:avLst/>
                    </a:prstGeom>
                    <a:noFill/>
                    <a:ln>
                      <a:noFill/>
                    </a:ln>
                  </pic:spPr>
                </pic:pic>
              </a:graphicData>
            </a:graphic>
          </wp:inline>
        </w:drawing>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Galīgā ietekme uz valdības parādu līdz 2. gada beigām naudas nomaiņas dēļ ir mazāka nekā ietekme pēc 1. gada, jo liels daudzums veco monētu ir apmainīts pret jauno likumīgo maksāšanas līdzekli.</w:t>
      </w:r>
    </w:p>
    <w:p w:rsidR="00523A0A" w:rsidRDefault="00523A0A" w:rsidP="00523A0A">
      <w:pPr>
        <w:rPr>
          <w:rFonts w:ascii="Times New Roman" w:eastAsia="Arial" w:hAnsi="Times New Roman" w:cs="Arial"/>
          <w:noProof/>
          <w:sz w:val="24"/>
          <w:szCs w:val="20"/>
        </w:rPr>
      </w:pPr>
      <w:r>
        <w:br w:type="page"/>
      </w:r>
    </w:p>
    <w:p w:rsidR="00523A0A" w:rsidRDefault="00523A0A" w:rsidP="006D580D">
      <w:pPr>
        <w:pStyle w:val="Heading2"/>
        <w:rPr>
          <w:noProof/>
        </w:rPr>
      </w:pPr>
      <w:bookmarkStart w:id="302" w:name="IV.5__Financial_defeasance"/>
      <w:bookmarkStart w:id="303" w:name="_bookmark35"/>
      <w:bookmarkStart w:id="304" w:name="_Toc471135901"/>
      <w:bookmarkEnd w:id="302"/>
      <w:bookmarkEnd w:id="303"/>
      <w:r>
        <w:rPr>
          <w:noProof/>
        </w:rPr>
        <w:lastRenderedPageBreak/>
        <w:t>IV.5. </w:t>
      </w:r>
      <w:r w:rsidRPr="006D580D">
        <w:t>Finanšu</w:t>
      </w:r>
      <w:r>
        <w:rPr>
          <w:noProof/>
        </w:rPr>
        <w:t xml:space="preserve"> sanācija</w:t>
      </w:r>
      <w:bookmarkEnd w:id="304"/>
    </w:p>
    <w:p w:rsidR="00523A0A" w:rsidRPr="001973D0" w:rsidRDefault="00523A0A" w:rsidP="00523A0A">
      <w:pPr>
        <w:pStyle w:val="Heading2"/>
        <w:tabs>
          <w:tab w:val="left" w:pos="1592"/>
        </w:tabs>
        <w:jc w:val="both"/>
        <w:rPr>
          <w:noProof/>
          <w:sz w:val="24"/>
        </w:rPr>
      </w:pPr>
    </w:p>
    <w:p w:rsidR="00523A0A" w:rsidRDefault="00523A0A" w:rsidP="00523A0A">
      <w:pPr>
        <w:pStyle w:val="Heading4"/>
        <w:tabs>
          <w:tab w:val="left" w:pos="1592"/>
        </w:tabs>
        <w:ind w:left="0" w:firstLine="0"/>
        <w:jc w:val="both"/>
        <w:rPr>
          <w:rFonts w:ascii="Times New Roman" w:hAnsi="Times New Roman"/>
          <w:noProof/>
          <w:u w:val="thick" w:color="000000"/>
        </w:rPr>
      </w:pPr>
      <w:bookmarkStart w:id="305" w:name="IV.5.1_Background"/>
      <w:bookmarkEnd w:id="305"/>
      <w:r>
        <w:rPr>
          <w:rFonts w:ascii="Times New Roman" w:hAnsi="Times New Roman"/>
          <w:noProof/>
          <w:u w:val="none"/>
        </w:rPr>
        <w:t>IV.5.1. </w:t>
      </w:r>
      <w:r>
        <w:rPr>
          <w:rFonts w:ascii="Times New Roman" w:hAnsi="Times New Roman"/>
          <w:noProof/>
          <w:u w:val="thick" w:color="000000"/>
        </w:rPr>
        <w:t>Vispārēja informācija</w:t>
      </w:r>
    </w:p>
    <w:p w:rsidR="00523A0A" w:rsidRPr="001973D0" w:rsidRDefault="00523A0A" w:rsidP="00523A0A">
      <w:pPr>
        <w:pStyle w:val="Heading4"/>
        <w:tabs>
          <w:tab w:val="left" w:pos="1592"/>
        </w:tabs>
        <w:ind w:left="0" w:firstLine="0"/>
        <w:jc w:val="both"/>
        <w:rPr>
          <w:rFonts w:ascii="Times New Roman" w:hAnsi="Times New Roman"/>
          <w:noProof/>
          <w:u w:val="thick" w:color="000000"/>
        </w:rPr>
      </w:pPr>
    </w:p>
    <w:p w:rsidR="00523A0A" w:rsidRPr="001973D0" w:rsidRDefault="00523A0A" w:rsidP="00523A0A">
      <w:pPr>
        <w:pStyle w:val="BodyText"/>
        <w:numPr>
          <w:ilvl w:val="0"/>
          <w:numId w:val="57"/>
        </w:numPr>
        <w:tabs>
          <w:tab w:val="left" w:pos="1242"/>
        </w:tabs>
        <w:spacing w:before="0"/>
        <w:ind w:left="709" w:hanging="709"/>
        <w:jc w:val="both"/>
        <w:rPr>
          <w:rFonts w:ascii="Times New Roman" w:hAnsi="Times New Roman"/>
          <w:noProof/>
          <w:sz w:val="24"/>
        </w:rPr>
      </w:pPr>
      <w:r>
        <w:rPr>
          <w:rFonts w:ascii="Times New Roman" w:hAnsi="Times New Roman"/>
          <w:noProof/>
          <w:sz w:val="24"/>
        </w:rPr>
        <w:t>Šis jautājums ir apspriests EKS 2010 20.46. punktā (sanācijas vienību klasifikācija) un EKS 2010 20.243.–20.248. punktā (noteiktu valdības intervences pasākumu, jo īpaši finanšu iestāžu “glābšanas”, ietekme uz valdības kontiem).</w:t>
      </w:r>
    </w:p>
    <w:p w:rsidR="00523A0A" w:rsidRPr="001973D0" w:rsidRDefault="00523A0A" w:rsidP="00523A0A">
      <w:pPr>
        <w:pStyle w:val="BodyText"/>
        <w:numPr>
          <w:ilvl w:val="0"/>
          <w:numId w:val="57"/>
        </w:numPr>
        <w:tabs>
          <w:tab w:val="left" w:pos="1242"/>
        </w:tabs>
        <w:spacing w:before="0"/>
        <w:ind w:left="709" w:hanging="709"/>
        <w:jc w:val="both"/>
        <w:rPr>
          <w:rFonts w:ascii="Times New Roman" w:hAnsi="Times New Roman"/>
          <w:noProof/>
          <w:sz w:val="24"/>
        </w:rPr>
      </w:pPr>
      <w:r>
        <w:rPr>
          <w:rFonts w:ascii="Times New Roman" w:hAnsi="Times New Roman"/>
          <w:noProof/>
          <w:sz w:val="24"/>
        </w:rPr>
        <w:t>Atbilstīgi Eiropas pieredzei 20. gadsimta 90. gados un kopš 2008. gada finanšu sanācija ir atzīta kā to finanšu iestāžu problemātisko (slikto) aktīvu pārvaldība, kuriem ir ievērojami nelabvēlīga ietekme uz tās rentabilitāti un bieži vien arī uz tās maksātspēju. Šajā saistībā valdības iesaistīšanās parasti ir galvenā finanšu sanācijas pazīme.</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Ar valsts politiku saistītu iemeslu dēļ valdība uzņemas galvenos riskus, kas saistīti ar aktīviem, un/vai nodrošina šādu aktīvu ilgtermiņa pārvaldību. Publisku vienību gadījumā valdība pārņem subjektu savā īpašumā (nacionalizācija) un īsteno tiešus intervences pasākumus (kapitāla iepludināšana zaudējumu segšanai, aizdevumi u. c.) vai netiešus intervences pasākumus, piešķirot garantijas un dažkārt izmantojot valdībai tieši vai netieši (ar noteiktu publisku finanšu sabiedrību starpniecību) piederošu publisku subjektu starpniecību.</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Šajā rokasgrāmatā un nacionālajos kontos šāda iesaistīšanās tiks noteikta kā finanšu iestāžu glābšanas process, kuram ir šādas trīs galvenās pazīmes: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1"/>
          <w:numId w:val="57"/>
        </w:numPr>
        <w:tabs>
          <w:tab w:val="left" w:pos="1667"/>
        </w:tabs>
        <w:spacing w:before="0"/>
        <w:ind w:left="1134" w:hanging="425"/>
        <w:jc w:val="both"/>
        <w:rPr>
          <w:rFonts w:ascii="Times New Roman" w:hAnsi="Times New Roman"/>
          <w:noProof/>
          <w:sz w:val="24"/>
        </w:rPr>
      </w:pPr>
      <w:r>
        <w:rPr>
          <w:rFonts w:ascii="Times New Roman" w:hAnsi="Times New Roman"/>
          <w:noProof/>
          <w:sz w:val="24"/>
        </w:rPr>
        <w:t>finanšu iestāde ir nonākusi finanšu grūtībās, jo ir saistīta ar ievērojamiem problemātiskajiem (“sliktajiem” vai “ienākumus nenesošiem”) aktīviem;</w:t>
      </w:r>
    </w:p>
    <w:p w:rsidR="00523A0A" w:rsidRPr="001973D0" w:rsidRDefault="00523A0A" w:rsidP="00523A0A">
      <w:pPr>
        <w:pStyle w:val="BodyText"/>
        <w:numPr>
          <w:ilvl w:val="1"/>
          <w:numId w:val="57"/>
        </w:numPr>
        <w:tabs>
          <w:tab w:val="left" w:pos="1667"/>
        </w:tabs>
        <w:spacing w:before="0"/>
        <w:ind w:left="1134" w:hanging="425"/>
        <w:jc w:val="both"/>
        <w:rPr>
          <w:rFonts w:ascii="Times New Roman" w:hAnsi="Times New Roman"/>
          <w:noProof/>
          <w:sz w:val="24"/>
        </w:rPr>
      </w:pPr>
      <w:r>
        <w:rPr>
          <w:rFonts w:ascii="Times New Roman" w:hAnsi="Times New Roman"/>
          <w:noProof/>
          <w:sz w:val="24"/>
        </w:rPr>
        <w:t>lielākajā daļā gadījumu (taču ne vienmēr) glābšanas process paredz tāda subjekta izveidi, kura uzdevums ir pārvaldīt problemātiskos aktīvus (sanācijas struktūra) un kuru mēdz dēvēt arī par “slikto banku”, savukārt “normālā” komercdarbība, kura tiek uzskatīta par rentablu, tiek uzticēta pašai finanšu iestādei;</w:t>
      </w:r>
    </w:p>
    <w:p w:rsidR="00523A0A" w:rsidRDefault="00523A0A" w:rsidP="00523A0A">
      <w:pPr>
        <w:pStyle w:val="BodyText"/>
        <w:numPr>
          <w:ilvl w:val="1"/>
          <w:numId w:val="57"/>
        </w:numPr>
        <w:tabs>
          <w:tab w:val="left" w:pos="1667"/>
        </w:tabs>
        <w:spacing w:before="0"/>
        <w:ind w:left="1134" w:hanging="425"/>
        <w:jc w:val="both"/>
        <w:rPr>
          <w:rFonts w:ascii="Times New Roman" w:hAnsi="Times New Roman"/>
          <w:noProof/>
          <w:sz w:val="24"/>
        </w:rPr>
      </w:pPr>
      <w:r>
        <w:rPr>
          <w:rFonts w:ascii="Times New Roman" w:hAnsi="Times New Roman"/>
          <w:noProof/>
          <w:sz w:val="24"/>
        </w:rPr>
        <w:t>valdība ir tieši vai netieši iesaistīta glābšanas procesā dažādos veidos, piemēram, kapitāla iepludināšanā ar mērķi segt turpmākos zaudējumus, ko rada problemātiskie aktīvi (norakstīšana, realizētie zaudējumi), finansējuma piešķiršana saskaņā īpašiem nosacījumiem, garantiju piešķiršana vai nacionalizācija, un šādu iesaistīšanos var uzskatīt par kontroles vai riska uzņemšanos (faktiski uzņemoties lielāko daļu galīgā riska, kas piemīt sliktas kvalitātes aktīviem, lai arī tai var tikt piešķirtas tiesības uz iespējamo atlīdzību).</w:t>
      </w:r>
    </w:p>
    <w:p w:rsidR="00523A0A" w:rsidRPr="001973D0" w:rsidRDefault="00523A0A" w:rsidP="00523A0A">
      <w:pPr>
        <w:pStyle w:val="BodyText"/>
        <w:tabs>
          <w:tab w:val="left" w:pos="1667"/>
        </w:tabs>
        <w:spacing w:before="0"/>
        <w:ind w:left="0" w:firstLine="0"/>
        <w:rPr>
          <w:rFonts w:ascii="Times New Roman" w:hAnsi="Times New Roman"/>
          <w:noProof/>
          <w:sz w:val="24"/>
        </w:rPr>
      </w:pPr>
    </w:p>
    <w:p w:rsidR="00523A0A" w:rsidRPr="001973D0" w:rsidRDefault="00523A0A" w:rsidP="00523A0A">
      <w:pPr>
        <w:pStyle w:val="BodyText"/>
        <w:numPr>
          <w:ilvl w:val="0"/>
          <w:numId w:val="57"/>
        </w:numPr>
        <w:tabs>
          <w:tab w:val="left" w:pos="1242"/>
        </w:tabs>
        <w:spacing w:before="0"/>
        <w:ind w:left="709" w:hanging="709"/>
        <w:jc w:val="both"/>
        <w:rPr>
          <w:rFonts w:ascii="Times New Roman" w:hAnsi="Times New Roman"/>
          <w:noProof/>
          <w:sz w:val="24"/>
        </w:rPr>
      </w:pPr>
      <w:r>
        <w:rPr>
          <w:rFonts w:ascii="Times New Roman" w:hAnsi="Times New Roman"/>
          <w:noProof/>
          <w:sz w:val="24"/>
        </w:rPr>
        <w:t>Svarīgi atzīmēt, ka dažos gadījumos var būt apdraudēta (privātas un/vai publiskas) bankas likviditāte un valdībai un/vai centrālajai bankai var būt jāiesaistās, parasti sniedzot nodrošinājumu/likviditāti īpašās shēmās. Šāda veida glābšanas operācija netiks dēvēta par “sanāciju”, jo finanšu iestāde netiek atbrīvota no tās problemātisko aktīvu negatīvās ietekmes. Tomēr šiem gadījumiem var būt kopīgas iezīmes,</w:t>
      </w:r>
      <w:r w:rsidR="00251A15">
        <w:rPr>
          <w:rFonts w:ascii="Times New Roman" w:hAnsi="Times New Roman"/>
          <w:noProof/>
          <w:sz w:val="24"/>
        </w:rPr>
        <w:t xml:space="preserve"> un attiecībā uz to ierakstīšanu</w:t>
      </w:r>
      <w:r>
        <w:rPr>
          <w:rFonts w:ascii="Times New Roman" w:hAnsi="Times New Roman"/>
          <w:noProof/>
          <w:sz w:val="24"/>
        </w:rPr>
        <w:t xml:space="preserve"> var sniegt līdzīgus ieteikumus (piemēram, atzīstot valdības īpašo nozīmi sanācijas procesā un jo īpaši attiecībā uz uzņemtajiem riskiem, sk. IV.5.2.6. apakšiedaļu).</w:t>
      </w:r>
    </w:p>
    <w:p w:rsidR="00523A0A" w:rsidRPr="003B0133" w:rsidRDefault="00523A0A" w:rsidP="00523A0A">
      <w:pPr>
        <w:pStyle w:val="BodyText"/>
        <w:numPr>
          <w:ilvl w:val="0"/>
          <w:numId w:val="57"/>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Būtisks aspekts ir problemātisko aktīvu pastāvēšana, un problemātiskie aktīvi ir precīzi jānosaka. Saskaņā ar vispārēju definīciju problemātiskie aktīvi ir tie ieņēmumus nenesošie aktīvi (finanšu aktīvi un mazākā mērā arī nefinanšu aktīvi), kas nelabvēlīgi ietekmē tā finanšu starpnieka ienesīgumu, kurš tur šos aktīvus, un kuru apjoms ir pietiekami liels, lai apdraudētu vienības maksātspēju. Tie ir aktīvi, no kuriem “parasts” finanšu starpnieks parasti būtu jāatbrīvo. Šādus aktīvus var nodot tirgus darījumos, tomēr šādā gadījumā vienībai rastos tūlītēji un bieži vien ievērojami zaudējumi, kurus </w:t>
      </w:r>
      <w:r>
        <w:rPr>
          <w:rFonts w:ascii="Times New Roman" w:hAnsi="Times New Roman"/>
          <w:noProof/>
          <w:sz w:val="24"/>
        </w:rPr>
        <w:lastRenderedPageBreak/>
        <w:t>nebūtu iespējams dzēst, izmantojot pašas vienības absorbcijas mehānismu. Kā norādīts turpmāk, par problemātiskiem aktīviem uzskata samazinātas vērtības aktīvus un nelikvīdus aktīvus.</w:t>
      </w:r>
    </w:p>
    <w:p w:rsidR="00523A0A" w:rsidRPr="001973D0" w:rsidRDefault="00523A0A" w:rsidP="00523A0A">
      <w:pPr>
        <w:pStyle w:val="BodyText"/>
        <w:numPr>
          <w:ilvl w:val="0"/>
          <w:numId w:val="57"/>
        </w:numPr>
        <w:tabs>
          <w:tab w:val="left" w:pos="1162"/>
        </w:tabs>
        <w:spacing w:before="0"/>
        <w:ind w:left="709" w:hanging="709"/>
        <w:jc w:val="both"/>
        <w:rPr>
          <w:rFonts w:ascii="Times New Roman" w:hAnsi="Times New Roman"/>
          <w:noProof/>
          <w:sz w:val="24"/>
        </w:rPr>
      </w:pPr>
      <w:r>
        <w:rPr>
          <w:rFonts w:ascii="Times New Roman" w:hAnsi="Times New Roman"/>
          <w:noProof/>
          <w:sz w:val="24"/>
        </w:rPr>
        <w:t>Uzņēmuma bilancē novērtēts, ka samazinātas vērtības aktīvi pārsniegs to ilgtermiņa tirgus vērtību vai patieso vērtību, un tāpēc prognozēts, ka turpmāk tiks ciesti zaudējumi. Šādu samazinātas vērtības aktīvu vērtība var jau būt samazināta (vai daļēji norakstīta) proporcionāli neparasti augstā līmenī salīdzinājumā ar ierasto praksi (kas novērota līdzīgu tirgū esošu konkurentu vidū), un tas nozīmē, ka tie pēc būtības atšķiras no tirgū pastāvošajiem standartiem, un problemāti</w:t>
      </w:r>
      <w:r w:rsidR="00251A15">
        <w:rPr>
          <w:rFonts w:ascii="Times New Roman" w:hAnsi="Times New Roman"/>
          <w:noProof/>
          <w:sz w:val="24"/>
        </w:rPr>
        <w:t>skos aktīvus nenosaka ierakstīto</w:t>
      </w:r>
      <w:r>
        <w:rPr>
          <w:rFonts w:ascii="Times New Roman" w:hAnsi="Times New Roman"/>
          <w:noProof/>
          <w:sz w:val="24"/>
        </w:rPr>
        <w:t xml:space="preserve"> vai paredzamo vērtības samazinājumu minimālā daļa). Taču parasti tiek paredzēti arī turpmāki zaudējumi, un finanšu iestāde nespēs segt šos zaudējumus, izmantojot savu zaudējumu absorbēšanas mehānismu. Tirgus aktīvu gadījumā vienība nevar tos realizēt īsā laika posmā, neciešot zaudējumus, tāpēc tā ir faktiski spiesta tos paturēt un piespiedu kārtā tiek pakļauta tirgus riskam.</w:t>
      </w:r>
    </w:p>
    <w:p w:rsidR="00523A0A" w:rsidRPr="001973D0" w:rsidRDefault="00523A0A" w:rsidP="00523A0A">
      <w:pPr>
        <w:pStyle w:val="BodyText"/>
        <w:numPr>
          <w:ilvl w:val="0"/>
          <w:numId w:val="57"/>
        </w:numPr>
        <w:tabs>
          <w:tab w:val="left" w:pos="1162"/>
        </w:tabs>
        <w:spacing w:before="0"/>
        <w:ind w:left="709" w:hanging="709"/>
        <w:jc w:val="both"/>
        <w:rPr>
          <w:rFonts w:ascii="Times New Roman" w:hAnsi="Times New Roman"/>
          <w:noProof/>
          <w:sz w:val="24"/>
        </w:rPr>
      </w:pPr>
      <w:r>
        <w:rPr>
          <w:rFonts w:ascii="Times New Roman" w:hAnsi="Times New Roman"/>
          <w:noProof/>
          <w:sz w:val="24"/>
        </w:rPr>
        <w:t>Dažos gadījumos problemātiskie aktīvi var būt nelikvīdie aktīvi. Šajā rokasgrāmatā tiek pieņemts, ka tie ir tirgojami aktīvi, kuriem nav iespējams noteikt pienācīgu cenu un realizēt īsā laika posmā, jo nav tirgus, kas darbotos normālos apstākļos. Līdz ar to pastāv liela neskaidrība par turpmāko tirgus vērtību un vienīgais veids, kā aktīvu turētājs var cīnīties pret risku, kas to apdraud, ir nodot aktīvus sanācijas struktūrai. Tāpēc, lai nodrošinātu konsekventu traktējumu visās valstīs, šādu veidu aktīvi ir iekļauti šajā nodaļā izmantotajā problemātisko aktīvu definīcijā.</w:t>
      </w:r>
    </w:p>
    <w:p w:rsidR="00523A0A" w:rsidRDefault="00523A0A" w:rsidP="00523A0A">
      <w:pPr>
        <w:pStyle w:val="BodyText"/>
        <w:numPr>
          <w:ilvl w:val="0"/>
          <w:numId w:val="57"/>
        </w:numPr>
        <w:tabs>
          <w:tab w:val="left" w:pos="1162"/>
        </w:tabs>
        <w:spacing w:before="0"/>
        <w:ind w:left="709" w:hanging="709"/>
        <w:jc w:val="both"/>
        <w:rPr>
          <w:rFonts w:ascii="Times New Roman" w:hAnsi="Times New Roman"/>
          <w:noProof/>
          <w:sz w:val="24"/>
        </w:rPr>
      </w:pPr>
      <w:r>
        <w:rPr>
          <w:rFonts w:ascii="Times New Roman" w:hAnsi="Times New Roman"/>
          <w:noProof/>
          <w:sz w:val="24"/>
        </w:rPr>
        <w:t>Šajā saistībā vispārējā valdība var izmantot dažādu veidu tiešas intervences pasākumus:</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valdība sniedz grūtībās nonākušajām finanšu iestādēm garantiju, kas tiks pieprasīta, kad šīs iestād</w:t>
      </w:r>
      <w:r w:rsidR="00251A15">
        <w:rPr>
          <w:rFonts w:ascii="Times New Roman" w:hAnsi="Times New Roman"/>
          <w:noProof/>
          <w:sz w:val="24"/>
        </w:rPr>
        <w:t>es savos pārskatos ierakstīs</w:t>
      </w:r>
      <w:r>
        <w:rPr>
          <w:rFonts w:ascii="Times New Roman" w:hAnsi="Times New Roman"/>
          <w:noProof/>
          <w:sz w:val="24"/>
        </w:rPr>
        <w:t xml:space="preserve"> problemātisko aktīvu radītos zaudējumus;</w:t>
      </w: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valdība tieši nopērk problemātiskos aktīvus no finanšu iestādēm;</w:t>
      </w:r>
    </w:p>
    <w:p w:rsidR="00523A0A"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valdība izveido publiskas struktūras, kas turēs sliktās kvalitātes aktīvus.</w:t>
      </w:r>
    </w:p>
    <w:p w:rsidR="00523A0A" w:rsidRPr="001973D0" w:rsidRDefault="00523A0A" w:rsidP="00523A0A">
      <w:pPr>
        <w:pStyle w:val="BodyText"/>
        <w:tabs>
          <w:tab w:val="left" w:pos="1512"/>
        </w:tabs>
        <w:spacing w:before="0"/>
        <w:ind w:left="0" w:firstLine="0"/>
        <w:rPr>
          <w:rFonts w:ascii="Times New Roman" w:hAnsi="Times New Roman"/>
          <w:noProof/>
          <w:sz w:val="24"/>
        </w:rPr>
      </w:pPr>
    </w:p>
    <w:p w:rsidR="00523A0A" w:rsidRPr="001973D0" w:rsidRDefault="00523A0A" w:rsidP="00523A0A">
      <w:pPr>
        <w:pStyle w:val="BodyText"/>
        <w:numPr>
          <w:ilvl w:val="0"/>
          <w:numId w:val="57"/>
        </w:numPr>
        <w:tabs>
          <w:tab w:val="left" w:pos="1162"/>
        </w:tabs>
        <w:spacing w:before="0"/>
        <w:ind w:left="709" w:hanging="709"/>
        <w:jc w:val="both"/>
        <w:rPr>
          <w:rFonts w:ascii="Times New Roman" w:hAnsi="Times New Roman"/>
          <w:noProof/>
          <w:sz w:val="24"/>
        </w:rPr>
      </w:pPr>
      <w:r>
        <w:rPr>
          <w:rFonts w:ascii="Times New Roman" w:hAnsi="Times New Roman"/>
          <w:noProof/>
          <w:sz w:val="24"/>
        </w:rPr>
        <w:t>Praksē var pastāvēt sarežģītāki pasākumi, valdībai īstenojot netiešāku intervenci ar tādu vienību starpniecību, kuras atrodas tās kontrolē vai ietekmē, piemēram, ar noteiktu publisku finanšu sabiedrību starpniecību. Ir jānoskaidro valdības pienākumi šādās situācijās, ņemot vērā garantijas, kurus dažas valdības vienības parasti piešķir kādam no glābšanas procesā iesaistītiem subjektiem. Parasti šīs ir konkrēti noteiktas garantijas, taču dažos gadījumos vienībai ir netieša valdības garantija tās publiskā juridiskā statusa dēļ.</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306" w:name="IV.5.2_Treatment_in_national_accounts"/>
      <w:bookmarkEnd w:id="306"/>
      <w:r>
        <w:rPr>
          <w:rFonts w:ascii="Times New Roman" w:hAnsi="Times New Roman"/>
          <w:noProof/>
          <w:u w:val="none"/>
        </w:rPr>
        <w:t>IV.5.2. </w:t>
      </w:r>
      <w:r>
        <w:rPr>
          <w:rFonts w:ascii="Times New Roman" w:hAnsi="Times New Roman"/>
          <w:noProof/>
          <w:u w:val="thick" w:color="000000"/>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36"/>
        </w:tabs>
        <w:jc w:val="both"/>
        <w:rPr>
          <w:rFonts w:ascii="Times New Roman" w:hAnsi="Times New Roman"/>
          <w:noProof/>
          <w:sz w:val="24"/>
        </w:rPr>
      </w:pPr>
      <w:bookmarkStart w:id="307" w:name="IV.5.2.1_Sector_classification_–_general"/>
      <w:bookmarkEnd w:id="307"/>
      <w:r>
        <w:rPr>
          <w:rFonts w:ascii="Times New Roman" w:hAnsi="Times New Roman"/>
          <w:noProof/>
          <w:sz w:val="24"/>
        </w:rPr>
        <w:t>IV.5.2.1. Sektora klasifikācija – vispārēji noteikumi</w:t>
      </w:r>
    </w:p>
    <w:p w:rsidR="00523A0A" w:rsidRPr="001973D0" w:rsidRDefault="00523A0A" w:rsidP="00523A0A">
      <w:pPr>
        <w:pStyle w:val="Heading6"/>
        <w:tabs>
          <w:tab w:val="left" w:pos="1936"/>
        </w:tabs>
        <w:jc w:val="both"/>
        <w:rPr>
          <w:rFonts w:ascii="Times New Roman" w:hAnsi="Times New Roman"/>
          <w:noProof/>
          <w:sz w:val="24"/>
        </w:rPr>
      </w:pPr>
    </w:p>
    <w:p w:rsidR="00523A0A" w:rsidRPr="003B0133" w:rsidRDefault="00523A0A" w:rsidP="00523A0A">
      <w:pPr>
        <w:pStyle w:val="BodyText"/>
        <w:numPr>
          <w:ilvl w:val="0"/>
          <w:numId w:val="57"/>
        </w:numPr>
        <w:tabs>
          <w:tab w:val="left" w:pos="1162"/>
        </w:tabs>
        <w:spacing w:before="0"/>
        <w:ind w:left="709" w:hanging="709"/>
        <w:jc w:val="both"/>
        <w:rPr>
          <w:rFonts w:ascii="Times New Roman" w:hAnsi="Times New Roman"/>
          <w:noProof/>
          <w:sz w:val="24"/>
        </w:rPr>
      </w:pPr>
      <w:r>
        <w:rPr>
          <w:rFonts w:ascii="Times New Roman" w:hAnsi="Times New Roman"/>
          <w:noProof/>
          <w:sz w:val="24"/>
        </w:rPr>
        <w:t>Problemātiskus aktīvus var konstatēt jebkurā finanšu iestādē, un daudzos gadījumos tie neapdraud iestādes turpmāko darbību. Svarīgi nošķirt finanšu starpniekus, kas noteikti EKS 2010 2.55.–2.58. punktā, no tiem, kuriem ir finanšu sanācijas struktūrām raksturīgas pazīmes, neatkarīgi no to juridiskā statusa.</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Finanšu sanācijas struktūra ir institucionāla vienība, kurai ir ievērojams daudzums problemātisko aktīvu un kuru pamatdarbība ir šo aktīvu sadalīšana parasti ilgākā laika posmā, nevis finanšu starpniecības pakalpojumu sniegšana. Šāda institucionāla vienība nav EKS 2010 noteiktais finanšu starpnieks.</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Visas turpmāk sniegtajā sarakstā norādītās iezīmes vai dažas no tām liecina par to, ka vienība pēc būtības ir sanācijas struktūra, jo tās liek apšaubīt to, ka attiecīgo iestādi varētu klasificēt kā finanšu starpnieku.</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Vienība ir slēgta jauniem noguldījumiem vai arī atvērta šādiem noguldījumiem tikai daļēji un saskaņā ar ierobežojumiem. Tas ietver arī noguldījumu pieņemšanas pārtraukšanu no iedzīvotājiem vai noteiktām un samērā lielām sabiedrības apakšgrupām. Proti, noguldījumu pieņemšana no valdības un konkrētām publiskām sabiedrībām nav pietiekams pamatojums, lai varētu secināt, ka iestāde ir iesaistīta finanšu starpniecībā.</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Vienība ir slēgta jauniem aizdevumiem vai arī atvērta šādiem aizdevumiem tikai daļēji un saskaņā ar ierobežojumiem. Tādu aizdevumu termiņa pagarināšana, kuri saistīti ar pastāvošo aktīvu pārvaldību, nav pietiekams pamatojums secinājumam, ka iestāde ir iesaistīta finanšu starpniecībā.</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Stingri, ārēji noteikti ierobežojumi attiecībā uz konkurēšanu banku un finanšu tirgos.</w:t>
      </w:r>
    </w:p>
    <w:p w:rsidR="00523A0A"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Lielākajā daļā gadījumu paredzēts ierobežots darbības laiks, kas saistīts ar aktīvu pakāpenisku likvidāciju, veicot piedziņu vai pārdodot tos tirgū.</w:t>
      </w:r>
    </w:p>
    <w:p w:rsidR="00523A0A" w:rsidRPr="001973D0" w:rsidRDefault="00523A0A" w:rsidP="00523A0A">
      <w:pPr>
        <w:pStyle w:val="BodyText"/>
        <w:tabs>
          <w:tab w:val="left" w:pos="1592"/>
        </w:tabs>
        <w:spacing w:before="0"/>
        <w:ind w:left="0" w:firstLine="0"/>
        <w:rPr>
          <w:rFonts w:ascii="Times New Roman" w:hAnsi="Times New Roman"/>
          <w:noProof/>
          <w:sz w:val="24"/>
        </w:rPr>
      </w:pPr>
    </w:p>
    <w:p w:rsidR="00523A0A" w:rsidRDefault="00523A0A" w:rsidP="00523A0A">
      <w:pPr>
        <w:pStyle w:val="BodyText"/>
        <w:numPr>
          <w:ilvl w:val="0"/>
          <w:numId w:val="57"/>
        </w:numPr>
        <w:tabs>
          <w:tab w:val="left" w:pos="1242"/>
        </w:tabs>
        <w:spacing w:before="0"/>
        <w:ind w:left="709" w:hanging="709"/>
        <w:jc w:val="both"/>
        <w:rPr>
          <w:rFonts w:ascii="Times New Roman" w:hAnsi="Times New Roman"/>
          <w:noProof/>
          <w:sz w:val="24"/>
        </w:rPr>
      </w:pPr>
      <w:r>
        <w:rPr>
          <w:rFonts w:ascii="Times New Roman" w:hAnsi="Times New Roman"/>
          <w:noProof/>
          <w:sz w:val="24"/>
        </w:rPr>
        <w:t>Attiecībā uz tām iestādēm, kuras neatbilst finanšu starpnieku klasifikācijas prasībām (neuzņemas risku, sk. EKS 2010 2.57. punktu), iespējams izšķirt vairākus gadījumus:</w:t>
      </w:r>
    </w:p>
    <w:p w:rsidR="00523A0A" w:rsidRPr="001973D0" w:rsidRDefault="00523A0A" w:rsidP="00523A0A">
      <w:pPr>
        <w:pStyle w:val="BodyText"/>
        <w:tabs>
          <w:tab w:val="left" w:pos="1242"/>
        </w:tabs>
        <w:spacing w:before="0"/>
        <w:ind w:left="0" w:firstLine="0"/>
        <w:rPr>
          <w:rFonts w:ascii="Times New Roman" w:hAnsi="Times New Roman"/>
          <w:noProof/>
          <w:sz w:val="24"/>
        </w:rPr>
      </w:pPr>
    </w:p>
    <w:p w:rsidR="00523A0A" w:rsidRPr="001973D0" w:rsidRDefault="00523A0A" w:rsidP="00523A0A">
      <w:pPr>
        <w:pStyle w:val="BodyText"/>
        <w:numPr>
          <w:ilvl w:val="0"/>
          <w:numId w:val="56"/>
        </w:numPr>
        <w:tabs>
          <w:tab w:val="left" w:pos="1592"/>
        </w:tabs>
        <w:spacing w:before="0"/>
        <w:ind w:left="1134" w:hanging="425"/>
        <w:jc w:val="both"/>
        <w:rPr>
          <w:rFonts w:ascii="Times New Roman" w:hAnsi="Times New Roman"/>
          <w:noProof/>
          <w:sz w:val="24"/>
        </w:rPr>
      </w:pPr>
      <w:r>
        <w:rPr>
          <w:rFonts w:ascii="Times New Roman" w:hAnsi="Times New Roman"/>
          <w:noProof/>
          <w:sz w:val="24"/>
        </w:rPr>
        <w:t>valdība izveido publisku struktūru ar skaidru mērķi uzticēt tai problemātiskos aktīvus bieži vien līdz to pilnīgai likvidēšanai un tieši uzņemties zaudējumus, ko “normāli” tirgus subjekti nevar atļauties;</w:t>
      </w:r>
    </w:p>
    <w:p w:rsidR="00523A0A" w:rsidRDefault="00523A0A" w:rsidP="00523A0A">
      <w:pPr>
        <w:pStyle w:val="BodyText"/>
        <w:numPr>
          <w:ilvl w:val="0"/>
          <w:numId w:val="56"/>
        </w:numPr>
        <w:tabs>
          <w:tab w:val="left" w:pos="1592"/>
        </w:tabs>
        <w:spacing w:before="0"/>
        <w:ind w:left="1134" w:hanging="425"/>
        <w:jc w:val="both"/>
        <w:rPr>
          <w:rFonts w:ascii="Times New Roman" w:hAnsi="Times New Roman"/>
          <w:noProof/>
          <w:sz w:val="24"/>
        </w:rPr>
      </w:pPr>
      <w:r>
        <w:rPr>
          <w:rFonts w:ascii="Times New Roman" w:hAnsi="Times New Roman"/>
          <w:noProof/>
          <w:sz w:val="24"/>
        </w:rPr>
        <w:t>citos gadījumos aktīvi tiek piešķirti subjektam, kas pieder valdībai vai ko valdība cieši kontrolē (iepriekšējiem akcionāriem saglabājot ierobežotas tiesības vai nesaglabājot tās vispār) un kas izveidota saistībā ar problemātiskos aktīvus turošās finanšu iestādes pārstrukturēšanu; tas var notikt vairākos veidos, atbilstīgi tam, kā tiek piešķirti problemātiskie aktīvi:</w:t>
      </w:r>
    </w:p>
    <w:p w:rsidR="00523A0A" w:rsidRPr="001973D0" w:rsidRDefault="00523A0A" w:rsidP="00523A0A">
      <w:pPr>
        <w:pStyle w:val="BodyText"/>
        <w:tabs>
          <w:tab w:val="left" w:pos="159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56"/>
        </w:numPr>
        <w:tabs>
          <w:tab w:val="left" w:pos="2028"/>
        </w:tabs>
        <w:spacing w:before="0"/>
        <w:ind w:left="1701" w:hanging="567"/>
        <w:jc w:val="both"/>
        <w:rPr>
          <w:rFonts w:ascii="Times New Roman" w:hAnsi="Times New Roman"/>
          <w:noProof/>
          <w:sz w:val="24"/>
        </w:rPr>
      </w:pPr>
      <w:r>
        <w:rPr>
          <w:rFonts w:ascii="Times New Roman" w:hAnsi="Times New Roman"/>
          <w:noProof/>
          <w:sz w:val="24"/>
        </w:rPr>
        <w:t>finanšu iestāde tiek sadalīta starp jaunu subjektu, kas pieder valdībai un ko valdība kontrolē, ar mērķi uzticēt tam problemātisko aktīvu pārvaldību, un atlikušo subjektu(-iem), kas, iespējams, ar jaunu nosaukumu turpinās nodarboties ar finanšu starpniecību, konkurējot banku/finanšu tirgū;</w:t>
      </w:r>
    </w:p>
    <w:p w:rsidR="00523A0A" w:rsidRDefault="00523A0A" w:rsidP="00523A0A">
      <w:pPr>
        <w:pStyle w:val="BodyText"/>
        <w:numPr>
          <w:ilvl w:val="1"/>
          <w:numId w:val="56"/>
        </w:numPr>
        <w:tabs>
          <w:tab w:val="left" w:pos="2028"/>
        </w:tabs>
        <w:spacing w:before="0"/>
        <w:ind w:left="1701" w:hanging="567"/>
        <w:jc w:val="both"/>
        <w:rPr>
          <w:rFonts w:ascii="Times New Roman" w:hAnsi="Times New Roman"/>
          <w:noProof/>
          <w:sz w:val="24"/>
        </w:rPr>
      </w:pPr>
      <w:r>
        <w:rPr>
          <w:rFonts w:ascii="Times New Roman" w:hAnsi="Times New Roman"/>
          <w:noProof/>
          <w:sz w:val="24"/>
        </w:rPr>
        <w:t>finanšu iestāde, piemērojot dažādas procedūras, nodod savu “komerciāli ienesīgo darbību” (piemēram, noguldījumu pieņemšanu, kvalitatīvos aktīvus, zema riska aizdevumus); tādējādi vienības pārvaldībā paliek visi problemātiskie aktīvi vai to lielākā daļa, kas līdz ar to kļūst par vienības galveno nodarbošanos, un tas tiek panākts ar stingru valdības atbalstu un valdības kontrolē (valdībai tieši vai netieši (ar citu publisku struktūru starpniecību) esot galvenajam akcionāram).</w:t>
      </w:r>
    </w:p>
    <w:p w:rsidR="00523A0A" w:rsidRPr="001973D0" w:rsidRDefault="00523A0A" w:rsidP="00523A0A">
      <w:pPr>
        <w:pStyle w:val="BodyText"/>
        <w:tabs>
          <w:tab w:val="left" w:pos="2028"/>
        </w:tabs>
        <w:spacing w:before="0"/>
        <w:ind w:left="0" w:firstLine="0"/>
        <w:jc w:val="both"/>
        <w:rPr>
          <w:rFonts w:ascii="Times New Roman" w:hAnsi="Times New Roman"/>
          <w:noProof/>
          <w:sz w:val="24"/>
        </w:rPr>
      </w:pPr>
    </w:p>
    <w:p w:rsidR="00523A0A" w:rsidRPr="003B0133"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Ja ir pierādījumi, kas liecina par to, ka valdība uzņemas visu risku vai lielāko tā daļu un atlīdzību, kas saistīta ar valdības kontrolētās sanācijas struktūras īstenotajām darbībām, kuras minētas iepriekš, šī struktūra jāklasificē vispārējās valdības sektorā neatkarīgi no tās juridiskā statusa. Piemēram, valdība apņemas segt lielāko daļu no aktīvu radītajiem zaudējumiem, sniedzot garantijas attiecībā uz tā subjekta finansēšanu, kurš tur problemātiskos aktīvus, un maksa par garantiju neatbilst pastāvošajiem riskiem vai galvenais finansējuma avots ir publiskais sektors. Minētais subjekts ir jāklasificē vispārējās valdības sektorā vai nu no brīža, kad tas ticis izveidots (1. gadījumā, kas minēts iepriekš) vai kad tas ir pārklasificēts (2. gadījumā).</w:t>
      </w:r>
    </w:p>
    <w:p w:rsidR="006D580D" w:rsidRDefault="006D580D">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08" w:name="IV.5.2.2_Sector_classification_–_impleme"/>
      <w:bookmarkEnd w:id="308"/>
      <w:r>
        <w:rPr>
          <w:rFonts w:ascii="Times New Roman" w:hAnsi="Times New Roman"/>
          <w:noProof/>
          <w:sz w:val="24"/>
        </w:rPr>
        <w:t>IV.5.2.2. Sektora klasifikācija – īstenošanas jautājumi</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Visos gadījumos lēmums jautājumā par tādas valdības kontrolētas sanācijas struktūras sektora klasifikāciju, kuras turētie problemātiskie aktīvi veidos lielāko daļu no tās aktīviem, ir jāpieņem, analizējot valdības finansiālās līdzdalības glābšanas procesā līmeni. “Lielākā daļa” nozīmē, ka to aktīvu uzskaites vērtība, a</w:t>
      </w:r>
      <w:r w:rsidR="00251A15">
        <w:rPr>
          <w:rFonts w:ascii="Times New Roman" w:hAnsi="Times New Roman"/>
          <w:noProof/>
          <w:sz w:val="24"/>
        </w:rPr>
        <w:t>ttiecībā uz kuriem ir ierakstīti</w:t>
      </w:r>
      <w:r>
        <w:rPr>
          <w:rFonts w:ascii="Times New Roman" w:hAnsi="Times New Roman"/>
          <w:noProof/>
          <w:sz w:val="24"/>
        </w:rPr>
        <w:t xml:space="preserve"> ārkārtēji zaudējumi (sk. iepriekš) un joprojām paredzami arī turpmāki zaudējumi, veido lielāko daļu (dažkārt pat 100 %) no subjekta turētajiem “pelnošajiem aktīviem”.</w:t>
      </w: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 xml:space="preserve">Iespējami robežgadījumi, kad subjekti, kuri atbilst lielākajai daļai no iepriekš minētajām sanācijas struktūras pamatpazīmēm, joprojām tiek paturēti monetāro finanšu iestāžu (MFI) sarakstā (ko izmanto, lai sagatavotu ECB monetāro finanšu iestāžu sarakstu, pamatojoties uz Eirosistēmas minimālajām rezervēm, kā arī to darījumu partneru sarakstu, kam ir tiesības uz Eirosistēmas operācijām). Šos gadījumus analizēs </w:t>
      </w:r>
      <w:r>
        <w:rPr>
          <w:rFonts w:ascii="Times New Roman" w:hAnsi="Times New Roman"/>
          <w:i/>
          <w:noProof/>
          <w:sz w:val="24"/>
        </w:rPr>
        <w:t>Eurostat</w:t>
      </w:r>
      <w:r>
        <w:rPr>
          <w:rFonts w:ascii="Times New Roman" w:hAnsi="Times New Roman"/>
          <w:noProof/>
          <w:sz w:val="24"/>
        </w:rPr>
        <w:t xml:space="preserve"> un valsts statistikas institūts (kas atbild par vienību sektora klasifikāciju nacionālajos kontos), iespējams, ciešā sadarbībā ar ECB un centrālo banku, neierobežojot to, kas noteikts EKS 2010 2.67., 2.68. un 2.75. punktā (kuros definētas monetārās finanšu iestādes, citas monetārās finanšu iestādes un noguldījumus pieņemošas sabiedrības, izņemot centrālo banku), no vienas puses, un EKS 2010 20.46. un 20.248. punktā (kuros definētas sanācijas struktūras/ “sliktās bankas”, kas klasificētas vispārējās valdības sektorā), no otras puses.</w:t>
      </w: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Var gadīties, ka grūtībās nonākušas publiskas finanšu sabiedrības likvidāciju sāk saskaņā ar “parasto” procedūru, ko piemēro jebkurai ekonomikas vienībai, kuru necenšas atgūt (jo īpašu ar valdības atbalstu). Šādai vienībai var būt vairums finanšu sanācijas struktūras pazīmju, jo īpaši tai var būt problemātiski aktīvi, tā ir slēgta jaunai uzņēmējdarbībai un tai ir ierobežots darbības laiks. Šī likvidējamā vienība var būt arī atlikusī daļa no grūtībās nonākušas finanšu iestādes, kas ir pārstrukturēta. Tas, ka šī vienība</w:t>
      </w:r>
      <w:r>
        <w:rPr>
          <w:rStyle w:val="FootnoteReference"/>
          <w:rFonts w:ascii="Times New Roman" w:hAnsi="Times New Roman"/>
          <w:noProof/>
          <w:sz w:val="24"/>
        </w:rPr>
        <w:footnoteReference w:id="188"/>
      </w:r>
      <w:r>
        <w:rPr>
          <w:rFonts w:ascii="Times New Roman" w:hAnsi="Times New Roman"/>
          <w:noProof/>
          <w:sz w:val="24"/>
        </w:rPr>
        <w:t xml:space="preserve"> tiek likvidēta, nenozīmē, ka to nedrīkst klasificēt vispārējās valdības sektorā, ja valdība juridiski vai faktiski kontrolē likvidācijas procesu (piemēram, īstenojot dominējošo ietekmi pār kreditoru komiteju), un/vai ir gaidāms, ka tā uzņemsies vairumu likvidācijas procesā gaidāmo zaudējumu, jo tai ir nozīmīgas prasības pret vienību (ņemot vērā tās stāvokli citu kreditoru vidū) un/vai atbalsta dēļ, kas piešķirts saistībā ar glābšanas procesa vadību.</w:t>
      </w:r>
    </w:p>
    <w:p w:rsidR="00523A0A" w:rsidRPr="000348D7"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 xml:space="preserve">Ja glābšanas struktūra ir īpašam nolūkam izveidota sabiedrība, kas neuzņemas lielāko daļu risku un nerīkojas kā privāts ieguldītājs, uzskata, ka šāda struktūra rīkojas valdības vārdā. Tādējādi to uzskata par valdības finansētu sanācijas struktūru, un tāpēc tā ir jāklasificē vispārējās valdības sektorā, izņemot gadījumus, kas norādīti </w:t>
      </w:r>
      <w:r>
        <w:rPr>
          <w:rFonts w:ascii="Times New Roman" w:hAnsi="Times New Roman"/>
          <w:i/>
          <w:noProof/>
          <w:sz w:val="24"/>
        </w:rPr>
        <w:t>Eurostat</w:t>
      </w:r>
      <w:r>
        <w:rPr>
          <w:rFonts w:ascii="Times New Roman" w:hAnsi="Times New Roman"/>
          <w:noProof/>
          <w:sz w:val="24"/>
        </w:rPr>
        <w:t xml:space="preserve"> 2009. gada jūlija norādījumos</w:t>
      </w:r>
      <w:r>
        <w:rPr>
          <w:rStyle w:val="FootnoteReference"/>
          <w:rFonts w:ascii="Times New Roman" w:hAnsi="Times New Roman"/>
          <w:noProof/>
          <w:sz w:val="24"/>
        </w:rPr>
        <w:footnoteReference w:id="189"/>
      </w:r>
      <w:r>
        <w:rPr>
          <w:rFonts w:ascii="Times New Roman" w:hAnsi="Times New Roman"/>
          <w:noProof/>
          <w:sz w:val="24"/>
        </w:rPr>
        <w:t>, kas būs spēkā līdz finanšu krīzes beigām.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309" w:name="IV.5.2.3_Impact_on_net_lending/borrowing"/>
      <w:bookmarkEnd w:id="309"/>
      <w:r>
        <w:rPr>
          <w:rFonts w:ascii="Times New Roman" w:hAnsi="Times New Roman"/>
          <w:noProof/>
          <w:sz w:val="24"/>
        </w:rPr>
        <w:t>IV.5.2.3. Ietekme uz neto aizdevumu/aizņēmumu (B.9) un parādu</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 xml:space="preserve">Kas attiecas uz ietekmi uz neto aizdevumu/aizņēmumu (B.9), ja pārklasificēšana nozīmē </w:t>
      </w:r>
      <w:r>
        <w:rPr>
          <w:rFonts w:ascii="Times New Roman" w:hAnsi="Times New Roman"/>
          <w:noProof/>
          <w:sz w:val="24"/>
        </w:rPr>
        <w:lastRenderedPageBreak/>
        <w:t>aktīvu nodošanu par summu, kas pārsniedz tirgus vērtību, kuru iespējams neatkarīgi aprēķināt, tad neatkarīgi no konkrētā gadījuma (gadījums, kad valdība izveido subjektu, iepriekš minētais a) gadījums vai b) gadījums, vai ĪNDS gadījums) jāuzskata, ka šī starpība ir kapitāla pārvedums, aktīvus to tirgus vērtībā pievienojot valdības bilancei. Visi turpmākie turēšanas guvumi/zaudējumi, kas izriet n</w:t>
      </w:r>
      <w:r w:rsidR="00251A15">
        <w:rPr>
          <w:rFonts w:ascii="Times New Roman" w:hAnsi="Times New Roman"/>
          <w:noProof/>
          <w:sz w:val="24"/>
        </w:rPr>
        <w:t>o šiem aktīviem, tiks ierakstīti</w:t>
      </w:r>
      <w:r>
        <w:rPr>
          <w:rFonts w:ascii="Times New Roman" w:hAnsi="Times New Roman"/>
          <w:noProof/>
          <w:sz w:val="24"/>
        </w:rPr>
        <w:t xml:space="preserve"> pārvērtēšanas kontos.</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Gadījumā, ja sanācijas struktūra tiek izveidota, pārstrukturējot finanšu starpnieku, kurš pēc tam turpina darboties, taču ar izmaiņām tā darbības jomā (iepriekš minētais b) gadījums), operācija ir jāsadala divos posmos: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pirmkārt, lai ņemtu vērā atbalstu, kas finanšu starpniekam sniegts saistībā ar operāciju, atšķirība starp nodoto aktīvu darījuma vērtību un</w:t>
      </w:r>
      <w:r w:rsidR="00251A15">
        <w:rPr>
          <w:rFonts w:ascii="Times New Roman" w:hAnsi="Times New Roman"/>
          <w:noProof/>
          <w:sz w:val="24"/>
        </w:rPr>
        <w:t xml:space="preserve"> to tirgus vērtību ir ierakstīta</w:t>
      </w:r>
      <w:r>
        <w:rPr>
          <w:rFonts w:ascii="Times New Roman" w:hAnsi="Times New Roman"/>
          <w:noProof/>
          <w:sz w:val="24"/>
        </w:rPr>
        <w:t xml:space="preserve"> kā kapitāla nodošana sanācijas struktūras debitoriem;</w:t>
      </w:r>
    </w:p>
    <w:p w:rsidR="00523A0A"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tad sanācijas struktūras klasifikācij</w:t>
      </w:r>
      <w:r w:rsidR="00251A15">
        <w:rPr>
          <w:rFonts w:ascii="Times New Roman" w:hAnsi="Times New Roman"/>
          <w:noProof/>
          <w:sz w:val="24"/>
        </w:rPr>
        <w:t>a valdības sektorā ir jāieraksta</w:t>
      </w:r>
      <w:r>
        <w:rPr>
          <w:rFonts w:ascii="Times New Roman" w:hAnsi="Times New Roman"/>
          <w:noProof/>
          <w:sz w:val="24"/>
        </w:rPr>
        <w:t xml:space="preserve"> kā “citu aktīvu apjoma pārmaiņu konts” (sektoru klasifikācijas un institucionālās vienības struktūras pārmaiņas (K.61)).</w:t>
      </w:r>
    </w:p>
    <w:p w:rsidR="00523A0A" w:rsidRPr="001973D0" w:rsidRDefault="00523A0A" w:rsidP="00523A0A">
      <w:pPr>
        <w:pStyle w:val="BodyText"/>
        <w:tabs>
          <w:tab w:val="left" w:pos="1592"/>
        </w:tabs>
        <w:spacing w:before="0"/>
        <w:ind w:left="0" w:firstLine="0"/>
        <w:rPr>
          <w:rFonts w:ascii="Times New Roman" w:hAnsi="Times New Roman"/>
          <w:noProof/>
          <w:sz w:val="24"/>
        </w:rPr>
      </w:pP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Kas attiecas uz ietekmi un valdības parādu, gadījumā, ja pārstrukturēšana tiek veikta iepriekš minētajos a) un b) gadījumos vai ĪNDS gadījumā, šo subjektu klasifikācija valdības sektorā nozīmē to, ka to aktīvi un saistības tiek iekļautas valdības bilancē un tāpēc attiecīgie subjektu parāda instrumenti ietilps valdības bruto parādā.</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2016"/>
        </w:tabs>
        <w:jc w:val="both"/>
        <w:rPr>
          <w:rFonts w:ascii="Times New Roman" w:hAnsi="Times New Roman"/>
          <w:noProof/>
          <w:sz w:val="24"/>
        </w:rPr>
      </w:pPr>
      <w:bookmarkStart w:id="310" w:name="IV.5.2.4_Treatments_to_be_followed_when_"/>
      <w:bookmarkEnd w:id="310"/>
      <w:r>
        <w:rPr>
          <w:rFonts w:ascii="Times New Roman" w:hAnsi="Times New Roman"/>
          <w:noProof/>
          <w:sz w:val="24"/>
        </w:rPr>
        <w:t>IV.5.2.4. Traktējumi, kas jāievēro, ja valdība iesaistās tikai kā galvotāja</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Finanšu iestādes vai īpašas šo finanšu iestāžu kontrolētas vienības, kas klasificētas ārpus valdības sektora, var saņemt valdības garantiju attiecībā uz visiem problemātiskajiem/samazinātas vērtības aktīviem, kuri skaidri norādīti to portfelī, vai kādu to daļu.</w:t>
      </w: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Ja pastāv šādi galvojumi, tad rīkojas šādi.</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Ja valdība uzņemas visus riskus vai to lielāko daļu un izsniedz atlīdzību tiešā saistībā ar problemātiskajiem aktīviem, tad valdību uzskata par šo aktīvu ekonomisko īpašn</w:t>
      </w:r>
      <w:r w:rsidR="00251A15">
        <w:rPr>
          <w:rFonts w:ascii="Times New Roman" w:hAnsi="Times New Roman"/>
          <w:noProof/>
          <w:sz w:val="24"/>
        </w:rPr>
        <w:t>ieci un valdības kontos jāieraksta</w:t>
      </w:r>
      <w:r>
        <w:rPr>
          <w:rFonts w:ascii="Times New Roman" w:hAnsi="Times New Roman"/>
          <w:noProof/>
          <w:sz w:val="24"/>
        </w:rPr>
        <w:t xml:space="preserve"> finanšu aktīva iegūšana, kā p</w:t>
      </w:r>
      <w:r w:rsidR="00251A15">
        <w:rPr>
          <w:rFonts w:ascii="Times New Roman" w:hAnsi="Times New Roman"/>
          <w:noProof/>
          <w:sz w:val="24"/>
        </w:rPr>
        <w:t>retvērtības darījumu ierakstot</w:t>
      </w:r>
      <w:r>
        <w:rPr>
          <w:rFonts w:ascii="Times New Roman" w:hAnsi="Times New Roman"/>
          <w:noProof/>
          <w:sz w:val="24"/>
        </w:rPr>
        <w:t xml:space="preserve"> finanšu iestādes aizdevumu valdībai. Ja valdība iegādājas aktīvus virs to tirgus cenas vai patiesās vērtības, attiecībā uz tirgus cenas vai patiesās</w:t>
      </w:r>
      <w:r w:rsidR="00251A15">
        <w:rPr>
          <w:rFonts w:ascii="Times New Roman" w:hAnsi="Times New Roman"/>
          <w:noProof/>
          <w:sz w:val="24"/>
        </w:rPr>
        <w:t xml:space="preserve"> vērtības pārsniegumu jāieraksta</w:t>
      </w:r>
      <w:r>
        <w:rPr>
          <w:rFonts w:ascii="Times New Roman" w:hAnsi="Times New Roman"/>
          <w:noProof/>
          <w:sz w:val="24"/>
        </w:rPr>
        <w:t xml:space="preserve"> valdības kapitāla pārvedums (sk. uzskaites piemēru).</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Ja tā vietā valdības garantija sedz vienīgi problemātisko aktīvu radītos zaudējumus, traktējumam nacionālajos kontos jāievēro vispārējie noteikumi attiecībā uz garantijām, kas noteikti šīs rokasgrāmatas VII.4. nodaļā, izņemot to, ka problemātisko aktīvu gadījumā nepiemēro noteikumu, kas attiecas uz atkārtotiem prasījumiem.</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Jāizvērtē dažādi gadījumi.</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2"/>
          <w:numId w:val="57"/>
        </w:numPr>
        <w:tabs>
          <w:tab w:val="left" w:pos="1936"/>
        </w:tabs>
        <w:spacing w:before="0"/>
        <w:ind w:left="1134"/>
        <w:jc w:val="both"/>
        <w:rPr>
          <w:rFonts w:ascii="Times New Roman" w:hAnsi="Times New Roman"/>
          <w:noProof/>
          <w:sz w:val="24"/>
        </w:rPr>
      </w:pPr>
      <w:r>
        <w:rPr>
          <w:rFonts w:ascii="Times New Roman" w:hAnsi="Times New Roman"/>
          <w:noProof/>
          <w:sz w:val="24"/>
        </w:rPr>
        <w:t>Pirmkārt, problemātiska aktīva garantijas prasījums, ja prasījums ir daļējs un aktīvs tiek uzskatīts vismaz par daļēji atgūstamu (t. i., tas paliek bilancē), tādā gadījumā kapitāla pārvedu</w:t>
      </w:r>
      <w:r w:rsidR="0021579A">
        <w:rPr>
          <w:rFonts w:ascii="Times New Roman" w:hAnsi="Times New Roman"/>
          <w:noProof/>
          <w:sz w:val="24"/>
        </w:rPr>
        <w:t>mu (valdības izdevumus) ieraksta</w:t>
      </w:r>
      <w:r>
        <w:rPr>
          <w:rFonts w:ascii="Times New Roman" w:hAnsi="Times New Roman"/>
          <w:noProof/>
          <w:sz w:val="24"/>
        </w:rPr>
        <w:t xml:space="preserve"> garantijas prasījuma summas apmērā prasījuma iesniegšanas brīdī.</w:t>
      </w:r>
    </w:p>
    <w:p w:rsidR="00523A0A" w:rsidRPr="001973D0" w:rsidRDefault="00523A0A" w:rsidP="00523A0A">
      <w:pPr>
        <w:pStyle w:val="BodyText"/>
        <w:numPr>
          <w:ilvl w:val="2"/>
          <w:numId w:val="57"/>
        </w:numPr>
        <w:tabs>
          <w:tab w:val="left" w:pos="1936"/>
        </w:tabs>
        <w:spacing w:before="0"/>
        <w:ind w:left="1134"/>
        <w:jc w:val="both"/>
        <w:rPr>
          <w:rFonts w:ascii="Times New Roman" w:hAnsi="Times New Roman"/>
          <w:noProof/>
          <w:sz w:val="24"/>
        </w:rPr>
      </w:pPr>
      <w:r>
        <w:rPr>
          <w:rFonts w:ascii="Times New Roman" w:hAnsi="Times New Roman"/>
          <w:noProof/>
          <w:sz w:val="24"/>
        </w:rPr>
        <w:t xml:space="preserve">Otrkārt, problemātiska aktīva garantijas prasījums, ja nav gaidāms kaut ko turpmāk atgūt (taču aktīvs </w:t>
      </w:r>
      <w:r w:rsidR="0021579A">
        <w:rPr>
          <w:rFonts w:ascii="Times New Roman" w:hAnsi="Times New Roman"/>
          <w:noProof/>
          <w:sz w:val="24"/>
        </w:rPr>
        <w:t>paliek bilancē), ir ierakstāms</w:t>
      </w:r>
      <w:r>
        <w:rPr>
          <w:rFonts w:ascii="Times New Roman" w:hAnsi="Times New Roman"/>
          <w:noProof/>
          <w:sz w:val="24"/>
        </w:rPr>
        <w:t xml:space="preserve"> kā kapitāla pārvedums (valdības </w:t>
      </w:r>
      <w:r>
        <w:rPr>
          <w:rFonts w:ascii="Times New Roman" w:hAnsi="Times New Roman"/>
          <w:noProof/>
          <w:sz w:val="24"/>
        </w:rPr>
        <w:lastRenderedPageBreak/>
        <w:t>izdevumi) prasījuma iesniegšanas brīdī par pilnu prasījuma summu. Jebkādas nega</w:t>
      </w:r>
      <w:r w:rsidR="0021579A">
        <w:rPr>
          <w:rFonts w:ascii="Times New Roman" w:hAnsi="Times New Roman"/>
          <w:noProof/>
          <w:sz w:val="24"/>
        </w:rPr>
        <w:t>idītas atmaksas ir ierakstāmas</w:t>
      </w:r>
      <w:r>
        <w:rPr>
          <w:rFonts w:ascii="Times New Roman" w:hAnsi="Times New Roman"/>
          <w:noProof/>
          <w:sz w:val="24"/>
        </w:rPr>
        <w:t xml:space="preserve"> kā pretējs kapitāla pārvedums (valdības ieņēmumi).</w:t>
      </w:r>
    </w:p>
    <w:p w:rsidR="00523A0A" w:rsidRPr="001973D0" w:rsidRDefault="00523A0A" w:rsidP="00523A0A">
      <w:pPr>
        <w:pStyle w:val="BodyText"/>
        <w:numPr>
          <w:ilvl w:val="2"/>
          <w:numId w:val="57"/>
        </w:numPr>
        <w:tabs>
          <w:tab w:val="left" w:pos="1936"/>
        </w:tabs>
        <w:spacing w:before="0"/>
        <w:ind w:left="1134"/>
        <w:jc w:val="both"/>
        <w:rPr>
          <w:rFonts w:ascii="Times New Roman" w:hAnsi="Times New Roman"/>
          <w:noProof/>
          <w:sz w:val="24"/>
        </w:rPr>
      </w:pPr>
      <w:r>
        <w:rPr>
          <w:rFonts w:ascii="Times New Roman" w:hAnsi="Times New Roman"/>
          <w:noProof/>
          <w:sz w:val="24"/>
        </w:rPr>
        <w:t>Treškārt, ja finanšu iestāde ir pārdevusi problemātisko aktīvu ar zaudējumiem un tiek pieprasīta garantija, kapitāla pārvedu</w:t>
      </w:r>
      <w:r w:rsidR="0021579A">
        <w:rPr>
          <w:rFonts w:ascii="Times New Roman" w:hAnsi="Times New Roman"/>
          <w:noProof/>
          <w:sz w:val="24"/>
        </w:rPr>
        <w:t>mu (valdības izdevumus) ieraksta</w:t>
      </w:r>
      <w:r>
        <w:rPr>
          <w:rFonts w:ascii="Times New Roman" w:hAnsi="Times New Roman"/>
          <w:noProof/>
          <w:sz w:val="24"/>
        </w:rPr>
        <w:t xml:space="preserve"> garantijas prasījuma summas apmērā prasījuma iesniegšanas brīdī.</w:t>
      </w:r>
    </w:p>
    <w:p w:rsidR="00523A0A" w:rsidRPr="001973D0" w:rsidRDefault="00523A0A" w:rsidP="00523A0A">
      <w:pPr>
        <w:pStyle w:val="BodyText"/>
        <w:numPr>
          <w:ilvl w:val="2"/>
          <w:numId w:val="57"/>
        </w:numPr>
        <w:tabs>
          <w:tab w:val="left" w:pos="1936"/>
        </w:tabs>
        <w:spacing w:before="0"/>
        <w:ind w:left="1134"/>
        <w:jc w:val="both"/>
        <w:rPr>
          <w:rFonts w:ascii="Times New Roman" w:hAnsi="Times New Roman"/>
          <w:noProof/>
          <w:sz w:val="24"/>
        </w:rPr>
      </w:pPr>
      <w:r>
        <w:rPr>
          <w:rFonts w:ascii="Times New Roman" w:hAnsi="Times New Roman"/>
          <w:noProof/>
          <w:sz w:val="24"/>
        </w:rPr>
        <w:t>Ceturtkārt, var būt īpaša kārtība, kas paredz, ja netiek veikts maksājums, kas jāveic par problemātiskajiem aktīviem, ko garantējusi valdība, var tikt ierosināts aktīva</w:t>
      </w:r>
      <w:r w:rsidR="0021579A">
        <w:rPr>
          <w:rFonts w:ascii="Times New Roman" w:hAnsi="Times New Roman"/>
          <w:noProof/>
          <w:sz w:val="24"/>
        </w:rPr>
        <w:t xml:space="preserve"> pārvedums valdībai. To ieraksta</w:t>
      </w:r>
      <w:r>
        <w:rPr>
          <w:rFonts w:ascii="Times New Roman" w:hAnsi="Times New Roman"/>
          <w:noProof/>
          <w:sz w:val="24"/>
        </w:rPr>
        <w:t xml:space="preserve"> valdības kontos kā kapitāla pārvedumu (valdības izdevumus). Tikai gadījumā, ja var ticami aprēķināt, ka kādas summas var atgūt (neatkarīga struktūra),</w:t>
      </w:r>
      <w:r w:rsidR="0021579A">
        <w:rPr>
          <w:rFonts w:ascii="Times New Roman" w:hAnsi="Times New Roman"/>
          <w:noProof/>
          <w:sz w:val="24"/>
        </w:rPr>
        <w:t xml:space="preserve"> atgūstamo daļu varētu ierakstīt</w:t>
      </w:r>
      <w:r>
        <w:rPr>
          <w:rFonts w:ascii="Times New Roman" w:hAnsi="Times New Roman"/>
          <w:noProof/>
          <w:sz w:val="24"/>
        </w:rPr>
        <w:t xml:space="preserve"> kā finanšu darījumu.</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1936"/>
        </w:tabs>
        <w:jc w:val="both"/>
        <w:rPr>
          <w:rFonts w:ascii="Times New Roman" w:hAnsi="Times New Roman"/>
          <w:noProof/>
          <w:sz w:val="24"/>
        </w:rPr>
      </w:pPr>
      <w:bookmarkStart w:id="311" w:name="IV.5.2.5_Treatments_to_be_followed_when_"/>
      <w:bookmarkEnd w:id="311"/>
      <w:r>
        <w:rPr>
          <w:rFonts w:ascii="Times New Roman" w:hAnsi="Times New Roman"/>
          <w:noProof/>
          <w:sz w:val="24"/>
        </w:rPr>
        <w:t>IV.5.2.5. Traktējumi, kas jāievēro, ja valdība pērk problemātiskos aktīvus</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Valdība var arī pirkt (vai pārņemt) problemātiskos aktīvus. Tā to dara tieši vai ar tādu īpaši izveidotu vienību starpniecību, kuras uzskata par daļu no valdības sektora. Šajā punktā pieņem, ka abos šajos gadījumos pirkumu ir veikusi valdība. Galvenais apsvērums ir tas, ka valdība pērk (vai pārņem) problemātiskos aktīvus no finanšu iestādes par cenu, kas konkrētajā brīdī var atšķirties no tirgus cenas (vai patiesās vērtības) vai būt augstāka par to.</w:t>
      </w:r>
    </w:p>
    <w:p w:rsidR="00523A0A" w:rsidRPr="001973D0" w:rsidRDefault="00523A0A" w:rsidP="00523A0A">
      <w:pPr>
        <w:pStyle w:val="BodyText"/>
        <w:tabs>
          <w:tab w:val="left" w:pos="1160"/>
        </w:tabs>
        <w:spacing w:before="0"/>
        <w:ind w:left="0" w:firstLine="0"/>
        <w:rPr>
          <w:rFonts w:ascii="Times New Roman" w:hAnsi="Times New Roman"/>
          <w:noProof/>
          <w:sz w:val="24"/>
        </w:rPr>
      </w:pPr>
    </w:p>
    <w:p w:rsidR="00523A0A" w:rsidRDefault="00523A0A" w:rsidP="00523A0A">
      <w:pPr>
        <w:pStyle w:val="Heading6"/>
        <w:numPr>
          <w:ilvl w:val="0"/>
          <w:numId w:val="55"/>
        </w:numPr>
        <w:tabs>
          <w:tab w:val="left" w:pos="1228"/>
        </w:tabs>
        <w:ind w:left="709" w:hanging="709"/>
        <w:jc w:val="both"/>
        <w:rPr>
          <w:rFonts w:ascii="Times New Roman" w:hAnsi="Times New Roman"/>
          <w:noProof/>
          <w:sz w:val="24"/>
        </w:rPr>
      </w:pPr>
      <w:r>
        <w:rPr>
          <w:rFonts w:ascii="Times New Roman" w:hAnsi="Times New Roman"/>
          <w:noProof/>
          <w:sz w:val="24"/>
        </w:rPr>
        <w:t>Ieraksti sanācijas procesa sākumā</w:t>
      </w:r>
    </w:p>
    <w:p w:rsidR="00523A0A" w:rsidRPr="001973D0" w:rsidRDefault="00523A0A" w:rsidP="00523A0A">
      <w:pPr>
        <w:pStyle w:val="Heading6"/>
        <w:tabs>
          <w:tab w:val="left" w:pos="1228"/>
        </w:tabs>
        <w:rPr>
          <w:rFonts w:ascii="Times New Roman" w:hAnsi="Times New Roman"/>
          <w:noProof/>
          <w:sz w:val="24"/>
        </w:rPr>
      </w:pP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Kopumā pieņemts uzskatīt, ka aktīvu iegāde ir finanšu darījums, taču iepriekš minētajos apstākļos</w:t>
      </w:r>
      <w:r w:rsidR="0021579A">
        <w:rPr>
          <w:rFonts w:ascii="Times New Roman" w:hAnsi="Times New Roman"/>
          <w:noProof/>
          <w:sz w:val="24"/>
        </w:rPr>
        <w:t xml:space="preserve"> jāieraksta</w:t>
      </w:r>
      <w:r>
        <w:rPr>
          <w:rFonts w:ascii="Times New Roman" w:hAnsi="Times New Roman"/>
          <w:noProof/>
          <w:sz w:val="24"/>
        </w:rPr>
        <w:t xml:space="preserve"> kapitāla pārvedums, ja valdība pērk aktīvus no finanšu iestādes. Kapitāla pārveduma summai, kas veikta šādai finanšu iestādei, ir jābūt vienādai ar starpību starp summu, kas ir samaksāta par aktīviem, un to tirgus vērtību. Ir lietderīgi nošķirt dažādus aktīvu veidus.</w:t>
      </w:r>
    </w:p>
    <w:p w:rsidR="00523A0A" w:rsidRPr="001973D0" w:rsidRDefault="00523A0A" w:rsidP="00523A0A">
      <w:pPr>
        <w:pStyle w:val="BodyText"/>
        <w:spacing w:before="0"/>
        <w:ind w:left="709" w:firstLine="0"/>
        <w:jc w:val="both"/>
        <w:rPr>
          <w:rFonts w:ascii="Times New Roman" w:hAnsi="Times New Roman"/>
          <w:noProof/>
          <w:sz w:val="24"/>
        </w:rPr>
      </w:pPr>
      <w:r>
        <w:rPr>
          <w:rFonts w:ascii="Times New Roman" w:hAnsi="Times New Roman"/>
          <w:noProof/>
          <w:sz w:val="24"/>
        </w:rPr>
        <w:t>Jebkurā gadījumā ietekme uz neto aizdevumu/aizņēmumu (B.9) būs vienāda ar kapitāla pārveduma summu brīdī, kad aktīvi tiek nodoti valdības sanācijas struktūrai vai citai valdības vienībai. Ja aktīvu nodošana notiek saistībā ar sanācijas vienības klasifikācijas maiņu, kura izriet no pastāvošas finanšu iestādes pārstrukturēšanas atbilstīgi tam, kā noteikts iepriekš, ietekme uz parādu ir vienāda ar valdības pārņemtajām saistībām.</w:t>
      </w: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Lielākajai daļai aktīvu, kurus regulāri piedāvā tirgū, var konstatēt tirgus cenu. Tā tas ir vērtspapīru un kotēto akciju gadījumā un mazākā mērā (atkarībā no dažiem īpašiem apstākļiem) arī nekustamā īpašuma gadījumā. Ja (kā to var pieņemt) cena, par kādu šie aktīvi tiek pārdoti sanācijas struktūrai, atšķiras no šīs tirgus vērtības, kapitāla pārveduma summa ir vienāda ar starpību starp aktīvu pārdošanas cenu un tirgus vērtību.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Saistībā ar nekustamā īpašuma aktīviem finanšu iestādes var būt nonākušas grūtībās tādēļ, ka tirgū samazinās nekustamā īpašuma cenas. Lai aprēķinātu nekustamā īpašuma aktīvu tirgus vērtību, attiecībā uz to pārdošanas cenu var piemērot nekustamo īpašumu cenu indeksus.</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Vērtspapīru un akciju gadījumā, izņemot funkcionējoša tirgus pastāvīga trūkuma gadījumus, tirgus cenas iespējams noskaidrot, pamatojoties uz biržas informāciju par kotētajiem instrumentiem. Nekotēto akciju cena jāatvasina no kotēto akciju tendencēm līdzīgā sektorā.</w:t>
      </w:r>
    </w:p>
    <w:p w:rsidR="00523A0A"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 xml:space="preserve">Problemātisko aizdevumu gadījumā patiesā vērtība (pašreizējā brīdī paredzamā izpirkšanas vērtība) būs mazāka par pamatsummu, kāda debitoriem jāmaksā. Finanšu iestādes tos parasti nodod par neatmaksāto pamatsummu (līgumā noteikto sākotnējo izpirkšanas vērtību). Tā kā aizdevumi pēc būtības nav pastāvošajos tirgos </w:t>
      </w:r>
      <w:r>
        <w:rPr>
          <w:rFonts w:ascii="Times New Roman" w:hAnsi="Times New Roman"/>
          <w:noProof/>
          <w:sz w:val="24"/>
        </w:rPr>
        <w:lastRenderedPageBreak/>
        <w:t xml:space="preserve">apgrozāmi instrumenti, tiem nav tirgus vērtības, tāpēc gadījumā, ja tiek īstenota ievērojama nodošana valdībai, to patiesā vērtība jāaprēķina neatkarīgai struktūrai, pamatojoties uz “reālistiskiem pieņēmumiem”. Nepastāvot nekādām pārrunām ar debitoriem, netiek veiktas izmaiņas to sākotnējās saistībās. Līdz ar to bilancē jāreģistrē aizdevumu nominālvērtība. Darījums netiek īstenots tīri komerciālu apsvērumu dēļ (t. i., cerot gūt peļņu pēc tā, sk. EKS 2010 5.21. punktu, kurā noteikts, ka starpība starp darījuma cenu un tirgus cenu ir jānosaka kā kapitāla pārvedums). Ja tomēr ir ticama informācija, ka daži aizdevumi ir pilnīgi vai gandrīz pilnīgi neatgūstami (jo, piemēram, ir pazudis debitors), jāpieņem, ka to patiesā vērtība ir vienāda ar nulli </w:t>
      </w:r>
      <w:r w:rsidR="0021579A">
        <w:rPr>
          <w:rFonts w:ascii="Times New Roman" w:hAnsi="Times New Roman"/>
          <w:noProof/>
          <w:sz w:val="24"/>
        </w:rPr>
        <w:t>un kapitāla pārvedums jāieraksta</w:t>
      </w:r>
      <w:r>
        <w:rPr>
          <w:rFonts w:ascii="Times New Roman" w:hAnsi="Times New Roman"/>
          <w:noProof/>
          <w:sz w:val="24"/>
        </w:rPr>
        <w:t xml:space="preserve"> pilnā aizdevuma apmērā, kāds pastāv brīdī, kad tiek veikts darījums ar sanācijas struktūru. Parasti sanācijas struktūrai šādi aizdevumi pēc darījuma ir jānoraksta.</w:t>
      </w:r>
    </w:p>
    <w:p w:rsidR="00523A0A" w:rsidRPr="001973D0" w:rsidRDefault="00523A0A" w:rsidP="00523A0A">
      <w:pPr>
        <w:pStyle w:val="BodyText"/>
        <w:tabs>
          <w:tab w:val="left" w:pos="1592"/>
        </w:tabs>
        <w:spacing w:before="0"/>
        <w:ind w:left="0" w:firstLine="0"/>
        <w:rPr>
          <w:rFonts w:ascii="Times New Roman" w:hAnsi="Times New Roman"/>
          <w:noProof/>
          <w:sz w:val="24"/>
        </w:rPr>
      </w:pPr>
    </w:p>
    <w:p w:rsidR="00523A0A" w:rsidRDefault="00523A0A" w:rsidP="00523A0A">
      <w:pPr>
        <w:pStyle w:val="Heading6"/>
        <w:numPr>
          <w:ilvl w:val="0"/>
          <w:numId w:val="55"/>
        </w:numPr>
        <w:tabs>
          <w:tab w:val="left" w:pos="1307"/>
        </w:tabs>
        <w:ind w:left="709" w:hanging="709"/>
        <w:jc w:val="both"/>
        <w:rPr>
          <w:rFonts w:ascii="Times New Roman" w:hAnsi="Times New Roman"/>
          <w:noProof/>
          <w:sz w:val="24"/>
        </w:rPr>
      </w:pPr>
      <w:r>
        <w:rPr>
          <w:rFonts w:ascii="Times New Roman" w:hAnsi="Times New Roman"/>
          <w:noProof/>
          <w:sz w:val="24"/>
        </w:rPr>
        <w:t>Ieraksti sanācijas procesa laikā</w:t>
      </w:r>
    </w:p>
    <w:p w:rsidR="00523A0A" w:rsidRPr="001973D0" w:rsidRDefault="00523A0A" w:rsidP="00523A0A">
      <w:pPr>
        <w:pStyle w:val="Heading6"/>
        <w:tabs>
          <w:tab w:val="left" w:pos="1307"/>
        </w:tabs>
        <w:rPr>
          <w:rFonts w:ascii="Times New Roman" w:hAnsi="Times New Roman"/>
          <w:noProof/>
          <w:sz w:val="24"/>
        </w:rPr>
      </w:pPr>
    </w:p>
    <w:p w:rsidR="00523A0A"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Arī šajā gadījumā jāņem vērā nodoto aktīvu dalījums.</w:t>
      </w:r>
    </w:p>
    <w:p w:rsidR="00523A0A" w:rsidRPr="001973D0" w:rsidRDefault="00523A0A" w:rsidP="00523A0A">
      <w:pPr>
        <w:pStyle w:val="BodyText"/>
        <w:tabs>
          <w:tab w:val="left" w:pos="1240"/>
        </w:tabs>
        <w:spacing w:before="0"/>
        <w:ind w:left="0" w:firstLine="0"/>
        <w:rPr>
          <w:rFonts w:ascii="Times New Roman" w:hAnsi="Times New Roman"/>
          <w:noProof/>
          <w:sz w:val="24"/>
        </w:rPr>
      </w:pP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Nefinanšu aktīvu, piemēram, ēku, gadījumā vai, vispārīgi runājot, nekustamā īpašuma gadījumā tirgus vērtība var mainīties laikā, kad šādus aktīvus tur vienība, kuru var uzskatīt par sanācija</w:t>
      </w:r>
      <w:r w:rsidR="0021579A">
        <w:rPr>
          <w:rFonts w:ascii="Times New Roman" w:hAnsi="Times New Roman"/>
          <w:noProof/>
          <w:sz w:val="24"/>
        </w:rPr>
        <w:t>s struktūru. Izmaiņas jāieraksta</w:t>
      </w:r>
      <w:r>
        <w:rPr>
          <w:rFonts w:ascii="Times New Roman" w:hAnsi="Times New Roman"/>
          <w:noProof/>
          <w:sz w:val="24"/>
        </w:rPr>
        <w:t xml:space="preserve"> pārvērtēšanas kontā, neietekmējot valdības neto aizdevumu/aizņēmumu (B.9). Ja nekustamo īpašumu pārdod vienībām, kuras klasificētas ārpus vispārējās valdība</w:t>
      </w:r>
      <w:r w:rsidR="0021579A">
        <w:rPr>
          <w:rFonts w:ascii="Times New Roman" w:hAnsi="Times New Roman"/>
          <w:noProof/>
          <w:sz w:val="24"/>
        </w:rPr>
        <w:t>s sektora, to pārdošanu ieraksta</w:t>
      </w:r>
      <w:r>
        <w:rPr>
          <w:rFonts w:ascii="Times New Roman" w:hAnsi="Times New Roman"/>
          <w:noProof/>
          <w:sz w:val="24"/>
        </w:rPr>
        <w:t xml:space="preserve"> kā nefinanšu aktīvu realizāciju ar labvēlīgu ietekmi uz valdības aizdevumu/aizņēmumu (B.9) (un, iespējams, arī ar pārvērtēšanu, ja cena augstāka </w:t>
      </w:r>
      <w:r w:rsidR="0021579A">
        <w:rPr>
          <w:rFonts w:ascii="Times New Roman" w:hAnsi="Times New Roman"/>
          <w:noProof/>
          <w:sz w:val="24"/>
        </w:rPr>
        <w:t>par bilancē ierakstīto</w:t>
      </w:r>
      <w:r>
        <w:rPr>
          <w:rFonts w:ascii="Times New Roman" w:hAnsi="Times New Roman"/>
          <w:noProof/>
          <w:sz w:val="24"/>
        </w:rPr>
        <w:t xml:space="preserve"> vērtību).</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Tas pats attiecas uz vērtspapīriem un aktīviem, izņemot to, ka to pārdošana neietekmē valdības neto aizdevumu/aizņēmumu, jo pēc būtības tas ir finanšu darījums.</w:t>
      </w:r>
    </w:p>
    <w:p w:rsidR="00523A0A" w:rsidRPr="001973D0" w:rsidRDefault="00523A0A" w:rsidP="00523A0A">
      <w:pPr>
        <w:pStyle w:val="BodyText"/>
        <w:numPr>
          <w:ilvl w:val="1"/>
          <w:numId w:val="57"/>
        </w:numPr>
        <w:tabs>
          <w:tab w:val="left" w:pos="1592"/>
        </w:tabs>
        <w:spacing w:before="0"/>
        <w:ind w:left="1134" w:hanging="425"/>
        <w:jc w:val="both"/>
        <w:rPr>
          <w:rFonts w:ascii="Times New Roman" w:hAnsi="Times New Roman"/>
          <w:noProof/>
          <w:sz w:val="24"/>
        </w:rPr>
      </w:pPr>
      <w:r>
        <w:rPr>
          <w:rFonts w:ascii="Times New Roman" w:hAnsi="Times New Roman"/>
          <w:noProof/>
          <w:sz w:val="24"/>
        </w:rPr>
        <w:t>Attiecībā uz aizdevumiem, kas netiek atmaksāti pilnas pamatvēr</w:t>
      </w:r>
      <w:r w:rsidR="0021579A">
        <w:rPr>
          <w:rFonts w:ascii="Times New Roman" w:hAnsi="Times New Roman"/>
          <w:noProof/>
          <w:sz w:val="24"/>
        </w:rPr>
        <w:t>tības apmērā, kuru ierakstījusi</w:t>
      </w:r>
      <w:r>
        <w:rPr>
          <w:rFonts w:ascii="Times New Roman" w:hAnsi="Times New Roman"/>
          <w:noProof/>
          <w:sz w:val="24"/>
        </w:rPr>
        <w:t xml:space="preserve"> pircēja valdības vienība, var piemērot divas procedūras – atcelšanu, kas nozīmē kapitāla pārvedumu, ja debitors joprojām pastāv, vai (ļoti retos izņēmuma gadījumos</w:t>
      </w:r>
      <w:r w:rsidR="0021579A">
        <w:rPr>
          <w:rFonts w:ascii="Times New Roman" w:hAnsi="Times New Roman"/>
          <w:noProof/>
          <w:sz w:val="24"/>
        </w:rPr>
        <w:t>) norakstīšanu, kas ierakstāma</w:t>
      </w:r>
      <w:r>
        <w:rPr>
          <w:rFonts w:ascii="Times New Roman" w:hAnsi="Times New Roman"/>
          <w:noProof/>
          <w:sz w:val="24"/>
        </w:rPr>
        <w:t xml:space="preserve"> kontā “Citas aktīvu apjoma pārmaiņas”, ja debitors vairs nepastāv un galvotāja vienība nespēj atmaksāt parādu.</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2016"/>
        </w:tabs>
        <w:jc w:val="both"/>
        <w:rPr>
          <w:rFonts w:ascii="Times New Roman" w:hAnsi="Times New Roman"/>
          <w:noProof/>
          <w:sz w:val="24"/>
        </w:rPr>
      </w:pPr>
      <w:bookmarkStart w:id="312" w:name="IV.5.2.6_The_case_where_government_provi"/>
      <w:bookmarkEnd w:id="312"/>
      <w:r>
        <w:rPr>
          <w:rFonts w:ascii="Times New Roman" w:hAnsi="Times New Roman"/>
          <w:noProof/>
          <w:sz w:val="24"/>
        </w:rPr>
        <w:t>IV.5.2.6. Gadījums, kad valdība sniedz tiešu finansējumu</w:t>
      </w:r>
    </w:p>
    <w:p w:rsidR="00523A0A" w:rsidRPr="001973D0" w:rsidRDefault="00523A0A" w:rsidP="00523A0A">
      <w:pPr>
        <w:pStyle w:val="Heading6"/>
        <w:tabs>
          <w:tab w:val="left" w:pos="2016"/>
        </w:tabs>
        <w:jc w:val="both"/>
        <w:rPr>
          <w:rFonts w:ascii="Times New Roman" w:hAnsi="Times New Roman"/>
          <w:noProof/>
          <w:sz w:val="24"/>
        </w:rPr>
      </w:pPr>
    </w:p>
    <w:p w:rsidR="00523A0A" w:rsidRPr="000348D7"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Vienība, kas nav pārklasificēta valdības sektorā un tur problemātiskos aktīvus vai piedalās ar problemātiskajiem aktīviem saistītā atbalsta operācijā, var saņemt valdības tiešu finanšu atbalstu, lai īstenotu īpašus darījumus pēc valdības ierosmes, ko parasts privāts ieguldītājs neuzņemtos un kas neietilpst tās ierastajā darbības jomā. Valdība jāuzskata par galveno attiecīgajā darījumā iesaistīto pusi, un darījums ir jāpārvirza caur valdības kontiem (EKS 2010 1.73.–1.75. punkts). Ja saistībā ar pārvirzītajiem darījumiem paredzēts, ka finanšu starpnieks valdības vārdā iepludinās kapitālu finanšu vai nefinanšu sabiedrībā, šī k</w:t>
      </w:r>
      <w:r w:rsidR="0021579A">
        <w:rPr>
          <w:rFonts w:ascii="Times New Roman" w:hAnsi="Times New Roman"/>
          <w:noProof/>
          <w:sz w:val="24"/>
        </w:rPr>
        <w:t>apitāla iepludināšana jāieraksta</w:t>
      </w:r>
      <w:r>
        <w:rPr>
          <w:rFonts w:ascii="Times New Roman" w:hAnsi="Times New Roman"/>
          <w:noProof/>
          <w:sz w:val="24"/>
        </w:rPr>
        <w:t xml:space="preserve"> atbilstīgi tam, kā noteikts šīs rokasgrāmatas III.2. nodaļā vai </w:t>
      </w:r>
      <w:r>
        <w:rPr>
          <w:rFonts w:ascii="Times New Roman" w:hAnsi="Times New Roman"/>
          <w:i/>
          <w:noProof/>
          <w:sz w:val="24"/>
        </w:rPr>
        <w:t>Eurostat</w:t>
      </w:r>
      <w:r>
        <w:rPr>
          <w:rFonts w:ascii="Times New Roman" w:hAnsi="Times New Roman"/>
          <w:noProof/>
          <w:sz w:val="24"/>
        </w:rPr>
        <w:t xml:space="preserve"> 2009.gada jūlija lēmumā par to, </w:t>
      </w:r>
      <w:r>
        <w:rPr>
          <w:rFonts w:ascii="Times New Roman" w:hAnsi="Times New Roman"/>
          <w:i/>
          <w:noProof/>
          <w:sz w:val="24"/>
        </w:rPr>
        <w:t>kā statistikā reģistrē valsts atbalstu finanšu iestādēm un finanšu tirgiem finanšu krīzes laikā</w:t>
      </w:r>
      <w:r>
        <w:rPr>
          <w:rFonts w:ascii="Times New Roman" w:hAnsi="Times New Roman"/>
          <w:noProof/>
          <w:sz w:val="24"/>
        </w:rPr>
        <w:t>.</w:t>
      </w:r>
    </w:p>
    <w:p w:rsidR="006D580D" w:rsidRDefault="006D580D">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795"/>
        </w:tabs>
        <w:ind w:left="0" w:firstLine="0"/>
        <w:jc w:val="both"/>
        <w:rPr>
          <w:rFonts w:ascii="Times New Roman" w:hAnsi="Times New Roman"/>
          <w:noProof/>
          <w:u w:val="thick" w:color="000000"/>
        </w:rPr>
      </w:pPr>
      <w:bookmarkStart w:id="313" w:name="IV.5.3_Rationale_of_the_treatment"/>
      <w:bookmarkEnd w:id="313"/>
      <w:r>
        <w:rPr>
          <w:rFonts w:ascii="Times New Roman" w:hAnsi="Times New Roman"/>
          <w:noProof/>
          <w:u w:val="none"/>
        </w:rPr>
        <w:t>IV.5.3. </w:t>
      </w:r>
      <w:r>
        <w:rPr>
          <w:rFonts w:ascii="Times New Roman" w:hAnsi="Times New Roman"/>
          <w:noProof/>
          <w:u w:val="thick" w:color="000000"/>
        </w:rPr>
        <w:t>Traktējuma pamatojums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36"/>
        </w:tabs>
        <w:jc w:val="both"/>
        <w:rPr>
          <w:rFonts w:ascii="Times New Roman" w:hAnsi="Times New Roman"/>
          <w:noProof/>
          <w:sz w:val="24"/>
        </w:rPr>
      </w:pPr>
      <w:bookmarkStart w:id="314" w:name="IV.5.3.1_Classification_issues"/>
      <w:bookmarkEnd w:id="314"/>
      <w:r>
        <w:rPr>
          <w:rFonts w:ascii="Times New Roman" w:hAnsi="Times New Roman"/>
          <w:noProof/>
          <w:sz w:val="24"/>
        </w:rPr>
        <w:t>IV.5.3.1. Klasifikācijas problēmas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Sanācijas struktūras šķietami veic finanšu darbību – tās ir aizņēmušās līdzekļus (nodotus vai izdotus no jauna), lai finansētu savus samazinātās vērtības aktīvus. Tomēr šīs struktūras nevar uzskatīt par īstiem finanšu starpniekiem, jo faktiski tās neuzņemas risku, kurš saistīts ar finanšu aktīvu iegādi un saistību uzņemšanos savā vārdā, kas atbilstīgi tam, kā norādīts EKS 2010 2.57. punktā, ir tipiska finanšu starpnieku pazīme. Gluži pretēji, tās rīkojas valdības vārdā. Tādēļ šīs struktūras klasificē vispārējās valdības sektorā. Šādos apstākļos kompetentajām iestādēm ir rūpīgi jāizskata iepriekš minētie izņēmuma gadījumi.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15" w:name="IV.5.3.2_The_general_principle_for_recor"/>
      <w:bookmarkEnd w:id="315"/>
      <w:r>
        <w:rPr>
          <w:rFonts w:ascii="Times New Roman" w:hAnsi="Times New Roman"/>
          <w:noProof/>
          <w:sz w:val="24"/>
        </w:rPr>
        <w:t xml:space="preserve">IV.5.3.2. Vispārējs </w:t>
      </w:r>
      <w:r w:rsidR="0021579A">
        <w:rPr>
          <w:rFonts w:ascii="Times New Roman" w:hAnsi="Times New Roman"/>
          <w:noProof/>
          <w:sz w:val="24"/>
        </w:rPr>
        <w:t>kapitāla pārvedumu ierakstīšanas</w:t>
      </w:r>
      <w:r>
        <w:rPr>
          <w:rFonts w:ascii="Times New Roman" w:hAnsi="Times New Roman"/>
          <w:noProof/>
          <w:sz w:val="24"/>
        </w:rPr>
        <w:t xml:space="preserve"> princips</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No valdības saņemtu kapitāla pārvedumu, kas ietekmē valdības neto aizdevum</w:t>
      </w:r>
      <w:r w:rsidR="0021579A">
        <w:rPr>
          <w:rFonts w:ascii="Times New Roman" w:hAnsi="Times New Roman"/>
          <w:noProof/>
          <w:sz w:val="24"/>
        </w:rPr>
        <w:t>u/aizņēmumu (B.9), var ierakstīt</w:t>
      </w:r>
      <w:r>
        <w:rPr>
          <w:rFonts w:ascii="Times New Roman" w:hAnsi="Times New Roman"/>
          <w:noProof/>
          <w:sz w:val="24"/>
        </w:rPr>
        <w:t xml:space="preserve"> vienā no četriem laika posmiem:</w:t>
      </w:r>
    </w:p>
    <w:p w:rsidR="00523A0A" w:rsidRPr="001973D0" w:rsidRDefault="00523A0A" w:rsidP="00523A0A">
      <w:pPr>
        <w:pStyle w:val="BodyText"/>
        <w:tabs>
          <w:tab w:val="left" w:pos="1160"/>
        </w:tabs>
        <w:spacing w:before="0"/>
        <w:ind w:left="0" w:firstLine="0"/>
        <w:rPr>
          <w:rFonts w:ascii="Times New Roman" w:hAnsi="Times New Roman"/>
          <w:noProof/>
          <w:sz w:val="24"/>
        </w:rPr>
      </w:pP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laikā, kad tiek sagatavots sanācijas process un valdība pērk (vai pārņem) attiecīgos aktīvus par summu, kas pārsniedz to tirgus vērtību vai patieso vērtību, kura pastāv pārveduma laikā;</w:t>
      </w: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sanācijas pārvaldības laikā, kad valdība (parasti – ar garantijas izmantošanas pieprasījumiem attiecībā uz aktīviem vai noteiktām saistībām) uzņemas zaudējumus no finanšu iestādēm vai citām vienībām, kas klasificētas ārpus vispārējās valdības sektora;</w:t>
      </w: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sanācijas pārvaldības laikā, kad valdība iepludina kapitālu vienībā, lai segtu zaudējumus vai/un nodrošinātu nepieciešamos finanšu līdzekļus;</w:t>
      </w:r>
    </w:p>
    <w:p w:rsidR="00523A0A"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sanācijas pārvaldības laikā, kad valdība atceļ aizdevumus, ko tā piešķīrusi vienībai.</w:t>
      </w:r>
    </w:p>
    <w:p w:rsidR="00523A0A" w:rsidRPr="001973D0" w:rsidRDefault="00523A0A" w:rsidP="00523A0A">
      <w:pPr>
        <w:pStyle w:val="BodyText"/>
        <w:tabs>
          <w:tab w:val="left" w:pos="1512"/>
        </w:tabs>
        <w:spacing w:before="0"/>
        <w:ind w:left="0" w:firstLine="0"/>
        <w:rPr>
          <w:rFonts w:ascii="Times New Roman" w:hAnsi="Times New Roman"/>
          <w:noProof/>
          <w:sz w:val="24"/>
        </w:rPr>
      </w:pPr>
    </w:p>
    <w:p w:rsidR="00523A0A" w:rsidRPr="001973D0" w:rsidRDefault="0021579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Šajos gadījumos ieraksta</w:t>
      </w:r>
      <w:r w:rsidR="00523A0A">
        <w:rPr>
          <w:rFonts w:ascii="Times New Roman" w:hAnsi="Times New Roman"/>
          <w:noProof/>
          <w:sz w:val="24"/>
        </w:rPr>
        <w:t xml:space="preserve"> kapitāla pārvedumu, jo starp dažādajām iesaistītajām vienībām tiek pārdalīta bagātība. Tas atbilst jēdziena “citi kapitāla pārvedumi” (D.99) definīcijai, kas sniegta EKS 2010 4.164. punktā.</w:t>
      </w:r>
    </w:p>
    <w:p w:rsidR="00523A0A" w:rsidRPr="001973D0" w:rsidRDefault="0021579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Kapitāla pārvedumu ieraksta</w:t>
      </w:r>
      <w:r w:rsidR="00523A0A">
        <w:rPr>
          <w:rFonts w:ascii="Times New Roman" w:hAnsi="Times New Roman"/>
          <w:noProof/>
          <w:sz w:val="24"/>
        </w:rPr>
        <w:t xml:space="preserve"> laikā, kad notiek bagātības pārvedums. Gadījumā, ja aktīvus pārņem valdība, to var veikt brīdī, kad puses vienojas par šo operāc</w:t>
      </w:r>
      <w:r>
        <w:rPr>
          <w:rFonts w:ascii="Times New Roman" w:hAnsi="Times New Roman"/>
          <w:noProof/>
          <w:sz w:val="24"/>
        </w:rPr>
        <w:t>iju. Citos gadījumos to ieraksta</w:t>
      </w:r>
      <w:r w:rsidR="00523A0A">
        <w:rPr>
          <w:rFonts w:ascii="Times New Roman" w:hAnsi="Times New Roman"/>
          <w:noProof/>
          <w:sz w:val="24"/>
        </w:rPr>
        <w:t xml:space="preserve"> brīdī, kad valdība veic tādu summu pārvedumu, kas atbilst parāda pārņemšanai vai atcelšanai vai iepludinātajam kapitālam.</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6"/>
        <w:tabs>
          <w:tab w:val="left" w:pos="2016"/>
        </w:tabs>
        <w:jc w:val="both"/>
        <w:rPr>
          <w:rFonts w:ascii="Times New Roman" w:hAnsi="Times New Roman"/>
          <w:noProof/>
          <w:sz w:val="24"/>
        </w:rPr>
      </w:pPr>
      <w:bookmarkStart w:id="316" w:name="IV.5.3.3_Valuation_issues_for_assets_oth"/>
      <w:bookmarkEnd w:id="316"/>
      <w:r>
        <w:rPr>
          <w:rFonts w:ascii="Times New Roman" w:hAnsi="Times New Roman"/>
          <w:noProof/>
          <w:sz w:val="24"/>
        </w:rPr>
        <w:t>IV.5.3.3. Vērtības noteikšanas problēmas saistībā ar aktīviem, kas nav aizdevumi</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 xml:space="preserve">Vispārējs noteikums attiecībā uz šādu veidu aktīvu novērtēšanu nacionālajos </w:t>
      </w:r>
      <w:r w:rsidR="0021579A">
        <w:rPr>
          <w:rFonts w:ascii="Times New Roman" w:hAnsi="Times New Roman"/>
          <w:noProof/>
          <w:sz w:val="24"/>
        </w:rPr>
        <w:t>kontos paredz, ka tie jāieraksta</w:t>
      </w:r>
      <w:r>
        <w:rPr>
          <w:rFonts w:ascii="Times New Roman" w:hAnsi="Times New Roman"/>
          <w:noProof/>
          <w:sz w:val="24"/>
        </w:rPr>
        <w:t xml:space="preserve"> to tirgus vērtībā (patiesajā vērtībā), kas atbilst starptautiskajos grāmatvedības standartos (</w:t>
      </w:r>
      <w:r>
        <w:rPr>
          <w:rFonts w:ascii="Times New Roman" w:hAnsi="Times New Roman"/>
          <w:i/>
          <w:noProof/>
          <w:sz w:val="24"/>
        </w:rPr>
        <w:t>IFRS</w:t>
      </w:r>
      <w:r>
        <w:rPr>
          <w:rFonts w:ascii="Times New Roman" w:hAnsi="Times New Roman"/>
          <w:noProof/>
          <w:sz w:val="24"/>
        </w:rPr>
        <w:t xml:space="preserve">, </w:t>
      </w:r>
      <w:r>
        <w:rPr>
          <w:rFonts w:ascii="Times New Roman" w:hAnsi="Times New Roman"/>
          <w:i/>
          <w:noProof/>
          <w:sz w:val="24"/>
        </w:rPr>
        <w:t>IPSAS</w:t>
      </w:r>
      <w:r>
        <w:rPr>
          <w:rFonts w:ascii="Times New Roman" w:hAnsi="Times New Roman"/>
          <w:noProof/>
          <w:sz w:val="24"/>
        </w:rPr>
        <w:t>) noteiktam pamatprincipam. Kopumā finanšu iestādes, piemēram, bankas, var rīkoties saskaņā ar īpašiem noteikumiem, ievērojot uzraudzības noteikumus.</w:t>
      </w: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Finanšu iestāžu iekšējā grāmatvedībā dažus samazinātas vērtības aktīvus var novērtēt atbilstīgi to iegādes cenai. Citiem vārdiem sakot, šo aktīvu “uzskaites vērtība” neatbilst to tirgus vērtībai vai patiesajai vērtībai. Lai arī bankām saskaņā ar piesardzības pieeju būtu jāparedz iespējamie zaudējumi saistībā ar a</w:t>
      </w:r>
      <w:r w:rsidR="0021579A">
        <w:rPr>
          <w:rFonts w:ascii="Times New Roman" w:hAnsi="Times New Roman"/>
          <w:noProof/>
          <w:sz w:val="24"/>
        </w:rPr>
        <w:t>tsevišķiem aktīviem, ierakstot</w:t>
      </w:r>
      <w:r>
        <w:rPr>
          <w:rFonts w:ascii="Times New Roman" w:hAnsi="Times New Roman"/>
          <w:noProof/>
          <w:sz w:val="24"/>
        </w:rPr>
        <w:t xml:space="preserve"> uzkrājumus, tās bieži vien mēdz nepietiekami novērtēt šādu ietekmi un nogaidīt, cik ilgi vien tas ir iespējams, ja vien tās nav saņēmušas skaidrus rīkojumus no uzraudzības </w:t>
      </w:r>
      <w:r>
        <w:rPr>
          <w:rFonts w:ascii="Times New Roman" w:hAnsi="Times New Roman"/>
          <w:noProof/>
          <w:sz w:val="24"/>
        </w:rPr>
        <w:lastRenderedPageBreak/>
        <w:t>iestādēm.</w:t>
      </w: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Fakts, ka šādi aktīvi tiek nodoti sanācijai, nozīmē to, ka paredzamā realizācijas vērtība ir ievērojami zemāka par uzskaites vērtību. Ja tos pārved ar šādu uzskaites vērtību, n</w:t>
      </w:r>
      <w:r w:rsidR="0021579A">
        <w:rPr>
          <w:rFonts w:ascii="Times New Roman" w:hAnsi="Times New Roman"/>
          <w:noProof/>
          <w:sz w:val="24"/>
        </w:rPr>
        <w:t>acionālajos kontos ir jāieraksta</w:t>
      </w:r>
      <w:r>
        <w:rPr>
          <w:rFonts w:ascii="Times New Roman" w:hAnsi="Times New Roman"/>
          <w:noProof/>
          <w:sz w:val="24"/>
        </w:rPr>
        <w:t xml:space="preserve"> kapitāla pārvedums, lai atspoguļotu šo starpību starp uzskaites vērtību un tirgus (patieso) vērtību. Gadījumā, ja šādu vērtību nav iespējams noskaidrot, taču paredzamos zaudējumus var aprēķināt neatkarīga struktūra, pamatojoties uz parastajiem cenas noteikšanas paņēmieniem, šo aprēķināto vērtību var izmantot kā tuvinājumu starpībai starp uzskaites vērtību un tirgus vērtību.</w:t>
      </w: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Ja notiek turpmākas šo aktīvu tirgus (patiesās) cenas pārmaiņas laikā, kad šos aktīvus tur vispārējās valdības sektorā klasific</w:t>
      </w:r>
      <w:r w:rsidR="0021579A">
        <w:rPr>
          <w:rFonts w:ascii="Times New Roman" w:hAnsi="Times New Roman"/>
          <w:noProof/>
          <w:sz w:val="24"/>
        </w:rPr>
        <w:t>ētas vienības, tās ir jāieraksta</w:t>
      </w:r>
      <w:r>
        <w:rPr>
          <w:rFonts w:ascii="Times New Roman" w:hAnsi="Times New Roman"/>
          <w:noProof/>
          <w:sz w:val="24"/>
        </w:rPr>
        <w:t xml:space="preserve"> kā turēšanas guvumi/zaudējumi, kas neietekmē neto aizdevumu/aizņēmumu.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bookmarkStart w:id="317" w:name="IV.5.3.4_The_case_of_loans"/>
      <w:bookmarkEnd w:id="317"/>
      <w:r>
        <w:rPr>
          <w:rFonts w:ascii="Times New Roman" w:hAnsi="Times New Roman"/>
          <w:noProof/>
          <w:sz w:val="24"/>
        </w:rPr>
        <w:t>IV.5.3.4. Aizdevumu gadījums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Aizdevumu novērtējums ir apspriests EKS 2010 7.70. punktā. Saskaņā ar vispārēju noteikumu gan kreditor</w:t>
      </w:r>
      <w:r w:rsidR="0021579A">
        <w:rPr>
          <w:rFonts w:ascii="Times New Roman" w:hAnsi="Times New Roman"/>
          <w:noProof/>
          <w:sz w:val="24"/>
        </w:rPr>
        <w:t>u, gan debitoru bilancē ieraksta</w:t>
      </w:r>
      <w:r>
        <w:rPr>
          <w:rFonts w:ascii="Times New Roman" w:hAnsi="Times New Roman"/>
          <w:noProof/>
          <w:sz w:val="24"/>
        </w:rPr>
        <w:t xml:space="preserve"> “pamatsummas, kas debitoriem pēc līguma jāatmaksā kreditoriem pat tādos gadījumos, kad aizdevums tika tirgots ar diskontu vai prēmiju”. Šī ir nenomaksātā pamatsumma (līgumā noteiktā sākotnējā izpirkšanas vērtība). Tā ir arī summa, attiecībā uz kuru tiek uzkrāti procenti. Līdz ar to atšķirībā no uzņēmējdarbības un banku uzskaites sistēmām nacionālo kontu sistēmā jēdziens “patiesā vērtība” (jeb tirgus vērtība) netiek atzīts bilancēs attiecībā uz aizdevumiem.</w:t>
      </w:r>
    </w:p>
    <w:p w:rsidR="00523A0A" w:rsidRPr="001973D0"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EKS 2010 5.122. punktā un EKS 2010 6.58. punktā sniegti turpmāki norādījumi attiecībā uz gadījumiem, kad aizdevumus tirgo (izņēmuma kārtā) par cenu, kas atšķiras no izpirkuma vērtības. Pārdevējam</w:t>
      </w:r>
      <w:r w:rsidR="0021579A">
        <w:rPr>
          <w:rFonts w:ascii="Times New Roman" w:hAnsi="Times New Roman"/>
          <w:noProof/>
          <w:sz w:val="24"/>
        </w:rPr>
        <w:t xml:space="preserve"> un pircējam darījums jāieraksta</w:t>
      </w:r>
      <w:r>
        <w:rPr>
          <w:rFonts w:ascii="Times New Roman" w:hAnsi="Times New Roman"/>
          <w:noProof/>
          <w:sz w:val="24"/>
        </w:rPr>
        <w:t xml:space="preserve"> to finanšu kontos atbilstīgi tā faktiskajai cenai, taču attiecībā uz starpību starp darījuma vērtību u</w:t>
      </w:r>
      <w:r w:rsidR="0021579A">
        <w:rPr>
          <w:rFonts w:ascii="Times New Roman" w:hAnsi="Times New Roman"/>
          <w:noProof/>
          <w:sz w:val="24"/>
        </w:rPr>
        <w:t>n izpirkuma vērtību (ko ieraksta</w:t>
      </w:r>
      <w:r>
        <w:rPr>
          <w:rFonts w:ascii="Times New Roman" w:hAnsi="Times New Roman"/>
          <w:noProof/>
          <w:sz w:val="24"/>
        </w:rPr>
        <w:t xml:space="preserve"> bilancē) pirms (pārdevējs) un pēc (pircējs) darījuma jāizmanto pārvērtēšanas konts. Pamatojums ir tas, ka pārdošanas brīdī aktīvi uz īsu brīdi tiek uzskatīti par tirgus aktīviem.</w:t>
      </w:r>
    </w:p>
    <w:p w:rsidR="00523A0A" w:rsidRPr="000348D7" w:rsidRDefault="00523A0A" w:rsidP="00523A0A">
      <w:pPr>
        <w:pStyle w:val="BodyText"/>
        <w:numPr>
          <w:ilvl w:val="0"/>
          <w:numId w:val="57"/>
        </w:numPr>
        <w:tabs>
          <w:tab w:val="left" w:pos="1240"/>
        </w:tabs>
        <w:spacing w:before="0"/>
        <w:ind w:left="709" w:hanging="709"/>
        <w:jc w:val="both"/>
        <w:rPr>
          <w:rFonts w:ascii="Times New Roman" w:hAnsi="Times New Roman"/>
          <w:noProof/>
          <w:sz w:val="24"/>
        </w:rPr>
      </w:pPr>
      <w:r>
        <w:rPr>
          <w:rFonts w:ascii="Times New Roman" w:hAnsi="Times New Roman"/>
          <w:noProof/>
          <w:sz w:val="24"/>
        </w:rPr>
        <w:t>Finanšu sanācijas gadījumā, kad finanšu iestādes pārdod/nodod aizdevumus īpašai valdības vienībai, darījuma vērtība bieži ir vienāda ar aizdevumu izpirkuma vērtību. Tomēr ir visnotaļ pamatoti uzskatīt, ka sanācijai nodotie aizdevumi netiks atgūti iepriekš paredzētajā vērtībā. Tā kā saskaņā ar pieejamajiem pierādījumiem valdība darījumu veic tādu iemeslu dēļ, kam nav izteikts komerciāls raksturs (sk. EKS 2010 5.21. punktu), lai šajā konkrētajā gadījumā atbalstītu grūtībās nonākušo finanšu iestādi, darījuma vērtības būtu jānorāda kā aizdevumu “pašreizējās tirgus (patiesās) vērtības”, kuras nav iespējams novērot praksē. Tomēr daudzos gadījumos kā samaksātās summas un patiesās/tirgus vērtības starpības tuvinājumu var izmantot pieejamās paredzamo zaudējumu aplēses (sk. arī IV.5.3.3. apakšiedaļu). Turklāt finanšu iestāžu grāmatvedības uzskaitē (bieži vien atbilstīgi uzraudzības iestāžu norādījumiem) attiecībā uz aizdevumu portfeļiem visticamāk būs piemēroti uzkrājumi (vērtības samazinājumi). Tas var sniegt papi</w:t>
      </w:r>
      <w:r w:rsidR="0021579A">
        <w:rPr>
          <w:rFonts w:ascii="Times New Roman" w:hAnsi="Times New Roman"/>
          <w:noProof/>
          <w:sz w:val="24"/>
        </w:rPr>
        <w:t>ldu informāciju par ierakstāmā</w:t>
      </w:r>
      <w:r>
        <w:rPr>
          <w:rFonts w:ascii="Times New Roman" w:hAnsi="Times New Roman"/>
          <w:noProof/>
          <w:sz w:val="24"/>
        </w:rPr>
        <w:t xml:space="preserve"> kapitāla pārveduma iespējamo apmēru. Tomēr EKS 2010 paredz, ka uzkrājumi bezcerīgajiem parādiem sistēmā nekur neparādās (4.165. punkta f) apakšpunkts).</w:t>
      </w: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 xml:space="preserve">Turklāt gadījumā, ja, pamatojoties uz nodotajiem aktīviem, pieejama ticama informācija, ka daži aizdevumi nekad netiks atmaksāti, kapitāla pārvedums finanšu iestādei, ar kuru šie aizdevumi tiek realizēti, jāuzskaita šādu aizdevumu pilnā vērtībā. Pēc tam tie jāsvītro (jānoraksta) no saņēmējas sanācijas vienības bilances, ievērojot </w:t>
      </w:r>
      <w:r w:rsidR="0021579A">
        <w:rPr>
          <w:rFonts w:ascii="Times New Roman" w:hAnsi="Times New Roman"/>
          <w:noProof/>
          <w:sz w:val="24"/>
        </w:rPr>
        <w:t>minētos nosacījumus. To ieraksta</w:t>
      </w:r>
      <w:r>
        <w:rPr>
          <w:rFonts w:ascii="Times New Roman" w:hAnsi="Times New Roman"/>
          <w:noProof/>
          <w:sz w:val="24"/>
        </w:rPr>
        <w:t xml:space="preserve"> finanšu iestāžu kontā “Citas aktīvu apjoma pārmaiņas”.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18" w:name="IV.5.3.5_Global_assessment_of_the_treatm"/>
      <w:bookmarkEnd w:id="318"/>
      <w:r>
        <w:rPr>
          <w:rFonts w:ascii="Times New Roman" w:hAnsi="Times New Roman"/>
          <w:noProof/>
          <w:sz w:val="24"/>
        </w:rPr>
        <w:lastRenderedPageBreak/>
        <w:t>IV.5.3.5. Traktējumu vispārējs novērtējums</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Valdības veiktas sanācijas rezultātā samazinās vispārējās valdības rīcībā esošie līdzekļi. Atbilstīgi iepriekš minētajiem noteikumiem šāda situācija var rasties trīs veidos:</w:t>
      </w:r>
    </w:p>
    <w:p w:rsidR="00523A0A" w:rsidRPr="001973D0" w:rsidRDefault="00523A0A" w:rsidP="00523A0A">
      <w:pPr>
        <w:pStyle w:val="BodyText"/>
        <w:tabs>
          <w:tab w:val="left" w:pos="1160"/>
        </w:tabs>
        <w:spacing w:before="0"/>
        <w:ind w:left="0" w:firstLine="0"/>
        <w:rPr>
          <w:rFonts w:ascii="Times New Roman" w:hAnsi="Times New Roman"/>
          <w:noProof/>
          <w:sz w:val="24"/>
        </w:rPr>
      </w:pP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 xml:space="preserve">kapitāla pārvedums tiek </w:t>
      </w:r>
      <w:r w:rsidR="0021579A">
        <w:rPr>
          <w:rFonts w:ascii="Times New Roman" w:hAnsi="Times New Roman"/>
          <w:noProof/>
          <w:sz w:val="24"/>
        </w:rPr>
        <w:t>ierakstīts</w:t>
      </w:r>
      <w:r>
        <w:rPr>
          <w:rFonts w:ascii="Times New Roman" w:hAnsi="Times New Roman"/>
          <w:noProof/>
          <w:sz w:val="24"/>
        </w:rPr>
        <w:t xml:space="preserve"> laikā, kad valdības vienība nopērk attiecīgos aktīvus vai tieši sedz ar šādiem aktīviem saistītos zaudējumus: tas tieši ietekmē vispārējās valdības neto aizdevumu/aizņ</w:t>
      </w:r>
      <w:r w:rsidR="0021579A">
        <w:rPr>
          <w:rFonts w:ascii="Times New Roman" w:hAnsi="Times New Roman"/>
          <w:noProof/>
          <w:sz w:val="24"/>
        </w:rPr>
        <w:t>ēmumu brīdī, kad tiek ierakstīts</w:t>
      </w:r>
      <w:r>
        <w:rPr>
          <w:rFonts w:ascii="Times New Roman" w:hAnsi="Times New Roman"/>
          <w:noProof/>
          <w:sz w:val="24"/>
        </w:rPr>
        <w:t xml:space="preserve"> pārvedums;</w:t>
      </w:r>
    </w:p>
    <w:p w:rsidR="00523A0A" w:rsidRPr="001973D0"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valdība rīkojas, izmantojot uz savu garantiju: tas ietekmē tās neto aizdevumu/aizņēmumu garantijas izmantošanas pieprasīšanas brīdī atbilstīgi tam, kā noteikts VII.4. nodaļā “Valdības garantijas”;</w:t>
      </w:r>
    </w:p>
    <w:p w:rsidR="00523A0A" w:rsidRDefault="00523A0A" w:rsidP="00523A0A">
      <w:pPr>
        <w:pStyle w:val="BodyText"/>
        <w:numPr>
          <w:ilvl w:val="1"/>
          <w:numId w:val="57"/>
        </w:numPr>
        <w:tabs>
          <w:tab w:val="left" w:pos="1512"/>
        </w:tabs>
        <w:spacing w:before="0"/>
        <w:ind w:left="1134" w:hanging="425"/>
        <w:jc w:val="both"/>
        <w:rPr>
          <w:rFonts w:ascii="Times New Roman" w:hAnsi="Times New Roman"/>
          <w:noProof/>
          <w:sz w:val="24"/>
        </w:rPr>
      </w:pPr>
      <w:r>
        <w:rPr>
          <w:rFonts w:ascii="Times New Roman" w:hAnsi="Times New Roman"/>
          <w:noProof/>
          <w:sz w:val="24"/>
        </w:rPr>
        <w:t>valdības vienības iegādātie aktīvi ir aizdevum</w:t>
      </w:r>
      <w:r w:rsidR="0021579A">
        <w:rPr>
          <w:rFonts w:ascii="Times New Roman" w:hAnsi="Times New Roman"/>
          <w:noProof/>
          <w:sz w:val="24"/>
        </w:rPr>
        <w:t>i, kuri ir nodoti, neierakstot</w:t>
      </w:r>
      <w:r>
        <w:rPr>
          <w:rFonts w:ascii="Times New Roman" w:hAnsi="Times New Roman"/>
          <w:noProof/>
          <w:sz w:val="24"/>
        </w:rPr>
        <w:t xml:space="preserve"> kapitāla pārvedumu Tas ietekmē valdības neto aizdevumu/aizņēmumu kā citas pārmaiņas aktīvu apjomā, ja aizdevumi tiek atcelti par labu parādniekam un ja (dažos izņēmuma gadījumos) ir pierādījumi tam, ka debitors beidzis pastāvēt un nav nevienas citas vienības, kas būtu atbildīga par tā parādu.</w:t>
      </w:r>
    </w:p>
    <w:p w:rsidR="00523A0A" w:rsidRPr="001973D0" w:rsidRDefault="00523A0A" w:rsidP="00523A0A">
      <w:pPr>
        <w:pStyle w:val="BodyText"/>
        <w:tabs>
          <w:tab w:val="left" w:pos="1512"/>
        </w:tabs>
        <w:spacing w:before="0"/>
        <w:ind w:left="0" w:firstLine="0"/>
        <w:rPr>
          <w:rFonts w:ascii="Times New Roman" w:hAnsi="Times New Roman"/>
          <w:noProof/>
          <w:sz w:val="24"/>
        </w:rPr>
      </w:pPr>
    </w:p>
    <w:p w:rsidR="00523A0A" w:rsidRPr="001973D0" w:rsidRDefault="00523A0A" w:rsidP="00523A0A">
      <w:pPr>
        <w:pStyle w:val="BodyText"/>
        <w:numPr>
          <w:ilvl w:val="0"/>
          <w:numId w:val="57"/>
        </w:numPr>
        <w:tabs>
          <w:tab w:val="left" w:pos="1160"/>
        </w:tabs>
        <w:spacing w:before="0"/>
        <w:ind w:left="709" w:hanging="709"/>
        <w:jc w:val="both"/>
        <w:rPr>
          <w:rFonts w:ascii="Times New Roman" w:hAnsi="Times New Roman"/>
          <w:noProof/>
          <w:sz w:val="24"/>
        </w:rPr>
      </w:pPr>
      <w:r>
        <w:rPr>
          <w:rFonts w:ascii="Times New Roman" w:hAnsi="Times New Roman"/>
          <w:noProof/>
          <w:sz w:val="24"/>
        </w:rPr>
        <w:t>Par sanācijas procesu atbildīgo vienību klasifikācija vispārējās valdības sektorā var ietekmēt valdības parādu arī ar to saistību summu. Tādā gadījumā tā ietekmēs vispārējās valdības neto aizdevumu/aizņēmumu arī ar parāda finansēšanas izmaksām (procentiem).</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653"/>
        </w:tabs>
        <w:ind w:left="0" w:firstLine="0"/>
        <w:jc w:val="both"/>
        <w:rPr>
          <w:rFonts w:ascii="Times New Roman" w:hAnsi="Times New Roman"/>
          <w:noProof/>
          <w:u w:val="thick" w:color="000000"/>
        </w:rPr>
      </w:pPr>
      <w:bookmarkStart w:id="319" w:name="IV.5.4_Accounting_examples"/>
      <w:bookmarkEnd w:id="319"/>
      <w:r>
        <w:rPr>
          <w:rFonts w:ascii="Times New Roman" w:hAnsi="Times New Roman"/>
          <w:noProof/>
          <w:u w:val="none"/>
        </w:rPr>
        <w:t>IV.5.4. </w:t>
      </w:r>
      <w:r>
        <w:rPr>
          <w:rFonts w:ascii="Times New Roman" w:hAnsi="Times New Roman"/>
          <w:noProof/>
          <w:u w:val="thick" w:color="000000"/>
        </w:rPr>
        <w:t>Uzskaites piemēri</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Šeit sniegtajā piemērā apspriests tāds gadījums, kurā vienība, kas klasificēta vispārējās valdības sektorā, no finanšu iestādes pērk bezcerīgos aktīvus par to grāmatvedības uzskaites vērtību. Valdības pašu kapitāls finanšu iestādē nav uzrādīts.</w:t>
      </w:r>
    </w:p>
    <w:p w:rsidR="00523A0A" w:rsidRPr="001973D0" w:rsidRDefault="00523A0A" w:rsidP="00523A0A">
      <w:pPr>
        <w:pStyle w:val="Heading6"/>
        <w:jc w:val="both"/>
        <w:rPr>
          <w:rFonts w:ascii="Times New Roman" w:hAnsi="Times New Roman"/>
          <w:noProof/>
          <w:sz w:val="24"/>
        </w:rPr>
      </w:pPr>
      <w:bookmarkStart w:id="320" w:name="Setting_up_the_defeasance"/>
      <w:bookmarkEnd w:id="320"/>
      <w:r>
        <w:rPr>
          <w:rFonts w:ascii="Times New Roman" w:hAnsi="Times New Roman"/>
          <w:noProof/>
          <w:sz w:val="24"/>
        </w:rPr>
        <w:t>Sanācijas sagatavošana</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Finanšu iestādes nodod par sanāciju atbildīgajai publiskajai vienībai šādus aktīvus: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54"/>
        </w:numPr>
        <w:tabs>
          <w:tab w:val="left" w:pos="1134"/>
        </w:tabs>
        <w:spacing w:before="0"/>
        <w:ind w:left="1134"/>
        <w:jc w:val="both"/>
        <w:rPr>
          <w:rFonts w:ascii="Times New Roman" w:hAnsi="Times New Roman"/>
          <w:noProof/>
          <w:sz w:val="24"/>
        </w:rPr>
      </w:pPr>
      <w:r>
        <w:rPr>
          <w:rFonts w:ascii="Times New Roman" w:hAnsi="Times New Roman"/>
          <w:noProof/>
          <w:sz w:val="24"/>
        </w:rPr>
        <w:t>vērtspapīrus/akcijas, kuru grāmatvedības uzskaites vērtība ir 40 naudas vienības un tirgus vērtība ir 25 naudas vienības (vērtība sākuma bilancē);</w:t>
      </w:r>
    </w:p>
    <w:p w:rsidR="00523A0A" w:rsidRPr="00387EDF" w:rsidRDefault="00523A0A" w:rsidP="00523A0A">
      <w:pPr>
        <w:pStyle w:val="BodyText"/>
        <w:numPr>
          <w:ilvl w:val="0"/>
          <w:numId w:val="54"/>
        </w:numPr>
        <w:tabs>
          <w:tab w:val="left" w:pos="1134"/>
        </w:tabs>
        <w:spacing w:before="0"/>
        <w:ind w:left="1134"/>
        <w:jc w:val="both"/>
        <w:rPr>
          <w:rFonts w:ascii="Times New Roman" w:hAnsi="Times New Roman"/>
          <w:noProof/>
          <w:sz w:val="24"/>
        </w:rPr>
      </w:pPr>
      <w:r>
        <w:rPr>
          <w:rFonts w:ascii="Times New Roman" w:hAnsi="Times New Roman"/>
          <w:noProof/>
          <w:sz w:val="24"/>
        </w:rPr>
        <w:t>ēkas, kuru grāmatvedības uzskaites vērtība ir 10 naudas vienības un tirgus vērtība ir 5 naudas vienības (sākuma bilancē);</w:t>
      </w:r>
    </w:p>
    <w:p w:rsidR="00523A0A" w:rsidRDefault="00523A0A" w:rsidP="00523A0A">
      <w:pPr>
        <w:pStyle w:val="BodyText"/>
        <w:numPr>
          <w:ilvl w:val="0"/>
          <w:numId w:val="54"/>
        </w:numPr>
        <w:tabs>
          <w:tab w:val="left" w:pos="1134"/>
        </w:tabs>
        <w:spacing w:before="0"/>
        <w:ind w:left="1134"/>
        <w:jc w:val="both"/>
        <w:rPr>
          <w:rFonts w:ascii="Times New Roman" w:hAnsi="Times New Roman"/>
          <w:noProof/>
          <w:sz w:val="24"/>
        </w:rPr>
      </w:pPr>
      <w:r>
        <w:rPr>
          <w:rFonts w:ascii="Times New Roman" w:hAnsi="Times New Roman"/>
          <w:noProof/>
          <w:sz w:val="24"/>
        </w:rPr>
        <w:t>aizdevumus, kuru izpirkuma vērtība ir 50 naudas vienības (sākuma bilancē): gada laikā un sanācijas sagatavošanas laikā dažus aizdevumus, kuru summa ir 10 naudas vienības, uzskata par neatgūstamiem.</w:t>
      </w:r>
    </w:p>
    <w:p w:rsidR="00523A0A" w:rsidRPr="00387EDF" w:rsidRDefault="00523A0A" w:rsidP="00523A0A">
      <w:pPr>
        <w:pStyle w:val="BodyText"/>
        <w:tabs>
          <w:tab w:val="left" w:pos="1228"/>
        </w:tabs>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Tā kā šo aktīvu grāmatvedības uzskaites vērtība ir 100 naudas vienības (10+40+50) un tirgus vērtība ir nokritusies līdz 70 naudas vienībām (5+25+40)</w:t>
      </w:r>
      <w:r w:rsidR="0021579A">
        <w:rPr>
          <w:rFonts w:ascii="Times New Roman" w:hAnsi="Times New Roman"/>
          <w:noProof/>
          <w:sz w:val="24"/>
        </w:rPr>
        <w:t>, tiek ierakstīts</w:t>
      </w:r>
      <w:r>
        <w:rPr>
          <w:rFonts w:ascii="Times New Roman" w:hAnsi="Times New Roman"/>
          <w:noProof/>
          <w:sz w:val="24"/>
        </w:rPr>
        <w:t xml:space="preserve"> kapitāla pārvedums par 30 naudas vienībām. Pieņem, ka valdības vienība ir aizņēmusies visus savus finanšu līdzekļus.</w:t>
      </w:r>
    </w:p>
    <w:p w:rsidR="00523A0A" w:rsidRPr="001973D0" w:rsidRDefault="00523A0A" w:rsidP="00523A0A">
      <w:pPr>
        <w:jc w:val="both"/>
        <w:rPr>
          <w:rFonts w:ascii="Times New Roman" w:eastAsia="Arial" w:hAnsi="Times New Roman" w:cs="Arial"/>
          <w:noProof/>
          <w:sz w:val="24"/>
          <w:szCs w:val="20"/>
        </w:rPr>
      </w:pPr>
    </w:p>
    <w:p w:rsidR="00523A0A" w:rsidRPr="001973D0" w:rsidRDefault="00B56A78" w:rsidP="00523A0A">
      <w:pPr>
        <w:jc w:val="both"/>
        <w:rPr>
          <w:rFonts w:ascii="Times New Roman" w:eastAsia="Calibri" w:hAnsi="Times New Roman" w:cs="Calibri"/>
          <w:noProof/>
          <w:sz w:val="24"/>
          <w:szCs w:val="20"/>
        </w:rPr>
      </w:pPr>
      <w:r w:rsidRPr="00B56A78">
        <w:rPr>
          <w:rFonts w:ascii="Times New Roman" w:eastAsia="Arial" w:hAnsi="Times New Roman" w:cs="Arial"/>
          <w:noProof/>
          <w:sz w:val="24"/>
          <w:szCs w:val="20"/>
          <w:lang w:bidi="ar-SA"/>
        </w:rPr>
        <w:lastRenderedPageBreak/>
        <w:drawing>
          <wp:inline distT="0" distB="0" distL="0" distR="0">
            <wp:extent cx="5760085" cy="60477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0085" cy="6047740"/>
                    </a:xfrm>
                    <a:prstGeom prst="rect">
                      <a:avLst/>
                    </a:prstGeom>
                    <a:noFill/>
                    <a:ln>
                      <a:noFill/>
                    </a:ln>
                  </pic:spPr>
                </pic:pic>
              </a:graphicData>
            </a:graphic>
          </wp:inline>
        </w:drawing>
      </w:r>
      <w:r w:rsidR="0025677E" w:rsidRPr="0025677E">
        <w:rPr>
          <w:rFonts w:ascii="Times New Roman" w:eastAsia="Calibri" w:hAnsi="Times New Roman" w:cs="Calibri"/>
          <w:noProof/>
          <w:sz w:val="24"/>
          <w:szCs w:val="20"/>
          <w:lang w:bidi="ar-SA"/>
        </w:rPr>
        <w:drawing>
          <wp:inline distT="0" distB="0" distL="0" distR="0">
            <wp:extent cx="5760085" cy="1575123"/>
            <wp:effectExtent l="0" t="0" r="0" b="635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085" cy="1575123"/>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17"/>
        </w:rPr>
      </w:pPr>
    </w:p>
    <w:p w:rsidR="00523A0A" w:rsidRPr="001973D0" w:rsidRDefault="00523A0A" w:rsidP="00523A0A">
      <w:pPr>
        <w:pStyle w:val="Heading6"/>
        <w:jc w:val="both"/>
        <w:rPr>
          <w:rFonts w:ascii="Times New Roman" w:hAnsi="Times New Roman"/>
          <w:noProof/>
          <w:sz w:val="24"/>
        </w:rPr>
      </w:pPr>
      <w:bookmarkStart w:id="321" w:name="Management_of_the_defeasance"/>
      <w:bookmarkEnd w:id="321"/>
      <w:r>
        <w:rPr>
          <w:rFonts w:ascii="Times New Roman" w:hAnsi="Times New Roman"/>
          <w:noProof/>
          <w:sz w:val="24"/>
        </w:rPr>
        <w:t>Sanācijas pārvaldība</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No sanācijas sākuma līdz brīdim, kad tiek likvidēta par aktīvu pārvaldību atbildīgā vienība, veic šādus pasākumus: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53"/>
        </w:numPr>
        <w:tabs>
          <w:tab w:val="left" w:pos="1228"/>
        </w:tabs>
        <w:spacing w:before="0"/>
        <w:ind w:left="709" w:hanging="709"/>
        <w:jc w:val="both"/>
        <w:rPr>
          <w:rFonts w:ascii="Times New Roman" w:hAnsi="Times New Roman"/>
          <w:noProof/>
          <w:sz w:val="24"/>
        </w:rPr>
      </w:pPr>
      <w:r>
        <w:rPr>
          <w:rFonts w:ascii="Times New Roman" w:hAnsi="Times New Roman"/>
          <w:noProof/>
          <w:sz w:val="24"/>
        </w:rPr>
        <w:t>vērtspapīrus pārdod par 30 naudas vienībām;</w:t>
      </w:r>
    </w:p>
    <w:p w:rsidR="00523A0A" w:rsidRPr="001973D0" w:rsidRDefault="00523A0A" w:rsidP="00523A0A">
      <w:pPr>
        <w:pStyle w:val="BodyText"/>
        <w:numPr>
          <w:ilvl w:val="0"/>
          <w:numId w:val="53"/>
        </w:numPr>
        <w:tabs>
          <w:tab w:val="left" w:pos="1228"/>
        </w:tabs>
        <w:spacing w:before="0"/>
        <w:ind w:left="709" w:hanging="709"/>
        <w:jc w:val="both"/>
        <w:rPr>
          <w:rFonts w:ascii="Times New Roman" w:hAnsi="Times New Roman"/>
          <w:noProof/>
          <w:sz w:val="24"/>
        </w:rPr>
      </w:pPr>
      <w:r>
        <w:rPr>
          <w:rFonts w:ascii="Times New Roman" w:hAnsi="Times New Roman"/>
          <w:noProof/>
          <w:sz w:val="24"/>
        </w:rPr>
        <w:t>ēkas pārdod par 8 naudas vienībām;</w:t>
      </w:r>
    </w:p>
    <w:p w:rsidR="00523A0A" w:rsidRPr="001973D0" w:rsidRDefault="00523A0A" w:rsidP="00523A0A">
      <w:pPr>
        <w:pStyle w:val="BodyText"/>
        <w:numPr>
          <w:ilvl w:val="0"/>
          <w:numId w:val="53"/>
        </w:numPr>
        <w:tabs>
          <w:tab w:val="left" w:pos="1228"/>
        </w:tabs>
        <w:spacing w:before="0"/>
        <w:ind w:left="709" w:hanging="709"/>
        <w:jc w:val="both"/>
        <w:rPr>
          <w:rFonts w:ascii="Times New Roman" w:hAnsi="Times New Roman"/>
          <w:noProof/>
          <w:sz w:val="24"/>
        </w:rPr>
      </w:pPr>
      <w:r>
        <w:rPr>
          <w:rFonts w:ascii="Times New Roman" w:hAnsi="Times New Roman"/>
          <w:noProof/>
          <w:sz w:val="24"/>
        </w:rPr>
        <w:lastRenderedPageBreak/>
        <w:t>no kopējās aizdevumu summas (40 naudas vienības): 30 naudas vienības noslēgumā tiek atmaksātas, 6 tiek norakstītas un 4 – atceltas saskaņā ar savstarpēju vienošanos.</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Atmaksu, ko vienība veica par iegūto aizdevumu, kā arī procentu maksājumus neuzrāda.</w:t>
      </w:r>
    </w:p>
    <w:p w:rsidR="00523A0A" w:rsidRPr="001973D0" w:rsidRDefault="00523A0A" w:rsidP="00523A0A">
      <w:pPr>
        <w:jc w:val="both"/>
        <w:rPr>
          <w:rFonts w:ascii="Times New Roman" w:eastAsia="Arial" w:hAnsi="Times New Roman" w:cs="Arial"/>
          <w:noProof/>
          <w:sz w:val="24"/>
          <w:szCs w:val="20"/>
        </w:rPr>
      </w:pPr>
    </w:p>
    <w:p w:rsidR="00523A0A" w:rsidRPr="001973D0" w:rsidRDefault="005A191D" w:rsidP="00523A0A">
      <w:pPr>
        <w:jc w:val="center"/>
        <w:rPr>
          <w:rFonts w:ascii="Times New Roman" w:eastAsia="Arial" w:hAnsi="Times New Roman" w:cs="Arial"/>
          <w:noProof/>
          <w:sz w:val="24"/>
          <w:szCs w:val="21"/>
        </w:rPr>
      </w:pPr>
      <w:r w:rsidRPr="005A191D">
        <w:rPr>
          <w:rFonts w:ascii="Times New Roman" w:eastAsia="Arial" w:hAnsi="Times New Roman" w:cs="Arial"/>
          <w:noProof/>
          <w:sz w:val="24"/>
          <w:szCs w:val="21"/>
          <w:lang w:bidi="ar-SA"/>
        </w:rPr>
        <w:drawing>
          <wp:inline distT="0" distB="0" distL="0" distR="0">
            <wp:extent cx="3498215" cy="5358765"/>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498215" cy="5358765"/>
                    </a:xfrm>
                    <a:prstGeom prst="rect">
                      <a:avLst/>
                    </a:prstGeom>
                    <a:noFill/>
                    <a:ln>
                      <a:noFill/>
                    </a:ln>
                  </pic:spPr>
                </pic:pic>
              </a:graphicData>
            </a:graphic>
          </wp:inline>
        </w:drawing>
      </w:r>
    </w:p>
    <w:p w:rsidR="00523A0A" w:rsidRDefault="0025677E" w:rsidP="00523A0A">
      <w:pPr>
        <w:jc w:val="center"/>
        <w:rPr>
          <w:rFonts w:ascii="Times New Roman" w:eastAsia="Arial" w:hAnsi="Times New Roman" w:cs="Arial"/>
          <w:noProof/>
          <w:sz w:val="24"/>
          <w:szCs w:val="20"/>
        </w:rPr>
      </w:pPr>
      <w:r w:rsidRPr="0025677E">
        <w:rPr>
          <w:rFonts w:ascii="Times New Roman" w:eastAsia="Arial" w:hAnsi="Times New Roman" w:cs="Arial"/>
          <w:noProof/>
          <w:sz w:val="24"/>
          <w:szCs w:val="20"/>
          <w:lang w:bidi="ar-SA"/>
        </w:rPr>
        <w:lastRenderedPageBreak/>
        <w:drawing>
          <wp:inline distT="0" distB="0" distL="0" distR="0">
            <wp:extent cx="3574415" cy="4572000"/>
            <wp:effectExtent l="0" t="0" r="698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74415" cy="4572000"/>
                    </a:xfrm>
                    <a:prstGeom prst="rect">
                      <a:avLst/>
                    </a:prstGeom>
                    <a:noFill/>
                    <a:ln>
                      <a:noFill/>
                    </a:ln>
                  </pic:spPr>
                </pic:pic>
              </a:graphicData>
            </a:graphic>
          </wp:inline>
        </w:drawing>
      </w:r>
    </w:p>
    <w:p w:rsidR="00523A0A" w:rsidRDefault="00523A0A" w:rsidP="00523A0A">
      <w:pPr>
        <w:tabs>
          <w:tab w:val="left" w:pos="2055"/>
        </w:tabs>
        <w:jc w:val="both"/>
        <w:rPr>
          <w:rFonts w:ascii="Times New Roman" w:eastAsia="Arial" w:hAnsi="Times New Roman" w:cs="Arial"/>
          <w:noProof/>
          <w:sz w:val="24"/>
          <w:szCs w:val="20"/>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Šajā piemērā valdība uzņemas risku un kompensē finanšu iestāžu turētos problemātiskos aktīvus (“ekonomisko īpašumtiesību” gadījums).</w:t>
      </w:r>
    </w:p>
    <w:p w:rsidR="00523A0A" w:rsidRPr="001973D0" w:rsidRDefault="00523A0A" w:rsidP="00523A0A">
      <w:pPr>
        <w:tabs>
          <w:tab w:val="left" w:pos="6315"/>
        </w:tabs>
        <w:jc w:val="both"/>
        <w:rPr>
          <w:rFonts w:ascii="Times New Roman" w:eastAsia="Arial" w:hAnsi="Times New Roman" w:cs="Arial"/>
          <w:noProof/>
          <w:sz w:val="24"/>
          <w:szCs w:val="32"/>
        </w:rPr>
      </w:pPr>
    </w:p>
    <w:p w:rsidR="00523A0A" w:rsidRPr="001973D0" w:rsidRDefault="00523A0A" w:rsidP="00523A0A">
      <w:pPr>
        <w:pStyle w:val="BodyText"/>
        <w:tabs>
          <w:tab w:val="left" w:pos="1307"/>
        </w:tabs>
        <w:spacing w:before="0"/>
        <w:ind w:left="0" w:firstLine="0"/>
        <w:jc w:val="both"/>
        <w:rPr>
          <w:rFonts w:ascii="Times New Roman" w:hAnsi="Times New Roman"/>
          <w:noProof/>
          <w:sz w:val="24"/>
        </w:rPr>
      </w:pPr>
      <w:r>
        <w:rPr>
          <w:rFonts w:ascii="Times New Roman" w:hAnsi="Times New Roman"/>
          <w:noProof/>
          <w:sz w:val="24"/>
        </w:rPr>
        <w:t>1. Problemātisko aktīvu uzskaites vērtība ir 50 naudas vienības, proti, tā ir vienāda ar aktīvu tirgus/patieso vērtību.</w:t>
      </w:r>
    </w:p>
    <w:p w:rsidR="00523A0A" w:rsidRDefault="00523A0A" w:rsidP="00523A0A">
      <w:pPr>
        <w:jc w:val="both"/>
        <w:rPr>
          <w:rFonts w:ascii="Times New Roman" w:eastAsia="Arial" w:hAnsi="Times New Roman" w:cs="Arial"/>
          <w:noProof/>
          <w:sz w:val="24"/>
          <w:szCs w:val="26"/>
        </w:rPr>
      </w:pPr>
    </w:p>
    <w:p w:rsidR="00523A0A" w:rsidRDefault="00AB5F24" w:rsidP="00523A0A">
      <w:pPr>
        <w:jc w:val="both"/>
        <w:rPr>
          <w:rFonts w:ascii="Times New Roman" w:eastAsia="Arial" w:hAnsi="Times New Roman" w:cs="Arial"/>
          <w:noProof/>
          <w:sz w:val="24"/>
          <w:szCs w:val="26"/>
        </w:rPr>
      </w:pPr>
      <w:r w:rsidRPr="00AB5F24">
        <w:rPr>
          <w:rFonts w:ascii="Times New Roman" w:eastAsia="Arial" w:hAnsi="Times New Roman" w:cs="Arial"/>
          <w:noProof/>
          <w:sz w:val="24"/>
          <w:szCs w:val="26"/>
          <w:lang w:bidi="ar-SA"/>
        </w:rPr>
        <w:lastRenderedPageBreak/>
        <w:drawing>
          <wp:inline distT="0" distB="0" distL="0" distR="0">
            <wp:extent cx="5760085" cy="3536770"/>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0085" cy="3536770"/>
                    </a:xfrm>
                    <a:prstGeom prst="rect">
                      <a:avLst/>
                    </a:prstGeom>
                    <a:noFill/>
                    <a:ln>
                      <a:noFill/>
                    </a:ln>
                  </pic:spPr>
                </pic:pic>
              </a:graphicData>
            </a:graphic>
          </wp:inline>
        </w:drawing>
      </w:r>
      <w:r w:rsidR="0025677E" w:rsidRPr="0025677E">
        <w:rPr>
          <w:rFonts w:ascii="Times New Roman" w:eastAsia="Arial" w:hAnsi="Times New Roman" w:cs="Arial"/>
          <w:noProof/>
          <w:sz w:val="24"/>
          <w:szCs w:val="26"/>
          <w:lang w:bidi="ar-SA"/>
        </w:rPr>
        <w:drawing>
          <wp:inline distT="0" distB="0" distL="0" distR="0">
            <wp:extent cx="5760085" cy="2276201"/>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0085" cy="2276201"/>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noProof/>
          <w:sz w:val="24"/>
          <w:szCs w:val="26"/>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2.a) Problemātiskie aktīvi tiek segti no valdības atbalsta shēmas (riski un priekšrocības) 50 naudas vienību apmērā, taču to tirgus/patiesā vērtība tiek novērtēta ar 40 naudas vienībām, ko apliecina ieraksts finanšu iestādes bilancē.</w:t>
      </w:r>
    </w:p>
    <w:p w:rsidR="00523A0A" w:rsidRPr="001973D0" w:rsidRDefault="00523A0A" w:rsidP="00523A0A">
      <w:pPr>
        <w:jc w:val="both"/>
        <w:rPr>
          <w:rFonts w:ascii="Times New Roman" w:eastAsia="Arial" w:hAnsi="Times New Roman" w:cs="Arial"/>
          <w:noProof/>
          <w:sz w:val="24"/>
          <w:szCs w:val="20"/>
        </w:rPr>
      </w:pPr>
    </w:p>
    <w:p w:rsidR="00523A0A" w:rsidRPr="001973D0" w:rsidRDefault="00AB5F24" w:rsidP="00523A0A">
      <w:pPr>
        <w:jc w:val="both"/>
        <w:rPr>
          <w:rFonts w:ascii="Times New Roman" w:eastAsia="Arial" w:hAnsi="Times New Roman" w:cs="Arial"/>
          <w:noProof/>
          <w:sz w:val="24"/>
          <w:szCs w:val="12"/>
        </w:rPr>
      </w:pPr>
      <w:r w:rsidRPr="00AB5F24">
        <w:rPr>
          <w:rFonts w:ascii="Times New Roman" w:eastAsia="Arial" w:hAnsi="Times New Roman" w:cs="Arial"/>
          <w:noProof/>
          <w:sz w:val="24"/>
          <w:szCs w:val="12"/>
          <w:lang w:bidi="ar-SA"/>
        </w:rPr>
        <w:lastRenderedPageBreak/>
        <w:drawing>
          <wp:inline distT="0" distB="0" distL="0" distR="0">
            <wp:extent cx="5760085" cy="58000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0085" cy="5800098"/>
                    </a:xfrm>
                    <a:prstGeom prst="rect">
                      <a:avLst/>
                    </a:prstGeom>
                    <a:noFill/>
                    <a:ln>
                      <a:noFill/>
                    </a:ln>
                  </pic:spPr>
                </pic:pic>
              </a:graphicData>
            </a:graphic>
          </wp:inline>
        </w:drawing>
      </w:r>
    </w:p>
    <w:p w:rsidR="00523A0A" w:rsidRPr="001973D0" w:rsidRDefault="0025677E" w:rsidP="00523A0A">
      <w:pPr>
        <w:jc w:val="both"/>
        <w:rPr>
          <w:rFonts w:ascii="Times New Roman" w:eastAsia="Calibri" w:hAnsi="Times New Roman" w:cs="Calibri"/>
          <w:b/>
          <w:bCs/>
          <w:noProof/>
          <w:sz w:val="24"/>
          <w:szCs w:val="20"/>
        </w:rPr>
      </w:pPr>
      <w:r w:rsidRPr="0025677E">
        <w:rPr>
          <w:rFonts w:ascii="Times New Roman" w:eastAsia="Calibri" w:hAnsi="Times New Roman" w:cs="Calibri"/>
          <w:b/>
          <w:bCs/>
          <w:noProof/>
          <w:sz w:val="24"/>
          <w:szCs w:val="20"/>
          <w:lang w:bidi="ar-SA"/>
        </w:rPr>
        <w:drawing>
          <wp:inline distT="0" distB="0" distL="0" distR="0">
            <wp:extent cx="5760085" cy="1127378"/>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085" cy="1127378"/>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29"/>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2.b) </w:t>
      </w:r>
      <w:r w:rsidR="0021579A">
        <w:rPr>
          <w:rFonts w:ascii="Times New Roman" w:hAnsi="Times New Roman"/>
          <w:noProof/>
          <w:sz w:val="24"/>
        </w:rPr>
        <w:t>Valdības bilancē tiek ierakstīti</w:t>
      </w:r>
      <w:r>
        <w:rPr>
          <w:rFonts w:ascii="Times New Roman" w:hAnsi="Times New Roman"/>
          <w:noProof/>
          <w:sz w:val="24"/>
        </w:rPr>
        <w:t xml:space="preserve"> aktīvu turēšanas zaudējumi 10 vienību apmērā. Valdībai ir jāpārskaita 10 naudas vienības finanšu iestādei (piemēram, finansējot tos no aizdevuma, kas saņemts tirgū, emitējot parāda vērtspapīrus).</w:t>
      </w:r>
    </w:p>
    <w:p w:rsidR="00523A0A" w:rsidRPr="001973D0" w:rsidRDefault="00523A0A" w:rsidP="00523A0A">
      <w:pPr>
        <w:jc w:val="both"/>
        <w:rPr>
          <w:rFonts w:ascii="Times New Roman" w:eastAsia="Arial" w:hAnsi="Times New Roman" w:cs="Arial"/>
          <w:noProof/>
          <w:sz w:val="24"/>
          <w:szCs w:val="20"/>
        </w:rPr>
      </w:pPr>
    </w:p>
    <w:p w:rsidR="00523A0A" w:rsidRPr="001973D0" w:rsidRDefault="00AB5F24" w:rsidP="00523A0A">
      <w:pPr>
        <w:jc w:val="both"/>
        <w:rPr>
          <w:rFonts w:ascii="Times New Roman" w:eastAsia="Arial" w:hAnsi="Times New Roman" w:cs="Arial"/>
          <w:noProof/>
          <w:sz w:val="24"/>
          <w:szCs w:val="20"/>
        </w:rPr>
      </w:pPr>
      <w:r w:rsidRPr="00AB5F24">
        <w:rPr>
          <w:rFonts w:ascii="Times New Roman" w:eastAsia="Arial" w:hAnsi="Times New Roman" w:cs="Arial"/>
          <w:noProof/>
          <w:sz w:val="24"/>
          <w:szCs w:val="20"/>
          <w:lang w:bidi="ar-SA"/>
        </w:rPr>
        <w:lastRenderedPageBreak/>
        <w:drawing>
          <wp:inline distT="0" distB="0" distL="0" distR="0">
            <wp:extent cx="5760085" cy="5995669"/>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0085" cy="5995669"/>
                    </a:xfrm>
                    <a:prstGeom prst="rect">
                      <a:avLst/>
                    </a:prstGeom>
                    <a:noFill/>
                    <a:ln>
                      <a:noFill/>
                    </a:ln>
                  </pic:spPr>
                </pic:pic>
              </a:graphicData>
            </a:graphic>
          </wp:inline>
        </w:drawing>
      </w:r>
    </w:p>
    <w:p w:rsidR="00523A0A" w:rsidRDefault="0025677E" w:rsidP="00523A0A">
      <w:pPr>
        <w:pStyle w:val="BodyText"/>
        <w:spacing w:before="0"/>
        <w:ind w:left="0" w:firstLine="0"/>
        <w:jc w:val="both"/>
        <w:rPr>
          <w:rFonts w:ascii="Times New Roman" w:hAnsi="Times New Roman"/>
          <w:noProof/>
          <w:sz w:val="24"/>
        </w:rPr>
      </w:pPr>
      <w:r w:rsidRPr="0025677E">
        <w:rPr>
          <w:rFonts w:ascii="Times New Roman" w:hAnsi="Times New Roman"/>
          <w:noProof/>
          <w:sz w:val="24"/>
          <w:lang w:bidi="ar-SA"/>
        </w:rPr>
        <w:drawing>
          <wp:inline distT="0" distB="0" distL="0" distR="0">
            <wp:extent cx="5760085" cy="11886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0085" cy="1188675"/>
                    </a:xfrm>
                    <a:prstGeom prst="rect">
                      <a:avLst/>
                    </a:prstGeom>
                    <a:noFill/>
                    <a:ln>
                      <a:noFill/>
                    </a:ln>
                  </pic:spPr>
                </pic:pic>
              </a:graphicData>
            </a:graphic>
          </wp:inline>
        </w:drawing>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2.c) Aktīvu darbības termiņa beigās galīgais aktīvu turēšanas guvums ir 5 naudas vienības (valdība saņem 35 naudas vienības, nevis 30 naudas vienības). Valdība aizņemas tirgū 5 naudas vienības (piemēram, emitējot parāda vērtspapīrus), lai atmaksātu aizdevumu 40 naudas vienību apmērā.</w:t>
      </w:r>
    </w:p>
    <w:p w:rsidR="00523A0A" w:rsidRPr="001973D0" w:rsidRDefault="00523A0A" w:rsidP="00523A0A">
      <w:pPr>
        <w:jc w:val="both"/>
        <w:rPr>
          <w:rFonts w:ascii="Times New Roman" w:eastAsia="Calibri" w:hAnsi="Times New Roman" w:cs="Calibri"/>
          <w:noProof/>
          <w:sz w:val="24"/>
          <w:szCs w:val="20"/>
        </w:rPr>
      </w:pP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lastRenderedPageBreak/>
        <w:drawing>
          <wp:inline distT="0" distB="0" distL="0" distR="0">
            <wp:extent cx="5760085" cy="6536858"/>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085" cy="6536858"/>
                    </a:xfrm>
                    <a:prstGeom prst="rect">
                      <a:avLst/>
                    </a:prstGeom>
                    <a:noFill/>
                    <a:ln>
                      <a:noFill/>
                    </a:ln>
                  </pic:spPr>
                </pic:pic>
              </a:graphicData>
            </a:graphic>
          </wp:inline>
        </w:drawing>
      </w:r>
    </w:p>
    <w:p w:rsidR="00523A0A" w:rsidRDefault="00523A0A" w:rsidP="00523A0A">
      <w:pPr>
        <w:rPr>
          <w:rFonts w:ascii="Times New Roman" w:eastAsia="Calibri" w:hAnsi="Times New Roman" w:cs="Calibri"/>
          <w:noProof/>
          <w:sz w:val="24"/>
          <w:szCs w:val="20"/>
        </w:rPr>
      </w:pPr>
      <w:r>
        <w:br w:type="page"/>
      </w:r>
    </w:p>
    <w:p w:rsidR="00523A0A" w:rsidRDefault="00523A0A" w:rsidP="00AB5F24">
      <w:pPr>
        <w:pStyle w:val="Heading2"/>
        <w:rPr>
          <w:noProof/>
        </w:rPr>
      </w:pPr>
      <w:bookmarkStart w:id="322" w:name="IV.6_Capital_increases_in_multilateral_d"/>
      <w:bookmarkStart w:id="323" w:name="_bookmark36"/>
      <w:bookmarkStart w:id="324" w:name="_Toc471135902"/>
      <w:bookmarkEnd w:id="322"/>
      <w:bookmarkEnd w:id="323"/>
      <w:r>
        <w:rPr>
          <w:noProof/>
        </w:rPr>
        <w:lastRenderedPageBreak/>
        <w:t>IV.6. Kapitāla pieaugums daudzpusējās attīstības bankās</w:t>
      </w:r>
      <w:bookmarkEnd w:id="324"/>
    </w:p>
    <w:p w:rsidR="00523A0A" w:rsidRPr="001973D0" w:rsidRDefault="00523A0A" w:rsidP="00523A0A">
      <w:pPr>
        <w:tabs>
          <w:tab w:val="left" w:pos="1592"/>
        </w:tabs>
        <w:jc w:val="both"/>
        <w:rPr>
          <w:rFonts w:ascii="Times New Roman" w:hAnsi="Times New Roman"/>
          <w:b/>
          <w:noProof/>
          <w:sz w:val="24"/>
        </w:rPr>
      </w:pPr>
    </w:p>
    <w:p w:rsidR="00523A0A" w:rsidRDefault="00523A0A" w:rsidP="00523A0A">
      <w:pPr>
        <w:pStyle w:val="Heading4"/>
        <w:tabs>
          <w:tab w:val="left" w:pos="1618"/>
        </w:tabs>
        <w:ind w:left="0" w:firstLine="0"/>
        <w:jc w:val="both"/>
        <w:rPr>
          <w:rFonts w:ascii="Times New Roman" w:hAnsi="Times New Roman"/>
          <w:noProof/>
          <w:u w:val="thick" w:color="000000"/>
        </w:rPr>
      </w:pPr>
      <w:r>
        <w:rPr>
          <w:rFonts w:ascii="Times New Roman" w:hAnsi="Times New Roman"/>
          <w:noProof/>
          <w:u w:val="none"/>
        </w:rPr>
        <w:t>IV.6.1. </w:t>
      </w:r>
      <w:r>
        <w:rPr>
          <w:rFonts w:ascii="Times New Roman" w:hAnsi="Times New Roman"/>
          <w:noProof/>
          <w:u w:val="thick" w:color="000000"/>
        </w:rPr>
        <w:t>Vispārēja informācija</w:t>
      </w:r>
    </w:p>
    <w:p w:rsidR="00523A0A" w:rsidRPr="001973D0" w:rsidRDefault="00523A0A" w:rsidP="00523A0A">
      <w:pPr>
        <w:pStyle w:val="Heading4"/>
        <w:tabs>
          <w:tab w:val="left" w:pos="1618"/>
        </w:tabs>
        <w:ind w:left="0" w:firstLine="0"/>
        <w:jc w:val="both"/>
        <w:rPr>
          <w:rFonts w:ascii="Times New Roman" w:hAnsi="Times New Roman"/>
          <w:noProof/>
          <w:u w:val="thick" w:color="000000"/>
        </w:rPr>
      </w:pPr>
    </w:p>
    <w:p w:rsidR="00523A0A"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Daudzpusējas attīstības bankas ir iestādes, kas sniedz finanšu atbalstu un profesionālus ieteikumus attiecībā uz ekonomiskās un sociālās attīstības pasākumiem attīstības valstīs. Terminu “daudzpusējās attīstības bankas” (DAB) parasti attiecina uz Pasaules Bankas grupu (jo īpaši uz Starptautisko rekonstrukcijas un attīstības banku (</w:t>
      </w:r>
      <w:r>
        <w:rPr>
          <w:rFonts w:ascii="Times New Roman" w:hAnsi="Times New Roman"/>
          <w:i/>
          <w:noProof/>
          <w:sz w:val="24"/>
        </w:rPr>
        <w:t>IBRD</w:t>
      </w:r>
      <w:r>
        <w:rPr>
          <w:rFonts w:ascii="Times New Roman" w:hAnsi="Times New Roman"/>
          <w:noProof/>
          <w:sz w:val="24"/>
        </w:rPr>
        <w:t>) un Starptautisko attīstības aģentūru (</w:t>
      </w:r>
      <w:r>
        <w:rPr>
          <w:rFonts w:ascii="Times New Roman" w:hAnsi="Times New Roman"/>
          <w:i/>
          <w:noProof/>
          <w:sz w:val="24"/>
        </w:rPr>
        <w:t>IDA</w:t>
      </w:r>
      <w:r>
        <w:rPr>
          <w:rFonts w:ascii="Times New Roman" w:hAnsi="Times New Roman"/>
          <w:noProof/>
          <w:sz w:val="24"/>
        </w:rPr>
        <w:t>)) un četrām reģionālās attīstības bankām:</w:t>
      </w:r>
    </w:p>
    <w:p w:rsidR="00523A0A" w:rsidRPr="001973D0" w:rsidRDefault="00523A0A" w:rsidP="00523A0A">
      <w:pPr>
        <w:pStyle w:val="BodyText"/>
        <w:tabs>
          <w:tab w:val="left" w:pos="1242"/>
        </w:tabs>
        <w:spacing w:before="0"/>
        <w:ind w:left="0" w:firstLine="0"/>
        <w:rPr>
          <w:rFonts w:ascii="Times New Roman" w:hAnsi="Times New Roman"/>
          <w:noProof/>
          <w:sz w:val="24"/>
        </w:rPr>
      </w:pPr>
    </w:p>
    <w:p w:rsidR="00523A0A" w:rsidRPr="001973D0" w:rsidRDefault="00523A0A" w:rsidP="00523A0A">
      <w:pPr>
        <w:pStyle w:val="BodyText"/>
        <w:numPr>
          <w:ilvl w:val="1"/>
          <w:numId w:val="52"/>
        </w:numPr>
        <w:tabs>
          <w:tab w:val="left" w:pos="1592"/>
        </w:tabs>
        <w:spacing w:before="0"/>
        <w:ind w:left="1134" w:hanging="425"/>
        <w:jc w:val="both"/>
        <w:rPr>
          <w:rFonts w:ascii="Times New Roman" w:hAnsi="Times New Roman"/>
          <w:noProof/>
          <w:sz w:val="24"/>
        </w:rPr>
      </w:pPr>
      <w:r>
        <w:rPr>
          <w:rFonts w:ascii="Times New Roman" w:hAnsi="Times New Roman"/>
          <w:noProof/>
          <w:sz w:val="24"/>
        </w:rPr>
        <w:t>Āfrikas Attīstības banka (</w:t>
      </w:r>
      <w:r>
        <w:rPr>
          <w:rFonts w:ascii="Times New Roman" w:hAnsi="Times New Roman"/>
          <w:i/>
          <w:noProof/>
          <w:sz w:val="24"/>
        </w:rPr>
        <w:t>AfDB</w:t>
      </w:r>
      <w:r>
        <w:rPr>
          <w:rFonts w:ascii="Times New Roman" w:hAnsi="Times New Roman"/>
          <w:noProof/>
          <w:sz w:val="24"/>
        </w:rPr>
        <w:t>);</w:t>
      </w:r>
    </w:p>
    <w:p w:rsidR="00523A0A" w:rsidRPr="001973D0" w:rsidRDefault="00523A0A" w:rsidP="00523A0A">
      <w:pPr>
        <w:pStyle w:val="BodyText"/>
        <w:numPr>
          <w:ilvl w:val="1"/>
          <w:numId w:val="52"/>
        </w:numPr>
        <w:tabs>
          <w:tab w:val="left" w:pos="1592"/>
        </w:tabs>
        <w:spacing w:before="0"/>
        <w:ind w:left="1134" w:hanging="425"/>
        <w:jc w:val="both"/>
        <w:rPr>
          <w:rFonts w:ascii="Times New Roman" w:hAnsi="Times New Roman"/>
          <w:noProof/>
          <w:sz w:val="24"/>
        </w:rPr>
      </w:pPr>
      <w:r>
        <w:rPr>
          <w:rFonts w:ascii="Times New Roman" w:hAnsi="Times New Roman"/>
          <w:noProof/>
          <w:sz w:val="24"/>
        </w:rPr>
        <w:t>Āzijas Attīstības banka (</w:t>
      </w:r>
      <w:r>
        <w:rPr>
          <w:rFonts w:ascii="Times New Roman" w:hAnsi="Times New Roman"/>
          <w:i/>
          <w:noProof/>
          <w:sz w:val="24"/>
        </w:rPr>
        <w:t>AsDB</w:t>
      </w:r>
      <w:r>
        <w:rPr>
          <w:rFonts w:ascii="Times New Roman" w:hAnsi="Times New Roman"/>
          <w:noProof/>
          <w:sz w:val="24"/>
        </w:rPr>
        <w:t>);</w:t>
      </w:r>
    </w:p>
    <w:p w:rsidR="00523A0A" w:rsidRPr="001973D0" w:rsidRDefault="00523A0A" w:rsidP="00523A0A">
      <w:pPr>
        <w:pStyle w:val="BodyText"/>
        <w:numPr>
          <w:ilvl w:val="1"/>
          <w:numId w:val="52"/>
        </w:numPr>
        <w:tabs>
          <w:tab w:val="left" w:pos="1592"/>
        </w:tabs>
        <w:spacing w:before="0"/>
        <w:ind w:left="1134" w:hanging="425"/>
        <w:jc w:val="both"/>
        <w:rPr>
          <w:rFonts w:ascii="Times New Roman" w:hAnsi="Times New Roman"/>
          <w:noProof/>
          <w:sz w:val="24"/>
        </w:rPr>
      </w:pPr>
      <w:r>
        <w:rPr>
          <w:rFonts w:ascii="Times New Roman" w:hAnsi="Times New Roman"/>
          <w:noProof/>
          <w:sz w:val="24"/>
        </w:rPr>
        <w:t>Eiropas Rekonstrukcijas un attīstības banka (ERAB);</w:t>
      </w:r>
    </w:p>
    <w:p w:rsidR="00523A0A" w:rsidRDefault="00523A0A" w:rsidP="00523A0A">
      <w:pPr>
        <w:pStyle w:val="BodyText"/>
        <w:numPr>
          <w:ilvl w:val="1"/>
          <w:numId w:val="52"/>
        </w:numPr>
        <w:tabs>
          <w:tab w:val="left" w:pos="1592"/>
        </w:tabs>
        <w:spacing w:before="0"/>
        <w:ind w:left="1134" w:hanging="425"/>
        <w:jc w:val="both"/>
        <w:rPr>
          <w:rFonts w:ascii="Times New Roman" w:hAnsi="Times New Roman"/>
          <w:noProof/>
          <w:sz w:val="24"/>
        </w:rPr>
      </w:pPr>
      <w:r>
        <w:rPr>
          <w:rFonts w:ascii="Times New Roman" w:hAnsi="Times New Roman"/>
          <w:noProof/>
          <w:sz w:val="24"/>
        </w:rPr>
        <w:t>Amerikas Attīstības bankas grupa (</w:t>
      </w:r>
      <w:r>
        <w:rPr>
          <w:rFonts w:ascii="Times New Roman" w:hAnsi="Times New Roman"/>
          <w:i/>
          <w:noProof/>
          <w:sz w:val="24"/>
        </w:rPr>
        <w:t>IDB</w:t>
      </w:r>
      <w:r>
        <w:rPr>
          <w:rFonts w:ascii="Times New Roman" w:hAnsi="Times New Roman"/>
          <w:noProof/>
          <w:sz w:val="24"/>
        </w:rPr>
        <w:t>).</w:t>
      </w:r>
    </w:p>
    <w:p w:rsidR="00523A0A" w:rsidRPr="001973D0" w:rsidRDefault="00523A0A" w:rsidP="00523A0A">
      <w:pPr>
        <w:pStyle w:val="BodyText"/>
        <w:tabs>
          <w:tab w:val="left" w:pos="1592"/>
        </w:tabs>
        <w:spacing w:before="0"/>
        <w:ind w:left="0" w:firstLine="0"/>
        <w:rPr>
          <w:rFonts w:ascii="Times New Roman" w:hAnsi="Times New Roman"/>
          <w:noProof/>
          <w:sz w:val="24"/>
        </w:rPr>
      </w:pP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DAB raksturīga plaša līdzdalība, sākot no attīstības valstīm, kuras ņem aizdevumus, līdz attīstītajām valstīm, kuras piešķir finansējumu, un tā netiek ierobežota līdz dalībvalstīm no konkrētās reģionālās attīstības bankas reģiona. Katrai bankai ir neatkarīgs juridiskais un darbības statuss, lai gan, ņemot vērā līdzīgo pilnvarojumu un ievērojamo kopējo īpašnieku skaitu, DAB cieši sadarbojas viena ar otru.</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Lielākajai daļai DAB ir pieejami divu veidu finanšu līdzekļi, ko bieži vien dēvē par “aizdevuma logiem” vai “aizdevuma mehānismiem”. Viena veida aizdevumu logs tiek izmantots, lai piešķirtu aizdevumus ar tirgum atbilstošām procentu likmēm. Atkarībā no DAB šādi nekoncesionāli aizdevumi tiek darīti pieejami valdībām un privātiem uzņēmumiem vidēji augstu ienākumu grupā un dažām kredītspējīgām valstīm zemu ienākumu grupā. Otrs aizdevuma loga veids tiek izmantots, lai valstīm ar zemiem ienākumiem piešķirtu aizdevumus ar procentu likmēm, kas ir (ievērojami) zemākas par tirgus procentu likmēm (koncesionālie aizdevumi).</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Lai izsniegtu nekoncesionālus aizdevumus, DAB aizņemas naudu starptautiskajos kapitāla tirgos un tad aizdod to attīstības valstīm. DAB spēj aizņemties starptautiskajos kapitāla tirgos, jo ir saņēmušas garantijas no savu dalībvalstu valdībām. Tas tiek nodrošināts, izmantojot īpašuma daļas, ko dalībvalstis paraksta katrā bankā. Tikai neliela daļa (parasti mazāk par 5–10 %) no šo kapitāldaļu vērtības tiek faktiski iemaksāta DAB (“apmaksātais kapitāls”). Vairums šo daļu tiek nodrošinātas garantijas veidā, kuras apliecina, ka donori ir gatavi vajadzības gadījumā sniegt bankai finansējumu. To dēvē par “pieprasāmo kapitālu”, jo donors faktiski nepārskaita finansējumu DAB, ja vien banka nepieprasa šādu finansējumu, jo tā ir izsmēlusi tai pieejamos finanšu līdzekļus, bet joprojām nav veikusi visus maksājumus obligāciju turētājiem.</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Ja donori atzīst, ka turpmāk aizdevumu pieprasījums no DAB visticamāk pieaugs, tie regulāri palielina savu parakstīto kapitālu attiecībā uz DAB nekoncesionālo aizdevumu logu, lai ļautu DAB palielināt savu aizdevuma apjomu.</w:t>
      </w:r>
    </w:p>
    <w:p w:rsidR="00523A0A" w:rsidRPr="002F0893"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DAB paplašinot savus nekoncesionālos aizdevumus un dotācijas valstīm ar zemiem ienākumiem, tiek sistemātiski izsmelti aizdevumu logu līdzekļi, kas pieejami šādiem pasākumiem. Donorvalstis regulāri tiekas, lai papildinātu šos līdzekļus. Tāpēc šādu līdzekļu palielināšanu sauc par “papildinājumiem”, un lielākā to daļa tiek piešķirta saskaņā ar plānveida grafiku vienu reizi 3–5 gados. Ja šie mehānismi netiek papildināti pienācīgā laikā, tie tiks izsmelti un būs ievērojami jāsamazina to darbības līmenis.</w:t>
      </w: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Dažas DAB piedāvā vienīgi vai galvenokārt koncesionālus aizdevumus (</w:t>
      </w:r>
      <w:r>
        <w:rPr>
          <w:rFonts w:ascii="Times New Roman" w:hAnsi="Times New Roman"/>
          <w:i/>
          <w:noProof/>
          <w:sz w:val="24"/>
        </w:rPr>
        <w:t>IDA</w:t>
      </w:r>
      <w:r>
        <w:rPr>
          <w:rFonts w:ascii="Times New Roman" w:hAnsi="Times New Roman"/>
          <w:noProof/>
          <w:sz w:val="24"/>
        </w:rPr>
        <w:t xml:space="preserve">, </w:t>
      </w:r>
      <w:r>
        <w:rPr>
          <w:rFonts w:ascii="Times New Roman" w:hAnsi="Times New Roman"/>
          <w:i/>
          <w:noProof/>
          <w:sz w:val="24"/>
        </w:rPr>
        <w:t>IDB</w:t>
      </w:r>
      <w:r>
        <w:rPr>
          <w:rFonts w:ascii="Times New Roman" w:hAnsi="Times New Roman"/>
          <w:noProof/>
          <w:sz w:val="24"/>
        </w:rPr>
        <w:t xml:space="preserve"> Īpašo operāciju fonds (</w:t>
      </w:r>
      <w:r>
        <w:rPr>
          <w:rFonts w:ascii="Times New Roman" w:hAnsi="Times New Roman"/>
          <w:i/>
          <w:noProof/>
          <w:sz w:val="24"/>
        </w:rPr>
        <w:t>FSO</w:t>
      </w:r>
      <w:r>
        <w:rPr>
          <w:rFonts w:ascii="Times New Roman" w:hAnsi="Times New Roman"/>
          <w:noProof/>
          <w:sz w:val="24"/>
        </w:rPr>
        <w:t xml:space="preserve">), </w:t>
      </w:r>
      <w:r>
        <w:rPr>
          <w:rFonts w:ascii="Times New Roman" w:hAnsi="Times New Roman"/>
          <w:i/>
          <w:noProof/>
          <w:sz w:val="24"/>
        </w:rPr>
        <w:t>AfDF</w:t>
      </w:r>
      <w:r>
        <w:rPr>
          <w:rFonts w:ascii="Times New Roman" w:hAnsi="Times New Roman"/>
          <w:noProof/>
          <w:sz w:val="24"/>
        </w:rPr>
        <w:t xml:space="preserve"> un </w:t>
      </w:r>
      <w:r>
        <w:rPr>
          <w:rFonts w:ascii="Times New Roman" w:hAnsi="Times New Roman"/>
          <w:i/>
          <w:noProof/>
          <w:sz w:val="24"/>
        </w:rPr>
        <w:t>AsDF</w:t>
      </w:r>
      <w:r>
        <w:rPr>
          <w:rFonts w:ascii="Times New Roman" w:hAnsi="Times New Roman"/>
          <w:noProof/>
          <w:sz w:val="24"/>
        </w:rPr>
        <w:t xml:space="preserve">), un līdz ar to tās galvenokārt tiek finansētas no </w:t>
      </w:r>
      <w:r>
        <w:rPr>
          <w:rFonts w:ascii="Times New Roman" w:hAnsi="Times New Roman"/>
          <w:noProof/>
          <w:sz w:val="24"/>
        </w:rPr>
        <w:lastRenderedPageBreak/>
        <w:t xml:space="preserve">savu bagātāko dalībvalstu veiktajām iemaksām vai no citiem DAB ienākumiem (piemēram, </w:t>
      </w:r>
      <w:r>
        <w:rPr>
          <w:rFonts w:ascii="Times New Roman" w:hAnsi="Times New Roman"/>
          <w:i/>
          <w:noProof/>
          <w:sz w:val="24"/>
        </w:rPr>
        <w:t>IDA</w:t>
      </w:r>
      <w:r>
        <w:rPr>
          <w:rFonts w:ascii="Times New Roman" w:hAnsi="Times New Roman"/>
          <w:noProof/>
          <w:sz w:val="24"/>
        </w:rPr>
        <w:t xml:space="preserve"> saņem papildu līdzekļus no </w:t>
      </w:r>
      <w:r>
        <w:rPr>
          <w:rFonts w:ascii="Times New Roman" w:hAnsi="Times New Roman"/>
          <w:i/>
          <w:noProof/>
          <w:sz w:val="24"/>
        </w:rPr>
        <w:t>IBRD</w:t>
      </w:r>
      <w:r>
        <w:rPr>
          <w:rFonts w:ascii="Times New Roman" w:hAnsi="Times New Roman"/>
          <w:noProof/>
          <w:sz w:val="24"/>
        </w:rPr>
        <w:t xml:space="preserve"> un </w:t>
      </w:r>
      <w:r>
        <w:rPr>
          <w:rFonts w:ascii="Times New Roman" w:hAnsi="Times New Roman"/>
          <w:i/>
          <w:noProof/>
          <w:sz w:val="24"/>
        </w:rPr>
        <w:t>IFC</w:t>
      </w:r>
      <w:r>
        <w:rPr>
          <w:rFonts w:ascii="Times New Roman" w:hAnsi="Times New Roman"/>
          <w:noProof/>
          <w:sz w:val="24"/>
        </w:rPr>
        <w:t xml:space="preserve"> ienākumiem) un no aizdevumu ņēmēju iepriekš ņemto kredītu atmaksājumiem.</w:t>
      </w: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DAB koncesionālajiem aizdevumiem ir ļoti raksturīga ļoti zema procentu likme un ilgs atmaksāšanas termiņš ar atvieglojumu periodiem. </w:t>
      </w:r>
      <w:r>
        <w:rPr>
          <w:rFonts w:ascii="Times New Roman" w:hAnsi="Times New Roman"/>
          <w:i/>
          <w:noProof/>
          <w:sz w:val="24"/>
        </w:rPr>
        <w:t>IDA</w:t>
      </w:r>
      <w:r>
        <w:rPr>
          <w:rFonts w:ascii="Times New Roman" w:hAnsi="Times New Roman"/>
          <w:noProof/>
          <w:sz w:val="24"/>
        </w:rPr>
        <w:t xml:space="preserve"> kredītus parasti izsniedz uz 35–40 gadiem ar 10 gadus ilgu atvieglojumu periodu pamatsummas atmaksāšanai. Procentu maksa netiek iekasēta, taču attiecībā uz kredītiem tiek piemērota neliela maksa par pakalpojumu 0,75 % apmērā no izmaksātajām summām. Šīs likmes ne tikai ir zemākas par tirgus procentu likmēm, bet arī nesedz finansēšanas un administratīvās izmaksas.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38"/>
        </w:tabs>
        <w:ind w:left="0" w:firstLine="0"/>
        <w:jc w:val="both"/>
        <w:rPr>
          <w:rFonts w:ascii="Times New Roman" w:hAnsi="Times New Roman"/>
          <w:noProof/>
          <w:u w:val="thick" w:color="000000"/>
        </w:rPr>
      </w:pPr>
      <w:r>
        <w:rPr>
          <w:rFonts w:ascii="Times New Roman" w:hAnsi="Times New Roman"/>
          <w:noProof/>
          <w:u w:val="none"/>
        </w:rPr>
        <w:t>IV.6.2. </w:t>
      </w:r>
      <w:r>
        <w:rPr>
          <w:rFonts w:ascii="Times New Roman" w:hAnsi="Times New Roman"/>
          <w:noProof/>
          <w:u w:val="thick" w:color="000000"/>
        </w:rPr>
        <w:t>Traktējums nacionālajos kontos</w:t>
      </w:r>
    </w:p>
    <w:p w:rsidR="00523A0A" w:rsidRPr="001973D0" w:rsidRDefault="00523A0A" w:rsidP="00523A0A">
      <w:pPr>
        <w:pStyle w:val="Heading4"/>
        <w:tabs>
          <w:tab w:val="left" w:pos="1538"/>
        </w:tabs>
        <w:ind w:left="0" w:firstLine="0"/>
        <w:jc w:val="both"/>
        <w:rPr>
          <w:rFonts w:ascii="Times New Roman" w:hAnsi="Times New Roman"/>
          <w:noProof/>
          <w:u w:val="thick" w:color="000000"/>
        </w:rPr>
      </w:pP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Tas, kā nacionālos kontos tiks traktēts finansējums, ko valdība iepludinājusi DAB, ir atkarīgs no tā, kāda veida aizdevumus DAB izsniedz. Finansējuma iepludināšana tādu DAB mehānismos, kuru galvenais vai vienīgais mērķis ir sniegt koncesionālus aizdevumus ar nelielu vai n</w:t>
      </w:r>
      <w:r w:rsidR="0021579A">
        <w:rPr>
          <w:rFonts w:ascii="Times New Roman" w:hAnsi="Times New Roman"/>
          <w:noProof/>
          <w:sz w:val="24"/>
        </w:rPr>
        <w:t>ulles procentu likmi, jāieraksta</w:t>
      </w:r>
      <w:r>
        <w:rPr>
          <w:rFonts w:ascii="Times New Roman" w:hAnsi="Times New Roman"/>
          <w:noProof/>
          <w:sz w:val="24"/>
        </w:rPr>
        <w:t xml:space="preserve"> kā kapitāla pārvedums, savukārt ieguldījums tādu DAB mehānismos, kuri sniedz nekonc</w:t>
      </w:r>
      <w:r w:rsidR="0021579A">
        <w:rPr>
          <w:rFonts w:ascii="Times New Roman" w:hAnsi="Times New Roman"/>
          <w:noProof/>
          <w:sz w:val="24"/>
        </w:rPr>
        <w:t>esionālus aizdevumus, jāieraksta</w:t>
      </w:r>
      <w:r>
        <w:rPr>
          <w:rFonts w:ascii="Times New Roman" w:hAnsi="Times New Roman"/>
          <w:noProof/>
          <w:sz w:val="24"/>
        </w:rPr>
        <w:t xml:space="preserve"> kā cita pašu kapitāla iegāde, kā noteikts EKS 2010 5.154. punkta d) apakšpunktā, proti, “valdības ieguldījumus starptautisku un pārnacionālu organizāciju kapitālā, izņemot SVF, pat ja juridiski tās ir sabiedrības ar akciju kapitālu (piemēram, Eiro</w:t>
      </w:r>
      <w:r w:rsidR="0021579A">
        <w:rPr>
          <w:rFonts w:ascii="Times New Roman" w:hAnsi="Times New Roman"/>
          <w:noProof/>
          <w:sz w:val="24"/>
        </w:rPr>
        <w:t>pas Investīciju banka)” ieraksta</w:t>
      </w:r>
      <w:r>
        <w:rPr>
          <w:rFonts w:ascii="Times New Roman" w:hAnsi="Times New Roman"/>
          <w:noProof/>
          <w:sz w:val="24"/>
        </w:rPr>
        <w:t xml:space="preserve"> kā AF.519, citu pašu kapitālu.</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DAB kapitāla pieauguma traktējums</w:t>
      </w:r>
    </w:p>
    <w:p w:rsidR="00523A0A" w:rsidRPr="001973D0" w:rsidRDefault="00523A0A" w:rsidP="00523A0A">
      <w:pPr>
        <w:jc w:val="both"/>
        <w:rPr>
          <w:rFonts w:ascii="Times New Roman" w:eastAsia="Arial" w:hAnsi="Times New Roman" w:cs="Arial"/>
          <w:b/>
          <w:bCs/>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438"/>
        <w:gridCol w:w="1279"/>
        <w:gridCol w:w="1315"/>
        <w:gridCol w:w="1323"/>
        <w:gridCol w:w="1462"/>
        <w:gridCol w:w="1073"/>
        <w:gridCol w:w="1169"/>
      </w:tblGrid>
      <w:tr w:rsidR="00523A0A" w:rsidRPr="00AB5F24" w:rsidTr="00AB5F24">
        <w:trPr>
          <w:trHeight w:hRule="exact" w:val="1364"/>
        </w:trPr>
        <w:tc>
          <w:tcPr>
            <w:tcW w:w="917"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rPr>
                <w:rFonts w:ascii="Times New Roman" w:hAnsi="Times New Roman"/>
                <w:b/>
                <w:noProof/>
              </w:rPr>
            </w:pPr>
            <w:r w:rsidRPr="00AB5F24">
              <w:rPr>
                <w:rFonts w:ascii="Times New Roman" w:hAnsi="Times New Roman"/>
                <w:b/>
                <w:noProof/>
              </w:rPr>
              <w:t>Iepludinātā kapitāla veids/</w:t>
            </w:r>
          </w:p>
          <w:p w:rsidR="00523A0A" w:rsidRPr="00AB5F24" w:rsidRDefault="00523A0A" w:rsidP="00AB5F24">
            <w:pPr>
              <w:pStyle w:val="TableParagraph"/>
              <w:rPr>
                <w:rFonts w:ascii="Times New Roman" w:hAnsi="Times New Roman"/>
                <w:b/>
                <w:noProof/>
              </w:rPr>
            </w:pPr>
            <w:r w:rsidRPr="00AB5F24">
              <w:rPr>
                <w:rFonts w:ascii="Times New Roman" w:hAnsi="Times New Roman"/>
                <w:b/>
                <w:noProof/>
              </w:rPr>
              <w:t>DAB mehānisma veids</w:t>
            </w:r>
          </w:p>
        </w:tc>
        <w:tc>
          <w:tcPr>
            <w:tcW w:w="500"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Apmaksātais kapitāls</w:t>
            </w:r>
          </w:p>
        </w:tc>
        <w:tc>
          <w:tcPr>
            <w:tcW w:w="667"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Pieprasāmais kapitāls</w:t>
            </w:r>
          </w:p>
        </w:tc>
        <w:tc>
          <w:tcPr>
            <w:tcW w:w="917"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Rezervju konversija apmaksātajā kapitālā</w:t>
            </w:r>
          </w:p>
        </w:tc>
        <w:tc>
          <w:tcPr>
            <w:tcW w:w="667"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Hibrīdkapitāla pieaugums</w:t>
            </w:r>
          </w:p>
        </w:tc>
        <w:tc>
          <w:tcPr>
            <w:tcW w:w="747"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Pagaidu pieaugums</w:t>
            </w:r>
          </w:p>
        </w:tc>
        <w:tc>
          <w:tcPr>
            <w:tcW w:w="586" w:type="pct"/>
            <w:tcBorders>
              <w:top w:val="single" w:sz="5" w:space="0" w:color="000000"/>
              <w:left w:val="single" w:sz="5" w:space="0" w:color="000000"/>
              <w:bottom w:val="single" w:sz="5" w:space="0" w:color="000000"/>
              <w:right w:val="single" w:sz="5" w:space="0" w:color="000000"/>
            </w:tcBorders>
            <w:shd w:val="clear" w:color="auto" w:fill="DFDFDF"/>
          </w:tcPr>
          <w:p w:rsidR="00523A0A" w:rsidRPr="00AB5F24" w:rsidRDefault="00523A0A" w:rsidP="00AB5F24">
            <w:pPr>
              <w:pStyle w:val="TableParagraph"/>
              <w:jc w:val="center"/>
              <w:rPr>
                <w:rFonts w:ascii="Times New Roman" w:hAnsi="Times New Roman"/>
                <w:b/>
                <w:noProof/>
              </w:rPr>
            </w:pPr>
            <w:r w:rsidRPr="00AB5F24">
              <w:rPr>
                <w:rFonts w:ascii="Times New Roman" w:hAnsi="Times New Roman"/>
                <w:b/>
                <w:noProof/>
              </w:rPr>
              <w:t>Iekasēšanas periods</w:t>
            </w:r>
          </w:p>
        </w:tc>
      </w:tr>
      <w:tr w:rsidR="00523A0A" w:rsidRPr="00AB5F24" w:rsidTr="00523A0A">
        <w:trPr>
          <w:trHeight w:hRule="exact" w:val="1667"/>
        </w:trPr>
        <w:tc>
          <w:tcPr>
            <w:tcW w:w="917" w:type="pct"/>
            <w:tcBorders>
              <w:top w:val="single" w:sz="5" w:space="0" w:color="000000"/>
              <w:left w:val="single" w:sz="5" w:space="0" w:color="000000"/>
              <w:bottom w:val="single" w:sz="5" w:space="0" w:color="000000"/>
              <w:right w:val="single" w:sz="5" w:space="0" w:color="000000"/>
            </w:tcBorders>
            <w:shd w:val="clear" w:color="auto" w:fill="E6E6E6"/>
          </w:tcPr>
          <w:p w:rsidR="00523A0A" w:rsidRPr="00AB5F24" w:rsidRDefault="00523A0A" w:rsidP="00AB5F24">
            <w:pPr>
              <w:pStyle w:val="TableParagraph"/>
              <w:rPr>
                <w:rFonts w:ascii="Times New Roman" w:hAnsi="Times New Roman"/>
                <w:b/>
                <w:noProof/>
              </w:rPr>
            </w:pPr>
            <w:r w:rsidRPr="00AB5F24">
              <w:rPr>
                <w:rFonts w:ascii="Times New Roman" w:hAnsi="Times New Roman"/>
                <w:b/>
                <w:noProof/>
              </w:rPr>
              <w:t>DAB mehānismi, no kuriem tiek piešķirti nekoncesionāli aizdevumi</w:t>
            </w:r>
          </w:p>
        </w:tc>
        <w:tc>
          <w:tcPr>
            <w:tcW w:w="500"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Akcijas un cits pašu kapitāls F.5/F.5 13</w:t>
            </w:r>
          </w:p>
        </w:tc>
        <w:tc>
          <w:tcPr>
            <w:tcW w:w="667" w:type="pct"/>
            <w:tcBorders>
              <w:top w:val="single" w:sz="5" w:space="0" w:color="000000"/>
              <w:left w:val="single" w:sz="5" w:space="0" w:color="000000"/>
              <w:bottom w:val="single" w:sz="5" w:space="0" w:color="000000"/>
              <w:right w:val="single" w:sz="5" w:space="0" w:color="000000"/>
            </w:tcBorders>
          </w:tcPr>
          <w:p w:rsidR="00523A0A" w:rsidRPr="00AB5F24" w:rsidRDefault="0021579A" w:rsidP="00AB5F24">
            <w:pPr>
              <w:pStyle w:val="TableParagraph"/>
              <w:rPr>
                <w:rFonts w:ascii="Times New Roman" w:hAnsi="Times New Roman"/>
                <w:noProof/>
              </w:rPr>
            </w:pPr>
            <w:r>
              <w:rPr>
                <w:rFonts w:ascii="Times New Roman" w:hAnsi="Times New Roman"/>
                <w:noProof/>
              </w:rPr>
              <w:t>Neko neieraksta</w:t>
            </w:r>
            <w:r w:rsidR="00523A0A" w:rsidRPr="00AB5F24">
              <w:rPr>
                <w:rFonts w:ascii="Times New Roman" w:hAnsi="Times New Roman"/>
                <w:noProof/>
              </w:rPr>
              <w:t>, kamēr nav saņemts pieprasījums</w:t>
            </w:r>
          </w:p>
        </w:tc>
        <w:tc>
          <w:tcPr>
            <w:tcW w:w="91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Nav saistības</w:t>
            </w:r>
          </w:p>
        </w:tc>
        <w:tc>
          <w:tcPr>
            <w:tcW w:w="66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Nosaka katrā gadījumā atsevišķi</w:t>
            </w:r>
          </w:p>
        </w:tc>
        <w:tc>
          <w:tcPr>
            <w:tcW w:w="74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Aizdevumi (F.4), ja atcelts D.9</w:t>
            </w:r>
          </w:p>
        </w:tc>
        <w:tc>
          <w:tcPr>
            <w:tcW w:w="586"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F.5 sākumā</w:t>
            </w:r>
          </w:p>
        </w:tc>
      </w:tr>
      <w:tr w:rsidR="00523A0A" w:rsidRPr="00AB5F24" w:rsidTr="00AB5F24">
        <w:trPr>
          <w:trHeight w:hRule="exact" w:val="1832"/>
        </w:trPr>
        <w:tc>
          <w:tcPr>
            <w:tcW w:w="917" w:type="pct"/>
            <w:tcBorders>
              <w:top w:val="single" w:sz="5" w:space="0" w:color="000000"/>
              <w:left w:val="single" w:sz="5" w:space="0" w:color="000000"/>
              <w:bottom w:val="single" w:sz="5" w:space="0" w:color="000000"/>
              <w:right w:val="single" w:sz="5" w:space="0" w:color="000000"/>
            </w:tcBorders>
            <w:shd w:val="clear" w:color="auto" w:fill="E6E6E6"/>
          </w:tcPr>
          <w:p w:rsidR="00523A0A" w:rsidRPr="00AB5F24" w:rsidRDefault="00523A0A" w:rsidP="00AB5F24">
            <w:pPr>
              <w:pStyle w:val="TableParagraph"/>
              <w:rPr>
                <w:rFonts w:ascii="Times New Roman" w:hAnsi="Times New Roman"/>
                <w:b/>
                <w:noProof/>
              </w:rPr>
            </w:pPr>
            <w:r w:rsidRPr="00AB5F24">
              <w:rPr>
                <w:rFonts w:ascii="Times New Roman" w:hAnsi="Times New Roman"/>
                <w:b/>
                <w:noProof/>
              </w:rPr>
              <w:t>DAB mehānismi, no kuriem tiek piešķirti galvenokārt koncesionāli aizdevumi</w:t>
            </w:r>
          </w:p>
        </w:tc>
        <w:tc>
          <w:tcPr>
            <w:tcW w:w="500"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D.9</w:t>
            </w:r>
          </w:p>
        </w:tc>
        <w:tc>
          <w:tcPr>
            <w:tcW w:w="667" w:type="pct"/>
            <w:tcBorders>
              <w:top w:val="single" w:sz="5" w:space="0" w:color="000000"/>
              <w:left w:val="single" w:sz="5" w:space="0" w:color="000000"/>
              <w:bottom w:val="single" w:sz="5" w:space="0" w:color="000000"/>
              <w:right w:val="single" w:sz="5" w:space="0" w:color="000000"/>
            </w:tcBorders>
          </w:tcPr>
          <w:p w:rsidR="00523A0A" w:rsidRPr="00AB5F24" w:rsidRDefault="0021579A" w:rsidP="00AB5F24">
            <w:pPr>
              <w:pStyle w:val="TableParagraph"/>
              <w:rPr>
                <w:rFonts w:ascii="Times New Roman" w:hAnsi="Times New Roman"/>
                <w:noProof/>
              </w:rPr>
            </w:pPr>
            <w:r>
              <w:rPr>
                <w:rFonts w:ascii="Times New Roman" w:hAnsi="Times New Roman"/>
                <w:noProof/>
              </w:rPr>
              <w:t>Neko neieraksta</w:t>
            </w:r>
            <w:r w:rsidR="00523A0A" w:rsidRPr="00AB5F24">
              <w:rPr>
                <w:rFonts w:ascii="Times New Roman" w:hAnsi="Times New Roman"/>
                <w:noProof/>
              </w:rPr>
              <w:t>, kamēr nav saņemts pieprasījums</w:t>
            </w:r>
          </w:p>
        </w:tc>
        <w:tc>
          <w:tcPr>
            <w:tcW w:w="91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Nepiemēro</w:t>
            </w:r>
          </w:p>
        </w:tc>
        <w:tc>
          <w:tcPr>
            <w:tcW w:w="66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Nosaka katrā gadījumā atsevišķi</w:t>
            </w:r>
          </w:p>
        </w:tc>
        <w:tc>
          <w:tcPr>
            <w:tcW w:w="747"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Aizdevumi (F.4), ja atcelts D.9</w:t>
            </w:r>
          </w:p>
        </w:tc>
        <w:tc>
          <w:tcPr>
            <w:tcW w:w="586" w:type="pct"/>
            <w:tcBorders>
              <w:top w:val="single" w:sz="5" w:space="0" w:color="000000"/>
              <w:left w:val="single" w:sz="5" w:space="0" w:color="000000"/>
              <w:bottom w:val="single" w:sz="5" w:space="0" w:color="000000"/>
              <w:right w:val="single" w:sz="5" w:space="0" w:color="000000"/>
            </w:tcBorders>
          </w:tcPr>
          <w:p w:rsidR="00523A0A" w:rsidRPr="00AB5F24" w:rsidRDefault="00523A0A" w:rsidP="00AB5F24">
            <w:pPr>
              <w:pStyle w:val="TableParagraph"/>
              <w:rPr>
                <w:rFonts w:ascii="Times New Roman" w:hAnsi="Times New Roman"/>
                <w:noProof/>
              </w:rPr>
            </w:pPr>
            <w:r w:rsidRPr="00AB5F24">
              <w:rPr>
                <w:rFonts w:ascii="Times New Roman" w:hAnsi="Times New Roman"/>
                <w:noProof/>
              </w:rPr>
              <w:t>D.9, kad sasniegts maksājuma termiņš</w:t>
            </w:r>
          </w:p>
        </w:tc>
      </w:tr>
    </w:tbl>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4"/>
        <w:tabs>
          <w:tab w:val="left" w:pos="1512"/>
        </w:tabs>
        <w:ind w:left="0" w:firstLine="0"/>
        <w:jc w:val="both"/>
        <w:rPr>
          <w:rFonts w:ascii="Times New Roman" w:hAnsi="Times New Roman"/>
          <w:noProof/>
          <w:u w:val="thick" w:color="000000"/>
        </w:rPr>
      </w:pPr>
      <w:r>
        <w:rPr>
          <w:rFonts w:ascii="Times New Roman" w:hAnsi="Times New Roman"/>
          <w:noProof/>
          <w:u w:val="none"/>
        </w:rPr>
        <w:t>IV.6.3. </w:t>
      </w:r>
      <w:r>
        <w:rPr>
          <w:rFonts w:ascii="Times New Roman" w:hAnsi="Times New Roman"/>
          <w:noProof/>
          <w:u w:val="thick" w:color="000000"/>
        </w:rPr>
        <w:t>Traktējuma pamatojums</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2F0893"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DAB var būt divu veidu aizdevuma mehānismi vai “aizdevuma logi”. Koncesionāli aizdevumi ir bezprocentu aizdevumi vai aizdevumi, kuru procentu likme ir ievērojami zemāka par tirgus procentu likmi. Parasti šie ir ilgtermiņa aizdevumi, un tiem ir ilgi atvieglojumu periodi. Lai arī DAB mehānismi, no kuriem tiek piešķirti koncesionāli aizdevumi, paredz nelielu maksu par pakalpojumu, tomēr ar to nav iespējams segt finansēšanas un/vai administratīvās izmaksas un līdz ar to šo mehānismu finansēšanas </w:t>
      </w:r>
      <w:r>
        <w:rPr>
          <w:rFonts w:ascii="Times New Roman" w:hAnsi="Times New Roman"/>
          <w:noProof/>
          <w:sz w:val="24"/>
        </w:rPr>
        <w:lastRenderedPageBreak/>
        <w:t>līdzekļi ar laiku izsīkst. Lai nodrošinātu savas darbības vismaz nemainīgā līmenī, DAB mehānismiem, no kuriem tiek piešķirti koncesionālie aizdevumi, ir nepieciešami papildinājumi no to donoriem. Jau no paša sākuma ir skaidrs, ka DAB mehānismi, no kuriem tiek piešķirti koncesionāli aizdevumi, nesniegs peļņu, un šie finanšu līdzekļu papildinājumi pēc būtības ir līdzīgi kapitāla iepludināšanai, ko veic ar nolūku segt zaudējumus. Tāpēc saskaņā ar kapitāla iepludināšanas noteikumiem finanšu līdzekļi, ko valdības iepludina DAB mehānismos, no kuriem tiek piešķirti koncesionāli aizdevumi, jātraktē kā kapitāla pārvedums.</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Nekoncesionālus aizdevumus izsniedz ar tirgus procentu likmi, un tas nozīmē, ka tiek paredzēta peļņa vai vismaz tas, ka tiks segtas aizņemšanās izmaksas un/vai DAB mehānisma administratīvās izmaksas. Ja DAB mehānismos, no kuriem tiek piešķirti nekoncesionāli aizdevumi, tiek uzkrātas rezerves, tās vēlāk var konvertēt kapitālā un izmantot turpmākām operācijām. Tāpēc praksē nav bieži tādi gadījumi, kad DAB izsmeļ savu pieprasāmo kapitālu. Faktiski kapitāla papildināšana no donorvalstu valdību puses parasti nepieciešama saistībā ar jauniem pasākumiem vai pasākumu paplašināšanu. Līdz ar to valdības īstenota finansējuma iepludināšana tādos DAB mehānismos, no kuriem tiek piešķirti nekoncesionāli aizdevumi, jātraktē saskaņā ar EKS 2010 5.154. punkta c) apakšpunktu kā cits pašu kapitāls AF.519.</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DAB gadījumā valdību īstenotā kapitāla palielināšana parasti notiek atbilstīgi vienam no šādiem veidiem: apmaksātais kapitāls, pieprasāmais kapitāls, rezervju konversija iemaksājumos pamatkapitālā, hibrīdkapitāla palielināšana, pagaidu palielināšana un iekasēšanas periods.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r>
        <w:rPr>
          <w:rFonts w:ascii="Times New Roman" w:hAnsi="Times New Roman"/>
          <w:noProof/>
          <w:sz w:val="24"/>
        </w:rPr>
        <w:t>IV.6.3.1. Apmaksātais kapitāls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Lielākajā daļā DAB mehānismu, no kuriem tiek piešķirti nekoncesionāli aizdevumi, jauns apmaksātais kapitāls veido tikai daļu no to kopējā kapitāla. Šādā gadījumā apmaksātā daļa tiks uzskatīta par finanšu darījumu (pašu kapitāla iegāde), kas neietekmē valdības neto aizdevumu/aizņēmumu (B.9).</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Gadījumā, ja šāds apmaksātais kapitāls tiek veikts tādiem DAB mehānismiem, no kuriem tiek piešķirtas galvenokārt vai vienīgi koncesionālas dotācijas vai aizdevumi, iepludināt</w:t>
      </w:r>
      <w:r w:rsidR="0021579A">
        <w:rPr>
          <w:rFonts w:ascii="Times New Roman" w:hAnsi="Times New Roman"/>
          <w:noProof/>
          <w:sz w:val="24"/>
        </w:rPr>
        <w:t>o kapitālu ieraksta</w:t>
      </w:r>
      <w:r>
        <w:rPr>
          <w:rFonts w:ascii="Times New Roman" w:hAnsi="Times New Roman"/>
          <w:noProof/>
          <w:sz w:val="24"/>
        </w:rPr>
        <w:t xml:space="preserve"> kā kapitāla pārvedumu.</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2016"/>
        </w:tabs>
        <w:jc w:val="both"/>
        <w:rPr>
          <w:rFonts w:ascii="Times New Roman" w:hAnsi="Times New Roman"/>
          <w:noProof/>
          <w:sz w:val="24"/>
        </w:rPr>
      </w:pPr>
      <w:r>
        <w:rPr>
          <w:rFonts w:ascii="Times New Roman" w:hAnsi="Times New Roman"/>
          <w:noProof/>
          <w:sz w:val="24"/>
        </w:rPr>
        <w:t>IV.6.3.2. Pieprasāmais kapitāls</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Liela daļa no DAB kapitāla palielinājuma parasti ir strukturēta kā pieprasāmais kapitāls, proti, kapitāls, kas nav faktiski apmaksāts. Statistikā to traktē šādi: pieprasāmā daļa tiek uzskatīta par iespēj</w:t>
      </w:r>
      <w:r w:rsidR="0021579A">
        <w:rPr>
          <w:rFonts w:ascii="Times New Roman" w:hAnsi="Times New Roman"/>
          <w:noProof/>
          <w:sz w:val="24"/>
        </w:rPr>
        <w:t>amo darījumu, kas nav jāieraksta</w:t>
      </w:r>
      <w:r>
        <w:rPr>
          <w:rFonts w:ascii="Times New Roman" w:hAnsi="Times New Roman"/>
          <w:noProof/>
          <w:sz w:val="24"/>
        </w:rPr>
        <w:t xml:space="preserve"> nacionālo kontu sistēmā. Tas attiecināms uz abiem DAB mehānismu veidiem. Protams, tiklīdz kapitāls tiek pieprasīts, tas jāanalizē kā apmaksātais kapitāls.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2016"/>
        </w:tabs>
        <w:jc w:val="both"/>
        <w:rPr>
          <w:rFonts w:ascii="Times New Roman" w:hAnsi="Times New Roman"/>
          <w:noProof/>
          <w:sz w:val="24"/>
        </w:rPr>
      </w:pPr>
      <w:r>
        <w:rPr>
          <w:rFonts w:ascii="Times New Roman" w:hAnsi="Times New Roman"/>
          <w:noProof/>
          <w:sz w:val="24"/>
        </w:rPr>
        <w:t>IV.6.3.3. Rezervju konversija apmaksātajā kapitālā</w:t>
      </w:r>
    </w:p>
    <w:p w:rsidR="00523A0A" w:rsidRPr="001973D0" w:rsidRDefault="00523A0A" w:rsidP="00523A0A">
      <w:pPr>
        <w:pStyle w:val="Heading6"/>
        <w:tabs>
          <w:tab w:val="left" w:pos="2016"/>
        </w:tabs>
        <w:jc w:val="both"/>
        <w:rPr>
          <w:rFonts w:ascii="Times New Roman" w:hAnsi="Times New Roman"/>
          <w:noProof/>
          <w:sz w:val="24"/>
        </w:rPr>
      </w:pP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(Daļu) no kapitāla pieauguma var nodrošināt, pārveidojot uzkrātās rezerves patstāvīgā apmaksātajā kapitālā, nesaņemot naudas pārskaitījumus no akcionāriem. Statistikā traktējums ir šāds: EKS 2010 tas nav pārbaudāmo akciju skaits, bet gan to vērtība. Ja daļa no rezervēm ir jākonvertē akcijās, tad akciju daļas vērtība joprojām paliktu nemainīga. Līdz ar to nepastāvētu tieša ietekme uz kontiem un valdības neto aizdevumu/aizņēmumu (B.9) un parādu.</w:t>
      </w:r>
    </w:p>
    <w:p w:rsidR="00523A0A" w:rsidRPr="001973D0" w:rsidRDefault="00523A0A" w:rsidP="00523A0A">
      <w:pPr>
        <w:pStyle w:val="BodyText"/>
        <w:numPr>
          <w:ilvl w:val="0"/>
          <w:numId w:val="52"/>
        </w:numPr>
        <w:tabs>
          <w:tab w:val="left" w:pos="1242"/>
        </w:tabs>
        <w:spacing w:before="0"/>
        <w:ind w:left="709" w:hanging="709"/>
        <w:jc w:val="both"/>
        <w:rPr>
          <w:rFonts w:ascii="Times New Roman" w:hAnsi="Times New Roman"/>
          <w:noProof/>
          <w:sz w:val="24"/>
        </w:rPr>
      </w:pPr>
      <w:r>
        <w:rPr>
          <w:rFonts w:ascii="Times New Roman" w:hAnsi="Times New Roman"/>
          <w:noProof/>
          <w:sz w:val="24"/>
        </w:rPr>
        <w:t xml:space="preserve">DAB mehānismiem, no kuriem galvenokārt tiek izsniegti koncesionālie aizdevumi un dotācijas, parasti nav uzkrātu rezervju, jo visi tiem pieejamie līdzekļi tiek iztērēti. Līdz </w:t>
      </w:r>
      <w:r>
        <w:rPr>
          <w:rFonts w:ascii="Times New Roman" w:hAnsi="Times New Roman"/>
          <w:noProof/>
          <w:sz w:val="24"/>
        </w:rPr>
        <w:lastRenderedPageBreak/>
        <w:t>ar to šis gadījums uz šādiem mehānismiem neattiecas.</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6"/>
        <w:tabs>
          <w:tab w:val="left" w:pos="1936"/>
        </w:tabs>
        <w:jc w:val="both"/>
        <w:rPr>
          <w:rFonts w:ascii="Times New Roman" w:hAnsi="Times New Roman"/>
          <w:noProof/>
          <w:sz w:val="24"/>
        </w:rPr>
      </w:pPr>
      <w:r>
        <w:rPr>
          <w:rFonts w:ascii="Times New Roman" w:hAnsi="Times New Roman"/>
          <w:noProof/>
          <w:sz w:val="24"/>
        </w:rPr>
        <w:t>IV.6.3.4. Hibrīdkapitāla pieaugums</w:t>
      </w:r>
    </w:p>
    <w:p w:rsidR="00523A0A" w:rsidRPr="001973D0" w:rsidRDefault="00523A0A" w:rsidP="00523A0A">
      <w:pPr>
        <w:pStyle w:val="Heading6"/>
        <w:tabs>
          <w:tab w:val="left" w:pos="1936"/>
        </w:tabs>
        <w:jc w:val="both"/>
        <w:rPr>
          <w:rFonts w:ascii="Times New Roman" w:hAnsi="Times New Roman"/>
          <w:noProof/>
          <w:sz w:val="24"/>
        </w:rPr>
      </w:pPr>
    </w:p>
    <w:p w:rsidR="00523A0A" w:rsidRPr="002F0893"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(Daļu no) kapitāla pieauguma var arī nodrošināt, emitējot hibrīdkapitāla instrumentu (apvienojumā ar pieprasāmo kapitālu) ar parāda un pašu kapitāla iezīmēm. Par statistikas traktējumu nevar spriest vispārīgi; precīzi apstākļi jāapsver katrā gadījumā atsevišķi.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r>
        <w:rPr>
          <w:rFonts w:ascii="Times New Roman" w:hAnsi="Times New Roman"/>
          <w:noProof/>
          <w:sz w:val="24"/>
        </w:rPr>
        <w:t>IV.6.3.5. Pagaidu pieaugums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Atšķirībā no patstāvīga pieauguma kapitāla pieaugumu var norādīt vienīgi attiecībā uz pagaidu periodu, un pēc noteikta laika posma tas (daļa no tā) tiek atmaksāta dalībniekiem (piemēram, pēc tam, kad beigusies krīze un aizdevuma darbības tiek atkal īstenotas parastajā līmenī). Statistikā traktējums ir šāds: pagaidu pieaugums ar grafikā noteiktu atmaksāšanu tiek uzskatīts par aizdevumu pat tad, ja tiek piemērota nulles procentu likme. Grafikā noteiktā atmaksāšana pakāpeniski samazinās aizdevuma neatmaksāto summu.</w:t>
      </w: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Sākotnējais aizdevuma traktējums ir piemērojams attiecībā uz abiem DAB mehānismu gadījumiem. Ja pēc tam aizdev</w:t>
      </w:r>
      <w:r w:rsidR="0021579A">
        <w:rPr>
          <w:rFonts w:ascii="Times New Roman" w:hAnsi="Times New Roman"/>
          <w:noProof/>
          <w:sz w:val="24"/>
        </w:rPr>
        <w:t>ums tiek atcelts, tas jāieraksta</w:t>
      </w:r>
      <w:r>
        <w:rPr>
          <w:rFonts w:ascii="Times New Roman" w:hAnsi="Times New Roman"/>
          <w:noProof/>
          <w:sz w:val="24"/>
        </w:rPr>
        <w:t xml:space="preserve"> kā kapitāla pārvedums.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r>
        <w:rPr>
          <w:rFonts w:ascii="Times New Roman" w:hAnsi="Times New Roman"/>
          <w:noProof/>
          <w:sz w:val="24"/>
        </w:rPr>
        <w:t>IV.6.3.6. Iekasēšanas periods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Faktisko naudas maksājumu, ko dalībnieki nodrošina kā kapitāla pieauguma apmaksāto daļu, var nolemt pagarināt uz ilgāku laika posmu un sadalīt vairākos maksājumos (līdz pat 10 gadiem). Šajā ziņā divi minētie DAB mehānismi atšķiras.</w:t>
      </w: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Attiecībā uz DAB mehānismu, no kura tiek piešķirti galvenokārt nekoncesionāli aizdevumi, statistikas traktējumā pieņem, ka lēmums par kapitāla pieaugumu tiek pieņemts sākumā (t. i., viens lēmums par kapitāla pieaugumu, lai arī ar atliktiem maksājumiem, nevis daudz lēmumu par atsevišķiem kapitāla palielināšanas maksājumiem daudzus gadus ilgā laika posmā). Pašu k</w:t>
      </w:r>
      <w:r w:rsidR="000652D6">
        <w:rPr>
          <w:rFonts w:ascii="Times New Roman" w:hAnsi="Times New Roman"/>
          <w:noProof/>
          <w:sz w:val="24"/>
        </w:rPr>
        <w:t>apitāla iegūšana tiek ierakstīta</w:t>
      </w:r>
      <w:r>
        <w:rPr>
          <w:rFonts w:ascii="Times New Roman" w:hAnsi="Times New Roman"/>
          <w:noProof/>
          <w:sz w:val="24"/>
        </w:rPr>
        <w:t xml:space="preserve"> pašā sākumā par pilnu apmaksātā kapi</w:t>
      </w:r>
      <w:r w:rsidR="000652D6">
        <w:rPr>
          <w:rFonts w:ascii="Times New Roman" w:hAnsi="Times New Roman"/>
          <w:noProof/>
          <w:sz w:val="24"/>
        </w:rPr>
        <w:t>tāla summu. To, kā ierakstāmas</w:t>
      </w:r>
      <w:r>
        <w:rPr>
          <w:rFonts w:ascii="Times New Roman" w:hAnsi="Times New Roman"/>
          <w:noProof/>
          <w:sz w:val="24"/>
        </w:rPr>
        <w:t xml:space="preserve"> tādu summu finanšu pretvērtības, kuras sākotnēji netiek samaksātas naudā, lemj, pamatojoties uz laika posmu, kurā maksājumi ir jāveic. Ja tie ir jāveic ātri, proti, viena gada laikā, to daļu,</w:t>
      </w:r>
      <w:r w:rsidR="000652D6">
        <w:rPr>
          <w:rFonts w:ascii="Times New Roman" w:hAnsi="Times New Roman"/>
          <w:noProof/>
          <w:sz w:val="24"/>
        </w:rPr>
        <w:t xml:space="preserve"> kas vēl nav samaksāta, ieraksta</w:t>
      </w:r>
      <w:r>
        <w:rPr>
          <w:rFonts w:ascii="Times New Roman" w:hAnsi="Times New Roman"/>
          <w:noProof/>
          <w:sz w:val="24"/>
        </w:rPr>
        <w:t xml:space="preserve"> kā citas kreditoru saistības (AF.8) bez ietekmes uz valdības (</w:t>
      </w:r>
      <w:r>
        <w:rPr>
          <w:rFonts w:ascii="Times New Roman" w:hAnsi="Times New Roman"/>
          <w:i/>
          <w:noProof/>
          <w:sz w:val="24"/>
        </w:rPr>
        <w:t>EDP</w:t>
      </w:r>
      <w:r>
        <w:rPr>
          <w:rFonts w:ascii="Times New Roman" w:hAnsi="Times New Roman"/>
          <w:noProof/>
          <w:sz w:val="24"/>
        </w:rPr>
        <w:t>) parā</w:t>
      </w:r>
      <w:r w:rsidR="000652D6">
        <w:rPr>
          <w:rFonts w:ascii="Times New Roman" w:hAnsi="Times New Roman"/>
          <w:noProof/>
          <w:sz w:val="24"/>
        </w:rPr>
        <w:t>du. Turklāt pretvērtību ieraksta</w:t>
      </w:r>
      <w:r>
        <w:rPr>
          <w:rFonts w:ascii="Times New Roman" w:hAnsi="Times New Roman"/>
          <w:noProof/>
          <w:sz w:val="24"/>
        </w:rPr>
        <w:t xml:space="preserve"> kā bankas aizdevumu valdībai (AF.4) ar ietekmi uz valdības (</w:t>
      </w:r>
      <w:r>
        <w:rPr>
          <w:rFonts w:ascii="Times New Roman" w:hAnsi="Times New Roman"/>
          <w:i/>
          <w:noProof/>
          <w:sz w:val="24"/>
        </w:rPr>
        <w:t>EDP</w:t>
      </w:r>
      <w:r>
        <w:rPr>
          <w:rFonts w:ascii="Times New Roman" w:hAnsi="Times New Roman"/>
          <w:noProof/>
          <w:sz w:val="24"/>
        </w:rPr>
        <w:t>) parādu.</w:t>
      </w:r>
    </w:p>
    <w:p w:rsidR="00523A0A" w:rsidRPr="001973D0" w:rsidRDefault="00523A0A" w:rsidP="00523A0A">
      <w:pPr>
        <w:pStyle w:val="BodyText"/>
        <w:numPr>
          <w:ilvl w:val="0"/>
          <w:numId w:val="52"/>
        </w:numPr>
        <w:tabs>
          <w:tab w:val="left" w:pos="1162"/>
        </w:tabs>
        <w:spacing w:before="0"/>
        <w:ind w:left="709" w:hanging="709"/>
        <w:jc w:val="both"/>
        <w:rPr>
          <w:rFonts w:ascii="Times New Roman" w:hAnsi="Times New Roman"/>
          <w:noProof/>
          <w:sz w:val="24"/>
        </w:rPr>
      </w:pPr>
      <w:r>
        <w:rPr>
          <w:rFonts w:ascii="Times New Roman" w:hAnsi="Times New Roman"/>
          <w:noProof/>
          <w:sz w:val="24"/>
        </w:rPr>
        <w:t>Attiecībā uz DAB mehānismiem, no kuriem tiek piešķirti galvenokārt koncesionāli aizdevumi un dot</w:t>
      </w:r>
      <w:r w:rsidR="000652D6">
        <w:rPr>
          <w:rFonts w:ascii="Times New Roman" w:hAnsi="Times New Roman"/>
          <w:noProof/>
          <w:sz w:val="24"/>
        </w:rPr>
        <w:t>ācijas, šie maksājumi jāieraksta kā finanšu pārvedumi. Ierakstī</w:t>
      </w:r>
      <w:r>
        <w:rPr>
          <w:rFonts w:ascii="Times New Roman" w:hAnsi="Times New Roman"/>
          <w:noProof/>
          <w:sz w:val="24"/>
        </w:rPr>
        <w:t>šanas laikam būtu jāatbilst EKS 2010 4.1</w:t>
      </w:r>
      <w:r w:rsidR="000652D6">
        <w:rPr>
          <w:rFonts w:ascii="Times New Roman" w:hAnsi="Times New Roman"/>
          <w:noProof/>
          <w:sz w:val="24"/>
        </w:rPr>
        <w:t>66. punktam, proti, ierakstīšana</w:t>
      </w:r>
      <w:r>
        <w:rPr>
          <w:rFonts w:ascii="Times New Roman" w:hAnsi="Times New Roman"/>
          <w:noProof/>
          <w:sz w:val="24"/>
        </w:rPr>
        <w:t xml:space="preserve"> jāveic laikā, kad ir jāveic maksājums.</w:t>
      </w:r>
    </w:p>
    <w:p w:rsidR="00523A0A" w:rsidRDefault="00523A0A" w:rsidP="00523A0A">
      <w:pPr>
        <w:rPr>
          <w:rFonts w:ascii="Times New Roman" w:eastAsia="Arial" w:hAnsi="Times New Roman" w:cs="Arial"/>
          <w:noProof/>
          <w:sz w:val="24"/>
          <w:szCs w:val="20"/>
        </w:rPr>
      </w:pPr>
      <w:r>
        <w:br w:type="page"/>
      </w:r>
    </w:p>
    <w:p w:rsidR="00523A0A" w:rsidRPr="001973D0" w:rsidRDefault="00523A0A" w:rsidP="00AB5F24">
      <w:pPr>
        <w:pStyle w:val="Heading2"/>
        <w:rPr>
          <w:noProof/>
        </w:rPr>
      </w:pPr>
      <w:bookmarkStart w:id="325" w:name="IV.7_Keywords_and_accounting_references"/>
      <w:bookmarkStart w:id="326" w:name="_bookmark37"/>
      <w:bookmarkStart w:id="327" w:name="_Toc471135903"/>
      <w:bookmarkEnd w:id="325"/>
      <w:bookmarkEnd w:id="326"/>
      <w:r>
        <w:rPr>
          <w:noProof/>
        </w:rPr>
        <w:lastRenderedPageBreak/>
        <w:t>IV.7. Atslēgvārdi un atsauces</w:t>
      </w:r>
      <w:bookmarkEnd w:id="327"/>
    </w:p>
    <w:p w:rsidR="00523A0A" w:rsidRPr="001973D0" w:rsidRDefault="00523A0A" w:rsidP="00523A0A">
      <w:pPr>
        <w:jc w:val="both"/>
        <w:rPr>
          <w:rFonts w:ascii="Times New Roman" w:eastAsia="Arial" w:hAnsi="Times New Roman" w:cs="Arial"/>
          <w:b/>
          <w:bCs/>
          <w:noProof/>
          <w:sz w:val="24"/>
          <w:szCs w:val="20"/>
        </w:rPr>
      </w:pPr>
    </w:p>
    <w:tbl>
      <w:tblPr>
        <w:tblpPr w:leftFromText="180" w:rightFromText="180" w:vertAnchor="text" w:horzAnchor="margin" w:tblpY="80"/>
        <w:tblW w:w="5000" w:type="pct"/>
        <w:tblCellMar>
          <w:top w:w="28" w:type="dxa"/>
          <w:left w:w="28" w:type="dxa"/>
          <w:bottom w:w="28" w:type="dxa"/>
          <w:right w:w="28" w:type="dxa"/>
        </w:tblCellMar>
        <w:tblLook w:val="01E0" w:firstRow="1" w:lastRow="1" w:firstColumn="1" w:lastColumn="1" w:noHBand="0" w:noVBand="0"/>
      </w:tblPr>
      <w:tblGrid>
        <w:gridCol w:w="5085"/>
        <w:gridCol w:w="3986"/>
      </w:tblGrid>
      <w:tr w:rsidR="00523A0A" w:rsidRPr="001973D0" w:rsidTr="00523A0A">
        <w:trPr>
          <w:trHeight w:hRule="exact" w:val="378"/>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Pārkārtoti darījumi</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1.73.–1.78. punkts</w:t>
            </w:r>
          </w:p>
        </w:tc>
      </w:tr>
      <w:tr w:rsidR="00523A0A" w:rsidRPr="001973D0" w:rsidTr="00523A0A">
        <w:trPr>
          <w:trHeight w:hRule="exact" w:val="417"/>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Pārvirzīšana</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1.73.–1.75. punkts</w:t>
            </w:r>
          </w:p>
        </w:tc>
      </w:tr>
      <w:tr w:rsidR="00523A0A" w:rsidRPr="001973D0" w:rsidTr="00523A0A">
        <w:trPr>
          <w:trHeight w:hRule="exact" w:val="417"/>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Finanšu starpniecība/starpnieks</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2.87.–2.88., 2.61. punkts</w:t>
            </w:r>
          </w:p>
        </w:tc>
      </w:tr>
      <w:tr w:rsidR="00523A0A" w:rsidRPr="001973D0" w:rsidTr="00523A0A">
        <w:trPr>
          <w:trHeight w:hRule="exact" w:val="417"/>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Cits kapitāla pārvedums</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4.164.–4.167. punkts</w:t>
            </w:r>
          </w:p>
        </w:tc>
      </w:tr>
      <w:tr w:rsidR="00523A0A" w:rsidRPr="001973D0" w:rsidTr="00523A0A">
        <w:trPr>
          <w:trHeight w:hRule="exact" w:val="418"/>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Darījumu novērtējums</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5.19.–5.22. punkts</w:t>
            </w:r>
          </w:p>
        </w:tc>
      </w:tr>
      <w:tr w:rsidR="00523A0A" w:rsidRPr="001973D0" w:rsidTr="00523A0A">
        <w:trPr>
          <w:trHeight w:hRule="exact" w:val="379"/>
        </w:trPr>
        <w:tc>
          <w:tcPr>
            <w:tcW w:w="2803"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Aktīvu novērtējums</w:t>
            </w:r>
          </w:p>
        </w:tc>
        <w:tc>
          <w:tcPr>
            <w:tcW w:w="2197" w:type="pct"/>
            <w:tcBorders>
              <w:top w:val="nil"/>
              <w:left w:val="nil"/>
              <w:bottom w:val="nil"/>
              <w:right w:val="nil"/>
            </w:tcBorders>
          </w:tcPr>
          <w:p w:rsidR="00523A0A" w:rsidRPr="001973D0" w:rsidRDefault="00523A0A" w:rsidP="00523A0A">
            <w:pPr>
              <w:pStyle w:val="TableParagraph"/>
              <w:jc w:val="both"/>
              <w:rPr>
                <w:rFonts w:ascii="Times New Roman" w:hAnsi="Times New Roman"/>
                <w:noProof/>
                <w:sz w:val="24"/>
              </w:rPr>
            </w:pPr>
            <w:r>
              <w:rPr>
                <w:rFonts w:ascii="Times New Roman" w:hAnsi="Times New Roman"/>
                <w:noProof/>
                <w:sz w:val="24"/>
              </w:rPr>
              <w:t>EKS 2010 7.33.–7.41., 7.61. punkts</w:t>
            </w:r>
          </w:p>
        </w:tc>
      </w:tr>
    </w:tbl>
    <w:p w:rsidR="00523A0A" w:rsidRDefault="00523A0A" w:rsidP="00523A0A">
      <w:pPr>
        <w:jc w:val="both"/>
        <w:rPr>
          <w:rFonts w:ascii="Times New Roman" w:eastAsia="Arial" w:hAnsi="Times New Roman" w:cs="Arial"/>
          <w:b/>
          <w:bCs/>
          <w:noProof/>
          <w:sz w:val="24"/>
          <w:szCs w:val="20"/>
        </w:rPr>
      </w:pPr>
    </w:p>
    <w:p w:rsidR="00523A0A" w:rsidRDefault="00523A0A" w:rsidP="00523A0A">
      <w:pPr>
        <w:rPr>
          <w:rFonts w:ascii="Times New Roman" w:eastAsia="Arial" w:hAnsi="Times New Roman" w:cs="Arial"/>
          <w:b/>
          <w:bCs/>
          <w:noProof/>
          <w:sz w:val="24"/>
          <w:szCs w:val="20"/>
        </w:rPr>
      </w:pPr>
      <w:r>
        <w:br w:type="page"/>
      </w:r>
    </w:p>
    <w:p w:rsidR="00523A0A" w:rsidRPr="001973D0" w:rsidRDefault="00AB5F24" w:rsidP="00AB5F24">
      <w:pPr>
        <w:pStyle w:val="Heading1"/>
        <w:tabs>
          <w:tab w:val="left" w:pos="1134"/>
        </w:tabs>
        <w:rPr>
          <w:noProof/>
        </w:rPr>
      </w:pPr>
      <w:bookmarkStart w:id="328" w:name="Part_V_Sale_of_assets"/>
      <w:bookmarkStart w:id="329" w:name="_bookmark38"/>
      <w:bookmarkStart w:id="330" w:name="_Toc471135904"/>
      <w:bookmarkEnd w:id="328"/>
      <w:bookmarkEnd w:id="329"/>
      <w:r>
        <w:rPr>
          <w:noProof/>
        </w:rPr>
        <w:lastRenderedPageBreak/>
        <w:t>V daļa.</w:t>
      </w:r>
      <w:r>
        <w:rPr>
          <w:noProof/>
        </w:rPr>
        <w:tab/>
      </w:r>
      <w:r w:rsidR="00523A0A">
        <w:rPr>
          <w:noProof/>
        </w:rPr>
        <w:t>Aktīvu pārdošana</w:t>
      </w:r>
      <w:bookmarkEnd w:id="330"/>
    </w:p>
    <w:p w:rsidR="00523A0A" w:rsidRPr="001973D0" w:rsidRDefault="00523A0A" w:rsidP="00523A0A">
      <w:pPr>
        <w:jc w:val="both"/>
        <w:rPr>
          <w:rFonts w:ascii="Times New Roman" w:eastAsia="Arial" w:hAnsi="Times New Roman" w:cs="Arial"/>
          <w:b/>
          <w:bCs/>
          <w:noProof/>
          <w:sz w:val="24"/>
          <w:szCs w:val="31"/>
        </w:rPr>
      </w:pPr>
    </w:p>
    <w:p w:rsidR="00523A0A" w:rsidRDefault="00523A0A" w:rsidP="00AB5F24">
      <w:pPr>
        <w:pStyle w:val="Heading2"/>
        <w:rPr>
          <w:noProof/>
        </w:rPr>
      </w:pPr>
      <w:bookmarkStart w:id="331" w:name="V.1_Overview"/>
      <w:bookmarkStart w:id="332" w:name="_bookmark39"/>
      <w:bookmarkStart w:id="333" w:name="_Toc471135905"/>
      <w:bookmarkEnd w:id="331"/>
      <w:bookmarkEnd w:id="332"/>
      <w:r>
        <w:rPr>
          <w:noProof/>
        </w:rPr>
        <w:t>V.1. Pārskats</w:t>
      </w:r>
      <w:bookmarkEnd w:id="333"/>
    </w:p>
    <w:p w:rsidR="00523A0A" w:rsidRPr="001973D0" w:rsidRDefault="00523A0A" w:rsidP="00523A0A">
      <w:pPr>
        <w:tabs>
          <w:tab w:val="left" w:pos="1452"/>
        </w:tabs>
        <w:jc w:val="both"/>
        <w:rPr>
          <w:rFonts w:ascii="Times New Roman" w:hAnsi="Times New Roman"/>
          <w:b/>
          <w:noProof/>
          <w:sz w:val="24"/>
        </w:rPr>
      </w:pPr>
    </w:p>
    <w:p w:rsidR="00523A0A" w:rsidRPr="001973D0" w:rsidRDefault="00523A0A" w:rsidP="00523A0A">
      <w:pPr>
        <w:pStyle w:val="BodyText"/>
        <w:numPr>
          <w:ilvl w:val="0"/>
          <w:numId w:val="5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Valdības pārdod finanšu un nefinanšu aktīvus, lai piesaistītu naudas līdzekļus vai optimizētu savu aktīvu apmēru. Valdības var arī novirzīt ieņēmumu plūsmas vai uzņemties turpmākās saistības veikt maksājumus apmaiņā pret pašreiz saņemtu skaidru naudu. Lielākajā daļā gadījumu nacionālajos </w:t>
      </w:r>
      <w:r w:rsidR="000652D6">
        <w:rPr>
          <w:rFonts w:ascii="Times New Roman" w:hAnsi="Times New Roman"/>
          <w:noProof/>
          <w:sz w:val="24"/>
        </w:rPr>
        <w:t>kontos aktīva pārdošanu ieraksta</w:t>
      </w:r>
      <w:r>
        <w:rPr>
          <w:rFonts w:ascii="Times New Roman" w:hAnsi="Times New Roman"/>
          <w:noProof/>
          <w:sz w:val="24"/>
        </w:rPr>
        <w:t xml:space="preserve"> kā pārdošanu par attiecīgā darījuma summu.</w:t>
      </w:r>
    </w:p>
    <w:p w:rsidR="00523A0A" w:rsidRDefault="00523A0A" w:rsidP="00523A0A">
      <w:pPr>
        <w:pStyle w:val="BodyText"/>
        <w:numPr>
          <w:ilvl w:val="0"/>
          <w:numId w:val="51"/>
        </w:numPr>
        <w:tabs>
          <w:tab w:val="left" w:pos="1102"/>
        </w:tabs>
        <w:spacing w:before="0"/>
        <w:ind w:left="709" w:hanging="709"/>
        <w:jc w:val="both"/>
        <w:rPr>
          <w:rFonts w:ascii="Times New Roman" w:hAnsi="Times New Roman"/>
          <w:noProof/>
          <w:sz w:val="24"/>
        </w:rPr>
      </w:pPr>
      <w:r>
        <w:rPr>
          <w:rFonts w:ascii="Times New Roman" w:hAnsi="Times New Roman"/>
          <w:noProof/>
          <w:sz w:val="24"/>
        </w:rPr>
        <w:t>Tomēr pastāv daži sarežģītāki gadījumi, jo īpaši tad, ja:</w:t>
      </w:r>
    </w:p>
    <w:p w:rsidR="00523A0A" w:rsidRPr="001973D0" w:rsidRDefault="00523A0A" w:rsidP="00523A0A">
      <w:pPr>
        <w:pStyle w:val="BodyText"/>
        <w:tabs>
          <w:tab w:val="left" w:pos="1102"/>
        </w:tabs>
        <w:spacing w:before="0"/>
        <w:ind w:left="0" w:firstLine="0"/>
        <w:jc w:val="both"/>
        <w:rPr>
          <w:rFonts w:ascii="Times New Roman" w:hAnsi="Times New Roman"/>
          <w:noProof/>
          <w:sz w:val="24"/>
        </w:rPr>
      </w:pPr>
    </w:p>
    <w:p w:rsidR="00523A0A" w:rsidRPr="001973D0" w:rsidRDefault="00523A0A" w:rsidP="00523A0A">
      <w:pPr>
        <w:pStyle w:val="BodyText"/>
        <w:numPr>
          <w:ilvl w:val="1"/>
          <w:numId w:val="51"/>
        </w:numPr>
        <w:tabs>
          <w:tab w:val="left" w:pos="1452"/>
        </w:tabs>
        <w:spacing w:before="0"/>
        <w:ind w:left="1134" w:hanging="425"/>
        <w:jc w:val="both"/>
        <w:rPr>
          <w:rFonts w:ascii="Times New Roman" w:hAnsi="Times New Roman"/>
          <w:noProof/>
          <w:sz w:val="24"/>
        </w:rPr>
      </w:pPr>
      <w:r>
        <w:rPr>
          <w:rFonts w:ascii="Times New Roman" w:hAnsi="Times New Roman"/>
          <w:noProof/>
          <w:sz w:val="24"/>
        </w:rPr>
        <w:t>pārdošana notiek ar publisku sabiedrību starpniecību;</w:t>
      </w:r>
    </w:p>
    <w:p w:rsidR="00523A0A" w:rsidRPr="001973D0" w:rsidRDefault="00523A0A" w:rsidP="00523A0A">
      <w:pPr>
        <w:pStyle w:val="BodyText"/>
        <w:numPr>
          <w:ilvl w:val="1"/>
          <w:numId w:val="51"/>
        </w:numPr>
        <w:tabs>
          <w:tab w:val="left" w:pos="1452"/>
        </w:tabs>
        <w:spacing w:before="0"/>
        <w:ind w:left="1134" w:hanging="425"/>
        <w:jc w:val="both"/>
        <w:rPr>
          <w:rFonts w:ascii="Times New Roman" w:hAnsi="Times New Roman"/>
          <w:noProof/>
          <w:sz w:val="24"/>
        </w:rPr>
      </w:pPr>
      <w:r>
        <w:rPr>
          <w:rFonts w:ascii="Times New Roman" w:hAnsi="Times New Roman"/>
          <w:noProof/>
          <w:sz w:val="24"/>
        </w:rPr>
        <w:t>ekonomiskie riski un priekšrocības netiek pilnīgi nodotas (nav “īsta pārdošana”);</w:t>
      </w:r>
    </w:p>
    <w:p w:rsidR="00523A0A" w:rsidRPr="001973D0" w:rsidRDefault="00523A0A" w:rsidP="00523A0A">
      <w:pPr>
        <w:pStyle w:val="BodyText"/>
        <w:numPr>
          <w:ilvl w:val="1"/>
          <w:numId w:val="51"/>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 par pārdošanu nesaņem atlīdzību naudā vai arī saņemtā summa atšķiras no pārdoto aktīvu tirgus/patiesās vērtības;</w:t>
      </w:r>
    </w:p>
    <w:p w:rsidR="00523A0A" w:rsidRDefault="00523A0A" w:rsidP="00523A0A">
      <w:pPr>
        <w:pStyle w:val="BodyText"/>
        <w:numPr>
          <w:ilvl w:val="1"/>
          <w:numId w:val="51"/>
        </w:numPr>
        <w:tabs>
          <w:tab w:val="left" w:pos="1452"/>
        </w:tabs>
        <w:spacing w:before="0"/>
        <w:ind w:left="1134" w:hanging="425"/>
        <w:jc w:val="both"/>
        <w:rPr>
          <w:rFonts w:ascii="Times New Roman" w:hAnsi="Times New Roman"/>
          <w:noProof/>
          <w:sz w:val="24"/>
        </w:rPr>
      </w:pPr>
      <w:r>
        <w:rPr>
          <w:rFonts w:ascii="Times New Roman" w:hAnsi="Times New Roman"/>
          <w:noProof/>
          <w:sz w:val="24"/>
        </w:rPr>
        <w:t>šķietami pārdotais aktīvs na</w:t>
      </w:r>
      <w:r w:rsidR="000652D6">
        <w:rPr>
          <w:rFonts w:ascii="Times New Roman" w:hAnsi="Times New Roman"/>
          <w:noProof/>
          <w:sz w:val="24"/>
        </w:rPr>
        <w:t>cionālajos kontos nav ierakstīts</w:t>
      </w:r>
      <w:r>
        <w:rPr>
          <w:rFonts w:ascii="Times New Roman" w:hAnsi="Times New Roman"/>
          <w:noProof/>
          <w:sz w:val="24"/>
        </w:rPr>
        <w:t xml:space="preserve"> valdības bilancē.</w:t>
      </w:r>
    </w:p>
    <w:p w:rsidR="00523A0A" w:rsidRPr="001973D0" w:rsidRDefault="00523A0A" w:rsidP="00523A0A">
      <w:pPr>
        <w:pStyle w:val="BodyText"/>
        <w:tabs>
          <w:tab w:val="left" w:pos="145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51"/>
        </w:numPr>
        <w:tabs>
          <w:tab w:val="left" w:pos="1102"/>
        </w:tabs>
        <w:spacing w:before="0"/>
        <w:ind w:left="709" w:hanging="709"/>
        <w:jc w:val="both"/>
        <w:rPr>
          <w:rFonts w:ascii="Times New Roman" w:hAnsi="Times New Roman"/>
          <w:noProof/>
          <w:sz w:val="24"/>
        </w:rPr>
      </w:pPr>
      <w:r>
        <w:rPr>
          <w:rFonts w:ascii="Times New Roman" w:hAnsi="Times New Roman"/>
          <w:noProof/>
          <w:sz w:val="24"/>
        </w:rPr>
        <w:t>Turpmāk sniegtajos norādījumos galvenie piemērotie principi ir ekonomiskās būtības (nevis juridis</w:t>
      </w:r>
      <w:r w:rsidR="000652D6">
        <w:rPr>
          <w:rFonts w:ascii="Times New Roman" w:hAnsi="Times New Roman"/>
          <w:noProof/>
          <w:sz w:val="24"/>
        </w:rPr>
        <w:t>kās formas) ierakstīšana</w:t>
      </w:r>
      <w:r>
        <w:rPr>
          <w:rFonts w:ascii="Times New Roman" w:hAnsi="Times New Roman"/>
          <w:noProof/>
          <w:sz w:val="24"/>
        </w:rPr>
        <w:t>, ekonomisko īpašumtiesību jēdziens, finanšu un nefinanšu plūsmu nošķiršana un ienākuma jēdziena ietveršana nacionālajos kontos.</w:t>
      </w:r>
    </w:p>
    <w:p w:rsidR="00523A0A" w:rsidRDefault="00523A0A" w:rsidP="00523A0A">
      <w:pPr>
        <w:rPr>
          <w:rFonts w:ascii="Times New Roman" w:eastAsia="Arial" w:hAnsi="Times New Roman" w:cs="Arial"/>
          <w:noProof/>
          <w:sz w:val="24"/>
          <w:szCs w:val="20"/>
        </w:rPr>
      </w:pPr>
      <w:r>
        <w:br w:type="page"/>
      </w:r>
    </w:p>
    <w:p w:rsidR="00523A0A" w:rsidRDefault="00523A0A" w:rsidP="00AB5F24">
      <w:pPr>
        <w:pStyle w:val="Heading2"/>
        <w:rPr>
          <w:noProof/>
        </w:rPr>
      </w:pPr>
      <w:bookmarkStart w:id="334" w:name="V.2__Sales_of_financial_and_non-financia"/>
      <w:bookmarkStart w:id="335" w:name="_bookmark40"/>
      <w:bookmarkStart w:id="336" w:name="_Toc471135906"/>
      <w:bookmarkEnd w:id="334"/>
      <w:bookmarkEnd w:id="335"/>
      <w:r>
        <w:rPr>
          <w:noProof/>
        </w:rPr>
        <w:lastRenderedPageBreak/>
        <w:t>V.2. Finanšu un nefinanšu aktīvu pārdošana</w:t>
      </w:r>
      <w:bookmarkEnd w:id="336"/>
    </w:p>
    <w:p w:rsidR="00523A0A" w:rsidRPr="001973D0" w:rsidRDefault="00523A0A" w:rsidP="00523A0A">
      <w:pPr>
        <w:tabs>
          <w:tab w:val="left" w:pos="1540"/>
        </w:tabs>
        <w:jc w:val="both"/>
        <w:rPr>
          <w:rFonts w:ascii="Times New Roman" w:hAnsi="Times New Roman"/>
          <w:b/>
          <w:noProof/>
          <w:sz w:val="24"/>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37" w:name="V.2.1_Background"/>
      <w:bookmarkEnd w:id="337"/>
      <w:r>
        <w:rPr>
          <w:rFonts w:ascii="Times New Roman" w:hAnsi="Times New Roman"/>
          <w:noProof/>
          <w:u w:val="none"/>
        </w:rPr>
        <w:t>V.2.1. </w:t>
      </w:r>
      <w:r>
        <w:rPr>
          <w:rFonts w:ascii="Times New Roman" w:hAnsi="Times New Roman"/>
          <w:noProof/>
          <w:u w:val="thick" w:color="000000"/>
        </w:rPr>
        <w:t>Vispārēja informācija</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Parasti privatizācija nozīmē vispārējās valdības atteikšanos no kontroles pār publisku uzņēmumu, realizējot savas uzņēmuma akcijas un citu pašu kapitālu. Tomēr šis formulējums ietver ko vairāk nekā tikai minēto darbību: tas attiecas arī uz plašāku gadījumu, kad vispārējā valdība pārdod uzņēmumu akcijas un citu pašu kapitālu un šiem uzņēmumiem nav obligāti jābūt tās kontrolē vai gadījumā, ja uzņēmumi atrodas tās kontrolē, tai nav obligāti jāatsakās no šādas kontroles. Šādu pārdošanu var veikt tieši vai netieši. Šeit ir apspriesta arī nefinanšu aktīvu pārdošana.</w:t>
      </w:r>
    </w:p>
    <w:p w:rsidR="00523A0A"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Var izšķirt četrus gadījumus:</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1"/>
          <w:numId w:val="50"/>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 pārdod kāda uzņēmuma akcijas vai citu pašu kapitālu. To uzskata par “tiešu” pārdošanu;;</w:t>
      </w:r>
    </w:p>
    <w:p w:rsidR="00523A0A" w:rsidRPr="001973D0" w:rsidRDefault="00523A0A" w:rsidP="00523A0A">
      <w:pPr>
        <w:pStyle w:val="BodyText"/>
        <w:numPr>
          <w:ilvl w:val="1"/>
          <w:numId w:val="50"/>
        </w:numPr>
        <w:tabs>
          <w:tab w:val="left" w:pos="1452"/>
        </w:tabs>
        <w:spacing w:before="0"/>
        <w:ind w:left="1134" w:hanging="425"/>
        <w:jc w:val="both"/>
        <w:rPr>
          <w:rFonts w:ascii="Times New Roman" w:hAnsi="Times New Roman"/>
          <w:noProof/>
          <w:sz w:val="24"/>
        </w:rPr>
      </w:pPr>
      <w:r>
        <w:rPr>
          <w:rFonts w:ascii="Times New Roman" w:hAnsi="Times New Roman"/>
          <w:noProof/>
          <w:sz w:val="24"/>
        </w:rPr>
        <w:t>pieņemsim, ka valdībai pieder uzņēmums A, kas pārdod akcijas vai citu pašu kapitālu uzņēmumā B un nodod valdībai pārdošanas ieņēmumus. Šādu gadījumu uzskata par valdības veiktu “netiešu” finanšu aktīvu pārdošanu;</w:t>
      </w:r>
    </w:p>
    <w:p w:rsidR="00523A0A" w:rsidRPr="001973D0" w:rsidRDefault="00523A0A" w:rsidP="00523A0A">
      <w:pPr>
        <w:pStyle w:val="BodyText"/>
        <w:numPr>
          <w:ilvl w:val="1"/>
          <w:numId w:val="50"/>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 pārdod nefinanšu aktīvus. To uzskata par “tiešu” nefinanšu aktīvu pārdošanu;</w:t>
      </w:r>
    </w:p>
    <w:p w:rsidR="00523A0A" w:rsidRDefault="00523A0A" w:rsidP="00523A0A">
      <w:pPr>
        <w:pStyle w:val="BodyText"/>
        <w:numPr>
          <w:ilvl w:val="1"/>
          <w:numId w:val="50"/>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valdībai pieder uzņēmums A, kurš pārdod nefinanšu aktīvus un pārdošanas ieņēmumus nodod valdībai; Šādu gadījumu uzskata par valdības veiktu “netiešu” nefinanšu aktīvu pārdošanu.</w:t>
      </w:r>
    </w:p>
    <w:p w:rsidR="00523A0A" w:rsidRPr="001973D0" w:rsidRDefault="00523A0A" w:rsidP="00523A0A">
      <w:pPr>
        <w:pStyle w:val="BodyText"/>
        <w:tabs>
          <w:tab w:val="left" w:pos="1452"/>
        </w:tabs>
        <w:spacing w:before="0"/>
        <w:ind w:left="0" w:firstLine="0"/>
        <w:rPr>
          <w:rFonts w:ascii="Times New Roman" w:hAnsi="Times New Roman"/>
          <w:noProof/>
          <w:sz w:val="24"/>
        </w:rPr>
      </w:pP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Līdzekļus, kurus uzņēmums ir ieguvis netiešās pārdošanas rezultātā, valdībai var nodot ne tikai kā skaidru naudu, bet arī citādi. Piemēram, tas var notikt kā tādu naudas summu izpirkums, kuras uzņēmums ir parādā valdībai. Turpmāk ir aplūkota tikai likvīdu aktīvu piešķiršana, tomēr šis pieņēmums nemaina piedāvātos traktējumus.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452"/>
        </w:tabs>
        <w:ind w:left="0" w:firstLine="0"/>
        <w:jc w:val="both"/>
        <w:rPr>
          <w:rFonts w:ascii="Times New Roman" w:hAnsi="Times New Roman"/>
          <w:noProof/>
          <w:u w:val="thick" w:color="000000"/>
        </w:rPr>
      </w:pPr>
      <w:bookmarkStart w:id="338" w:name="V.2.2_Treatment_in_national_accounts"/>
      <w:bookmarkEnd w:id="338"/>
      <w:r>
        <w:rPr>
          <w:rFonts w:ascii="Times New Roman" w:hAnsi="Times New Roman"/>
          <w:noProof/>
          <w:u w:val="none"/>
        </w:rPr>
        <w:t>V.2.2. </w:t>
      </w:r>
      <w:r>
        <w:rPr>
          <w:rFonts w:ascii="Times New Roman" w:hAnsi="Times New Roman"/>
          <w:noProof/>
          <w:u w:val="thick" w:color="000000"/>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876"/>
        </w:tabs>
        <w:jc w:val="both"/>
        <w:rPr>
          <w:rFonts w:ascii="Times New Roman" w:hAnsi="Times New Roman"/>
          <w:noProof/>
          <w:sz w:val="24"/>
        </w:rPr>
      </w:pPr>
      <w:bookmarkStart w:id="339" w:name="V.2.2.1_Direct_sale_of_financial_assets"/>
      <w:bookmarkEnd w:id="339"/>
      <w:r>
        <w:rPr>
          <w:rFonts w:ascii="Times New Roman" w:hAnsi="Times New Roman"/>
          <w:noProof/>
          <w:sz w:val="24"/>
        </w:rPr>
        <w:t>V.2.2.1. Finanšu aktīvu tieša pārdošana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Finanšu aktīvu tieša</w:t>
      </w:r>
      <w:r w:rsidR="000652D6">
        <w:rPr>
          <w:rFonts w:ascii="Times New Roman" w:hAnsi="Times New Roman"/>
          <w:noProof/>
          <w:sz w:val="24"/>
        </w:rPr>
        <w:t xml:space="preserve"> pārdošana ir pilnīgi jāieraksta</w:t>
      </w:r>
      <w:r>
        <w:rPr>
          <w:rFonts w:ascii="Times New Roman" w:hAnsi="Times New Roman"/>
          <w:noProof/>
          <w:sz w:val="24"/>
        </w:rPr>
        <w:t xml:space="preserve"> vispārējās valdības un iesaistītā uzņēmuma finanšu kontos: tā ir akciju vai cita pašu kapitāla izņemšana (F.5) no uzņēmuma, kas daļēji vai pilnīgi ir piederējis valdībai, ar pretvērtības ierakstu par finanšu aktīva palielināšanu (galvenokārt likvīdi aktīvi (F.2)). Tas neietekmē vispārējās valdības neto aizdevumu/aizņēmumu (B.9).</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40" w:name="V.2.2.2_Indirect_sale_of_financial_asset"/>
      <w:bookmarkEnd w:id="340"/>
      <w:r>
        <w:rPr>
          <w:rFonts w:ascii="Times New Roman" w:hAnsi="Times New Roman"/>
          <w:noProof/>
          <w:sz w:val="24"/>
        </w:rPr>
        <w:t>V.2.2.2. Finanšu aktīvu netieša pārdošana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Arī finanšu aktīvu</w:t>
      </w:r>
      <w:r w:rsidR="000652D6">
        <w:rPr>
          <w:rFonts w:ascii="Times New Roman" w:hAnsi="Times New Roman"/>
          <w:noProof/>
          <w:sz w:val="24"/>
        </w:rPr>
        <w:t xml:space="preserve"> netieša pārdošana ir jāieraksta</w:t>
      </w:r>
      <w:r>
        <w:rPr>
          <w:rFonts w:ascii="Times New Roman" w:hAnsi="Times New Roman"/>
          <w:noProof/>
          <w:sz w:val="24"/>
        </w:rPr>
        <w:t xml:space="preserve"> vispārējās valdības un iepriekš minētā uzņēmuma A finanšu kontos: tā ir akciju vai cita pašu kapitāla izņemšana no uzņēmuma A, veicot pretvērtības ierakstu finanšu aktīva palielināšanai. Tas jāievēro neatkarīgi no tā, vai uzņēmums A savai īpašniecei, t. i., valstij, nodod visus pārdošanas ieņēmumus vai to daļu. Finanšu aktīvu netieša pārdošana neietekmē vispārējās valdības neto aizdevumu/aizņēmumu (B.9).</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6"/>
        <w:tabs>
          <w:tab w:val="left" w:pos="1936"/>
        </w:tabs>
        <w:jc w:val="both"/>
        <w:rPr>
          <w:rFonts w:ascii="Times New Roman" w:hAnsi="Times New Roman"/>
          <w:noProof/>
          <w:sz w:val="24"/>
        </w:rPr>
      </w:pPr>
      <w:bookmarkStart w:id="341" w:name="V.2.2.3_Direct_sale_of_non-financial_ass"/>
      <w:bookmarkEnd w:id="341"/>
      <w:r>
        <w:rPr>
          <w:rFonts w:ascii="Times New Roman" w:hAnsi="Times New Roman"/>
          <w:noProof/>
          <w:sz w:val="24"/>
        </w:rPr>
        <w:t>V.2.2.3. Nefinanšu aktīvu tieša pārdošana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lastRenderedPageBreak/>
        <w:t>Nefinanšu a</w:t>
      </w:r>
      <w:r w:rsidR="000652D6">
        <w:rPr>
          <w:rFonts w:ascii="Times New Roman" w:hAnsi="Times New Roman"/>
          <w:noProof/>
          <w:sz w:val="24"/>
        </w:rPr>
        <w:t>ktīvu tieša pārdošana jāieraksta</w:t>
      </w:r>
      <w:r>
        <w:rPr>
          <w:rFonts w:ascii="Times New Roman" w:hAnsi="Times New Roman"/>
          <w:noProof/>
          <w:sz w:val="24"/>
        </w:rPr>
        <w:t xml:space="preserve"> vispārējās valdības kapitāla kontā: tā ir nefinanšu aktīvu realizācija, kas pozitīvi ietekmē vispārējās valdības neto aizdevumu/aizņēmumu (B.9). Par nefinanšu aktīviem uzskata pamatlīdzekļus, inventāru, dārgmetālus, zemi vai citus neražotus nefinanšu aktīvus.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42" w:name="V.2.2.4_Indirect_sale_of_non-financial_a"/>
      <w:bookmarkEnd w:id="342"/>
      <w:r>
        <w:rPr>
          <w:rFonts w:ascii="Times New Roman" w:hAnsi="Times New Roman"/>
          <w:noProof/>
          <w:sz w:val="24"/>
        </w:rPr>
        <w:t>V.2.2.4. Nefinanšu aktīvu netieša pārdošana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Nefinanšu aktīvu netiešu pārdošanu vis</w:t>
      </w:r>
      <w:r w:rsidR="000652D6">
        <w:rPr>
          <w:rFonts w:ascii="Times New Roman" w:hAnsi="Times New Roman"/>
          <w:noProof/>
          <w:sz w:val="24"/>
        </w:rPr>
        <w:t>pārējās valdības kontos ieraksta</w:t>
      </w:r>
      <w:r>
        <w:rPr>
          <w:rFonts w:ascii="Times New Roman" w:hAnsi="Times New Roman"/>
          <w:noProof/>
          <w:sz w:val="24"/>
        </w:rPr>
        <w:t xml:space="preserve"> kā finanšu darījumu: tā ir akciju vai cita pašu kapitāla izņemšana no uzņēmuma A, kas daļēji vai pilnīgi ir piederējis valdībai, attiecībā uz saņemtajiem līdzekļiem veicot pretvērtības ierakstu par finanšu aktīva palielināšanu.</w:t>
      </w:r>
    </w:p>
    <w:p w:rsidR="00523A0A" w:rsidRPr="001973D0" w:rsidRDefault="00523A0A" w:rsidP="00523A0A">
      <w:pPr>
        <w:jc w:val="both"/>
        <w:rPr>
          <w:rFonts w:ascii="Times New Roman" w:eastAsia="Arial" w:hAnsi="Times New Roman" w:cs="Arial"/>
          <w:noProof/>
          <w:sz w:val="24"/>
          <w:szCs w:val="20"/>
        </w:rPr>
      </w:pPr>
    </w:p>
    <w:p w:rsidR="00523A0A" w:rsidRDefault="000652D6" w:rsidP="00523A0A">
      <w:pPr>
        <w:pStyle w:val="Heading6"/>
        <w:tabs>
          <w:tab w:val="left" w:pos="1936"/>
        </w:tabs>
        <w:jc w:val="both"/>
        <w:rPr>
          <w:rFonts w:ascii="Times New Roman" w:hAnsi="Times New Roman"/>
          <w:noProof/>
          <w:sz w:val="24"/>
        </w:rPr>
      </w:pPr>
      <w:bookmarkStart w:id="343" w:name="V.2.2.5_Time_of_recording,_amounts_to_be"/>
      <w:bookmarkEnd w:id="343"/>
      <w:r>
        <w:rPr>
          <w:rFonts w:ascii="Times New Roman" w:hAnsi="Times New Roman"/>
          <w:noProof/>
          <w:sz w:val="24"/>
        </w:rPr>
        <w:t>V.2.2.5. Ierakstīšanas laiks, ierakstāmās</w:t>
      </w:r>
      <w:r w:rsidR="00523A0A">
        <w:rPr>
          <w:rFonts w:ascii="Times New Roman" w:hAnsi="Times New Roman"/>
          <w:noProof/>
          <w:sz w:val="24"/>
        </w:rPr>
        <w:t xml:space="preserve"> summas</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Vispārējās valdības kontos:</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0"/>
          <w:numId w:val="49"/>
        </w:numPr>
        <w:tabs>
          <w:tab w:val="left" w:pos="1522"/>
        </w:tabs>
        <w:spacing w:before="0"/>
        <w:ind w:left="1134" w:hanging="425"/>
        <w:jc w:val="both"/>
        <w:rPr>
          <w:rFonts w:ascii="Times New Roman" w:hAnsi="Times New Roman"/>
          <w:noProof/>
          <w:sz w:val="24"/>
        </w:rPr>
      </w:pPr>
      <w:r>
        <w:rPr>
          <w:rFonts w:ascii="Times New Roman" w:hAnsi="Times New Roman"/>
          <w:noProof/>
          <w:sz w:val="24"/>
        </w:rPr>
        <w:t>tiešas pārdoš</w:t>
      </w:r>
      <w:r w:rsidR="000652D6">
        <w:rPr>
          <w:rFonts w:ascii="Times New Roman" w:hAnsi="Times New Roman"/>
          <w:noProof/>
          <w:sz w:val="24"/>
        </w:rPr>
        <w:t>anas gadījumā darījumus ieraksta</w:t>
      </w:r>
      <w:r>
        <w:rPr>
          <w:rFonts w:ascii="Times New Roman" w:hAnsi="Times New Roman"/>
          <w:noProof/>
          <w:sz w:val="24"/>
        </w:rPr>
        <w:t xml:space="preserve"> tad, kad notiek ekonomisko īpašumtiesību maiņa;</w:t>
      </w:r>
    </w:p>
    <w:p w:rsidR="00523A0A" w:rsidRDefault="00523A0A" w:rsidP="00523A0A">
      <w:pPr>
        <w:pStyle w:val="BodyText"/>
        <w:numPr>
          <w:ilvl w:val="0"/>
          <w:numId w:val="49"/>
        </w:numPr>
        <w:tabs>
          <w:tab w:val="left" w:pos="1522"/>
        </w:tabs>
        <w:spacing w:before="0"/>
        <w:ind w:left="1134" w:hanging="425"/>
        <w:jc w:val="both"/>
        <w:rPr>
          <w:rFonts w:ascii="Times New Roman" w:hAnsi="Times New Roman"/>
          <w:noProof/>
          <w:sz w:val="24"/>
        </w:rPr>
      </w:pPr>
      <w:r>
        <w:rPr>
          <w:rFonts w:ascii="Times New Roman" w:hAnsi="Times New Roman"/>
          <w:noProof/>
          <w:sz w:val="24"/>
        </w:rPr>
        <w:t>netiešo pārdevumu gadījumos – tad, kad pārdošanas ieņēmumi tiek atmaksāti vispārējai valdībai.</w:t>
      </w:r>
    </w:p>
    <w:p w:rsidR="00523A0A" w:rsidRPr="001973D0" w:rsidRDefault="00523A0A" w:rsidP="00523A0A">
      <w:pPr>
        <w:pStyle w:val="BodyText"/>
        <w:tabs>
          <w:tab w:val="left" w:pos="1522"/>
        </w:tabs>
        <w:spacing w:before="0"/>
        <w:ind w:left="0" w:firstLine="0"/>
        <w:jc w:val="both"/>
        <w:rPr>
          <w:rFonts w:ascii="Times New Roman" w:hAnsi="Times New Roman"/>
          <w:noProof/>
          <w:sz w:val="24"/>
        </w:rPr>
      </w:pPr>
    </w:p>
    <w:p w:rsidR="00523A0A" w:rsidRPr="001973D0" w:rsidRDefault="000652D6"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Ieraksta</w:t>
      </w:r>
      <w:r w:rsidR="00523A0A">
        <w:rPr>
          <w:rFonts w:ascii="Times New Roman" w:hAnsi="Times New Roman"/>
          <w:noProof/>
          <w:sz w:val="24"/>
        </w:rPr>
        <w:t xml:space="preserve"> pilnas pārdošanas ieņēmumu summas (netiešas pārdošanas gadījumā atņemot jebkādas uzņēmuma īpašnieka paturētās summas) tā, kā tās ir samaksājuši pircēji: aktīvu pārdošanas gadījumā tās atbilst darījuma vērtībai atbilstīgi tam, kā noteikts EKS 2010 5.19. punktā.</w:t>
      </w:r>
    </w:p>
    <w:p w:rsidR="00523A0A" w:rsidRPr="001973D0"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Netiešas pārdošanas gadījumā ir iespējams, ka darījuma pušu iekšējā grāmatvedībā visus ieņēm</w:t>
      </w:r>
      <w:r w:rsidR="000652D6">
        <w:rPr>
          <w:rFonts w:ascii="Times New Roman" w:hAnsi="Times New Roman"/>
          <w:noProof/>
          <w:sz w:val="24"/>
        </w:rPr>
        <w:t>umus vai dažas to daļas ieraksta</w:t>
      </w:r>
      <w:r>
        <w:rPr>
          <w:rFonts w:ascii="Times New Roman" w:hAnsi="Times New Roman"/>
          <w:noProof/>
          <w:sz w:val="24"/>
        </w:rPr>
        <w:t xml:space="preserve"> kā dividendes, nodokļus vai cita veida plūsmu. Tomēr </w:t>
      </w:r>
      <w:r w:rsidR="000652D6">
        <w:rPr>
          <w:rFonts w:ascii="Times New Roman" w:hAnsi="Times New Roman"/>
          <w:noProof/>
          <w:sz w:val="24"/>
        </w:rPr>
        <w:t>nacionālajos kontos tos ieraksta</w:t>
      </w:r>
      <w:r>
        <w:rPr>
          <w:rFonts w:ascii="Times New Roman" w:hAnsi="Times New Roman"/>
          <w:noProof/>
          <w:sz w:val="24"/>
        </w:rPr>
        <w:t xml:space="preserve"> kā finanšu darījumus.</w:t>
      </w:r>
    </w:p>
    <w:p w:rsidR="00523A0A" w:rsidRPr="001973D0"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Ja valdībai daļēji atmaksā netiešas pārdošanas ieņēmumus, pilno maksājumu valdībai traktē kā finanšu darījumu. Praksē šādas pārdošanas nolūkā valdībai var būt jāizmanto finanšu starpnieku pakalpojumi vai citi nefinanšu pakalpojumi. Tas īpaši attiecas uz privatizāciju. Šā</w:t>
      </w:r>
      <w:r w:rsidR="000652D6">
        <w:rPr>
          <w:rFonts w:ascii="Times New Roman" w:hAnsi="Times New Roman"/>
          <w:noProof/>
          <w:sz w:val="24"/>
        </w:rPr>
        <w:t>du pakalpojumu izmaksas ieraksta</w:t>
      </w:r>
      <w:r>
        <w:rPr>
          <w:rFonts w:ascii="Times New Roman" w:hAnsi="Times New Roman"/>
          <w:noProof/>
          <w:sz w:val="24"/>
        </w:rPr>
        <w:t xml:space="preserve"> kā starpposma patēriņu. Ja tos faktiski apmaksā no pārdošanas ieņēmumiem (samazinot valdībai pārskaitāmo summu), aprēķinu veic tā, lai kopējos</w:t>
      </w:r>
      <w:r w:rsidR="000652D6">
        <w:rPr>
          <w:rFonts w:ascii="Times New Roman" w:hAnsi="Times New Roman"/>
          <w:noProof/>
          <w:sz w:val="24"/>
        </w:rPr>
        <w:t xml:space="preserve"> pārdošanas ieņēmumus ierakstītu</w:t>
      </w:r>
      <w:r>
        <w:rPr>
          <w:rFonts w:ascii="Times New Roman" w:hAnsi="Times New Roman"/>
          <w:noProof/>
          <w:sz w:val="24"/>
        </w:rPr>
        <w:t xml:space="preserve"> pirms pakalpojuma maksas ieturēšanas. Protams, ja maksājumus veic vispārējai valdībai, piemēram, kā dividendes vai nodokļus, papildus aktīvu pārdošanas ieņēmumiem, t</w:t>
      </w:r>
      <w:r w:rsidR="000652D6">
        <w:rPr>
          <w:rFonts w:ascii="Times New Roman" w:hAnsi="Times New Roman"/>
          <w:noProof/>
          <w:sz w:val="24"/>
        </w:rPr>
        <w:t>ie attiecīgā gadījumā jāieraksta</w:t>
      </w:r>
      <w:r>
        <w:rPr>
          <w:rFonts w:ascii="Times New Roman" w:hAnsi="Times New Roman"/>
          <w:noProof/>
          <w:sz w:val="24"/>
        </w:rPr>
        <w:t xml:space="preserve"> konkrētajos nefinanšu darījumos.</w:t>
      </w:r>
    </w:p>
    <w:p w:rsidR="00523A0A" w:rsidRPr="001973D0"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Gadījums, kad daļu no pārdošanas ieņēmumiem patur uzņēmums A, ir apspriests turpmāk V.3. nodaļā “Privatizācijas ieņēmumi no publiskām sabiedrībām”.</w:t>
      </w:r>
    </w:p>
    <w:p w:rsidR="00523A0A" w:rsidRPr="0059328C" w:rsidRDefault="00523A0A" w:rsidP="00523A0A">
      <w:pPr>
        <w:pStyle w:val="BodyText"/>
        <w:numPr>
          <w:ilvl w:val="0"/>
          <w:numId w:val="50"/>
        </w:numPr>
        <w:tabs>
          <w:tab w:val="left" w:pos="1162"/>
        </w:tabs>
        <w:spacing w:before="0"/>
        <w:ind w:left="709" w:hanging="709"/>
        <w:jc w:val="both"/>
        <w:rPr>
          <w:rFonts w:ascii="Times New Roman" w:hAnsi="Times New Roman"/>
          <w:noProof/>
          <w:sz w:val="24"/>
        </w:rPr>
      </w:pPr>
      <w:r>
        <w:rPr>
          <w:rFonts w:ascii="Times New Roman" w:hAnsi="Times New Roman"/>
          <w:noProof/>
          <w:sz w:val="24"/>
        </w:rPr>
        <w:t>Šeit apspriestie netiešas pārdošanas gadījumi ir aktīvu pārdošana par ievērojamu summu, kas tiek atmaksāta atpakaļ vispārējai valdībai. Bieži vien šāda pārdošana ir daļa no valdības noteikta privatizācijas plāna. Tomēr uzņēmumi savas parastās darbības gaitā var pārdot dažus aktīvus un tādējādi realizēt noteiktu kapitāla pieaugumu. Šāds kapitāla pieaugums varētu tikt nodots vispārējai valdībai ar dividenžu vai īpašu nodokļu starpniecību tā, ka aktīvu pārdošanā gūtie ieņēmumi kļūst par daļu no valdības ieņēmumiem. Iespējamās grūtības iegūt informāciju nedrīkst būt par iemeslu tam, lai šādas plūsmas netikt</w:t>
      </w:r>
      <w:r w:rsidR="000652D6">
        <w:rPr>
          <w:rFonts w:ascii="Times New Roman" w:hAnsi="Times New Roman"/>
          <w:noProof/>
          <w:sz w:val="24"/>
        </w:rPr>
        <w:t>u ierakstītas</w:t>
      </w:r>
      <w:r>
        <w:rPr>
          <w:rFonts w:ascii="Times New Roman" w:hAnsi="Times New Roman"/>
          <w:noProof/>
          <w:sz w:val="24"/>
        </w:rPr>
        <w:t xml:space="preserve"> kā finanšu plūsmas visos gadījumos, kad tiek gūti samērā ievērojami pārdošanas ieņēmumi.</w:t>
      </w:r>
    </w:p>
    <w:p w:rsidR="00AB5F24" w:rsidRDefault="00AB5F24">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44" w:name="V.2.3_Rationale_of_the_treatment"/>
      <w:bookmarkEnd w:id="344"/>
      <w:r>
        <w:rPr>
          <w:rFonts w:ascii="Times New Roman" w:hAnsi="Times New Roman"/>
          <w:noProof/>
          <w:u w:val="none"/>
        </w:rPr>
        <w:t>V.2.3. </w:t>
      </w:r>
      <w:r>
        <w:rPr>
          <w:rFonts w:ascii="Times New Roman" w:hAnsi="Times New Roman"/>
          <w:noProof/>
          <w:u w:val="thick" w:color="000000"/>
        </w:rPr>
        <w:t>Traktējuma pamatojums</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59328C"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Noteikumu pamatojums attiecībā uz tiešo pārdošanu ir vienkāršs. Finanšu aktīvu pārdošanas noteikumi izriet no finanšu darījumu definīcijas (EKS 2010 5.01. un 5.02. punkts) un finanšu kontu definīcijas (EKS 2010 8.50. punkts). Būtībā, kad valdības bilancē notiek viena finanšu aktīva tieša apmaiņa pret citu finanšu aktīvu, nenotiek ne bagātības, ne ienākuma plūsmas pārmaiņas. Nefinanšu aktīvu pārdošanas noteikumi izriet no attiecīgo aktīvu realizācijas definīcijas un kapitāla konta definīcijas (EKS 2010, 8.46. punkts).</w:t>
      </w: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Netiešās pārdošanas traktējuma pamatā, pirmkārt, ir fakts, ka pārdošanas ieņēmumu maksājums nav ienākuma pārvedums, bet ir bagātības/aktīvu pārvedums. Tomēr to nevar uzskatīt par kapitāla pārvedumu: šādu traktējumu nepieļauj cita kapitāla pārveduma definīcija (EKS 2010, 4.165. punkts). Turklāt šajos gadījumos maksājumus veic tikai tāpēc, ka valdībai ir īpašumtiesības uz iesaistītajiem uzņēmumiem.</w:t>
      </w:r>
    </w:p>
    <w:p w:rsidR="00523A0A" w:rsidRPr="001973D0" w:rsidRDefault="00523A0A" w:rsidP="00523A0A">
      <w:pPr>
        <w:numPr>
          <w:ilvl w:val="0"/>
          <w:numId w:val="50"/>
        </w:numPr>
        <w:tabs>
          <w:tab w:val="left" w:pos="1102"/>
        </w:tabs>
        <w:ind w:left="709" w:hanging="709"/>
        <w:jc w:val="both"/>
        <w:rPr>
          <w:rFonts w:ascii="Times New Roman" w:eastAsia="Arial" w:hAnsi="Times New Roman" w:cs="Arial"/>
          <w:noProof/>
          <w:sz w:val="24"/>
        </w:rPr>
      </w:pPr>
      <w:r>
        <w:rPr>
          <w:rFonts w:ascii="Times New Roman" w:hAnsi="Times New Roman"/>
          <w:noProof/>
          <w:sz w:val="24"/>
        </w:rPr>
        <w:t xml:space="preserve">Šis ir pamatojums kapitāla pārvedumu neiekļaušanai privatizācijas ieņēmumu maksājumā, kā norādīts EKS 2010 4.165. punkta g) apakšpunktā: </w:t>
      </w:r>
      <w:r>
        <w:rPr>
          <w:rFonts w:ascii="Times New Roman" w:hAnsi="Times New Roman"/>
          <w:i/>
          <w:noProof/>
          <w:sz w:val="24"/>
        </w:rPr>
        <w:t>Tomēr pretējos darījumus netieši veiktiem (piemēram, izmantojot kontrolakciju sabiedrību) privatizācijas ieņēmumu pārvedumiem vispārējai valdībai ieraksta kā finanšu darījumus ar pašu kapitālu un ieguldījumu fondu apliecībām vai daļām (F.5), un tie neietekmē vispārējās valdības neto aizdevumu/neto aizņēmumu līmeni.</w:t>
      </w: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Pārdošanas ienākumu atmaksāšana valdībai samazina uzņēmuma A aktīvus. Tas atbilst sabiedrības daļējai likvidēšanai, jo tā samazina savu neto vērtību, kam jāatspoguļojas (samazinājums) valdībai piederošā sabiedrības pašu kapitāla vērtībā. Šis netiešās privatizācijas traktējums ir jāpiemēro attiecībā uz jebkuru gadījumu, kad sabiedrība pārdod finanšu vai nefinanšu aktīvu.</w:t>
      </w:r>
    </w:p>
    <w:p w:rsidR="00523A0A" w:rsidRPr="001973D0" w:rsidRDefault="00523A0A" w:rsidP="00523A0A">
      <w:pPr>
        <w:pStyle w:val="BodyText"/>
        <w:numPr>
          <w:ilvl w:val="0"/>
          <w:numId w:val="50"/>
        </w:numPr>
        <w:tabs>
          <w:tab w:val="left" w:pos="1102"/>
        </w:tabs>
        <w:spacing w:before="0"/>
        <w:ind w:left="709" w:hanging="709"/>
        <w:jc w:val="both"/>
        <w:rPr>
          <w:rFonts w:ascii="Times New Roman" w:hAnsi="Times New Roman"/>
          <w:noProof/>
          <w:sz w:val="24"/>
        </w:rPr>
      </w:pPr>
      <w:r>
        <w:rPr>
          <w:rFonts w:ascii="Times New Roman" w:hAnsi="Times New Roman"/>
          <w:noProof/>
          <w:sz w:val="24"/>
        </w:rPr>
        <w:t>Dividendes jēdziens nacionālajos kontos ir nepārprotams: tas ir īpašuma ienākums. Dividendēm jārodas no ienākuma plūsmām, nevis no aktīvu pārdošanas vai pārvērtēšanas. Ienākuma sadalīšana nedrīkst samazināt uzņēmuma neto bagātību/ neto aktīvus. Īpašniekiem var sadalīt ienākumus no uzņēmējdarbības (EKS 2010 8.26.–8.28. punkts).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45" w:name="V.2.4_Accounting_examples"/>
      <w:bookmarkEnd w:id="345"/>
      <w:r>
        <w:rPr>
          <w:rFonts w:ascii="Times New Roman" w:hAnsi="Times New Roman"/>
          <w:noProof/>
          <w:u w:val="none"/>
        </w:rPr>
        <w:t>V.2.4. </w:t>
      </w:r>
      <w:r>
        <w:rPr>
          <w:rFonts w:ascii="Times New Roman" w:hAnsi="Times New Roman"/>
          <w:noProof/>
          <w:u w:val="thick" w:color="000000"/>
        </w:rPr>
        <w:t>Uzskaites piemēri</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pStyle w:val="BodyText"/>
        <w:spacing w:before="0"/>
        <w:ind w:left="0" w:firstLine="0"/>
        <w:jc w:val="both"/>
        <w:rPr>
          <w:rFonts w:ascii="Times New Roman" w:hAnsi="Times New Roman"/>
          <w:noProof/>
          <w:sz w:val="24"/>
        </w:rPr>
      </w:pPr>
      <w:bookmarkStart w:id="346" w:name="In_all_the_following_examples,_the_count"/>
      <w:bookmarkEnd w:id="346"/>
      <w:r>
        <w:rPr>
          <w:rFonts w:ascii="Times New Roman" w:hAnsi="Times New Roman"/>
          <w:noProof/>
          <w:sz w:val="24"/>
        </w:rPr>
        <w:t>Visos turpmāk sniegtajos piemēros pārdošanas pretvērtības plūsma ir darījums ar valūtu un noguldījumiem (AF.2). Uzņēmumu, kura akcijas vai citu pašu kapitālu pārdod vispārējā valdība vai no kura tā saņem šādus pārdošanas ieņēmumus, dēvē par publisku uzņēmumu.</w:t>
      </w:r>
    </w:p>
    <w:p w:rsidR="00523A0A" w:rsidRPr="001973D0" w:rsidRDefault="00523A0A" w:rsidP="00523A0A">
      <w:pPr>
        <w:pStyle w:val="Heading6"/>
        <w:jc w:val="both"/>
        <w:rPr>
          <w:rFonts w:ascii="Times New Roman" w:hAnsi="Times New Roman"/>
          <w:noProof/>
          <w:sz w:val="24"/>
        </w:rPr>
      </w:pPr>
      <w:bookmarkStart w:id="347" w:name="Direct_sales_of_financial_assets"/>
      <w:bookmarkEnd w:id="347"/>
      <w:r>
        <w:rPr>
          <w:rFonts w:ascii="Times New Roman" w:hAnsi="Times New Roman"/>
          <w:noProof/>
          <w:sz w:val="24"/>
        </w:rPr>
        <w:t>Finanšu aktīvu tieša pārdošana</w:t>
      </w:r>
    </w:p>
    <w:p w:rsidR="00523A0A" w:rsidRPr="001973D0" w:rsidRDefault="00523A0A" w:rsidP="00523A0A">
      <w:pPr>
        <w:jc w:val="both"/>
        <w:rPr>
          <w:rFonts w:ascii="Times New Roman" w:eastAsia="Arial" w:hAnsi="Times New Roman" w:cs="Arial"/>
          <w:b/>
          <w:bCs/>
          <w:noProof/>
          <w:sz w:val="24"/>
          <w:szCs w:val="20"/>
        </w:rPr>
      </w:pPr>
    </w:p>
    <w:p w:rsidR="00523A0A" w:rsidRPr="001973D0" w:rsidRDefault="00516AB5" w:rsidP="00523A0A">
      <w:pPr>
        <w:jc w:val="both"/>
        <w:rPr>
          <w:rFonts w:ascii="Times New Roman" w:eastAsia="Calibri" w:hAnsi="Times New Roman" w:cs="Calibri"/>
          <w:b/>
          <w:bCs/>
          <w:noProof/>
          <w:sz w:val="24"/>
          <w:szCs w:val="20"/>
        </w:rPr>
      </w:pPr>
      <w:r w:rsidRPr="00516AB5">
        <w:rPr>
          <w:rFonts w:ascii="Times New Roman" w:eastAsia="Calibri" w:hAnsi="Times New Roman" w:cs="Calibri"/>
          <w:b/>
          <w:bCs/>
          <w:noProof/>
          <w:sz w:val="24"/>
          <w:szCs w:val="20"/>
          <w:lang w:bidi="ar-SA"/>
        </w:rPr>
        <w:drawing>
          <wp:inline distT="0" distB="0" distL="0" distR="0">
            <wp:extent cx="5760085" cy="1343783"/>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0085" cy="1343783"/>
                    </a:xfrm>
                    <a:prstGeom prst="rect">
                      <a:avLst/>
                    </a:prstGeom>
                    <a:noFill/>
                    <a:ln>
                      <a:noFill/>
                    </a:ln>
                  </pic:spPr>
                </pic:pic>
              </a:graphicData>
            </a:graphic>
          </wp:inline>
        </w:drawing>
      </w:r>
    </w:p>
    <w:p w:rsidR="00523A0A" w:rsidRPr="001973D0" w:rsidRDefault="0025677E" w:rsidP="00523A0A">
      <w:pPr>
        <w:jc w:val="both"/>
        <w:rPr>
          <w:rFonts w:ascii="Times New Roman" w:eastAsia="Calibri" w:hAnsi="Times New Roman" w:cs="Calibri"/>
          <w:b/>
          <w:bCs/>
          <w:noProof/>
          <w:sz w:val="24"/>
          <w:szCs w:val="20"/>
        </w:rPr>
      </w:pPr>
      <w:r w:rsidRPr="0025677E">
        <w:rPr>
          <w:rFonts w:ascii="Times New Roman" w:eastAsia="Calibri" w:hAnsi="Times New Roman" w:cs="Calibri"/>
          <w:b/>
          <w:bCs/>
          <w:noProof/>
          <w:sz w:val="24"/>
          <w:szCs w:val="20"/>
          <w:lang w:bidi="ar-SA"/>
        </w:rPr>
        <w:lastRenderedPageBreak/>
        <w:drawing>
          <wp:inline distT="0" distB="0" distL="0" distR="0">
            <wp:extent cx="5760085" cy="2496537"/>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085" cy="2496537"/>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b/>
          <w:bCs/>
          <w:noProof/>
          <w:sz w:val="24"/>
          <w:szCs w:val="25"/>
        </w:rPr>
      </w:pPr>
    </w:p>
    <w:p w:rsidR="00523A0A" w:rsidRPr="001973D0" w:rsidRDefault="00523A0A" w:rsidP="00523A0A">
      <w:pPr>
        <w:pStyle w:val="Heading6"/>
        <w:jc w:val="both"/>
        <w:rPr>
          <w:rFonts w:ascii="Times New Roman" w:hAnsi="Times New Roman"/>
          <w:noProof/>
          <w:sz w:val="24"/>
        </w:rPr>
      </w:pPr>
      <w:bookmarkStart w:id="348" w:name="Indirect_sale_of_financial_assets"/>
      <w:bookmarkEnd w:id="348"/>
      <w:r>
        <w:rPr>
          <w:rFonts w:ascii="Times New Roman" w:hAnsi="Times New Roman"/>
          <w:noProof/>
          <w:sz w:val="24"/>
        </w:rPr>
        <w:t>Finanšu aktīvu netiešā tirdzniecība</w:t>
      </w:r>
    </w:p>
    <w:p w:rsidR="00523A0A" w:rsidRPr="001973D0" w:rsidRDefault="00523A0A" w:rsidP="00523A0A">
      <w:pPr>
        <w:jc w:val="both"/>
        <w:rPr>
          <w:rFonts w:ascii="Times New Roman" w:eastAsia="Arial" w:hAnsi="Times New Roman" w:cs="Arial"/>
          <w:b/>
          <w:bCs/>
          <w:noProof/>
          <w:sz w:val="24"/>
          <w:szCs w:val="10"/>
        </w:rPr>
      </w:pPr>
    </w:p>
    <w:p w:rsidR="00523A0A" w:rsidRPr="001973D0" w:rsidRDefault="0025677E" w:rsidP="00523A0A">
      <w:pPr>
        <w:tabs>
          <w:tab w:val="left" w:pos="6675"/>
        </w:tabs>
        <w:jc w:val="both"/>
        <w:rPr>
          <w:rFonts w:ascii="Times New Roman" w:eastAsia="Calibri" w:hAnsi="Times New Roman" w:cs="Calibri"/>
          <w:b/>
          <w:bCs/>
          <w:noProof/>
          <w:sz w:val="24"/>
          <w:szCs w:val="20"/>
        </w:rPr>
      </w:pPr>
      <w:r w:rsidRPr="0025677E">
        <w:rPr>
          <w:rFonts w:ascii="Times New Roman" w:eastAsia="Calibri" w:hAnsi="Times New Roman" w:cs="Calibri"/>
          <w:b/>
          <w:bCs/>
          <w:noProof/>
          <w:sz w:val="24"/>
          <w:szCs w:val="20"/>
          <w:lang w:bidi="ar-SA"/>
        </w:rPr>
        <w:drawing>
          <wp:inline distT="0" distB="0" distL="0" distR="0">
            <wp:extent cx="5760085" cy="4295732"/>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085" cy="4295732"/>
                    </a:xfrm>
                    <a:prstGeom prst="rect">
                      <a:avLst/>
                    </a:prstGeom>
                    <a:noFill/>
                    <a:ln>
                      <a:noFill/>
                    </a:ln>
                  </pic:spPr>
                </pic:pic>
              </a:graphicData>
            </a:graphic>
          </wp:inline>
        </w:drawing>
      </w:r>
    </w:p>
    <w:p w:rsidR="00516AB5" w:rsidRDefault="00516AB5">
      <w:pPr>
        <w:widowControl/>
        <w:spacing w:after="160" w:line="259" w:lineRule="auto"/>
        <w:rPr>
          <w:rFonts w:ascii="Times New Roman" w:eastAsia="Calibri" w:hAnsi="Times New Roman" w:cs="Calibri"/>
          <w:b/>
          <w:bCs/>
          <w:noProof/>
          <w:sz w:val="24"/>
          <w:szCs w:val="20"/>
        </w:rPr>
      </w:pPr>
      <w:r>
        <w:rPr>
          <w:rFonts w:ascii="Times New Roman" w:eastAsia="Calibri" w:hAnsi="Times New Roman" w:cs="Calibri"/>
          <w:b/>
          <w:bCs/>
          <w:noProof/>
          <w:sz w:val="24"/>
          <w:szCs w:val="20"/>
        </w:rPr>
        <w:br w:type="page"/>
      </w:r>
    </w:p>
    <w:p w:rsidR="00523A0A" w:rsidRDefault="00523A0A" w:rsidP="00523A0A">
      <w:pPr>
        <w:jc w:val="both"/>
        <w:rPr>
          <w:rFonts w:ascii="Times New Roman" w:eastAsia="Calibri" w:hAnsi="Times New Roman" w:cs="Calibri"/>
          <w:b/>
          <w:bCs/>
          <w:noProof/>
          <w:sz w:val="24"/>
          <w:szCs w:val="20"/>
        </w:rPr>
      </w:pPr>
    </w:p>
    <w:p w:rsidR="00523A0A" w:rsidRPr="001973D0" w:rsidRDefault="00523A0A" w:rsidP="00523A0A">
      <w:pPr>
        <w:pStyle w:val="Heading6"/>
        <w:jc w:val="both"/>
        <w:rPr>
          <w:rFonts w:ascii="Times New Roman" w:hAnsi="Times New Roman"/>
          <w:noProof/>
          <w:sz w:val="24"/>
        </w:rPr>
      </w:pPr>
      <w:bookmarkStart w:id="349" w:name="Direct_sale_of_non-financial_assets"/>
      <w:bookmarkEnd w:id="349"/>
      <w:r>
        <w:rPr>
          <w:rFonts w:ascii="Times New Roman" w:hAnsi="Times New Roman"/>
          <w:noProof/>
          <w:sz w:val="24"/>
        </w:rPr>
        <w:t>Nefinanšu aktīvu tieša pārdošana</w:t>
      </w:r>
    </w:p>
    <w:p w:rsidR="00523A0A" w:rsidRPr="001973D0" w:rsidRDefault="00523A0A" w:rsidP="00523A0A">
      <w:pPr>
        <w:jc w:val="both"/>
        <w:rPr>
          <w:rFonts w:ascii="Times New Roman" w:eastAsia="Arial" w:hAnsi="Times New Roman" w:cs="Arial"/>
          <w:b/>
          <w:bCs/>
          <w:noProof/>
          <w:sz w:val="24"/>
          <w:szCs w:val="20"/>
        </w:rPr>
      </w:pPr>
    </w:p>
    <w:p w:rsidR="00523A0A" w:rsidRPr="001973D0" w:rsidRDefault="0025677E" w:rsidP="00523A0A">
      <w:pPr>
        <w:jc w:val="center"/>
        <w:rPr>
          <w:rFonts w:ascii="Times New Roman" w:eastAsia="Arial" w:hAnsi="Times New Roman" w:cs="Arial"/>
          <w:b/>
          <w:bCs/>
          <w:noProof/>
          <w:sz w:val="24"/>
          <w:szCs w:val="17"/>
        </w:rPr>
      </w:pPr>
      <w:r w:rsidRPr="0025677E">
        <w:rPr>
          <w:rFonts w:ascii="Times New Roman" w:eastAsia="Arial" w:hAnsi="Times New Roman" w:cs="Arial"/>
          <w:b/>
          <w:bCs/>
          <w:noProof/>
          <w:sz w:val="24"/>
          <w:szCs w:val="17"/>
          <w:lang w:bidi="ar-SA"/>
        </w:rPr>
        <w:drawing>
          <wp:inline distT="0" distB="0" distL="0" distR="0">
            <wp:extent cx="3417570" cy="6105525"/>
            <wp:effectExtent l="0" t="0" r="0"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17570" cy="6105525"/>
                    </a:xfrm>
                    <a:prstGeom prst="rect">
                      <a:avLst/>
                    </a:prstGeom>
                    <a:noFill/>
                    <a:ln>
                      <a:noFill/>
                    </a:ln>
                  </pic:spPr>
                </pic:pic>
              </a:graphicData>
            </a:graphic>
          </wp:inline>
        </w:drawing>
      </w:r>
    </w:p>
    <w:p w:rsidR="00516AB5" w:rsidRDefault="00516AB5">
      <w:pPr>
        <w:widowControl/>
        <w:spacing w:after="160" w:line="259" w:lineRule="auto"/>
        <w:rPr>
          <w:rFonts w:ascii="Times New Roman" w:eastAsia="Arial" w:hAnsi="Times New Roman" w:cs="Arial"/>
          <w:b/>
          <w:bCs/>
          <w:noProof/>
          <w:sz w:val="24"/>
          <w:szCs w:val="20"/>
        </w:rPr>
      </w:pPr>
      <w:r>
        <w:rPr>
          <w:rFonts w:ascii="Times New Roman" w:eastAsia="Arial" w:hAnsi="Times New Roman" w:cs="Arial"/>
          <w:b/>
          <w:bCs/>
          <w:noProof/>
          <w:sz w:val="24"/>
          <w:szCs w:val="20"/>
        </w:rPr>
        <w:br w:type="page"/>
      </w:r>
    </w:p>
    <w:p w:rsidR="00523A0A" w:rsidRPr="001973D0" w:rsidRDefault="00523A0A" w:rsidP="00523A0A">
      <w:pPr>
        <w:jc w:val="both"/>
        <w:rPr>
          <w:rFonts w:ascii="Times New Roman" w:eastAsia="Arial" w:hAnsi="Times New Roman" w:cs="Arial"/>
          <w:b/>
          <w:bCs/>
          <w:noProof/>
          <w:sz w:val="24"/>
          <w:szCs w:val="20"/>
        </w:rPr>
      </w:pPr>
    </w:p>
    <w:p w:rsidR="00523A0A" w:rsidRPr="001973D0" w:rsidRDefault="00523A0A" w:rsidP="00523A0A">
      <w:pPr>
        <w:pStyle w:val="Heading6"/>
        <w:jc w:val="both"/>
        <w:rPr>
          <w:rFonts w:ascii="Times New Roman" w:hAnsi="Times New Roman"/>
          <w:noProof/>
          <w:sz w:val="24"/>
        </w:rPr>
      </w:pPr>
      <w:bookmarkStart w:id="350" w:name="Indirect_sale_of_non-financial_assets"/>
      <w:bookmarkEnd w:id="350"/>
      <w:r>
        <w:rPr>
          <w:rFonts w:ascii="Times New Roman" w:hAnsi="Times New Roman"/>
          <w:noProof/>
          <w:sz w:val="24"/>
        </w:rPr>
        <w:t>Nefinanšu aktīvu netieša pārdošana</w:t>
      </w:r>
    </w:p>
    <w:p w:rsidR="00523A0A" w:rsidRPr="001973D0" w:rsidRDefault="00523A0A" w:rsidP="00523A0A">
      <w:pPr>
        <w:jc w:val="both"/>
        <w:rPr>
          <w:rFonts w:ascii="Times New Roman" w:eastAsia="Arial" w:hAnsi="Times New Roman" w:cs="Arial"/>
          <w:b/>
          <w:bCs/>
          <w:noProof/>
          <w:sz w:val="24"/>
          <w:szCs w:val="10"/>
        </w:rPr>
      </w:pP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drawing>
          <wp:inline distT="0" distB="0" distL="0" distR="0">
            <wp:extent cx="5760085" cy="5695202"/>
            <wp:effectExtent l="0" t="0" r="0" b="127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0085" cy="5695202"/>
                    </a:xfrm>
                    <a:prstGeom prst="rect">
                      <a:avLst/>
                    </a:prstGeom>
                    <a:noFill/>
                    <a:ln>
                      <a:noFill/>
                    </a:ln>
                  </pic:spPr>
                </pic:pic>
              </a:graphicData>
            </a:graphic>
          </wp:inline>
        </w:drawing>
      </w:r>
    </w:p>
    <w:p w:rsidR="00523A0A" w:rsidRDefault="00523A0A" w:rsidP="00523A0A">
      <w:pPr>
        <w:rPr>
          <w:rFonts w:ascii="Times New Roman" w:eastAsia="Calibri" w:hAnsi="Times New Roman" w:cs="Calibri"/>
          <w:noProof/>
          <w:sz w:val="24"/>
          <w:szCs w:val="20"/>
        </w:rPr>
      </w:pPr>
      <w:r>
        <w:br w:type="page"/>
      </w:r>
    </w:p>
    <w:p w:rsidR="00523A0A" w:rsidRDefault="00523A0A" w:rsidP="00516AB5">
      <w:pPr>
        <w:pStyle w:val="Heading2"/>
        <w:rPr>
          <w:noProof/>
        </w:rPr>
      </w:pPr>
      <w:bookmarkStart w:id="351" w:name="V.3__Privatisation_proceeds_from_public_"/>
      <w:bookmarkStart w:id="352" w:name="_bookmark41"/>
      <w:bookmarkStart w:id="353" w:name="_Toc471135907"/>
      <w:bookmarkEnd w:id="351"/>
      <w:bookmarkEnd w:id="352"/>
      <w:r>
        <w:rPr>
          <w:noProof/>
        </w:rPr>
        <w:lastRenderedPageBreak/>
        <w:t>V.3. Privatizācijas ieņēmumi no publiskām sabiedrībām</w:t>
      </w:r>
      <w:bookmarkEnd w:id="353"/>
    </w:p>
    <w:p w:rsidR="00523A0A" w:rsidRPr="001973D0" w:rsidRDefault="00523A0A" w:rsidP="00523A0A">
      <w:pPr>
        <w:tabs>
          <w:tab w:val="left" w:pos="1452"/>
        </w:tabs>
        <w:jc w:val="both"/>
        <w:rPr>
          <w:rFonts w:ascii="Times New Roman" w:hAnsi="Times New Roman"/>
          <w:b/>
          <w:noProof/>
          <w:sz w:val="24"/>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54" w:name="V.3.1_Background"/>
      <w:bookmarkEnd w:id="354"/>
      <w:r>
        <w:rPr>
          <w:rFonts w:ascii="Times New Roman" w:hAnsi="Times New Roman"/>
          <w:noProof/>
          <w:u w:val="none"/>
        </w:rPr>
        <w:t>V.3.1. </w:t>
      </w:r>
      <w:r>
        <w:rPr>
          <w:rFonts w:ascii="Times New Roman" w:hAnsi="Times New Roman"/>
          <w:noProof/>
          <w:u w:val="thick" w:color="000000"/>
        </w:rPr>
        <w:t>Vispārēja informācija</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pStyle w:val="BodyText"/>
        <w:numPr>
          <w:ilvl w:val="0"/>
          <w:numId w:val="48"/>
        </w:numPr>
        <w:tabs>
          <w:tab w:val="left" w:pos="1102"/>
        </w:tabs>
        <w:spacing w:before="0"/>
        <w:ind w:left="709" w:hanging="709"/>
        <w:jc w:val="both"/>
        <w:rPr>
          <w:rFonts w:ascii="Times New Roman" w:hAnsi="Times New Roman"/>
          <w:noProof/>
          <w:sz w:val="24"/>
        </w:rPr>
      </w:pPr>
      <w:r>
        <w:rPr>
          <w:rFonts w:ascii="Times New Roman" w:hAnsi="Times New Roman"/>
          <w:noProof/>
          <w:sz w:val="24"/>
        </w:rPr>
        <w:t>Dažās ES dalībvalstīs valdības ir izveidojušas centrālos birojus</w:t>
      </w:r>
      <w:r>
        <w:rPr>
          <w:rStyle w:val="FootnoteReference"/>
          <w:rFonts w:ascii="Times New Roman" w:hAnsi="Times New Roman"/>
          <w:noProof/>
          <w:sz w:val="24"/>
        </w:rPr>
        <w:footnoteReference w:id="190"/>
      </w:r>
      <w:r>
        <w:rPr>
          <w:rFonts w:ascii="Times New Roman" w:hAnsi="Times New Roman"/>
          <w:noProof/>
          <w:sz w:val="24"/>
        </w:rPr>
        <w:t xml:space="preserve"> atbilstīgi EKS 2010, kas vadītu un pārvaldītu komercuzņēmumu un kuru mērķi ir saistīti ar peļņas gūšanu un konkurēšanu tirgū. Šajā saistībā tie var pārstrukturēt grupu. Līdz ar to tie var organizēt privatizāciju un nodot citām publiskām sabiedrībām ieņēmumus no akciju pārdošanas (kas pieder vai nepieder centrālajam birojam), piešķirot dotācijas, aizdevumus vai veicot kapitāla iepludināšanu.</w:t>
      </w:r>
    </w:p>
    <w:p w:rsidR="00523A0A" w:rsidRPr="001973D0" w:rsidRDefault="00523A0A" w:rsidP="00523A0A">
      <w:pPr>
        <w:pStyle w:val="BodyText"/>
        <w:numPr>
          <w:ilvl w:val="0"/>
          <w:numId w:val="48"/>
        </w:numPr>
        <w:tabs>
          <w:tab w:val="left" w:pos="1102"/>
        </w:tabs>
        <w:spacing w:before="0"/>
        <w:ind w:left="709" w:hanging="709"/>
        <w:jc w:val="both"/>
        <w:rPr>
          <w:rFonts w:ascii="Times New Roman" w:hAnsi="Times New Roman"/>
          <w:noProof/>
          <w:sz w:val="24"/>
        </w:rPr>
      </w:pPr>
      <w:r>
        <w:rPr>
          <w:rFonts w:ascii="Times New Roman" w:hAnsi="Times New Roman"/>
          <w:noProof/>
          <w:sz w:val="24"/>
        </w:rPr>
        <w:t>Citās valstīs šādas funkcijas var būt piešķirtas vienībām, kas pastāv jau ilgu laiku. Tas varētu attiekties arī uz gadījumiem, kad līdzekļus (tostarp akcijas un citu pašu kapitālu) pārvalda valdībai vai, iespējams, Eiropas iestādēm (struktūrfondu vai Kohēzijas fonda gadījumā) piederoši publiski subjekti, piemēram, reģionālās attīstības aģentūras.</w:t>
      </w:r>
    </w:p>
    <w:p w:rsidR="00523A0A" w:rsidRPr="001973D0" w:rsidRDefault="00523A0A" w:rsidP="00523A0A">
      <w:pPr>
        <w:pStyle w:val="BodyText"/>
        <w:numPr>
          <w:ilvl w:val="0"/>
          <w:numId w:val="48"/>
        </w:numPr>
        <w:tabs>
          <w:tab w:val="left" w:pos="1102"/>
        </w:tabs>
        <w:spacing w:before="0"/>
        <w:ind w:left="709" w:hanging="709"/>
        <w:jc w:val="both"/>
        <w:rPr>
          <w:rFonts w:ascii="Times New Roman" w:hAnsi="Times New Roman"/>
          <w:noProof/>
          <w:sz w:val="24"/>
        </w:rPr>
      </w:pPr>
      <w:r>
        <w:rPr>
          <w:rFonts w:ascii="Times New Roman" w:hAnsi="Times New Roman"/>
          <w:noProof/>
          <w:sz w:val="24"/>
        </w:rPr>
        <w:t>Galvenais jautājums ir šāds: kurā atbilstošā sektorā jāklasificē šāda vienība, kas vada privatizāciju un, iespējams, piešķir dotācijas citiem uzņēmumiem, un vai var uzskatīt, ka šāda darbība tiek veikta valdības vārdā?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55" w:name="V.3.2_Treatment_in_national_accounts"/>
      <w:bookmarkEnd w:id="355"/>
      <w:r>
        <w:rPr>
          <w:rFonts w:ascii="Times New Roman" w:hAnsi="Times New Roman"/>
          <w:noProof/>
          <w:u w:val="none"/>
        </w:rPr>
        <w:t>V.3.2. </w:t>
      </w:r>
      <w:r>
        <w:rPr>
          <w:rFonts w:ascii="Times New Roman" w:hAnsi="Times New Roman"/>
          <w:noProof/>
          <w:u w:val="thick" w:color="000000"/>
        </w:rPr>
        <w:t>Traktējums nacionālajos kontos</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Default="00523A0A" w:rsidP="00523A0A">
      <w:pPr>
        <w:pStyle w:val="BodyText"/>
        <w:numPr>
          <w:ilvl w:val="0"/>
          <w:numId w:val="48"/>
        </w:numPr>
        <w:tabs>
          <w:tab w:val="left" w:pos="1102"/>
        </w:tabs>
        <w:spacing w:before="0"/>
        <w:ind w:left="709" w:hanging="709"/>
        <w:jc w:val="both"/>
        <w:rPr>
          <w:rFonts w:ascii="Times New Roman" w:hAnsi="Times New Roman"/>
          <w:noProof/>
          <w:sz w:val="24"/>
        </w:rPr>
      </w:pPr>
      <w:r>
        <w:rPr>
          <w:rFonts w:ascii="Times New Roman" w:hAnsi="Times New Roman"/>
          <w:noProof/>
          <w:sz w:val="24"/>
        </w:rPr>
        <w:t>Pastāv trīs iespējas.</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1"/>
          <w:numId w:val="48"/>
        </w:numPr>
        <w:tabs>
          <w:tab w:val="left" w:pos="1452"/>
        </w:tabs>
        <w:spacing w:before="0"/>
        <w:ind w:left="1134" w:hanging="425"/>
        <w:jc w:val="both"/>
        <w:rPr>
          <w:rFonts w:ascii="Times New Roman" w:hAnsi="Times New Roman"/>
          <w:noProof/>
          <w:sz w:val="24"/>
        </w:rPr>
      </w:pPr>
      <w:r>
        <w:rPr>
          <w:rFonts w:ascii="Times New Roman" w:hAnsi="Times New Roman"/>
          <w:noProof/>
          <w:sz w:val="24"/>
        </w:rPr>
        <w:t>Publisks centrālais birojs ir tirgus vienība, kas pārskaita līdzekļus grupas iekšienē atbilstoši grupas saimnieciskās darbības stratēģijai tāpat, kā to darītu privāta sabiedrība.</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Valdības k</w:t>
      </w:r>
      <w:r w:rsidR="000652D6">
        <w:rPr>
          <w:rFonts w:ascii="Times New Roman" w:hAnsi="Times New Roman"/>
          <w:noProof/>
          <w:sz w:val="24"/>
        </w:rPr>
        <w:t>ontos darījums netiek ierakstīts</w:t>
      </w:r>
      <w:r>
        <w:rPr>
          <w:rFonts w:ascii="Times New Roman" w:hAnsi="Times New Roman"/>
          <w:noProof/>
          <w:sz w:val="24"/>
        </w:rPr>
        <w:t>.</w:t>
      </w:r>
    </w:p>
    <w:p w:rsidR="00523A0A" w:rsidRPr="001973D0" w:rsidRDefault="00523A0A" w:rsidP="00523A0A">
      <w:pPr>
        <w:pStyle w:val="BodyText"/>
        <w:numPr>
          <w:ilvl w:val="1"/>
          <w:numId w:val="48"/>
        </w:numPr>
        <w:tabs>
          <w:tab w:val="left" w:pos="1452"/>
        </w:tabs>
        <w:spacing w:before="0"/>
        <w:ind w:left="1134" w:hanging="425"/>
        <w:jc w:val="both"/>
        <w:rPr>
          <w:rFonts w:ascii="Times New Roman" w:hAnsi="Times New Roman"/>
          <w:noProof/>
          <w:sz w:val="24"/>
        </w:rPr>
      </w:pPr>
      <w:r>
        <w:rPr>
          <w:rFonts w:ascii="Times New Roman" w:hAnsi="Times New Roman"/>
          <w:noProof/>
          <w:sz w:val="24"/>
        </w:rPr>
        <w:t>Publisks centrālais birojs ir tirgus vienība, un tā pārvieto finanšu līdzekļus grupā, lai atbalstītu zaudējumus radošās darbības, kuras ir skaidri norādītas kā tādas, kas izriet no valdības ekonomiskās un sociālās politikas, attiecīgajiem subjektiem rīkojoties valdības vārdā un saskaņā ar apliecinātiem norādījumiem.</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Darījumi tiek novirzīti caur valdību.</w:t>
      </w:r>
    </w:p>
    <w:p w:rsidR="00523A0A" w:rsidRPr="001973D0" w:rsidRDefault="00523A0A" w:rsidP="00523A0A">
      <w:pPr>
        <w:pStyle w:val="BodyText"/>
        <w:numPr>
          <w:ilvl w:val="1"/>
          <w:numId w:val="48"/>
        </w:numPr>
        <w:tabs>
          <w:tab w:val="left" w:pos="1452"/>
        </w:tabs>
        <w:spacing w:before="0"/>
        <w:ind w:left="1134" w:hanging="425"/>
        <w:jc w:val="both"/>
        <w:rPr>
          <w:rFonts w:ascii="Times New Roman" w:hAnsi="Times New Roman"/>
          <w:noProof/>
          <w:sz w:val="24"/>
        </w:rPr>
      </w:pPr>
      <w:r>
        <w:rPr>
          <w:rFonts w:ascii="Times New Roman" w:hAnsi="Times New Roman"/>
          <w:noProof/>
          <w:sz w:val="24"/>
        </w:rPr>
        <w:t>Publisks centrālais birojs ir tirgus vienība, kas valdības vārdā sniedz dotācijas un subsīdijas vienībām ārpus grupas.</w:t>
      </w:r>
    </w:p>
    <w:p w:rsidR="00523A0A" w:rsidRPr="001973D0" w:rsidRDefault="00523A0A" w:rsidP="00516AB5">
      <w:pPr>
        <w:pStyle w:val="BodyText"/>
        <w:spacing w:before="0"/>
        <w:ind w:left="1134" w:firstLine="0"/>
        <w:jc w:val="both"/>
        <w:rPr>
          <w:rFonts w:ascii="Times New Roman" w:hAnsi="Times New Roman"/>
          <w:noProof/>
          <w:sz w:val="24"/>
        </w:rPr>
      </w:pPr>
      <w:r>
        <w:rPr>
          <w:rFonts w:ascii="Times New Roman" w:hAnsi="Times New Roman"/>
          <w:noProof/>
          <w:sz w:val="24"/>
        </w:rPr>
        <w:t>Visi darījumi tiek pārvirzīti caur valdību.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56" w:name="V.3.3_Rationale_of_the_treatment"/>
      <w:bookmarkEnd w:id="356"/>
      <w:r>
        <w:rPr>
          <w:rFonts w:ascii="Times New Roman" w:hAnsi="Times New Roman"/>
          <w:noProof/>
          <w:u w:val="none"/>
        </w:rPr>
        <w:t>V.3.3. </w:t>
      </w:r>
      <w:r>
        <w:rPr>
          <w:rFonts w:ascii="Times New Roman" w:hAnsi="Times New Roman"/>
          <w:noProof/>
          <w:u w:val="thick" w:color="000000"/>
        </w:rPr>
        <w:t>Traktējuma pamatojums</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numPr>
          <w:ilvl w:val="0"/>
          <w:numId w:val="48"/>
        </w:numPr>
        <w:tabs>
          <w:tab w:val="left" w:pos="1102"/>
        </w:tabs>
        <w:ind w:left="709" w:hanging="709"/>
        <w:jc w:val="both"/>
        <w:rPr>
          <w:rFonts w:ascii="Times New Roman" w:hAnsi="Times New Roman"/>
          <w:noProof/>
          <w:sz w:val="24"/>
        </w:rPr>
      </w:pPr>
      <w:r>
        <w:rPr>
          <w:rFonts w:ascii="Times New Roman" w:hAnsi="Times New Roman"/>
          <w:noProof/>
          <w:sz w:val="24"/>
        </w:rPr>
        <w:t xml:space="preserve">EKS 2010 20.14. punkts: </w:t>
      </w:r>
      <w:r>
        <w:rPr>
          <w:rFonts w:ascii="Times New Roman" w:hAnsi="Times New Roman"/>
          <w:i/>
          <w:noProof/>
          <w:sz w:val="24"/>
        </w:rPr>
        <w:t>Centrālais birojs ir vienība, kas pārvalda savus meitasuzņēmumus</w:t>
      </w:r>
      <w:r>
        <w:rPr>
          <w:rFonts w:ascii="Times New Roman" w:hAnsi="Times New Roman"/>
          <w:noProof/>
          <w:sz w:val="24"/>
        </w:rPr>
        <w:t>. Parasti centrālos birojus atbilstoši grupas galvenajam darbības veidam var uzskatīt par nefinanšu vai finanšu tirgus ražotājiem.</w:t>
      </w:r>
    </w:p>
    <w:p w:rsidR="00523A0A" w:rsidRPr="001973D0" w:rsidRDefault="00523A0A" w:rsidP="00523A0A">
      <w:pPr>
        <w:pStyle w:val="BodyText"/>
        <w:numPr>
          <w:ilvl w:val="0"/>
          <w:numId w:val="48"/>
        </w:numPr>
        <w:tabs>
          <w:tab w:val="left" w:pos="1102"/>
        </w:tabs>
        <w:spacing w:before="0"/>
        <w:ind w:left="709" w:hanging="709"/>
        <w:jc w:val="both"/>
        <w:rPr>
          <w:rFonts w:ascii="Times New Roman" w:hAnsi="Times New Roman"/>
          <w:noProof/>
          <w:sz w:val="24"/>
        </w:rPr>
      </w:pPr>
      <w:r>
        <w:rPr>
          <w:rFonts w:ascii="Times New Roman" w:hAnsi="Times New Roman"/>
          <w:noProof/>
          <w:sz w:val="24"/>
        </w:rPr>
        <w:t>Problēma rodas tad, kad centrālais birojs īsteno attīstības stratēģiju attiecībā uz savām meitasvienībām (atbilstīgi grupas ilgtermiņa plānam) un veic arī dažu grupā ietilpstošu sabiedrību pārstrukturēšanu un īpašumtiesību statusa maiņu, kā arī organizē finanšu līdzekļu pārvedumus starp šīm vienībām un ienākumu un bagātības pārdali.</w:t>
      </w: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Šāds publiskā sektora reorganizācijas projekts, kas ietver aktīvu pārvaldību un ienākumu un bagātības pārdali, ir tieša centrālās valdības makroekonomiskās stratēģijas ieviešana. Daudzās ES dalībvalstīs to bieži īsteno (vai īstenoja) pati Valsts kase. Šeit aplūkotajā gadījumā Valsts kase izmanto starpnieku, kam jāpārvalda valsts aktīvi un jāpārdala līdzekļi īstermiņā vai vidējā termiņā.</w:t>
      </w: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lastRenderedPageBreak/>
        <w:t>Šāda darbība jāuzskata par aktīvu pārvaldību valdības vārdā ar nolūku īstenot valsts politikas mērķus.</w:t>
      </w:r>
    </w:p>
    <w:p w:rsidR="00523A0A"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Var rasties pretrunas starp vienību savstarpējo attiecību un darījumu ekonomisko būtību, kā arī starp šo vienību juridisko pārstāvniecību un to savstarpējām attiecībām. Daži EKS 2010 noteikumi (jo īpaši 1. nodaļā) pieļauj statistikas traktējumu, kas var atšķirties no tiesiskā regulējuma.</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Heading6"/>
        <w:numPr>
          <w:ilvl w:val="0"/>
          <w:numId w:val="47"/>
        </w:numPr>
        <w:tabs>
          <w:tab w:val="left" w:pos="1512"/>
        </w:tabs>
        <w:ind w:left="1134" w:hanging="425"/>
        <w:jc w:val="both"/>
        <w:rPr>
          <w:rFonts w:ascii="Times New Roman" w:hAnsi="Times New Roman"/>
          <w:noProof/>
          <w:sz w:val="24"/>
        </w:rPr>
      </w:pPr>
      <w:r>
        <w:rPr>
          <w:rFonts w:ascii="Times New Roman" w:hAnsi="Times New Roman"/>
          <w:noProof/>
          <w:sz w:val="24"/>
        </w:rPr>
        <w:t>EKS 2010 1.72. punkts: Pārkārtoti darījumi</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 dažus darījumus pārkārto, lai skaidrāk izceltu noteicošās ekonomiskās attiecības. Darījumus var pārkārtot šādos trijos veidos: pārvirzot, sadalot, atpazīstot galveno darītāju.”</w:t>
      </w:r>
    </w:p>
    <w:p w:rsidR="00523A0A" w:rsidRPr="001973D0" w:rsidRDefault="00523A0A" w:rsidP="00523A0A">
      <w:pPr>
        <w:pStyle w:val="Heading6"/>
        <w:numPr>
          <w:ilvl w:val="0"/>
          <w:numId w:val="47"/>
        </w:numPr>
        <w:tabs>
          <w:tab w:val="left" w:pos="1512"/>
        </w:tabs>
        <w:ind w:left="1134" w:hanging="425"/>
        <w:jc w:val="both"/>
        <w:rPr>
          <w:rFonts w:ascii="Times New Roman" w:hAnsi="Times New Roman"/>
          <w:noProof/>
          <w:sz w:val="24"/>
        </w:rPr>
      </w:pPr>
      <w:r>
        <w:rPr>
          <w:rFonts w:ascii="Times New Roman" w:hAnsi="Times New Roman"/>
          <w:noProof/>
          <w:sz w:val="24"/>
        </w:rPr>
        <w:t>EKS 2010 1.75. punkts: Pārvirzīšana</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 Cits pārvirzīšanas veids attiecas uz darījumiem, ko ieraksta kā darījumus starp divām vai vairākām institucionālām vienībām, kaut gan saskaņā ar iesaistīto personu viedokli nekāds darījums vispār nenotiek.”</w:t>
      </w:r>
    </w:p>
    <w:p w:rsidR="00523A0A" w:rsidRPr="001973D0" w:rsidRDefault="00523A0A" w:rsidP="00523A0A">
      <w:pPr>
        <w:pStyle w:val="Heading6"/>
        <w:numPr>
          <w:ilvl w:val="0"/>
          <w:numId w:val="47"/>
        </w:numPr>
        <w:tabs>
          <w:tab w:val="left" w:pos="1512"/>
        </w:tabs>
        <w:ind w:left="1134" w:hanging="425"/>
        <w:jc w:val="both"/>
        <w:rPr>
          <w:rFonts w:ascii="Times New Roman" w:hAnsi="Times New Roman"/>
          <w:noProof/>
          <w:sz w:val="24"/>
        </w:rPr>
      </w:pPr>
      <w:r>
        <w:rPr>
          <w:rFonts w:ascii="Times New Roman" w:hAnsi="Times New Roman"/>
          <w:noProof/>
          <w:sz w:val="24"/>
        </w:rPr>
        <w:t>EKS 2010 1.78. punkts: Galvenā darītāja atpazīšana</w:t>
      </w:r>
    </w:p>
    <w:p w:rsidR="00523A0A"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“Ja vienība veic darījumu citas vienības vārdā (galvenais darītājs) un saņem finansējumu no šīs vienības, darījumu ieraksta tikai galvenā darītāja kontos.”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Šīs norādes izriet no vispārēja principa, saskaņā ar kuru “nacionālo kontu pamatprincipi paredz, ka visus darījumus, kas rodas dažādos juridiskos apstākļos, bet kam ir vienādas ekonomiskās sekas, ieraksta vienādi”.</w:t>
      </w: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Plūsmu (aktīvu pārdošanā gūtie ieņēmumi un maksājumi publiskām sabiedrībām) pārvirzīšanai ir nozīme vienīgi tad, ja tikai nelielu daļu no tās darbības veido darbība valdības vārdā, kura tiek veikta ar nolūku īstenot valsts politikas mērķus (privatizācija, atbalsts publiskām sabiedrībām u. c.). Pretējā gadījumā tas nozīmētu, ka vienību (vairs) nevar uzskatīt par tirgus ražotāju un tā ir jā(pār)klasificē valdības sektorā. Šajā saistībā nozīme ir ta</w:t>
      </w:r>
      <w:r w:rsidR="000652D6">
        <w:rPr>
          <w:rFonts w:ascii="Times New Roman" w:hAnsi="Times New Roman"/>
          <w:noProof/>
          <w:sz w:val="24"/>
        </w:rPr>
        <w:t>m, vai maksājums tiek ierakstīts</w:t>
      </w:r>
      <w:r>
        <w:rPr>
          <w:rFonts w:ascii="Times New Roman" w:hAnsi="Times New Roman"/>
          <w:noProof/>
          <w:sz w:val="24"/>
        </w:rPr>
        <w:t xml:space="preserve"> kā valdības dotācijas vai kā cita veida darījumi.</w:t>
      </w: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Ja notiek finanšu darījums (piemēram, aizdevums) ar publisku sabiedrību,</w:t>
      </w:r>
      <w:r w:rsidR="000652D6">
        <w:rPr>
          <w:rFonts w:ascii="Times New Roman" w:hAnsi="Times New Roman"/>
          <w:noProof/>
          <w:sz w:val="24"/>
        </w:rPr>
        <w:t xml:space="preserve"> darījumu vispirms var ierakstīt</w:t>
      </w:r>
      <w:r>
        <w:rPr>
          <w:rFonts w:ascii="Times New Roman" w:hAnsi="Times New Roman"/>
          <w:noProof/>
          <w:sz w:val="24"/>
        </w:rPr>
        <w:t xml:space="preserve"> kā darījumu starp valdību un publisku kontrolakciju sabiedrību un pēc tam kā darījumu starp publisku kontrolakciju sabiedrību un meitasvienību. Ieguldījumu dotācijas gadījumā būtu ieteicams veikt tiešu ierakstu starp valdību un publisku uzņēmumu.</w:t>
      </w:r>
    </w:p>
    <w:p w:rsidR="00523A0A" w:rsidRPr="001973D0" w:rsidRDefault="00523A0A" w:rsidP="00523A0A">
      <w:pPr>
        <w:pStyle w:val="BodyText"/>
        <w:numPr>
          <w:ilvl w:val="0"/>
          <w:numId w:val="48"/>
        </w:numPr>
        <w:tabs>
          <w:tab w:val="left" w:pos="1162"/>
        </w:tabs>
        <w:spacing w:before="0"/>
        <w:ind w:left="709" w:hanging="709"/>
        <w:jc w:val="both"/>
        <w:rPr>
          <w:rFonts w:ascii="Times New Roman" w:hAnsi="Times New Roman"/>
          <w:noProof/>
          <w:sz w:val="24"/>
        </w:rPr>
      </w:pPr>
      <w:r>
        <w:rPr>
          <w:rFonts w:ascii="Times New Roman" w:hAnsi="Times New Roman"/>
          <w:noProof/>
          <w:sz w:val="24"/>
        </w:rPr>
        <w:t>Ja publisks centrālais birojs piešķir dotācijas vai jebkādus citus pārvedumus uzņēmumiem (privātiem vai publiskiem), kas neietilpst tā grupā, tad tas ir vēl lielāks pamatojums pieņēmumam, ka šādi minētais centrālais birojs rīkojas valdības vārdā.</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357" w:name="V.3.4_Accounting_examples"/>
      <w:bookmarkEnd w:id="357"/>
      <w:r>
        <w:rPr>
          <w:rFonts w:ascii="Times New Roman" w:hAnsi="Times New Roman"/>
          <w:noProof/>
          <w:u w:val="none"/>
        </w:rPr>
        <w:t>V.3.4. </w:t>
      </w:r>
      <w:r>
        <w:rPr>
          <w:rFonts w:ascii="Times New Roman" w:hAnsi="Times New Roman"/>
          <w:noProof/>
          <w:u w:val="thick" w:color="000000"/>
        </w:rPr>
        <w:t>Uzskaites piemēri</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Valdībai pieder nefinanšu sabiedrību sektorā klasificēts centrālais birojs. Šī kontrolakciju sabiedrība realizē tai piederošās meitasvienības A akcijas 100 naudas vienību vērtībā kā daļu no valdības noteiktas privatizācijas programmas. Centrālais birojs patur ieņēmumus no šādas atsavināšanas; no šiem ieņēmumiem tas samaksā 20 naudas vienības citai meitasvienībai B. Analīzē konstatē, ka pēc būtības šis maksājums ir valdības maksājums (piemēram, cita ražošanas subsīdija), jo apmaiņā netiek saņemts finanšu aktīvs un nav sagaidāma arī peļņa īpašuma ienākuma veidā. Perioda sākumā valdības pašu kapitāla apmērs centrālajā birojā ir </w:t>
      </w:r>
      <w:r>
        <w:rPr>
          <w:rFonts w:ascii="Times New Roman" w:hAnsi="Times New Roman"/>
          <w:i/>
          <w:noProof/>
          <w:sz w:val="24"/>
        </w:rPr>
        <w:t>x</w:t>
      </w:r>
      <w:r>
        <w:rPr>
          <w:rFonts w:ascii="Times New Roman" w:hAnsi="Times New Roman"/>
          <w:noProof/>
          <w:sz w:val="24"/>
        </w:rPr>
        <w:t xml:space="preserve">; centrālā biroja pašu kapitāla apmērs tā meitasvienībā B ir </w:t>
      </w:r>
      <w:r>
        <w:rPr>
          <w:rFonts w:ascii="Times New Roman" w:hAnsi="Times New Roman"/>
          <w:i/>
          <w:noProof/>
          <w:sz w:val="24"/>
        </w:rPr>
        <w:t>z</w:t>
      </w:r>
      <w:r>
        <w:rPr>
          <w:rFonts w:ascii="Times New Roman" w:hAnsi="Times New Roman"/>
          <w:noProof/>
          <w:sz w:val="24"/>
        </w:rPr>
        <w:t>.</w:t>
      </w:r>
    </w:p>
    <w:p w:rsidR="00523A0A" w:rsidRPr="001973D0" w:rsidRDefault="00523A0A" w:rsidP="00523A0A">
      <w:pPr>
        <w:jc w:val="both"/>
        <w:rPr>
          <w:rFonts w:ascii="Times New Roman" w:eastAsia="Arial" w:hAnsi="Times New Roman" w:cs="Arial"/>
          <w:noProof/>
          <w:sz w:val="24"/>
          <w:szCs w:val="20"/>
        </w:rPr>
      </w:pPr>
    </w:p>
    <w:p w:rsidR="00523A0A" w:rsidRPr="001973D0" w:rsidRDefault="0025677E" w:rsidP="00523A0A">
      <w:pPr>
        <w:jc w:val="both"/>
        <w:rPr>
          <w:rFonts w:ascii="Times New Roman" w:eastAsia="Arial" w:hAnsi="Times New Roman" w:cs="Arial"/>
          <w:noProof/>
          <w:sz w:val="24"/>
          <w:szCs w:val="20"/>
        </w:rPr>
      </w:pPr>
      <w:r w:rsidRPr="0025677E">
        <w:rPr>
          <w:rFonts w:ascii="Times New Roman" w:eastAsia="Arial" w:hAnsi="Times New Roman" w:cs="Arial"/>
          <w:noProof/>
          <w:sz w:val="24"/>
          <w:szCs w:val="20"/>
          <w:lang w:bidi="ar-SA"/>
        </w:rPr>
        <w:lastRenderedPageBreak/>
        <w:drawing>
          <wp:inline distT="0" distB="0" distL="0" distR="0">
            <wp:extent cx="5760085" cy="5928563"/>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0085" cy="5928563"/>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0"/>
        </w:rPr>
      </w:pPr>
    </w:p>
    <w:p w:rsidR="00523A0A" w:rsidRDefault="00523A0A" w:rsidP="00523A0A">
      <w:pPr>
        <w:rPr>
          <w:rFonts w:ascii="Times New Roman" w:eastAsia="Calibri" w:hAnsi="Times New Roman" w:cs="Calibri"/>
          <w:noProof/>
          <w:sz w:val="24"/>
          <w:szCs w:val="20"/>
        </w:rPr>
      </w:pPr>
      <w:r>
        <w:br w:type="page"/>
      </w:r>
    </w:p>
    <w:p w:rsidR="00523A0A" w:rsidRDefault="00523A0A" w:rsidP="00516AB5">
      <w:pPr>
        <w:pStyle w:val="Heading2"/>
        <w:rPr>
          <w:noProof/>
        </w:rPr>
      </w:pPr>
      <w:bookmarkStart w:id="358" w:name="V.4__Restitution_and_use_of_vouchers_for"/>
      <w:bookmarkStart w:id="359" w:name="_bookmark42"/>
      <w:bookmarkStart w:id="360" w:name="_Toc471135908"/>
      <w:bookmarkEnd w:id="358"/>
      <w:bookmarkEnd w:id="359"/>
      <w:r>
        <w:rPr>
          <w:noProof/>
        </w:rPr>
        <w:lastRenderedPageBreak/>
        <w:t>V.4. Privatizācijas sertifikātu restitūcija un izmantošana</w:t>
      </w:r>
      <w:bookmarkEnd w:id="360"/>
    </w:p>
    <w:p w:rsidR="00523A0A" w:rsidRPr="001973D0" w:rsidRDefault="00523A0A" w:rsidP="00523A0A">
      <w:pPr>
        <w:tabs>
          <w:tab w:val="left" w:pos="1512"/>
        </w:tabs>
        <w:jc w:val="both"/>
        <w:rPr>
          <w:rFonts w:ascii="Times New Roman" w:hAnsi="Times New Roman"/>
          <w:b/>
          <w:noProof/>
          <w:sz w:val="24"/>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361" w:name="V.4.1_Background"/>
      <w:bookmarkEnd w:id="361"/>
      <w:r>
        <w:rPr>
          <w:rFonts w:ascii="Times New Roman" w:hAnsi="Times New Roman"/>
          <w:noProof/>
          <w:u w:val="none"/>
        </w:rPr>
        <w:t>V.4.1. </w:t>
      </w:r>
      <w:r>
        <w:rPr>
          <w:rFonts w:ascii="Times New Roman" w:hAnsi="Times New Roman"/>
          <w:noProof/>
          <w:u w:val="thick" w:color="000000"/>
        </w:rPr>
        <w:t>Vispārēja informācija</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Pārejas ekonomikas valstīs privatizācijas jēdzienu var attiecināt arī uz ikvienu pārvedumu (realizāciju) publiskiem vai bijušajiem (privātiem) valdības aktīvu īpašniekiem, ja šie aktīvi iepriekš bija nacionalizēti vai konfiscēti. Ir identificēti trīs gadījumi.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82"/>
        </w:tabs>
        <w:jc w:val="both"/>
        <w:rPr>
          <w:rFonts w:ascii="Times New Roman" w:hAnsi="Times New Roman"/>
          <w:noProof/>
          <w:sz w:val="24"/>
        </w:rPr>
      </w:pPr>
      <w:bookmarkStart w:id="362" w:name="V.4.1.1_Restitution_in_kind"/>
      <w:bookmarkEnd w:id="362"/>
      <w:r>
        <w:rPr>
          <w:rFonts w:ascii="Times New Roman" w:hAnsi="Times New Roman"/>
          <w:noProof/>
          <w:sz w:val="24"/>
        </w:rPr>
        <w:t>V.4.1.1. Restitūcija natūrā</w:t>
      </w:r>
    </w:p>
    <w:p w:rsidR="00523A0A" w:rsidRPr="001973D0" w:rsidRDefault="00523A0A" w:rsidP="00523A0A">
      <w:pPr>
        <w:pStyle w:val="Heading6"/>
        <w:tabs>
          <w:tab w:val="left" w:pos="1882"/>
        </w:tabs>
        <w:jc w:val="both"/>
        <w:rPr>
          <w:rFonts w:ascii="Times New Roman" w:hAnsi="Times New Roman"/>
          <w:noProof/>
          <w:sz w:val="24"/>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Restitūcija natūrā attiecas uz nefinanšu aktīvu (parasti zemes un ēku, bet dažos gadījumos arī ražotņu) atdošanu sākotnējam īpašniekam, ja valdība šos nefinanšu aktīvus iepriekš ir nacionalizējusi vai konfiscējusi un ja kopumā restitūcijas laikā tie pieder valdībai, bet dažos gadījumos – publiskām sabiedrībām. Šādi nefinanšu aktīvi var būt pamatlīdzekļi, inventārs, dārgmetāli, zeme vai citi neražoti aktīvi.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63" w:name="V.4.1.2_Restitution_through_financial_co"/>
      <w:bookmarkEnd w:id="363"/>
      <w:r>
        <w:rPr>
          <w:rFonts w:ascii="Times New Roman" w:hAnsi="Times New Roman"/>
          <w:noProof/>
          <w:sz w:val="24"/>
        </w:rPr>
        <w:t>V.4.1.2. Restitūcija, izmantojot finanšu kompensāciju</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Ja īpašums, kas jāatdod tā bijušajiem īpašniekiem, neeksistē vai to nevar atdot, ir iespējams piešķirt finanšu kompensāciju, kuru var izsniegt naudas vai citu finanšu instrumentu, piemēram, akciju vai obligāciju, veidā.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64" w:name="V.4.1.3_Privatisation_through_the_issue_"/>
      <w:bookmarkEnd w:id="364"/>
      <w:r>
        <w:rPr>
          <w:rFonts w:ascii="Times New Roman" w:hAnsi="Times New Roman"/>
          <w:noProof/>
          <w:sz w:val="24"/>
        </w:rPr>
        <w:t>V.4.1.3. Privatizācija, emitējot sertifikātus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Lai privatizētu valsts īpašumā esošus aktīvus, dažās pārejas ekonomikas valstīs valdība iedzīvotājiem ir izdalījusi sertifikātus – bez maksas vai pārdodot tos par nominālvērtību. Sertifikātu turētāji var iegūt akcijas un citu pašu kapitālu (tieši vai netieši), vai nefinanšu aktīvus.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365" w:name="V.4.2_Treatment_in_national_accounts"/>
      <w:bookmarkEnd w:id="365"/>
      <w:r>
        <w:rPr>
          <w:rFonts w:ascii="Times New Roman" w:hAnsi="Times New Roman"/>
          <w:noProof/>
          <w:u w:val="none"/>
        </w:rPr>
        <w:t>V.4.2. </w:t>
      </w:r>
      <w:r>
        <w:rPr>
          <w:rFonts w:ascii="Times New Roman" w:hAnsi="Times New Roman"/>
          <w:noProof/>
          <w:u w:val="thick" w:color="000000"/>
        </w:rPr>
        <w:t>Traktējums nacionālajos kontos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36"/>
        </w:tabs>
        <w:jc w:val="both"/>
        <w:rPr>
          <w:rFonts w:ascii="Times New Roman" w:hAnsi="Times New Roman"/>
          <w:noProof/>
          <w:sz w:val="24"/>
        </w:rPr>
      </w:pPr>
      <w:bookmarkStart w:id="366" w:name="V.4.2.1_Restitution_in_kind"/>
      <w:bookmarkEnd w:id="366"/>
      <w:r>
        <w:rPr>
          <w:rFonts w:ascii="Times New Roman" w:hAnsi="Times New Roman"/>
          <w:noProof/>
          <w:sz w:val="24"/>
        </w:rPr>
        <w:t>V.4.2.1. Restitūcija natūrā</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Restitūcija natūrā ir nefinanšu aktīvu pārvedums no valdības tiem sektoriem, kuri gūst labumu no šīs restitūcijas. Var izšķirt divus gadījumus.</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Heading6"/>
        <w:numPr>
          <w:ilvl w:val="1"/>
          <w:numId w:val="46"/>
        </w:numPr>
        <w:tabs>
          <w:tab w:val="left" w:pos="1512"/>
        </w:tabs>
        <w:ind w:left="1134" w:hanging="425"/>
        <w:jc w:val="both"/>
        <w:rPr>
          <w:rFonts w:ascii="Times New Roman" w:hAnsi="Times New Roman"/>
          <w:noProof/>
          <w:sz w:val="24"/>
        </w:rPr>
      </w:pPr>
      <w:r>
        <w:rPr>
          <w:rFonts w:ascii="Times New Roman" w:hAnsi="Times New Roman"/>
          <w:noProof/>
          <w:sz w:val="24"/>
        </w:rPr>
        <w:t>Nefinanšu aktīvs, kas jāatdod, ir aptuveni tāds pats kā tas, kurš iepriekš tika nacionalizēts vai konfiscēts. Tas var attiekties uz gadījumiem, kad jāatdod zeme vai citi neražoti aktīvi.</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Šāda veida restitūciju var uzskatīt par pretēju darījumu nekompensētaj</w:t>
      </w:r>
      <w:r w:rsidR="000652D6">
        <w:rPr>
          <w:rFonts w:ascii="Times New Roman" w:hAnsi="Times New Roman"/>
          <w:noProof/>
          <w:sz w:val="24"/>
        </w:rPr>
        <w:t>ai konfiskācijai, kas jāieraksta</w:t>
      </w:r>
      <w:r>
        <w:rPr>
          <w:rFonts w:ascii="Times New Roman" w:hAnsi="Times New Roman"/>
          <w:noProof/>
          <w:sz w:val="24"/>
        </w:rPr>
        <w:t xml:space="preserve"> kontā “Citas aktīvu apjoma pārmaiņas”. Atbilstīgi EKS 2010 š</w:t>
      </w:r>
      <w:r w:rsidR="000652D6">
        <w:rPr>
          <w:rFonts w:ascii="Times New Roman" w:hAnsi="Times New Roman"/>
          <w:noProof/>
          <w:sz w:val="24"/>
        </w:rPr>
        <w:t>ādā gadījumā atdošana jāieraksta</w:t>
      </w:r>
      <w:r>
        <w:rPr>
          <w:rFonts w:ascii="Times New Roman" w:hAnsi="Times New Roman"/>
          <w:noProof/>
          <w:sz w:val="24"/>
        </w:rPr>
        <w:t xml:space="preserve"> kā darījums – negatīvs kapitālieguldījums valdības kontā, kuru līdzsvaro “kapitāla pārveduma maksājums natūrā” (ar pretējām zīmēm saņemošā sektora kontos). Tomēr tas ietekm</w:t>
      </w:r>
      <w:r w:rsidR="000652D6">
        <w:rPr>
          <w:rFonts w:ascii="Times New Roman" w:hAnsi="Times New Roman"/>
          <w:noProof/>
          <w:sz w:val="24"/>
        </w:rPr>
        <w:t>ē aktīvu krājumu, kas ierakstīts</w:t>
      </w:r>
      <w:r>
        <w:rPr>
          <w:rFonts w:ascii="Times New Roman" w:hAnsi="Times New Roman"/>
          <w:noProof/>
          <w:sz w:val="24"/>
        </w:rPr>
        <w:t xml:space="preserve"> bilancēs, un tāpēc palielina neto vērtību sektoriem, kuri gūst labumu no restitūcijas, un vienlaicīgi samazina vispārējās valdības neto vērtību.</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Heading6"/>
        <w:numPr>
          <w:ilvl w:val="1"/>
          <w:numId w:val="46"/>
        </w:numPr>
        <w:tabs>
          <w:tab w:val="left" w:pos="1452"/>
        </w:tabs>
        <w:ind w:left="1134" w:hanging="425"/>
        <w:jc w:val="both"/>
        <w:rPr>
          <w:rFonts w:ascii="Times New Roman" w:hAnsi="Times New Roman"/>
          <w:noProof/>
          <w:sz w:val="24"/>
        </w:rPr>
      </w:pPr>
      <w:r>
        <w:rPr>
          <w:rFonts w:ascii="Times New Roman" w:hAnsi="Times New Roman"/>
          <w:noProof/>
          <w:sz w:val="24"/>
        </w:rPr>
        <w:t xml:space="preserve">Atgūstamais nefinanšu aktīvs atšķiras (izskata un vērtības ziņā) no tā, kas iepriekš tika nacionalizēts vai konfiscēts. Tas var attiekties uz mājokļiem vai </w:t>
      </w:r>
      <w:r>
        <w:rPr>
          <w:rFonts w:ascii="Times New Roman" w:hAnsi="Times New Roman"/>
          <w:noProof/>
          <w:sz w:val="24"/>
        </w:rPr>
        <w:lastRenderedPageBreak/>
        <w:t>citiem materiāliem pamatlīdzekļiem.</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Šādā gadījumā atd</w:t>
      </w:r>
      <w:r w:rsidR="000652D6">
        <w:rPr>
          <w:rFonts w:ascii="Times New Roman" w:hAnsi="Times New Roman"/>
          <w:noProof/>
          <w:sz w:val="24"/>
        </w:rPr>
        <w:t>ošana jāieraksta</w:t>
      </w:r>
      <w:r>
        <w:rPr>
          <w:rFonts w:ascii="Times New Roman" w:hAnsi="Times New Roman"/>
          <w:noProof/>
          <w:sz w:val="24"/>
        </w:rPr>
        <w:t xml:space="preserve"> kā darījums – negatīvs kapitālieguldījums valdības kontā, kuru līdzsvaro “kapitāla pārveduma maksājums natūrā” (ar pretējām zīmēm saņēmēja sektora kontos). Tā kā kapitāla kontā abas plūsmas tiek līdzsvarotas, vispārējās valdības neto aizdevums/aizņēmums (B.9) netiek ietekmēts. Tomēr šis kapitāla pārvedums palielina neto vērtību sektoriem, kuri gūst labumu no restitūcijas, un vienlaikus samazina valdības neto vērtību.</w:t>
      </w:r>
    </w:p>
    <w:p w:rsidR="00523A0A" w:rsidRPr="001973D0" w:rsidRDefault="000652D6" w:rsidP="00523A0A">
      <w:pPr>
        <w:pStyle w:val="BodyText"/>
        <w:spacing w:before="0"/>
        <w:ind w:left="1134" w:firstLine="0"/>
        <w:jc w:val="both"/>
        <w:rPr>
          <w:rFonts w:ascii="Times New Roman" w:hAnsi="Times New Roman"/>
          <w:noProof/>
          <w:sz w:val="24"/>
        </w:rPr>
      </w:pPr>
      <w:r>
        <w:rPr>
          <w:rFonts w:ascii="Times New Roman" w:hAnsi="Times New Roman"/>
          <w:noProof/>
          <w:sz w:val="24"/>
        </w:rPr>
        <w:t>Abos gadījumos ierakstīšanu</w:t>
      </w:r>
      <w:r w:rsidR="00523A0A">
        <w:rPr>
          <w:rFonts w:ascii="Times New Roman" w:hAnsi="Times New Roman"/>
          <w:noProof/>
          <w:sz w:val="24"/>
        </w:rPr>
        <w:t xml:space="preserve"> veic brīdī, kad mainās ekonomiskās īpašumtiesības uz aktīviem.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67" w:name="V.4.2.2_Restitution_through_financial_co"/>
      <w:bookmarkEnd w:id="367"/>
      <w:r>
        <w:rPr>
          <w:rFonts w:ascii="Times New Roman" w:hAnsi="Times New Roman"/>
          <w:noProof/>
          <w:sz w:val="24"/>
        </w:rPr>
        <w:t>V.4.2.2. Restitūcija, izmantojot finanšu kompensāciju</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Restitūcija, izmantojot finanšu kompensāciju, ir finanšu aktīvu pārvedums no valdības sektora tiem sektoriem, kuri gūst labumu no šīs kompensācijas. Tāpēc valdības kontos šis pārvedum</w:t>
      </w:r>
      <w:r w:rsidR="000652D6">
        <w:rPr>
          <w:rFonts w:ascii="Times New Roman" w:hAnsi="Times New Roman"/>
          <w:noProof/>
          <w:sz w:val="24"/>
        </w:rPr>
        <w:t>s jāieraksta</w:t>
      </w:r>
      <w:r>
        <w:rPr>
          <w:rFonts w:ascii="Times New Roman" w:hAnsi="Times New Roman"/>
          <w:noProof/>
          <w:sz w:val="24"/>
        </w:rPr>
        <w:t xml:space="preserve"> kā finanšu aktīvu samazinājums, ko līdzsvaro kapitāla pārvedums natūrā vai skaidrā naudā (kreditora parāds), un saņēmē</w:t>
      </w:r>
      <w:r w:rsidR="000652D6">
        <w:rPr>
          <w:rFonts w:ascii="Times New Roman" w:hAnsi="Times New Roman"/>
          <w:noProof/>
          <w:sz w:val="24"/>
        </w:rPr>
        <w:t>ju sektoru kontos tas jāieraksta</w:t>
      </w:r>
      <w:r>
        <w:rPr>
          <w:rFonts w:ascii="Times New Roman" w:hAnsi="Times New Roman"/>
          <w:noProof/>
          <w:sz w:val="24"/>
        </w:rPr>
        <w:t xml:space="preserve"> kā finanšu aktīvu palielinājums, kuru kompensē kapitāla pārvedums natūrā vai skaidrā naudā (debitora parāds). Šis kapitāla pārvedums negatīvi ietekmē vispārējās valdības neto aizdevumu/aizņēmumu (B.9), kā arī tās</w:t>
      </w:r>
      <w:r w:rsidR="000652D6">
        <w:rPr>
          <w:rFonts w:ascii="Times New Roman" w:hAnsi="Times New Roman"/>
          <w:noProof/>
          <w:sz w:val="24"/>
        </w:rPr>
        <w:t xml:space="preserve"> neto vērtību. Darījumu ieraksta</w:t>
      </w:r>
      <w:r>
        <w:rPr>
          <w:rFonts w:ascii="Times New Roman" w:hAnsi="Times New Roman"/>
          <w:noProof/>
          <w:sz w:val="24"/>
        </w:rPr>
        <w:t xml:space="preserve"> brīdī, kad valdība atzīst saistības attiecībā uz noteiktu un neatmaksājamu summu.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68" w:name="V.4.2.3_Privatisation_through_the_issue_"/>
      <w:bookmarkEnd w:id="368"/>
      <w:r>
        <w:rPr>
          <w:rFonts w:ascii="Times New Roman" w:hAnsi="Times New Roman"/>
          <w:noProof/>
          <w:sz w:val="24"/>
        </w:rPr>
        <w:t>V.4.2.3. Privatizācija, emitējot sertifikātus</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Sertifikātus izmanto (galvenokārt mājsaimniecības), lai iegūtu finanšu vai nefinanšu aktīvus, un var uzskatīt, ka valdība tādā veidā uzņemas saistības izpirkt šos sertifikātus apmaiņā pret šādiem finanšu vai nefinanšu aktīviem. Kopumā sertifikāti ir derīgi tikai finanšu un nefinanšu aktīvu iegādei un tāpēc uzskatāmi par ies</w:t>
      </w:r>
      <w:r w:rsidR="000652D6">
        <w:rPr>
          <w:rFonts w:ascii="Times New Roman" w:hAnsi="Times New Roman"/>
          <w:noProof/>
          <w:sz w:val="24"/>
        </w:rPr>
        <w:t>pējamiem aktīviem, ko neieraksta</w:t>
      </w:r>
      <w:r>
        <w:rPr>
          <w:rFonts w:ascii="Times New Roman" w:hAnsi="Times New Roman"/>
          <w:noProof/>
          <w:sz w:val="24"/>
        </w:rPr>
        <w:t xml:space="preserve"> sistēmā.</w:t>
      </w:r>
    </w:p>
    <w:p w:rsidR="00523A0A"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Sistēmā iespējamos aktīvus uzskata par finanšu aktīviem saskaņā ar šādiem nosacījumiem (EKS 2010 5.05. punkts):</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0"/>
          <w:numId w:val="45"/>
        </w:numPr>
        <w:tabs>
          <w:tab w:val="left" w:pos="1452"/>
        </w:tabs>
        <w:spacing w:before="0"/>
        <w:ind w:left="1134" w:hanging="425"/>
        <w:jc w:val="both"/>
        <w:rPr>
          <w:rFonts w:ascii="Times New Roman" w:hAnsi="Times New Roman"/>
          <w:noProof/>
          <w:sz w:val="24"/>
        </w:rPr>
      </w:pPr>
      <w:r>
        <w:rPr>
          <w:rFonts w:ascii="Times New Roman" w:hAnsi="Times New Roman"/>
          <w:noProof/>
          <w:sz w:val="24"/>
        </w:rPr>
        <w:t>ja tie ir tirgojami: tirgus izveidojas, ja tos var pārdot vai kompensēt tirgū;</w:t>
      </w:r>
    </w:p>
    <w:p w:rsidR="00523A0A" w:rsidRPr="001973D0" w:rsidRDefault="00523A0A" w:rsidP="00523A0A">
      <w:pPr>
        <w:pStyle w:val="BodyText"/>
        <w:numPr>
          <w:ilvl w:val="0"/>
          <w:numId w:val="45"/>
        </w:numPr>
        <w:tabs>
          <w:tab w:val="left" w:pos="1452"/>
        </w:tabs>
        <w:spacing w:before="0"/>
        <w:ind w:left="1134" w:hanging="425"/>
        <w:jc w:val="both"/>
        <w:rPr>
          <w:rFonts w:ascii="Times New Roman" w:hAnsi="Times New Roman"/>
          <w:noProof/>
          <w:sz w:val="24"/>
        </w:rPr>
      </w:pPr>
      <w:r>
        <w:rPr>
          <w:rFonts w:ascii="Times New Roman" w:hAnsi="Times New Roman"/>
          <w:noProof/>
          <w:sz w:val="24"/>
        </w:rPr>
        <w:t>ja ir pieejama informācija par sertifikātiem: par veiktajiem darījumiem un par tirgus cenām;</w:t>
      </w:r>
    </w:p>
    <w:p w:rsidR="00523A0A" w:rsidRPr="001973D0" w:rsidRDefault="00523A0A" w:rsidP="00523A0A">
      <w:pPr>
        <w:pStyle w:val="BodyText"/>
        <w:numPr>
          <w:ilvl w:val="0"/>
          <w:numId w:val="45"/>
        </w:numPr>
        <w:tabs>
          <w:tab w:val="left" w:pos="1452"/>
        </w:tabs>
        <w:spacing w:before="0"/>
        <w:ind w:left="1134" w:hanging="425"/>
        <w:jc w:val="both"/>
        <w:rPr>
          <w:rFonts w:ascii="Times New Roman" w:hAnsi="Times New Roman"/>
          <w:noProof/>
          <w:sz w:val="24"/>
        </w:rPr>
      </w:pPr>
      <w:r>
        <w:rPr>
          <w:rFonts w:ascii="Times New Roman" w:hAnsi="Times New Roman"/>
          <w:noProof/>
          <w:sz w:val="24"/>
        </w:rPr>
        <w:t>ja tirgū ir pietiekams darījumu apjoms, lai varētu noteikt kopējo tirgus vērtību;</w:t>
      </w:r>
    </w:p>
    <w:p w:rsidR="00523A0A" w:rsidRDefault="00523A0A" w:rsidP="00523A0A">
      <w:pPr>
        <w:pStyle w:val="BodyText"/>
        <w:numPr>
          <w:ilvl w:val="0"/>
          <w:numId w:val="45"/>
        </w:numPr>
        <w:tabs>
          <w:tab w:val="left" w:pos="1452"/>
        </w:tabs>
        <w:spacing w:before="0"/>
        <w:ind w:left="1134" w:hanging="425"/>
        <w:jc w:val="both"/>
        <w:rPr>
          <w:rFonts w:ascii="Times New Roman" w:hAnsi="Times New Roman"/>
          <w:noProof/>
          <w:sz w:val="24"/>
        </w:rPr>
      </w:pPr>
      <w:r>
        <w:rPr>
          <w:rFonts w:ascii="Times New Roman" w:hAnsi="Times New Roman"/>
          <w:noProof/>
          <w:sz w:val="24"/>
        </w:rPr>
        <w:t>ja sertifikātus uzskata par finanšu aktīviem, tos var uzskatīt par īpaša veida atvasinātiem finanšu instrumentiem (F.71).</w:t>
      </w:r>
    </w:p>
    <w:p w:rsidR="00523A0A" w:rsidRPr="001973D0" w:rsidRDefault="00523A0A" w:rsidP="00523A0A">
      <w:pPr>
        <w:pStyle w:val="BodyText"/>
        <w:tabs>
          <w:tab w:val="left" w:pos="145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Atkarībā no tā, vai sertifikātus uzskata vai neuzskata par finanšu aktīviem, var izšķirt divus turpmāk minētos gadījumus.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69" w:name="V.4.2.3.1_Vouchers_are_considered_to_be_"/>
      <w:bookmarkEnd w:id="369"/>
      <w:r>
        <w:rPr>
          <w:rFonts w:ascii="Times New Roman" w:hAnsi="Times New Roman"/>
          <w:noProof/>
          <w:sz w:val="24"/>
        </w:rPr>
        <w:t>V.4.2.3.1. Sertifikātus uzskata par finanšu aktīviem, kad tos emitē</w:t>
      </w:r>
    </w:p>
    <w:p w:rsidR="00523A0A" w:rsidRPr="001973D0" w:rsidRDefault="00523A0A" w:rsidP="00523A0A">
      <w:pPr>
        <w:pStyle w:val="Heading6"/>
        <w:tabs>
          <w:tab w:val="left" w:pos="1876"/>
        </w:tabs>
        <w:jc w:val="both"/>
        <w:rPr>
          <w:rFonts w:ascii="Times New Roman" w:hAnsi="Times New Roman"/>
          <w:noProof/>
          <w:sz w:val="24"/>
        </w:rPr>
      </w:pPr>
    </w:p>
    <w:p w:rsidR="00523A0A"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Šād</w:t>
      </w:r>
      <w:r w:rsidR="000652D6">
        <w:rPr>
          <w:rFonts w:ascii="Times New Roman" w:hAnsi="Times New Roman"/>
          <w:noProof/>
          <w:sz w:val="24"/>
        </w:rPr>
        <w:t>ā gadījumā sertifikātus ieraksta</w:t>
      </w:r>
      <w:r>
        <w:rPr>
          <w:rFonts w:ascii="Times New Roman" w:hAnsi="Times New Roman"/>
          <w:noProof/>
          <w:sz w:val="24"/>
        </w:rPr>
        <w:t xml:space="preserve"> nacionālo kontu sistēmā brīdī, kad tos emitē.</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Heading6"/>
        <w:numPr>
          <w:ilvl w:val="1"/>
          <w:numId w:val="46"/>
        </w:numPr>
        <w:tabs>
          <w:tab w:val="left" w:pos="1452"/>
        </w:tabs>
        <w:ind w:left="1134" w:hanging="425"/>
        <w:jc w:val="both"/>
        <w:rPr>
          <w:rFonts w:ascii="Times New Roman" w:hAnsi="Times New Roman"/>
          <w:noProof/>
          <w:sz w:val="24"/>
        </w:rPr>
      </w:pPr>
      <w:r>
        <w:rPr>
          <w:rFonts w:ascii="Times New Roman" w:hAnsi="Times New Roman"/>
          <w:noProof/>
          <w:sz w:val="24"/>
        </w:rPr>
        <w:t>Finanšu aktīvu iegāde</w:t>
      </w:r>
    </w:p>
    <w:p w:rsidR="00523A0A" w:rsidRPr="001973D0" w:rsidRDefault="000652D6" w:rsidP="00523A0A">
      <w:pPr>
        <w:pStyle w:val="BodyText"/>
        <w:spacing w:before="0"/>
        <w:ind w:left="1134" w:firstLine="0"/>
        <w:jc w:val="both"/>
        <w:rPr>
          <w:rFonts w:ascii="Times New Roman" w:hAnsi="Times New Roman"/>
          <w:noProof/>
          <w:sz w:val="24"/>
        </w:rPr>
      </w:pPr>
      <w:r>
        <w:rPr>
          <w:rFonts w:ascii="Times New Roman" w:hAnsi="Times New Roman"/>
          <w:noProof/>
          <w:sz w:val="24"/>
        </w:rPr>
        <w:t>Sertifikātu pārvedums jāieraksta</w:t>
      </w:r>
      <w:r w:rsidR="00523A0A">
        <w:rPr>
          <w:rFonts w:ascii="Times New Roman" w:hAnsi="Times New Roman"/>
          <w:noProof/>
          <w:sz w:val="24"/>
        </w:rPr>
        <w:t xml:space="preserve"> kā finanšu darījums (pozīcijā “Atvasinātie finanšu instrumenti” (F.71)), kuru līdzsvaro kapitāla pārvedums natūrā no vispārējās valdības. Tas negatīvi ietekmē vispārējās valdības neto aizdevumu/aizņēmumu (B.9), kā arī tās neto vērtību.</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 xml:space="preserve">Tirgus attīstās, un sertifikātu vērtību tajā nosaka tādā apmērā, kādā šos sertifikātus </w:t>
      </w:r>
      <w:r>
        <w:rPr>
          <w:rFonts w:ascii="Times New Roman" w:hAnsi="Times New Roman"/>
          <w:noProof/>
          <w:sz w:val="24"/>
        </w:rPr>
        <w:lastRenderedPageBreak/>
        <w:t>var pārdot vai kompensēt tirgū. Darījumi ar sertifikātiem jāuzskaita kā finanšu darījumi starp attiecīgajiem sektoriem. Pārmaiņas sertifikātu vērtībā vienā</w:t>
      </w:r>
      <w:r w:rsidR="000652D6">
        <w:rPr>
          <w:rFonts w:ascii="Times New Roman" w:hAnsi="Times New Roman"/>
          <w:noProof/>
          <w:sz w:val="24"/>
        </w:rPr>
        <w:t xml:space="preserve"> un tajā pašā periodā jāieraksta</w:t>
      </w:r>
      <w:r>
        <w:rPr>
          <w:rFonts w:ascii="Times New Roman" w:hAnsi="Times New Roman"/>
          <w:noProof/>
          <w:sz w:val="24"/>
        </w:rPr>
        <w:t xml:space="preserve"> kā turēšanas guvumi un zaudējumi dažādo iesaistīto sektoru kontos “Citas aktīvu pārmaiņas” (pārvērtēšanas kontā).</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Sertifikātu maiņa pret publisku sabie</w:t>
      </w:r>
      <w:r w:rsidR="000652D6">
        <w:rPr>
          <w:rFonts w:ascii="Times New Roman" w:hAnsi="Times New Roman"/>
          <w:noProof/>
          <w:sz w:val="24"/>
        </w:rPr>
        <w:t>drību akcijām pilnīgi jāieraksta</w:t>
      </w:r>
      <w:r>
        <w:rPr>
          <w:rFonts w:ascii="Times New Roman" w:hAnsi="Times New Roman"/>
          <w:noProof/>
          <w:sz w:val="24"/>
        </w:rPr>
        <w:t xml:space="preserve"> vispārējās valdības finanšu kontā. Tas neietekmē vispārējās valdības neto aizdevumu/aizņēmumu (B.9).</w:t>
      </w:r>
    </w:p>
    <w:p w:rsidR="00523A0A" w:rsidRPr="001973D0" w:rsidRDefault="00523A0A" w:rsidP="00523A0A">
      <w:pPr>
        <w:pStyle w:val="Heading6"/>
        <w:numPr>
          <w:ilvl w:val="1"/>
          <w:numId w:val="46"/>
        </w:numPr>
        <w:tabs>
          <w:tab w:val="left" w:pos="1512"/>
        </w:tabs>
        <w:ind w:left="1134" w:hanging="425"/>
        <w:jc w:val="both"/>
        <w:rPr>
          <w:rFonts w:ascii="Times New Roman" w:hAnsi="Times New Roman"/>
          <w:noProof/>
          <w:sz w:val="24"/>
        </w:rPr>
      </w:pPr>
      <w:r>
        <w:rPr>
          <w:rFonts w:ascii="Times New Roman" w:hAnsi="Times New Roman"/>
          <w:noProof/>
          <w:sz w:val="24"/>
        </w:rPr>
        <w:t>Nefinanšu aktīvu iegāde</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Sertifikātus maina pret nefinanšu sabiedrību pārdotajām precēm. Šīs nefinanšu sabiedrības iegūst prasījumu pret vispārējo valdību un izmanto to, lai pieteiktos izsolei uz akcijām, kuras pieder vispārējai valdībai un kuras tā pārdod.</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Serti</w:t>
      </w:r>
      <w:r w:rsidR="00451ADF">
        <w:rPr>
          <w:rFonts w:ascii="Times New Roman" w:hAnsi="Times New Roman"/>
          <w:noProof/>
          <w:sz w:val="24"/>
        </w:rPr>
        <w:t>fikātu maiņa pret precēm jāieraksta</w:t>
      </w:r>
      <w:r>
        <w:rPr>
          <w:rFonts w:ascii="Times New Roman" w:hAnsi="Times New Roman"/>
          <w:noProof/>
          <w:sz w:val="24"/>
        </w:rPr>
        <w:t xml:space="preserve"> kā galapatēriņa izdevumi (P.3), ko līdzsvaro atvasināto finanšu instrumentu (F.71) samazināšanās mājsaimniecību sektora aktīva pusē.</w:t>
      </w:r>
      <w:r w:rsidR="00451ADF">
        <w:rPr>
          <w:rFonts w:ascii="Times New Roman" w:hAnsi="Times New Roman"/>
          <w:noProof/>
          <w:sz w:val="24"/>
        </w:rPr>
        <w:t xml:space="preserve"> Pasīva pusē valdībai jāieraksta</w:t>
      </w:r>
      <w:r>
        <w:rPr>
          <w:rFonts w:ascii="Times New Roman" w:hAnsi="Times New Roman"/>
          <w:noProof/>
          <w:sz w:val="24"/>
        </w:rPr>
        <w:t xml:space="preserve"> atvasināto finanšu instrumentu samazin</w:t>
      </w:r>
      <w:r w:rsidR="00451ADF">
        <w:rPr>
          <w:rFonts w:ascii="Times New Roman" w:hAnsi="Times New Roman"/>
          <w:noProof/>
          <w:sz w:val="24"/>
        </w:rPr>
        <w:t>āšanās un aktīva pusē jāieraksta</w:t>
      </w:r>
      <w:r>
        <w:rPr>
          <w:rFonts w:ascii="Times New Roman" w:hAnsi="Times New Roman"/>
          <w:noProof/>
          <w:sz w:val="24"/>
        </w:rPr>
        <w:t xml:space="preserve"> pašu kapitāla (F.5) samazināšanās publiskās sabiedrībās. Tādējādi vispārējās valdības neto aizdevums/aizņēmums (B.9) un neto vērtība netiek ietekmēti.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70" w:name="V.4.2.3.2_Vouchers_are_only_contingent_a"/>
      <w:bookmarkEnd w:id="370"/>
      <w:r>
        <w:rPr>
          <w:rFonts w:ascii="Times New Roman" w:hAnsi="Times New Roman"/>
          <w:noProof/>
          <w:sz w:val="24"/>
        </w:rPr>
        <w:t>V.4.2.3.2. Sertifikāti ir tikai iespējami aktīvi</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Ja sertifikātus uzskata par iespējamaj</w:t>
      </w:r>
      <w:r w:rsidR="00451ADF">
        <w:rPr>
          <w:rFonts w:ascii="Times New Roman" w:hAnsi="Times New Roman"/>
          <w:noProof/>
          <w:sz w:val="24"/>
        </w:rPr>
        <w:t>iem aktīviem, tad tie nav jāieraksta</w:t>
      </w:r>
      <w:r>
        <w:rPr>
          <w:rFonts w:ascii="Times New Roman" w:hAnsi="Times New Roman"/>
          <w:noProof/>
          <w:sz w:val="24"/>
        </w:rPr>
        <w:t xml:space="preserve"> sistēmā to emisijas brīdī. Tos var izmantot vienīgi finanšu vai nefinanšu aktīvu iegādei.</w:t>
      </w:r>
    </w:p>
    <w:p w:rsidR="00523A0A"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Šādā gadījumā sertifikāt</w:t>
      </w:r>
      <w:r w:rsidR="00451ADF">
        <w:rPr>
          <w:rFonts w:ascii="Times New Roman" w:hAnsi="Times New Roman"/>
          <w:noProof/>
          <w:sz w:val="24"/>
        </w:rPr>
        <w:t>u emisijas brīdī tos neieraksta; sertifikātus ieraksta</w:t>
      </w:r>
      <w:r>
        <w:rPr>
          <w:rFonts w:ascii="Times New Roman" w:hAnsi="Times New Roman"/>
          <w:noProof/>
          <w:sz w:val="24"/>
        </w:rPr>
        <w:t xml:space="preserve"> tikai tad, kad tos apmaina pret finanšu vai nefinanšu aktīviem.</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Heading6"/>
        <w:numPr>
          <w:ilvl w:val="1"/>
          <w:numId w:val="46"/>
        </w:numPr>
        <w:tabs>
          <w:tab w:val="left" w:pos="1512"/>
        </w:tabs>
        <w:ind w:left="1134" w:hanging="425"/>
        <w:jc w:val="both"/>
        <w:rPr>
          <w:rFonts w:ascii="Times New Roman" w:hAnsi="Times New Roman"/>
          <w:noProof/>
          <w:sz w:val="24"/>
        </w:rPr>
      </w:pPr>
      <w:r>
        <w:rPr>
          <w:rFonts w:ascii="Times New Roman" w:hAnsi="Times New Roman"/>
          <w:noProof/>
          <w:sz w:val="24"/>
        </w:rPr>
        <w:t>Finanšu aktīvu iegāde</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Sertifikātu apmaiņa pret publis</w:t>
      </w:r>
      <w:r w:rsidR="00451ADF">
        <w:rPr>
          <w:rFonts w:ascii="Times New Roman" w:hAnsi="Times New Roman"/>
          <w:noProof/>
          <w:sz w:val="24"/>
        </w:rPr>
        <w:t>ku sabiedrību akcijām jāieraksta</w:t>
      </w:r>
      <w:r>
        <w:rPr>
          <w:rFonts w:ascii="Times New Roman" w:hAnsi="Times New Roman"/>
          <w:noProof/>
          <w:sz w:val="24"/>
        </w:rPr>
        <w:t xml:space="preserve"> kā finanšu darījums ar akcijām un citu pašu kapitālu (F.5), ko līdzsvaro kapitāla pārvedums natūrā (D.9) no vispārējās valdības. Mājsaimniecību sektoram tas palielina akcijas un citu pašu kapitālu aktīva pusē, savukārt valdībai samazina akcijas un citu pašu kapitālu aktīva pusē. Šī apmaiņa negatīvi ietekmē vispārējās valdības neto aizdevumu/aizņēmumu (B.9), kā arī tās neto vērtību.</w:t>
      </w:r>
    </w:p>
    <w:p w:rsidR="00523A0A" w:rsidRPr="001973D0" w:rsidRDefault="00523A0A" w:rsidP="00523A0A">
      <w:pPr>
        <w:pStyle w:val="Heading6"/>
        <w:numPr>
          <w:ilvl w:val="1"/>
          <w:numId w:val="46"/>
        </w:numPr>
        <w:tabs>
          <w:tab w:val="left" w:pos="1512"/>
        </w:tabs>
        <w:ind w:left="1134" w:hanging="425"/>
        <w:jc w:val="both"/>
        <w:rPr>
          <w:rFonts w:ascii="Times New Roman" w:hAnsi="Times New Roman"/>
          <w:noProof/>
          <w:sz w:val="24"/>
        </w:rPr>
      </w:pPr>
      <w:r>
        <w:rPr>
          <w:rFonts w:ascii="Times New Roman" w:hAnsi="Times New Roman"/>
          <w:noProof/>
          <w:sz w:val="24"/>
        </w:rPr>
        <w:t>Nefinanšu aktīvu iegāde</w:t>
      </w:r>
    </w:p>
    <w:p w:rsidR="00523A0A"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Sertifikātu apmaiņa pret nefinan</w:t>
      </w:r>
      <w:r w:rsidR="00451ADF">
        <w:rPr>
          <w:rFonts w:ascii="Times New Roman" w:hAnsi="Times New Roman"/>
          <w:noProof/>
          <w:sz w:val="24"/>
        </w:rPr>
        <w:t>šu aktīviem jāieraksta</w:t>
      </w:r>
      <w:r>
        <w:rPr>
          <w:rFonts w:ascii="Times New Roman" w:hAnsi="Times New Roman"/>
          <w:noProof/>
          <w:sz w:val="24"/>
        </w:rPr>
        <w:t xml:space="preserve"> kā negatīvs kapitālieguldījums (P.51g), ko līdzsvaro kapitāla pārvedums natūrā (D.9) no vispārējās valdības. Tas neietekmē vispārējās valdības neto aizdevumu/aizņēmumu (B.9). Tomēr šī apmaiņa samazina vispārējās valdības neto vērtību.</w:t>
      </w:r>
    </w:p>
    <w:p w:rsidR="00523A0A" w:rsidRPr="001973D0" w:rsidRDefault="00523A0A" w:rsidP="00523A0A">
      <w:pPr>
        <w:pStyle w:val="BodyText"/>
        <w:spacing w:before="0"/>
        <w:ind w:left="0" w:firstLine="0"/>
        <w:jc w:val="both"/>
        <w:rPr>
          <w:rFonts w:ascii="Times New Roman" w:hAnsi="Times New Roman"/>
          <w:noProof/>
          <w:sz w:val="24"/>
        </w:rPr>
      </w:pPr>
    </w:p>
    <w:p w:rsidR="00523A0A" w:rsidRDefault="00523A0A" w:rsidP="00523A0A">
      <w:pPr>
        <w:pStyle w:val="Heading6"/>
        <w:tabs>
          <w:tab w:val="left" w:pos="1935"/>
        </w:tabs>
        <w:jc w:val="both"/>
        <w:rPr>
          <w:rFonts w:ascii="Times New Roman" w:hAnsi="Times New Roman"/>
          <w:noProof/>
          <w:sz w:val="24"/>
        </w:rPr>
      </w:pPr>
      <w:bookmarkStart w:id="371" w:name="V.4.2.4_Impact_of_vouchers_on_government"/>
      <w:bookmarkEnd w:id="371"/>
      <w:r>
        <w:rPr>
          <w:rFonts w:ascii="Times New Roman" w:hAnsi="Times New Roman"/>
          <w:noProof/>
          <w:sz w:val="24"/>
        </w:rPr>
        <w:t>V.4.2.4. Sertifikātu ietekme uz valdības parādu</w:t>
      </w:r>
    </w:p>
    <w:p w:rsidR="00523A0A" w:rsidRPr="001973D0" w:rsidRDefault="00523A0A" w:rsidP="00523A0A">
      <w:pPr>
        <w:pStyle w:val="Heading6"/>
        <w:tabs>
          <w:tab w:val="left" w:pos="1935"/>
        </w:tabs>
        <w:jc w:val="both"/>
        <w:rPr>
          <w:rFonts w:ascii="Times New Roman" w:hAnsi="Times New Roman"/>
          <w:noProof/>
          <w:sz w:val="24"/>
        </w:rPr>
      </w:pPr>
    </w:p>
    <w:p w:rsidR="00523A0A" w:rsidRPr="001973D0" w:rsidRDefault="00523A0A" w:rsidP="00523A0A">
      <w:pPr>
        <w:pStyle w:val="BodyText"/>
        <w:numPr>
          <w:ilvl w:val="0"/>
          <w:numId w:val="46"/>
        </w:numPr>
        <w:tabs>
          <w:tab w:val="left" w:pos="1162"/>
        </w:tabs>
        <w:spacing w:before="0"/>
        <w:ind w:left="709" w:hanging="709"/>
        <w:jc w:val="both"/>
        <w:rPr>
          <w:rFonts w:ascii="Times New Roman" w:hAnsi="Times New Roman"/>
          <w:noProof/>
          <w:sz w:val="24"/>
        </w:rPr>
      </w:pPr>
      <w:r>
        <w:rPr>
          <w:rFonts w:ascii="Times New Roman" w:hAnsi="Times New Roman"/>
          <w:noProof/>
          <w:sz w:val="24"/>
        </w:rPr>
        <w:t>Atbilstoši E</w:t>
      </w:r>
      <w:r w:rsidR="00451ADF">
        <w:rPr>
          <w:rFonts w:ascii="Times New Roman" w:hAnsi="Times New Roman"/>
          <w:noProof/>
          <w:sz w:val="24"/>
        </w:rPr>
        <w:t>KS 2010 sertifikātu ierakstīšana</w:t>
      </w:r>
      <w:r>
        <w:rPr>
          <w:rFonts w:ascii="Times New Roman" w:hAnsi="Times New Roman"/>
          <w:noProof/>
          <w:sz w:val="24"/>
        </w:rPr>
        <w:t xml:space="preserve"> (tiklīdz tos uzskata par finanšu saistībām) valdības bilancē palielina valdības saistību krājumu.</w:t>
      </w: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Sertifikāti neietekmē valsts parāda aprēķināšanu (sk. VIII daļu) atbilstoši pārmērīga budžeta deficīta novēršanas procedūrai tiktāl, ciktāl var pieņe</w:t>
      </w:r>
      <w:r w:rsidR="00451ADF">
        <w:rPr>
          <w:rFonts w:ascii="Times New Roman" w:hAnsi="Times New Roman"/>
          <w:noProof/>
          <w:sz w:val="24"/>
        </w:rPr>
        <w:t>mt, ka atbilstošie ierakstāmie</w:t>
      </w:r>
      <w:r>
        <w:rPr>
          <w:rFonts w:ascii="Times New Roman" w:hAnsi="Times New Roman"/>
          <w:noProof/>
          <w:sz w:val="24"/>
        </w:rPr>
        <w:t xml:space="preserve"> aktīvi/saistības ir atvasināti finanšu instrumenti (F.71).</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452"/>
        </w:tabs>
        <w:ind w:left="0" w:firstLine="0"/>
        <w:jc w:val="both"/>
        <w:rPr>
          <w:rFonts w:ascii="Times New Roman" w:hAnsi="Times New Roman"/>
          <w:noProof/>
          <w:u w:val="thick" w:color="000000"/>
        </w:rPr>
      </w:pPr>
      <w:bookmarkStart w:id="372" w:name="V.4.3_Rationale_of_the_treatment"/>
      <w:bookmarkEnd w:id="372"/>
      <w:r>
        <w:rPr>
          <w:rFonts w:ascii="Times New Roman" w:hAnsi="Times New Roman"/>
          <w:noProof/>
          <w:u w:val="none"/>
        </w:rPr>
        <w:t>V.4.3. </w:t>
      </w:r>
      <w:r>
        <w:rPr>
          <w:rFonts w:ascii="Times New Roman" w:hAnsi="Times New Roman"/>
          <w:noProof/>
          <w:u w:val="thick" w:color="000000"/>
        </w:rPr>
        <w:t>Traktējuma pamatojums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876"/>
        </w:tabs>
        <w:jc w:val="both"/>
        <w:rPr>
          <w:rFonts w:ascii="Times New Roman" w:hAnsi="Times New Roman"/>
          <w:noProof/>
          <w:sz w:val="24"/>
        </w:rPr>
      </w:pPr>
      <w:bookmarkStart w:id="373" w:name="V.4.3.1_Restitution_in_kind:"/>
      <w:bookmarkEnd w:id="373"/>
      <w:r>
        <w:rPr>
          <w:rFonts w:ascii="Times New Roman" w:hAnsi="Times New Roman"/>
          <w:noProof/>
          <w:sz w:val="24"/>
        </w:rPr>
        <w:t>V.4.3.1. Restitūcija natūrā</w:t>
      </w:r>
    </w:p>
    <w:p w:rsidR="00523A0A" w:rsidRPr="001973D0" w:rsidRDefault="00523A0A" w:rsidP="00523A0A">
      <w:pPr>
        <w:pStyle w:val="Heading6"/>
        <w:tabs>
          <w:tab w:val="left" w:pos="1876"/>
        </w:tabs>
        <w:jc w:val="both"/>
        <w:rPr>
          <w:rFonts w:ascii="Times New Roman" w:hAnsi="Times New Roman"/>
          <w:noProof/>
          <w:sz w:val="24"/>
        </w:rPr>
      </w:pPr>
    </w:p>
    <w:p w:rsidR="00523A0A"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Var dažādi analizēt divus turpmāk minētos gadījumus.</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0"/>
          <w:numId w:val="44"/>
        </w:numPr>
        <w:tabs>
          <w:tab w:val="left" w:pos="1452"/>
        </w:tabs>
        <w:spacing w:before="0"/>
        <w:ind w:left="1134" w:hanging="425"/>
        <w:jc w:val="both"/>
        <w:rPr>
          <w:rFonts w:ascii="Times New Roman" w:hAnsi="Times New Roman"/>
          <w:noProof/>
          <w:sz w:val="24"/>
        </w:rPr>
      </w:pPr>
      <w:r>
        <w:rPr>
          <w:rFonts w:ascii="Times New Roman" w:hAnsi="Times New Roman"/>
          <w:noProof/>
          <w:sz w:val="24"/>
        </w:rPr>
        <w:t xml:space="preserve">Atgūtais aktīvs ir tas pats aktīvs, kuru valdība ir konfiscējusi. Šī ir vienpusēja bagātības restitūcija, atdodot nefinanšu aktīvu, ko valdība iepriekš ir pārņēmusi, nepiešķirot kompensāciju. Šāda vienpusējas konfiskācijas nekompensētā daļa nav kapitāla pārvedums (EKS 2010, </w:t>
      </w:r>
      <w:r w:rsidR="00451ADF">
        <w:rPr>
          <w:rFonts w:ascii="Times New Roman" w:hAnsi="Times New Roman"/>
          <w:noProof/>
          <w:sz w:val="24"/>
        </w:rPr>
        <w:t>6.10. punkts), bet tā jāieraksta</w:t>
      </w:r>
      <w:r>
        <w:rPr>
          <w:rFonts w:ascii="Times New Roman" w:hAnsi="Times New Roman"/>
          <w:noProof/>
          <w:sz w:val="24"/>
        </w:rPr>
        <w:t xml:space="preserve"> kontā “Citas aktīvu apjoma pārmaiņas” (K.4). Tomēr restitūcija netiek traktēta sim</w:t>
      </w:r>
      <w:r w:rsidR="00451ADF">
        <w:rPr>
          <w:rFonts w:ascii="Times New Roman" w:hAnsi="Times New Roman"/>
          <w:noProof/>
          <w:sz w:val="24"/>
        </w:rPr>
        <w:t>etriskā veidā un tiek ierakstīta</w:t>
      </w:r>
      <w:r>
        <w:rPr>
          <w:rFonts w:ascii="Times New Roman" w:hAnsi="Times New Roman"/>
          <w:noProof/>
          <w:sz w:val="24"/>
        </w:rPr>
        <w:t xml:space="preserve"> kā aktīva realizācija, kurai valdības kontos atbilst kapitāla pārveduma izdevumi.</w:t>
      </w:r>
    </w:p>
    <w:p w:rsidR="00523A0A" w:rsidRPr="001973D0" w:rsidRDefault="00523A0A" w:rsidP="00523A0A">
      <w:pPr>
        <w:pStyle w:val="BodyText"/>
        <w:numPr>
          <w:ilvl w:val="0"/>
          <w:numId w:val="44"/>
        </w:numPr>
        <w:tabs>
          <w:tab w:val="left" w:pos="1452"/>
        </w:tabs>
        <w:spacing w:before="0"/>
        <w:ind w:left="1134" w:hanging="425"/>
        <w:jc w:val="both"/>
        <w:rPr>
          <w:rFonts w:ascii="Times New Roman" w:hAnsi="Times New Roman"/>
          <w:noProof/>
          <w:sz w:val="24"/>
        </w:rPr>
      </w:pPr>
      <w:r>
        <w:rPr>
          <w:rFonts w:ascii="Times New Roman" w:hAnsi="Times New Roman"/>
          <w:noProof/>
          <w:sz w:val="24"/>
        </w:rPr>
        <w:t>Atgūtais aktīvs ir mainījies: restitūciju analizē kā brīvprātīgu bagātības pārvedumu, ko veic saskaņā ar savstarpēju vienošanos (pretēji citām pārmaiņām aktīvu apjomā). Par pretvērtības darījumu uzskata kapitāla pārvedumu (citi kapitāla pārvedumi (D.99), EKS 2010 4.164. punkts). To var secināt no kapitāla pārvedumu definīcijas (EKS 2010 4.146. punkts: “Kapitāla pārvedumu natūrā veido aktīva (izņemot inventāra un naudas) īpašumtiesību maiņa vai kreditora anulētas saistības, par to nesaņemot nekādu pretvērtību.” Var arī uzskatīt, ka šādam pārvedumam nepieciešams neliels valsts finansējums (sk. arī EKS 2010 6.11. punktu).</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1876"/>
        </w:tabs>
        <w:jc w:val="both"/>
        <w:rPr>
          <w:rFonts w:ascii="Times New Roman" w:hAnsi="Times New Roman"/>
          <w:noProof/>
          <w:sz w:val="24"/>
        </w:rPr>
      </w:pPr>
      <w:bookmarkStart w:id="374" w:name="V.4.3.2_Restitution_though_financial_com"/>
      <w:bookmarkEnd w:id="374"/>
      <w:r>
        <w:rPr>
          <w:rFonts w:ascii="Times New Roman" w:hAnsi="Times New Roman"/>
          <w:noProof/>
          <w:sz w:val="24"/>
        </w:rPr>
        <w:t>V.4.3.2. Restitūcija, izmantojot finanšu kompensāciju</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Šādu kompensāciju parasti piešķir daudzus gadus pēc konfiskācijas (bieži pēc 40–50 gadiem). Atšķirībā no restitūcijas natūrā (kad aktīvs nav mainījies) restitūcijai, izmantojot finanšu kompensāciju, vajadzīgs valdības finansējums. Tāpat kā visos tajos bagātības pārvedumu gadījumos, ko veic saskaņā ar savstarpēju vienošanos, pretvērtības darījums ir kapitāla pārvedums (citi kapitāla pārvedumi (D.99), EKS 2010 4.164. punkts).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75" w:name="V.4.3.3_Exchange_of_vouchers:"/>
      <w:bookmarkEnd w:id="375"/>
      <w:r>
        <w:rPr>
          <w:rFonts w:ascii="Times New Roman" w:hAnsi="Times New Roman"/>
          <w:noProof/>
          <w:sz w:val="24"/>
        </w:rPr>
        <w:t>V.4.3.3. Sertifikātu apmaiņa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6"/>
        </w:numPr>
        <w:tabs>
          <w:tab w:val="left" w:pos="1102"/>
        </w:tabs>
        <w:spacing w:before="0"/>
        <w:ind w:left="709" w:hanging="709"/>
        <w:jc w:val="both"/>
        <w:rPr>
          <w:rFonts w:ascii="Times New Roman" w:hAnsi="Times New Roman"/>
          <w:noProof/>
          <w:sz w:val="24"/>
        </w:rPr>
      </w:pPr>
      <w:r>
        <w:rPr>
          <w:rFonts w:ascii="Times New Roman" w:hAnsi="Times New Roman"/>
          <w:noProof/>
          <w:sz w:val="24"/>
        </w:rPr>
        <w:t>Ja sertifikātus uzskata par finanšu aktīviem, to apmaiņa pret pašu kapitālu (AF.5) izriet no finanšu darījumu definīcijas (EKS 2010 5.02. punkts) un no finanšu kontu definīcijas (EKS 2010 8.50. punkts): kad valdības bilancē vienu finanšu aktīvu tieši apmaina pret citu finanšu aktīvu, ne bagātībā, ne ienākumu plūsmā pārmaiņas nenotiek. Kas attiecas uz sertifikātu apmaiņu pret nefinanšu aktīviem, noteikumi izriet no attiecīgo aktīvu realizācijas definīcijas un kapitāla konta definīcijas (EKS 2010 8.46. punkts).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376" w:name="V.4.4_Accounting_examples"/>
      <w:bookmarkEnd w:id="376"/>
      <w:r>
        <w:rPr>
          <w:rFonts w:ascii="Times New Roman" w:hAnsi="Times New Roman"/>
          <w:noProof/>
          <w:u w:val="none"/>
        </w:rPr>
        <w:t>V.4.4. </w:t>
      </w:r>
      <w:r>
        <w:rPr>
          <w:rFonts w:ascii="Times New Roman" w:hAnsi="Times New Roman"/>
          <w:noProof/>
          <w:u w:val="thick" w:color="000000"/>
        </w:rPr>
        <w:t>Uzskaites piemēri</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Default="00523A0A" w:rsidP="00523A0A">
      <w:pPr>
        <w:pStyle w:val="Heading6"/>
        <w:tabs>
          <w:tab w:val="left" w:pos="987"/>
        </w:tabs>
        <w:rPr>
          <w:rFonts w:ascii="Times New Roman" w:hAnsi="Times New Roman"/>
          <w:noProof/>
          <w:sz w:val="24"/>
        </w:rPr>
      </w:pPr>
      <w:bookmarkStart w:id="377" w:name="1._Restitution_in_kind"/>
      <w:bookmarkEnd w:id="377"/>
      <w:r>
        <w:rPr>
          <w:rFonts w:ascii="Times New Roman" w:hAnsi="Times New Roman"/>
          <w:noProof/>
          <w:sz w:val="24"/>
        </w:rPr>
        <w:t>1. Restitūcija natūrā</w:t>
      </w:r>
    </w:p>
    <w:p w:rsidR="00523A0A" w:rsidRPr="001973D0" w:rsidRDefault="00523A0A" w:rsidP="00523A0A">
      <w:pPr>
        <w:pStyle w:val="Heading6"/>
        <w:tabs>
          <w:tab w:val="left" w:pos="987"/>
        </w:tabs>
        <w:rPr>
          <w:rFonts w:ascii="Times New Roman" w:hAnsi="Times New Roman"/>
          <w:noProof/>
          <w:sz w:val="24"/>
        </w:rPr>
      </w:pPr>
    </w:p>
    <w:p w:rsidR="00523A0A" w:rsidRPr="001973D0" w:rsidRDefault="00523A0A" w:rsidP="00523A0A">
      <w:pPr>
        <w:pStyle w:val="Heading6"/>
        <w:numPr>
          <w:ilvl w:val="0"/>
          <w:numId w:val="43"/>
        </w:numPr>
        <w:tabs>
          <w:tab w:val="left" w:pos="1168"/>
        </w:tabs>
        <w:ind w:left="1134"/>
        <w:jc w:val="both"/>
        <w:rPr>
          <w:rFonts w:ascii="Times New Roman" w:hAnsi="Times New Roman"/>
          <w:noProof/>
          <w:sz w:val="24"/>
        </w:rPr>
      </w:pPr>
      <w:r>
        <w:rPr>
          <w:rFonts w:ascii="Times New Roman" w:hAnsi="Times New Roman"/>
          <w:noProof/>
          <w:sz w:val="24"/>
        </w:rPr>
        <w:t>Nefinanšu aktīvs, kas jāatdod, ir aptuveni tāds pats kā tas, kurš iepriekš tika nacionalizēts vai konfiscēts.</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Turpmāk minētajos piemēros valdība atdod mājsaimniecību sektoram nefinanšu aktīvus (zemi), kuru vērtība ir 100 naudas vienības.</w:t>
      </w:r>
    </w:p>
    <w:p w:rsidR="00523A0A" w:rsidRPr="001973D0" w:rsidRDefault="00523A0A" w:rsidP="00523A0A">
      <w:pPr>
        <w:jc w:val="both"/>
        <w:rPr>
          <w:rFonts w:ascii="Times New Roman" w:eastAsia="Arial" w:hAnsi="Times New Roman" w:cs="Arial"/>
          <w:noProof/>
          <w:sz w:val="24"/>
          <w:szCs w:val="20"/>
        </w:rPr>
      </w:pP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lastRenderedPageBreak/>
        <w:drawing>
          <wp:inline distT="0" distB="0" distL="0" distR="0">
            <wp:extent cx="5760085" cy="407943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0085" cy="4079435"/>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0"/>
        </w:rPr>
      </w:pPr>
    </w:p>
    <w:p w:rsidR="00523A0A" w:rsidRPr="001973D0" w:rsidRDefault="00523A0A" w:rsidP="00523A0A">
      <w:pPr>
        <w:pStyle w:val="Heading6"/>
        <w:numPr>
          <w:ilvl w:val="0"/>
          <w:numId w:val="43"/>
        </w:numPr>
        <w:tabs>
          <w:tab w:val="left" w:pos="1228"/>
        </w:tabs>
        <w:ind w:left="1134" w:hanging="425"/>
        <w:jc w:val="both"/>
        <w:rPr>
          <w:rFonts w:ascii="Times New Roman" w:hAnsi="Times New Roman"/>
          <w:noProof/>
          <w:sz w:val="24"/>
        </w:rPr>
      </w:pPr>
      <w:r>
        <w:rPr>
          <w:rFonts w:ascii="Times New Roman" w:hAnsi="Times New Roman"/>
          <w:noProof/>
          <w:sz w:val="24"/>
        </w:rPr>
        <w:t>Atgūstamais nefinanšu aktīvs atšķiras (izskata un vērtības ziņā) no tā, kas iepriekš tika nacionalizēts vai konfiscēts.</w:t>
      </w:r>
    </w:p>
    <w:p w:rsidR="00523A0A" w:rsidRPr="001973D0" w:rsidRDefault="00523A0A" w:rsidP="00523A0A">
      <w:pPr>
        <w:pStyle w:val="BodyText"/>
        <w:spacing w:before="0"/>
        <w:ind w:left="1134" w:firstLine="0"/>
        <w:jc w:val="both"/>
        <w:rPr>
          <w:rFonts w:ascii="Times New Roman" w:hAnsi="Times New Roman"/>
          <w:noProof/>
          <w:sz w:val="24"/>
        </w:rPr>
      </w:pPr>
      <w:r>
        <w:rPr>
          <w:rFonts w:ascii="Times New Roman" w:hAnsi="Times New Roman"/>
          <w:noProof/>
          <w:sz w:val="24"/>
        </w:rPr>
        <w:t>Turpmākajā piemērā valdības sektors atdod mājsaimniecību sektoram mājokļus, kuru vērtība ir 100 naudas vienības.</w:t>
      </w:r>
    </w:p>
    <w:p w:rsidR="00523A0A" w:rsidRPr="001973D0" w:rsidRDefault="00523A0A" w:rsidP="00523A0A">
      <w:pPr>
        <w:jc w:val="both"/>
        <w:rPr>
          <w:rFonts w:ascii="Times New Roman" w:eastAsia="Arial" w:hAnsi="Times New Roman" w:cs="Arial"/>
          <w:noProof/>
          <w:sz w:val="24"/>
          <w:szCs w:val="20"/>
        </w:rPr>
      </w:pPr>
    </w:p>
    <w:p w:rsidR="00523A0A" w:rsidRPr="001973D0" w:rsidRDefault="00AF685A" w:rsidP="00523A0A">
      <w:pPr>
        <w:jc w:val="both"/>
        <w:rPr>
          <w:rFonts w:ascii="Times New Roman" w:eastAsia="Arial" w:hAnsi="Times New Roman" w:cs="Arial"/>
          <w:noProof/>
          <w:sz w:val="24"/>
          <w:szCs w:val="20"/>
        </w:rPr>
      </w:pPr>
      <w:r w:rsidRPr="00AF685A">
        <w:rPr>
          <w:rFonts w:ascii="Times New Roman" w:eastAsia="Arial" w:hAnsi="Times New Roman" w:cs="Arial"/>
          <w:noProof/>
          <w:sz w:val="24"/>
          <w:szCs w:val="20"/>
          <w:lang w:bidi="ar-SA"/>
        </w:rPr>
        <w:drawing>
          <wp:inline distT="0" distB="0" distL="0" distR="0">
            <wp:extent cx="5760085" cy="3066719"/>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085" cy="3066719"/>
                    </a:xfrm>
                    <a:prstGeom prst="rect">
                      <a:avLst/>
                    </a:prstGeom>
                    <a:noFill/>
                    <a:ln>
                      <a:noFill/>
                    </a:ln>
                  </pic:spPr>
                </pic:pic>
              </a:graphicData>
            </a:graphic>
          </wp:inline>
        </w:drawing>
      </w: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lastRenderedPageBreak/>
        <w:drawing>
          <wp:inline distT="0" distB="0" distL="0" distR="0">
            <wp:extent cx="5760085" cy="1130986"/>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60085" cy="1130986"/>
                    </a:xfrm>
                    <a:prstGeom prst="rect">
                      <a:avLst/>
                    </a:prstGeom>
                    <a:noFill/>
                    <a:ln>
                      <a:noFill/>
                    </a:ln>
                  </pic:spPr>
                </pic:pic>
              </a:graphicData>
            </a:graphic>
          </wp:inline>
        </w:drawing>
      </w:r>
    </w:p>
    <w:p w:rsidR="00523A0A" w:rsidRDefault="00523A0A" w:rsidP="00523A0A">
      <w:pPr>
        <w:jc w:val="both"/>
        <w:rPr>
          <w:rFonts w:ascii="Times New Roman" w:eastAsia="Calibri" w:hAnsi="Times New Roman" w:cs="Calibri"/>
          <w:noProof/>
          <w:sz w:val="24"/>
          <w:szCs w:val="19"/>
        </w:rPr>
      </w:pPr>
    </w:p>
    <w:p w:rsidR="00523A0A" w:rsidRPr="001973D0" w:rsidRDefault="00523A0A" w:rsidP="00523A0A">
      <w:pPr>
        <w:pStyle w:val="Heading6"/>
        <w:tabs>
          <w:tab w:val="left" w:pos="987"/>
        </w:tabs>
        <w:rPr>
          <w:rFonts w:ascii="Times New Roman" w:hAnsi="Times New Roman"/>
          <w:noProof/>
          <w:sz w:val="24"/>
        </w:rPr>
      </w:pPr>
      <w:bookmarkStart w:id="378" w:name="2._Restitution_through_financial_compens"/>
      <w:bookmarkEnd w:id="378"/>
      <w:r>
        <w:rPr>
          <w:rFonts w:ascii="Times New Roman" w:hAnsi="Times New Roman"/>
          <w:noProof/>
          <w:sz w:val="24"/>
        </w:rPr>
        <w:t>2. Restitūcija, izmantojot finanšu kompensāciju</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Turpmākajā piemērā valdība bijušajiem īpašniekiem,</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piemēram, zemes vai mājokļu (mājsaimniecību) īpašniekiem, kā kompensāciju piešķir akcijas, kuru vērtība ir 100.</w:t>
      </w:r>
    </w:p>
    <w:p w:rsidR="00523A0A" w:rsidRPr="001973D0" w:rsidRDefault="00523A0A" w:rsidP="00523A0A">
      <w:pPr>
        <w:jc w:val="both"/>
        <w:rPr>
          <w:rFonts w:ascii="Times New Roman" w:eastAsia="Arial" w:hAnsi="Times New Roman" w:cs="Arial"/>
          <w:noProof/>
          <w:sz w:val="24"/>
          <w:szCs w:val="20"/>
        </w:rPr>
      </w:pP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drawing>
          <wp:inline distT="0" distB="0" distL="0" distR="0">
            <wp:extent cx="5760085" cy="6025196"/>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0085" cy="6025196"/>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9"/>
        </w:rPr>
      </w:pPr>
    </w:p>
    <w:p w:rsidR="00523A0A" w:rsidRPr="001973D0" w:rsidRDefault="00523A0A" w:rsidP="00523A0A">
      <w:pPr>
        <w:pStyle w:val="Heading6"/>
        <w:tabs>
          <w:tab w:val="left" w:pos="1047"/>
        </w:tabs>
        <w:rPr>
          <w:rFonts w:ascii="Times New Roman" w:hAnsi="Times New Roman"/>
          <w:noProof/>
          <w:sz w:val="24"/>
        </w:rPr>
      </w:pPr>
      <w:bookmarkStart w:id="379" w:name="3._Privatisation_through_the_issue_of_vo"/>
      <w:bookmarkEnd w:id="379"/>
      <w:r>
        <w:rPr>
          <w:rFonts w:ascii="Times New Roman" w:hAnsi="Times New Roman"/>
          <w:noProof/>
          <w:sz w:val="24"/>
        </w:rPr>
        <w:t>3. Privatizācija, emitējot sertifikātus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Turpmāk minētajos piemēros privatizācijas aģentūra (kas ietilpst vispārējās valdības sektorā) emitē sertifikātus, kurus bez maksas sadala mājsaimniecību sektoram. Noteiktā laikposmā </w:t>
      </w:r>
      <w:r>
        <w:rPr>
          <w:rFonts w:ascii="Times New Roman" w:hAnsi="Times New Roman"/>
          <w:noProof/>
          <w:sz w:val="24"/>
        </w:rPr>
        <w:lastRenderedPageBreak/>
        <w:t>mājsaimniecības var izmantot, lai iegādātos akcijas un citu pašu kapitālu, kas publiskās sabiedrībās pieder valdībai, un/vai nefinanšu aktīvus (piemēram, pamatlīdzekļus (AN.11).</w:t>
      </w:r>
    </w:p>
    <w:p w:rsidR="00523A0A" w:rsidRPr="001973D0" w:rsidRDefault="00523A0A" w:rsidP="00523A0A">
      <w:pPr>
        <w:jc w:val="both"/>
        <w:rPr>
          <w:rFonts w:ascii="Times New Roman" w:eastAsia="Arial" w:hAnsi="Times New Roman" w:cs="Arial"/>
          <w:noProof/>
          <w:sz w:val="24"/>
          <w:szCs w:val="32"/>
        </w:rPr>
      </w:pPr>
    </w:p>
    <w:p w:rsidR="00523A0A" w:rsidRPr="001973D0" w:rsidRDefault="00523A0A" w:rsidP="00523A0A">
      <w:pPr>
        <w:pStyle w:val="Heading6"/>
        <w:numPr>
          <w:ilvl w:val="0"/>
          <w:numId w:val="42"/>
        </w:numPr>
        <w:tabs>
          <w:tab w:val="left" w:pos="1134"/>
        </w:tabs>
        <w:ind w:left="1134" w:hanging="425"/>
        <w:jc w:val="both"/>
        <w:rPr>
          <w:rFonts w:ascii="Times New Roman" w:hAnsi="Times New Roman"/>
          <w:noProof/>
          <w:sz w:val="24"/>
        </w:rPr>
      </w:pPr>
      <w:r>
        <w:rPr>
          <w:rFonts w:ascii="Times New Roman" w:hAnsi="Times New Roman"/>
          <w:noProof/>
          <w:sz w:val="24"/>
        </w:rPr>
        <w:t>Sertifikātus uzskata par finanšu aktīviem, kad tos emitē</w:t>
      </w:r>
    </w:p>
    <w:p w:rsidR="00523A0A" w:rsidRPr="001973D0" w:rsidRDefault="00523A0A" w:rsidP="00523A0A">
      <w:pPr>
        <w:jc w:val="both"/>
        <w:rPr>
          <w:rFonts w:ascii="Times New Roman" w:eastAsia="Arial" w:hAnsi="Times New Roman" w:cs="Arial"/>
          <w:b/>
          <w:bCs/>
          <w:noProof/>
          <w:sz w:val="24"/>
          <w:szCs w:val="18"/>
        </w:rPr>
      </w:pPr>
    </w:p>
    <w:p w:rsidR="00523A0A" w:rsidRPr="001973D0" w:rsidRDefault="0025677E" w:rsidP="00523A0A">
      <w:pPr>
        <w:jc w:val="both"/>
        <w:rPr>
          <w:rFonts w:ascii="Times New Roman" w:eastAsia="Calibri" w:hAnsi="Times New Roman" w:cs="Calibri"/>
          <w:b/>
          <w:bCs/>
          <w:noProof/>
          <w:sz w:val="24"/>
          <w:szCs w:val="20"/>
        </w:rPr>
      </w:pPr>
      <w:r w:rsidRPr="0025677E">
        <w:rPr>
          <w:rFonts w:ascii="Times New Roman" w:eastAsia="Calibri" w:hAnsi="Times New Roman" w:cs="Calibri"/>
          <w:b/>
          <w:bCs/>
          <w:noProof/>
          <w:sz w:val="24"/>
          <w:szCs w:val="20"/>
          <w:lang w:bidi="ar-SA"/>
        </w:rPr>
        <w:drawing>
          <wp:inline distT="0" distB="0" distL="0" distR="0">
            <wp:extent cx="5760085" cy="4913127"/>
            <wp:effectExtent l="0" t="0" r="0" b="190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0085" cy="4913127"/>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15"/>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Finanšu aktīvu iegāde</w:t>
      </w:r>
    </w:p>
    <w:p w:rsidR="00523A0A" w:rsidRPr="001973D0" w:rsidRDefault="00523A0A" w:rsidP="00523A0A">
      <w:pPr>
        <w:jc w:val="both"/>
        <w:rPr>
          <w:rFonts w:ascii="Times New Roman" w:eastAsia="Arial" w:hAnsi="Times New Roman" w:cs="Arial"/>
          <w:b/>
          <w:bCs/>
          <w:noProof/>
          <w:sz w:val="24"/>
          <w:szCs w:val="2"/>
        </w:rPr>
      </w:pPr>
    </w:p>
    <w:p w:rsidR="00523A0A" w:rsidRPr="001973D0" w:rsidRDefault="00AF685A" w:rsidP="00AF685A">
      <w:pPr>
        <w:jc w:val="center"/>
        <w:rPr>
          <w:rFonts w:ascii="Times New Roman" w:eastAsia="Calibri" w:hAnsi="Times New Roman" w:cs="Calibri"/>
          <w:b/>
          <w:bCs/>
          <w:noProof/>
          <w:sz w:val="24"/>
          <w:szCs w:val="20"/>
        </w:rPr>
      </w:pPr>
      <w:r w:rsidRPr="00AF685A">
        <w:rPr>
          <w:rFonts w:ascii="Times New Roman" w:eastAsia="Calibri" w:hAnsi="Times New Roman" w:cs="Calibri"/>
          <w:b/>
          <w:bCs/>
          <w:noProof/>
          <w:sz w:val="24"/>
          <w:szCs w:val="20"/>
          <w:lang w:bidi="ar-SA"/>
        </w:rPr>
        <w:drawing>
          <wp:inline distT="0" distB="0" distL="0" distR="0">
            <wp:extent cx="5760085" cy="1481510"/>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0085" cy="1481510"/>
                    </a:xfrm>
                    <a:prstGeom prst="rect">
                      <a:avLst/>
                    </a:prstGeom>
                    <a:noFill/>
                    <a:ln>
                      <a:noFill/>
                    </a:ln>
                  </pic:spPr>
                </pic:pic>
              </a:graphicData>
            </a:graphic>
          </wp:inline>
        </w:drawing>
      </w:r>
    </w:p>
    <w:p w:rsidR="00523A0A" w:rsidRPr="001973D0" w:rsidRDefault="0025677E" w:rsidP="00523A0A">
      <w:pPr>
        <w:jc w:val="both"/>
        <w:rPr>
          <w:rFonts w:ascii="Times New Roman" w:eastAsia="Calibri" w:hAnsi="Times New Roman" w:cs="Calibri"/>
          <w:b/>
          <w:bCs/>
          <w:noProof/>
          <w:sz w:val="24"/>
          <w:szCs w:val="20"/>
        </w:rPr>
      </w:pPr>
      <w:r w:rsidRPr="0025677E">
        <w:rPr>
          <w:rFonts w:ascii="Times New Roman" w:eastAsia="Calibri" w:hAnsi="Times New Roman" w:cs="Calibri"/>
          <w:b/>
          <w:bCs/>
          <w:noProof/>
          <w:sz w:val="24"/>
          <w:szCs w:val="20"/>
          <w:lang w:bidi="ar-SA"/>
        </w:rPr>
        <w:lastRenderedPageBreak/>
        <w:drawing>
          <wp:inline distT="0" distB="0" distL="0" distR="0">
            <wp:extent cx="5760085" cy="2707444"/>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0085" cy="2707444"/>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15"/>
        </w:rPr>
      </w:pPr>
    </w:p>
    <w:p w:rsidR="00523A0A" w:rsidRPr="001973D0" w:rsidRDefault="00523A0A" w:rsidP="00523A0A">
      <w:pPr>
        <w:pStyle w:val="Heading6"/>
        <w:numPr>
          <w:ilvl w:val="0"/>
          <w:numId w:val="42"/>
        </w:numPr>
        <w:tabs>
          <w:tab w:val="left" w:pos="1134"/>
        </w:tabs>
        <w:ind w:left="1134" w:hanging="425"/>
        <w:jc w:val="both"/>
        <w:rPr>
          <w:rFonts w:ascii="Times New Roman" w:hAnsi="Times New Roman"/>
          <w:noProof/>
          <w:sz w:val="24"/>
        </w:rPr>
      </w:pPr>
      <w:r>
        <w:rPr>
          <w:rFonts w:ascii="Times New Roman" w:hAnsi="Times New Roman"/>
          <w:noProof/>
          <w:sz w:val="24"/>
        </w:rPr>
        <w:t>Sertifikāti ir tikai iespējami aktīvi, un tāp</w:t>
      </w:r>
      <w:r w:rsidR="00451ADF">
        <w:rPr>
          <w:rFonts w:ascii="Times New Roman" w:hAnsi="Times New Roman"/>
          <w:noProof/>
          <w:sz w:val="24"/>
        </w:rPr>
        <w:t>ēc emisijas brīdī tos neieraksta</w:t>
      </w:r>
      <w:r>
        <w:rPr>
          <w:rFonts w:ascii="Times New Roman" w:hAnsi="Times New Roman"/>
          <w:noProof/>
          <w:sz w:val="24"/>
        </w:rPr>
        <w:t xml:space="preserve"> sistēmā. Tos var izmantot vienīgi finanšu vai nefinanšu aktīvu iegādei.</w:t>
      </w:r>
    </w:p>
    <w:p w:rsidR="00523A0A" w:rsidRPr="001973D0" w:rsidRDefault="00523A0A" w:rsidP="00523A0A">
      <w:pPr>
        <w:jc w:val="both"/>
        <w:rPr>
          <w:rFonts w:ascii="Times New Roman" w:eastAsia="Arial" w:hAnsi="Times New Roman" w:cs="Arial"/>
          <w:b/>
          <w:bCs/>
          <w:noProof/>
          <w:sz w:val="24"/>
          <w:szCs w:val="20"/>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Finanšu aktīvu iegāde</w:t>
      </w:r>
    </w:p>
    <w:p w:rsidR="00523A0A" w:rsidRPr="001973D0" w:rsidRDefault="00523A0A" w:rsidP="00523A0A">
      <w:pPr>
        <w:jc w:val="both"/>
        <w:rPr>
          <w:rFonts w:ascii="Times New Roman" w:eastAsia="Calibri" w:hAnsi="Times New Roman" w:cs="Calibri"/>
          <w:noProof/>
          <w:sz w:val="24"/>
          <w:szCs w:val="20"/>
        </w:rPr>
      </w:pPr>
    </w:p>
    <w:p w:rsidR="00523A0A" w:rsidRPr="001973D0" w:rsidRDefault="00AF685A" w:rsidP="00523A0A">
      <w:pPr>
        <w:jc w:val="both"/>
        <w:rPr>
          <w:rFonts w:ascii="Times New Roman" w:eastAsia="Calibri" w:hAnsi="Times New Roman" w:cs="Calibri"/>
          <w:noProof/>
          <w:sz w:val="24"/>
          <w:szCs w:val="20"/>
        </w:rPr>
      </w:pPr>
      <w:r w:rsidRPr="00AF685A">
        <w:rPr>
          <w:rFonts w:ascii="Times New Roman" w:eastAsia="Calibri" w:hAnsi="Times New Roman" w:cs="Calibri"/>
          <w:noProof/>
          <w:sz w:val="24"/>
          <w:szCs w:val="20"/>
          <w:lang w:bidi="ar-SA"/>
        </w:rPr>
        <w:drawing>
          <wp:inline distT="0" distB="0" distL="0" distR="0">
            <wp:extent cx="5760085" cy="4299082"/>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0085" cy="4299082"/>
                    </a:xfrm>
                    <a:prstGeom prst="rect">
                      <a:avLst/>
                    </a:prstGeom>
                    <a:noFill/>
                    <a:ln>
                      <a:noFill/>
                    </a:ln>
                  </pic:spPr>
                </pic:pic>
              </a:graphicData>
            </a:graphic>
          </wp:inline>
        </w:drawing>
      </w:r>
    </w:p>
    <w:p w:rsidR="00523A0A" w:rsidRDefault="0025677E" w:rsidP="00523A0A">
      <w:pPr>
        <w:jc w:val="both"/>
        <w:rPr>
          <w:rFonts w:ascii="Times New Roman" w:eastAsia="Calibri" w:hAnsi="Times New Roman" w:cs="Calibri"/>
          <w:noProof/>
          <w:sz w:val="24"/>
          <w:szCs w:val="15"/>
        </w:rPr>
      </w:pPr>
      <w:r w:rsidRPr="0025677E">
        <w:rPr>
          <w:rFonts w:ascii="Times New Roman" w:eastAsia="Calibri" w:hAnsi="Times New Roman" w:cs="Calibri"/>
          <w:noProof/>
          <w:sz w:val="24"/>
          <w:szCs w:val="15"/>
          <w:lang w:bidi="ar-SA"/>
        </w:rPr>
        <w:lastRenderedPageBreak/>
        <w:drawing>
          <wp:inline distT="0" distB="0" distL="0" distR="0">
            <wp:extent cx="5760085" cy="131780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0085" cy="1317805"/>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15"/>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Ražotu nefinanšu aktīvu iegāde</w:t>
      </w:r>
    </w:p>
    <w:p w:rsidR="00523A0A" w:rsidRPr="001973D0" w:rsidRDefault="00523A0A" w:rsidP="00523A0A">
      <w:pPr>
        <w:jc w:val="both"/>
        <w:rPr>
          <w:rFonts w:ascii="Times New Roman" w:eastAsia="Arial" w:hAnsi="Times New Roman" w:cs="Arial"/>
          <w:b/>
          <w:bCs/>
          <w:noProof/>
          <w:sz w:val="24"/>
        </w:rPr>
      </w:pPr>
    </w:p>
    <w:p w:rsidR="00523A0A" w:rsidRPr="001973D0" w:rsidRDefault="0025677E" w:rsidP="00523A0A">
      <w:pPr>
        <w:jc w:val="both"/>
        <w:rPr>
          <w:rFonts w:ascii="Times New Roman" w:eastAsia="Calibri" w:hAnsi="Times New Roman" w:cs="Calibri"/>
          <w:noProof/>
          <w:sz w:val="24"/>
          <w:szCs w:val="20"/>
        </w:rPr>
      </w:pPr>
      <w:r w:rsidRPr="0025677E">
        <w:rPr>
          <w:rFonts w:ascii="Times New Roman" w:eastAsia="Calibri" w:hAnsi="Times New Roman" w:cs="Calibri"/>
          <w:noProof/>
          <w:sz w:val="24"/>
          <w:szCs w:val="20"/>
          <w:lang w:bidi="ar-SA"/>
        </w:rPr>
        <w:drawing>
          <wp:inline distT="0" distB="0" distL="0" distR="0">
            <wp:extent cx="5760085" cy="3864481"/>
            <wp:effectExtent l="0" t="0" r="0" b="317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60085" cy="3864481"/>
                    </a:xfrm>
                    <a:prstGeom prst="rect">
                      <a:avLst/>
                    </a:prstGeom>
                    <a:noFill/>
                    <a:ln>
                      <a:noFill/>
                    </a:ln>
                  </pic:spPr>
                </pic:pic>
              </a:graphicData>
            </a:graphic>
          </wp:inline>
        </w:drawing>
      </w:r>
    </w:p>
    <w:p w:rsidR="00523A0A" w:rsidRDefault="00523A0A" w:rsidP="00523A0A">
      <w:pPr>
        <w:rPr>
          <w:rFonts w:ascii="Times New Roman" w:eastAsia="Calibri" w:hAnsi="Times New Roman" w:cs="Calibri"/>
          <w:noProof/>
          <w:sz w:val="24"/>
          <w:szCs w:val="20"/>
        </w:rPr>
      </w:pPr>
      <w:r>
        <w:br w:type="page"/>
      </w:r>
    </w:p>
    <w:p w:rsidR="00523A0A" w:rsidRDefault="00523A0A" w:rsidP="00AF685A">
      <w:pPr>
        <w:pStyle w:val="Heading2"/>
        <w:rPr>
          <w:noProof/>
        </w:rPr>
      </w:pPr>
      <w:bookmarkStart w:id="380" w:name="V.5__Securitisation_operations_undertake"/>
      <w:bookmarkStart w:id="381" w:name="_bookmark43"/>
      <w:bookmarkStart w:id="382" w:name="_Toc471135909"/>
      <w:bookmarkEnd w:id="380"/>
      <w:bookmarkEnd w:id="381"/>
      <w:r>
        <w:rPr>
          <w:noProof/>
        </w:rPr>
        <w:lastRenderedPageBreak/>
        <w:t>V.5. Vispārējās valdības veiktās vērtspapīrošanas operācijas</w:t>
      </w:r>
      <w:bookmarkEnd w:id="382"/>
    </w:p>
    <w:p w:rsidR="00523A0A" w:rsidRPr="001973D0" w:rsidRDefault="00523A0A" w:rsidP="00523A0A">
      <w:pPr>
        <w:tabs>
          <w:tab w:val="left" w:pos="1461"/>
        </w:tabs>
        <w:jc w:val="both"/>
        <w:rPr>
          <w:rFonts w:ascii="Times New Roman" w:hAnsi="Times New Roman"/>
          <w:b/>
          <w:noProof/>
          <w:sz w:val="24"/>
        </w:rPr>
      </w:pPr>
    </w:p>
    <w:p w:rsidR="00523A0A" w:rsidRDefault="00523A0A" w:rsidP="00523A0A">
      <w:pPr>
        <w:pStyle w:val="Heading4"/>
        <w:ind w:left="0" w:firstLine="0"/>
        <w:jc w:val="both"/>
        <w:rPr>
          <w:rFonts w:ascii="Times New Roman" w:hAnsi="Times New Roman"/>
          <w:noProof/>
          <w:u w:val="thick" w:color="000000"/>
        </w:rPr>
      </w:pPr>
      <w:bookmarkStart w:id="383" w:name="V.5.1_Background"/>
      <w:bookmarkEnd w:id="383"/>
      <w:r>
        <w:rPr>
          <w:rFonts w:ascii="Times New Roman" w:hAnsi="Times New Roman"/>
          <w:noProof/>
          <w:u w:val="none"/>
        </w:rPr>
        <w:t>V.5.1. </w:t>
      </w:r>
      <w:r>
        <w:rPr>
          <w:rFonts w:ascii="Times New Roman" w:hAnsi="Times New Roman"/>
          <w:noProof/>
          <w:u w:val="thick" w:color="000000"/>
        </w:rPr>
        <w:t>Vispārēja informācija</w:t>
      </w:r>
    </w:p>
    <w:p w:rsidR="00523A0A" w:rsidRPr="001973D0" w:rsidRDefault="00523A0A" w:rsidP="00523A0A">
      <w:pPr>
        <w:pStyle w:val="Heading4"/>
        <w:ind w:left="0" w:firstLine="0"/>
        <w:jc w:val="both"/>
        <w:rPr>
          <w:rFonts w:ascii="Times New Roman" w:hAnsi="Times New Roman"/>
          <w:b w:val="0"/>
          <w:bCs w:val="0"/>
          <w:noProof/>
          <w:u w:val="none"/>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Valdības var iesaistīties vērtspapīrošanas pasākumos, ko parasti īsteno banka.</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Attiecībā uz valdības finanšu statistiku rodas jautājums, vai valdības veikta vērtspapīrošana nozīmē valdības aizņēmumu, kas tādējādi ietekmē valsts parādu, vai arī to var uzskatīt par valdības veiktu aktīva pārdošanu.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84" w:name="V.5.1.1_Securitisation_arrangements_and_"/>
      <w:bookmarkEnd w:id="384"/>
      <w:r>
        <w:rPr>
          <w:rFonts w:ascii="Times New Roman" w:hAnsi="Times New Roman"/>
          <w:noProof/>
          <w:sz w:val="24"/>
        </w:rPr>
        <w:t>V.5.1.1. Vērtspapīrošanas pasākumi un definīcija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numPr>
          <w:ilvl w:val="0"/>
          <w:numId w:val="41"/>
        </w:numPr>
        <w:tabs>
          <w:tab w:val="left" w:pos="1102"/>
        </w:tabs>
        <w:ind w:left="709" w:hanging="709"/>
        <w:jc w:val="both"/>
        <w:rPr>
          <w:rFonts w:ascii="Times New Roman" w:eastAsia="Arial" w:hAnsi="Times New Roman" w:cs="Arial"/>
          <w:noProof/>
          <w:sz w:val="24"/>
          <w:szCs w:val="14"/>
        </w:rPr>
      </w:pPr>
      <w:r>
        <w:rPr>
          <w:rFonts w:ascii="Times New Roman" w:hAnsi="Times New Roman"/>
          <w:noProof/>
          <w:sz w:val="24"/>
        </w:rPr>
        <w:t xml:space="preserve">vērtspapīrošana ir finanšu paņēmiens, kas EKS 2010 5.104. punktā noteikts šādi: </w:t>
      </w:r>
      <w:r>
        <w:rPr>
          <w:rFonts w:ascii="Times New Roman" w:hAnsi="Times New Roman"/>
          <w:i/>
          <w:noProof/>
          <w:sz w:val="24"/>
        </w:rPr>
        <w:t>Vērstpapīrošana ir tādu parāda vērtspapīru emisija, kuru kupona vai pamatsummas maksājumi ir nodrošināti ar noteiktiem aktīviem vai nākotnes ienākumu plūsmām. Daudzi aktīvi vai nākotnes ienākumu plūsmas var būt vērtspapīrotas, tostarp hipotekārie aizdevumi mājokļa iegādei vai komerciālie hipotekārie aizdevumi, patēriņa kredīti, korporatīvie aizdevumi, valdības aizdevumi, apdrošināšanas līgumi, kredīta atvasinātie instrumenti un nākotnes ieņēmumi.</w:t>
      </w:r>
      <w:r>
        <w:rPr>
          <w:rStyle w:val="FootnoteReference"/>
          <w:rFonts w:ascii="Times New Roman" w:hAnsi="Times New Roman"/>
          <w:noProof/>
          <w:sz w:val="24"/>
        </w:rPr>
        <w:footnoteReference w:id="191"/>
      </w:r>
    </w:p>
    <w:p w:rsidR="00523A0A" w:rsidRPr="001973D0" w:rsidRDefault="00523A0A" w:rsidP="00523A0A">
      <w:pPr>
        <w:numPr>
          <w:ilvl w:val="0"/>
          <w:numId w:val="41"/>
        </w:numPr>
        <w:tabs>
          <w:tab w:val="left" w:pos="1102"/>
        </w:tabs>
        <w:ind w:left="709" w:hanging="709"/>
        <w:jc w:val="both"/>
        <w:rPr>
          <w:rFonts w:ascii="Times New Roman" w:eastAsia="Arial" w:hAnsi="Times New Roman" w:cs="Arial"/>
          <w:noProof/>
          <w:sz w:val="24"/>
        </w:rPr>
      </w:pPr>
      <w:r>
        <w:rPr>
          <w:rFonts w:ascii="Times New Roman" w:hAnsi="Times New Roman"/>
          <w:noProof/>
          <w:sz w:val="24"/>
        </w:rPr>
        <w:t xml:space="preserve">EKS 2010 5.105. punktā ir arī noteikts, ka: </w:t>
      </w:r>
      <w:r>
        <w:rPr>
          <w:rFonts w:ascii="Times New Roman" w:hAnsi="Times New Roman"/>
          <w:i/>
          <w:noProof/>
          <w:sz w:val="24"/>
        </w:rPr>
        <w:t>Aktīvu vai nākotnes ienākumu plūsmu vērtspapīrošana ir svarīga finanšu inovācija, kuras rezultātā radītas un intensīvi tiek izmantotas jaunas finanšu sabiedrības, kas atvieglo parāda vērtspapīru radīšanu, tirgošanu un emitēšanu. Vērtspapīrošanu virza dažādi apsvērumi. Sabiedrībām tie ir šādi: finansējums ir lētāks nekā banku piedāvātās iespējas, mazākas regulatoru noteiktās kapitāla prasības, dažādu risku nodošana, piemēram, kredītriska vai apdrošināšanas riska, un finansējuma avotu dažādošana.</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Iniciators nodod juridiskās īpašumtiesības uz aktīviem un/vai konkrētām nākotnes plūsmām vērtspapīrošanas struktūrvienībai, kas apmaiņā pret to samaksā iniciatoram noteiktu naudas summu. vērtspapīrošanas struktūrvienība finansē šādu maksājumu ar vērtspapīru emisiju, izmantojot aktīvus un/vai tiesības uz nākotnes plūsmām, kuras iniciators ir nodevis kā nodrošinājumu. Šāda vērtspapīrošanas struktūrvienība bieži, taču ne vienmēr, ir īpašam nolūkam dibināta sabiedrība (ĪNDS), kas ir izveidota vērtspapīrošanas mērķim un ir juridiski nošķirta no iniciatora (sk. turpmāk vērtspapīrošanā iesaistītās vienības klasifikāciju). Vērtspapīru emisiju var vadīt trešā puse, piemēram, privāta banka, tomēr šāda trešā puse parasti neuzņemas nekādus ar operāciju saistītus riskus vai priekšrocības.</w:t>
      </w:r>
    </w:p>
    <w:p w:rsidR="00523A0A" w:rsidRPr="00007622"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Investori iegādājas vērtspapīrošanas struktūrvienības emitētos vērtspapīrus, pamatojoties uz aktīvu/tiesību radītajām plūsmām, nevis uz iniciatora kredītspēju. Investoriem parasti ir tiešs un juridisks prasījums attiecībā uz aktīvu vai citu tiesību radītajiem ieņēmumiem gadījumā, ja vērtspapīrošanas struktūrvienība nemaksā pienākošos procentus un kapitālu.</w:t>
      </w:r>
      <w:r>
        <w:rPr>
          <w:rStyle w:val="FootnoteReference"/>
          <w:rFonts w:ascii="Times New Roman" w:hAnsi="Times New Roman"/>
          <w:noProof/>
          <w:sz w:val="24"/>
        </w:rPr>
        <w:footnoteReference w:id="192"/>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85" w:name="V.5.1.2_Issues_for_national_accounts"/>
      <w:bookmarkEnd w:id="385"/>
      <w:r>
        <w:rPr>
          <w:rFonts w:ascii="Times New Roman" w:hAnsi="Times New Roman"/>
          <w:noProof/>
          <w:sz w:val="24"/>
        </w:rPr>
        <w:t>V.5.1.2. Ar nacionālajiem kontiem saistīti jautājumi</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Galvenais jautājums rodas saistībā ar to, </w:t>
      </w:r>
      <w:r w:rsidR="00451ADF">
        <w:rPr>
          <w:rFonts w:ascii="Times New Roman" w:hAnsi="Times New Roman"/>
          <w:noProof/>
          <w:sz w:val="24"/>
        </w:rPr>
        <w:t>kā nacionālajos kontos ierakstīt</w:t>
      </w:r>
      <w:r>
        <w:rPr>
          <w:rFonts w:ascii="Times New Roman" w:hAnsi="Times New Roman"/>
          <w:noProof/>
          <w:sz w:val="24"/>
        </w:rPr>
        <w:t xml:space="preserve"> ieņēmumus, kurus valdība saņem no vērtspapīrošanas, un vai tie ietekmē valdības parādu un/vai valdības neto aizdevumu/aizņēmumu (B.9).</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Ir jānoskaidro, vai vērtspapīrošana piešķir tiesības pārdot pastāvošu EKS 2010 aktīvu vērtspapīrošanas struktūrvienībai jeb vai arī tā piešķir tiesības aizņemties, kā nodrošinājumu izmantojot turpmākos skaidras naudas ieņēmumus. Sekundārā problēma ir saistīta ar ietekmi uz valdības neto aizdevumu/aizņēmumu (B.9), ja vērtspapīrošanas operācijas objekts ir nefinanšu aktīvs.</w:t>
      </w:r>
    </w:p>
    <w:p w:rsidR="00523A0A"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Vispārējai valdībai piederoša iniciatora veiktu aktīvu realizāc</w:t>
      </w:r>
      <w:r w:rsidR="006013BA">
        <w:rPr>
          <w:rFonts w:ascii="Times New Roman" w:hAnsi="Times New Roman"/>
          <w:noProof/>
          <w:sz w:val="24"/>
        </w:rPr>
        <w:t>iju nacionālajos kontos ieraksta</w:t>
      </w:r>
      <w:r>
        <w:rPr>
          <w:rFonts w:ascii="Times New Roman" w:hAnsi="Times New Roman"/>
          <w:noProof/>
          <w:sz w:val="24"/>
        </w:rPr>
        <w:t xml:space="preserve"> vērtspapīrošanas operācijas veikšanas brīdī, ja:</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vērtspapīrošanas operācijas objekts ir aktīvi, kuri ir šādi atzīti nacionālajos kontos un šādi nododami tālāk; un</w:t>
      </w:r>
    </w:p>
    <w:p w:rsidR="00523A0A" w:rsidRPr="001973D0"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operāciju veic tā, lai visi ar šiem aktīviem saistītie riski</w:t>
      </w:r>
      <w:r>
        <w:rPr>
          <w:rStyle w:val="FootnoteReference"/>
          <w:rFonts w:ascii="Times New Roman" w:hAnsi="Times New Roman"/>
          <w:noProof/>
          <w:sz w:val="24"/>
        </w:rPr>
        <w:footnoteReference w:id="193"/>
      </w:r>
      <w:r>
        <w:rPr>
          <w:rFonts w:ascii="Times New Roman" w:hAnsi="Times New Roman"/>
          <w:noProof/>
          <w:sz w:val="24"/>
        </w:rPr>
        <w:t xml:space="preserve"> un priekšrocības tiktu pilnīgi nodoti vērtspapīrošanas struktūrvienībai; un</w:t>
      </w:r>
    </w:p>
    <w:p w:rsidR="00523A0A"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vērtspapīrošanas struktūrvienība, kas iegādājas aktīvus no iniciatora, ir institucionāla vienība, kas neietilpst vispārējās valdības sektorā.</w:t>
      </w:r>
    </w:p>
    <w:p w:rsidR="00523A0A" w:rsidRPr="001973D0" w:rsidRDefault="00523A0A" w:rsidP="00523A0A">
      <w:pPr>
        <w:pStyle w:val="BodyText"/>
        <w:tabs>
          <w:tab w:val="left" w:pos="1462"/>
        </w:tabs>
        <w:spacing w:before="0"/>
        <w:ind w:left="0" w:firstLine="0"/>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Šīs nodaļas mērķis ir izklāstīt noteikumus attiecībā uz to, ko n</w:t>
      </w:r>
      <w:r w:rsidR="006013BA">
        <w:rPr>
          <w:rFonts w:ascii="Times New Roman" w:hAnsi="Times New Roman"/>
          <w:noProof/>
          <w:sz w:val="24"/>
        </w:rPr>
        <w:t>acionālajos kontos var ierakstīt</w:t>
      </w:r>
      <w:r>
        <w:rPr>
          <w:rFonts w:ascii="Times New Roman" w:hAnsi="Times New Roman"/>
          <w:noProof/>
          <w:sz w:val="24"/>
        </w:rPr>
        <w:t xml:space="preserve"> kā pārdošanu vērtspapīrošanas operācijā ar valdības līdzdalību. Nodaļā ir apspriesta ne tikai valdības veikta aktīvu vērtspapīrošana, bet arī gadījums, kad valdības sektoram nepiederoša organizācija pārvērš vērtspapīros tai gaidāmo maksājumu plūsmu no valdības, piemēram, dotācijas.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ind w:left="0" w:firstLine="0"/>
        <w:jc w:val="both"/>
        <w:rPr>
          <w:rFonts w:ascii="Times New Roman" w:hAnsi="Times New Roman"/>
          <w:noProof/>
          <w:u w:val="thick" w:color="000000"/>
        </w:rPr>
      </w:pPr>
      <w:bookmarkStart w:id="386" w:name="V.5.2_Treatment_in_national_accounts"/>
      <w:bookmarkEnd w:id="386"/>
      <w:r>
        <w:rPr>
          <w:rFonts w:ascii="Times New Roman" w:hAnsi="Times New Roman"/>
          <w:noProof/>
          <w:u w:val="none"/>
        </w:rPr>
        <w:t>V.5.2. </w:t>
      </w:r>
      <w:r>
        <w:rPr>
          <w:rFonts w:ascii="Times New Roman" w:hAnsi="Times New Roman"/>
          <w:noProof/>
          <w:u w:val="thick" w:color="000000"/>
        </w:rPr>
        <w:t>Traktējums nacionālajos kontos</w:t>
      </w:r>
    </w:p>
    <w:p w:rsidR="00523A0A" w:rsidRPr="001973D0" w:rsidRDefault="00523A0A" w:rsidP="00523A0A">
      <w:pPr>
        <w:pStyle w:val="Heading4"/>
        <w:ind w:left="0" w:firstLine="0"/>
        <w:jc w:val="both"/>
        <w:rPr>
          <w:rFonts w:ascii="Times New Roman" w:hAnsi="Times New Roman"/>
          <w:b w:val="0"/>
          <w:bCs w:val="0"/>
          <w:noProof/>
          <w:u w:val="none"/>
        </w:rPr>
      </w:pPr>
    </w:p>
    <w:p w:rsidR="00523A0A"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Pastāv divas iespējas, kā nacionālajos kontos (sk. EKS 2010 20.26</w:t>
      </w:r>
      <w:r w:rsidR="006013BA">
        <w:rPr>
          <w:rFonts w:ascii="Times New Roman" w:hAnsi="Times New Roman"/>
          <w:noProof/>
          <w:sz w:val="24"/>
        </w:rPr>
        <w:t>2.–20.271. punktu) var ierakstīt</w:t>
      </w:r>
      <w:r>
        <w:rPr>
          <w:rFonts w:ascii="Times New Roman" w:hAnsi="Times New Roman"/>
          <w:noProof/>
          <w:sz w:val="24"/>
        </w:rPr>
        <w:t xml:space="preserve"> vērtspapīrošanas ieņēmumus, kurus gūst valdības sektoram piederošs iniciators:</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0"/>
          <w:numId w:val="40"/>
        </w:numPr>
        <w:tabs>
          <w:tab w:val="left" w:pos="1452"/>
        </w:tabs>
        <w:spacing w:before="0"/>
        <w:ind w:left="1134" w:hanging="425"/>
        <w:jc w:val="both"/>
        <w:rPr>
          <w:rFonts w:ascii="Times New Roman" w:hAnsi="Times New Roman"/>
          <w:noProof/>
          <w:sz w:val="24"/>
        </w:rPr>
      </w:pPr>
      <w:r>
        <w:rPr>
          <w:rFonts w:ascii="Times New Roman" w:hAnsi="Times New Roman"/>
          <w:noProof/>
          <w:sz w:val="24"/>
        </w:rPr>
        <w:t>aktīva pārdevums, t. i., valdības veikta aktīvu ekonomisko īpašumtiesību atsavināšana apmaiņā pret naudu vai citiem aktīviem; vai</w:t>
      </w:r>
    </w:p>
    <w:p w:rsidR="00523A0A" w:rsidRDefault="00523A0A" w:rsidP="00523A0A">
      <w:pPr>
        <w:pStyle w:val="BodyText"/>
        <w:numPr>
          <w:ilvl w:val="0"/>
          <w:numId w:val="40"/>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valdības aizņēmums (uzņemoties saistības).</w:t>
      </w:r>
    </w:p>
    <w:p w:rsidR="00523A0A" w:rsidRPr="001973D0" w:rsidRDefault="00523A0A" w:rsidP="00523A0A">
      <w:pPr>
        <w:pStyle w:val="BodyText"/>
        <w:tabs>
          <w:tab w:val="left" w:pos="1452"/>
        </w:tabs>
        <w:spacing w:before="0"/>
        <w:ind w:left="0" w:firstLine="0"/>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Secīgi kritēriji, kurus izmanto, lai pieņemtu lēmumu par atbilstošu uzskaiti, ir sniegti turpmāk iekļautajā lēmuma pieņemšanas shēmā.</w:t>
      </w:r>
    </w:p>
    <w:p w:rsidR="00AF685A" w:rsidRDefault="00AF685A">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87" w:name="V.5.2.1_Recognition_of_assets_in_nationa"/>
      <w:bookmarkEnd w:id="387"/>
      <w:r>
        <w:rPr>
          <w:rFonts w:ascii="Times New Roman" w:hAnsi="Times New Roman"/>
          <w:noProof/>
          <w:sz w:val="24"/>
        </w:rPr>
        <w:t>V.5.2.1. Aktīvu atzīšana nacionālajos kontos</w:t>
      </w:r>
    </w:p>
    <w:p w:rsidR="00523A0A" w:rsidRPr="001973D0" w:rsidRDefault="00523A0A" w:rsidP="00523A0A">
      <w:pPr>
        <w:pStyle w:val="Heading6"/>
        <w:tabs>
          <w:tab w:val="left" w:pos="1876"/>
        </w:tabs>
        <w:jc w:val="both"/>
        <w:rPr>
          <w:rFonts w:ascii="Times New Roman" w:hAnsi="Times New Roman"/>
          <w:noProof/>
          <w:sz w:val="24"/>
        </w:rPr>
      </w:pPr>
    </w:p>
    <w:p w:rsidR="00523A0A" w:rsidRPr="00007622"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Lai vērts</w:t>
      </w:r>
      <w:r w:rsidR="006013BA">
        <w:rPr>
          <w:rFonts w:ascii="Times New Roman" w:hAnsi="Times New Roman"/>
          <w:noProof/>
          <w:sz w:val="24"/>
        </w:rPr>
        <w:t>papīrošanas operāciju ierakstītu</w:t>
      </w:r>
      <w:r>
        <w:rPr>
          <w:rFonts w:ascii="Times New Roman" w:hAnsi="Times New Roman"/>
          <w:noProof/>
          <w:sz w:val="24"/>
        </w:rPr>
        <w:t xml:space="preserve"> kā valdības veiktu aktīvu pārdošanu, nepieciešams (lai arī nepietiekams) nosacījums ir aktīvu atzīšana nacionālajos kontos par aktīv</w:t>
      </w:r>
      <w:r w:rsidR="006013BA">
        <w:rPr>
          <w:rFonts w:ascii="Times New Roman" w:hAnsi="Times New Roman"/>
          <w:noProof/>
          <w:sz w:val="24"/>
        </w:rPr>
        <w:t>iem un attiecīgi to ierakstīšana</w:t>
      </w:r>
      <w:r>
        <w:rPr>
          <w:rFonts w:ascii="Times New Roman" w:hAnsi="Times New Roman"/>
          <w:noProof/>
          <w:sz w:val="24"/>
        </w:rPr>
        <w:t xml:space="preserve"> šādā statusā nacionālajos kontos valdības bilancē brīdī, kad veic vērtspapīrošanu. Šajā saistībā ir lietderīgi piemērot dalījumu starp finanšu aktīviem un nefinanšu aktīviem, apspriežot risku un priekšrocību jēdzienu. Turpmākajos punktos ir apspriesti gadījumi, kad vērtspapīros pārvērstie līdzekļi nacionālajos kontos nav atzīti par aktīviem vai netiek uzskatīti par nododamiem. Visos šajos ga</w:t>
      </w:r>
      <w:r w:rsidR="006013BA">
        <w:rPr>
          <w:rFonts w:ascii="Times New Roman" w:hAnsi="Times New Roman"/>
          <w:noProof/>
          <w:sz w:val="24"/>
        </w:rPr>
        <w:t>dījumos vērtspapīrošanu ieraksta</w:t>
      </w:r>
      <w:r>
        <w:rPr>
          <w:rFonts w:ascii="Times New Roman" w:hAnsi="Times New Roman"/>
          <w:noProof/>
          <w:sz w:val="24"/>
        </w:rPr>
        <w:t xml:space="preserve"> kā valdības aizņēmumu.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88" w:name="V.5.2.2_Securitisation_of_flows_attached"/>
      <w:bookmarkEnd w:id="388"/>
      <w:r>
        <w:rPr>
          <w:rFonts w:ascii="Times New Roman" w:hAnsi="Times New Roman"/>
          <w:noProof/>
          <w:sz w:val="24"/>
        </w:rPr>
        <w:t>V.5.2.2. Neatzītam aktīvam piesaistītu plūsmu vērtspapīrošana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var pārvērst vērtspapīros nākotnes ieņēmumus, kas ir neatlīdzināmi pārvedumi, piemēram, nākotnes nodokļu ieņēmumus. Tā kā tomēr tiesības saņemt šādus pārvedumus nacionālajos kontos nav atzītas kā aktīvs, šādos g</w:t>
      </w:r>
      <w:r w:rsidR="006013BA">
        <w:rPr>
          <w:rFonts w:ascii="Times New Roman" w:hAnsi="Times New Roman"/>
          <w:noProof/>
          <w:sz w:val="24"/>
        </w:rPr>
        <w:t>adījumos nav iespējams ierakstīt</w:t>
      </w:r>
      <w:r>
        <w:rPr>
          <w:rFonts w:ascii="Times New Roman" w:hAnsi="Times New Roman"/>
          <w:noProof/>
          <w:sz w:val="24"/>
        </w:rPr>
        <w:t xml:space="preserve"> aktīva pārdošanu. Ieņēmumi vēl nav uzkrāti, iespējams, tāpēc, ka vēl nav veikta darbība, kuras rezultātā rodas nodokļu saistības, un attiecīgi nacionālo kontu bilancē nepastāv neviens aktīvs. Tāpēc valdības veiktu nākotnes nodokļu ieņēmumu vērtspapīrošanu pirms nodokļu maksātāja saistību uzkrāšanās naci</w:t>
      </w:r>
      <w:r w:rsidR="001D4DB1">
        <w:rPr>
          <w:rFonts w:ascii="Times New Roman" w:hAnsi="Times New Roman"/>
          <w:noProof/>
          <w:sz w:val="24"/>
        </w:rPr>
        <w:t>onālajos kontos vienmēr ieraksta</w:t>
      </w:r>
      <w:r>
        <w:rPr>
          <w:rFonts w:ascii="Times New Roman" w:hAnsi="Times New Roman"/>
          <w:noProof/>
          <w:sz w:val="24"/>
        </w:rPr>
        <w:t xml:space="preserve"> kā valdības aizņēmumu.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Tāpat </w:t>
      </w:r>
      <w:r w:rsidR="001D4DB1">
        <w:rPr>
          <w:rFonts w:ascii="Times New Roman" w:hAnsi="Times New Roman"/>
          <w:noProof/>
          <w:sz w:val="24"/>
        </w:rPr>
        <w:t>(kā valdības aizņēmumu) ieraksta</w:t>
      </w:r>
      <w:r>
        <w:rPr>
          <w:rFonts w:ascii="Times New Roman" w:hAnsi="Times New Roman"/>
          <w:noProof/>
          <w:sz w:val="24"/>
        </w:rPr>
        <w:t xml:space="preserve"> arī tādu pārvedumu vērtspapīrošanu, kurus valsts vienības plāno saņemt no ES iestādēm vai citām starptautiskām organizācijām, vai arī no loteriju ieņēmumiem, licenču maksām vai soda naudām. Vispārīgākā izpratnē par valdības aizņēmumu uzskata visus neatlīdzināmos sadales darījumus tiktāl, ciktāl nav paziņots neviens ieraksts nacionālo kontu bilancē.</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Aizdevumu aktīvus, kas sākumā nacionālajos kontos netika atzīti par aizdevuma aktīviem, jo pastāv zema varbūtība, ka tos būs iespējams atgūt, un kas līdz ar to valdības kontos tika uzskatīti par nefina</w:t>
      </w:r>
      <w:r w:rsidR="001D4DB1">
        <w:rPr>
          <w:rFonts w:ascii="Times New Roman" w:hAnsi="Times New Roman"/>
          <w:noProof/>
          <w:sz w:val="24"/>
        </w:rPr>
        <w:t>nšu kapitāla pārvedumu, ieraksta</w:t>
      </w:r>
      <w:r>
        <w:rPr>
          <w:rFonts w:ascii="Times New Roman" w:hAnsi="Times New Roman"/>
          <w:noProof/>
          <w:sz w:val="24"/>
        </w:rPr>
        <w:t xml:space="preserve"> kā aizņēmumu, ja tie ir vērtspapīroti.</w:t>
      </w:r>
    </w:p>
    <w:p w:rsidR="00523A0A" w:rsidRDefault="00523A0A" w:rsidP="00523A0A">
      <w:pPr>
        <w:rPr>
          <w:rFonts w:ascii="Times New Roman" w:eastAsia="Arial" w:hAnsi="Times New Roman" w:cs="Arial"/>
          <w:noProof/>
          <w:sz w:val="24"/>
          <w:szCs w:val="20"/>
        </w:rPr>
      </w:pPr>
      <w:r>
        <w:br w:type="page"/>
      </w: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lastRenderedPageBreak/>
        <w:t>Lēmuma pieņemšanas shēma: aktīva pārdošana vai valdības aizņēmums?</w:t>
      </w:r>
    </w:p>
    <w:p w:rsidR="00523A0A" w:rsidRPr="001973D0" w:rsidRDefault="00523A0A" w:rsidP="00523A0A">
      <w:pPr>
        <w:jc w:val="both"/>
        <w:rPr>
          <w:rFonts w:ascii="Times New Roman" w:eastAsia="Arial" w:hAnsi="Times New Roman" w:cs="Arial"/>
          <w:b/>
          <w:bCs/>
          <w:noProof/>
          <w:sz w:val="24"/>
          <w:szCs w:val="10"/>
        </w:rPr>
      </w:pPr>
    </w:p>
    <w:p w:rsidR="00523A0A" w:rsidRDefault="001D4DB1" w:rsidP="00AF685A">
      <w:pPr>
        <w:jc w:val="center"/>
        <w:rPr>
          <w:rFonts w:ascii="Times New Roman" w:eastAsia="Arial" w:hAnsi="Times New Roman" w:cs="Arial"/>
          <w:b/>
          <w:bCs/>
          <w:noProof/>
          <w:sz w:val="24"/>
        </w:rPr>
      </w:pPr>
      <w:r w:rsidRPr="001D4DB1">
        <w:rPr>
          <w:rFonts w:ascii="Times New Roman" w:eastAsia="Arial" w:hAnsi="Times New Roman" w:cs="Arial"/>
          <w:b/>
          <w:bCs/>
          <w:noProof/>
          <w:sz w:val="24"/>
          <w:lang w:bidi="ar-SA"/>
        </w:rPr>
        <w:drawing>
          <wp:inline distT="0" distB="0" distL="0" distR="0">
            <wp:extent cx="5445688" cy="687913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48007" cy="6882062"/>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b/>
          <w:bCs/>
          <w:noProof/>
          <w:sz w:val="24"/>
        </w:rPr>
      </w:pPr>
    </w:p>
    <w:p w:rsidR="00523A0A" w:rsidRDefault="00523A0A" w:rsidP="00523A0A">
      <w:pPr>
        <w:pStyle w:val="Heading6"/>
        <w:tabs>
          <w:tab w:val="left" w:pos="1936"/>
        </w:tabs>
        <w:jc w:val="both"/>
        <w:rPr>
          <w:rFonts w:ascii="Times New Roman" w:hAnsi="Times New Roman"/>
          <w:noProof/>
          <w:sz w:val="24"/>
        </w:rPr>
      </w:pPr>
      <w:bookmarkStart w:id="389" w:name="V.5.2.3_Securitisation_of_fiscal_flows"/>
      <w:bookmarkEnd w:id="389"/>
      <w:r>
        <w:rPr>
          <w:rFonts w:ascii="Times New Roman" w:hAnsi="Times New Roman"/>
          <w:noProof/>
          <w:sz w:val="24"/>
        </w:rPr>
        <w:t>V.5.2.3. Finanšu plūsmu vērtspapīrošana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Īpašumtiesības uz noteiktiem aktīviem, kas n</w:t>
      </w:r>
      <w:r w:rsidR="001D4DB1">
        <w:rPr>
          <w:rFonts w:ascii="Times New Roman" w:hAnsi="Times New Roman"/>
          <w:noProof/>
          <w:sz w:val="24"/>
        </w:rPr>
        <w:t>acionālajos kontos ir ierakstīti</w:t>
      </w:r>
      <w:r>
        <w:rPr>
          <w:rFonts w:ascii="Times New Roman" w:hAnsi="Times New Roman"/>
          <w:noProof/>
          <w:sz w:val="24"/>
        </w:rPr>
        <w:t xml:space="preserve"> valdības bilancē, ekonomiskā izpratnē var uzskatīt par nenododamām. Šādos gadījumos šo aktīvu vērtspapīrošanu obligāti traktē kā valdības aizņēmumu.</w:t>
      </w:r>
    </w:p>
    <w:p w:rsidR="00523A0A" w:rsidRPr="001E0B56"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Piemērs ir finanšu prasījumi attiecībā uz nodokļiem, kas jau ir uzkrāti un na</w:t>
      </w:r>
      <w:r w:rsidR="001D4DB1">
        <w:rPr>
          <w:rFonts w:ascii="Times New Roman" w:hAnsi="Times New Roman"/>
          <w:noProof/>
          <w:sz w:val="24"/>
        </w:rPr>
        <w:t>cionālo kontu bilancē ierakstīti</w:t>
      </w:r>
      <w:r>
        <w:rPr>
          <w:rFonts w:ascii="Times New Roman" w:hAnsi="Times New Roman"/>
          <w:noProof/>
          <w:sz w:val="24"/>
        </w:rPr>
        <w:t xml:space="preserve"> kā finanšu aktīvi (dažkārt šādus prasījumus dēvē par “fiskālajiem prasījumiem”). Šie fiskālie prasījumi (debitoru parādi) atšķiras no tiesībām attiecībā uz </w:t>
      </w:r>
      <w:r>
        <w:rPr>
          <w:rFonts w:ascii="Times New Roman" w:hAnsi="Times New Roman"/>
          <w:noProof/>
          <w:sz w:val="24"/>
        </w:rPr>
        <w:lastRenderedPageBreak/>
        <w:t>nākotnes nodokļu ieņēmumiem (kas apspriesti iepriekš V.5.2.3. sadaļā “Neatzītam aktīvam piesaistītu plūsmu vērtspapīroša</w:t>
      </w:r>
      <w:r w:rsidR="001D4DB1">
        <w:rPr>
          <w:rFonts w:ascii="Times New Roman" w:hAnsi="Times New Roman"/>
          <w:noProof/>
          <w:sz w:val="24"/>
        </w:rPr>
        <w:t>na”). Šie ieņēmumi ir ierakstīti</w:t>
      </w:r>
      <w:r>
        <w:rPr>
          <w:rFonts w:ascii="Times New Roman" w:hAnsi="Times New Roman"/>
          <w:noProof/>
          <w:sz w:val="24"/>
        </w:rPr>
        <w:t xml:space="preserve"> nacionālajos kontos kopā ar finanšu aktīvu nacionālo kontu bilancē (fiskālie prasījumi).</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Nacionālo kontu bilances ierakstu fiskālajiem prasījumiem nedrīkst sajaukt ar valdības grāmatvedības uzskaites kontiem, jo tajos neiekļauj summas, kuras uzskata par nepiedzenamām. Arī tādu summu vērtspapīrošanu, kuras uzskatāmas par nepiedzenam</w:t>
      </w:r>
      <w:r w:rsidR="001D4DB1">
        <w:rPr>
          <w:rFonts w:ascii="Times New Roman" w:hAnsi="Times New Roman"/>
          <w:noProof/>
          <w:sz w:val="24"/>
        </w:rPr>
        <w:t>ām, nacionālajos kontos ieraksta</w:t>
      </w:r>
      <w:r>
        <w:rPr>
          <w:rFonts w:ascii="Times New Roman" w:hAnsi="Times New Roman"/>
          <w:noProof/>
          <w:sz w:val="24"/>
        </w:rPr>
        <w:t xml:space="preserve"> kā valdības aizņēmumu.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Pat ja valdība nodod nodokļu piedziņu ārpakalpojumu sniedzējiem, nodokļus (un obligātās sociālās iemaksas) joprojām uzskata par valdības ieņēmumiem.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20"/>
        </w:tabs>
        <w:jc w:val="both"/>
        <w:rPr>
          <w:rFonts w:ascii="Times New Roman" w:hAnsi="Times New Roman"/>
          <w:noProof/>
          <w:sz w:val="24"/>
        </w:rPr>
      </w:pPr>
      <w:bookmarkStart w:id="390" w:name="V.5.2.4_Securitisation_of_flows_from_non"/>
      <w:bookmarkEnd w:id="390"/>
      <w:r>
        <w:rPr>
          <w:rFonts w:ascii="Times New Roman" w:hAnsi="Times New Roman"/>
          <w:noProof/>
          <w:sz w:val="24"/>
        </w:rPr>
        <w:t>V.5.2.4. Nenodoto aktīvu plūsmu vērtspapīrošana</w:t>
      </w:r>
    </w:p>
    <w:p w:rsidR="00523A0A" w:rsidRPr="001973D0" w:rsidRDefault="00523A0A" w:rsidP="00523A0A">
      <w:pPr>
        <w:pStyle w:val="Heading6"/>
        <w:tabs>
          <w:tab w:val="left" w:pos="1820"/>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var pārvērst vērtspapīros ienākumu plūsmu, ko rada nac</w:t>
      </w:r>
      <w:r w:rsidR="001D4DB1">
        <w:rPr>
          <w:rFonts w:ascii="Times New Roman" w:hAnsi="Times New Roman"/>
          <w:noProof/>
          <w:sz w:val="24"/>
        </w:rPr>
        <w:t>ionālo kontu bilancē ierakstītie</w:t>
      </w:r>
      <w:r>
        <w:rPr>
          <w:rFonts w:ascii="Times New Roman" w:hAnsi="Times New Roman"/>
          <w:noProof/>
          <w:sz w:val="24"/>
        </w:rPr>
        <w:t xml:space="preserve"> aktīvi. Šīs plūsmas ietver renti, nomas maksu, procentus, dividendes un citus īpašuma ienākumus (P.1 un D.4). Piemēram, nedzīvojamās ēkas nomnieki maksā par to nomas maksu.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valdība pārvērš vērtspapīros tikai dažus nomas periodus no visiem nākotnes nomas maksājumiem, kurus tā plāno saņemt, tā tomēr neatbrīvojas no visiem ar aktīviem saistītajiem riskiem un priekšrocībām un tādējādi arī no ekonomiskajām īpašumtiesībām uz pašām ēkām. Šādos gadījumos vērtspapīrošanas operāc</w:t>
      </w:r>
      <w:r w:rsidR="001D4DB1">
        <w:rPr>
          <w:rFonts w:ascii="Times New Roman" w:hAnsi="Times New Roman"/>
          <w:noProof/>
          <w:sz w:val="24"/>
        </w:rPr>
        <w:t>iju nacionālajos kontos ieraksta</w:t>
      </w:r>
      <w:r>
        <w:rPr>
          <w:rFonts w:ascii="Times New Roman" w:hAnsi="Times New Roman"/>
          <w:noProof/>
          <w:sz w:val="24"/>
        </w:rPr>
        <w:t xml:space="preserve"> kā valdības aizņēmumu.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Arī finanšu aktīvu radīto īpašuma ienākuma nākotnes plūsmu (</w:t>
      </w:r>
      <w:r w:rsidR="001D4DB1">
        <w:rPr>
          <w:rFonts w:ascii="Times New Roman" w:hAnsi="Times New Roman"/>
          <w:noProof/>
          <w:sz w:val="24"/>
        </w:rPr>
        <w:t>daļēju) vērtspapīrošanu ieraksta</w:t>
      </w:r>
      <w:r>
        <w:rPr>
          <w:rFonts w:ascii="Times New Roman" w:hAnsi="Times New Roman"/>
          <w:noProof/>
          <w:sz w:val="24"/>
        </w:rPr>
        <w:t xml:space="preserve"> kā valdības aizņēmumu, ja ekonomiskās īpašumtiesības uz finanšu aktīviem netiek pilnīgi nodotas. Ekonomisko īpašumtiesību noteikšanas kritēriji ir sniegti NKS 2008 3.26. punktā.</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91" w:name="V.5.2.5_Transfer_of_ownership:_risks_and"/>
      <w:bookmarkEnd w:id="391"/>
      <w:r>
        <w:rPr>
          <w:rFonts w:ascii="Times New Roman" w:hAnsi="Times New Roman"/>
          <w:noProof/>
          <w:sz w:val="24"/>
        </w:rPr>
        <w:t>V.5.2.5. Īpašumtiesību nodošana – riski un priekšrocības</w:t>
      </w:r>
    </w:p>
    <w:p w:rsidR="00523A0A" w:rsidRPr="001973D0" w:rsidRDefault="00523A0A" w:rsidP="00523A0A">
      <w:pPr>
        <w:pStyle w:val="Heading6"/>
        <w:tabs>
          <w:tab w:val="left" w:pos="1876"/>
        </w:tabs>
        <w:jc w:val="both"/>
        <w:rPr>
          <w:rFonts w:ascii="Times New Roman" w:hAnsi="Times New Roman"/>
          <w:noProof/>
          <w:sz w:val="24"/>
        </w:rPr>
      </w:pPr>
    </w:p>
    <w:p w:rsidR="00523A0A"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Pieņemot, ka vērtspapīros pārvērstos līdzekļus nacionālajos kontos atzīst par nododamiem aktīviem, to pārdošanu n</w:t>
      </w:r>
      <w:r w:rsidR="001D4DB1">
        <w:rPr>
          <w:rFonts w:ascii="Times New Roman" w:hAnsi="Times New Roman"/>
          <w:noProof/>
          <w:sz w:val="24"/>
        </w:rPr>
        <w:t>acionālajos kontos var ierakstīt</w:t>
      </w:r>
      <w:r>
        <w:rPr>
          <w:rFonts w:ascii="Times New Roman" w:hAnsi="Times New Roman"/>
          <w:noProof/>
          <w:sz w:val="24"/>
        </w:rPr>
        <w:t xml:space="preserve"> tikai gadījumā, ja valdība pilnīgi nodod ekonomiskās īpašumtiesības vērtspapīrošanas struktūrvienībai. Ekonomiskās īpašumtiesības uz aktīviem tiek nodotas pilnīgi, ja tiek pilnīgi nodoti ar šādiem aktīviem saistītie riski un priekšrocības. Ja riskus un priekšrocības valdība nenodod pilnīgi vērtspapīrošanas struktūrvi</w:t>
      </w:r>
      <w:r w:rsidR="001D4DB1">
        <w:rPr>
          <w:rFonts w:ascii="Times New Roman" w:hAnsi="Times New Roman"/>
          <w:noProof/>
          <w:sz w:val="24"/>
        </w:rPr>
        <w:t>enībai, vērtspapīrošanu ieraksta</w:t>
      </w:r>
      <w:r>
        <w:rPr>
          <w:rFonts w:ascii="Times New Roman" w:hAnsi="Times New Roman"/>
          <w:noProof/>
          <w:sz w:val="24"/>
        </w:rPr>
        <w:t xml:space="preserve"> kā valdības aizņēmumu.</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Default="00523A0A" w:rsidP="00523A0A">
      <w:pPr>
        <w:pStyle w:val="Heading6"/>
        <w:tabs>
          <w:tab w:val="left" w:pos="1876"/>
        </w:tabs>
        <w:jc w:val="both"/>
        <w:rPr>
          <w:rFonts w:ascii="Times New Roman" w:hAnsi="Times New Roman"/>
          <w:noProof/>
          <w:sz w:val="24"/>
        </w:rPr>
      </w:pPr>
      <w:bookmarkStart w:id="392" w:name="V.5.2.6_Notion_of_risks_and_rewards"/>
      <w:bookmarkEnd w:id="392"/>
      <w:r>
        <w:rPr>
          <w:rFonts w:ascii="Times New Roman" w:hAnsi="Times New Roman"/>
          <w:noProof/>
          <w:sz w:val="24"/>
        </w:rPr>
        <w:t>V.5.2.6. Risku un priekšrocību jēdziens. Finanšu aktīvi</w:t>
      </w:r>
    </w:p>
    <w:p w:rsidR="00523A0A" w:rsidRPr="001973D0" w:rsidRDefault="00523A0A" w:rsidP="00523A0A">
      <w:pPr>
        <w:pStyle w:val="Heading6"/>
        <w:tabs>
          <w:tab w:val="left" w:pos="1876"/>
        </w:tabs>
        <w:jc w:val="both"/>
        <w:rPr>
          <w:rFonts w:ascii="Times New Roman" w:hAnsi="Times New Roman"/>
          <w:noProof/>
          <w:sz w:val="24"/>
        </w:rPr>
      </w:pPr>
    </w:p>
    <w:p w:rsidR="00523A0A"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Ar finanšu aktīviem saistītās priekšrocības ir atlīdzība (beznosacījuma atlīdzība kā procenti vai iespējamā atlīdzība kā dividendes) un turēšanas guvumi, kas var izrietēt no to tirgus vērtības maiņas, turpretī riski galvenokārt tiek iedalīti šādi:</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0"/>
          <w:numId w:val="39"/>
        </w:numPr>
        <w:tabs>
          <w:tab w:val="left" w:pos="1452"/>
        </w:tabs>
        <w:spacing w:before="0"/>
        <w:ind w:left="1134" w:hanging="425"/>
        <w:jc w:val="both"/>
        <w:rPr>
          <w:rFonts w:ascii="Times New Roman" w:hAnsi="Times New Roman"/>
          <w:noProof/>
          <w:sz w:val="24"/>
        </w:rPr>
      </w:pPr>
      <w:r>
        <w:rPr>
          <w:rFonts w:ascii="Times New Roman" w:hAnsi="Times New Roman"/>
          <w:noProof/>
          <w:sz w:val="24"/>
        </w:rPr>
        <w:t>tirgus risks – portfeļa (ieguldījumu portfeļa vai tirdzniecības portfeļa) vērtības samazināšanās tādēļ, ka mainījusies šādu tirgus riska faktoru vērtība: pašu kapitāla risks (cenu izmaiņas), procentu likmes risks (izmaiņas ar ietekmi uz nemainīgās likmes vērtspapīru vērtību un pārfinansēšanu), valūtas riski (mainīgs valūtas kurss un atkārtota izlīdzināšana), preču risks (izmaiņas preču cenās); tajā ietilpst arī risks, ka sabiedrība nespēs nodrošinā</w:t>
      </w:r>
      <w:r w:rsidR="00D06750">
        <w:rPr>
          <w:rFonts w:ascii="Times New Roman" w:hAnsi="Times New Roman"/>
          <w:noProof/>
          <w:sz w:val="24"/>
        </w:rPr>
        <w:t>t “normālu” un pietiekamu atdeves</w:t>
      </w:r>
      <w:r>
        <w:rPr>
          <w:rFonts w:ascii="Times New Roman" w:hAnsi="Times New Roman"/>
          <w:noProof/>
          <w:sz w:val="24"/>
        </w:rPr>
        <w:t xml:space="preserve"> normu no pašu kapitāla;</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BodyText"/>
        <w:numPr>
          <w:ilvl w:val="1"/>
          <w:numId w:val="39"/>
        </w:numPr>
        <w:tabs>
          <w:tab w:val="left" w:pos="1701"/>
        </w:tabs>
        <w:spacing w:before="0"/>
        <w:ind w:left="1701" w:hanging="567"/>
        <w:jc w:val="both"/>
        <w:rPr>
          <w:rFonts w:ascii="Times New Roman" w:hAnsi="Times New Roman"/>
          <w:noProof/>
          <w:sz w:val="24"/>
        </w:rPr>
      </w:pPr>
      <w:r>
        <w:rPr>
          <w:rFonts w:ascii="Times New Roman" w:hAnsi="Times New Roman"/>
          <w:noProof/>
          <w:sz w:val="24"/>
        </w:rPr>
        <w:t xml:space="preserve">kredītrisks – aizdevuma ņēmēja nespēja izpildīt savas līgumsaistības </w:t>
      </w:r>
      <w:r>
        <w:rPr>
          <w:rFonts w:ascii="Times New Roman" w:hAnsi="Times New Roman"/>
          <w:noProof/>
          <w:sz w:val="24"/>
        </w:rPr>
        <w:lastRenderedPageBreak/>
        <w:t>noteiktajā termiņā (kavējums vai pilnīga nespēja uz nenoteiktu laiku) vai risks, ka sabiedrība bankrotēs;</w:t>
      </w:r>
    </w:p>
    <w:p w:rsidR="00523A0A" w:rsidRPr="001973D0" w:rsidRDefault="00523A0A" w:rsidP="00523A0A">
      <w:pPr>
        <w:pStyle w:val="BodyText"/>
        <w:numPr>
          <w:ilvl w:val="1"/>
          <w:numId w:val="39"/>
        </w:numPr>
        <w:tabs>
          <w:tab w:val="left" w:pos="1701"/>
        </w:tabs>
        <w:spacing w:before="0"/>
        <w:ind w:left="1701" w:hanging="567"/>
        <w:jc w:val="both"/>
        <w:rPr>
          <w:rFonts w:ascii="Times New Roman" w:hAnsi="Times New Roman"/>
          <w:noProof/>
          <w:sz w:val="24"/>
        </w:rPr>
      </w:pPr>
      <w:r>
        <w:rPr>
          <w:rFonts w:ascii="Times New Roman" w:hAnsi="Times New Roman"/>
          <w:noProof/>
          <w:sz w:val="24"/>
        </w:rPr>
        <w:t>darījuma partnera risks – darījuma puses nespēja pilnīgi īstenot darījumu;</w:t>
      </w:r>
    </w:p>
    <w:p w:rsidR="00523A0A" w:rsidRDefault="00523A0A" w:rsidP="00523A0A">
      <w:pPr>
        <w:pStyle w:val="BodyText"/>
        <w:numPr>
          <w:ilvl w:val="1"/>
          <w:numId w:val="39"/>
        </w:numPr>
        <w:tabs>
          <w:tab w:val="left" w:pos="1701"/>
        </w:tabs>
        <w:spacing w:before="0"/>
        <w:ind w:left="1701" w:hanging="567"/>
        <w:jc w:val="both"/>
        <w:rPr>
          <w:rFonts w:ascii="Times New Roman" w:hAnsi="Times New Roman"/>
          <w:noProof/>
          <w:sz w:val="24"/>
        </w:rPr>
      </w:pPr>
      <w:r>
        <w:rPr>
          <w:rFonts w:ascii="Times New Roman" w:hAnsi="Times New Roman"/>
          <w:noProof/>
          <w:sz w:val="24"/>
        </w:rPr>
        <w:t>darbības risks (sk. iepriekšējo vēri).</w:t>
      </w:r>
    </w:p>
    <w:p w:rsidR="00523A0A" w:rsidRPr="001973D0" w:rsidRDefault="00523A0A" w:rsidP="00523A0A">
      <w:pPr>
        <w:pStyle w:val="BodyText"/>
        <w:tabs>
          <w:tab w:val="left" w:pos="1512"/>
        </w:tabs>
        <w:spacing w:before="0"/>
        <w:ind w:left="0" w:firstLine="0"/>
        <w:jc w:val="both"/>
        <w:rPr>
          <w:rFonts w:ascii="Times New Roman" w:hAnsi="Times New Roman"/>
          <w:noProof/>
          <w:sz w:val="24"/>
        </w:rPr>
      </w:pPr>
    </w:p>
    <w:p w:rsidR="00523A0A"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Dažos gadījumos valdība par noteiktu maksu rīkojas kā pārstāve, kas iekasē īpašuma ienākumu par pārdotajiem finanšu aktīviem un pēc tam nodod to pircējam. To nosaka tas, ka šādu darbību nodošana jaunajam īpašniekam var būt pārāk dārga vai arī to paredz ar aizņēmējiem noslēgta vienošanās aktīvu sākotnējās izveides laikā. Privātajā finanšu sektorā bieži var novērot, ka iekasēšanas funkciju uzņemas iniciators. Šādos apstākļos pārd</w:t>
      </w:r>
      <w:r w:rsidR="001D4DB1">
        <w:rPr>
          <w:rFonts w:ascii="Times New Roman" w:hAnsi="Times New Roman"/>
          <w:noProof/>
          <w:sz w:val="24"/>
        </w:rPr>
        <w:t>ošanu vēl joprojām var ierakstīt</w:t>
      </w:r>
      <w:r>
        <w:rPr>
          <w:rFonts w:ascii="Times New Roman" w:hAnsi="Times New Roman"/>
          <w:noProof/>
          <w:sz w:val="24"/>
        </w:rPr>
        <w:t xml:space="preserve"> kā finanšu aktīvu realizāciju, ja vien iekasēšanas pasākums neietekmē risku un priekšrocību nodošanu vērtspapīrošanas struktūrvienībai un sedz nodoto aktīvu faktiskās pārvaldības izmaksas. Fakts, ka valdība iekasē īpašuma ienākumu, pats par sevi neietekmē ekonomisko īpašumtiesību nodošanu pircējam.</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Aizdevumi</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Aizdevumus bieži pārdod arī kopā kā “kredītportfeli”, nevis atsevišķi. Šajā saistībā bieži notiek kredītportfeļa daļēja pārdošana, kuru var organizēt dažādi, piemēram, nejauši izvēloties (vērtspapīrošanas brīdī) aizņēmējus, kuru atmaksājamo daļu pārdod pircējam, vai arī pārdodot noteiktu daļu no portfeļa atmaksājamām summām, kuras katru dienu saņem no kredītportfeļa. Daļēju kredītportfeļa pārdošanu, pārdodot konkrēti izvēlētus prasījumus, nacionālajos kont</w:t>
      </w:r>
      <w:r w:rsidR="001D4DB1">
        <w:rPr>
          <w:rFonts w:ascii="Times New Roman" w:hAnsi="Times New Roman"/>
          <w:noProof/>
          <w:sz w:val="24"/>
        </w:rPr>
        <w:t>os var ierakstīt</w:t>
      </w:r>
      <w:r>
        <w:rPr>
          <w:rFonts w:ascii="Times New Roman" w:hAnsi="Times New Roman"/>
          <w:noProof/>
          <w:sz w:val="24"/>
        </w:rPr>
        <w:t xml:space="preserve"> kā aizdevumu pārdošanu. Valdības veiktu noteiktas kopējās atmaksājamās summas daļas pārdošanu bez tiešas savienošanas ar kādiem identificētiem aktīviem nac</w:t>
      </w:r>
      <w:r w:rsidR="001D4DB1">
        <w:rPr>
          <w:rFonts w:ascii="Times New Roman" w:hAnsi="Times New Roman"/>
          <w:noProof/>
          <w:sz w:val="24"/>
        </w:rPr>
        <w:t>ionālajos kontos nevar ierakstīt</w:t>
      </w:r>
      <w:r>
        <w:rPr>
          <w:rFonts w:ascii="Times New Roman" w:hAnsi="Times New Roman"/>
          <w:noProof/>
          <w:sz w:val="24"/>
        </w:rPr>
        <w:t xml:space="preserve"> kā aizdevumu</w:t>
      </w:r>
      <w:r w:rsidR="001D4DB1">
        <w:rPr>
          <w:rFonts w:ascii="Times New Roman" w:hAnsi="Times New Roman"/>
          <w:noProof/>
          <w:sz w:val="24"/>
        </w:rPr>
        <w:t xml:space="preserve"> pārdošanu, un tas ir jāieraksta</w:t>
      </w:r>
      <w:r>
        <w:rPr>
          <w:rFonts w:ascii="Times New Roman" w:hAnsi="Times New Roman"/>
          <w:noProof/>
          <w:sz w:val="24"/>
        </w:rPr>
        <w:t xml:space="preserve"> kā valdības aizņēmums.</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Nefinanšu aktīvi</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Vērtspapīrošanas struktūrvienība bieži vien nepārņem nefinanšu aktīvus ar mērķi turēt tos līdz aktīvu ekonomiskā cikla beigām; tā vietā struktūrvienības nolūks ir pārdot tos tālāk. Tādējādi papildus saistību neizpildes riskiem attiecībā uz ienākumu (nomas maksas un rente), kuri var būt saistīti ar šiem aktīviem, pastāv turēšanas zaudējumu risks, un pretēji – pastāv iespējamas priekšrocības, ja rodas turēšanas guvumi (attiecībā uz finanšu aktīviem), kā rezultātā ieņēmumi var būt mazāki vai lielāki, nekā tika plānots saņemt no galīgās aktīvu pārdošanas.</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Izvērtējot riska nodošanu gadījumos, kad vērtspapīrošana notiek ar nefinanšu aktīvu iesaistīšanu, ir jāapsver arī darbības risku un priekšrocību, piemēram, uzturēšanas un apdrošināšanas izmaksu mainīguma riska, nodošana.</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93" w:name="V.5.2.7_Judging_risks_and_rewards_transf"/>
      <w:bookmarkEnd w:id="393"/>
      <w:r>
        <w:rPr>
          <w:rFonts w:ascii="Times New Roman" w:hAnsi="Times New Roman"/>
          <w:noProof/>
          <w:sz w:val="24"/>
        </w:rPr>
        <w:t>V.5.2.7. Risku un priekšrocību nodošanas izvērtēšana</w:t>
      </w:r>
    </w:p>
    <w:p w:rsidR="00523A0A" w:rsidRPr="001973D0" w:rsidRDefault="00523A0A" w:rsidP="00523A0A">
      <w:pPr>
        <w:pStyle w:val="Heading6"/>
        <w:tabs>
          <w:tab w:val="left" w:pos="1936"/>
        </w:tabs>
        <w:jc w:val="both"/>
        <w:rPr>
          <w:rFonts w:ascii="Times New Roman" w:hAnsi="Times New Roman"/>
          <w:noProof/>
          <w:sz w:val="24"/>
        </w:rPr>
      </w:pPr>
    </w:p>
    <w:p w:rsidR="00523A0A" w:rsidRDefault="00523A0A" w:rsidP="00AF685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Uzskata, ka ar aktīvu saistītie riski un priekšrocības nav pilnī</w:t>
      </w:r>
      <w:r w:rsidR="001D4DB1">
        <w:rPr>
          <w:rFonts w:ascii="Times New Roman" w:hAnsi="Times New Roman"/>
          <w:noProof/>
          <w:sz w:val="24"/>
        </w:rPr>
        <w:t>gi nodoti, kā rezultātā ieraksta</w:t>
      </w:r>
      <w:r>
        <w:rPr>
          <w:rFonts w:ascii="Times New Roman" w:hAnsi="Times New Roman"/>
          <w:noProof/>
          <w:sz w:val="24"/>
        </w:rPr>
        <w:t xml:space="preserve"> valdības aizņēmumu, ja ir piemērojams kāds no šādiem apstākļiem:</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t>valdība ir ierobežojusi vērtspapīrošanas struktūrvienības tiesības veikt turpmāku aktīvu pārdošanu;</w:t>
      </w:r>
    </w:p>
    <w:p w:rsidR="00523A0A" w:rsidRPr="001973D0"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t>vērtspapīros pārvērstās plūsmas attiecas tikai uz daļu no plūsmām, kuras ir saistītas ar konkrēto aktīvu;</w:t>
      </w:r>
    </w:p>
    <w:p w:rsidR="00523A0A" w:rsidRPr="001973D0"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t>pastāv “Atliktā pirkšanas cena (</w:t>
      </w:r>
      <w:r>
        <w:rPr>
          <w:rFonts w:ascii="Times New Roman" w:hAnsi="Times New Roman"/>
          <w:i/>
          <w:noProof/>
          <w:sz w:val="24"/>
        </w:rPr>
        <w:t>DPP</w:t>
      </w:r>
      <w:r>
        <w:rPr>
          <w:rFonts w:ascii="Times New Roman" w:hAnsi="Times New Roman"/>
          <w:noProof/>
          <w:sz w:val="24"/>
        </w:rPr>
        <w:t>)” vai līdzvērtīgs nosacījums, kas liecina par to, ka valdība daļēji saglabā īpašumtiesības;</w:t>
      </w:r>
    </w:p>
    <w:p w:rsidR="00523A0A" w:rsidRPr="001973D0"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lastRenderedPageBreak/>
        <w:t>valdība piešķir garantijas vai kā citādi mazina risku vērtspapīrošanas struktūrvienībām, tostarp izmantojot “aizstāšanas klauzulu” vai citus pasākumus;</w:t>
      </w:r>
    </w:p>
    <w:p w:rsidR="00523A0A" w:rsidRPr="001973D0" w:rsidRDefault="00523A0A" w:rsidP="00523A0A">
      <w:pPr>
        <w:pStyle w:val="BodyText"/>
        <w:numPr>
          <w:ilvl w:val="0"/>
          <w:numId w:val="38"/>
        </w:numPr>
        <w:tabs>
          <w:tab w:val="left" w:pos="1462"/>
        </w:tabs>
        <w:spacing w:before="0"/>
        <w:ind w:left="1134" w:hanging="425"/>
        <w:jc w:val="both"/>
        <w:rPr>
          <w:rFonts w:ascii="Times New Roman" w:hAnsi="Times New Roman"/>
          <w:noProof/>
          <w:sz w:val="24"/>
        </w:rPr>
      </w:pPr>
      <w:r>
        <w:rPr>
          <w:rFonts w:ascii="Times New Roman" w:hAnsi="Times New Roman"/>
          <w:noProof/>
          <w:sz w:val="24"/>
        </w:rPr>
        <w:t>cita joprojām pastāvoša valdības līdzdalība aktīvos, kas nepieļauj risku un priekšrocību pilnīgu nodošanu.</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 xml:space="preserve">Pašu kapitāla daļa un </w:t>
      </w:r>
      <w:r>
        <w:rPr>
          <w:rFonts w:ascii="Times New Roman" w:hAnsi="Times New Roman"/>
          <w:i/>
          <w:noProof/>
          <w:sz w:val="24"/>
        </w:rPr>
        <w:t>DPP</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Dažās vērtspapīrošanās dažādi emitēto vērtspapīru laidieni tiek pamatoti ar dažādām plūsmas daļām no vērtspapīros pārvērstajiem aktīviem. Tas nozīmē, ka tiek diferencēti riski un priekšrocības, ko uzņemas ieguldītāji. Izmantojot šādu procesu, ir iespējams iekļaut atsevišķus mehānismus, ar kuriem iniciators, valdība patur atlikušo risku/priekšrocības (ko dažkārt dēvē par “pašu kapitāla daļu” vai “pēdējo daļu”), lai aizsargātu ieguldītājus pret vērtspapīros pārvērsto aktīvu pārmērīgi zemiem darbības rezultātiem. Tādējādi vērtspapīri tiek padarīti pievilcīgāki ieguldītājiem. Ar šo mehānismu tiek novērsta risku pilnīga nodošana vērtspapīrošanas struktūrvienībai un panākts tas, ka vērtspapī</w:t>
      </w:r>
      <w:r w:rsidR="00764274">
        <w:rPr>
          <w:rFonts w:ascii="Times New Roman" w:hAnsi="Times New Roman"/>
          <w:noProof/>
          <w:sz w:val="24"/>
        </w:rPr>
        <w:t>rošanas pasākums tiek ierakstīts</w:t>
      </w:r>
      <w:r>
        <w:rPr>
          <w:rFonts w:ascii="Times New Roman" w:hAnsi="Times New Roman"/>
          <w:noProof/>
          <w:sz w:val="24"/>
        </w:rPr>
        <w:t xml:space="preserve"> kā valdības aizņēmums.</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vērtspapīrošanas līgumā “Atliktā pirkšanas cena (</w:t>
      </w:r>
      <w:r>
        <w:rPr>
          <w:rFonts w:ascii="Times New Roman" w:hAnsi="Times New Roman"/>
          <w:i/>
          <w:noProof/>
          <w:sz w:val="24"/>
        </w:rPr>
        <w:t>DPP</w:t>
      </w:r>
      <w:r>
        <w:rPr>
          <w:rFonts w:ascii="Times New Roman" w:hAnsi="Times New Roman"/>
          <w:noProof/>
          <w:sz w:val="24"/>
        </w:rPr>
        <w:t xml:space="preserve">)” ir vēl viens kredīta kvalitātes uzlabošanas nosacījums, saskaņā ar kuru vērtspapīrošanas struktūrvienībai ir pienākums vēlāk samaksāt iniciatoram (atkarībā no rezultātiem) papildu ieņēmumus no pārdošanas. Ja ir paredzēts šāds noteikums, aktīvus realizē atbilstoši vērtībai (pārdošanas cenai), kas ir mazāka par aktīvu tirgus/patieso vērtību. </w:t>
      </w:r>
      <w:r>
        <w:rPr>
          <w:rFonts w:ascii="Times New Roman" w:hAnsi="Times New Roman"/>
          <w:i/>
          <w:noProof/>
          <w:sz w:val="24"/>
        </w:rPr>
        <w:t>DPP</w:t>
      </w:r>
      <w:r>
        <w:rPr>
          <w:rFonts w:ascii="Times New Roman" w:hAnsi="Times New Roman"/>
          <w:noProof/>
          <w:sz w:val="24"/>
        </w:rPr>
        <w:t xml:space="preserve"> nedrīkst sajaukt ar atliktu noteiktas cenas maksājumu, kuru atbilstoši uzkrāšanas principam sākumā uzrāda kā iniciatora debitoru parādus un kā vērtspapīrošanas struktūrvienības saistības.</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Vērtspapīrošanas operācijas, tostarp pašu kapitāla daļas, </w:t>
      </w:r>
      <w:r>
        <w:rPr>
          <w:rFonts w:ascii="Times New Roman" w:hAnsi="Times New Roman"/>
          <w:i/>
          <w:noProof/>
          <w:sz w:val="24"/>
        </w:rPr>
        <w:t>DPP</w:t>
      </w:r>
      <w:r>
        <w:rPr>
          <w:rFonts w:ascii="Times New Roman" w:hAnsi="Times New Roman"/>
          <w:noProof/>
          <w:sz w:val="24"/>
        </w:rPr>
        <w:t xml:space="preserve"> vai līdzīgas klauzulas, kas aktīvu pārdevējam piešķir tiesības uz </w:t>
      </w:r>
      <w:r w:rsidR="00764274">
        <w:rPr>
          <w:rFonts w:ascii="Times New Roman" w:hAnsi="Times New Roman"/>
          <w:noProof/>
          <w:sz w:val="24"/>
        </w:rPr>
        <w:t>turpmākiem maksājumiem, ieraksta</w:t>
      </w:r>
      <w:r>
        <w:rPr>
          <w:rFonts w:ascii="Times New Roman" w:hAnsi="Times New Roman"/>
          <w:noProof/>
          <w:sz w:val="24"/>
        </w:rPr>
        <w:t xml:space="preserve"> kā valdības aizņēmumu, jo šādas klauzulas liecina par to, ka ne visi operācijas riski un priekšrocības ir nodoti vērtspapīrošanas struktūrvienībai.</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Garantētie maksājumi pēc pārdošanas</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Valdības garantijas var piešķirt saistībā ar vērtspapīrošanu. Vērtspapīrošanas līgumā valdība var apņemties atmaksāt parādu, kas radies vērtspapīrošanas struktūrvienībai gadījumā, ja minētā struktūrvienība nespēj to atmaksāt no saviem līdzekļiem, jo tai nav pietiekami daudz peļņu nesošu aktīvu.</w:t>
      </w:r>
      <w:r>
        <w:rPr>
          <w:rStyle w:val="FootnoteReference"/>
          <w:rFonts w:ascii="Times New Roman" w:hAnsi="Times New Roman"/>
          <w:noProof/>
          <w:sz w:val="24"/>
        </w:rPr>
        <w:footnoteReference w:id="194"/>
      </w:r>
      <w:r>
        <w:rPr>
          <w:rFonts w:ascii="Times New Roman" w:hAnsi="Times New Roman"/>
          <w:noProof/>
          <w:sz w:val="24"/>
        </w:rPr>
        <w:t xml:space="preserve"> Valdības vērtspapīrošanas pasākumi, kuros ietilpst i</w:t>
      </w:r>
      <w:r w:rsidR="00764274">
        <w:rPr>
          <w:rFonts w:ascii="Times New Roman" w:hAnsi="Times New Roman"/>
          <w:noProof/>
          <w:sz w:val="24"/>
        </w:rPr>
        <w:t>epriekšējas garantijas, ieraksta</w:t>
      </w:r>
      <w:r>
        <w:rPr>
          <w:rFonts w:ascii="Times New Roman" w:hAnsi="Times New Roman"/>
          <w:noProof/>
          <w:sz w:val="24"/>
        </w:rPr>
        <w:t xml:space="preserve"> kā valdības aizņēmumu. Šis noteikums neattiecas uz garantijām, kurām ir vispārīgs mērķis un kuras piedāvā citām vienībām saistībā ar līdzīgiem gadījumiem, lai pasargātu tās pret noteiktu ārēju notikumu, piemēram, dabas katastrofu, terorisma un karadarbības, izraisītām sekām.</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Aizstāšanas klauzulas ir īpašs garantijas veids. Tās parasti paredz iespēju aizstāt sākotnējos aktīvus, kas nodoti vērtspapīrošanas struktūrvienībai, ar jauniem aktīviem, piemēram, ja vēlāk tiek konstatēts, ka nodotais “aktīvs” nepastāv vai to nav iespējams iekasēt. Aizstāšanas klauzulai ir būtiska nozīme, kad tiek spriests par risku un priekšrocību nodošanu starp valdību un vērtspapīrošanas struktūrvienību.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Izņemot robežgadījumus ar ierobežotu ietekmi, kuri rodas tikai tehnisku apsvērumu vai būtisku kļūdu dēļ un kuros aizstātajiem aktīviem ir tāda pati vērtība kā jaunajiem aktīviem, aizstāšanas klauzul</w:t>
      </w:r>
      <w:r w:rsidR="00764274">
        <w:rPr>
          <w:rFonts w:ascii="Times New Roman" w:hAnsi="Times New Roman"/>
          <w:noProof/>
          <w:sz w:val="24"/>
        </w:rPr>
        <w:t>as esamības dēļ ieraksta</w:t>
      </w:r>
      <w:r>
        <w:rPr>
          <w:rFonts w:ascii="Times New Roman" w:hAnsi="Times New Roman"/>
          <w:noProof/>
          <w:sz w:val="24"/>
        </w:rPr>
        <w:t xml:space="preserve"> valdības aizņēmumu.</w:t>
      </w:r>
    </w:p>
    <w:p w:rsidR="00523A0A" w:rsidRPr="001E0B56"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Valdība vēlāk var izmaksāt vērtspapīrošanas struktūrvienībai kompensāciju, lai gan līgumā šāda prasība nav iekļauta. Šādu kompensāciju var izsniegt skaidrā naudā, kā </w:t>
      </w:r>
      <w:r>
        <w:rPr>
          <w:rFonts w:ascii="Times New Roman" w:hAnsi="Times New Roman"/>
          <w:noProof/>
          <w:sz w:val="24"/>
        </w:rPr>
        <w:lastRenderedPageBreak/>
        <w:t>parāda pārņemšanu vai kā tiešu vai netiešu garantiju, kas piešķirta, reaģējot uz nelabvēlīgām tendencēm. Nākamais solis ir valdības pieņemti vai grozīti tiesību akti, ko pēc tam izmanto kā pamatu tam, lai faktiski izmaksātu kompensāciju vērtspapīrošanas struktūrvienībai.</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Brīdī, kad pieņem lēmumu par </w:t>
      </w:r>
      <w:r w:rsidR="00764274">
        <w:rPr>
          <w:rFonts w:ascii="Times New Roman" w:hAnsi="Times New Roman"/>
          <w:noProof/>
          <w:sz w:val="24"/>
        </w:rPr>
        <w:t>kompensāciju, notikumu ieraksta</w:t>
      </w:r>
      <w:r>
        <w:rPr>
          <w:rFonts w:ascii="Times New Roman" w:hAnsi="Times New Roman"/>
          <w:noProof/>
          <w:sz w:val="24"/>
        </w:rPr>
        <w:t xml:space="preserve"> kā valdības vienlaikus veiktu vērtspapirizēto aktīvu iegādi apmaiņā pret valdības saistību (aizdevuma) rašanos attiecībā uz vērtspapīrošanas struktūrvienību. Saistības ir vienādas ar vērtspapīrošanas struktūrvienības nenomaksāto parāda vērtspapīru summu, kuri ir emitēti, lai finansētu vērtspapīros pārvērsto aktīvu iegādi.</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Ja nopirkta aktīva tirgus vērtība ir zemāka pa</w:t>
      </w:r>
      <w:r w:rsidR="00764274">
        <w:rPr>
          <w:rFonts w:ascii="Times New Roman" w:hAnsi="Times New Roman"/>
          <w:noProof/>
          <w:sz w:val="24"/>
        </w:rPr>
        <w:t>r uzņemtajām saistībām, ieraksta</w:t>
      </w:r>
      <w:r>
        <w:rPr>
          <w:rFonts w:ascii="Times New Roman" w:hAnsi="Times New Roman"/>
          <w:noProof/>
          <w:sz w:val="24"/>
        </w:rPr>
        <w:t xml:space="preserve"> kapitāla pārvedumu vērtspapīrošanas vienībai no valdības par summu, kas vienāda ar šo starpību.</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Finanšu aktīva iegāde neietekmēs valdības neto aizdevumu/aizņēmumu (B.9), ja vien iegādāto aktīvu tirgus vērtība nav mazāka par radušos parādu.</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Nefinanšu aktīva iegāde palielina valdības budžeta deficītu (vai samazina pārpalikumu), jo nefinanšu aktīvu iegāde (negatīvs </w:t>
      </w:r>
      <w:r>
        <w:rPr>
          <w:rFonts w:ascii="Times New Roman" w:hAnsi="Times New Roman"/>
          <w:i/>
          <w:noProof/>
          <w:sz w:val="24"/>
        </w:rPr>
        <w:t>GFCF</w:t>
      </w:r>
      <w:r>
        <w:rPr>
          <w:rFonts w:ascii="Times New Roman" w:hAnsi="Times New Roman"/>
          <w:noProof/>
          <w:sz w:val="24"/>
        </w:rPr>
        <w:t>) ietekmē neto aizdevumu/aizņēmumu (B.9).</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Šo pašu noteikumu piemēro gadījumos, kad līgumā nav iekļauta aktīvu aizstāšanas klauzula, taču praksē atklājas, ka ievērojama vērtspapīros pārvērsto aktīvu daļa ir aizstāta ar citiem aktīviem, kuru tirgus vērtība ir lielāka. Valdības saistību rašanos nosaka atbilstoši aktīva atpirkšanai brīdī, kad pieņem lēmumu par aizstāšanu.</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Šos noteikumus nepiemēro, ja valdība izmaksā vērtspapīrošanas struktūrvienībai kompensāciju faktiska vai iespējama tiesas lēmuma dēļ, jo valdība ir pārkāpusi pārdošanas līguma noteikumus un nosacījumus.</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Tālākpārdošanas ierobežojumi</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Jebkādi ierobežojumi attiecībā uz iegādāto aktīvu vai citu tiesību uz nākotnes naudas plūsmām tālākpārdošanu liecina par to, ka ekonomiskās īpašumtiesības nav nodotas.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394" w:name="V.5.2.8_Classification_of_the_securitisa"/>
      <w:bookmarkEnd w:id="394"/>
      <w:r>
        <w:rPr>
          <w:rFonts w:ascii="Times New Roman" w:hAnsi="Times New Roman"/>
          <w:noProof/>
          <w:sz w:val="24"/>
        </w:rPr>
        <w:t>V.5.2.8. vērtspapīrošanas struktūrvienības klasifikācija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EKS 2010 5.108. punkts: “Jo īpaši ir svarīgi konstatēt, vai finanšu sabiedrība, kas iesaistīta aktīvu vērtspapīrošanā, aktīvi pārvalda savu portfeli, emitējot parāda vērtspapīrus, nevis vienkārši darbojas kā trasts, kas pasīvi pārvalda aktīvus un tur parāda vērtspapīrus. Ja finanšu sabiedrība ir aktīvu portfeļa tiesiskais īpašnieks, emitē parāda vērtspapīrus, kas atspoguļo līdzdalību portfelī, tai ir pilns kontu komplekts, tad tā darbojas kā finanšu starpnieks un to klasificē citu finanšu starpnieku kategorijā. Finanšu sabiedrības, kas ir iesaistītas aktīvu vērtspapīrošanā, nošķir no vienībām, kuras izveidotas vienīgi īpašu portfeļu turēšanai, kuros ir finanšu aktīvi un saistības. Pēdējos minētos subjektus apvieno ar mātessabiedrību, ja subjekts un mātessabiedrība ir vienas valsts rezidenti. Tomēr kā nerezidentvienības tās uzskata par atsevišķām institucionālajām vienībām un klasificē kā piesaistošās finanšu iestādes.” Ja vērtspapīrošanas struktūrvienībai nav lēmumu pieņemšanas autonomijas attiecībā uz nodoto aktīvu vai tās saistību pārvaldību vai realizāciju, vērtspapīrošanas struktūrvienība saskaņā ar nacionālo kontu kritērijiem nav atsevišķa institucionālā vienība (kā ir noteikts EKS 2010 2.12. punktā).</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Pieņemot, ka vērtspapīrošanas struktūrvienība ir izveidota, lai apkalpotu valdības vienību, par lēmumu pieņemšanas autonomijas trūkumu citu faktoru starpā var liecināt šādas pazīmes:</w:t>
      </w:r>
    </w:p>
    <w:p w:rsidR="00523A0A" w:rsidRPr="001973D0" w:rsidRDefault="00523A0A" w:rsidP="00523A0A">
      <w:pPr>
        <w:jc w:val="both"/>
        <w:rPr>
          <w:rFonts w:ascii="Times New Roman" w:eastAsia="Arial" w:hAnsi="Times New Roman" w:cs="Arial"/>
          <w:noProof/>
          <w:sz w:val="24"/>
          <w:szCs w:val="19"/>
        </w:rPr>
      </w:pPr>
    </w:p>
    <w:p w:rsidR="00523A0A" w:rsidRPr="001973D0" w:rsidRDefault="00523A0A" w:rsidP="00523A0A">
      <w:pPr>
        <w:pStyle w:val="BodyText"/>
        <w:numPr>
          <w:ilvl w:val="1"/>
          <w:numId w:val="41"/>
        </w:numPr>
        <w:tabs>
          <w:tab w:val="left" w:pos="1462"/>
        </w:tabs>
        <w:spacing w:before="0"/>
        <w:ind w:left="1134" w:hanging="425"/>
        <w:jc w:val="both"/>
        <w:rPr>
          <w:rFonts w:ascii="Times New Roman" w:hAnsi="Times New Roman" w:cs="Arial"/>
          <w:noProof/>
          <w:sz w:val="24"/>
        </w:rPr>
      </w:pPr>
      <w:r>
        <w:rPr>
          <w:rFonts w:ascii="Times New Roman" w:hAnsi="Times New Roman"/>
          <w:noProof/>
          <w:sz w:val="24"/>
        </w:rPr>
        <w:t>valdība pārvalda vērtspapīrošanas struktūrvienības parādu;</w:t>
      </w:r>
    </w:p>
    <w:p w:rsidR="00523A0A"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tiesību vai spējas neesamība aktīvi pārvaldīt savus aktīvus, reaģējot uz tirgus </w:t>
      </w:r>
      <w:r>
        <w:rPr>
          <w:rFonts w:ascii="Times New Roman" w:hAnsi="Times New Roman"/>
          <w:noProof/>
          <w:sz w:val="24"/>
        </w:rPr>
        <w:lastRenderedPageBreak/>
        <w:t>apstākļiem, jo valdībai ir tiesības apstiprināt jebkādu būtisku realizāciju.</w:t>
      </w:r>
    </w:p>
    <w:p w:rsidR="00523A0A" w:rsidRPr="001973D0" w:rsidRDefault="00523A0A" w:rsidP="00523A0A">
      <w:pPr>
        <w:pStyle w:val="BodyText"/>
        <w:tabs>
          <w:tab w:val="left" w:pos="1462"/>
        </w:tabs>
        <w:spacing w:before="0"/>
        <w:ind w:left="0" w:firstLine="0"/>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Lielākajā daļā gadījumu vērtspapīrošanas struktūrvienību oficiāli izveidos privāta (finanšu) iestāde, lai iegādātos valsts aktīvus un pārvērstu tos vērtspapīros. Šajos gadījumos, ja vērtspapīrošanas struktūrvienībai nav lēmumu pieņemšanas autonomijas (sk. iepriekš), tā tiek klasificēta valdības sektorā, ciktāl valdībai, kas ierosina darījumu, ir tiesības pieņemt būtiskus lēmumus vērtspapīrošanas piemērošanas laikā.</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vērtspapīrošanas struktūrvienība atbilst nosacījumiem, saskaņā ar kuru to var uzskatīt par atsevišķu vienību, t. i., tā uzņemas risku un vērtspapīrošanu un pilnīgi kontrolē aktīvus un saistības visā to darbības laikā, tā ir klasificēta kā finanšu sabiedrība (S.12). EKS 2010 2.90. punkts: “Finanšu instrumentsabiedrības, kas iesaistītas vērtspapīrošanas darījumos (FIS), ir uzņēmumi, kas veic vērtspapīrošanas darījumus. FIS, kas atbilst institucionālās vienības kritērijiem, klasificē S.125.” Savukārt tas, ka uzraudzības iestādes neuzskata vērtspapīrošanas vienību par FIS, kurai jāievēro ziņošanas un regulējošie pienākumi, ko piemēro attiecībā uz šādas kategorijas finanšu vienībām, nenozīmē, ka tā automātiski jāizslēdz no vispārējās valdības sektora. Analīzei, kas tiek veikta saistībā ar nacionālajiem kontiem, jābūt pilnīgi neatkarīgai no šādiem apsvērumiem.</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4"/>
        <w:tabs>
          <w:tab w:val="left" w:pos="1452"/>
        </w:tabs>
        <w:ind w:left="0" w:firstLine="0"/>
        <w:jc w:val="both"/>
        <w:rPr>
          <w:rFonts w:ascii="Times New Roman" w:hAnsi="Times New Roman"/>
          <w:noProof/>
          <w:u w:val="thick" w:color="000000"/>
        </w:rPr>
      </w:pPr>
      <w:bookmarkStart w:id="395" w:name="V.5.3_Recording_rules"/>
      <w:bookmarkEnd w:id="395"/>
      <w:r>
        <w:rPr>
          <w:rFonts w:ascii="Times New Roman" w:hAnsi="Times New Roman"/>
          <w:noProof/>
          <w:u w:val="none"/>
        </w:rPr>
        <w:t>V.5.3. </w:t>
      </w:r>
      <w:r w:rsidR="00764274">
        <w:rPr>
          <w:rFonts w:ascii="Times New Roman" w:hAnsi="Times New Roman"/>
          <w:noProof/>
          <w:u w:val="thick" w:color="000000"/>
        </w:rPr>
        <w:t>Ierakstīšanas</w:t>
      </w:r>
      <w:r>
        <w:rPr>
          <w:rFonts w:ascii="Times New Roman" w:hAnsi="Times New Roman"/>
          <w:noProof/>
          <w:u w:val="thick" w:color="000000"/>
        </w:rPr>
        <w:t xml:space="preserve"> noteikumi</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876"/>
        </w:tabs>
        <w:jc w:val="both"/>
        <w:rPr>
          <w:rFonts w:ascii="Times New Roman" w:hAnsi="Times New Roman"/>
          <w:noProof/>
          <w:sz w:val="24"/>
        </w:rPr>
      </w:pPr>
      <w:bookmarkStart w:id="396" w:name="V.5.3.1_Recording_as_a_sale_of_an_asset"/>
      <w:bookmarkEnd w:id="396"/>
      <w:r>
        <w:rPr>
          <w:rFonts w:ascii="Times New Roman" w:hAnsi="Times New Roman"/>
          <w:noProof/>
          <w:sz w:val="24"/>
        </w:rPr>
        <w:t>V.5.3.1. Aktīva pārdoša</w:t>
      </w:r>
      <w:r w:rsidR="00764274">
        <w:rPr>
          <w:rFonts w:ascii="Times New Roman" w:hAnsi="Times New Roman"/>
          <w:noProof/>
          <w:sz w:val="24"/>
        </w:rPr>
        <w:t>nas ierakstīšana</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Darījumu ar vērtspapī</w:t>
      </w:r>
      <w:r w:rsidR="00764274">
        <w:rPr>
          <w:rFonts w:ascii="Times New Roman" w:hAnsi="Times New Roman"/>
          <w:noProof/>
          <w:sz w:val="24"/>
        </w:rPr>
        <w:t>rošanas struktūrvienību ieraksta</w:t>
      </w:r>
      <w:r>
        <w:rPr>
          <w:rFonts w:ascii="Times New Roman" w:hAnsi="Times New Roman"/>
          <w:noProof/>
          <w:sz w:val="24"/>
        </w:rPr>
        <w:t xml:space="preserve"> kā vispārējās valdības aktīva pārdošanu ārpus vispārējās valdības sektora, ja ir izpildīti iepriekš 9. rindkopā minētie trīs nosacījumi.</w:t>
      </w:r>
    </w:p>
    <w:p w:rsidR="00523A0A" w:rsidRPr="001973D0" w:rsidRDefault="00764274"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darījumu ieraksta</w:t>
      </w:r>
      <w:r w:rsidR="00523A0A">
        <w:rPr>
          <w:rFonts w:ascii="Times New Roman" w:hAnsi="Times New Roman"/>
          <w:noProof/>
          <w:sz w:val="24"/>
        </w:rPr>
        <w:t xml:space="preserve"> kā aktīva pārdošanu, tas tieši neietekmē valdības parādu. Pastāvētu netieša (samazinoša) ietekme, ja ieņēmumi no vērtspapīrošanas tiktu izmantoti tieši tam, lai samazinātu valdības parādu, vai ja ar tiem aizstāts aizņēmums, kas nepieciešams pārmērīgo tēriņu finansēšanai.</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Finanšu aktīvi</w:t>
      </w:r>
    </w:p>
    <w:p w:rsidR="00523A0A" w:rsidRPr="001973D0" w:rsidRDefault="00523A0A" w:rsidP="00523A0A">
      <w:pPr>
        <w:pStyle w:val="Heading6"/>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Finanšu aktīva pārdevums vērtspapīrošanas struktūrvienībai neietekmēs valdības neto aizdevumu/aizņēmumu (B.9). Dažos gadījumos valsts vienība par noteiktu maksu rīkojas kā neieinteresēts pārstāvis, kurš piedzen parāda atmaksu un īpašuma ienākumu par pārdotajiem finanšu aktīviem, ko pēc</w:t>
      </w:r>
      <w:r w:rsidR="00764274">
        <w:rPr>
          <w:rFonts w:ascii="Times New Roman" w:hAnsi="Times New Roman"/>
          <w:noProof/>
          <w:sz w:val="24"/>
        </w:rPr>
        <w:t xml:space="preserve"> tam nodod pircējam. To ieraksta</w:t>
      </w:r>
      <w:r>
        <w:rPr>
          <w:rFonts w:ascii="Times New Roman" w:hAnsi="Times New Roman"/>
          <w:noProof/>
          <w:sz w:val="24"/>
        </w:rPr>
        <w:t xml:space="preserve"> kā valdības produkciju.</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Nefinanšu aktīvi</w:t>
      </w:r>
    </w:p>
    <w:p w:rsidR="00523A0A" w:rsidRPr="001973D0" w:rsidRDefault="00523A0A" w:rsidP="00523A0A">
      <w:pPr>
        <w:pStyle w:val="Heading6"/>
        <w:jc w:val="both"/>
        <w:rPr>
          <w:rFonts w:ascii="Times New Roman" w:hAnsi="Times New Roman"/>
          <w:noProof/>
          <w:sz w:val="24"/>
        </w:rPr>
      </w:pPr>
    </w:p>
    <w:p w:rsidR="00523A0A" w:rsidRPr="00D27F19"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Nefinanšu aktīva pārdošana vērtspapīrošanas struktūrvienībai samazinās valdības neto aizdevumu/aizņēmumu (B.9). Tomēr valdība var turpināt izmantot dažus nefinanšu aktīvus. Kā piemēru var minēt dzīvojamo ēku pārdošanu, kuras gadījumā vērtspapīrošanas struktūrvienība parasti iegādājas šādas ēkas ar mērķi pēc tam tās pārdot. Tomēr laika posmā starp ēku iegādi un tālākpārdošanu tās joprojām nodrošina ienākumu no nomas. Pieņemot, ka ir izpildīti visi nosacījumi attiecībā uz īpašumtiesību nodošanu, tas, ka vērtspapīrošanas struktūrvienībai ir ekonomiskās īpašumtiesības uz vērtspapīros pārvērstajām ēkām, netieši nozīmē, ka nacionālajos kontos ēku nodrošinātie</w:t>
      </w:r>
      <w:r w:rsidR="00764274">
        <w:rPr>
          <w:rFonts w:ascii="Times New Roman" w:hAnsi="Times New Roman"/>
          <w:noProof/>
          <w:sz w:val="24"/>
        </w:rPr>
        <w:t xml:space="preserve"> darbības pārpalikumi jāieraksta</w:t>
      </w:r>
      <w:r>
        <w:rPr>
          <w:rFonts w:ascii="Times New Roman" w:hAnsi="Times New Roman"/>
          <w:noProof/>
          <w:sz w:val="24"/>
        </w:rPr>
        <w:t xml:space="preserve"> pie vērtspapīrošanas struktūrvienības (sk. VI.2. nodaļu “Pārdošana un saņemšana atpakaļ nomā”).</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lastRenderedPageBreak/>
        <w:t>Ražošanas procesu, kura pamatā ir ēku ekspluatācija īrnieku izmitināšanas mērķiem, var tieši attiecināt uz vērtspapīrošanas struktūrvienību. Šis traktējums ir jāizmanto, ja struktūrvienība uzņemas visus ar ēku apsaimniekošanu saistītos ikdienas darbus un pilnīgi saņem visu nomas maksu par ēkām. Ja bijušais īpašnieks, t. i., valdība, turpina vērtspapīros pārvērsto ēku ikdienas apsaimniekošanu un patur daļu no ēku nomas maksas kā atlīdzību par apsaimniekošanu, arī šajā gadījumā lielākā daļa ienākuma joprojām ir jāpiešķir vērtspapīrošanas struktūrvienībai.</w:t>
      </w:r>
    </w:p>
    <w:p w:rsidR="00523A0A" w:rsidRDefault="00523A0A" w:rsidP="00523A0A">
      <w:pPr>
        <w:pStyle w:val="Heading6"/>
        <w:jc w:val="both"/>
        <w:rPr>
          <w:rFonts w:ascii="Times New Roman" w:hAnsi="Times New Roman"/>
          <w:noProof/>
          <w:sz w:val="24"/>
        </w:rPr>
      </w:pPr>
    </w:p>
    <w:p w:rsidR="00523A0A" w:rsidRDefault="00523A0A" w:rsidP="00523A0A">
      <w:pPr>
        <w:pStyle w:val="Heading6"/>
        <w:jc w:val="both"/>
        <w:rPr>
          <w:rFonts w:ascii="Times New Roman" w:hAnsi="Times New Roman"/>
          <w:noProof/>
          <w:sz w:val="24"/>
        </w:rPr>
      </w:pPr>
      <w:r>
        <w:rPr>
          <w:rFonts w:ascii="Times New Roman" w:hAnsi="Times New Roman"/>
          <w:noProof/>
          <w:sz w:val="24"/>
        </w:rPr>
        <w:t>Vērtspapīrošanas līgumā noteiktā cena</w:t>
      </w:r>
    </w:p>
    <w:p w:rsidR="00523A0A" w:rsidRPr="001973D0" w:rsidRDefault="00523A0A" w:rsidP="00523A0A">
      <w:pPr>
        <w:pStyle w:val="Heading6"/>
        <w:jc w:val="both"/>
        <w:rPr>
          <w:rFonts w:ascii="Times New Roman" w:hAnsi="Times New Roman"/>
          <w:noProof/>
          <w:sz w:val="24"/>
        </w:rPr>
      </w:pPr>
    </w:p>
    <w:p w:rsidR="00523A0A"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Nacionālajos kontos aktīvu realiz</w:t>
      </w:r>
      <w:r w:rsidR="00764274">
        <w:rPr>
          <w:rFonts w:ascii="Times New Roman" w:hAnsi="Times New Roman"/>
          <w:noProof/>
          <w:sz w:val="24"/>
        </w:rPr>
        <w:t>āciju ieraksta</w:t>
      </w:r>
      <w:r>
        <w:rPr>
          <w:rFonts w:ascii="Times New Roman" w:hAnsi="Times New Roman"/>
          <w:noProof/>
          <w:sz w:val="24"/>
        </w:rPr>
        <w:t xml:space="preserve"> atbilstoši darījuma veikšanas brīdī pastāvošajai tirgus cenai. Parasti tā ir konstatētā pārdošanas cena (līgumcena). Tomēr gadījumā, ja konstatētā pārdošanas cena ir zemāka par tirgus vērtību:</w:t>
      </w:r>
    </w:p>
    <w:p w:rsidR="00523A0A" w:rsidRPr="001973D0" w:rsidRDefault="00523A0A" w:rsidP="00523A0A">
      <w:pPr>
        <w:pStyle w:val="BodyText"/>
        <w:tabs>
          <w:tab w:val="left" w:pos="1162"/>
        </w:tabs>
        <w:spacing w:before="0"/>
        <w:ind w:left="0" w:firstLine="0"/>
        <w:rPr>
          <w:rFonts w:ascii="Times New Roman" w:hAnsi="Times New Roman"/>
          <w:noProof/>
          <w:sz w:val="24"/>
        </w:rPr>
      </w:pPr>
    </w:p>
    <w:p w:rsidR="00523A0A" w:rsidRPr="001973D0"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t>tas var liecināt, ka darījums nav veikts tikai komerciālu apsvērumu dēļ un vērtspapīrošanas struktūrvienība saņem netiešu atbal</w:t>
      </w:r>
      <w:r w:rsidR="00764274">
        <w:rPr>
          <w:rFonts w:ascii="Times New Roman" w:hAnsi="Times New Roman"/>
          <w:noProof/>
          <w:sz w:val="24"/>
        </w:rPr>
        <w:t>stu. Šādā gadījumā ir jāieraksta</w:t>
      </w:r>
      <w:r>
        <w:rPr>
          <w:rFonts w:ascii="Times New Roman" w:hAnsi="Times New Roman"/>
          <w:noProof/>
          <w:sz w:val="24"/>
        </w:rPr>
        <w:t xml:space="preserve"> kapitāla pārvedums no valdības, lai segtu starpību starp konstatēto cenu un tirgus vērtību, jo pārdoš</w:t>
      </w:r>
      <w:r w:rsidR="00764274">
        <w:rPr>
          <w:rFonts w:ascii="Times New Roman" w:hAnsi="Times New Roman"/>
          <w:noProof/>
          <w:sz w:val="24"/>
        </w:rPr>
        <w:t>anu nacionālajos kontos ieraksta</w:t>
      </w:r>
      <w:r>
        <w:rPr>
          <w:rFonts w:ascii="Times New Roman" w:hAnsi="Times New Roman"/>
          <w:noProof/>
          <w:sz w:val="24"/>
        </w:rPr>
        <w:t xml:space="preserve"> atbilstoši tirgus cenai (sk. EKS 2010 5.21. punktu);</w:t>
      </w:r>
    </w:p>
    <w:p w:rsidR="00523A0A" w:rsidRDefault="00523A0A" w:rsidP="00523A0A">
      <w:pPr>
        <w:pStyle w:val="BodyText"/>
        <w:numPr>
          <w:ilvl w:val="1"/>
          <w:numId w:val="41"/>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tas var būt saistīts ar </w:t>
      </w:r>
      <w:r>
        <w:rPr>
          <w:rFonts w:ascii="Times New Roman" w:hAnsi="Times New Roman"/>
          <w:i/>
          <w:noProof/>
          <w:sz w:val="24"/>
        </w:rPr>
        <w:t>DPP</w:t>
      </w:r>
      <w:r>
        <w:rPr>
          <w:rFonts w:ascii="Times New Roman" w:hAnsi="Times New Roman"/>
          <w:noProof/>
          <w:sz w:val="24"/>
        </w:rPr>
        <w:t xml:space="preserve"> klauzulu esamību (sk. i</w:t>
      </w:r>
      <w:r w:rsidR="00764274">
        <w:rPr>
          <w:rFonts w:ascii="Times New Roman" w:hAnsi="Times New Roman"/>
          <w:noProof/>
          <w:sz w:val="24"/>
        </w:rPr>
        <w:t>epriekš), un darījums jāieraksta</w:t>
      </w:r>
      <w:r>
        <w:rPr>
          <w:rFonts w:ascii="Times New Roman" w:hAnsi="Times New Roman"/>
          <w:noProof/>
          <w:sz w:val="24"/>
        </w:rPr>
        <w:t xml:space="preserve"> nevis kā pārdošana, bet gan kā valdības aizņēmums.</w:t>
      </w:r>
    </w:p>
    <w:p w:rsidR="00523A0A" w:rsidRPr="001973D0" w:rsidRDefault="00523A0A" w:rsidP="00523A0A">
      <w:pPr>
        <w:pStyle w:val="BodyText"/>
        <w:tabs>
          <w:tab w:val="left" w:pos="1522"/>
        </w:tabs>
        <w:spacing w:before="0"/>
        <w:ind w:left="0" w:firstLine="0"/>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Ja nav skaidra tirgus cena noteiktiem aktīvi</w:t>
      </w:r>
      <w:r w:rsidR="00764274">
        <w:rPr>
          <w:rFonts w:ascii="Times New Roman" w:hAnsi="Times New Roman"/>
          <w:noProof/>
          <w:sz w:val="24"/>
        </w:rPr>
        <w:t>em, tad, lai pasākumu varētu ierakstīt</w:t>
      </w:r>
      <w:r>
        <w:rPr>
          <w:rFonts w:ascii="Times New Roman" w:hAnsi="Times New Roman"/>
          <w:noProof/>
          <w:sz w:val="24"/>
        </w:rPr>
        <w:t xml:space="preserve"> kā pārdošanu, nepieciešams neatkarīgu struktūru īstenots process, ar kuru nosaka līdzvērtīgu tirgus cenu, pamatojoties uz uzņēmējdarbības jomā parasti izmantotajām novērtēšanas metodēm.</w:t>
      </w:r>
      <w:r>
        <w:rPr>
          <w:rStyle w:val="FootnoteReference"/>
          <w:rFonts w:ascii="Times New Roman" w:hAnsi="Times New Roman"/>
          <w:noProof/>
          <w:sz w:val="24"/>
        </w:rPr>
        <w:footnoteReference w:id="195"/>
      </w:r>
      <w:r>
        <w:rPr>
          <w:rFonts w:ascii="Times New Roman" w:hAnsi="Times New Roman"/>
          <w:noProof/>
          <w:sz w:val="24"/>
        </w:rPr>
        <w:t xml:space="preserve"> Šāda procesa neesamību var interpretēt kā vērtspapīrošanas struktūrvienības autonomijas trūkumu, kā rezultātā to klasificē valdības sektorā.</w:t>
      </w:r>
    </w:p>
    <w:p w:rsidR="00523A0A" w:rsidRPr="001973D0" w:rsidRDefault="00523A0A" w:rsidP="00523A0A">
      <w:pPr>
        <w:jc w:val="both"/>
        <w:rPr>
          <w:rFonts w:ascii="Times New Roman" w:eastAsia="Arial" w:hAnsi="Times New Roman" w:cs="Arial"/>
          <w:noProof/>
          <w:sz w:val="24"/>
          <w:szCs w:val="21"/>
        </w:rPr>
      </w:pPr>
    </w:p>
    <w:p w:rsidR="00523A0A" w:rsidRDefault="00523A0A" w:rsidP="00523A0A">
      <w:pPr>
        <w:pStyle w:val="Heading6"/>
        <w:tabs>
          <w:tab w:val="left" w:pos="1936"/>
        </w:tabs>
        <w:jc w:val="both"/>
        <w:rPr>
          <w:rFonts w:ascii="Times New Roman" w:hAnsi="Times New Roman"/>
          <w:noProof/>
          <w:sz w:val="24"/>
        </w:rPr>
      </w:pPr>
      <w:bookmarkStart w:id="397" w:name="V.5.3.2_Recording_as_government_borrowin"/>
      <w:bookmarkEnd w:id="397"/>
      <w:r>
        <w:rPr>
          <w:rFonts w:ascii="Times New Roman" w:hAnsi="Times New Roman"/>
          <w:noProof/>
          <w:sz w:val="24"/>
        </w:rPr>
        <w:t>V.5.3.2.</w:t>
      </w:r>
      <w:r w:rsidR="00764274">
        <w:rPr>
          <w:rFonts w:ascii="Times New Roman" w:hAnsi="Times New Roman"/>
          <w:noProof/>
          <w:sz w:val="24"/>
        </w:rPr>
        <w:t> Valdības aizņēmuma ierakstīšana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Ja vērtspapīrošana neatbilst kritērijiem, kas jā</w:t>
      </w:r>
      <w:r w:rsidR="00764274">
        <w:rPr>
          <w:rFonts w:ascii="Times New Roman" w:hAnsi="Times New Roman"/>
          <w:noProof/>
          <w:sz w:val="24"/>
        </w:rPr>
        <w:t>izpilda, lai to varētu ierakstīt</w:t>
      </w:r>
      <w:r>
        <w:rPr>
          <w:rFonts w:ascii="Times New Roman" w:hAnsi="Times New Roman"/>
          <w:noProof/>
          <w:sz w:val="24"/>
        </w:rPr>
        <w:t xml:space="preserve"> nacionālajos kontos kā aktīvu pārdošanu, valdības iekasētie ieņēmum</w:t>
      </w:r>
      <w:r w:rsidR="00764274">
        <w:rPr>
          <w:rFonts w:ascii="Times New Roman" w:hAnsi="Times New Roman"/>
          <w:noProof/>
          <w:sz w:val="24"/>
        </w:rPr>
        <w:t>i no vērtspapīrošanas jāieraksta</w:t>
      </w:r>
      <w:r>
        <w:rPr>
          <w:rFonts w:ascii="Times New Roman" w:hAnsi="Times New Roman"/>
          <w:noProof/>
          <w:sz w:val="24"/>
        </w:rPr>
        <w:t xml:space="preserve"> kā valdības saistību uzņemšanās, kas ietekmē valdības parādu. Ja vērtspapīrošanas struktūrvienība ir klasificēta valdības sektorā, tās emitētie vērtspapīri (AF.33) ir daļa no valdības parāda. Ja vērtspapīrošanas struktūrvienība nav klasificēta valdības sektorā: vai nu pārdošanas darījums netiek atzīts un vērtspapīri (AF.33), ko vērtspapīrošanas struktūrvienība emitē, nav tieši daļa no valdības parāda, un tā vietā aizdevums no vērtspapīrošanas struktūrvienības tiek piedēvēts valdībai kā daļa no valdības parāda, vai arī tiek atzīta īsta pārdošana un ieraksts valdības parādā netiek veikts. Jo īpaši tas attiecas uz gadījumu, kad vērtspapīrošana tiek īstenota citā valstī, kur šādu darījumu tirgi ir attīstītāki un/vai efektīvāki.</w:t>
      </w:r>
    </w:p>
    <w:p w:rsidR="00523A0A" w:rsidRPr="00D27F19"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Vērtspapirizēto līdzekļu radītās naudas plūsmas (piemēram, ienākumi no ēku iznomāšanas), kuras vispirms saņem valdība un pēc tam nodod vērtspapīrošanas str</w:t>
      </w:r>
      <w:r w:rsidR="00764274">
        <w:rPr>
          <w:rFonts w:ascii="Times New Roman" w:hAnsi="Times New Roman"/>
          <w:noProof/>
          <w:sz w:val="24"/>
        </w:rPr>
        <w:t>uktūrvienībai, turpina ierakstīt</w:t>
      </w:r>
      <w:r>
        <w:rPr>
          <w:rFonts w:ascii="Times New Roman" w:hAnsi="Times New Roman"/>
          <w:noProof/>
          <w:sz w:val="24"/>
        </w:rPr>
        <w:t xml:space="preserve"> valdības kontos tā, it kā vērtspapīrošana nebūtu notikusi, proti, kā ieņēmumus vai finanšu/nefinanšu aktīva realizāciju atbilstoši konkrētajam gadījumam. Valdības maksājumus vērtspapīrošanas struktūrvienībai, ja valdība tur</w:t>
      </w:r>
      <w:r w:rsidR="00764274">
        <w:rPr>
          <w:rFonts w:ascii="Times New Roman" w:hAnsi="Times New Roman"/>
          <w:noProof/>
          <w:sz w:val="24"/>
        </w:rPr>
        <w:t>pina pārvaldīt aktīvus, ieraksta</w:t>
      </w:r>
      <w:r>
        <w:rPr>
          <w:rFonts w:ascii="Times New Roman" w:hAnsi="Times New Roman"/>
          <w:noProof/>
          <w:sz w:val="24"/>
        </w:rPr>
        <w:t xml:space="preserve"> kā valdības aizdevuma saistību apkalpošanu; </w:t>
      </w:r>
      <w:r>
        <w:rPr>
          <w:rFonts w:ascii="Times New Roman" w:hAnsi="Times New Roman"/>
          <w:noProof/>
          <w:sz w:val="24"/>
        </w:rPr>
        <w:lastRenderedPageBreak/>
        <w:t>tās ir nosacītās procentu un aizdevuma atmaksāšanas plūsmas. Jebkādu maksu, ko iekasē vērtspapīrošanas struktūrvienība, lai segtu sa</w:t>
      </w:r>
      <w:r w:rsidR="00764274">
        <w:rPr>
          <w:rFonts w:ascii="Times New Roman" w:hAnsi="Times New Roman"/>
          <w:noProof/>
          <w:sz w:val="24"/>
        </w:rPr>
        <w:t>vus darbības izdevumus, ieraksta</w:t>
      </w:r>
      <w:r>
        <w:rPr>
          <w:rFonts w:ascii="Times New Roman" w:hAnsi="Times New Roman"/>
          <w:noProof/>
          <w:sz w:val="24"/>
        </w:rPr>
        <w:t xml:space="preserve"> kā valdības starppatēriņu. To ievēro arī gadījumā, ja maksu samaksā avansā, samazinot valdības vienībai piešķirtos līdzekļus – šādā gadījumā jāveic aprēķins.</w:t>
      </w:r>
    </w:p>
    <w:p w:rsidR="00523A0A" w:rsidRPr="001973D0" w:rsidRDefault="00523A0A" w:rsidP="00523A0A">
      <w:pPr>
        <w:jc w:val="both"/>
        <w:rPr>
          <w:rFonts w:ascii="Times New Roman" w:eastAsia="Arial" w:hAnsi="Times New Roman" w:cs="Arial"/>
          <w:noProof/>
          <w:sz w:val="24"/>
          <w:szCs w:val="20"/>
        </w:rPr>
      </w:pPr>
    </w:p>
    <w:p w:rsidR="00523A0A" w:rsidRDefault="00764274" w:rsidP="00523A0A">
      <w:pPr>
        <w:pStyle w:val="Heading6"/>
        <w:tabs>
          <w:tab w:val="left" w:pos="1876"/>
        </w:tabs>
        <w:jc w:val="both"/>
        <w:rPr>
          <w:rFonts w:ascii="Times New Roman" w:hAnsi="Times New Roman"/>
          <w:noProof/>
          <w:sz w:val="24"/>
        </w:rPr>
      </w:pPr>
      <w:bookmarkStart w:id="398" w:name="V.5.3.3_Recording_at_the_end_of_the_arra"/>
      <w:bookmarkEnd w:id="398"/>
      <w:r>
        <w:rPr>
          <w:rFonts w:ascii="Times New Roman" w:hAnsi="Times New Roman"/>
          <w:noProof/>
          <w:sz w:val="24"/>
        </w:rPr>
        <w:t>V.5.3.3. Ierakstīšana</w:t>
      </w:r>
      <w:r w:rsidR="00523A0A">
        <w:rPr>
          <w:rFonts w:ascii="Times New Roman" w:hAnsi="Times New Roman"/>
          <w:noProof/>
          <w:sz w:val="24"/>
        </w:rPr>
        <w:t xml:space="preserve"> operācijas beigās</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operācijas beigās maksājumi, kurus valdība ir veikusi vērtspapīrošanas struktūrvienībai, valdībai turpinot aktīvu pārvaldību, pārsniedz valdības saistības,</w:t>
      </w:r>
      <w:r w:rsidR="00764274">
        <w:rPr>
          <w:rFonts w:ascii="Times New Roman" w:hAnsi="Times New Roman"/>
          <w:noProof/>
          <w:sz w:val="24"/>
        </w:rPr>
        <w:t xml:space="preserve"> tad nav iespējams ierakstīt</w:t>
      </w:r>
      <w:r>
        <w:rPr>
          <w:rFonts w:ascii="Times New Roman" w:hAnsi="Times New Roman"/>
          <w:noProof/>
          <w:sz w:val="24"/>
        </w:rPr>
        <w:t xml:space="preserve"> nekādu turpmāku valdības parāda izpirkumu un maksājumus vērtspapīr</w:t>
      </w:r>
      <w:r w:rsidR="00764274">
        <w:rPr>
          <w:rFonts w:ascii="Times New Roman" w:hAnsi="Times New Roman"/>
          <w:noProof/>
          <w:sz w:val="24"/>
        </w:rPr>
        <w:t>ošanas struktūrvienībai ieraksta</w:t>
      </w:r>
      <w:r>
        <w:rPr>
          <w:rFonts w:ascii="Times New Roman" w:hAnsi="Times New Roman"/>
          <w:noProof/>
          <w:sz w:val="24"/>
        </w:rPr>
        <w:t xml:space="preserve"> kā valdības kārtējos pārveduma izdevumus.</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maksājumus vērtspapīrošanas struktūrvienībai pārtrauc pirms valdības saistību dzēšanas, piemēram, tādēļ, ka aktīvi ir iztērēti, atlikušās saistības svītro no valdības bilances nacionālajos kontos, veicot citas apjoma pārmaiņas.</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vērtspapīrošanas operāciju traktē kā valdības aizņēmumu un vērtspapīrošanas struktūrvienība vēlāk pārdod attiecīgos (atzītos) aktīvus ārpus valdības sektora esošai vienībai, pilnīgi nododot īp</w:t>
      </w:r>
      <w:r w:rsidR="00764274">
        <w:rPr>
          <w:rFonts w:ascii="Times New Roman" w:hAnsi="Times New Roman"/>
          <w:noProof/>
          <w:sz w:val="24"/>
        </w:rPr>
        <w:t>ašumtiesības, pārdošanu ieraksta</w:t>
      </w:r>
      <w:r>
        <w:rPr>
          <w:rFonts w:ascii="Times New Roman" w:hAnsi="Times New Roman"/>
          <w:noProof/>
          <w:sz w:val="24"/>
        </w:rPr>
        <w:t xml:space="preserve"> kā vispārējās valdības veiktu aktīvu realizāciju un uzskata, ka vērtspapīrošanas struktūrvienība vienkārši rīkojas kā valdības pārstāve. Šādas operācijas mērķis ir atlikt valdības aktīvu realizāciju/pārdošanu no vērtspapīrošanas brīža līdz brīdim, kad vērtspapīrošanas struktūrvienība veiks reālu </w:t>
      </w:r>
      <w:r w:rsidR="00764274">
        <w:rPr>
          <w:rFonts w:ascii="Times New Roman" w:hAnsi="Times New Roman"/>
          <w:noProof/>
          <w:sz w:val="24"/>
        </w:rPr>
        <w:t>pārdošanu. Pareizs ierakstīšanas</w:t>
      </w:r>
      <w:r>
        <w:rPr>
          <w:rFonts w:ascii="Times New Roman" w:hAnsi="Times New Roman"/>
          <w:noProof/>
          <w:sz w:val="24"/>
        </w:rPr>
        <w:t xml:space="preserve"> laiks ir īpaši svarīgs gadījumā, ja ir iesaistīti nefinanšu aktīvi, ņemot vērā ietekmi, kas pastāv attiecībā uz valdības neto aizdevumu/aizņēmumu (B.9).</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399" w:name="V.5.3.4_Securitisation_by_non-government"/>
      <w:bookmarkEnd w:id="399"/>
      <w:r>
        <w:rPr>
          <w:rFonts w:ascii="Times New Roman" w:hAnsi="Times New Roman"/>
          <w:noProof/>
          <w:sz w:val="24"/>
        </w:rPr>
        <w:t>V.5.3.4. No valdības saņemtu ieņēmumu vērtspapīrošana, ko veic valdības sektoram nepiederošas vienības</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gadījumos valdības sektoram nepiederoša vienība pārvērš no valdības saņemtus regulārus ieņēmumus vērtspapīros tikai savām vajadzībām.</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Šādā gadījumā ir jāizpēta valdības līgumsaistības, lai pārbaudītu, vai, ievērojot darījuma būtību, valdībai ir radies jauns pienākums piešķirt pietiekamus finanšu līdzekļus, lai finansētu valdības sektoram nepiederošas vienības aizņēmumu.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valdības sektoram nepiederošas vienības veiktā vērtspapīrošana neietekmē valdības līgumsaistības veikt turpmākus maksājumus, vērtspapīrošanas rezultātā nevajadzētu rasties nekādai ietekmei uz valdības sektora kontiem.</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Ja tomēr tiek radītas jauna</w:t>
      </w:r>
      <w:r w:rsidR="00764274">
        <w:rPr>
          <w:rFonts w:ascii="Times New Roman" w:hAnsi="Times New Roman"/>
          <w:noProof/>
          <w:sz w:val="24"/>
        </w:rPr>
        <w:t>s valdības saistības, jāieraksta</w:t>
      </w:r>
      <w:r>
        <w:rPr>
          <w:rFonts w:ascii="Times New Roman" w:hAnsi="Times New Roman"/>
          <w:noProof/>
          <w:sz w:val="24"/>
        </w:rPr>
        <w:t xml:space="preserve"> valdības kapitāla pārvedums valdības sektoram nepiederošai vienībai, kas līdzvērtīgs visu apsolīto turpmāko maksājumu pašreizējai neto vērtībai, kā arī aizdevums tādā pašā apmērā no valdības sektoram nepiederošās vienības. Turpmā</w:t>
      </w:r>
      <w:r w:rsidR="00764274">
        <w:rPr>
          <w:rFonts w:ascii="Times New Roman" w:hAnsi="Times New Roman"/>
          <w:noProof/>
          <w:sz w:val="24"/>
        </w:rPr>
        <w:t>kos valdības maksājumus ieraksta</w:t>
      </w:r>
      <w:r>
        <w:rPr>
          <w:rFonts w:ascii="Times New Roman" w:hAnsi="Times New Roman"/>
          <w:noProof/>
          <w:sz w:val="24"/>
        </w:rPr>
        <w:t xml:space="preserve"> kā procentu maksājumus un aizdevuma atmaksu.</w:t>
      </w:r>
    </w:p>
    <w:p w:rsidR="00523A0A" w:rsidRDefault="00523A0A" w:rsidP="00523A0A">
      <w:pPr>
        <w:rPr>
          <w:rFonts w:ascii="Times New Roman" w:eastAsia="Arial" w:hAnsi="Times New Roman" w:cs="Arial"/>
          <w:noProof/>
          <w:sz w:val="24"/>
          <w:szCs w:val="19"/>
        </w:rPr>
      </w:pPr>
      <w:r>
        <w:br w:type="page"/>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bookmarkStart w:id="400" w:name="V.5.4_Rationale_of_the_treatment"/>
      <w:bookmarkEnd w:id="400"/>
      <w:r>
        <w:rPr>
          <w:rFonts w:ascii="Times New Roman" w:hAnsi="Times New Roman"/>
          <w:noProof/>
          <w:u w:val="none"/>
        </w:rPr>
        <w:lastRenderedPageBreak/>
        <w:t>V.5.4. </w:t>
      </w:r>
      <w:r>
        <w:rPr>
          <w:rFonts w:ascii="Times New Roman" w:hAnsi="Times New Roman"/>
          <w:noProof/>
          <w:u w:val="thick" w:color="000000"/>
        </w:rPr>
        <w:t>Traktējuma pamatojums</w:t>
      </w:r>
    </w:p>
    <w:p w:rsidR="00523A0A" w:rsidRPr="001973D0" w:rsidRDefault="00523A0A" w:rsidP="00523A0A">
      <w:pPr>
        <w:jc w:val="both"/>
        <w:rPr>
          <w:rFonts w:ascii="Times New Roman" w:eastAsia="Arial" w:hAnsi="Times New Roman" w:cs="Arial"/>
          <w:b/>
          <w:bCs/>
          <w:noProof/>
          <w:sz w:val="24"/>
          <w:szCs w:val="14"/>
        </w:rPr>
      </w:pPr>
    </w:p>
    <w:p w:rsidR="00523A0A" w:rsidRDefault="00523A0A" w:rsidP="00523A0A">
      <w:pPr>
        <w:pStyle w:val="Heading6"/>
        <w:tabs>
          <w:tab w:val="left" w:pos="1936"/>
        </w:tabs>
        <w:jc w:val="both"/>
        <w:rPr>
          <w:rFonts w:ascii="Times New Roman" w:hAnsi="Times New Roman"/>
          <w:noProof/>
          <w:sz w:val="24"/>
        </w:rPr>
      </w:pPr>
      <w:bookmarkStart w:id="401" w:name="V.5.4.1_Recognising_a_transferable_asset"/>
      <w:bookmarkEnd w:id="401"/>
      <w:r>
        <w:rPr>
          <w:rFonts w:ascii="Times New Roman" w:hAnsi="Times New Roman"/>
          <w:noProof/>
          <w:sz w:val="24"/>
        </w:rPr>
        <w:t>V.5.4.1. Nododamu aktīvu atzīšana nacionālajos kontos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Aktīvi nerada pārvedumus, t. i., neatlīdzināmus sadales darījumus. Piemēram, valdību spēja palielināt nodokļus neveido nacionālajos kontos atzītu aktīvu. Paredzamos turpmākos ieņēmumus no starptautiskajiem pārvedumiem, loterijas biļetēm, licenču maksām vai soda naudām neklasificē kā aktīvus. Šo pārvedumu nākotnes plūsma neatbilst EKS 2010 7.15. punktā noteiktajai aktīvu defi</w:t>
      </w:r>
      <w:r w:rsidR="00764274">
        <w:rPr>
          <w:rFonts w:ascii="Times New Roman" w:hAnsi="Times New Roman"/>
          <w:noProof/>
          <w:sz w:val="24"/>
        </w:rPr>
        <w:t>nīcijai. Nav iespējams ierakstīt</w:t>
      </w:r>
      <w:r>
        <w:rPr>
          <w:rFonts w:ascii="Times New Roman" w:hAnsi="Times New Roman"/>
          <w:noProof/>
          <w:sz w:val="24"/>
        </w:rPr>
        <w:t xml:space="preserve"> darījumu ar aktīviem, ja attiecīgais aktīvs sākotnēji nepastāv nacionālo kontu bilancē. Tāpēc, ņemot vērā, ka aktīvi nav atzīti nacionālajos kontos, saistībā ar šādu līdzek</w:t>
      </w:r>
      <w:r w:rsidR="00764274">
        <w:rPr>
          <w:rFonts w:ascii="Times New Roman" w:hAnsi="Times New Roman"/>
          <w:noProof/>
          <w:sz w:val="24"/>
        </w:rPr>
        <w:t>ļu vērtspapīrošanu var ierakstīt</w:t>
      </w:r>
      <w:r>
        <w:rPr>
          <w:rFonts w:ascii="Times New Roman" w:hAnsi="Times New Roman"/>
          <w:noProof/>
          <w:sz w:val="24"/>
        </w:rPr>
        <w:t xml:space="preserve"> tikai valdības aizņēmumu.</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Saskaņā ar EKS 2010 aktīvus neveido arī ienākumu no aktīviem nākotnes plūsmas</w:t>
      </w:r>
      <w:r w:rsidR="00764274">
        <w:rPr>
          <w:rFonts w:ascii="Times New Roman" w:hAnsi="Times New Roman"/>
          <w:noProof/>
          <w:sz w:val="24"/>
        </w:rPr>
        <w:t>, kuras pēc uzkrāšanās ierakstīs</w:t>
      </w:r>
      <w:r>
        <w:rPr>
          <w:rFonts w:ascii="Times New Roman" w:hAnsi="Times New Roman"/>
          <w:noProof/>
          <w:sz w:val="24"/>
        </w:rPr>
        <w:t xml:space="preserve"> pozīcijā P.1 un D.4. Šādu plūsmu vērtspapīrošanu nac</w:t>
      </w:r>
      <w:r w:rsidR="00764274">
        <w:rPr>
          <w:rFonts w:ascii="Times New Roman" w:hAnsi="Times New Roman"/>
          <w:noProof/>
          <w:sz w:val="24"/>
        </w:rPr>
        <w:t>ionālajos kontos nevar ierakstīt</w:t>
      </w:r>
      <w:r>
        <w:rPr>
          <w:rFonts w:ascii="Times New Roman" w:hAnsi="Times New Roman"/>
          <w:noProof/>
          <w:sz w:val="24"/>
        </w:rPr>
        <w:t xml:space="preserve"> kā aktīvu pārdošanu, ja vien netiek uzskatīts, ka ir nodotas īpašumtiesības uz attiecīgajiem aktīviem.</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Pārdošana nevar attiekties arī uz vairākiem turpmākajiem aktīva izmantošanas periodiem, piemēram, uz vairākām īpašuma ienākuma nākotnes plūsmām, kuras tiks gūtas no finanšu aktīviem, vai vairākām nomas maksas/rentes nākotnes plūsmām, kuras nodrošinās nefinanšu aktīvu izmantošana, ja vien attiecīgie aktīvi nav pilnīgi pārdoti.</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402" w:name="V.5.4.2_The_case_of_fiscal_claims"/>
      <w:bookmarkEnd w:id="402"/>
      <w:r>
        <w:rPr>
          <w:rFonts w:ascii="Times New Roman" w:hAnsi="Times New Roman"/>
          <w:noProof/>
          <w:sz w:val="24"/>
        </w:rPr>
        <w:t>V.5.4.2. Fiskālo prasījumu gadījums</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Nodokļus var noteikt, pamatojoties vienīgi uz valdību tiesībām piemērot nodokļus, un tos var iekasēt tikai valdība vai starptautiskas organizācijas</w:t>
      </w:r>
      <w:r w:rsidR="00764274">
        <w:rPr>
          <w:rFonts w:ascii="Times New Roman" w:hAnsi="Times New Roman"/>
          <w:noProof/>
          <w:sz w:val="24"/>
        </w:rPr>
        <w:t>. Konkrēti nodokļu ierakstīšanas</w:t>
      </w:r>
      <w:r>
        <w:rPr>
          <w:rFonts w:ascii="Times New Roman" w:hAnsi="Times New Roman"/>
          <w:noProof/>
          <w:sz w:val="24"/>
        </w:rPr>
        <w:t xml:space="preserve"> noteikumi ir noteikti EKS 2010 4.26.–4.29., 4.82. punktā un EKS 2010 20.174. punktā, kā arī II.2. nodaļā “Nodokļu</w:t>
      </w:r>
      <w:r w:rsidR="00764274">
        <w:rPr>
          <w:rFonts w:ascii="Times New Roman" w:hAnsi="Times New Roman"/>
          <w:noProof/>
          <w:sz w:val="24"/>
        </w:rPr>
        <w:t xml:space="preserve"> un sociālo iemaksu ierakstīšana</w:t>
      </w:r>
      <w:r>
        <w:rPr>
          <w:rFonts w:ascii="Times New Roman" w:hAnsi="Times New Roman"/>
          <w:noProof/>
          <w:sz w:val="24"/>
        </w:rPr>
        <w:t>”. Ir jānošķir nākotnes nodokļu vērtspapīrošana no iekasējamo nodokļu (fiskālo prasījumu) vērtspapīrošanas.</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Tādu nodokļu vērtspapīrošana, kas uzkrāsies nākotnē no gaidāmajiem ienākumiem vai nākotnes notikumiem, nerada pamatu aktīva realizācijai, jo nacionālajos kontos nepastāv neviens aktīvs. Tāpēc tos uzskata par aizņēmumu. Vērtspapirizētos nodokļus, kas uzkrāsies nākotnē, nacionālo kontu sistēmā attiecina uz vispārējo valdību neatkarīgi no tā, kādi ir konkrētie iekasēšanas pasākumi saskaņā ar vērtspapīrošanas nosacījumiem.</w:t>
      </w:r>
    </w:p>
    <w:p w:rsidR="00523A0A" w:rsidRPr="00D27F19"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Fiskālie prasījumi, kas atspoguļo iepriekš uzkrātos, bet vēl nenomaksātos nodokļus, jo vēl nav iestājies to maksājuma termiņš vai arī tos maksā pa daļām, ir finanšu aktīvi, un </w:t>
      </w:r>
      <w:r w:rsidR="00764274">
        <w:rPr>
          <w:rFonts w:ascii="Times New Roman" w:hAnsi="Times New Roman"/>
          <w:noProof/>
          <w:sz w:val="24"/>
        </w:rPr>
        <w:t>nacionālajos kontos tos ieraksta</w:t>
      </w:r>
      <w:r>
        <w:rPr>
          <w:rFonts w:ascii="Times New Roman" w:hAnsi="Times New Roman"/>
          <w:noProof/>
          <w:sz w:val="24"/>
        </w:rPr>
        <w:t xml:space="preserve"> pozīcijā AF.8. Tomēr tos nevar nodot vienībām, kas neiekasē nodokļus, jo saskaņā ar EKS 2010 noteikumiem nodokļus var iekasēt tikai vispārējā valdība, Eiropas Savienības iestādes vai pārējā pasaule (EKS 2010 4.14. un 4.77. punkts). Saskaņā ar EKS 2010 sociālās iemaksas var uzskatīt par jebkura sektora resursu. Tomēr, ņemot vērā nodokļu un sociālo iemaksu līdzību, attiecībā uz visu fiskālo prasījumu vērtspapīrošanu piemēro vien</w:t>
      </w:r>
      <w:r w:rsidR="00764274">
        <w:rPr>
          <w:rFonts w:ascii="Times New Roman" w:hAnsi="Times New Roman"/>
          <w:noProof/>
          <w:sz w:val="24"/>
        </w:rPr>
        <w:t>u un to pašu noteikumu (ieraksta</w:t>
      </w:r>
      <w:r>
        <w:rPr>
          <w:rFonts w:ascii="Times New Roman" w:hAnsi="Times New Roman"/>
          <w:noProof/>
          <w:sz w:val="24"/>
        </w:rPr>
        <w:t xml:space="preserve"> kā aizņēmumu) neatkarīgi no tā, vai tie ir iekasējamie nodokļi vai iekasējamas sociālās iemaksas, kuras iekasē valdība, privātas vienības vai valdības sektoram nepiederošas vienības (vismaz attiecībā uz obligātajām sociālajām iemaksām).</w:t>
      </w:r>
    </w:p>
    <w:p w:rsidR="00523A0A" w:rsidRPr="001973D0" w:rsidRDefault="00523A0A" w:rsidP="00523A0A">
      <w:pPr>
        <w:jc w:val="both"/>
        <w:rPr>
          <w:rFonts w:ascii="Times New Roman" w:eastAsia="Arial" w:hAnsi="Times New Roman" w:cs="Arial"/>
          <w:noProof/>
          <w:sz w:val="24"/>
          <w:szCs w:val="19"/>
        </w:rPr>
      </w:pPr>
    </w:p>
    <w:p w:rsidR="00523A0A" w:rsidRDefault="00523A0A" w:rsidP="00523A0A">
      <w:pPr>
        <w:pStyle w:val="Heading6"/>
        <w:tabs>
          <w:tab w:val="left" w:pos="1876"/>
        </w:tabs>
        <w:jc w:val="both"/>
        <w:rPr>
          <w:rFonts w:ascii="Times New Roman" w:hAnsi="Times New Roman"/>
          <w:noProof/>
          <w:sz w:val="24"/>
        </w:rPr>
      </w:pPr>
      <w:bookmarkStart w:id="403" w:name="V.5.4.3_Transfer_of_risks_and_rewards"/>
      <w:bookmarkEnd w:id="403"/>
      <w:r>
        <w:rPr>
          <w:rFonts w:ascii="Times New Roman" w:hAnsi="Times New Roman"/>
          <w:noProof/>
          <w:sz w:val="24"/>
        </w:rPr>
        <w:t>V.5.4.3. Risku un priekšrocību nodošana</w:t>
      </w:r>
    </w:p>
    <w:p w:rsidR="00523A0A" w:rsidRPr="001973D0" w:rsidRDefault="00523A0A" w:rsidP="00523A0A">
      <w:pPr>
        <w:pStyle w:val="Heading6"/>
        <w:tabs>
          <w:tab w:val="left" w:pos="1876"/>
        </w:tabs>
        <w:jc w:val="both"/>
        <w:rPr>
          <w:rFonts w:ascii="Times New Roman" w:hAnsi="Times New Roman"/>
          <w:noProof/>
          <w:sz w:val="24"/>
        </w:rPr>
      </w:pPr>
    </w:p>
    <w:p w:rsidR="00523A0A" w:rsidRPr="00D27F19"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Viens nosacījums, saskaņā ar kuru vērtspapīroš</w:t>
      </w:r>
      <w:r w:rsidR="00764274">
        <w:rPr>
          <w:rFonts w:ascii="Times New Roman" w:hAnsi="Times New Roman"/>
          <w:noProof/>
          <w:sz w:val="24"/>
        </w:rPr>
        <w:t>anu nacionālajos kontos ieraksta</w:t>
      </w:r>
      <w:r>
        <w:rPr>
          <w:rFonts w:ascii="Times New Roman" w:hAnsi="Times New Roman"/>
          <w:noProof/>
          <w:sz w:val="24"/>
        </w:rPr>
        <w:t xml:space="preserve"> kā pārdošanu, ir ar aktīvu saistīto risku un priekšrocību nodošana vērtspapīrošanas </w:t>
      </w:r>
      <w:r>
        <w:rPr>
          <w:rFonts w:ascii="Times New Roman" w:hAnsi="Times New Roman"/>
          <w:noProof/>
          <w:sz w:val="24"/>
        </w:rPr>
        <w:lastRenderedPageBreak/>
        <w:t xml:space="preserve">struktūrvienībai. Saskaņā ar EKS 2010 7.10. punktu “ekonomiskie aktīvi ir vērtības uzkrājēji, kas parāda labumus, kas uzkrājas ekonomiskajam īpašniekam, kurš uz laiku tur vai izmanto aktīvu”. Turklāt EKS 2010 noteikumi par finanšu nomu, kas atbilst situācijai, kurā “iznomātājs ir nodevis visus īpašuma tiesību riskus un priekšrocības nomniekam </w:t>
      </w:r>
      <w:r>
        <w:rPr>
          <w:rFonts w:ascii="Times New Roman" w:hAnsi="Times New Roman"/>
          <w:i/>
          <w:noProof/>
          <w:sz w:val="24"/>
        </w:rPr>
        <w:t>de facto</w:t>
      </w:r>
      <w:r>
        <w:rPr>
          <w:rFonts w:ascii="Times New Roman" w:hAnsi="Times New Roman"/>
          <w:noProof/>
          <w:sz w:val="24"/>
        </w:rPr>
        <w:t xml:space="preserve">, nevis </w:t>
      </w:r>
      <w:r>
        <w:rPr>
          <w:rFonts w:ascii="Times New Roman" w:hAnsi="Times New Roman"/>
          <w:i/>
          <w:noProof/>
          <w:sz w:val="24"/>
        </w:rPr>
        <w:t>de jure</w:t>
      </w:r>
      <w:r>
        <w:rPr>
          <w:rFonts w:ascii="Times New Roman" w:hAnsi="Times New Roman"/>
          <w:noProof/>
          <w:sz w:val="24"/>
        </w:rPr>
        <w:t>” (sk. EKS 2010 15. nodaļu “Līgumi, nomas līgumi un licences”), liecina par to, ka ekonomiskās īpašumtiesības nosaka, pamatojoties uz īpašumtiesību risku un priekšrocību nodošanu.</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Īpašumtiesības nacionālajos kontos drīzāk nosaka, pamatojoties uz ekonomisko realitāti, nevis uz juridiskajiem nosacījumiem. Lielākā daļa garantiju, aizstāšanas klauzulu, pēdējo daļu vai DPP nosacījumu liecina par to, ka ar aktīvu saistītie riski un priekšrocības nav n</w:t>
      </w:r>
      <w:r w:rsidR="000017F1">
        <w:rPr>
          <w:rFonts w:ascii="Times New Roman" w:hAnsi="Times New Roman"/>
          <w:noProof/>
          <w:sz w:val="24"/>
        </w:rPr>
        <w:t>odotas. Šādos gadījumos ieraksta</w:t>
      </w:r>
      <w:r>
        <w:rPr>
          <w:rFonts w:ascii="Times New Roman" w:hAnsi="Times New Roman"/>
          <w:noProof/>
          <w:sz w:val="24"/>
        </w:rPr>
        <w:t xml:space="preserve"> valdības aizņēmumu. Turklāt jebkādus valdības noteiktus ierobežojumus vērtspapīrošanas struktūrvienības tiesībām vēlāk pārdot aktīvus trešajai pusei uzskata par apliecinājumu tam, ka nav notikusi pārdošana, jo šādā gadījumā valdība gūtu no aktīva iespējamās priekšrocības.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404" w:name="V.5.4.4_Risks_and_rewards_associated_wit"/>
      <w:bookmarkEnd w:id="404"/>
      <w:r>
        <w:rPr>
          <w:rFonts w:ascii="Times New Roman" w:hAnsi="Times New Roman"/>
          <w:noProof/>
          <w:sz w:val="24"/>
        </w:rPr>
        <w:t>V.5.4.4. Ar finanšu aktīviem saistītie riski un priekšrocības</w:t>
      </w:r>
    </w:p>
    <w:p w:rsidR="00523A0A" w:rsidRPr="001973D0" w:rsidRDefault="00523A0A" w:rsidP="00523A0A">
      <w:pPr>
        <w:pStyle w:val="Heading6"/>
        <w:tabs>
          <w:tab w:val="left" w:pos="1876"/>
        </w:tabs>
        <w:jc w:val="both"/>
        <w:rPr>
          <w:rFonts w:ascii="Times New Roman" w:hAnsi="Times New Roman"/>
          <w:noProof/>
          <w:sz w:val="24"/>
        </w:rPr>
      </w:pP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Ekonomiskie labumi, kurus var gūt no finanšu aktīviem, ir īpašuma ienākumi, kurus gūst no to turēšanas, un turēšanas guvumi, kuri uzkrājas par šādiem aktīviem un kurus var realizēt, kad aktīvi tiek pārdoti. Attiecīgi ir iespējami arī turēšanas zaudējumi un tādējādi arī daļa no riskiem, kas saistīti ar īpašumtiesībām.</w:t>
      </w:r>
    </w:p>
    <w:p w:rsidR="00523A0A" w:rsidRPr="001973D0"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Saistībā ar vērtspapīrošanu vissvarīgākais ar finanšu aktīviem saistītais risks parasti ir kredītrisks. Kredītrisks attiecas uz iespējamu pienākošos maksājumu neveikšanu, saistībā ar ko var nošķirt procentu maksājumus un pamatsummas atmaksu. Finanšu aktīva ekonomiskā īpašniece ir vienība, kas reāli uzņemas ar konkrētajiem aktīviem saistīto kredītrisku. Ekonomiskā īpašniece pēc tam var iegādāties apdrošināšanu vai atvasinātos finanšu instrumentus, lai mazinātu risku, taču tas nemaina īpašumtiesības.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405" w:name="V.5.4.5_Risks_and_rewards_associated_wit"/>
      <w:bookmarkEnd w:id="405"/>
      <w:r>
        <w:rPr>
          <w:rFonts w:ascii="Times New Roman" w:hAnsi="Times New Roman"/>
          <w:noProof/>
          <w:sz w:val="24"/>
        </w:rPr>
        <w:t>V.5.4.5. Ar nefinanšu aktīviem saistītie riski un priekšrocības</w:t>
      </w:r>
    </w:p>
    <w:p w:rsidR="00523A0A" w:rsidRPr="001973D0" w:rsidRDefault="00523A0A" w:rsidP="00523A0A">
      <w:pPr>
        <w:pStyle w:val="Heading6"/>
        <w:tabs>
          <w:tab w:val="left" w:pos="1876"/>
        </w:tabs>
        <w:jc w:val="both"/>
        <w:rPr>
          <w:rFonts w:ascii="Times New Roman" w:hAnsi="Times New Roman"/>
          <w:noProof/>
          <w:sz w:val="24"/>
        </w:rPr>
      </w:pPr>
    </w:p>
    <w:p w:rsidR="00523A0A"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Ar nefinanšu aktīviem saistītās priekšrocības ir darbības pārpalikumi, kas uzkrājas no pamatlīdzekļu izmantošanas, un neto rentes, kuras gūst no neražotu aktīvu nomas. Turklāt nefinanšu aktīvi var radīt turēšanas guvumus un zaudējumus, kas ir svarīga iezīme, ja tos iegādājas tālākpārdošanai. Īpašnieks uzņemas izmaksas, lai izvairītos no sliktiem aktīvu izmantošanas rezultātiem un nodrošinātu ienākumus, apņemoties uzturēt aktīvus vai iegādājoties apdrošināšanu, lai aktīvu neparedzētas pasliktināšanās, izlietošanas vai iznīcināšanas gadījumā varētu saņemt kompensāciju. Īpašumtiesību pazīmes ietver spēju lemt par:</w:t>
      </w:r>
    </w:p>
    <w:p w:rsidR="00523A0A" w:rsidRPr="001973D0" w:rsidRDefault="00523A0A" w:rsidP="00523A0A">
      <w:pPr>
        <w:pStyle w:val="BodyText"/>
        <w:tabs>
          <w:tab w:val="left" w:pos="1102"/>
        </w:tabs>
        <w:spacing w:before="0"/>
        <w:ind w:left="0" w:firstLine="0"/>
        <w:rPr>
          <w:rFonts w:ascii="Times New Roman" w:hAnsi="Times New Roman"/>
          <w:noProof/>
          <w:sz w:val="24"/>
        </w:rPr>
      </w:pPr>
    </w:p>
    <w:p w:rsidR="00523A0A" w:rsidRPr="001973D0"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nomas maksas/rentes lielumu;</w:t>
      </w:r>
    </w:p>
    <w:p w:rsidR="00523A0A" w:rsidRPr="001973D0" w:rsidRDefault="00523A0A" w:rsidP="00523A0A">
      <w:pPr>
        <w:pStyle w:val="BodyText"/>
        <w:numPr>
          <w:ilvl w:val="1"/>
          <w:numId w:val="41"/>
        </w:numPr>
        <w:tabs>
          <w:tab w:val="left" w:pos="1462"/>
        </w:tabs>
        <w:spacing w:before="0"/>
        <w:ind w:left="1134" w:hanging="425"/>
        <w:jc w:val="both"/>
        <w:rPr>
          <w:rFonts w:ascii="Times New Roman" w:hAnsi="Times New Roman"/>
          <w:noProof/>
          <w:sz w:val="24"/>
        </w:rPr>
      </w:pPr>
      <w:r>
        <w:rPr>
          <w:rFonts w:ascii="Times New Roman" w:hAnsi="Times New Roman"/>
          <w:noProof/>
          <w:sz w:val="24"/>
        </w:rPr>
        <w:t>aktīvu pārdošanas laiku.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876"/>
        </w:tabs>
        <w:jc w:val="both"/>
        <w:rPr>
          <w:rFonts w:ascii="Times New Roman" w:hAnsi="Times New Roman"/>
          <w:noProof/>
          <w:sz w:val="24"/>
        </w:rPr>
      </w:pPr>
      <w:bookmarkStart w:id="406" w:name="V.5.4.6_Classification_of_the_securitisa"/>
      <w:bookmarkEnd w:id="406"/>
      <w:r>
        <w:rPr>
          <w:rFonts w:ascii="Times New Roman" w:hAnsi="Times New Roman"/>
          <w:noProof/>
          <w:sz w:val="24"/>
        </w:rPr>
        <w:t>V.5.4.6. Vērtspapīrošanas struktūrvienības klasifikācija</w:t>
      </w:r>
    </w:p>
    <w:p w:rsidR="00523A0A" w:rsidRPr="001973D0" w:rsidRDefault="00523A0A" w:rsidP="00523A0A">
      <w:pPr>
        <w:pStyle w:val="Heading6"/>
        <w:tabs>
          <w:tab w:val="left" w:pos="1876"/>
        </w:tabs>
        <w:jc w:val="both"/>
        <w:rPr>
          <w:rFonts w:ascii="Times New Roman" w:hAnsi="Times New Roman"/>
          <w:noProof/>
          <w:sz w:val="24"/>
        </w:rPr>
      </w:pPr>
    </w:p>
    <w:p w:rsidR="00523A0A" w:rsidRPr="00D27F19" w:rsidRDefault="00523A0A" w:rsidP="00523A0A">
      <w:pPr>
        <w:pStyle w:val="BodyText"/>
        <w:numPr>
          <w:ilvl w:val="0"/>
          <w:numId w:val="41"/>
        </w:numPr>
        <w:tabs>
          <w:tab w:val="left" w:pos="1102"/>
        </w:tabs>
        <w:spacing w:before="0"/>
        <w:ind w:left="709" w:hanging="709"/>
        <w:jc w:val="both"/>
        <w:rPr>
          <w:rFonts w:ascii="Times New Roman" w:hAnsi="Times New Roman"/>
          <w:noProof/>
          <w:sz w:val="24"/>
        </w:rPr>
      </w:pPr>
      <w:r>
        <w:rPr>
          <w:rFonts w:ascii="Times New Roman" w:hAnsi="Times New Roman"/>
          <w:noProof/>
          <w:sz w:val="24"/>
        </w:rPr>
        <w:t>Attiecībā uz vērtspapīrošanas struktūrvienības sektora klasifikāciju gadījumā, ja tā ir ĪNDS, EKS 2010 2.90. punkta f) apakšpunkts nosaka, ka tā jāklasificē kā citi finanšu starpnieki (S.125). “Tā pamatā ir pieņēmums, ka šādas “sabiedrības” ir institucionālas vienības, kuras nodarbojas ar finanšu starpniecību (vai veic citas palīgdarbības).”</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Lai sabiedrību varētu uzskatīt par atsevišķu institucionālu vienību, ir jābūt izpildītiem EKS 2010 2.12. punktā minētajiem kritērijiem. Lai ĪNDS varētu klasificēt S.125 sektorā, tai ir jābūt lēmumu pieņemšanas autonomijai attiecībā uz tās emitēto </w:t>
      </w:r>
      <w:r>
        <w:rPr>
          <w:rFonts w:ascii="Times New Roman" w:hAnsi="Times New Roman"/>
          <w:noProof/>
          <w:sz w:val="24"/>
        </w:rPr>
        <w:lastRenderedPageBreak/>
        <w:t>parāda vērtspapīru pārvaldību. Par to liecina vērtspapīru emisijas biežums, parāda pārvaldība, atmaksas stratēģija u. c. Ir jābūt skaidri zināmam, ka ĪNDS nerīkojas valdības vārdā. Tai nepieciešama arī pilnīga autonomija attiecībā uz tās aktīvu pārvaldību un realizāciju. Pretē</w:t>
      </w:r>
      <w:r w:rsidR="000017F1">
        <w:rPr>
          <w:rFonts w:ascii="Times New Roman" w:hAnsi="Times New Roman"/>
          <w:noProof/>
          <w:sz w:val="24"/>
        </w:rPr>
        <w:t>jā gadījumā ĪNDS nevar ierakstīt</w:t>
      </w:r>
      <w:r>
        <w:rPr>
          <w:rFonts w:ascii="Times New Roman" w:hAnsi="Times New Roman"/>
          <w:noProof/>
          <w:sz w:val="24"/>
        </w:rPr>
        <w:t xml:space="preserve"> kā atsevišķu institucionālo vienību.</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Attiecībā uz institucionālās vienības atzīšanu par finanšu starpnieku EKS 2010 2.57. punktā noteikts, ka “finanšu starpnieks ne tikai darbojas kā citu institucionālo vienību aģents, bet arī pakļauj sevi riskam, savā vārdā pērkot finanšu aktīvus un uzņemoties saistības”.</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Attiecībā uz tādu jaunu finanšu aktīvu klasifikāciju, kuri izriet no vērtspapīrošanas, EKS 2010 5.104. punktā noteikts, ka vērtspapīrus, kas emitēti saistībā ar vērtspapīrošanu, klasificē kā parāda vērtspapīrus (AF.3).</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6"/>
        <w:tabs>
          <w:tab w:val="left" w:pos="1936"/>
        </w:tabs>
        <w:jc w:val="both"/>
        <w:rPr>
          <w:rFonts w:ascii="Times New Roman" w:hAnsi="Times New Roman"/>
          <w:noProof/>
          <w:sz w:val="24"/>
        </w:rPr>
      </w:pPr>
      <w:bookmarkStart w:id="407" w:name="V.5.4.7_Securitisation_by_non-government"/>
      <w:bookmarkEnd w:id="407"/>
      <w:r>
        <w:rPr>
          <w:rFonts w:ascii="Times New Roman" w:hAnsi="Times New Roman"/>
          <w:noProof/>
          <w:sz w:val="24"/>
        </w:rPr>
        <w:t>V.5.4.7. No valdības saņemtu ieņēmumu vērtspapīrošana, ko veic valdības sektoram nepiederoša vienība</w:t>
      </w:r>
    </w:p>
    <w:p w:rsidR="00523A0A" w:rsidRPr="001973D0" w:rsidRDefault="00523A0A" w:rsidP="00523A0A">
      <w:pPr>
        <w:pStyle w:val="Heading6"/>
        <w:tabs>
          <w:tab w:val="left" w:pos="1936"/>
        </w:tabs>
        <w:jc w:val="both"/>
        <w:rPr>
          <w:rFonts w:ascii="Times New Roman" w:hAnsi="Times New Roman"/>
          <w:noProof/>
          <w:sz w:val="24"/>
        </w:rPr>
      </w:pP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Dažos gadījumos valdības sektoram nepiederoša vienība pārvērš no valdības saņemtus ieņēmumus vērtspapīros savām vajadzībām. Lai gan sākotnēji var šķist, ka šādām vienpusējām darbībām nav ietekmes uz valdības sektora kontiem, operācija tomēr ir jāpārbauda, lai precīzi noskaidrotu valdības līgumsaistības. Ir jāpārbauda, vai līgumā, ar kuru ir apsolīti turpmākie maksājumi, valdībai ir paredzētas saistības izmaksāt pietiekamu naudas summu, lai apkalpotu tādas valdības sektoram nepiederošas vienības parādu, kura saņem šādus maksājumus.</w:t>
      </w:r>
    </w:p>
    <w:p w:rsidR="00523A0A" w:rsidRPr="001973D0" w:rsidRDefault="00523A0A" w:rsidP="00523A0A">
      <w:pPr>
        <w:pStyle w:val="BodyText"/>
        <w:numPr>
          <w:ilvl w:val="0"/>
          <w:numId w:val="41"/>
        </w:numPr>
        <w:tabs>
          <w:tab w:val="left" w:pos="1162"/>
        </w:tabs>
        <w:spacing w:before="0"/>
        <w:ind w:left="709" w:hanging="709"/>
        <w:jc w:val="both"/>
        <w:rPr>
          <w:rFonts w:ascii="Times New Roman" w:hAnsi="Times New Roman"/>
          <w:noProof/>
          <w:sz w:val="24"/>
        </w:rPr>
      </w:pPr>
      <w:r>
        <w:rPr>
          <w:rFonts w:ascii="Times New Roman" w:hAnsi="Times New Roman"/>
          <w:noProof/>
          <w:sz w:val="24"/>
        </w:rPr>
        <w:t>Ja valdība nepārprotami ir uzņēmusies saistības izmaksāt pietiekamu naudas summu parāda apkalpošanas vai citu valdības sektoram nepiederošas vienības saistību segšanai, operāciju klasificē kā valdības aizņēmum</w:t>
      </w:r>
      <w:r w:rsidR="000017F1">
        <w:rPr>
          <w:rFonts w:ascii="Times New Roman" w:hAnsi="Times New Roman"/>
          <w:noProof/>
          <w:sz w:val="24"/>
        </w:rPr>
        <w:t>u. Valdības aizņēmumu neieraksta</w:t>
      </w:r>
      <w:r>
        <w:rPr>
          <w:rFonts w:ascii="Times New Roman" w:hAnsi="Times New Roman"/>
          <w:noProof/>
          <w:sz w:val="24"/>
        </w:rPr>
        <w:t>, ja valdības pienākumi ir atkarīgi no valdības sektoram nepiederošas vienības darbības rezultātiem, ko tā uzrāda, tiecoties sasniegt valdības politikas mērķus.</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512"/>
        </w:tabs>
        <w:ind w:left="0" w:firstLine="0"/>
        <w:jc w:val="both"/>
        <w:rPr>
          <w:rFonts w:ascii="Times New Roman" w:hAnsi="Times New Roman"/>
          <w:noProof/>
          <w:u w:val="thick" w:color="000000"/>
        </w:rPr>
      </w:pPr>
      <w:bookmarkStart w:id="408" w:name="V.5.6_Accounting_examples"/>
      <w:bookmarkEnd w:id="408"/>
      <w:r>
        <w:rPr>
          <w:rFonts w:ascii="Times New Roman" w:hAnsi="Times New Roman"/>
          <w:noProof/>
          <w:u w:val="none"/>
        </w:rPr>
        <w:t>V.5.6. </w:t>
      </w:r>
      <w:r>
        <w:rPr>
          <w:rFonts w:ascii="Times New Roman" w:hAnsi="Times New Roman"/>
          <w:noProof/>
          <w:u w:val="thick" w:color="000000"/>
        </w:rPr>
        <w:t>Uzskaites piemēri</w:t>
      </w:r>
    </w:p>
    <w:p w:rsidR="00523A0A" w:rsidRPr="001973D0" w:rsidRDefault="00523A0A" w:rsidP="00523A0A">
      <w:pPr>
        <w:pStyle w:val="Heading4"/>
        <w:tabs>
          <w:tab w:val="left" w:pos="1512"/>
        </w:tabs>
        <w:ind w:left="0" w:firstLine="0"/>
        <w:jc w:val="both"/>
        <w:rPr>
          <w:rFonts w:ascii="Times New Roman" w:hAnsi="Times New Roman"/>
          <w:noProof/>
          <w:u w:val="thick" w:color="000000"/>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Piemēros ir apspriesti tikai tādi darījumi, kas ietekmē valdības kontus.</w:t>
      </w: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1. piemērs Ēkas pārdošana saskaņā ar atliktās pirkšanas cenas (</w:t>
      </w:r>
      <w:r>
        <w:rPr>
          <w:rFonts w:ascii="Times New Roman" w:hAnsi="Times New Roman"/>
          <w:i/>
          <w:noProof/>
          <w:sz w:val="24"/>
        </w:rPr>
        <w:t>DPP</w:t>
      </w:r>
      <w:r>
        <w:rPr>
          <w:rFonts w:ascii="Times New Roman" w:hAnsi="Times New Roman"/>
          <w:noProof/>
          <w:sz w:val="24"/>
        </w:rPr>
        <w:t>) nosacījumu</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pārdod ēkas privātai bankai, kas plāno tās pārdot tālāk nākamajā gadā, tiklīdz uzlabosies situācija tirgū. Aplēstā ēku vērtība ir 100 naudas vienības.</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w:t>
      </w:r>
    </w:p>
    <w:p w:rsidR="00523A0A" w:rsidRPr="001973D0" w:rsidRDefault="00523A0A" w:rsidP="00523A0A">
      <w:pPr>
        <w:pStyle w:val="BodyText"/>
        <w:numPr>
          <w:ilvl w:val="0"/>
          <w:numId w:val="36"/>
        </w:numPr>
        <w:tabs>
          <w:tab w:val="left" w:pos="1522"/>
        </w:tabs>
        <w:spacing w:before="0"/>
        <w:ind w:left="1134" w:hanging="425"/>
        <w:jc w:val="both"/>
        <w:rPr>
          <w:rFonts w:ascii="Times New Roman" w:hAnsi="Times New Roman"/>
          <w:noProof/>
          <w:sz w:val="24"/>
        </w:rPr>
      </w:pPr>
      <w:r>
        <w:rPr>
          <w:rFonts w:ascii="Times New Roman" w:hAnsi="Times New Roman"/>
          <w:noProof/>
          <w:sz w:val="24"/>
        </w:rPr>
        <w:t>par ēku pārdošanu nekavējoties saņem 90 naudas vienības;</w:t>
      </w:r>
    </w:p>
    <w:p w:rsidR="00523A0A" w:rsidRPr="001973D0" w:rsidRDefault="00523A0A" w:rsidP="00523A0A">
      <w:pPr>
        <w:pStyle w:val="BodyText"/>
        <w:numPr>
          <w:ilvl w:val="0"/>
          <w:numId w:val="36"/>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pastāv arī </w:t>
      </w:r>
      <w:r>
        <w:rPr>
          <w:rFonts w:ascii="Times New Roman" w:hAnsi="Times New Roman"/>
          <w:i/>
          <w:noProof/>
          <w:sz w:val="24"/>
        </w:rPr>
        <w:t>DPP</w:t>
      </w:r>
      <w:r>
        <w:rPr>
          <w:rFonts w:ascii="Times New Roman" w:hAnsi="Times New Roman"/>
          <w:noProof/>
          <w:sz w:val="24"/>
        </w:rPr>
        <w:t xml:space="preserve"> līgums, saskaņā ar kuru gadījumā, ja banka par ēku tālākpārdošanu saņem vairāk par 90 naudas vienībām, no ieņēmumiem, kas pārsniedz 90 naudas vienību līmeni, valdībai izmaksā ne vairāk kā 25 naudas vienības.</w:t>
      </w:r>
    </w:p>
    <w:p w:rsidR="00523A0A"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Banka ar tās izveidotas un tai piederošas ĪNDS starpniecību emitē obligācijas 90 naudas vienību vērtībā. Otrajā gadā ēkas tiek pārdotas tālāk par 120 naudas vienībām:</w:t>
      </w:r>
    </w:p>
    <w:p w:rsidR="00523A0A" w:rsidRPr="001973D0" w:rsidRDefault="00523A0A" w:rsidP="00523A0A">
      <w:pPr>
        <w:pStyle w:val="BodyText"/>
        <w:numPr>
          <w:ilvl w:val="0"/>
          <w:numId w:val="36"/>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valdība saņem papildmaksājumu 25 naudas vienību apmērā saskaņā ar </w:t>
      </w:r>
      <w:r>
        <w:rPr>
          <w:rFonts w:ascii="Times New Roman" w:hAnsi="Times New Roman"/>
          <w:i/>
          <w:noProof/>
          <w:sz w:val="24"/>
        </w:rPr>
        <w:t>DPP</w:t>
      </w:r>
      <w:r>
        <w:rPr>
          <w:rFonts w:ascii="Times New Roman" w:hAnsi="Times New Roman"/>
          <w:noProof/>
          <w:sz w:val="24"/>
        </w:rPr>
        <w:t xml:space="preserve"> nosacījumu;</w:t>
      </w:r>
    </w:p>
    <w:p w:rsidR="00523A0A" w:rsidRPr="001973D0" w:rsidRDefault="00523A0A" w:rsidP="00523A0A">
      <w:pPr>
        <w:pStyle w:val="BodyText"/>
        <w:numPr>
          <w:ilvl w:val="3"/>
          <w:numId w:val="37"/>
        </w:numPr>
        <w:tabs>
          <w:tab w:val="left" w:pos="1462"/>
        </w:tabs>
        <w:spacing w:before="0"/>
        <w:ind w:left="1134" w:hanging="425"/>
        <w:jc w:val="both"/>
        <w:rPr>
          <w:rFonts w:ascii="Times New Roman" w:hAnsi="Times New Roman"/>
          <w:noProof/>
          <w:sz w:val="24"/>
        </w:rPr>
      </w:pPr>
      <w:r>
        <w:rPr>
          <w:rFonts w:ascii="Times New Roman" w:hAnsi="Times New Roman"/>
          <w:noProof/>
          <w:sz w:val="24"/>
        </w:rPr>
        <w:t>bankas peļņa pēc tam, kad ĪNDS ir atmaksājusi savu aizņēmumu, ir 5 naudas vienības.</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6"/>
        <w:jc w:val="both"/>
        <w:rPr>
          <w:rFonts w:ascii="Times New Roman" w:hAnsi="Times New Roman"/>
          <w:noProof/>
          <w:sz w:val="24"/>
          <w:u w:val="thick" w:color="000000"/>
        </w:rPr>
      </w:pPr>
      <w:r>
        <w:rPr>
          <w:rFonts w:ascii="Times New Roman" w:hAnsi="Times New Roman"/>
          <w:noProof/>
          <w:sz w:val="24"/>
          <w:u w:val="thick" w:color="000000"/>
        </w:rPr>
        <w:t>Analīze un traktējums nacionālajos kontos</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i/>
          <w:noProof/>
          <w:sz w:val="24"/>
        </w:rPr>
        <w:t>DPP</w:t>
      </w:r>
      <w:r>
        <w:rPr>
          <w:rFonts w:ascii="Times New Roman" w:hAnsi="Times New Roman"/>
          <w:noProof/>
          <w:sz w:val="24"/>
        </w:rPr>
        <w:t xml:space="preserve"> nosacījuma piemērošanas dēļ darījumu neuzskata par īstu pārdošanu.</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0017F1"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lastRenderedPageBreak/>
        <w:t>Pirmajā gadā to ieraksta</w:t>
      </w:r>
      <w:r w:rsidR="00523A0A">
        <w:rPr>
          <w:rFonts w:ascii="Times New Roman" w:hAnsi="Times New Roman"/>
          <w:noProof/>
          <w:sz w:val="24"/>
        </w:rPr>
        <w:t xml:space="preserve"> kā valdības aizņēmumu par 90 naudas vienībām.</w:t>
      </w:r>
    </w:p>
    <w:p w:rsidR="00523A0A" w:rsidRPr="001973D0" w:rsidRDefault="00523A0A"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Otrajā gadā pēc ēkas pārdošanas par tirgus cenu to uzrāda kā negatīvu valdības bruto ieguldījumu pamatkapitālā.</w:t>
      </w:r>
    </w:p>
    <w:p w:rsidR="00523A0A" w:rsidRPr="001973D0" w:rsidRDefault="000017F1"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Bankas peļņu ieraksta</w:t>
      </w:r>
      <w:r w:rsidR="00523A0A">
        <w:rPr>
          <w:rFonts w:ascii="Times New Roman" w:hAnsi="Times New Roman"/>
          <w:noProof/>
          <w:sz w:val="24"/>
        </w:rPr>
        <w:t xml:space="preserve"> kā procentu prēmiju, kas gūta par nosacīto aizdevumu, kuru pēc operācijas pabeigšanas uzrāda kā izpirktu. Uzskaites vienkāršošanas nolūkā ir norādīts, ka peļņu 2. gada beigās patur ĪNDS.</w:t>
      </w:r>
    </w:p>
    <w:p w:rsidR="00523A0A" w:rsidRDefault="00523A0A" w:rsidP="00523A0A">
      <w:pPr>
        <w:jc w:val="both"/>
        <w:rPr>
          <w:rFonts w:ascii="Times New Roman" w:eastAsia="Arial" w:hAnsi="Times New Roman" w:cs="Arial"/>
          <w:noProof/>
          <w:sz w:val="24"/>
          <w:szCs w:val="20"/>
        </w:rPr>
      </w:pPr>
    </w:p>
    <w:p w:rsidR="00523A0A" w:rsidRDefault="000D4C0B" w:rsidP="00F50295">
      <w:pPr>
        <w:jc w:val="center"/>
        <w:rPr>
          <w:rFonts w:ascii="Times New Roman" w:eastAsia="Arial" w:hAnsi="Times New Roman" w:cs="Arial"/>
          <w:noProof/>
          <w:sz w:val="24"/>
          <w:szCs w:val="20"/>
        </w:rPr>
      </w:pPr>
      <w:r w:rsidRPr="000D4C0B">
        <w:rPr>
          <w:rFonts w:ascii="Times New Roman" w:eastAsia="Arial" w:hAnsi="Times New Roman" w:cs="Arial"/>
          <w:noProof/>
          <w:sz w:val="24"/>
          <w:szCs w:val="20"/>
          <w:lang w:bidi="ar-SA"/>
        </w:rPr>
        <w:drawing>
          <wp:inline distT="0" distB="0" distL="0" distR="0">
            <wp:extent cx="5760085" cy="6243097"/>
            <wp:effectExtent l="0" t="0" r="0" b="571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085" cy="6243097"/>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noProof/>
          <w:sz w:val="24"/>
          <w:szCs w:val="20"/>
        </w:rPr>
      </w:pPr>
    </w:p>
    <w:p w:rsidR="00523A0A" w:rsidRDefault="000D4C0B" w:rsidP="00523A0A">
      <w:pPr>
        <w:jc w:val="both"/>
        <w:rPr>
          <w:rFonts w:ascii="Times New Roman" w:eastAsia="Arial" w:hAnsi="Times New Roman" w:cs="Arial"/>
          <w:noProof/>
          <w:sz w:val="24"/>
          <w:szCs w:val="20"/>
        </w:rPr>
      </w:pPr>
      <w:r w:rsidRPr="000D4C0B">
        <w:rPr>
          <w:rFonts w:ascii="Times New Roman" w:eastAsia="Arial" w:hAnsi="Times New Roman" w:cs="Arial"/>
          <w:noProof/>
          <w:sz w:val="24"/>
          <w:szCs w:val="20"/>
          <w:lang w:bidi="ar-SA"/>
        </w:rPr>
        <w:lastRenderedPageBreak/>
        <w:drawing>
          <wp:inline distT="0" distB="0" distL="0" distR="0">
            <wp:extent cx="5760085" cy="5373138"/>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60085" cy="5373138"/>
                    </a:xfrm>
                    <a:prstGeom prst="rect">
                      <a:avLst/>
                    </a:prstGeom>
                    <a:noFill/>
                    <a:ln>
                      <a:noFill/>
                    </a:ln>
                  </pic:spPr>
                </pic:pic>
              </a:graphicData>
            </a:graphic>
          </wp:inline>
        </w:drawing>
      </w:r>
    </w:p>
    <w:p w:rsidR="00523A0A" w:rsidRDefault="00523A0A" w:rsidP="00523A0A">
      <w:pPr>
        <w:jc w:val="both"/>
        <w:rPr>
          <w:rFonts w:ascii="Times New Roman" w:eastAsia="Arial" w:hAnsi="Times New Roman" w:cs="Arial"/>
          <w:noProof/>
          <w:sz w:val="24"/>
          <w:szCs w:val="20"/>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Pēc pārdošanas tirgū valdība saņem 25 vienības un ĪNDS saņem 95 vienības, savukārt ĪNDS pēc tam izmanto 90 vienības no AF.2, lai atmaksātu savas obligācijas (AF.3).</w:t>
      </w:r>
    </w:p>
    <w:p w:rsidR="00523A0A" w:rsidRPr="001973D0" w:rsidRDefault="00523A0A" w:rsidP="00523A0A">
      <w:pPr>
        <w:jc w:val="both"/>
        <w:rPr>
          <w:rFonts w:ascii="Times New Roman" w:eastAsia="Arial" w:hAnsi="Times New Roman" w:cs="Arial"/>
          <w:noProof/>
          <w:sz w:val="24"/>
        </w:rPr>
      </w:pPr>
    </w:p>
    <w:p w:rsidR="00523A0A" w:rsidRDefault="000D4C0B" w:rsidP="00523A0A">
      <w:pPr>
        <w:jc w:val="both"/>
        <w:rPr>
          <w:rFonts w:ascii="Times New Roman" w:eastAsia="Calibri" w:hAnsi="Times New Roman" w:cs="Calibri"/>
          <w:b/>
          <w:bCs/>
          <w:noProof/>
          <w:sz w:val="24"/>
          <w:szCs w:val="20"/>
        </w:rPr>
      </w:pPr>
      <w:r w:rsidRPr="000D4C0B">
        <w:rPr>
          <w:rFonts w:ascii="Times New Roman" w:eastAsia="Calibri" w:hAnsi="Times New Roman" w:cs="Calibri"/>
          <w:b/>
          <w:bCs/>
          <w:noProof/>
          <w:sz w:val="24"/>
          <w:szCs w:val="20"/>
          <w:lang w:bidi="ar-SA"/>
        </w:rPr>
        <w:drawing>
          <wp:inline distT="0" distB="0" distL="0" distR="0">
            <wp:extent cx="5760085" cy="2139476"/>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60085" cy="2139476"/>
                    </a:xfrm>
                    <a:prstGeom prst="rect">
                      <a:avLst/>
                    </a:prstGeom>
                    <a:noFill/>
                    <a:ln>
                      <a:noFill/>
                    </a:ln>
                  </pic:spPr>
                </pic:pic>
              </a:graphicData>
            </a:graphic>
          </wp:inline>
        </w:drawing>
      </w:r>
    </w:p>
    <w:p w:rsidR="00F50295" w:rsidRDefault="00F50295">
      <w:pPr>
        <w:widowControl/>
        <w:spacing w:after="160" w:line="259" w:lineRule="auto"/>
        <w:rPr>
          <w:rFonts w:ascii="Times New Roman" w:eastAsia="Calibri" w:hAnsi="Times New Roman" w:cs="Calibri"/>
          <w:b/>
          <w:bCs/>
          <w:noProof/>
          <w:sz w:val="24"/>
          <w:szCs w:val="20"/>
        </w:rPr>
      </w:pPr>
      <w:r>
        <w:rPr>
          <w:rFonts w:ascii="Times New Roman" w:eastAsia="Calibri" w:hAnsi="Times New Roman" w:cs="Calibri"/>
          <w:b/>
          <w:bCs/>
          <w:noProof/>
          <w:sz w:val="24"/>
          <w:szCs w:val="20"/>
        </w:rPr>
        <w:br w:type="page"/>
      </w:r>
    </w:p>
    <w:p w:rsidR="00523A0A" w:rsidRPr="001973D0" w:rsidRDefault="00523A0A" w:rsidP="00523A0A">
      <w:pPr>
        <w:jc w:val="both"/>
        <w:rPr>
          <w:rFonts w:ascii="Times New Roman" w:eastAsia="Calibri" w:hAnsi="Times New Roman" w:cs="Calibri"/>
          <w:b/>
          <w:bCs/>
          <w:noProof/>
          <w:sz w:val="24"/>
          <w:szCs w:val="20"/>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2. piemērs Ēkas pārdošana bez atliktās pirkšanas cenas (</w:t>
      </w:r>
      <w:r>
        <w:rPr>
          <w:rFonts w:ascii="Times New Roman" w:hAnsi="Times New Roman"/>
          <w:i/>
          <w:noProof/>
          <w:sz w:val="24"/>
        </w:rPr>
        <w:t>DPP</w:t>
      </w:r>
      <w:r>
        <w:rPr>
          <w:rFonts w:ascii="Times New Roman" w:hAnsi="Times New Roman"/>
          <w:noProof/>
          <w:sz w:val="24"/>
        </w:rPr>
        <w:t>) nosacījuma</w:t>
      </w:r>
    </w:p>
    <w:p w:rsidR="00523A0A" w:rsidRPr="001973D0" w:rsidRDefault="00523A0A" w:rsidP="00523A0A">
      <w:pPr>
        <w:jc w:val="both"/>
        <w:rPr>
          <w:rFonts w:ascii="Times New Roman" w:eastAsia="Arial" w:hAnsi="Times New Roman" w:cs="Arial"/>
          <w:b/>
          <w:bCs/>
          <w:noProof/>
          <w:sz w:val="24"/>
          <w:szCs w:val="20"/>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Valdība pārdod ēkas privātai bankai, kas vēlas tās pārdot tālāk tirgū nākamajā gadā. Aplēstā ēku vērtība ir 100 naudas vienības, un tās pārdod par šādu cenu.</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Banka nodod ēkas ĪNDS, kuru tā ir izveidojusi un kura tai pieder:</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ĪNDS emitē 5 gadu obligācijas 100 naudas vienību vērtībā;</w:t>
      </w:r>
    </w:p>
    <w:p w:rsidR="00523A0A" w:rsidRPr="001973D0" w:rsidRDefault="00523A0A"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nav noteikts DPP nosacījums un arī nav piešķirtas nekādas garantijas;</w:t>
      </w:r>
    </w:p>
    <w:p w:rsidR="00523A0A" w:rsidRPr="001973D0" w:rsidRDefault="00523A0A"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ĪNDS maksā aizdevuma procentus no nomas ienākumiem un pārdod ēkas par 100 naudas vienībām;</w:t>
      </w:r>
    </w:p>
    <w:p w:rsidR="00523A0A" w:rsidRPr="001973D0" w:rsidRDefault="00523A0A" w:rsidP="00523A0A">
      <w:pPr>
        <w:pStyle w:val="BodyText"/>
        <w:numPr>
          <w:ilvl w:val="3"/>
          <w:numId w:val="37"/>
        </w:numPr>
        <w:tabs>
          <w:tab w:val="left" w:pos="1452"/>
        </w:tabs>
        <w:spacing w:before="0"/>
        <w:ind w:left="1134" w:hanging="425"/>
        <w:jc w:val="both"/>
        <w:rPr>
          <w:rFonts w:ascii="Times New Roman" w:hAnsi="Times New Roman"/>
          <w:noProof/>
          <w:sz w:val="24"/>
        </w:rPr>
      </w:pPr>
      <w:r>
        <w:rPr>
          <w:rFonts w:ascii="Times New Roman" w:hAnsi="Times New Roman"/>
          <w:noProof/>
          <w:sz w:val="24"/>
        </w:rPr>
        <w:t>banka no ĪNDS saņem peļņu 10 naudas vienību apmērā.</w:t>
      </w:r>
    </w:p>
    <w:p w:rsidR="00523A0A" w:rsidRPr="001973D0" w:rsidRDefault="00523A0A" w:rsidP="00523A0A">
      <w:pPr>
        <w:jc w:val="both"/>
        <w:rPr>
          <w:rFonts w:ascii="Times New Roman" w:eastAsia="Arial" w:hAnsi="Times New Roman" w:cs="Arial"/>
          <w:noProof/>
          <w:sz w:val="24"/>
          <w:szCs w:val="20"/>
        </w:rPr>
      </w:pPr>
    </w:p>
    <w:p w:rsidR="00523A0A" w:rsidRPr="001973D0" w:rsidRDefault="00523A0A" w:rsidP="00523A0A">
      <w:pPr>
        <w:pStyle w:val="Heading6"/>
        <w:jc w:val="both"/>
        <w:rPr>
          <w:rFonts w:ascii="Times New Roman" w:hAnsi="Times New Roman"/>
          <w:noProof/>
          <w:sz w:val="24"/>
          <w:u w:val="thick" w:color="000000"/>
        </w:rPr>
      </w:pPr>
      <w:r>
        <w:rPr>
          <w:rFonts w:ascii="Times New Roman" w:hAnsi="Times New Roman"/>
          <w:noProof/>
          <w:sz w:val="24"/>
          <w:u w:val="thick" w:color="000000"/>
        </w:rPr>
        <w:t>Analīze un traktējums nacionālajos kontos</w:t>
      </w:r>
    </w:p>
    <w:p w:rsidR="00523A0A" w:rsidRPr="001973D0" w:rsidRDefault="000017F1" w:rsidP="00523A0A">
      <w:pPr>
        <w:pStyle w:val="BodyText"/>
        <w:spacing w:before="0"/>
        <w:ind w:left="0" w:firstLine="0"/>
        <w:jc w:val="both"/>
        <w:rPr>
          <w:rFonts w:ascii="Times New Roman" w:hAnsi="Times New Roman"/>
          <w:noProof/>
          <w:sz w:val="24"/>
        </w:rPr>
      </w:pPr>
      <w:r>
        <w:rPr>
          <w:rFonts w:ascii="Times New Roman" w:hAnsi="Times New Roman"/>
          <w:noProof/>
          <w:sz w:val="24"/>
        </w:rPr>
        <w:t>Šādu gadījumu ieraksta</w:t>
      </w:r>
      <w:r w:rsidR="00523A0A">
        <w:rPr>
          <w:rFonts w:ascii="Times New Roman" w:hAnsi="Times New Roman"/>
          <w:noProof/>
          <w:sz w:val="24"/>
        </w:rPr>
        <w:t xml:space="preserve"> kā pārdošanu ar negatīvu valdības bruto pamatkapitāla veidošanu, jo valdībai vairs nav īpašumtiesību risku un priekšrocību.</w:t>
      </w:r>
    </w:p>
    <w:p w:rsidR="00523A0A" w:rsidRPr="001973D0" w:rsidRDefault="00523A0A" w:rsidP="00523A0A">
      <w:pPr>
        <w:jc w:val="both"/>
        <w:rPr>
          <w:rFonts w:ascii="Times New Roman" w:eastAsia="Arial" w:hAnsi="Times New Roman" w:cs="Arial"/>
          <w:noProof/>
          <w:sz w:val="24"/>
          <w:szCs w:val="20"/>
        </w:rPr>
      </w:pPr>
    </w:p>
    <w:p w:rsidR="00523A0A" w:rsidRPr="001973D0" w:rsidRDefault="000D4C0B" w:rsidP="00523A0A">
      <w:pPr>
        <w:jc w:val="both"/>
        <w:rPr>
          <w:rFonts w:ascii="Times New Roman" w:eastAsia="Calibri" w:hAnsi="Times New Roman" w:cs="Calibri"/>
          <w:b/>
          <w:bCs/>
          <w:noProof/>
          <w:sz w:val="24"/>
          <w:szCs w:val="20"/>
        </w:rPr>
      </w:pPr>
      <w:r w:rsidRPr="000D4C0B">
        <w:rPr>
          <w:rFonts w:ascii="Times New Roman" w:eastAsia="Calibri" w:hAnsi="Times New Roman" w:cs="Calibri"/>
          <w:b/>
          <w:bCs/>
          <w:noProof/>
          <w:sz w:val="24"/>
          <w:szCs w:val="20"/>
          <w:lang w:bidi="ar-SA"/>
        </w:rPr>
        <w:drawing>
          <wp:inline distT="0" distB="0" distL="0" distR="0">
            <wp:extent cx="5760085" cy="5077270"/>
            <wp:effectExtent l="0" t="0" r="0"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60085" cy="5077270"/>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29"/>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3. piemērs. Uzņēmums pārvērš vērtspapīros valdības subsīdijas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 xml:space="preserve">Valdības vienība apsola maksāt nākotnē subsīdijas līdz pat 20 naudas vienību apmērā gadā privātam uzņēmumam vairāk nekā 5 gadus, lai tas varētu sniegt sabiedriskā transporta </w:t>
      </w:r>
      <w:r>
        <w:rPr>
          <w:rFonts w:ascii="Times New Roman" w:hAnsi="Times New Roman"/>
          <w:noProof/>
          <w:sz w:val="24"/>
        </w:rPr>
        <w:lastRenderedPageBreak/>
        <w:t>pakalpojumus.</w:t>
      </w:r>
    </w:p>
    <w:p w:rsidR="00523A0A"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Ar valdības atļauju vienība turpmāku subsīdiju saņemšanai nodibina ĪNDS:</w:t>
      </w:r>
    </w:p>
    <w:p w:rsidR="00523A0A" w:rsidRPr="001973D0" w:rsidRDefault="00523A0A" w:rsidP="00523A0A">
      <w:pPr>
        <w:pStyle w:val="BodyText"/>
        <w:spacing w:before="0"/>
        <w:ind w:left="0" w:firstLine="0"/>
        <w:jc w:val="both"/>
        <w:rPr>
          <w:rFonts w:ascii="Times New Roman" w:hAnsi="Times New Roman"/>
          <w:noProof/>
          <w:sz w:val="24"/>
        </w:rPr>
      </w:pPr>
    </w:p>
    <w:p w:rsidR="00523A0A" w:rsidRPr="001973D0" w:rsidRDefault="00523A0A" w:rsidP="00523A0A">
      <w:pPr>
        <w:pStyle w:val="BodyText"/>
        <w:numPr>
          <w:ilvl w:val="4"/>
          <w:numId w:val="37"/>
        </w:numPr>
        <w:tabs>
          <w:tab w:val="left" w:pos="1512"/>
        </w:tabs>
        <w:spacing w:before="0"/>
        <w:ind w:left="1134" w:hanging="425"/>
        <w:jc w:val="both"/>
        <w:rPr>
          <w:rFonts w:ascii="Times New Roman" w:hAnsi="Times New Roman"/>
          <w:noProof/>
          <w:sz w:val="24"/>
        </w:rPr>
      </w:pPr>
      <w:r>
        <w:rPr>
          <w:rFonts w:ascii="Times New Roman" w:hAnsi="Times New Roman"/>
          <w:noProof/>
          <w:sz w:val="24"/>
        </w:rPr>
        <w:t>ĪNDS emitē obligācijas 60 naudas vienību vērtībā, kuras tā nodod uzņēmumam, lai tas varētu finansēt autobusu autoparka iegādi;</w:t>
      </w:r>
    </w:p>
    <w:p w:rsidR="00523A0A" w:rsidRDefault="00523A0A" w:rsidP="00523A0A">
      <w:pPr>
        <w:pStyle w:val="BodyText"/>
        <w:numPr>
          <w:ilvl w:val="4"/>
          <w:numId w:val="37"/>
        </w:numPr>
        <w:tabs>
          <w:tab w:val="left" w:pos="1512"/>
        </w:tabs>
        <w:spacing w:before="0"/>
        <w:ind w:left="1134" w:hanging="425"/>
        <w:jc w:val="both"/>
        <w:rPr>
          <w:rFonts w:ascii="Times New Roman" w:hAnsi="Times New Roman"/>
          <w:noProof/>
          <w:sz w:val="24"/>
        </w:rPr>
      </w:pPr>
      <w:r>
        <w:rPr>
          <w:rFonts w:ascii="Times New Roman" w:hAnsi="Times New Roman"/>
          <w:noProof/>
          <w:sz w:val="24"/>
        </w:rPr>
        <w:t>ĪNDS izmanto subsīdiju ieņēmumus, lai vispirms finansētu savu parādu, un nodod atlikumu uzņēmumam, kas to izmanto autobusu ekspluatācijas finansēšanai.</w:t>
      </w:r>
    </w:p>
    <w:p w:rsidR="00523A0A" w:rsidRPr="001973D0" w:rsidRDefault="00523A0A" w:rsidP="00523A0A">
      <w:pPr>
        <w:pStyle w:val="BodyText"/>
        <w:tabs>
          <w:tab w:val="left" w:pos="1512"/>
        </w:tabs>
        <w:spacing w:before="0"/>
        <w:ind w:left="0" w:firstLine="0"/>
        <w:jc w:val="both"/>
        <w:rPr>
          <w:rFonts w:ascii="Times New Roman" w:hAnsi="Times New Roman"/>
          <w:noProof/>
          <w:sz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Daļa no valdības subsīdiju maksājumiem ir beznosacījuma, proti, ĪNDS katru gadu izmaksā vismaz 15 naudas vienības pat gadījumā, ja uzņēmums nesniedz sabiedriskā transporta pakalpojumus un/vai kļūst maksātnespējīgs. Atlikušie maksājumi ne vairāk kā 5 naudas vienību apmērā gadā ir atkarīgi no pasažieru autotransporta pakalpojumu sniegšanas rezultātiem. Turpmākajā piemērā katru gadu tiek izmaksāta pilna summa.</w:t>
      </w:r>
    </w:p>
    <w:p w:rsidR="00523A0A" w:rsidRPr="001973D0" w:rsidRDefault="00523A0A" w:rsidP="00523A0A">
      <w:pPr>
        <w:pStyle w:val="Heading6"/>
        <w:jc w:val="both"/>
        <w:rPr>
          <w:rFonts w:ascii="Times New Roman" w:hAnsi="Times New Roman"/>
          <w:noProof/>
          <w:sz w:val="24"/>
          <w:u w:val="thick" w:color="000000"/>
        </w:rPr>
      </w:pPr>
      <w:r>
        <w:rPr>
          <w:rFonts w:ascii="Times New Roman" w:hAnsi="Times New Roman"/>
          <w:noProof/>
          <w:sz w:val="24"/>
          <w:u w:val="thick" w:color="000000"/>
        </w:rPr>
        <w:t>Analīze un traktējums nacionālajos kontos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Darījums tiktu klasificēts kā kapitāla pārvedums autotransporta uzņēmumam un kā aizņēmums par tādu pašu summu attiecībā uz minimālajiem garantētajiem maksājumiem 15 naudas vienību apmērā, un kā gada subsīdijas par atlikušajām izmaksātajām summām. Minētās 15 vienības sadala šādi – 12 naudas vienības kapitāla atmaksai un 3 naudas vienības procentu maksājumiem. Vienkāršošanas nolūkā darījumi starp ĪNDS un autotransporta uzņēmumu turpmākajās tabulās nav uzrādīti.</w:t>
      </w:r>
    </w:p>
    <w:p w:rsidR="00523A0A" w:rsidRPr="001973D0" w:rsidRDefault="00523A0A" w:rsidP="00523A0A">
      <w:pPr>
        <w:jc w:val="both"/>
        <w:rPr>
          <w:rFonts w:ascii="Times New Roman" w:eastAsia="Arial" w:hAnsi="Times New Roman" w:cs="Arial"/>
          <w:noProof/>
          <w:sz w:val="24"/>
          <w:szCs w:val="20"/>
        </w:rPr>
      </w:pPr>
    </w:p>
    <w:p w:rsidR="00523A0A" w:rsidRPr="001973D0" w:rsidRDefault="000D4C0B" w:rsidP="00523A0A">
      <w:pPr>
        <w:jc w:val="both"/>
        <w:rPr>
          <w:rFonts w:ascii="Times New Roman" w:eastAsia="Arial" w:hAnsi="Times New Roman" w:cs="Arial"/>
          <w:noProof/>
          <w:sz w:val="24"/>
          <w:szCs w:val="23"/>
        </w:rPr>
      </w:pPr>
      <w:r w:rsidRPr="000D4C0B">
        <w:rPr>
          <w:rFonts w:ascii="Times New Roman" w:eastAsia="Arial" w:hAnsi="Times New Roman" w:cs="Arial"/>
          <w:noProof/>
          <w:sz w:val="24"/>
          <w:szCs w:val="23"/>
          <w:lang w:bidi="ar-SA"/>
        </w:rPr>
        <w:drawing>
          <wp:inline distT="0" distB="0" distL="0" distR="0">
            <wp:extent cx="5760085" cy="2634789"/>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60085" cy="2634789"/>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18"/>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Regulārs maksājums 20 naudas vienību apmērā: 5 vienības ir subsīdija, 12 vienības ir kapitāla atmaksa un 3 vienības ir procenti par aprēķināto aizdevumu.</w:t>
      </w:r>
    </w:p>
    <w:p w:rsidR="00523A0A" w:rsidRDefault="00523A0A" w:rsidP="00523A0A">
      <w:pPr>
        <w:jc w:val="both"/>
        <w:rPr>
          <w:rFonts w:ascii="Times New Roman" w:eastAsia="Calibri" w:hAnsi="Times New Roman" w:cs="Calibri"/>
          <w:b/>
          <w:bCs/>
          <w:noProof/>
          <w:sz w:val="24"/>
          <w:szCs w:val="18"/>
        </w:rPr>
      </w:pPr>
    </w:p>
    <w:p w:rsidR="00523A0A" w:rsidRPr="001973D0" w:rsidRDefault="00F50295" w:rsidP="00523A0A">
      <w:pPr>
        <w:jc w:val="both"/>
        <w:rPr>
          <w:rFonts w:ascii="Times New Roman" w:eastAsia="Calibri" w:hAnsi="Times New Roman" w:cs="Calibri"/>
          <w:b/>
          <w:bCs/>
          <w:noProof/>
          <w:sz w:val="24"/>
          <w:szCs w:val="18"/>
        </w:rPr>
      </w:pPr>
      <w:r w:rsidRPr="00F50295">
        <w:rPr>
          <w:rFonts w:ascii="Times New Roman" w:eastAsia="Calibri" w:hAnsi="Times New Roman" w:cs="Calibri"/>
          <w:b/>
          <w:bCs/>
          <w:noProof/>
          <w:sz w:val="24"/>
          <w:szCs w:val="18"/>
          <w:lang w:bidi="ar-SA"/>
        </w:rPr>
        <w:drawing>
          <wp:inline distT="0" distB="0" distL="0" distR="0">
            <wp:extent cx="5760085" cy="168468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60085" cy="1684686"/>
                    </a:xfrm>
                    <a:prstGeom prst="rect">
                      <a:avLst/>
                    </a:prstGeom>
                    <a:noFill/>
                    <a:ln>
                      <a:noFill/>
                    </a:ln>
                  </pic:spPr>
                </pic:pic>
              </a:graphicData>
            </a:graphic>
          </wp:inline>
        </w:drawing>
      </w:r>
    </w:p>
    <w:p w:rsidR="00523A0A" w:rsidRDefault="000D4C0B" w:rsidP="00523A0A">
      <w:pPr>
        <w:jc w:val="both"/>
        <w:rPr>
          <w:rFonts w:ascii="Times New Roman" w:eastAsia="Calibri" w:hAnsi="Times New Roman" w:cs="Calibri"/>
          <w:noProof/>
          <w:sz w:val="24"/>
          <w:szCs w:val="24"/>
        </w:rPr>
      </w:pPr>
      <w:r w:rsidRPr="000D4C0B">
        <w:rPr>
          <w:rFonts w:ascii="Times New Roman" w:eastAsia="Calibri" w:hAnsi="Times New Roman" w:cs="Calibri"/>
          <w:noProof/>
          <w:sz w:val="24"/>
          <w:szCs w:val="24"/>
          <w:lang w:bidi="ar-SA"/>
        </w:rPr>
        <w:lastRenderedPageBreak/>
        <w:drawing>
          <wp:inline distT="0" distB="0" distL="0" distR="0">
            <wp:extent cx="5760085" cy="2728644"/>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760085" cy="2728644"/>
                    </a:xfrm>
                    <a:prstGeom prst="rect">
                      <a:avLst/>
                    </a:prstGeom>
                    <a:noFill/>
                    <a:ln>
                      <a:noFill/>
                    </a:ln>
                  </pic:spPr>
                </pic:pic>
              </a:graphicData>
            </a:graphic>
          </wp:inline>
        </w:drawing>
      </w:r>
      <w:r w:rsidRPr="000D4C0B">
        <w:rPr>
          <w:rFonts w:ascii="Times New Roman" w:eastAsia="Calibri" w:hAnsi="Times New Roman" w:cs="Calibri"/>
          <w:noProof/>
          <w:sz w:val="24"/>
          <w:szCs w:val="24"/>
          <w:lang w:bidi="ar-SA"/>
        </w:rPr>
        <w:drawing>
          <wp:inline distT="0" distB="0" distL="0" distR="0">
            <wp:extent cx="5760085" cy="577649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60085" cy="5776491"/>
                    </a:xfrm>
                    <a:prstGeom prst="rect">
                      <a:avLst/>
                    </a:prstGeom>
                    <a:noFill/>
                    <a:ln>
                      <a:noFill/>
                    </a:ln>
                  </pic:spPr>
                </pic:pic>
              </a:graphicData>
            </a:graphic>
          </wp:inline>
        </w:drawing>
      </w:r>
    </w:p>
    <w:p w:rsidR="00523A0A" w:rsidRDefault="000D4C0B" w:rsidP="00523A0A">
      <w:pPr>
        <w:jc w:val="both"/>
        <w:rPr>
          <w:rFonts w:ascii="Times New Roman" w:eastAsia="Calibri" w:hAnsi="Times New Roman" w:cs="Calibri"/>
          <w:noProof/>
          <w:sz w:val="24"/>
          <w:szCs w:val="24"/>
        </w:rPr>
      </w:pPr>
      <w:r w:rsidRPr="000D4C0B">
        <w:rPr>
          <w:rFonts w:ascii="Times New Roman" w:eastAsia="Calibri" w:hAnsi="Times New Roman" w:cs="Calibri"/>
          <w:noProof/>
          <w:sz w:val="24"/>
          <w:szCs w:val="24"/>
          <w:lang w:bidi="ar-SA"/>
        </w:rPr>
        <w:lastRenderedPageBreak/>
        <w:drawing>
          <wp:inline distT="0" distB="0" distL="0" distR="0">
            <wp:extent cx="5760085" cy="1191958"/>
            <wp:effectExtent l="0" t="0" r="0" b="825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60085" cy="1191958"/>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noProof/>
          <w:sz w:val="24"/>
          <w:szCs w:val="24"/>
        </w:rPr>
      </w:pPr>
    </w:p>
    <w:p w:rsidR="00523A0A" w:rsidRPr="001973D0" w:rsidRDefault="00523A0A" w:rsidP="00523A0A">
      <w:pPr>
        <w:pStyle w:val="Heading6"/>
        <w:jc w:val="both"/>
        <w:rPr>
          <w:rFonts w:ascii="Times New Roman" w:hAnsi="Times New Roman"/>
          <w:noProof/>
          <w:sz w:val="24"/>
        </w:rPr>
      </w:pPr>
      <w:r>
        <w:rPr>
          <w:rFonts w:ascii="Times New Roman" w:hAnsi="Times New Roman"/>
          <w:noProof/>
          <w:sz w:val="24"/>
        </w:rPr>
        <w:t>4. piemērs. Ēka pārdota, garantijas maksājumi pēc pārdošanas</w:t>
      </w:r>
    </w:p>
    <w:p w:rsidR="005A7579"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Pirmajā gadā valdība pārdod ĪNDS par 100 naudas vienībām biroju ēku, kuras tirgus vērtība ir</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100 naudas vienības. ĪNDS emitē obligācijas 100 naudas vienību vērtībā.</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Otrajā gadā strauji krītas pieprasījums pēc biroju platībām un nomas maksa nav pietiekama, lai apkalpotu obligācijas. Ēkas tirgus vērtība samazinās līdz 80 naudas vienībām. Valdībai rodas bažas par īpašuma darījumus finansējošo finanšu iestāžu sabrukumu, tāpēc tā samaksā procentus 5 naudas vienību apmērā par ĪNDS obligācijām, lai gan līgumā šāds pienākums nav paredzēts.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Vienkāršošanas nolūkā nav ņemti vērā ieņēmumi no ēkas nomas maksas un procentu maksājumi par obligācijām.</w:t>
      </w:r>
    </w:p>
    <w:p w:rsidR="00523A0A" w:rsidRPr="001973D0" w:rsidRDefault="00523A0A" w:rsidP="00523A0A">
      <w:pPr>
        <w:pStyle w:val="Heading6"/>
        <w:jc w:val="both"/>
        <w:rPr>
          <w:rFonts w:ascii="Times New Roman" w:hAnsi="Times New Roman"/>
          <w:noProof/>
          <w:sz w:val="24"/>
          <w:u w:val="thick" w:color="000000"/>
        </w:rPr>
      </w:pPr>
      <w:r>
        <w:rPr>
          <w:rFonts w:ascii="Times New Roman" w:hAnsi="Times New Roman"/>
          <w:noProof/>
          <w:sz w:val="24"/>
          <w:u w:val="thick" w:color="000000"/>
        </w:rPr>
        <w:t>Analīze un traktējums nacionālajos kontos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i/>
          <w:noProof/>
          <w:sz w:val="24"/>
        </w:rPr>
        <w:t>Ex post</w:t>
      </w:r>
      <w:r>
        <w:rPr>
          <w:rFonts w:ascii="Times New Roman" w:hAnsi="Times New Roman"/>
          <w:noProof/>
          <w:sz w:val="24"/>
        </w:rPr>
        <w:t xml:space="preserve"> garantijas aktivēšana liecina par to, ka ĪNDS parādam būtu jābūt attiecinātam uz valdību, un nebūtu uzskatāms, ka valdība ir pārdevusi ēku ĪNDS.</w:t>
      </w: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Tādējādi visu ĪNDS nenomaksāto parādu un saistīto ēku 2. gadā pārceļ uz valdības bilanci līdz ar kapitāla pārvedumiem 5 un 20 naudas vienību apmērā, lai attiecīgi atspoguļotu valdības samaksātos procentus un starpību starp ĪNDS parāda un ēkas vērtību.</w:t>
      </w:r>
    </w:p>
    <w:p w:rsidR="00523A0A" w:rsidRPr="001973D0" w:rsidRDefault="00523A0A" w:rsidP="00523A0A">
      <w:pPr>
        <w:jc w:val="both"/>
        <w:rPr>
          <w:rFonts w:ascii="Times New Roman" w:eastAsia="Arial" w:hAnsi="Times New Roman" w:cs="Arial"/>
          <w:noProof/>
          <w:sz w:val="24"/>
          <w:szCs w:val="20"/>
        </w:rPr>
      </w:pPr>
    </w:p>
    <w:p w:rsidR="00523A0A" w:rsidRPr="001973D0" w:rsidRDefault="00F50295" w:rsidP="00523A0A">
      <w:pPr>
        <w:jc w:val="both"/>
        <w:rPr>
          <w:rFonts w:ascii="Times New Roman" w:eastAsia="Arial" w:hAnsi="Times New Roman" w:cs="Arial"/>
          <w:noProof/>
          <w:sz w:val="24"/>
          <w:szCs w:val="20"/>
        </w:rPr>
      </w:pPr>
      <w:r w:rsidRPr="00F50295">
        <w:rPr>
          <w:rFonts w:ascii="Times New Roman" w:eastAsia="Arial" w:hAnsi="Times New Roman" w:cs="Arial"/>
          <w:noProof/>
          <w:sz w:val="24"/>
          <w:szCs w:val="20"/>
          <w:lang w:bidi="ar-SA"/>
        </w:rPr>
        <w:drawing>
          <wp:inline distT="0" distB="0" distL="0" distR="0">
            <wp:extent cx="5760085" cy="3099863"/>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60085" cy="3099863"/>
                    </a:xfrm>
                    <a:prstGeom prst="rect">
                      <a:avLst/>
                    </a:prstGeom>
                    <a:noFill/>
                    <a:ln>
                      <a:noFill/>
                    </a:ln>
                  </pic:spPr>
                </pic:pic>
              </a:graphicData>
            </a:graphic>
          </wp:inline>
        </w:drawing>
      </w:r>
    </w:p>
    <w:p w:rsidR="00523A0A" w:rsidRPr="001973D0" w:rsidRDefault="000D4C0B" w:rsidP="00523A0A">
      <w:pPr>
        <w:jc w:val="both"/>
        <w:rPr>
          <w:rFonts w:ascii="Times New Roman" w:eastAsia="Arial" w:hAnsi="Times New Roman" w:cs="Arial"/>
          <w:noProof/>
          <w:sz w:val="24"/>
          <w:szCs w:val="19"/>
        </w:rPr>
      </w:pPr>
      <w:r w:rsidRPr="000D4C0B">
        <w:rPr>
          <w:rFonts w:ascii="Times New Roman" w:eastAsia="Arial" w:hAnsi="Times New Roman" w:cs="Arial"/>
          <w:noProof/>
          <w:sz w:val="24"/>
          <w:szCs w:val="19"/>
          <w:lang w:bidi="ar-SA"/>
        </w:rPr>
        <w:lastRenderedPageBreak/>
        <w:drawing>
          <wp:inline distT="0" distB="0" distL="0" distR="0">
            <wp:extent cx="5760085" cy="2559283"/>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60085" cy="2559283"/>
                    </a:xfrm>
                    <a:prstGeom prst="rect">
                      <a:avLst/>
                    </a:prstGeom>
                    <a:noFill/>
                    <a:ln>
                      <a:noFill/>
                    </a:ln>
                  </pic:spPr>
                </pic:pic>
              </a:graphicData>
            </a:graphic>
          </wp:inline>
        </w:drawing>
      </w:r>
      <w:r w:rsidR="00F50295" w:rsidRPr="00F50295">
        <w:rPr>
          <w:rFonts w:ascii="Times New Roman" w:eastAsia="Arial" w:hAnsi="Times New Roman" w:cs="Arial"/>
          <w:noProof/>
          <w:sz w:val="24"/>
          <w:szCs w:val="19"/>
          <w:lang w:bidi="ar-SA"/>
        </w:rPr>
        <w:drawing>
          <wp:inline distT="0" distB="0" distL="0" distR="0">
            <wp:extent cx="5760085" cy="358967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60085" cy="3589676"/>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rPr>
      </w:pPr>
    </w:p>
    <w:p w:rsidR="00523A0A" w:rsidRPr="001973D0" w:rsidRDefault="00523A0A" w:rsidP="00523A0A">
      <w:pPr>
        <w:jc w:val="both"/>
        <w:rPr>
          <w:rFonts w:ascii="Times New Roman" w:hAnsi="Times New Roman"/>
          <w:noProof/>
          <w:sz w:val="24"/>
        </w:rPr>
      </w:pPr>
      <w:r>
        <w:rPr>
          <w:rFonts w:ascii="Times New Roman" w:hAnsi="Times New Roman"/>
          <w:noProof/>
          <w:sz w:val="24"/>
        </w:rPr>
        <w:t>D.9: naudas kompensācija 5 naudas vienību apmērā; 20 naudas vienības ir aprēķinātas par starpību starp ēkas un neatmaksātā obligācijas parāda vērtību.</w:t>
      </w:r>
    </w:p>
    <w:p w:rsidR="00523A0A" w:rsidRDefault="00523A0A" w:rsidP="00523A0A">
      <w:pPr>
        <w:jc w:val="both"/>
        <w:rPr>
          <w:rFonts w:ascii="Times New Roman" w:eastAsia="Arial" w:hAnsi="Times New Roman" w:cs="Arial"/>
          <w:noProof/>
          <w:sz w:val="24"/>
          <w:szCs w:val="20"/>
        </w:rPr>
      </w:pPr>
    </w:p>
    <w:p w:rsidR="00523A0A" w:rsidRPr="001973D0" w:rsidRDefault="00F50295" w:rsidP="00523A0A">
      <w:pPr>
        <w:jc w:val="both"/>
        <w:rPr>
          <w:rFonts w:ascii="Times New Roman" w:eastAsia="Arial" w:hAnsi="Times New Roman" w:cs="Arial"/>
          <w:noProof/>
          <w:sz w:val="24"/>
          <w:szCs w:val="20"/>
        </w:rPr>
      </w:pPr>
      <w:r w:rsidRPr="00F50295">
        <w:rPr>
          <w:rFonts w:ascii="Times New Roman" w:eastAsia="Arial" w:hAnsi="Times New Roman" w:cs="Arial"/>
          <w:noProof/>
          <w:sz w:val="24"/>
          <w:szCs w:val="20"/>
          <w:lang w:bidi="ar-SA"/>
        </w:rPr>
        <w:drawing>
          <wp:inline distT="0" distB="0" distL="0" distR="0">
            <wp:extent cx="5760085" cy="1367340"/>
            <wp:effectExtent l="0" t="0" r="0" b="444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60085" cy="1367340"/>
                    </a:xfrm>
                    <a:prstGeom prst="rect">
                      <a:avLst/>
                    </a:prstGeom>
                    <a:noFill/>
                    <a:ln>
                      <a:noFill/>
                    </a:ln>
                  </pic:spPr>
                </pic:pic>
              </a:graphicData>
            </a:graphic>
          </wp:inline>
        </w:drawing>
      </w:r>
    </w:p>
    <w:p w:rsidR="00523A0A" w:rsidRPr="001973D0" w:rsidRDefault="000D4C0B" w:rsidP="00523A0A">
      <w:pPr>
        <w:jc w:val="both"/>
        <w:rPr>
          <w:rFonts w:ascii="Times New Roman" w:eastAsia="Arial" w:hAnsi="Times New Roman" w:cs="Arial"/>
          <w:noProof/>
          <w:sz w:val="24"/>
          <w:szCs w:val="17"/>
        </w:rPr>
      </w:pPr>
      <w:r w:rsidRPr="000D4C0B">
        <w:rPr>
          <w:rFonts w:ascii="Times New Roman" w:eastAsia="Arial" w:hAnsi="Times New Roman" w:cs="Arial"/>
          <w:noProof/>
          <w:sz w:val="24"/>
          <w:szCs w:val="17"/>
          <w:lang w:bidi="ar-SA"/>
        </w:rPr>
        <w:lastRenderedPageBreak/>
        <w:drawing>
          <wp:inline distT="0" distB="0" distL="0" distR="0">
            <wp:extent cx="5760085" cy="2488883"/>
            <wp:effectExtent l="0" t="0" r="0" b="698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760085" cy="2488883"/>
                    </a:xfrm>
                    <a:prstGeom prst="rect">
                      <a:avLst/>
                    </a:prstGeom>
                    <a:noFill/>
                    <a:ln>
                      <a:noFill/>
                    </a:ln>
                  </pic:spPr>
                </pic:pic>
              </a:graphicData>
            </a:graphic>
          </wp:inline>
        </w:drawing>
      </w:r>
    </w:p>
    <w:p w:rsidR="00523A0A" w:rsidRPr="001973D0" w:rsidRDefault="00523A0A" w:rsidP="00523A0A">
      <w:pPr>
        <w:jc w:val="both"/>
        <w:rPr>
          <w:rFonts w:ascii="Times New Roman" w:eastAsia="Calibri" w:hAnsi="Times New Roman" w:cs="Calibri"/>
          <w:b/>
          <w:bCs/>
          <w:noProof/>
          <w:sz w:val="24"/>
          <w:szCs w:val="24"/>
        </w:rPr>
      </w:pPr>
    </w:p>
    <w:p w:rsidR="00523A0A" w:rsidRPr="001973D0" w:rsidRDefault="00523A0A" w:rsidP="00523A0A">
      <w:pPr>
        <w:pStyle w:val="BodyText"/>
        <w:spacing w:before="0"/>
        <w:ind w:left="0" w:firstLine="0"/>
        <w:jc w:val="both"/>
        <w:rPr>
          <w:rFonts w:ascii="Times New Roman" w:hAnsi="Times New Roman"/>
          <w:noProof/>
          <w:sz w:val="24"/>
        </w:rPr>
      </w:pPr>
      <w:r>
        <w:rPr>
          <w:rFonts w:ascii="Times New Roman" w:hAnsi="Times New Roman"/>
          <w:noProof/>
          <w:sz w:val="24"/>
        </w:rPr>
        <w:t>ĪNDS skaidru naudu izmanto, lai samaksātu procentus par obligācijām.</w:t>
      </w:r>
    </w:p>
    <w:p w:rsidR="00523A0A" w:rsidRDefault="00523A0A" w:rsidP="00523A0A">
      <w:pPr>
        <w:rPr>
          <w:rFonts w:ascii="Times New Roman" w:eastAsia="Arial" w:hAnsi="Times New Roman" w:cs="Arial"/>
          <w:noProof/>
          <w:sz w:val="24"/>
          <w:szCs w:val="20"/>
        </w:rPr>
      </w:pPr>
      <w:r>
        <w:br w:type="page"/>
      </w:r>
    </w:p>
    <w:p w:rsidR="00523A0A" w:rsidRDefault="00523A0A" w:rsidP="00455C2F">
      <w:pPr>
        <w:pStyle w:val="Heading2"/>
        <w:rPr>
          <w:noProof/>
        </w:rPr>
      </w:pPr>
      <w:bookmarkStart w:id="409" w:name="V.6__Low_interest_rate_loans_and_sale_of"/>
      <w:bookmarkStart w:id="410" w:name="_bookmark44"/>
      <w:bookmarkStart w:id="411" w:name="_Toc471135910"/>
      <w:bookmarkEnd w:id="409"/>
      <w:bookmarkEnd w:id="410"/>
      <w:r>
        <w:rPr>
          <w:noProof/>
        </w:rPr>
        <w:lastRenderedPageBreak/>
        <w:t>V.6. Zemas procentu likmes aizdevumi un valdības zemas procentu likmes aizdevumu pārdošana trešām pusēm</w:t>
      </w:r>
      <w:bookmarkEnd w:id="411"/>
    </w:p>
    <w:p w:rsidR="00523A0A" w:rsidRPr="001973D0" w:rsidRDefault="00523A0A" w:rsidP="00523A0A">
      <w:pPr>
        <w:tabs>
          <w:tab w:val="left" w:pos="1452"/>
        </w:tabs>
        <w:jc w:val="both"/>
        <w:rPr>
          <w:rFonts w:ascii="Times New Roman" w:hAnsi="Times New Roman"/>
          <w:b/>
          <w:noProof/>
          <w:sz w:val="24"/>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412" w:name="V.6.1_Background"/>
      <w:bookmarkEnd w:id="412"/>
      <w:r>
        <w:rPr>
          <w:rFonts w:ascii="Times New Roman" w:hAnsi="Times New Roman"/>
          <w:noProof/>
          <w:u w:val="none"/>
        </w:rPr>
        <w:t>V.6.1. </w:t>
      </w:r>
      <w:r>
        <w:rPr>
          <w:rFonts w:ascii="Times New Roman" w:hAnsi="Times New Roman"/>
          <w:noProof/>
          <w:u w:val="thick" w:color="000000"/>
        </w:rPr>
        <w:t>Vispārēja informācija</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Kā vienu no valsts politikas pasākumiem valdība īsteno aizdevumu piešķiršanu ar procentu likmēm, kuras zemākas par tirgus likmēm, kas novērotas aizdevuma piešķiršanas laikā (šādus aizdevumus dažkārt dēvē par “koncesionālajiem aizdevumiem”).</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413" w:name="V.6.2_Recording_of_low_interest_rate_loa"/>
      <w:bookmarkEnd w:id="413"/>
      <w:r>
        <w:rPr>
          <w:rFonts w:ascii="Times New Roman" w:hAnsi="Times New Roman"/>
          <w:noProof/>
          <w:u w:val="none"/>
        </w:rPr>
        <w:t>V.6.2. </w:t>
      </w:r>
      <w:r>
        <w:rPr>
          <w:rFonts w:ascii="Times New Roman" w:hAnsi="Times New Roman"/>
          <w:noProof/>
          <w:u w:val="thick" w:color="000000"/>
        </w:rPr>
        <w:t>Zemas procen</w:t>
      </w:r>
      <w:r w:rsidR="000017F1">
        <w:rPr>
          <w:rFonts w:ascii="Times New Roman" w:hAnsi="Times New Roman"/>
          <w:noProof/>
          <w:u w:val="thick" w:color="000000"/>
        </w:rPr>
        <w:t>tu likmes aizdevumu ierakstīšana</w:t>
      </w:r>
      <w:r>
        <w:rPr>
          <w:rFonts w:ascii="Times New Roman" w:hAnsi="Times New Roman"/>
          <w:noProof/>
          <w:u w:val="thick" w:color="000000"/>
        </w:rPr>
        <w:t xml:space="preserve"> sākumā</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Zemas procentu likmes aizdevumu piešķiršana ir īpašs valsts politikas pasākums, ko īsteno valdība un no kā bieži vien izriet darījumi, kas netiek veikti tirgus apstākļos. Tie ir aizdevumi, ko valdība tieši izsniedz studentiem ar zemu procentu likmi, nekustamā īpašuma aizdevumi, ko sniedz mājsaimniecībām īpašos apstākļos, aizdevumi jaunizveidotiem uzņēmumiem u. c.</w:t>
      </w: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Kad valdība piešķir aizdevumu mājsaimniecībām vai uzņēmumiem ar procentu likmi, kas zemāka par tirgus likmi, lai atbalstītu to darbības, šāda operācija sniedz labumu debitoram. Labums atbilst starpībai starp līgumā noteikto procentu likmi un tirgus procentu likmi, kas būtu jāsamaksā debitoram, ja aizdevums tiktu piešķirts atbilstīgi tirgus procentu likmei.</w:t>
      </w: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EKS 2010 noteikumos nav noteikts, k</w:t>
      </w:r>
      <w:r w:rsidR="000017F1">
        <w:rPr>
          <w:rFonts w:ascii="Times New Roman" w:hAnsi="Times New Roman"/>
          <w:noProof/>
          <w:sz w:val="24"/>
        </w:rPr>
        <w:t>a nacionālajos kontos jāieraksta</w:t>
      </w:r>
      <w:r>
        <w:rPr>
          <w:rFonts w:ascii="Times New Roman" w:hAnsi="Times New Roman"/>
          <w:noProof/>
          <w:sz w:val="24"/>
        </w:rPr>
        <w:t xml:space="preserve"> minētais netiešā labuma elements, t. i., starpība starp līgumā noteikto procentu likmi un tirgus procentu likmi, lai atspoguļotu visus darījumus, ko valdība veic, atsaucoties uz tirgus apstākļiem. Kā noteikts EKS 2010</w:t>
      </w:r>
      <w:r w:rsidR="000017F1">
        <w:rPr>
          <w:rFonts w:ascii="Times New Roman" w:hAnsi="Times New Roman"/>
          <w:noProof/>
          <w:sz w:val="24"/>
        </w:rPr>
        <w:t>, procentu summa, kas ierakstīta</w:t>
      </w:r>
      <w:r>
        <w:rPr>
          <w:rFonts w:ascii="Times New Roman" w:hAnsi="Times New Roman"/>
          <w:noProof/>
          <w:sz w:val="24"/>
        </w:rPr>
        <w:t>, pamatojoties uz uzkrāšanas principu, atbilst līgumā noteiktajai procentu likmei, par kuru vienošanās starp kreditoru un debitoru tika panākta jau sākumā.</w:t>
      </w: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Jāņem vērā, ka ietekme uz neto aizdevumu/aizņēmumu (B.9) nacionālajos kontos jau ir netieši atspoguļota kā starpība starp valdības finansējuma izmaksām un zemu procentu ieņēmumiem, ko valdība saņēmusi no aizdevumiem, kas piešķirti, īstenojot valsts politiku.</w:t>
      </w:r>
    </w:p>
    <w:p w:rsidR="00523A0A" w:rsidRPr="001973D0"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Š</w:t>
      </w:r>
      <w:r w:rsidR="000017F1">
        <w:rPr>
          <w:rFonts w:ascii="Times New Roman" w:hAnsi="Times New Roman"/>
          <w:noProof/>
          <w:sz w:val="24"/>
        </w:rPr>
        <w:t>ajā saistībā procenti jāieraksta</w:t>
      </w:r>
      <w:r>
        <w:rPr>
          <w:rFonts w:ascii="Times New Roman" w:hAnsi="Times New Roman"/>
          <w:noProof/>
          <w:sz w:val="24"/>
        </w:rPr>
        <w:t>, pamatojoties uz līgumā noteikto procentu likmi. Attiecīg</w:t>
      </w:r>
      <w:r w:rsidR="000017F1">
        <w:rPr>
          <w:rFonts w:ascii="Times New Roman" w:hAnsi="Times New Roman"/>
          <w:noProof/>
          <w:sz w:val="24"/>
        </w:rPr>
        <w:t>i nacionālajos kontos neieraksta</w:t>
      </w:r>
      <w:r>
        <w:rPr>
          <w:rFonts w:ascii="Times New Roman" w:hAnsi="Times New Roman"/>
          <w:noProof/>
          <w:sz w:val="24"/>
        </w:rPr>
        <w:t xml:space="preserve"> netiešu debitora labumu.</w:t>
      </w:r>
    </w:p>
    <w:p w:rsidR="00523A0A" w:rsidRPr="001973D0" w:rsidRDefault="00523A0A" w:rsidP="00523A0A">
      <w:pPr>
        <w:jc w:val="both"/>
        <w:rPr>
          <w:rFonts w:ascii="Times New Roman" w:eastAsia="Arial" w:hAnsi="Times New Roman" w:cs="Arial"/>
          <w:noProof/>
          <w:sz w:val="24"/>
          <w:szCs w:val="20"/>
        </w:rPr>
      </w:pPr>
    </w:p>
    <w:p w:rsidR="00523A0A" w:rsidRDefault="00523A0A" w:rsidP="00523A0A">
      <w:pPr>
        <w:pStyle w:val="Heading4"/>
        <w:tabs>
          <w:tab w:val="left" w:pos="1452"/>
        </w:tabs>
        <w:ind w:left="0" w:firstLine="0"/>
        <w:jc w:val="both"/>
        <w:rPr>
          <w:rFonts w:ascii="Times New Roman" w:hAnsi="Times New Roman"/>
          <w:noProof/>
          <w:u w:val="thick" w:color="000000"/>
        </w:rPr>
      </w:pPr>
      <w:bookmarkStart w:id="414" w:name="V.6.3_Recording_of_sales_of_low_interest"/>
      <w:bookmarkEnd w:id="414"/>
      <w:r>
        <w:rPr>
          <w:rFonts w:ascii="Times New Roman" w:hAnsi="Times New Roman"/>
          <w:noProof/>
          <w:u w:val="none"/>
        </w:rPr>
        <w:t>V.6.3. </w:t>
      </w:r>
      <w:r>
        <w:rPr>
          <w:rFonts w:ascii="Times New Roman" w:hAnsi="Times New Roman"/>
          <w:noProof/>
          <w:u w:val="thick" w:color="000000"/>
        </w:rPr>
        <w:t>Zemas procentu likmes a</w:t>
      </w:r>
      <w:r w:rsidR="000017F1">
        <w:rPr>
          <w:rFonts w:ascii="Times New Roman" w:hAnsi="Times New Roman"/>
          <w:noProof/>
          <w:u w:val="thick" w:color="000000"/>
        </w:rPr>
        <w:t>izdevumu pārdošanas ierakstīšana</w:t>
      </w:r>
    </w:p>
    <w:p w:rsidR="00523A0A" w:rsidRPr="001973D0" w:rsidRDefault="00523A0A" w:rsidP="00523A0A">
      <w:pPr>
        <w:pStyle w:val="Heading4"/>
        <w:tabs>
          <w:tab w:val="left" w:pos="1452"/>
        </w:tabs>
        <w:ind w:left="0" w:firstLine="0"/>
        <w:jc w:val="both"/>
        <w:rPr>
          <w:rFonts w:ascii="Times New Roman" w:hAnsi="Times New Roman"/>
          <w:noProof/>
          <w:u w:val="thick" w:color="000000"/>
        </w:rPr>
      </w:pPr>
    </w:p>
    <w:p w:rsidR="00523A0A" w:rsidRPr="00134A7A" w:rsidRDefault="00523A0A" w:rsidP="00523A0A">
      <w:pPr>
        <w:pStyle w:val="BodyText"/>
        <w:numPr>
          <w:ilvl w:val="0"/>
          <w:numId w:val="35"/>
        </w:numPr>
        <w:tabs>
          <w:tab w:val="left" w:pos="1102"/>
        </w:tabs>
        <w:spacing w:before="0"/>
        <w:ind w:left="709" w:hanging="709"/>
        <w:jc w:val="both"/>
        <w:rPr>
          <w:rFonts w:ascii="Times New Roman" w:hAnsi="Times New Roman"/>
          <w:noProof/>
          <w:sz w:val="24"/>
        </w:rPr>
      </w:pPr>
      <w:r>
        <w:rPr>
          <w:rFonts w:ascii="Times New Roman" w:hAnsi="Times New Roman"/>
          <w:noProof/>
          <w:sz w:val="24"/>
        </w:rPr>
        <w:t>Šis ir jautājums par gadījumiem, kad ieņēmumus nesoši aizdevumi, ko valdība piešķīrusi, īstenojot valsts politiku, tiek pārdoti trešai pusei ar atlaidi (t. i., par cenu, kas zemāka par to nominālvērtību). Šāda operācija ir saistīta ar likviditātes pārvaldību (pārfinansēšanas vajadzība), un tā nav daļa no valsts politikas, jo sākotnējais saņēmējs tajā nav iesaistīts. Aizdevuma pārdošanas laikā atlaide atspoguļo atšķirību starp pastāvošo tirgus procentu likmi (ko kredīta pircējs būtu varējis piemērot savās aizdošanas operācijās) un zemo procentu likmi, par ko līgumā vienojies debitors un sākotnējais kreditors laikā, kad aizdevumi piešķirti. No šā viedokļa raugoties, ciktāl tas skar pār</w:t>
      </w:r>
      <w:r w:rsidR="000017F1">
        <w:rPr>
          <w:rFonts w:ascii="Times New Roman" w:hAnsi="Times New Roman"/>
          <w:noProof/>
          <w:sz w:val="24"/>
        </w:rPr>
        <w:t>vērtēšanas ietekmes ierakstīšanu</w:t>
      </w:r>
      <w:r>
        <w:rPr>
          <w:rFonts w:ascii="Times New Roman" w:hAnsi="Times New Roman"/>
          <w:noProof/>
          <w:sz w:val="24"/>
        </w:rPr>
        <w:t>, tādu aizdevumu pārdošanu, kurus valdība, īstenojot valsts politikas mērķus, nav piešķīrusi atbilstīgi tirgus apstākļiem, traktē līdzīgi aizdevumiem, kurus piešķīruši finanšu starpnieki, īstenojot komerciālus mērķus, atbilstīgi tirgū piemērotajām likmēm un kuri pārdoti tālāk, pamatojoties uz atšķirīgām tirgus likmēm.</w:t>
      </w:r>
    </w:p>
    <w:p w:rsidR="00523A0A" w:rsidRPr="001973D0" w:rsidRDefault="00523A0A" w:rsidP="00523A0A">
      <w:pPr>
        <w:numPr>
          <w:ilvl w:val="0"/>
          <w:numId w:val="35"/>
        </w:numPr>
        <w:tabs>
          <w:tab w:val="left" w:pos="1162"/>
        </w:tabs>
        <w:ind w:left="709" w:hanging="709"/>
        <w:jc w:val="both"/>
        <w:rPr>
          <w:rFonts w:ascii="Times New Roman" w:eastAsia="Arial" w:hAnsi="Times New Roman" w:cs="Arial"/>
          <w:noProof/>
          <w:sz w:val="24"/>
        </w:rPr>
      </w:pPr>
      <w:r>
        <w:rPr>
          <w:rFonts w:ascii="Times New Roman" w:hAnsi="Times New Roman"/>
          <w:noProof/>
          <w:sz w:val="24"/>
        </w:rPr>
        <w:lastRenderedPageBreak/>
        <w:t xml:space="preserve">EKS 2010 6.58. punktā noteikts, ka: </w:t>
      </w:r>
      <w:r>
        <w:rPr>
          <w:rFonts w:ascii="Times New Roman" w:hAnsi="Times New Roman"/>
          <w:i/>
          <w:noProof/>
          <w:sz w:val="24"/>
        </w:rPr>
        <w:t>[..] kad esošo aizdevumu pārdod citai institucionālajai vienībai, aizdevuma norakstīšanu, kas ir starpība starp izpirkšanas cenu un darījuma cenu darījuma veikšanas laikā, ieraksta pārdevēja un pircēja attiecīgajā pārvērtēšanas kontā</w:t>
      </w:r>
      <w:r>
        <w:rPr>
          <w:rFonts w:ascii="Times New Roman" w:hAnsi="Times New Roman"/>
          <w:noProof/>
          <w:sz w:val="24"/>
        </w:rPr>
        <w:t>.</w:t>
      </w:r>
    </w:p>
    <w:p w:rsidR="00523A0A" w:rsidRPr="001973D0" w:rsidRDefault="00523A0A" w:rsidP="00523A0A">
      <w:pPr>
        <w:pStyle w:val="BodyText"/>
        <w:numPr>
          <w:ilvl w:val="0"/>
          <w:numId w:val="35"/>
        </w:numPr>
        <w:tabs>
          <w:tab w:val="left" w:pos="1162"/>
        </w:tabs>
        <w:spacing w:before="0"/>
        <w:ind w:left="709" w:hanging="709"/>
        <w:jc w:val="both"/>
        <w:rPr>
          <w:rFonts w:ascii="Times New Roman" w:hAnsi="Times New Roman"/>
          <w:noProof/>
          <w:sz w:val="24"/>
        </w:rPr>
      </w:pPr>
      <w:r>
        <w:rPr>
          <w:rFonts w:ascii="Times New Roman" w:hAnsi="Times New Roman"/>
          <w:noProof/>
          <w:sz w:val="24"/>
        </w:rPr>
        <w:t>Gadījumā, ja zemas procentu likmes aizdevumi tiek pārdoti trešai pusei par cenu, kas zemāka par aizdevuma nominālvērtību, atlaide, kas atbilst starpībai starp nominālvērtīb</w:t>
      </w:r>
      <w:r w:rsidR="000017F1">
        <w:rPr>
          <w:rFonts w:ascii="Times New Roman" w:hAnsi="Times New Roman"/>
          <w:noProof/>
          <w:sz w:val="24"/>
        </w:rPr>
        <w:t>u un pārdošanas cenu, jāieraksta</w:t>
      </w:r>
      <w:r>
        <w:rPr>
          <w:rFonts w:ascii="Times New Roman" w:hAnsi="Times New Roman"/>
          <w:noProof/>
          <w:sz w:val="24"/>
        </w:rPr>
        <w:t xml:space="preserve"> kā pārvērtējums. Tas attiecas tikai uz to aizdevumu pārdošanu, attiecībā uz kuriem netiek piemērota grafika pārskatīšana vai citas izmaiņas parādnieka līgumsaistībās.</w:t>
      </w:r>
    </w:p>
    <w:p w:rsidR="00523A0A" w:rsidRDefault="00523A0A" w:rsidP="00523A0A">
      <w:pPr>
        <w:rPr>
          <w:rFonts w:ascii="Times New Roman" w:eastAsia="Arial" w:hAnsi="Times New Roman" w:cs="Arial"/>
          <w:noProof/>
          <w:sz w:val="24"/>
          <w:szCs w:val="20"/>
        </w:rPr>
      </w:pPr>
      <w:r>
        <w:br w:type="page"/>
      </w:r>
    </w:p>
    <w:p w:rsidR="00523A0A" w:rsidRDefault="00455C2F" w:rsidP="00455C2F">
      <w:pPr>
        <w:pStyle w:val="Heading2"/>
        <w:rPr>
          <w:noProof/>
        </w:rPr>
      </w:pPr>
      <w:bookmarkStart w:id="415" w:name="V.7_Keywords_and_accounting_references"/>
      <w:bookmarkStart w:id="416" w:name="_bookmark45"/>
      <w:bookmarkStart w:id="417" w:name="_Toc471135911"/>
      <w:bookmarkEnd w:id="415"/>
      <w:bookmarkEnd w:id="416"/>
      <w:r>
        <w:rPr>
          <w:noProof/>
        </w:rPr>
        <w:lastRenderedPageBreak/>
        <w:t>V.7. </w:t>
      </w:r>
      <w:r w:rsidR="00523A0A">
        <w:rPr>
          <w:noProof/>
        </w:rPr>
        <w:t>Atslēgvārdi un atsauces</w:t>
      </w:r>
      <w:bookmarkEnd w:id="417"/>
    </w:p>
    <w:p w:rsidR="00455C2F" w:rsidRPr="001973D0" w:rsidRDefault="00455C2F" w:rsidP="00523A0A">
      <w:pPr>
        <w:tabs>
          <w:tab w:val="left" w:pos="1452"/>
        </w:tabs>
        <w:jc w:val="both"/>
        <w:rPr>
          <w:rFonts w:ascii="Times New Roman" w:hAnsi="Times New Roman"/>
          <w:b/>
          <w:noProof/>
          <w:sz w:val="24"/>
        </w:rPr>
      </w:pP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Kapitāla konts</w:t>
      </w:r>
      <w:r>
        <w:tab/>
      </w:r>
      <w:r>
        <w:rPr>
          <w:rFonts w:ascii="Times New Roman" w:hAnsi="Times New Roman"/>
          <w:noProof/>
          <w:sz w:val="24"/>
        </w:rPr>
        <w:t>EKS 2010, 8.46.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Iespējamie aktīvi</w:t>
      </w:r>
      <w:r>
        <w:tab/>
      </w:r>
      <w:r>
        <w:rPr>
          <w:rFonts w:ascii="Times New Roman" w:hAnsi="Times New Roman"/>
          <w:noProof/>
          <w:sz w:val="24"/>
        </w:rPr>
        <w:t>EKS 2010, 5.08.–5.11.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Uzņēmējdarbības ienākumi</w:t>
      </w:r>
      <w:r>
        <w:tab/>
      </w:r>
      <w:r>
        <w:rPr>
          <w:rFonts w:ascii="Times New Roman" w:hAnsi="Times New Roman"/>
          <w:noProof/>
          <w:sz w:val="24"/>
        </w:rPr>
        <w:t>EKS 2010, 8.26.–8.28. punkts</w:t>
      </w:r>
    </w:p>
    <w:p w:rsidR="00523A0A" w:rsidRPr="001973D0" w:rsidRDefault="00523A0A" w:rsidP="00455C2F">
      <w:pPr>
        <w:pStyle w:val="BodyText"/>
        <w:tabs>
          <w:tab w:val="left" w:pos="4962"/>
        </w:tabs>
        <w:spacing w:before="0"/>
        <w:ind w:left="4962" w:hanging="4962"/>
        <w:jc w:val="both"/>
        <w:rPr>
          <w:rFonts w:ascii="Times New Roman" w:hAnsi="Times New Roman"/>
          <w:noProof/>
          <w:sz w:val="24"/>
        </w:rPr>
      </w:pPr>
      <w:r>
        <w:rPr>
          <w:rFonts w:ascii="Times New Roman" w:hAnsi="Times New Roman"/>
          <w:noProof/>
          <w:sz w:val="24"/>
        </w:rPr>
        <w:t>Pašu kapitāls</w:t>
      </w:r>
      <w:r>
        <w:tab/>
      </w:r>
      <w:r>
        <w:rPr>
          <w:rFonts w:ascii="Times New Roman" w:hAnsi="Times New Roman"/>
          <w:noProof/>
          <w:sz w:val="24"/>
        </w:rPr>
        <w:t>EKS 2010, 5.151. punkts un turpmākie punkti</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Finanšu konts</w:t>
      </w:r>
      <w:r>
        <w:tab/>
      </w:r>
      <w:r>
        <w:rPr>
          <w:rFonts w:ascii="Times New Roman" w:hAnsi="Times New Roman"/>
          <w:noProof/>
          <w:sz w:val="24"/>
        </w:rPr>
        <w:t>EKS 2010, 8.50. punkts</w:t>
      </w:r>
    </w:p>
    <w:p w:rsidR="00523A0A" w:rsidRPr="001973D0" w:rsidRDefault="00523A0A" w:rsidP="00455C2F">
      <w:pPr>
        <w:pStyle w:val="BodyText"/>
        <w:tabs>
          <w:tab w:val="left" w:pos="4962"/>
        </w:tabs>
        <w:spacing w:before="0"/>
        <w:ind w:left="4962" w:hanging="4962"/>
        <w:jc w:val="both"/>
        <w:rPr>
          <w:rFonts w:ascii="Times New Roman" w:hAnsi="Times New Roman"/>
          <w:noProof/>
          <w:sz w:val="24"/>
        </w:rPr>
      </w:pPr>
      <w:r>
        <w:rPr>
          <w:rFonts w:ascii="Times New Roman" w:hAnsi="Times New Roman"/>
          <w:noProof/>
          <w:sz w:val="24"/>
        </w:rPr>
        <w:t>Finanšu darījums</w:t>
      </w:r>
      <w:r>
        <w:tab/>
      </w:r>
      <w:r>
        <w:rPr>
          <w:rFonts w:ascii="Times New Roman" w:hAnsi="Times New Roman"/>
          <w:noProof/>
          <w:sz w:val="24"/>
        </w:rPr>
        <w:t>EKS 2010, 5.16. punkts un turpmākie punkti</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Centrālais birojs</w:t>
      </w:r>
      <w:r>
        <w:tab/>
      </w:r>
      <w:r>
        <w:rPr>
          <w:rFonts w:ascii="Times New Roman" w:hAnsi="Times New Roman"/>
          <w:noProof/>
          <w:sz w:val="24"/>
        </w:rPr>
        <w:t>EKS 2010, 2.14. un 20.35., 20.37.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Tirgus/ārpustirgus vienības</w:t>
      </w:r>
      <w:r>
        <w:tab/>
      </w:r>
      <w:r>
        <w:rPr>
          <w:rFonts w:ascii="Times New Roman" w:hAnsi="Times New Roman"/>
          <w:noProof/>
          <w:sz w:val="24"/>
        </w:rPr>
        <w:t>EKS 2010, 2.19.–2.34.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Nefinanšu neražotie aktīvi</w:t>
      </w:r>
      <w:r>
        <w:tab/>
      </w:r>
      <w:r>
        <w:rPr>
          <w:rFonts w:ascii="Times New Roman" w:hAnsi="Times New Roman"/>
          <w:noProof/>
          <w:sz w:val="24"/>
        </w:rPr>
        <w:t>EKS 2010, 7.24. punkts</w:t>
      </w:r>
    </w:p>
    <w:p w:rsidR="005A7579"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Nefinanšu ražotie aktīvi</w:t>
      </w:r>
      <w:r>
        <w:tab/>
      </w:r>
      <w:r>
        <w:rPr>
          <w:rFonts w:ascii="Times New Roman" w:hAnsi="Times New Roman"/>
          <w:noProof/>
          <w:sz w:val="24"/>
        </w:rPr>
        <w:t>EKS 2010, 7.22.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Konts “Citas aktīvu apjoma pārmaiņas”</w:t>
      </w:r>
      <w:r>
        <w:tab/>
      </w:r>
      <w:r>
        <w:rPr>
          <w:rFonts w:ascii="Times New Roman" w:hAnsi="Times New Roman"/>
          <w:noProof/>
          <w:sz w:val="24"/>
        </w:rPr>
        <w:t>EKS 2010, 8.53.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Privatizācija</w:t>
      </w:r>
      <w:r>
        <w:tab/>
      </w:r>
      <w:r>
        <w:rPr>
          <w:rFonts w:ascii="Times New Roman" w:hAnsi="Times New Roman"/>
          <w:noProof/>
          <w:sz w:val="24"/>
        </w:rPr>
        <w:t>EKS 2010, 20.210.–20.213. punkts</w:t>
      </w:r>
    </w:p>
    <w:p w:rsidR="00523A0A" w:rsidRPr="001973D0" w:rsidRDefault="00523A0A" w:rsidP="00523A0A">
      <w:pPr>
        <w:pStyle w:val="BodyText"/>
        <w:tabs>
          <w:tab w:val="left" w:pos="4962"/>
        </w:tabs>
        <w:spacing w:before="0"/>
        <w:ind w:left="0" w:firstLine="0"/>
        <w:jc w:val="both"/>
        <w:rPr>
          <w:rFonts w:ascii="Times New Roman" w:hAnsi="Times New Roman"/>
          <w:noProof/>
          <w:sz w:val="24"/>
        </w:rPr>
      </w:pPr>
      <w:r>
        <w:rPr>
          <w:rFonts w:ascii="Times New Roman" w:hAnsi="Times New Roman"/>
          <w:noProof/>
          <w:sz w:val="24"/>
        </w:rPr>
        <w:t>Pārkārtoti darījumi</w:t>
      </w:r>
      <w:r>
        <w:tab/>
      </w:r>
      <w:r>
        <w:rPr>
          <w:rFonts w:ascii="Times New Roman" w:hAnsi="Times New Roman"/>
          <w:noProof/>
          <w:sz w:val="24"/>
        </w:rPr>
        <w:t>EKS 2010, 1.72.–1.78. punkts</w:t>
      </w:r>
    </w:p>
    <w:p w:rsidR="00523A0A" w:rsidRPr="00FA730F" w:rsidRDefault="00523A0A" w:rsidP="00523A0A">
      <w:pPr>
        <w:rPr>
          <w:rFonts w:ascii="Times New Roman" w:eastAsia="Arial" w:hAnsi="Times New Roman" w:cs="Arial"/>
          <w:noProof/>
          <w:sz w:val="24"/>
          <w:szCs w:val="20"/>
        </w:rPr>
      </w:pPr>
    </w:p>
    <w:p w:rsidR="00506AA9" w:rsidRDefault="00506AA9">
      <w:pPr>
        <w:widowControl/>
        <w:spacing w:after="160" w:line="259" w:lineRule="auto"/>
        <w:rPr>
          <w:rFonts w:ascii="Times New Roman" w:eastAsia="Times New Roman" w:hAnsi="Times New Roman" w:cs="Times New Roman"/>
          <w:noProof/>
          <w:sz w:val="24"/>
          <w:szCs w:val="17"/>
        </w:rPr>
      </w:pPr>
      <w:r>
        <w:rPr>
          <w:rFonts w:ascii="Times New Roman" w:eastAsia="Times New Roman" w:hAnsi="Times New Roman" w:cs="Times New Roman"/>
          <w:noProof/>
          <w:sz w:val="24"/>
          <w:szCs w:val="17"/>
        </w:rPr>
        <w:br w:type="page"/>
      </w:r>
    </w:p>
    <w:p w:rsidR="00506AA9" w:rsidRPr="001973D0" w:rsidRDefault="00455C2F" w:rsidP="00455C2F">
      <w:pPr>
        <w:pStyle w:val="Heading1"/>
        <w:tabs>
          <w:tab w:val="left" w:pos="1418"/>
        </w:tabs>
        <w:rPr>
          <w:noProof/>
        </w:rPr>
      </w:pPr>
      <w:bookmarkStart w:id="418" w:name="_Toc471135912"/>
      <w:r>
        <w:rPr>
          <w:noProof/>
        </w:rPr>
        <w:lastRenderedPageBreak/>
        <w:t>VI daļa.</w:t>
      </w:r>
      <w:r>
        <w:rPr>
          <w:noProof/>
        </w:rPr>
        <w:tab/>
      </w:r>
      <w:r w:rsidR="00506AA9">
        <w:rPr>
          <w:noProof/>
        </w:rPr>
        <w:t>Noma, licences un koncesijas</w:t>
      </w:r>
      <w:bookmarkEnd w:id="418"/>
    </w:p>
    <w:p w:rsidR="00506AA9" w:rsidRPr="001973D0" w:rsidRDefault="00506AA9" w:rsidP="00506AA9">
      <w:pPr>
        <w:jc w:val="both"/>
        <w:rPr>
          <w:rFonts w:ascii="Times New Roman" w:eastAsia="Arial" w:hAnsi="Times New Roman" w:cs="Arial"/>
          <w:b/>
          <w:bCs/>
          <w:noProof/>
          <w:sz w:val="24"/>
          <w:szCs w:val="31"/>
        </w:rPr>
      </w:pPr>
    </w:p>
    <w:p w:rsidR="00506AA9" w:rsidRDefault="00506AA9" w:rsidP="00455C2F">
      <w:pPr>
        <w:pStyle w:val="Heading2"/>
        <w:rPr>
          <w:noProof/>
        </w:rPr>
      </w:pPr>
      <w:bookmarkStart w:id="419" w:name="VI.1_Overview"/>
      <w:bookmarkStart w:id="420" w:name="_bookmark47"/>
      <w:bookmarkStart w:id="421" w:name="_Toc471135913"/>
      <w:bookmarkEnd w:id="419"/>
      <w:bookmarkEnd w:id="420"/>
      <w:r>
        <w:rPr>
          <w:noProof/>
        </w:rPr>
        <w:t>VI.1. Pārskats</w:t>
      </w:r>
      <w:bookmarkEnd w:id="421"/>
    </w:p>
    <w:p w:rsidR="00506AA9" w:rsidRPr="001973D0" w:rsidRDefault="00506AA9" w:rsidP="00506AA9">
      <w:pPr>
        <w:tabs>
          <w:tab w:val="left" w:pos="1462"/>
        </w:tabs>
        <w:jc w:val="both"/>
        <w:rPr>
          <w:rFonts w:ascii="Times New Roman" w:hAnsi="Times New Roman"/>
          <w:b/>
          <w:noProof/>
          <w:sz w:val="24"/>
        </w:rPr>
      </w:pPr>
    </w:p>
    <w:p w:rsidR="00506AA9" w:rsidRDefault="00506AA9" w:rsidP="00506AA9">
      <w:pPr>
        <w:pStyle w:val="Heading4"/>
        <w:tabs>
          <w:tab w:val="left" w:pos="1452"/>
        </w:tabs>
        <w:ind w:left="0" w:firstLine="0"/>
        <w:jc w:val="both"/>
        <w:rPr>
          <w:rFonts w:ascii="Times New Roman" w:hAnsi="Times New Roman"/>
          <w:noProof/>
          <w:u w:val="thick" w:color="000000"/>
        </w:rPr>
      </w:pPr>
      <w:bookmarkStart w:id="422" w:name="VI.1.1_Background_on_general_principles"/>
      <w:bookmarkEnd w:id="422"/>
      <w:r>
        <w:rPr>
          <w:rFonts w:ascii="Times New Roman" w:hAnsi="Times New Roman"/>
          <w:noProof/>
          <w:u w:val="none"/>
        </w:rPr>
        <w:t>VI.1.1. </w:t>
      </w:r>
      <w:r>
        <w:rPr>
          <w:rFonts w:ascii="Times New Roman" w:hAnsi="Times New Roman"/>
          <w:noProof/>
          <w:u w:val="thick" w:color="000000"/>
        </w:rPr>
        <w:t>Vispārējo principu pamatojums</w:t>
      </w:r>
    </w:p>
    <w:p w:rsidR="00506AA9" w:rsidRPr="001973D0" w:rsidRDefault="00506AA9" w:rsidP="00506AA9">
      <w:pPr>
        <w:pStyle w:val="Heading4"/>
        <w:tabs>
          <w:tab w:val="left" w:pos="1452"/>
        </w:tabs>
        <w:ind w:left="0" w:firstLine="0"/>
        <w:jc w:val="both"/>
        <w:rPr>
          <w:rFonts w:ascii="Times New Roman" w:hAnsi="Times New Roman"/>
          <w:noProof/>
          <w:u w:val="thick" w:color="000000"/>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Valdības ieņēmumus veido rentes, nomas maksa, licences maksa, ceļa nodevas, administratīvie maksājumi un honorāri; daži no tiem var tikt veikti, pamatojoties uz valdības piešķirtiem izpirkumnomas līgumiem, koncesijām, publisko un privāto partnerību (PPP) vai komercpilnvarojumu. Nacionālajos kontos tie attiecināmi uz dažādiem darījumu veidiem, kas izskaidroti dažādās EKS 2010 nodaļās, galvenokārt 15. un 20. nodaļā.</w:t>
      </w: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rokasgrāmatas daļā ir atspoguļota problēma, kas saistīta ar valdības produkcijas (preču un pakalpojumu pārdošanas), nodokļu, nomas maksas un aktīvu pārdošanas savstarpēju nošķiršanu. Šo analīzi iedala šādās kategorijās: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41"/>
        </w:numPr>
        <w:tabs>
          <w:tab w:val="left" w:pos="1452"/>
        </w:tabs>
        <w:spacing w:before="0"/>
        <w:ind w:left="1134" w:hanging="425"/>
        <w:jc w:val="both"/>
        <w:rPr>
          <w:rFonts w:ascii="Times New Roman" w:hAnsi="Times New Roman"/>
          <w:noProof/>
          <w:sz w:val="24"/>
        </w:rPr>
      </w:pPr>
      <w:r>
        <w:rPr>
          <w:rFonts w:ascii="Times New Roman" w:hAnsi="Times New Roman"/>
          <w:noProof/>
          <w:sz w:val="24"/>
        </w:rPr>
        <w:t>ieņēmumi no valdības preču un pakalpojumu pārdošanas (ko var piegādāt citas tautsaimniecības vienības);</w:t>
      </w:r>
    </w:p>
    <w:p w:rsidR="00506AA9" w:rsidRPr="001973D0" w:rsidRDefault="00506AA9" w:rsidP="00506AA9">
      <w:pPr>
        <w:pStyle w:val="BodyText"/>
        <w:numPr>
          <w:ilvl w:val="1"/>
          <w:numId w:val="141"/>
        </w:numPr>
        <w:tabs>
          <w:tab w:val="left" w:pos="1452"/>
        </w:tabs>
        <w:spacing w:before="0"/>
        <w:ind w:left="1134" w:hanging="425"/>
        <w:jc w:val="both"/>
        <w:rPr>
          <w:rFonts w:ascii="Times New Roman" w:hAnsi="Times New Roman"/>
          <w:noProof/>
          <w:sz w:val="24"/>
        </w:rPr>
      </w:pPr>
      <w:r>
        <w:rPr>
          <w:rFonts w:ascii="Times New Roman" w:hAnsi="Times New Roman"/>
          <w:noProof/>
          <w:sz w:val="24"/>
        </w:rPr>
        <w:t>ieņēmumi no valdībai piederoša ražota aktīva izmantošanas;</w:t>
      </w:r>
    </w:p>
    <w:p w:rsidR="00506AA9" w:rsidRPr="001973D0" w:rsidRDefault="00506AA9" w:rsidP="00506AA9">
      <w:pPr>
        <w:pStyle w:val="BodyText"/>
        <w:numPr>
          <w:ilvl w:val="1"/>
          <w:numId w:val="141"/>
        </w:numPr>
        <w:tabs>
          <w:tab w:val="left" w:pos="1452"/>
        </w:tabs>
        <w:spacing w:before="0"/>
        <w:ind w:left="1134" w:hanging="425"/>
        <w:jc w:val="both"/>
        <w:rPr>
          <w:rFonts w:ascii="Times New Roman" w:hAnsi="Times New Roman"/>
          <w:noProof/>
          <w:sz w:val="24"/>
        </w:rPr>
      </w:pPr>
      <w:r>
        <w:rPr>
          <w:rFonts w:ascii="Times New Roman" w:hAnsi="Times New Roman"/>
          <w:noProof/>
          <w:sz w:val="24"/>
        </w:rPr>
        <w:t>ieņēmumi no valdībai piederoša neražota aktīva izmantošanas;</w:t>
      </w:r>
    </w:p>
    <w:p w:rsidR="00506AA9" w:rsidRPr="001973D0" w:rsidRDefault="00506AA9" w:rsidP="00506AA9">
      <w:pPr>
        <w:pStyle w:val="BodyText"/>
        <w:numPr>
          <w:ilvl w:val="1"/>
          <w:numId w:val="141"/>
        </w:numPr>
        <w:tabs>
          <w:tab w:val="left" w:pos="1452"/>
        </w:tabs>
        <w:spacing w:before="0"/>
        <w:ind w:left="1134" w:hanging="425"/>
        <w:jc w:val="both"/>
        <w:rPr>
          <w:rFonts w:ascii="Times New Roman" w:hAnsi="Times New Roman"/>
          <w:noProof/>
          <w:sz w:val="24"/>
        </w:rPr>
      </w:pPr>
      <w:r>
        <w:rPr>
          <w:rFonts w:ascii="Times New Roman" w:hAnsi="Times New Roman"/>
          <w:noProof/>
          <w:sz w:val="24"/>
        </w:rPr>
        <w:t>ieņēmumi par valdības izsniegtu atļauju veikt darbību.</w:t>
      </w:r>
    </w:p>
    <w:p w:rsidR="00506AA9" w:rsidRDefault="00506AA9" w:rsidP="00506AA9">
      <w:pPr>
        <w:pStyle w:val="Heading6"/>
        <w:jc w:val="both"/>
        <w:rPr>
          <w:rFonts w:ascii="Times New Roman" w:hAnsi="Times New Roman"/>
          <w:noProof/>
          <w:sz w:val="24"/>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Terminoloģija</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Ņemot vērā, kā dažādi starp valdības vienībām un sabiedrībām var būt noslēgti dažādi ilgtermiņa līgumi (jo īpaši “publiskās un privātās partnerības” veidā) ir jāizskaidro terminoloģija, ko lieto saistībā ar nacionālajiem kontiem. Šajā rokasgrāmatā šī terminoloģija var būt izmantota atšķirīgi no tā, kā tā tiek izmantota citviet.</w:t>
      </w: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Koncesijas – tie parasti ir līgumi attiecībā uz infrastruktūras objektiem, kurus var izmantot komerciāliem mērķiem. Šāda ilgtermiņa līguma gadījumā sabiedrība (vai sabiedrību grupa) ir atbildīga par objekta būvniecību, ekspluatāciju un uzturēšanu, un atlīdzību tā saņem galvenokārt no objekta galapatērētājiem (mājsaimniecībām, sabiedrībām u. tml.), kas maksā ceļa nodevas vai veic citus maksājumus.</w:t>
      </w:r>
    </w:p>
    <w:p w:rsidR="00506AA9" w:rsidRPr="00EE3884"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PPP – arvien vairāk valstīs valdības vienības ir sākušas izmantot sabiedrību (vai sabiedrību grupu vai īpašu sabiedrību) pakalpojumus, lai būvētu, ekspluatētu un uzturētu objektus, kuri ir paredzēti noteiktu publisku pakalpojumu sniegšanai, kas nav parasta komerciālā darbība: valsts slimnīcas, skolas, augstskolas, cietumi u. c. objekti. Terminu “PPP” nacionālajos kontos ir ieteicams izmantot tikai attiecībā uz tiem līgumiem, kuros valdība ir galvenā pakalpojuma pircēja. Šādi līgumi ir apspriesti šīs rokasgrāmatas VI.4. nodaļā.</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Heading4"/>
        <w:tabs>
          <w:tab w:val="left" w:pos="1452"/>
        </w:tabs>
        <w:ind w:left="0" w:firstLine="0"/>
        <w:jc w:val="both"/>
        <w:rPr>
          <w:rFonts w:ascii="Times New Roman" w:hAnsi="Times New Roman"/>
          <w:noProof/>
          <w:u w:val="thick" w:color="000000"/>
        </w:rPr>
      </w:pPr>
      <w:bookmarkStart w:id="423" w:name="VI.1.2_General_treatment_in_national_acc"/>
      <w:bookmarkEnd w:id="423"/>
      <w:r>
        <w:rPr>
          <w:rFonts w:ascii="Times New Roman" w:hAnsi="Times New Roman"/>
          <w:noProof/>
          <w:u w:val="none"/>
        </w:rPr>
        <w:t>VI.1.2. </w:t>
      </w:r>
      <w:r>
        <w:rPr>
          <w:rFonts w:ascii="Times New Roman" w:hAnsi="Times New Roman"/>
          <w:noProof/>
          <w:u w:val="thick" w:color="000000"/>
        </w:rPr>
        <w:t>Vispārējs traktējums nacionālajos kontos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20"/>
        </w:tabs>
        <w:jc w:val="both"/>
        <w:rPr>
          <w:rFonts w:ascii="Times New Roman" w:hAnsi="Times New Roman"/>
          <w:noProof/>
          <w:sz w:val="24"/>
        </w:rPr>
      </w:pPr>
      <w:bookmarkStart w:id="424" w:name="VI.1.2.1_Government_receipts_for_goods_a"/>
      <w:bookmarkEnd w:id="424"/>
      <w:r>
        <w:rPr>
          <w:rFonts w:ascii="Times New Roman" w:hAnsi="Times New Roman"/>
          <w:noProof/>
          <w:sz w:val="24"/>
        </w:rPr>
        <w:t>VI.1.2.1. Valdības ieņēmumi par precēm un pakalpojumiem (ko var nodrošināt citas vienības)</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Saņemtie maksājumi var būt mazāki par ražošanas izmaksām, vienādi ar tām vai lielāki par tām – tas neietekmē klasifikāciju.</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b/>
          <w:noProof/>
          <w:sz w:val="24"/>
        </w:rPr>
        <w:t>Traktējums:</w:t>
      </w:r>
      <w:r w:rsidR="003B17E6">
        <w:rPr>
          <w:rFonts w:ascii="Times New Roman" w:hAnsi="Times New Roman"/>
          <w:noProof/>
          <w:sz w:val="24"/>
        </w:rPr>
        <w:t> ieraksta</w:t>
      </w:r>
      <w:r>
        <w:rPr>
          <w:rFonts w:ascii="Times New Roman" w:hAnsi="Times New Roman"/>
          <w:noProof/>
          <w:sz w:val="24"/>
        </w:rPr>
        <w:t xml:space="preserve"> kā pārdošanu – produkciju (P.1), jo īpaši tirgus produkciju (P.11), ja tiek piemērotas ekonomiski nozīmīgas cenas. Piemēri: ieņēmumi no sniegtas </w:t>
      </w:r>
      <w:r>
        <w:rPr>
          <w:rFonts w:ascii="Times New Roman" w:hAnsi="Times New Roman"/>
          <w:noProof/>
          <w:sz w:val="24"/>
        </w:rPr>
        <w:lastRenderedPageBreak/>
        <w:t>apmācības; maksa par konsultācijām uzņēmumiem vai par pētniecības līgumiem vai darbības īstenošanas spējas (piemēram, transportlīdzekļa vadīšanas) pārbaudi.</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820"/>
        </w:tabs>
        <w:jc w:val="both"/>
        <w:rPr>
          <w:rFonts w:ascii="Times New Roman" w:hAnsi="Times New Roman"/>
          <w:noProof/>
          <w:sz w:val="24"/>
        </w:rPr>
      </w:pPr>
      <w:bookmarkStart w:id="425" w:name="VI.1.2.2_Government_receipt_for_the_use_"/>
      <w:bookmarkEnd w:id="425"/>
      <w:r>
        <w:rPr>
          <w:rFonts w:ascii="Times New Roman" w:hAnsi="Times New Roman"/>
          <w:noProof/>
          <w:sz w:val="24"/>
        </w:rPr>
        <w:t>VI.1.2.2. Maksājumi, ko valdība saņem par ražota aktīva izmantošanu</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Saņemtie maksājumi var būt mazāki par ražošanas izmaksām, vienādi ar tām vai lielāki par tām – tas neietekmē klasifikāciju.</w:t>
      </w: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Atkarībā no laika posma var izšķirt divas saņemto maksājumu apakškategorijas.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numPr>
          <w:ilvl w:val="0"/>
          <w:numId w:val="140"/>
        </w:numPr>
        <w:tabs>
          <w:tab w:val="left" w:pos="1593"/>
        </w:tabs>
        <w:ind w:left="1134" w:hanging="425"/>
        <w:jc w:val="both"/>
        <w:rPr>
          <w:rFonts w:ascii="Times New Roman" w:eastAsia="Arial" w:hAnsi="Times New Roman" w:cs="Arial"/>
          <w:noProof/>
          <w:sz w:val="24"/>
        </w:rPr>
      </w:pPr>
      <w:r>
        <w:rPr>
          <w:rFonts w:ascii="Times New Roman" w:hAnsi="Times New Roman"/>
          <w:noProof/>
          <w:sz w:val="24"/>
        </w:rPr>
        <w:t xml:space="preserve">Maksājumi, kas tiek saņemti </w:t>
      </w:r>
      <w:r>
        <w:rPr>
          <w:rFonts w:ascii="Times New Roman" w:hAnsi="Times New Roman"/>
          <w:b/>
          <w:noProof/>
          <w:sz w:val="24"/>
        </w:rPr>
        <w:t>ikreiz, kad tiek izmantots aktīvs vai tiek veikts kāds maksājums, kas ļauj izmantot aktīvu laika posmā, kurš ir mazāks par vienu gadu</w:t>
      </w:r>
      <w:r>
        <w:rPr>
          <w:rFonts w:ascii="Times New Roman" w:hAnsi="Times New Roman"/>
          <w:noProof/>
          <w:sz w:val="24"/>
        </w:rPr>
        <w:t xml:space="preserve"> (un nav ietverts līgumā, kurā nepieprasa maksājumus izmantošanai ilgākā laika posmā). </w:t>
      </w:r>
      <w:r>
        <w:rPr>
          <w:rFonts w:ascii="Times New Roman" w:hAnsi="Times New Roman"/>
          <w:b/>
          <w:noProof/>
          <w:sz w:val="24"/>
        </w:rPr>
        <w:t>Traktējums:</w:t>
      </w:r>
      <w:r w:rsidR="003B17E6">
        <w:rPr>
          <w:rFonts w:ascii="Times New Roman" w:hAnsi="Times New Roman"/>
          <w:noProof/>
          <w:sz w:val="24"/>
        </w:rPr>
        <w:t> ieraksta</w:t>
      </w:r>
      <w:r>
        <w:rPr>
          <w:rFonts w:ascii="Times New Roman" w:hAnsi="Times New Roman"/>
          <w:noProof/>
          <w:sz w:val="24"/>
        </w:rPr>
        <w:t xml:space="preserve"> kā pārdošanu – produkciju (P.1), jo īpaši tirgus produkciju (P.11), ja tiek piemērotas ekonomiski nozīmīgas cenas.</w:t>
      </w:r>
    </w:p>
    <w:p w:rsidR="00506AA9" w:rsidRPr="001973D0" w:rsidRDefault="00506AA9" w:rsidP="00455C2F">
      <w:pPr>
        <w:pStyle w:val="BodyText"/>
        <w:spacing w:before="0"/>
        <w:ind w:left="1134" w:firstLine="0"/>
        <w:jc w:val="both"/>
        <w:rPr>
          <w:rFonts w:ascii="Times New Roman" w:hAnsi="Times New Roman"/>
          <w:noProof/>
          <w:sz w:val="24"/>
        </w:rPr>
      </w:pPr>
      <w:r>
        <w:rPr>
          <w:rFonts w:ascii="Times New Roman" w:hAnsi="Times New Roman"/>
          <w:noProof/>
          <w:sz w:val="24"/>
        </w:rPr>
        <w:t>Piemēram, valdībai piederošu ēku noma, ceļu un tiltu nodevas, konkrēta ceļa izmantošanas atļauja uz noteiktu laiku, sporta centru vai peldbaseinu izmantošanas maksas, ieejas maksas sabiedriskās ēkās.</w:t>
      </w:r>
    </w:p>
    <w:p w:rsidR="00506AA9" w:rsidRPr="001973D0" w:rsidRDefault="00506AA9" w:rsidP="00506AA9">
      <w:pPr>
        <w:ind w:left="1134" w:hanging="425"/>
        <w:jc w:val="both"/>
        <w:rPr>
          <w:rFonts w:ascii="Times New Roman" w:eastAsia="Arial" w:hAnsi="Times New Roman" w:cs="Arial"/>
          <w:noProof/>
          <w:sz w:val="24"/>
        </w:rPr>
      </w:pPr>
    </w:p>
    <w:p w:rsidR="00506AA9" w:rsidRPr="001973D0" w:rsidRDefault="00506AA9" w:rsidP="00506AA9">
      <w:pPr>
        <w:pStyle w:val="BodyText"/>
        <w:numPr>
          <w:ilvl w:val="0"/>
          <w:numId w:val="140"/>
        </w:numPr>
        <w:tabs>
          <w:tab w:val="left" w:pos="1593"/>
        </w:tabs>
        <w:spacing w:before="0"/>
        <w:ind w:left="1134" w:hanging="425"/>
        <w:jc w:val="both"/>
        <w:rPr>
          <w:rFonts w:ascii="Times New Roman" w:hAnsi="Times New Roman"/>
          <w:noProof/>
          <w:sz w:val="24"/>
        </w:rPr>
      </w:pPr>
      <w:r>
        <w:rPr>
          <w:rFonts w:ascii="Times New Roman" w:hAnsi="Times New Roman"/>
          <w:noProof/>
          <w:sz w:val="24"/>
        </w:rPr>
        <w:t xml:space="preserve">Saņemtais maksājums ir paredzēts līgumā, kas ļauj izmantot aktīvu </w:t>
      </w:r>
      <w:r>
        <w:rPr>
          <w:rFonts w:ascii="Times New Roman" w:hAnsi="Times New Roman"/>
          <w:b/>
          <w:noProof/>
          <w:sz w:val="24"/>
        </w:rPr>
        <w:t>ilgāk par vienu gadu, bet mazāk par ražotā aktīva saimnieciskās izmantošanas laiku</w:t>
      </w:r>
      <w:r>
        <w:rPr>
          <w:rFonts w:ascii="Times New Roman" w:hAnsi="Times New Roman"/>
          <w:noProof/>
          <w:sz w:val="24"/>
        </w:rPr>
        <w:t>, piemēram, koncesijas vai PPP veida līgumi. Saskaņā ar līgumu var pieprasīt vienu vai vairākus atsevišķus maksājumus. Būtiska nozīme ir līguma darbības termiņam, nevis saņemto maksājumu skaitam.</w:t>
      </w:r>
    </w:p>
    <w:p w:rsidR="00506AA9" w:rsidRPr="001973D0" w:rsidRDefault="00506AA9" w:rsidP="00506AA9">
      <w:pPr>
        <w:pStyle w:val="BodyText"/>
        <w:spacing w:before="0"/>
        <w:ind w:left="1134" w:hanging="425"/>
        <w:jc w:val="both"/>
        <w:rPr>
          <w:rFonts w:ascii="Times New Roman" w:hAnsi="Times New Roman"/>
          <w:noProof/>
          <w:sz w:val="24"/>
        </w:rPr>
      </w:pPr>
      <w:r>
        <w:rPr>
          <w:rFonts w:ascii="Times New Roman" w:hAnsi="Times New Roman"/>
          <w:b/>
          <w:noProof/>
          <w:sz w:val="24"/>
        </w:rPr>
        <w:t>Traktējums:</w:t>
      </w:r>
      <w:r>
        <w:t xml:space="preserve"> </w:t>
      </w:r>
      <w:r>
        <w:rPr>
          <w:rFonts w:ascii="Times New Roman" w:hAnsi="Times New Roman"/>
          <w:noProof/>
          <w:sz w:val="24"/>
        </w:rPr>
        <w:t>piemēro operatīvās nomas/finanšu nomas testu (EKS 2010 15.11. punkts un 15.16.–15.18. punkts), bet PPP gadījumā ir jāizvērtē risku sadalījums (sk. VI.4. nodaļu “Publiskā un privātā partnerība”). Kaut arī, visticamāk, valdība neuzskatītu, ka tā nodarbojas ar finanšu nomas nodrošināšanu</w:t>
      </w:r>
      <w:r w:rsidR="003B17E6">
        <w:rPr>
          <w:rFonts w:ascii="Times New Roman" w:hAnsi="Times New Roman"/>
          <w:noProof/>
          <w:sz w:val="24"/>
        </w:rPr>
        <w:t>, varētu būt piemēroti ierakstīt</w:t>
      </w:r>
      <w:r>
        <w:rPr>
          <w:rFonts w:ascii="Times New Roman" w:hAnsi="Times New Roman"/>
          <w:noProof/>
          <w:sz w:val="24"/>
        </w:rPr>
        <w:t xml:space="preserve"> valdības aktīva pārdošanu tad, kad vienība, kura to pērk, uzņemas lielāko daļu ar īpašumtiesībām saistīto risku un priekšrocību uz līgumā noteikto laiku.</w:t>
      </w:r>
    </w:p>
    <w:p w:rsidR="00506AA9"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 xml:space="preserve">Operatīvā noma un PPP, kad var uzskatīt, ka valdība ir aktīvu </w:t>
      </w:r>
      <w:r w:rsidR="003B17E6">
        <w:rPr>
          <w:rFonts w:ascii="Times New Roman" w:hAnsi="Times New Roman"/>
          <w:noProof/>
          <w:sz w:val="24"/>
        </w:rPr>
        <w:t>ekonomiskais īpašnieks: ieraksta</w:t>
      </w:r>
      <w:r>
        <w:rPr>
          <w:rFonts w:ascii="Times New Roman" w:hAnsi="Times New Roman"/>
          <w:noProof/>
          <w:sz w:val="24"/>
        </w:rPr>
        <w:t xml:space="preserve"> kā nomas maksu (P.1) (viena sākotnējā maksājuma gadījumā būtu jāveic uzkrājumi līguma darbības l</w:t>
      </w:r>
      <w:r w:rsidR="003B17E6">
        <w:rPr>
          <w:rFonts w:ascii="Times New Roman" w:hAnsi="Times New Roman"/>
          <w:noProof/>
          <w:sz w:val="24"/>
        </w:rPr>
        <w:t>aikā un priekšapmaksa jāieraksta</w:t>
      </w:r>
      <w:r>
        <w:rPr>
          <w:rFonts w:ascii="Times New Roman" w:hAnsi="Times New Roman"/>
          <w:noProof/>
          <w:sz w:val="24"/>
        </w:rPr>
        <w:t xml:space="preserve"> kā finansiāls avanss (F.8)).</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Piemēri: viens priekšapmaksas maksājums no uzņēmuma, lai tas piecus gadus varētu izmantot v</w:t>
      </w:r>
      <w:r w:rsidR="003B17E6">
        <w:rPr>
          <w:rFonts w:ascii="Times New Roman" w:hAnsi="Times New Roman"/>
          <w:noProof/>
          <w:sz w:val="24"/>
        </w:rPr>
        <w:t>aldībai piederošu ēku – ieraksta</w:t>
      </w:r>
      <w:r>
        <w:rPr>
          <w:rFonts w:ascii="Times New Roman" w:hAnsi="Times New Roman"/>
          <w:noProof/>
          <w:sz w:val="24"/>
        </w:rPr>
        <w:t xml:space="preserve"> kā nomas maksu (P.1), uzkrāj piecus gadus ilgā laika posmā un pozīcijā “citas kre</w:t>
      </w:r>
      <w:r w:rsidR="003B17E6">
        <w:rPr>
          <w:rFonts w:ascii="Times New Roman" w:hAnsi="Times New Roman"/>
          <w:noProof/>
          <w:sz w:val="24"/>
        </w:rPr>
        <w:t>ditoru saistības” (F.8) ieraksta</w:t>
      </w:r>
      <w:r>
        <w:rPr>
          <w:rFonts w:ascii="Times New Roman" w:hAnsi="Times New Roman"/>
          <w:noProof/>
          <w:sz w:val="24"/>
        </w:rPr>
        <w:t xml:space="preserve"> finanšu saistības.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20"/>
        </w:tabs>
        <w:jc w:val="both"/>
        <w:rPr>
          <w:rFonts w:ascii="Times New Roman" w:hAnsi="Times New Roman"/>
          <w:noProof/>
          <w:sz w:val="24"/>
        </w:rPr>
      </w:pPr>
      <w:bookmarkStart w:id="426" w:name="VI.1.2.3_Government_receipts_for_the_use"/>
      <w:bookmarkEnd w:id="426"/>
      <w:r>
        <w:rPr>
          <w:rFonts w:ascii="Times New Roman" w:hAnsi="Times New Roman"/>
          <w:noProof/>
          <w:sz w:val="24"/>
        </w:rPr>
        <w:t>VI.1.2.3. Maksājumi, ko valdība saņem par dabas resursu izmantošanu</w:t>
      </w:r>
    </w:p>
    <w:p w:rsidR="00506AA9" w:rsidRPr="001973D0" w:rsidRDefault="00506AA9" w:rsidP="00506AA9">
      <w:pPr>
        <w:pStyle w:val="Heading6"/>
        <w:tabs>
          <w:tab w:val="left" w:pos="1820"/>
        </w:tabs>
        <w:jc w:val="both"/>
        <w:rPr>
          <w:rFonts w:ascii="Times New Roman" w:hAnsi="Times New Roman"/>
          <w:noProof/>
          <w:sz w:val="24"/>
        </w:rPr>
      </w:pP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Valdības dabas resursi (AN.21) ir zeme, pazemes aktīvi un citi materiāli dabas aktīvi, attiecībā uz kuriem valdības īpašumtiesības ir noteiktas tiesību aktos vai starptautiskos nolīgumos vai konvencijās un kuri var vai nevar piederēt citām ekonomikas vienībām vai kurus var vai nevar tirgot šādām vienībām. Minētajā kategorijā neietilpst:</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9"/>
        </w:numPr>
        <w:tabs>
          <w:tab w:val="left" w:pos="1462"/>
        </w:tabs>
        <w:spacing w:before="0"/>
        <w:ind w:left="1134" w:hanging="425"/>
        <w:jc w:val="both"/>
        <w:rPr>
          <w:rFonts w:ascii="Times New Roman" w:hAnsi="Times New Roman"/>
          <w:noProof/>
          <w:sz w:val="24"/>
        </w:rPr>
      </w:pPr>
      <w:r>
        <w:rPr>
          <w:rFonts w:ascii="Times New Roman" w:hAnsi="Times New Roman"/>
          <w:noProof/>
          <w:sz w:val="24"/>
        </w:rPr>
        <w:t>maksājumi, ko valdība saņem par dabas resursu izmantošanu, ja šādi maksājumi izriet no īpašiem tiesību aktiem, kuros valdībai ir paredzētas tiesības tos pieprasīt, ja valdība nav šo aktīvu likumīgā vai ekonomiskā īpašniece;</w:t>
      </w:r>
    </w:p>
    <w:p w:rsidR="00506AA9" w:rsidRPr="001973D0" w:rsidRDefault="00506AA9" w:rsidP="00506AA9">
      <w:pPr>
        <w:pStyle w:val="BodyText"/>
        <w:numPr>
          <w:ilvl w:val="0"/>
          <w:numId w:val="139"/>
        </w:numPr>
        <w:tabs>
          <w:tab w:val="left" w:pos="1462"/>
        </w:tabs>
        <w:spacing w:before="0"/>
        <w:ind w:left="1134" w:hanging="425"/>
        <w:jc w:val="both"/>
        <w:rPr>
          <w:rFonts w:ascii="Times New Roman" w:hAnsi="Times New Roman"/>
          <w:noProof/>
          <w:sz w:val="24"/>
        </w:rPr>
      </w:pPr>
      <w:r>
        <w:rPr>
          <w:rFonts w:ascii="Times New Roman" w:hAnsi="Times New Roman"/>
          <w:noProof/>
          <w:sz w:val="24"/>
        </w:rPr>
        <w:t>maksājumi, ko valdība saņem, kad tā nav ekonomiskā īpašniece vai kad ekonomiskās īpašumtiesības nav noteiktas un nav pamata valdību uzskatīt par aktīvu ekonomisko īpašnieci;</w:t>
      </w:r>
    </w:p>
    <w:p w:rsidR="00506AA9" w:rsidRPr="001973D0" w:rsidRDefault="00506AA9" w:rsidP="00506AA9">
      <w:pPr>
        <w:pStyle w:val="BodyText"/>
        <w:numPr>
          <w:ilvl w:val="0"/>
          <w:numId w:val="139"/>
        </w:numPr>
        <w:tabs>
          <w:tab w:val="left" w:pos="1462"/>
        </w:tabs>
        <w:spacing w:before="0"/>
        <w:ind w:left="1134" w:hanging="425"/>
        <w:jc w:val="both"/>
        <w:rPr>
          <w:rFonts w:ascii="Times New Roman" w:hAnsi="Times New Roman"/>
          <w:noProof/>
          <w:sz w:val="24"/>
        </w:rPr>
      </w:pPr>
      <w:r>
        <w:rPr>
          <w:rFonts w:ascii="Times New Roman" w:hAnsi="Times New Roman"/>
          <w:noProof/>
          <w:sz w:val="24"/>
        </w:rPr>
        <w:lastRenderedPageBreak/>
        <w:t>“vides aktīvi”, kuri EKS 2010 netiek uzskatīti par ekonomiskajiem aktīviem (sk. 7. nodaļas “Bilance” 7.1. pielikumu);</w:t>
      </w:r>
    </w:p>
    <w:p w:rsidR="00506AA9" w:rsidRDefault="00506AA9" w:rsidP="00506AA9">
      <w:pPr>
        <w:pStyle w:val="BodyText"/>
        <w:numPr>
          <w:ilvl w:val="0"/>
          <w:numId w:val="139"/>
        </w:numPr>
        <w:tabs>
          <w:tab w:val="left" w:pos="1422"/>
        </w:tabs>
        <w:spacing w:before="0"/>
        <w:ind w:left="1134" w:hanging="425"/>
        <w:jc w:val="both"/>
        <w:rPr>
          <w:rFonts w:ascii="Times New Roman" w:hAnsi="Times New Roman"/>
          <w:noProof/>
          <w:sz w:val="24"/>
        </w:rPr>
      </w:pPr>
      <w:r>
        <w:rPr>
          <w:rFonts w:ascii="Times New Roman" w:hAnsi="Times New Roman"/>
          <w:noProof/>
          <w:sz w:val="24"/>
        </w:rPr>
        <w:t>netiešie ieņēmumi no dabas resursiem, piemēram, dividendes no publiskām sabiedrībām, kuras izmanto dabas resursus, un uzņēmumu nodoklis no sabiedrībām, kuras izmanto dabas resursus (EKS 2010 15.30. punkts).</w:t>
      </w:r>
    </w:p>
    <w:p w:rsidR="00506AA9" w:rsidRPr="001973D0" w:rsidRDefault="00506AA9" w:rsidP="00506AA9">
      <w:pPr>
        <w:pStyle w:val="BodyText"/>
        <w:tabs>
          <w:tab w:val="left" w:pos="1422"/>
        </w:tabs>
        <w:spacing w:before="0"/>
        <w:ind w:left="0" w:firstLine="0"/>
        <w:jc w:val="both"/>
        <w:rPr>
          <w:rFonts w:ascii="Times New Roman" w:hAnsi="Times New Roman"/>
          <w:noProof/>
          <w:sz w:val="24"/>
        </w:rPr>
      </w:pPr>
    </w:p>
    <w:p w:rsidR="00506AA9"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Ieņēmumos no dabas resursu izmantošanas ietilpst šādi divi maksājumu veidi:</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8"/>
        </w:numPr>
        <w:tabs>
          <w:tab w:val="left" w:pos="1422"/>
        </w:tabs>
        <w:spacing w:before="0"/>
        <w:ind w:left="1134" w:hanging="425"/>
        <w:jc w:val="both"/>
        <w:rPr>
          <w:rFonts w:ascii="Times New Roman" w:hAnsi="Times New Roman"/>
          <w:noProof/>
          <w:sz w:val="24"/>
        </w:rPr>
      </w:pPr>
      <w:r>
        <w:rPr>
          <w:rFonts w:ascii="Times New Roman" w:hAnsi="Times New Roman"/>
          <w:noProof/>
          <w:sz w:val="24"/>
        </w:rPr>
        <w:t>maksājumi, ko veic ikreiz, kad tiek izmantots aktīvs vai tiek veikts vienreizējs maksājums, kas ļauj izmantot aktīvu noteiktā laika posmā;</w:t>
      </w:r>
    </w:p>
    <w:p w:rsidR="00506AA9" w:rsidRDefault="00506AA9" w:rsidP="00506AA9">
      <w:pPr>
        <w:pStyle w:val="BodyText"/>
        <w:numPr>
          <w:ilvl w:val="0"/>
          <w:numId w:val="138"/>
        </w:numPr>
        <w:tabs>
          <w:tab w:val="left" w:pos="1422"/>
        </w:tabs>
        <w:spacing w:before="0"/>
        <w:ind w:left="1134" w:hanging="425"/>
        <w:jc w:val="both"/>
        <w:rPr>
          <w:rFonts w:ascii="Times New Roman" w:hAnsi="Times New Roman"/>
          <w:noProof/>
          <w:sz w:val="24"/>
        </w:rPr>
      </w:pPr>
      <w:r>
        <w:rPr>
          <w:rFonts w:ascii="Times New Roman" w:hAnsi="Times New Roman"/>
          <w:noProof/>
          <w:sz w:val="24"/>
        </w:rPr>
        <w:t>valdība dara pieejamus dabas resursus, izmantojot nomu, licences vai atļaujas, ko piemēro noteiktā laika posmā.</w:t>
      </w:r>
    </w:p>
    <w:p w:rsidR="00506AA9" w:rsidRPr="001973D0" w:rsidRDefault="00506AA9" w:rsidP="00506AA9">
      <w:pPr>
        <w:pStyle w:val="BodyText"/>
        <w:tabs>
          <w:tab w:val="left" w:pos="1422"/>
        </w:tabs>
        <w:spacing w:before="0"/>
        <w:ind w:left="0" w:firstLine="0"/>
        <w:jc w:val="both"/>
        <w:rPr>
          <w:rFonts w:ascii="Times New Roman" w:hAnsi="Times New Roman"/>
          <w:noProof/>
          <w:sz w:val="24"/>
        </w:rPr>
      </w:pPr>
    </w:p>
    <w:p w:rsidR="00506AA9" w:rsidRPr="001973D0" w:rsidRDefault="003B17E6"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Traktējums: ieraksta</w:t>
      </w:r>
      <w:r w:rsidR="00506AA9">
        <w:rPr>
          <w:rFonts w:ascii="Times New Roman" w:hAnsi="Times New Roman"/>
          <w:noProof/>
          <w:sz w:val="24"/>
        </w:rPr>
        <w:t xml:space="preserve"> kā renti (D.45) (viena sākotnējā maksājuma gadījumā tas ir jāuzkrāj līguma darbības laikā un priekšapmaksa jāreģistrē kā finansiāla avansa saistības (F.8)). Piemērs. Valdība saņem maksājumus par naftas ieguvi.</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Piemēram, ja uzņēmums veic vienreizēju maksājumu šelfa naftas rezervju izmantoš</w:t>
      </w:r>
      <w:r w:rsidR="003B17E6">
        <w:rPr>
          <w:rFonts w:ascii="Times New Roman" w:hAnsi="Times New Roman"/>
          <w:noProof/>
          <w:sz w:val="24"/>
        </w:rPr>
        <w:t>anai uz pieciem gadiem: ieraksta</w:t>
      </w:r>
      <w:r>
        <w:rPr>
          <w:rFonts w:ascii="Times New Roman" w:hAnsi="Times New Roman"/>
          <w:noProof/>
          <w:sz w:val="24"/>
        </w:rPr>
        <w:t xml:space="preserve"> renti (D.45), ko uzkrāj piecus ga</w:t>
      </w:r>
      <w:r w:rsidR="003B17E6">
        <w:rPr>
          <w:rFonts w:ascii="Times New Roman" w:hAnsi="Times New Roman"/>
          <w:noProof/>
          <w:sz w:val="24"/>
        </w:rPr>
        <w:t>dus ilgā laika posmā un ieraksta</w:t>
      </w:r>
      <w:r>
        <w:rPr>
          <w:rFonts w:ascii="Times New Roman" w:hAnsi="Times New Roman"/>
          <w:noProof/>
          <w:sz w:val="24"/>
        </w:rPr>
        <w:t xml:space="preserve"> kā priekšapmaksu pozīcijā F.8. Jāņem vērā, ka neražoti aktīvi (AN.22 “līgumi, nomas līgumi un licences”) tiks norādīti nomnieka uzņēmuma bilancē, ja pēc tam tirgū pastāvošais rentes līmenis pārsniedz līguma noteikto renti un minētajam uzņēmumam ir tiesības nodot tiesības trešai pusei (noma ar tiesībām nodot apakšnomā).</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Ja valdības saņemtais maksājums par tās dabas resursu izmantošanu attiecas uz laika posmu, kas ir vienāds ar to atlikušo ekonomisko mūžu va</w:t>
      </w:r>
      <w:r w:rsidR="003B17E6">
        <w:rPr>
          <w:rFonts w:ascii="Times New Roman" w:hAnsi="Times New Roman"/>
          <w:noProof/>
          <w:sz w:val="24"/>
        </w:rPr>
        <w:t>i garāks par to, tad to ieraksta</w:t>
      </w:r>
      <w:r>
        <w:rPr>
          <w:rFonts w:ascii="Times New Roman" w:hAnsi="Times New Roman"/>
          <w:noProof/>
          <w:sz w:val="24"/>
        </w:rPr>
        <w:t xml:space="preserve"> kā neražota aktīva pārdošanu (NP.1). Piemēram, iznomādama zemi izmantošanai uz neierobežotu termiņu, valdība saimnieciskā ziņā faktiski rīkojas tā, it kā tā šo zemi pārdotu. Ierobežota termiņa nomas gadījumā šāda situācija iespējama reti, jo dabas resursu vērtība nesamazinās tā, kā tā samazinās ražotu aktīvu gadījumā, līdz ar to bieži vien tiem ir neierobežoti ilgs ekonomiskais mūžs, taču vērtības samazinājums iespējams, piemēram, kad tiek izsmelti naftas krājumi vai noveco tehnoloģija.</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780"/>
        </w:tabs>
        <w:jc w:val="both"/>
        <w:rPr>
          <w:rFonts w:ascii="Times New Roman" w:hAnsi="Times New Roman"/>
          <w:noProof/>
          <w:sz w:val="24"/>
        </w:rPr>
      </w:pPr>
      <w:bookmarkStart w:id="427" w:name="VI.1.2.4_Note_on_non-produced_assets_(AN"/>
      <w:bookmarkEnd w:id="427"/>
      <w:r>
        <w:rPr>
          <w:rFonts w:ascii="Times New Roman" w:hAnsi="Times New Roman"/>
          <w:noProof/>
          <w:sz w:val="24"/>
        </w:rPr>
        <w:t>VI.1.2.4. Piezīme par neražotiem aktīviem (AN.22)</w:t>
      </w:r>
    </w:p>
    <w:p w:rsidR="00506AA9" w:rsidRPr="001973D0" w:rsidRDefault="00506AA9" w:rsidP="00506AA9">
      <w:pPr>
        <w:pStyle w:val="Heading6"/>
        <w:tabs>
          <w:tab w:val="left" w:pos="1780"/>
        </w:tabs>
        <w:jc w:val="both"/>
        <w:rPr>
          <w:rFonts w:ascii="Times New Roman" w:hAnsi="Times New Roman"/>
          <w:noProof/>
          <w:sz w:val="24"/>
        </w:rPr>
      </w:pP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Neražotu aktīvu iegādi vai </w:t>
      </w:r>
      <w:r w:rsidR="003B17E6">
        <w:rPr>
          <w:rFonts w:ascii="Times New Roman" w:hAnsi="Times New Roman"/>
          <w:noProof/>
          <w:sz w:val="24"/>
        </w:rPr>
        <w:t>realizāciju (NP.1–NP.3) ieraksta</w:t>
      </w:r>
      <w:r>
        <w:rPr>
          <w:rFonts w:ascii="Times New Roman" w:hAnsi="Times New Roman"/>
          <w:noProof/>
          <w:sz w:val="24"/>
        </w:rPr>
        <w:t xml:space="preserve"> tikai noteiktos gadījumos. Parasti maksājumus par nomu, komercpiln</w:t>
      </w:r>
      <w:r w:rsidR="003B17E6">
        <w:rPr>
          <w:rFonts w:ascii="Times New Roman" w:hAnsi="Times New Roman"/>
          <w:noProof/>
          <w:sz w:val="24"/>
        </w:rPr>
        <w:t>varojumu vai koncesijām ieraksta</w:t>
      </w:r>
      <w:r>
        <w:rPr>
          <w:rFonts w:ascii="Times New Roman" w:hAnsi="Times New Roman"/>
          <w:noProof/>
          <w:sz w:val="24"/>
        </w:rPr>
        <w:t xml:space="preserve"> kā pakalpojumu pārdošanu (“nomas maksa” P.1) vai renti (D.45), vai kā tāda ražota aktīva pārdošanu, ko izmanto (P.51g – finanšu nomā, NP.1 – resursu nomā) atbilstīgi tam, kā izklāstīts iepriekš.</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EKS 2010 6.06. punkta g) apakšpunktā n</w:t>
      </w:r>
      <w:r w:rsidR="003B17E6">
        <w:rPr>
          <w:rFonts w:ascii="Times New Roman" w:hAnsi="Times New Roman"/>
          <w:noProof/>
          <w:sz w:val="24"/>
        </w:rPr>
        <w:t>oteikts gadījums, kad jāieraksta</w:t>
      </w:r>
      <w:r>
        <w:rPr>
          <w:rFonts w:ascii="Times New Roman" w:hAnsi="Times New Roman"/>
          <w:noProof/>
          <w:sz w:val="24"/>
        </w:rPr>
        <w:t xml:space="preserve"> darījums ar neražotu a</w:t>
      </w:r>
      <w:r w:rsidR="003B17E6">
        <w:rPr>
          <w:rFonts w:ascii="Times New Roman" w:hAnsi="Times New Roman"/>
          <w:noProof/>
          <w:sz w:val="24"/>
        </w:rPr>
        <w:t>ktīvu – šāds darījums jāieraksta</w:t>
      </w:r>
      <w:r>
        <w:rPr>
          <w:rFonts w:ascii="Times New Roman" w:hAnsi="Times New Roman"/>
          <w:noProof/>
          <w:sz w:val="24"/>
        </w:rPr>
        <w:t>, kad vienībai (otrai pusei) ir tiesības pirkt pakalpojumus vai nomāt par noteiktu cenu no pirmās puses un šī cena ir zemāka par pastāvošo tirgus cenu un vienība nodod šīs tiesības citai vienībai (trešai pusei). Šādi aktīvi rodas, piemēram, gadījumos, kad par cenu, kas jāmaksā par pakalpojumu patērēšanu, ir panākta vienošanās, vai tā ir samaksāta iepriekš par vairākiem gadiem saskaņā ar līgumu un vēlāk faktiskā tirgus cena kļūst lielāka par līgumcenu.</w:t>
      </w:r>
    </w:p>
    <w:p w:rsidR="00506AA9" w:rsidRPr="00EE3884"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Piemērs. Vienība (B vienība) iegādājas pakalpojumus uz pieciem gadiem no citas vienības (A vienība) par tirgus vērtību laikā, kad tiek noslēgts līgums. B vienība veic priekšapm</w:t>
      </w:r>
      <w:r w:rsidR="003B17E6">
        <w:rPr>
          <w:rFonts w:ascii="Times New Roman" w:hAnsi="Times New Roman"/>
          <w:noProof/>
          <w:sz w:val="24"/>
        </w:rPr>
        <w:t>aksu. B vienības kontos ieraksta</w:t>
      </w:r>
      <w:r>
        <w:rPr>
          <w:rFonts w:ascii="Times New Roman" w:hAnsi="Times New Roman"/>
          <w:noProof/>
          <w:sz w:val="24"/>
        </w:rPr>
        <w:t xml:space="preserve"> regulārus maksājumus par pakalpojumiem un pozīcijā F.8 att</w:t>
      </w:r>
      <w:r w:rsidR="003B17E6">
        <w:rPr>
          <w:rFonts w:ascii="Times New Roman" w:hAnsi="Times New Roman"/>
          <w:noProof/>
          <w:sz w:val="24"/>
        </w:rPr>
        <w:t>iecībā uz priekšapmaksu ieraksta</w:t>
      </w:r>
      <w:r>
        <w:rPr>
          <w:rFonts w:ascii="Times New Roman" w:hAnsi="Times New Roman"/>
          <w:noProof/>
          <w:sz w:val="24"/>
        </w:rPr>
        <w:t xml:space="preserve"> finanšu aktīvu, ko līguma darbības laikā pakāpeniski samazina. Pieņemsim, ka pēc diviem gadiem B vienība pārdod šīs tiesības uz pakalpojuma saņemšanu trešajai vienībai (C vienībai) par summu, kas ir </w:t>
      </w:r>
      <w:r>
        <w:rPr>
          <w:rFonts w:ascii="Times New Roman" w:hAnsi="Times New Roman"/>
          <w:noProof/>
          <w:sz w:val="24"/>
        </w:rPr>
        <w:lastRenderedPageBreak/>
        <w:t>lielāka par summu, ko tai vajadzētu maksāt pašai (atlikusī priekšapmaksas finanšu aktīva vērtība). B vienības kontos norāda saņemtu maksājumu, kas sadalīts starp summu, par kādu nopirkts AF.8 priekšapmaksas finanšu aktīvs, un neražota aktīva pārdošanu (AN.22), kurš rodas B vienības kontos kā K.7 turēšanas guvumi un zaudējumi (ja līguma sākumā bija noteikta pārvedama vērtība, tad AN.22 aktīvu sākotnēji norāda, izmantojot K.1 “Aktīvu iesaistīšana ekonomikā”) kontā “Citas aktīvu</w:t>
      </w:r>
      <w:r w:rsidR="003B17E6">
        <w:rPr>
          <w:rFonts w:ascii="Times New Roman" w:hAnsi="Times New Roman"/>
          <w:noProof/>
          <w:sz w:val="24"/>
        </w:rPr>
        <w:t xml:space="preserve"> apjoma pārmaiņas” un ierakstīts</w:t>
      </w:r>
      <w:r>
        <w:rPr>
          <w:rFonts w:ascii="Times New Roman" w:hAnsi="Times New Roman"/>
          <w:noProof/>
          <w:sz w:val="24"/>
        </w:rPr>
        <w:t xml:space="preserve"> B vienības bilancē kā AN.22 aktīvs (“līgumi, nomas līgumi un licences”). AN.22 neražotu nefinanš</w:t>
      </w:r>
      <w:r w:rsidR="003B17E6">
        <w:rPr>
          <w:rFonts w:ascii="Times New Roman" w:hAnsi="Times New Roman"/>
          <w:noProof/>
          <w:sz w:val="24"/>
        </w:rPr>
        <w:t>u aktīvu pārdošana ir ierakstīta</w:t>
      </w:r>
      <w:r>
        <w:rPr>
          <w:rFonts w:ascii="Times New Roman" w:hAnsi="Times New Roman"/>
          <w:noProof/>
          <w:sz w:val="24"/>
        </w:rPr>
        <w:t xml:space="preserve"> kā NP.2. Pircēja (C vienības) bilancē būtu gan finanšu aktīvs, gan neražotais aktīvs, un pircējs par sākotnējo līgumcenu (atbils</w:t>
      </w:r>
      <w:r w:rsidR="003B17E6">
        <w:rPr>
          <w:rFonts w:ascii="Times New Roman" w:hAnsi="Times New Roman"/>
          <w:noProof/>
          <w:sz w:val="24"/>
        </w:rPr>
        <w:t>toši finanšu aktīvam) ierakstītu</w:t>
      </w:r>
      <w:r>
        <w:rPr>
          <w:rFonts w:ascii="Times New Roman" w:hAnsi="Times New Roman"/>
          <w:noProof/>
          <w:sz w:val="24"/>
        </w:rPr>
        <w:t xml:space="preserve"> maksājumus par pakalpojumiem, bet, pieņemot, ka tirgus vērtība nemainās, neražotā aktīva amo</w:t>
      </w:r>
      <w:r w:rsidR="003B17E6">
        <w:rPr>
          <w:rFonts w:ascii="Times New Roman" w:hAnsi="Times New Roman"/>
          <w:noProof/>
          <w:sz w:val="24"/>
        </w:rPr>
        <w:t>rtizāciju pakāpeniski ierakstītu</w:t>
      </w:r>
      <w:r>
        <w:rPr>
          <w:rFonts w:ascii="Times New Roman" w:hAnsi="Times New Roman"/>
          <w:noProof/>
          <w:sz w:val="24"/>
        </w:rPr>
        <w:t xml:space="preserve"> C vienības kontos postenī K.2 “Neražoto aktīvu izslēgšana no ekonomikas” (sk. EKS 2010 6.07. punktu).</w:t>
      </w: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Neražotu aktī</w:t>
      </w:r>
      <w:r w:rsidR="003B17E6">
        <w:rPr>
          <w:rFonts w:ascii="Times New Roman" w:hAnsi="Times New Roman"/>
          <w:noProof/>
          <w:sz w:val="24"/>
        </w:rPr>
        <w:t>vu pārdošanu iespējams ierakstīt</w:t>
      </w:r>
      <w:r>
        <w:rPr>
          <w:rFonts w:ascii="Times New Roman" w:hAnsi="Times New Roman"/>
          <w:noProof/>
          <w:sz w:val="24"/>
        </w:rPr>
        <w:t xml:space="preserve"> arī citos gadījumos, piemēram, tajos, kas izklāstīti turpmāk (VI.1.3.4. apakšiedaļā “Maksājumi, ko valdība saņem par atļaujām, kas piešķirtas kādas darbības veikšanai”).</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20"/>
        </w:tabs>
        <w:jc w:val="both"/>
        <w:rPr>
          <w:rFonts w:ascii="Times New Roman" w:hAnsi="Times New Roman"/>
          <w:noProof/>
          <w:sz w:val="24"/>
        </w:rPr>
      </w:pPr>
      <w:bookmarkStart w:id="428" w:name="VI.1.2.5_Government_receipts_in_return_f"/>
      <w:bookmarkEnd w:id="428"/>
      <w:r>
        <w:rPr>
          <w:rFonts w:ascii="Times New Roman" w:hAnsi="Times New Roman"/>
          <w:noProof/>
          <w:sz w:val="24"/>
        </w:rPr>
        <w:t>VI.1.2.5. Maksājumi, ko valdība saņem par atļaujas izsniegšanu darbības veikšanai</w:t>
      </w:r>
    </w:p>
    <w:p w:rsidR="00506AA9" w:rsidRPr="001973D0" w:rsidRDefault="00506AA9" w:rsidP="00506AA9">
      <w:pPr>
        <w:pStyle w:val="Heading6"/>
        <w:tabs>
          <w:tab w:val="left" w:pos="1820"/>
        </w:tabs>
        <w:jc w:val="both"/>
        <w:rPr>
          <w:rFonts w:ascii="Times New Roman" w:hAnsi="Times New Roman"/>
          <w:noProof/>
          <w:sz w:val="24"/>
        </w:rPr>
      </w:pP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kategorijā neietilpst maksājumi par valdībai piederoša aktīva izmantošanu – šādi aktīvi jau ir apspriesti iepriekš. Tie var būt saistīti ar maksātājam piederoša aktīva izmantošanu vai tāda aktīva izmantošanu, kas nepieder ne maksātājam, ne valdībai, vai vispār var nebūt saistīti ar aktīviem. Galvenais ir tas, ka juridiski darbības veikšanai ir nepieciešama valdības atļauja un tādēļ tas nav maksājums, kuru varētu pieprasīt citas tautsaimniecības vienības. Papildus administratīvajai kārtībai, kura ir nepieciešama atļaujas izsniegšanai un noteikumu piemērošanai, valdība var sniegt (vai nesniegt) maksātājam vai sabiedrībai pakalpojumu (atbilstības novērtējumu, kvalitāt</w:t>
      </w:r>
      <w:r w:rsidR="003B17E6">
        <w:rPr>
          <w:rFonts w:ascii="Times New Roman" w:hAnsi="Times New Roman"/>
          <w:noProof/>
          <w:sz w:val="24"/>
        </w:rPr>
        <w:t>es pārbaudes u. c.). To ieraksta</w:t>
      </w:r>
      <w:r>
        <w:rPr>
          <w:rFonts w:ascii="Times New Roman" w:hAnsi="Times New Roman"/>
          <w:noProof/>
          <w:sz w:val="24"/>
        </w:rPr>
        <w:t xml:space="preserve"> kā pakalpojuma pārdošanu (A gadījums) vai nodokli (B gadījums) atkarībā no apstākļiem, kas izklāstīti turpmāk un EKS 2010 4.23. punkta e) apakšpunktā un 4.79. punkta d) apakšpunktā, vai īpašos gadījumos kā nefinanšu neražota aktīva pārdošanu (C gadījums).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pStyle w:val="Heading6"/>
        <w:jc w:val="both"/>
        <w:rPr>
          <w:rFonts w:ascii="Times New Roman" w:hAnsi="Times New Roman"/>
          <w:b w:val="0"/>
          <w:noProof/>
          <w:sz w:val="24"/>
        </w:rPr>
      </w:pPr>
      <w:r>
        <w:rPr>
          <w:rFonts w:ascii="Times New Roman" w:hAnsi="Times New Roman"/>
          <w:noProof/>
          <w:sz w:val="24"/>
        </w:rPr>
        <w:t>Traktējums:</w:t>
      </w:r>
    </w:p>
    <w:p w:rsidR="00506AA9" w:rsidRPr="00EE3884" w:rsidRDefault="00506AA9" w:rsidP="00506AA9">
      <w:pPr>
        <w:pStyle w:val="Heading6"/>
        <w:jc w:val="both"/>
        <w:rPr>
          <w:rFonts w:ascii="Times New Roman" w:hAnsi="Times New Roman"/>
          <w:b w:val="0"/>
          <w:noProof/>
          <w:sz w:val="24"/>
        </w:rPr>
      </w:pPr>
    </w:p>
    <w:p w:rsidR="00506AA9" w:rsidRDefault="00506AA9" w:rsidP="00506AA9">
      <w:pPr>
        <w:pStyle w:val="Heading6"/>
        <w:numPr>
          <w:ilvl w:val="0"/>
          <w:numId w:val="137"/>
        </w:numPr>
        <w:tabs>
          <w:tab w:val="left" w:pos="1168"/>
        </w:tabs>
        <w:ind w:left="709" w:hanging="709"/>
        <w:jc w:val="both"/>
        <w:rPr>
          <w:rFonts w:ascii="Times New Roman" w:hAnsi="Times New Roman"/>
          <w:noProof/>
          <w:sz w:val="24"/>
        </w:rPr>
      </w:pPr>
      <w:r>
        <w:rPr>
          <w:rFonts w:ascii="Times New Roman" w:hAnsi="Times New Roman"/>
          <w:noProof/>
          <w:sz w:val="24"/>
        </w:rPr>
        <w:t>Pakalpojuma pārdevums</w:t>
      </w:r>
    </w:p>
    <w:p w:rsidR="00506AA9" w:rsidRPr="001973D0" w:rsidRDefault="00506AA9" w:rsidP="00506AA9">
      <w:pPr>
        <w:pStyle w:val="Heading6"/>
        <w:tabs>
          <w:tab w:val="left" w:pos="1168"/>
        </w:tabs>
        <w:jc w:val="both"/>
        <w:rPr>
          <w:rFonts w:ascii="Times New Roman" w:hAnsi="Times New Roman"/>
          <w:noProof/>
          <w:sz w:val="24"/>
        </w:rPr>
      </w:pPr>
    </w:p>
    <w:p w:rsidR="00506AA9" w:rsidRPr="001973D0" w:rsidRDefault="003B17E6"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Ieraksta</w:t>
      </w:r>
      <w:r w:rsidR="00506AA9">
        <w:rPr>
          <w:rFonts w:ascii="Times New Roman" w:hAnsi="Times New Roman"/>
          <w:noProof/>
          <w:sz w:val="24"/>
        </w:rPr>
        <w:t xml:space="preserve"> kā pakalpojuma pārdošanu (P.1), ja valdība uzņemas darbu, kas ir konkrēti saistīts ar maksātāju (parasti, lai novērtētu, vai maksātājam var piešķirt pieprasīto atļauju), un tiek uzskatīts, ka maksājums vienīgi sedz summu, kas nepārsniedz valdības veiktā darba izmaksas.</w:t>
      </w: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Lai novērtētu, vai izmaksas nav neproporcionālas, to aprēķinā iekļauj visas izmaksas, kas privātai sabiedrībai būtu jāņem vērā, kad tā nosaka cenu, t. i., kompensāciju darbiniekiem, starppatēriņu, pamatkapitāla patēriņu un citus ar ražošanu saistītus nodokļus (sk. EKS 2010 3.33. punktu), kas tieši saistīti ar sniegto pakalpojumu. Valdības vienība var sniegt virkni līdzīgu pakalpojumu, taču noteikt tiem atšķirīgu cenu, lai atspoguļotu atšķirīgās izmaksas; piemēram, lai ietekmētu pieprasījumu tādā veidā, kas nodrošina efektīvāku pakalpojumu sniegšanu, cena var būt augstāka noteiktā diennakts laikā, kad parasti ir lielāks pieprasījums, vai arī cena par pakalpojuma sniegšanu internetā var būt zemāka nekā personiskas pakalpojuma sniegšanas gadījumā. Ja salīdzinājumā ar pakalpojuma izmaksām tiek apzināti paredzēts pārpalikums, tad jāuzskata, ka viss maksājums ir nodokļi. Lai arī EKS 2010 1.76.–1.77. punktā ir atļauts </w:t>
      </w:r>
      <w:r>
        <w:rPr>
          <w:rFonts w:ascii="Times New Roman" w:hAnsi="Times New Roman"/>
          <w:noProof/>
          <w:sz w:val="24"/>
        </w:rPr>
        <w:lastRenderedPageBreak/>
        <w:t>sadalīt atsevišķus darījumus, tas neattiec</w:t>
      </w:r>
      <w:r w:rsidR="003B17E6">
        <w:rPr>
          <w:rFonts w:ascii="Times New Roman" w:hAnsi="Times New Roman"/>
          <w:noProof/>
          <w:sz w:val="24"/>
        </w:rPr>
        <w:t>as uz nodokļiem, jo tos ieraksta</w:t>
      </w:r>
      <w:r>
        <w:rPr>
          <w:rFonts w:ascii="Times New Roman" w:hAnsi="Times New Roman"/>
          <w:noProof/>
          <w:sz w:val="24"/>
        </w:rPr>
        <w:t xml:space="preserve"> kā jebkura pakalpojuma elementa bruto summu. EKS 2010 4.79. punktā izmantotais termins “neproporcionāls” nav konkretizēts, taču šajā gadījumā ietver situācijas, kurās vienība apzināti nosaka cenas, kas kopumā ievērojami pārsniedz izmaksas, lai valdība varētu iegūt līdzekļus, kurus tā izmantos citiem mērķiem. Maksājums tiek veikts par pakalpojumu, nevi</w:t>
      </w:r>
      <w:r w:rsidR="003B17E6">
        <w:rPr>
          <w:rFonts w:ascii="Times New Roman" w:hAnsi="Times New Roman"/>
          <w:noProof/>
          <w:sz w:val="24"/>
        </w:rPr>
        <w:t>s par atļauju, un tas jāieraksta</w:t>
      </w:r>
      <w:r>
        <w:rPr>
          <w:rFonts w:ascii="Times New Roman" w:hAnsi="Times New Roman"/>
          <w:noProof/>
          <w:sz w:val="24"/>
        </w:rPr>
        <w:t xml:space="preserve"> laikā, kad tiek veikts darbs, neatkarīgi no tā, uz cik ilgu laika posmu tiek izsniegta atļauja. EKS 2010 4.79. punkta d) apakšpunktā tas aprakstīts sīkāk.</w:t>
      </w:r>
    </w:p>
    <w:p w:rsidR="00506AA9" w:rsidRPr="00EE3884"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pStyle w:val="Heading6"/>
        <w:numPr>
          <w:ilvl w:val="0"/>
          <w:numId w:val="137"/>
        </w:numPr>
        <w:tabs>
          <w:tab w:val="left" w:pos="1128"/>
        </w:tabs>
        <w:ind w:left="709" w:hanging="709"/>
        <w:jc w:val="both"/>
        <w:rPr>
          <w:rFonts w:ascii="Times New Roman" w:hAnsi="Times New Roman"/>
          <w:noProof/>
          <w:sz w:val="24"/>
        </w:rPr>
      </w:pPr>
      <w:r>
        <w:rPr>
          <w:rFonts w:ascii="Times New Roman" w:hAnsi="Times New Roman"/>
          <w:noProof/>
          <w:sz w:val="24"/>
        </w:rPr>
        <w:t>Nodoklis</w:t>
      </w:r>
    </w:p>
    <w:p w:rsidR="00506AA9" w:rsidRPr="001973D0" w:rsidRDefault="00506AA9" w:rsidP="00506AA9">
      <w:pPr>
        <w:pStyle w:val="Heading6"/>
        <w:tabs>
          <w:tab w:val="left" w:pos="1128"/>
        </w:tabs>
        <w:jc w:val="both"/>
        <w:rPr>
          <w:rFonts w:ascii="Times New Roman" w:hAnsi="Times New Roman"/>
          <w:noProof/>
          <w:sz w:val="24"/>
        </w:rPr>
      </w:pPr>
    </w:p>
    <w:p w:rsidR="00506AA9" w:rsidRPr="001973D0" w:rsidRDefault="003B17E6"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Ieraksta</w:t>
      </w:r>
      <w:r w:rsidR="00506AA9">
        <w:rPr>
          <w:rFonts w:ascii="Times New Roman" w:hAnsi="Times New Roman"/>
          <w:noProof/>
          <w:sz w:val="24"/>
        </w:rPr>
        <w:t xml:space="preserve"> kā nodokli, ja iepriekš minētie nosacījumi netiek piemēroti (ja mainītā maksa pārsniedz jebkura tāda pakalpojuma izmaksas, kurš tieši saņemts saistībā ar atļaujas piešķiršanu).</w:t>
      </w:r>
    </w:p>
    <w:p w:rsidR="00506AA9" w:rsidRPr="001973D0" w:rsidRDefault="003B17E6"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Nodokli ieraksta</w:t>
      </w:r>
      <w:r w:rsidR="00506AA9">
        <w:rPr>
          <w:rFonts w:ascii="Times New Roman" w:hAnsi="Times New Roman"/>
          <w:noProof/>
          <w:sz w:val="24"/>
        </w:rPr>
        <w:t xml:space="preserve"> pozīcijā D.29, ja to maksā uzņēmumi, vai pozīcijā D.59, ja to maksā mājsaimniecības. </w:t>
      </w:r>
      <w:r w:rsidR="004A267D">
        <w:rPr>
          <w:rFonts w:ascii="Times New Roman" w:hAnsi="Times New Roman"/>
          <w:noProof/>
          <w:sz w:val="24"/>
        </w:rPr>
        <w:t>Kapitāla nodokli (D.91) ieraksta</w:t>
      </w:r>
      <w:r w:rsidR="00506AA9">
        <w:rPr>
          <w:rFonts w:ascii="Times New Roman" w:hAnsi="Times New Roman"/>
          <w:noProof/>
          <w:sz w:val="24"/>
        </w:rPr>
        <w:t>, ja tas ir neregulāra nodeva par atļauju turēt aktīvu īpašumā vai nodeva par aktīva vērtības pieaugumu saistībā ar valdības atļaujas saņemšanu, piemēram, ēkas būvniecībai uz kāda īpaša zemesgabala (sk. EKS 2010 4.149. punkta b) apakšpunktu attiecībā uz nodevām par labiekārtošanu).</w:t>
      </w:r>
    </w:p>
    <w:p w:rsidR="00506AA9"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Piemēri. Ikgadējā atļauja izmantot mehānisko transportlīdzekli neatkarīgi no tā, kur un kad tas tiek izmantots; makšķerēšanas vai šaušanas atļauja, kas nepieciešama vienmēr, kad notiek medības vai zveja; maksa par ēku izmantošanu, kad tās nepieder valdībai; maksa par atļauju turēt īpašumā konkrēta veida aktīvus; maksa, ko piemēro attiecībā uz rūpnieciskiem ražotājiem patērētāju aizsardzības vai pētniecības finansēšanai, kad darbs tiek veikts patērētāju un/vai nozares labā, nevis tādu pakalpojumu finansēšanai, kas tiek sniegti konkrētam uzņēmumam, kurš samaksā attiecīgo nodevu. (EKS 2010 15.32. punkts).</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Default="00506AA9" w:rsidP="00506AA9">
      <w:pPr>
        <w:pStyle w:val="Heading6"/>
        <w:numPr>
          <w:ilvl w:val="0"/>
          <w:numId w:val="137"/>
        </w:numPr>
        <w:tabs>
          <w:tab w:val="left" w:pos="1128"/>
        </w:tabs>
        <w:ind w:left="709" w:hanging="709"/>
        <w:jc w:val="both"/>
        <w:rPr>
          <w:rFonts w:ascii="Times New Roman" w:hAnsi="Times New Roman"/>
          <w:noProof/>
          <w:sz w:val="24"/>
        </w:rPr>
      </w:pPr>
      <w:r>
        <w:rPr>
          <w:rFonts w:ascii="Times New Roman" w:hAnsi="Times New Roman"/>
          <w:noProof/>
          <w:sz w:val="24"/>
        </w:rPr>
        <w:t>Neražotu nefinanšu aktīvu pārdošana</w:t>
      </w:r>
    </w:p>
    <w:p w:rsidR="00506AA9" w:rsidRPr="001973D0" w:rsidRDefault="00506AA9" w:rsidP="00506AA9">
      <w:pPr>
        <w:pStyle w:val="Heading6"/>
        <w:tabs>
          <w:tab w:val="left" w:pos="1128"/>
        </w:tabs>
        <w:jc w:val="both"/>
        <w:rPr>
          <w:rFonts w:ascii="Times New Roman" w:hAnsi="Times New Roman"/>
          <w:noProof/>
          <w:sz w:val="24"/>
        </w:rPr>
      </w:pP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Dažos gadījumos, kad valdības maksājumā ietilpst (ar valdībai piederošu aktīvu nesaistītas) darbības veikšanas atļaujas piešķiršana, atļauja tiek sniegta tikai vienai vienībai vai ierobežotu vienību grupai, radot monopola stāvokli vai gandrīz monopola stāvokli atļaujas turētājam. Pārējās vienības šīs darbības veikšanai nevar saņemt valdības atļauju, un valdība nodrošina minētā ierobežojuma īstenošanu. Tas, ka pārējās vienības nevar saņemt atļaujas, var būt par pamatu tam, ka to vienību bilancē, kuras ir saņēmušas atļauju, tiek norādīts nefinanšu neražotais aktīvs. EKS 2010 15.37. punktā noteikti četri apstākļi, kas liecina par šādu aktīvu: netiek izmantots valdības aktīvs; attiecībā uz atļaujas saņemšanu nav noteikts neviens kvalifikācijas kritērijs; ierobežots atļauju skaits, kas ļauj monopolam (oligopolam) gūt peļņu, un iespēja pārdot atļauju trešai personai.</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AN.223 aktīva parādīšanās valdības bilancē jāuzskaita caur citām plūsmām pirms pārdošanas brīža. Ja piešķirtajai atļaujai ir noteikts termiņš, aktīva turētāja bilancē būtu uzrādīta neražotā aktīva vērtības samazināšanās, izmantojot pozīciju K.2 “Citas plūsmas” (aktīva amortizācija), sk. EKS 2010 15.34. punktu.</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Ja netiek izmantots neviens valdības aktīvs un ja netiek izpildīti pārējie trīs nosacījumi, kas minēti ieprie</w:t>
      </w:r>
      <w:r w:rsidR="004A267D">
        <w:rPr>
          <w:rFonts w:ascii="Times New Roman" w:hAnsi="Times New Roman"/>
          <w:noProof/>
          <w:sz w:val="24"/>
        </w:rPr>
        <w:t>kš, saņemtos maksājumus ieraksta</w:t>
      </w:r>
      <w:r>
        <w:rPr>
          <w:rFonts w:ascii="Times New Roman" w:hAnsi="Times New Roman"/>
          <w:noProof/>
          <w:sz w:val="24"/>
        </w:rPr>
        <w:t xml:space="preserve"> kā nodokļus (EKS 2010 15.32. punkts).</w:t>
      </w:r>
    </w:p>
    <w:p w:rsidR="00455C2F" w:rsidRDefault="00455C2F">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412"/>
        </w:tabs>
        <w:ind w:left="0" w:firstLine="0"/>
        <w:jc w:val="both"/>
        <w:rPr>
          <w:rFonts w:ascii="Times New Roman" w:hAnsi="Times New Roman"/>
          <w:noProof/>
          <w:u w:val="thick" w:color="000000"/>
        </w:rPr>
      </w:pPr>
      <w:bookmarkStart w:id="429" w:name="VI.1.3_Rationale_of_the_general_treatmen"/>
      <w:bookmarkEnd w:id="429"/>
      <w:r>
        <w:rPr>
          <w:rFonts w:ascii="Times New Roman" w:hAnsi="Times New Roman"/>
          <w:noProof/>
          <w:u w:val="none"/>
        </w:rPr>
        <w:t>VI.1.3. </w:t>
      </w:r>
      <w:r>
        <w:rPr>
          <w:rFonts w:ascii="Times New Roman" w:hAnsi="Times New Roman"/>
          <w:noProof/>
          <w:u w:val="thick" w:color="000000"/>
        </w:rPr>
        <w:t>Vispārējā 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780"/>
        </w:tabs>
        <w:jc w:val="both"/>
        <w:rPr>
          <w:rFonts w:ascii="Times New Roman" w:hAnsi="Times New Roman"/>
          <w:noProof/>
          <w:sz w:val="24"/>
        </w:rPr>
      </w:pPr>
      <w:bookmarkStart w:id="430" w:name="VI.1.3.1_Government_receipts_from_sale_o"/>
      <w:bookmarkEnd w:id="430"/>
      <w:r>
        <w:rPr>
          <w:rFonts w:ascii="Times New Roman" w:hAnsi="Times New Roman"/>
          <w:noProof/>
          <w:sz w:val="24"/>
        </w:rPr>
        <w:t>VI.1.3.1. Maksājumi, ko valdība saņem no preču un pakalpojumu pārdošanas (ko var nodrošināt citas vienības)</w:t>
      </w:r>
    </w:p>
    <w:p w:rsidR="00506AA9" w:rsidRPr="001973D0" w:rsidRDefault="00506AA9" w:rsidP="00506AA9">
      <w:pPr>
        <w:pStyle w:val="Heading6"/>
        <w:tabs>
          <w:tab w:val="left" w:pos="1780"/>
        </w:tabs>
        <w:jc w:val="both"/>
        <w:rPr>
          <w:rFonts w:ascii="Times New Roman" w:hAnsi="Times New Roman"/>
          <w:noProof/>
          <w:sz w:val="24"/>
        </w:rPr>
      </w:pPr>
    </w:p>
    <w:p w:rsidR="00506AA9" w:rsidRPr="00EE3884"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Saskaņ</w:t>
      </w:r>
      <w:r w:rsidR="004A267D">
        <w:rPr>
          <w:rFonts w:ascii="Times New Roman" w:hAnsi="Times New Roman"/>
          <w:noProof/>
          <w:sz w:val="24"/>
        </w:rPr>
        <w:t>ā ar traktējumu vienmēr ieraksta</w:t>
      </w:r>
      <w:r>
        <w:rPr>
          <w:rFonts w:ascii="Times New Roman" w:hAnsi="Times New Roman"/>
          <w:noProof/>
          <w:sz w:val="24"/>
        </w:rPr>
        <w:t xml:space="preserve"> valdības produkciju (P.1). Vienīgais sarežģījums varētu būt saistīts ar tirgus produkcijas (P.11) nošķiršanu no maksājumiem par ārpustirgus produkciju (P.131). Šī atšķirība ir saistīta ar ekonomiski nozīmīgas cenas jēdzienu (sk. EKS 2010 20.19.–20.34. punktu un I daļu “Vispārējās valdības sektora norobežošana”).</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820"/>
        </w:tabs>
        <w:jc w:val="both"/>
        <w:rPr>
          <w:rFonts w:ascii="Times New Roman" w:hAnsi="Times New Roman"/>
          <w:noProof/>
          <w:sz w:val="24"/>
        </w:rPr>
      </w:pPr>
      <w:bookmarkStart w:id="431" w:name="VI.1.3.2_Government_receipts_for_the_use"/>
      <w:bookmarkEnd w:id="431"/>
      <w:r>
        <w:rPr>
          <w:rFonts w:ascii="Times New Roman" w:hAnsi="Times New Roman"/>
          <w:noProof/>
          <w:sz w:val="24"/>
        </w:rPr>
        <w:t>VI.1.3.2. Maksājumi, ko valdība saņem par ražota aktīva izmantošanu</w:t>
      </w:r>
    </w:p>
    <w:p w:rsidR="00506AA9" w:rsidRPr="001973D0" w:rsidRDefault="00506AA9" w:rsidP="00506AA9">
      <w:pPr>
        <w:pStyle w:val="Heading6"/>
        <w:tabs>
          <w:tab w:val="left" w:pos="1820"/>
        </w:tabs>
        <w:jc w:val="both"/>
        <w:rPr>
          <w:rFonts w:ascii="Times New Roman" w:hAnsi="Times New Roman"/>
          <w:noProof/>
          <w:sz w:val="24"/>
        </w:rPr>
      </w:pPr>
    </w:p>
    <w:p w:rsidR="00506AA9"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Galvenā atšķirība, kas ir jāievēro, attiecas uz operatīvo nomu (produkcija, P.11) un finanšu nomu (aktīva pārdošana, P.51). Saskaņā ar EKS 2010 15. nodaļu “Līgumi, nomas līgumi un licences” jāņem vērā sekojošais.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pStyle w:val="BodyText"/>
        <w:numPr>
          <w:ilvl w:val="0"/>
          <w:numId w:val="136"/>
        </w:numPr>
        <w:tabs>
          <w:tab w:val="left" w:pos="1462"/>
        </w:tabs>
        <w:spacing w:before="0"/>
        <w:ind w:left="1134" w:hanging="425"/>
        <w:jc w:val="both"/>
        <w:rPr>
          <w:rFonts w:ascii="Times New Roman" w:hAnsi="Times New Roman"/>
          <w:noProof/>
          <w:sz w:val="24"/>
        </w:rPr>
      </w:pPr>
      <w:r>
        <w:rPr>
          <w:rFonts w:ascii="Times New Roman" w:hAnsi="Times New Roman"/>
          <w:noProof/>
          <w:sz w:val="24"/>
        </w:rPr>
        <w:t>Aktīva vai ilglietojuma preces operatīvā noma:</w:t>
      </w:r>
    </w:p>
    <w:p w:rsidR="00506AA9" w:rsidRPr="001973D0" w:rsidRDefault="00506AA9" w:rsidP="00506AA9">
      <w:pPr>
        <w:pStyle w:val="BodyText"/>
        <w:tabs>
          <w:tab w:val="left" w:pos="14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6"/>
        </w:numPr>
        <w:tabs>
          <w:tab w:val="left" w:pos="1735"/>
        </w:tabs>
        <w:spacing w:before="0"/>
        <w:ind w:left="1701" w:hanging="567"/>
        <w:jc w:val="both"/>
        <w:rPr>
          <w:rFonts w:ascii="Times New Roman" w:hAnsi="Times New Roman"/>
          <w:noProof/>
          <w:sz w:val="24"/>
        </w:rPr>
      </w:pPr>
      <w:r>
        <w:rPr>
          <w:rFonts w:ascii="Times New Roman" w:hAnsi="Times New Roman"/>
          <w:noProof/>
          <w:sz w:val="24"/>
        </w:rPr>
        <w:t>attiecas uz konkrētu laika posmu, kas var būt ilgs vai īss un var nebūt iepriekš noteikts;</w:t>
      </w:r>
    </w:p>
    <w:p w:rsidR="00506AA9" w:rsidRDefault="00506AA9" w:rsidP="00506AA9">
      <w:pPr>
        <w:pStyle w:val="BodyText"/>
        <w:numPr>
          <w:ilvl w:val="1"/>
          <w:numId w:val="136"/>
        </w:numPr>
        <w:tabs>
          <w:tab w:val="left" w:pos="1735"/>
        </w:tabs>
        <w:spacing w:before="0"/>
        <w:ind w:left="1701" w:hanging="567"/>
        <w:jc w:val="both"/>
        <w:rPr>
          <w:rFonts w:ascii="Times New Roman" w:hAnsi="Times New Roman"/>
          <w:noProof/>
          <w:sz w:val="24"/>
        </w:rPr>
      </w:pPr>
      <w:r>
        <w:rPr>
          <w:rFonts w:ascii="Times New Roman" w:hAnsi="Times New Roman"/>
          <w:noProof/>
          <w:sz w:val="24"/>
        </w:rPr>
        <w:t>neparedz ekonomisko īpašumtiesību nodošanu, juridiskajam īpašniekam saglabājot visus riskus un priekšrocības un vienai no pazīmēm esot tam, ka juridiskais īpašnieks sniedz remonta un uzturēšanas pakalpojumus.</w:t>
      </w:r>
    </w:p>
    <w:p w:rsidR="00506AA9" w:rsidRPr="001973D0" w:rsidRDefault="00506AA9" w:rsidP="00506AA9">
      <w:pPr>
        <w:pStyle w:val="BodyText"/>
        <w:tabs>
          <w:tab w:val="left" w:pos="1735"/>
        </w:tabs>
        <w:spacing w:before="0"/>
        <w:ind w:left="0" w:firstLine="0"/>
        <w:jc w:val="both"/>
        <w:rPr>
          <w:rFonts w:ascii="Times New Roman" w:hAnsi="Times New Roman"/>
          <w:noProof/>
          <w:sz w:val="24"/>
        </w:rPr>
      </w:pPr>
    </w:p>
    <w:p w:rsidR="00506AA9" w:rsidRDefault="00506AA9" w:rsidP="00506AA9">
      <w:pPr>
        <w:pStyle w:val="BodyText"/>
        <w:numPr>
          <w:ilvl w:val="0"/>
          <w:numId w:val="136"/>
        </w:numPr>
        <w:tabs>
          <w:tab w:val="left" w:pos="1462"/>
        </w:tabs>
        <w:spacing w:before="0"/>
        <w:ind w:left="1134" w:hanging="425"/>
        <w:jc w:val="both"/>
        <w:rPr>
          <w:rFonts w:ascii="Times New Roman" w:hAnsi="Times New Roman"/>
          <w:noProof/>
          <w:sz w:val="24"/>
        </w:rPr>
      </w:pPr>
      <w:r>
        <w:rPr>
          <w:rFonts w:ascii="Times New Roman" w:hAnsi="Times New Roman"/>
          <w:noProof/>
          <w:sz w:val="24"/>
        </w:rPr>
        <w:t>Finanšu noma:</w:t>
      </w:r>
    </w:p>
    <w:p w:rsidR="00506AA9" w:rsidRPr="001973D0" w:rsidRDefault="00506AA9" w:rsidP="00506AA9">
      <w:pPr>
        <w:pStyle w:val="BodyText"/>
        <w:tabs>
          <w:tab w:val="left" w:pos="14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6"/>
        </w:numPr>
        <w:tabs>
          <w:tab w:val="left" w:pos="1735"/>
        </w:tabs>
        <w:spacing w:before="0"/>
        <w:ind w:left="1701" w:hanging="567"/>
        <w:jc w:val="both"/>
        <w:rPr>
          <w:rFonts w:ascii="Times New Roman" w:hAnsi="Times New Roman"/>
          <w:noProof/>
          <w:sz w:val="24"/>
        </w:rPr>
      </w:pPr>
      <w:r>
        <w:rPr>
          <w:rFonts w:ascii="Times New Roman" w:hAnsi="Times New Roman"/>
          <w:noProof/>
          <w:sz w:val="24"/>
        </w:rPr>
        <w:t>attiecas uz iepriekš noteiktu un paildzinātu laika posmu, kas prasti atbilst visam aktīva ekonomiskajam mūžam vai tā lielākajai daļai</w:t>
      </w:r>
      <w:r>
        <w:rPr>
          <w:rStyle w:val="FootnoteReference"/>
          <w:rFonts w:ascii="Times New Roman" w:hAnsi="Times New Roman"/>
          <w:noProof/>
          <w:sz w:val="24"/>
        </w:rPr>
        <w:footnoteReference w:id="196"/>
      </w:r>
      <w:r>
        <w:rPr>
          <w:rFonts w:ascii="Times New Roman" w:hAnsi="Times New Roman"/>
          <w:noProof/>
          <w:sz w:val="24"/>
        </w:rPr>
        <w:t>;</w:t>
      </w:r>
    </w:p>
    <w:p w:rsidR="00506AA9" w:rsidRDefault="00506AA9" w:rsidP="00506AA9">
      <w:pPr>
        <w:pStyle w:val="BodyText"/>
        <w:numPr>
          <w:ilvl w:val="1"/>
          <w:numId w:val="136"/>
        </w:numPr>
        <w:tabs>
          <w:tab w:val="left" w:pos="1735"/>
        </w:tabs>
        <w:spacing w:before="0"/>
        <w:ind w:left="1701" w:hanging="567"/>
        <w:jc w:val="both"/>
        <w:rPr>
          <w:rFonts w:ascii="Times New Roman" w:hAnsi="Times New Roman"/>
          <w:noProof/>
          <w:sz w:val="24"/>
        </w:rPr>
      </w:pPr>
      <w:r>
        <w:rPr>
          <w:rFonts w:ascii="Times New Roman" w:hAnsi="Times New Roman"/>
          <w:noProof/>
          <w:sz w:val="24"/>
        </w:rPr>
        <w:t>ar aktīva izmantošanu saistītos riskus un priekšrocības iznomātājs nodod nomniekam, un viena no pazīmēm ir tā, ka remontu un tehnisko apkopi nodrošina nomnieks.</w:t>
      </w:r>
    </w:p>
    <w:p w:rsidR="00506AA9" w:rsidRPr="001973D0" w:rsidRDefault="00506AA9" w:rsidP="00506AA9">
      <w:pPr>
        <w:pStyle w:val="BodyText"/>
        <w:tabs>
          <w:tab w:val="left" w:pos="1735"/>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Finanšu nomas gadījumā ir nodotas preces ekonomiskās īpašumtiesības. Iznomātājam ir tikai finansiāla nozīme. Nacionālajos kontos ir atzīta ekonomiskā realitāte, kura ir finanšu nomas pamatā, ņemot vērā to, ka iznomātājs nomniekam piešķir aizdevumu, kas dod viņam iespēju iegādāties aktīvu, par kura faktisko īpašnieku kļūst nomnieks.</w:t>
      </w: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Īpašajā koncesijas gadījumā saskaņā ar publisko tiesību normām attiecībā uz sabiedriskās infrastruktūras finansēšanu un izmantošanu, kā arī PPP, sk. turpmāk attiecīgi VI.3. un VI.4. nodaļu.</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820"/>
        </w:tabs>
        <w:jc w:val="both"/>
        <w:rPr>
          <w:rFonts w:ascii="Times New Roman" w:hAnsi="Times New Roman"/>
          <w:noProof/>
          <w:sz w:val="24"/>
        </w:rPr>
      </w:pPr>
      <w:bookmarkStart w:id="432" w:name="VI.1.3.3_Government_receipts_for_the_use"/>
      <w:bookmarkEnd w:id="432"/>
      <w:r>
        <w:rPr>
          <w:rFonts w:ascii="Times New Roman" w:hAnsi="Times New Roman"/>
          <w:noProof/>
          <w:sz w:val="24"/>
        </w:rPr>
        <w:t>VI.1.3.3. Maksājumi, ko valdība saņem par neražota aktīva izmantošanu</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Parastais gadījums, kad tiek izmantots (vai ekspluatēts) neražotais aktīvs (tādi dabas resursi kā zeme, pazemes aktīvi vai citi dabas resursi – EKS 2010 4.72.–4.76. punkts) ierobežotu laika posmu (D.45 rente), jānošķir no pieejamības izmantošanai līdz aktīva ekonomiskās vērtības izsmelšanai (aktīva pārdošanai).</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20"/>
        </w:tabs>
        <w:jc w:val="both"/>
        <w:rPr>
          <w:rFonts w:ascii="Times New Roman" w:hAnsi="Times New Roman"/>
          <w:noProof/>
          <w:sz w:val="24"/>
        </w:rPr>
      </w:pPr>
      <w:bookmarkStart w:id="433" w:name="VI.1.3.4_Government_receipts_for_permiss"/>
      <w:bookmarkEnd w:id="433"/>
      <w:r>
        <w:rPr>
          <w:rFonts w:ascii="Times New Roman" w:hAnsi="Times New Roman"/>
          <w:noProof/>
          <w:sz w:val="24"/>
        </w:rPr>
        <w:t>VI.3.4. Maksājumi, ko valdība saņem par atļaujām, kas piešķirtas kādas darbības veikšanai</w:t>
      </w:r>
    </w:p>
    <w:p w:rsidR="00506AA9" w:rsidRPr="001973D0" w:rsidRDefault="00506AA9" w:rsidP="00506AA9">
      <w:pPr>
        <w:pStyle w:val="Heading6"/>
        <w:tabs>
          <w:tab w:val="left" w:pos="1820"/>
        </w:tabs>
        <w:jc w:val="both"/>
        <w:rPr>
          <w:rFonts w:ascii="Times New Roman" w:hAnsi="Times New Roman"/>
          <w:noProof/>
          <w:sz w:val="24"/>
        </w:rPr>
      </w:pPr>
    </w:p>
    <w:p w:rsidR="00506AA9" w:rsidRDefault="004A267D"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Jānošķir nodokļa ierakstīšana</w:t>
      </w:r>
      <w:r w:rsidR="00506AA9">
        <w:rPr>
          <w:rFonts w:ascii="Times New Roman" w:hAnsi="Times New Roman"/>
          <w:noProof/>
          <w:sz w:val="24"/>
        </w:rPr>
        <w:t xml:space="preserve"> no paka</w:t>
      </w:r>
      <w:r>
        <w:rPr>
          <w:rFonts w:ascii="Times New Roman" w:hAnsi="Times New Roman"/>
          <w:noProof/>
          <w:sz w:val="24"/>
        </w:rPr>
        <w:t>lpojumu pārdošanas ierakstīšanas</w:t>
      </w:r>
      <w:r w:rsidR="00506AA9">
        <w:rPr>
          <w:rFonts w:ascii="Times New Roman" w:hAnsi="Times New Roman"/>
          <w:noProof/>
          <w:sz w:val="24"/>
        </w:rPr>
        <w:t xml:space="preserve"> (produkcija, P.1).</w:t>
      </w:r>
    </w:p>
    <w:p w:rsidR="00506AA9" w:rsidRPr="001973D0" w:rsidRDefault="00506AA9" w:rsidP="00506AA9">
      <w:pPr>
        <w:pStyle w:val="BodyText"/>
        <w:tabs>
          <w:tab w:val="left" w:pos="1102"/>
        </w:tabs>
        <w:spacing w:before="0"/>
        <w:ind w:left="709" w:firstLine="0"/>
        <w:jc w:val="both"/>
        <w:rPr>
          <w:rFonts w:ascii="Times New Roman" w:hAnsi="Times New Roman"/>
          <w:noProof/>
          <w:sz w:val="24"/>
        </w:rPr>
      </w:pPr>
    </w:p>
    <w:p w:rsidR="00506AA9" w:rsidRDefault="00506AA9" w:rsidP="00506AA9">
      <w:pPr>
        <w:ind w:left="709" w:hanging="709"/>
        <w:jc w:val="both"/>
        <w:rPr>
          <w:rFonts w:ascii="Times New Roman" w:hAnsi="Times New Roman"/>
          <w:i/>
          <w:noProof/>
          <w:sz w:val="24"/>
        </w:rPr>
      </w:pPr>
      <w:r>
        <w:rPr>
          <w:rFonts w:ascii="Times New Roman" w:hAnsi="Times New Roman"/>
          <w:i/>
          <w:noProof/>
          <w:sz w:val="24"/>
        </w:rPr>
        <w:t>Atšķirība starp nodokļiem un pakalpojumu pārdošanu</w:t>
      </w:r>
    </w:p>
    <w:p w:rsidR="00506AA9" w:rsidRPr="001973D0" w:rsidRDefault="00506AA9" w:rsidP="00506AA9">
      <w:pPr>
        <w:ind w:left="709" w:hanging="709"/>
        <w:jc w:val="both"/>
        <w:rPr>
          <w:rFonts w:ascii="Times New Roman" w:hAnsi="Times New Roman"/>
          <w:i/>
          <w:noProof/>
          <w:sz w:val="24"/>
        </w:rPr>
      </w:pPr>
    </w:p>
    <w:p w:rsidR="00506AA9" w:rsidRPr="001973D0" w:rsidRDefault="00506AA9" w:rsidP="00506AA9">
      <w:pPr>
        <w:pStyle w:val="BodyText"/>
        <w:numPr>
          <w:ilvl w:val="0"/>
          <w:numId w:val="141"/>
        </w:numPr>
        <w:tabs>
          <w:tab w:val="left" w:pos="1102"/>
        </w:tabs>
        <w:spacing w:before="0"/>
        <w:ind w:left="709" w:hanging="709"/>
        <w:jc w:val="both"/>
        <w:rPr>
          <w:rFonts w:ascii="Times New Roman" w:hAnsi="Times New Roman"/>
          <w:noProof/>
          <w:sz w:val="24"/>
        </w:rPr>
      </w:pPr>
      <w:r>
        <w:rPr>
          <w:rFonts w:ascii="Times New Roman" w:hAnsi="Times New Roman"/>
          <w:noProof/>
          <w:sz w:val="24"/>
        </w:rPr>
        <w:t>EKS 2010 4.79. punkta d) apakšpunktā norādīts kritērijs, ko izmanto, lai nošķirtu nodokļus no pakalpojumu pārdošanas:</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“Iedalījumu nodokļos un pakalpojumu pirkšanā no valdības nosaka pēc tādiem pašiem kritērijiem kā uzņēmumu veikto maksājumu gadījumos, proti, ja licenču izsniegšana ir saistīta ar nelielu valdības iesaistīšanos vai valdība vispār netiek iesaistīta un licences tiek piešķirtas automātiski, samaksājot noteikto summu, iespējams, ka tās ir tikai līdzeklis ieņēmumu piesaistīšanai, pat ja valdība apmaiņā var izdot kādu apliecību vai atļauju, un šādos gadījumos maksājumu uzskata par nodokļiem. Tomēr, ja valdība licenču izsniegšanu izmanto, lai organizētu kādu reglamentējošu funkciju (piemēram, pārbaudītu attiecīgo darba ņēmēju kompetenci vai kvalifikāciju), veikto maksājumu uzskata par pakalpojumu pirkšanu no valdības, nevis nodokļu maksājumu, ja vien maksājumi nav nepārprotami neproporcionāli attiecībā pret izmaksām saistībā ar šādu pakalpojumu sniegšanu”.</w:t>
      </w:r>
    </w:p>
    <w:p w:rsidR="00506AA9" w:rsidRPr="001973D0" w:rsidRDefault="00506AA9" w:rsidP="00506AA9">
      <w:pPr>
        <w:pStyle w:val="BodyText"/>
        <w:numPr>
          <w:ilvl w:val="0"/>
          <w:numId w:val="141"/>
        </w:numPr>
        <w:tabs>
          <w:tab w:val="left" w:pos="1062"/>
        </w:tabs>
        <w:spacing w:before="0"/>
        <w:ind w:left="709" w:hanging="709"/>
        <w:jc w:val="both"/>
        <w:rPr>
          <w:rFonts w:ascii="Times New Roman" w:hAnsi="Times New Roman"/>
          <w:noProof/>
          <w:sz w:val="24"/>
        </w:rPr>
      </w:pPr>
      <w:r>
        <w:rPr>
          <w:rFonts w:ascii="Times New Roman" w:hAnsi="Times New Roman"/>
          <w:noProof/>
          <w:sz w:val="24"/>
        </w:rPr>
        <w:t>Ekonomikā valdība rīkojas divējādi.</w:t>
      </w:r>
    </w:p>
    <w:p w:rsidR="00506AA9" w:rsidRDefault="00506AA9" w:rsidP="00506AA9">
      <w:pPr>
        <w:jc w:val="both"/>
        <w:rPr>
          <w:rFonts w:ascii="Times New Roman" w:hAnsi="Times New Roman"/>
          <w:i/>
          <w:noProof/>
          <w:sz w:val="24"/>
        </w:rPr>
      </w:pPr>
    </w:p>
    <w:p w:rsidR="00506AA9" w:rsidRDefault="00506AA9" w:rsidP="00506AA9">
      <w:pPr>
        <w:jc w:val="both"/>
        <w:rPr>
          <w:rFonts w:ascii="Times New Roman" w:hAnsi="Times New Roman"/>
          <w:i/>
          <w:noProof/>
          <w:sz w:val="24"/>
        </w:rPr>
      </w:pPr>
      <w:r>
        <w:rPr>
          <w:rFonts w:ascii="Times New Roman" w:hAnsi="Times New Roman"/>
          <w:i/>
          <w:noProof/>
          <w:sz w:val="24"/>
        </w:rPr>
        <w:t>Civilās komerctiesības</w:t>
      </w:r>
    </w:p>
    <w:p w:rsidR="00506AA9" w:rsidRPr="001973D0" w:rsidRDefault="00506AA9" w:rsidP="00506AA9">
      <w:pPr>
        <w:jc w:val="both"/>
        <w:rPr>
          <w:rFonts w:ascii="Times New Roman" w:hAnsi="Times New Roman"/>
          <w:i/>
          <w:noProof/>
          <w:sz w:val="24"/>
        </w:rPr>
      </w:pPr>
    </w:p>
    <w:p w:rsidR="00506AA9" w:rsidRPr="001973D0" w:rsidRDefault="00506AA9" w:rsidP="00506AA9">
      <w:pPr>
        <w:pStyle w:val="BodyText"/>
        <w:numPr>
          <w:ilvl w:val="0"/>
          <w:numId w:val="135"/>
        </w:numPr>
        <w:tabs>
          <w:tab w:val="left" w:pos="1412"/>
        </w:tabs>
        <w:spacing w:before="0"/>
        <w:ind w:left="1134" w:hanging="425"/>
        <w:jc w:val="both"/>
        <w:rPr>
          <w:rFonts w:ascii="Times New Roman" w:hAnsi="Times New Roman"/>
          <w:noProof/>
          <w:sz w:val="24"/>
        </w:rPr>
      </w:pPr>
      <w:r>
        <w:rPr>
          <w:rFonts w:ascii="Times New Roman" w:hAnsi="Times New Roman"/>
          <w:noProof/>
          <w:sz w:val="24"/>
        </w:rPr>
        <w:t>Saskaņā ar civilajām komerctiesībām valdība uzņemas saimnieciskus darījumus, ko var veikt arī citas vienības. Piemēram, tā nodarbina darbiniekus, patērē preces un pakalpojumus, nomā zemi, tai pieder ieguldījumi pamatkapitālā, tā pārdod pakalpojumu produkciju, izmantojot aktīvus u. c. Valdības darījumiem saskaņā ar civiltiesībām piemēro EKS 2010 3. nodaļu, lai klasificētu valdības ražošanas darbību, savukārt 4. nodaļa attiecas uz kompensāciju darbiniekiem un īpašuma ienākuma klasifikāciju.</w:t>
      </w:r>
    </w:p>
    <w:p w:rsidR="00506AA9" w:rsidRDefault="00506AA9" w:rsidP="00506AA9">
      <w:pPr>
        <w:pStyle w:val="BodyText"/>
        <w:numPr>
          <w:ilvl w:val="0"/>
          <w:numId w:val="135"/>
        </w:numPr>
        <w:tabs>
          <w:tab w:val="left" w:pos="1412"/>
        </w:tabs>
        <w:spacing w:before="0"/>
        <w:ind w:left="1134" w:hanging="425"/>
        <w:jc w:val="both"/>
        <w:rPr>
          <w:rFonts w:ascii="Times New Roman" w:hAnsi="Times New Roman"/>
          <w:noProof/>
          <w:sz w:val="24"/>
        </w:rPr>
      </w:pPr>
      <w:r>
        <w:rPr>
          <w:rFonts w:ascii="Times New Roman" w:hAnsi="Times New Roman"/>
          <w:noProof/>
          <w:sz w:val="24"/>
        </w:rPr>
        <w:t>EKS 2010 3.39. punktā paskaidrots, ka valdības ieņēmumus, kas gūti, pārdodot preces un pakalpojumus, klasificē kā tirgus produkciju vai kā maksājumus par ārpustirgus produkciju. Saskaņā ar EKS 2010 3.26. punktu ārpustirgus institucionālajai vienībai var būt tirgus produkcija, taču lielākā daļa no šīs produkcijas ir sniegta par brīvu vai par ekonomiski nenozīmīgām cenām. EKS 2010 4.73. punktā paskaidrots, ka maksājumus par ražotiem pamatlīdzekļiem, kuri novietoti uz zemes, traktē kā pakalpojumu pārdošanu, nevis kā renti, kā arī tas, kā jārīkojas gadījumā, kad maksājumi tiek veikti gan par zemi, gan par ēkām, un tos nav iespējams savstarpēji nodalīt. EKS 2010 6. un 15.</w:t>
      </w:r>
      <w:r w:rsidR="004A267D">
        <w:rPr>
          <w:rFonts w:ascii="Times New Roman" w:hAnsi="Times New Roman"/>
          <w:noProof/>
          <w:sz w:val="24"/>
        </w:rPr>
        <w:t> nodaļā noteikts, kad jāieraksta</w:t>
      </w:r>
      <w:r>
        <w:rPr>
          <w:rFonts w:ascii="Times New Roman" w:hAnsi="Times New Roman"/>
          <w:noProof/>
          <w:sz w:val="24"/>
        </w:rPr>
        <w:t xml:space="preserve"> darījumi līgumos, nomas līgumos un licencēs.</w:t>
      </w:r>
    </w:p>
    <w:p w:rsidR="00506AA9" w:rsidRPr="001973D0" w:rsidRDefault="00506AA9" w:rsidP="00506AA9">
      <w:pPr>
        <w:pStyle w:val="BodyText"/>
        <w:tabs>
          <w:tab w:val="left" w:pos="1412"/>
        </w:tabs>
        <w:spacing w:before="0"/>
        <w:ind w:left="0" w:firstLine="0"/>
        <w:jc w:val="both"/>
        <w:rPr>
          <w:rFonts w:ascii="Times New Roman" w:hAnsi="Times New Roman"/>
          <w:noProof/>
          <w:sz w:val="24"/>
        </w:rPr>
      </w:pPr>
    </w:p>
    <w:p w:rsidR="00506AA9" w:rsidRDefault="00506AA9" w:rsidP="00506AA9">
      <w:pPr>
        <w:jc w:val="both"/>
        <w:rPr>
          <w:rFonts w:ascii="Times New Roman" w:hAnsi="Times New Roman"/>
          <w:i/>
          <w:noProof/>
          <w:sz w:val="24"/>
        </w:rPr>
      </w:pPr>
      <w:r>
        <w:rPr>
          <w:rFonts w:ascii="Times New Roman" w:hAnsi="Times New Roman"/>
          <w:i/>
          <w:noProof/>
          <w:sz w:val="24"/>
        </w:rPr>
        <w:t>Publiskās tiesības</w:t>
      </w:r>
    </w:p>
    <w:p w:rsidR="00506AA9" w:rsidRPr="001973D0" w:rsidRDefault="00506AA9" w:rsidP="00506AA9">
      <w:pPr>
        <w:jc w:val="both"/>
        <w:rPr>
          <w:rFonts w:ascii="Times New Roman" w:hAnsi="Times New Roman"/>
          <w:i/>
          <w:noProof/>
          <w:sz w:val="24"/>
        </w:rPr>
      </w:pPr>
    </w:p>
    <w:p w:rsidR="00506AA9" w:rsidRPr="001973D0" w:rsidRDefault="00506AA9" w:rsidP="00506AA9">
      <w:pPr>
        <w:pStyle w:val="BodyText"/>
        <w:numPr>
          <w:ilvl w:val="0"/>
          <w:numId w:val="135"/>
        </w:numPr>
        <w:tabs>
          <w:tab w:val="left" w:pos="1412"/>
        </w:tabs>
        <w:spacing w:before="0"/>
        <w:ind w:left="1134" w:hanging="425"/>
        <w:jc w:val="both"/>
        <w:rPr>
          <w:rFonts w:ascii="Times New Roman" w:hAnsi="Times New Roman"/>
          <w:noProof/>
          <w:sz w:val="24"/>
        </w:rPr>
      </w:pPr>
      <w:r>
        <w:rPr>
          <w:rFonts w:ascii="Times New Roman" w:hAnsi="Times New Roman"/>
          <w:noProof/>
          <w:sz w:val="24"/>
        </w:rPr>
        <w:t>Saskaņā ar publiskajām tiesībām valdība uzņemas pēc būtības unikālus ekonomiskos darījumus. Piemēram, saistībā ar valdības ieņēmumiem valdība var palielināt nodokļus, īstenot sociālās drošības shēmas, piešķirt atļaujas/licences, kā arī piemērot naudas sodus.</w:t>
      </w:r>
    </w:p>
    <w:p w:rsidR="00506AA9" w:rsidRPr="00AE217F" w:rsidRDefault="00506AA9" w:rsidP="00506AA9">
      <w:pPr>
        <w:pStyle w:val="BodyText"/>
        <w:numPr>
          <w:ilvl w:val="0"/>
          <w:numId w:val="135"/>
        </w:numPr>
        <w:tabs>
          <w:tab w:val="left" w:pos="1412"/>
        </w:tabs>
        <w:spacing w:before="0"/>
        <w:ind w:left="1134" w:hanging="425"/>
        <w:jc w:val="both"/>
        <w:rPr>
          <w:rFonts w:ascii="Times New Roman" w:hAnsi="Times New Roman"/>
          <w:noProof/>
          <w:sz w:val="24"/>
        </w:rPr>
      </w:pPr>
      <w:r>
        <w:rPr>
          <w:rFonts w:ascii="Times New Roman" w:hAnsi="Times New Roman"/>
          <w:noProof/>
          <w:sz w:val="24"/>
        </w:rPr>
        <w:t xml:space="preserve">Uz šo gadījumu attiecas EKS10 4. nodaļas “Sadales darījumi” iedaļa par nodokļiem </w:t>
      </w:r>
      <w:r>
        <w:rPr>
          <w:rFonts w:ascii="Times New Roman" w:hAnsi="Times New Roman"/>
          <w:noProof/>
          <w:sz w:val="24"/>
        </w:rPr>
        <w:lastRenderedPageBreak/>
        <w:t>un sociālās nodrošināšanas iemaksām. EKS 2010 4.23. punkta e) apakšpunktā un 4.79. punkta d) apakšpunktā ir skaidrotas atšķirības starp pakalpojumu pārdošanu un nodokļiem.</w:t>
      </w:r>
    </w:p>
    <w:p w:rsidR="00506AA9" w:rsidRPr="001973D0" w:rsidRDefault="00506AA9" w:rsidP="00506AA9">
      <w:pPr>
        <w:pStyle w:val="BodyText"/>
        <w:numPr>
          <w:ilvl w:val="0"/>
          <w:numId w:val="135"/>
        </w:numPr>
        <w:tabs>
          <w:tab w:val="left" w:pos="1412"/>
        </w:tabs>
        <w:spacing w:before="0"/>
        <w:ind w:left="1134" w:hanging="425"/>
        <w:jc w:val="both"/>
        <w:rPr>
          <w:rFonts w:ascii="Times New Roman" w:hAnsi="Times New Roman"/>
          <w:noProof/>
          <w:sz w:val="24"/>
        </w:rPr>
      </w:pPr>
      <w:r>
        <w:rPr>
          <w:rFonts w:ascii="Times New Roman" w:hAnsi="Times New Roman"/>
          <w:noProof/>
          <w:sz w:val="24"/>
        </w:rPr>
        <w:t>EKS 2010 4.79. punkta d) apakšpunkts attiecas uz mājsaimniecību maksājumiem par maksātājam piederošu vai maksātājam iznomātu aktīvu (transportlīdzekļu, laivu un gaisa kuģu) izmantošanu. Tas neattiecas uz maksājumiem par valdības īpašumā esošu aktīvu izmantošanu – to uzskata par produkciju (pakalpojuma pārdošana) vai renti, nevis nodokli.</w:t>
      </w:r>
    </w:p>
    <w:p w:rsidR="00506AA9" w:rsidRDefault="00506AA9" w:rsidP="00506AA9">
      <w:pPr>
        <w:rPr>
          <w:rFonts w:ascii="Times New Roman" w:eastAsia="Arial" w:hAnsi="Times New Roman" w:cs="Arial"/>
          <w:noProof/>
          <w:sz w:val="24"/>
          <w:szCs w:val="20"/>
        </w:rPr>
      </w:pPr>
      <w:r>
        <w:br w:type="page"/>
      </w:r>
    </w:p>
    <w:p w:rsidR="00506AA9" w:rsidRPr="001973D0" w:rsidRDefault="00506AA9" w:rsidP="00506AA9">
      <w:pPr>
        <w:jc w:val="both"/>
        <w:rPr>
          <w:rFonts w:ascii="Times New Roman" w:eastAsia="Arial" w:hAnsi="Times New Roman" w:cs="Arial"/>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5000" w:type="pct"/>
          </w:tcPr>
          <w:p w:rsidR="00506AA9" w:rsidRPr="001973D0" w:rsidRDefault="00506AA9" w:rsidP="005A7579">
            <w:pPr>
              <w:jc w:val="both"/>
              <w:rPr>
                <w:rFonts w:ascii="Times New Roman" w:eastAsia="Arial" w:hAnsi="Times New Roman" w:cs="Arial"/>
                <w:noProof/>
                <w:sz w:val="24"/>
                <w:szCs w:val="20"/>
              </w:rPr>
            </w:pPr>
            <w:r>
              <w:rPr>
                <w:rFonts w:ascii="Times New Roman" w:hAnsi="Times New Roman"/>
                <w:b/>
                <w:noProof/>
                <w:sz w:val="24"/>
              </w:rPr>
              <w:t>1. ierāmējums. Mobilo telefonu licenču piešķiršana</w:t>
            </w:r>
          </w:p>
          <w:p w:rsidR="00506AA9" w:rsidRPr="001973D0" w:rsidRDefault="00506AA9" w:rsidP="005A7579">
            <w:pPr>
              <w:jc w:val="both"/>
              <w:rPr>
                <w:rFonts w:ascii="Times New Roman" w:eastAsia="Arial" w:hAnsi="Times New Roman" w:cs="Arial"/>
                <w:b/>
                <w:bCs/>
                <w:noProof/>
                <w:sz w:val="24"/>
                <w:szCs w:val="24"/>
              </w:rPr>
            </w:pPr>
          </w:p>
          <w:p w:rsidR="00506AA9" w:rsidRPr="001973D0" w:rsidRDefault="00506AA9" w:rsidP="00506AA9">
            <w:pPr>
              <w:pStyle w:val="BodyText"/>
              <w:numPr>
                <w:ilvl w:val="0"/>
                <w:numId w:val="134"/>
              </w:numPr>
              <w:tabs>
                <w:tab w:val="left" w:pos="709"/>
              </w:tabs>
              <w:spacing w:before="0"/>
              <w:ind w:left="0" w:firstLine="0"/>
              <w:jc w:val="both"/>
              <w:rPr>
                <w:rFonts w:ascii="Times New Roman" w:hAnsi="Times New Roman"/>
                <w:noProof/>
                <w:sz w:val="24"/>
              </w:rPr>
            </w:pPr>
            <w:r>
              <w:rPr>
                <w:rFonts w:ascii="Times New Roman" w:hAnsi="Times New Roman"/>
                <w:noProof/>
                <w:sz w:val="24"/>
              </w:rPr>
              <w:t>Lielākajā daļā ES dalībvalstu mobilo telefonu licences (parasti UMTS (Universālā mobilo telesakaru sistēma), “3G” un nesen arī “4G” licences) ir piešķirtas operatoriem no 1999. gada atbilstīgi dažādām metodēm, kas tiek īstenotas konkrētajā valstī, tostarp bez maksas.</w:t>
            </w:r>
          </w:p>
          <w:p w:rsidR="00506AA9" w:rsidRPr="001973D0" w:rsidRDefault="00506AA9" w:rsidP="00506AA9">
            <w:pPr>
              <w:pStyle w:val="BodyText"/>
              <w:numPr>
                <w:ilvl w:val="0"/>
                <w:numId w:val="134"/>
              </w:numPr>
              <w:tabs>
                <w:tab w:val="left" w:pos="709"/>
                <w:tab w:val="left" w:pos="1028"/>
              </w:tabs>
              <w:spacing w:before="0"/>
              <w:ind w:left="0" w:firstLine="0"/>
              <w:jc w:val="both"/>
              <w:rPr>
                <w:rFonts w:ascii="Times New Roman" w:hAnsi="Times New Roman"/>
                <w:noProof/>
                <w:sz w:val="24"/>
              </w:rPr>
            </w:pPr>
            <w:r>
              <w:rPr>
                <w:rFonts w:ascii="Times New Roman" w:hAnsi="Times New Roman"/>
                <w:noProof/>
                <w:sz w:val="24"/>
              </w:rPr>
              <w:t>Sākotnējie ma</w:t>
            </w:r>
            <w:r w:rsidR="004A267D">
              <w:rPr>
                <w:rFonts w:ascii="Times New Roman" w:hAnsi="Times New Roman"/>
                <w:noProof/>
                <w:sz w:val="24"/>
              </w:rPr>
              <w:t>ksājumi valdībai bija jāieraksta</w:t>
            </w:r>
            <w:r>
              <w:rPr>
                <w:rFonts w:ascii="Times New Roman" w:hAnsi="Times New Roman"/>
                <w:noProof/>
                <w:sz w:val="24"/>
              </w:rPr>
              <w:t xml:space="preserve"> kā rente (D.45), ja saskaņā ar vienošanos līgums piemērots attiecībā uz pieciem gadiem vai īsāku laika posmu vai ja līgumā nav norādīta kopējā realizācijas cena, atkarībā (vismaz daļēji) no sabiedrības saimnieciskās darbības rezultātiem attiecībā uz lielu daļu no kopējiem maksājumiem līguma darbības laikā.</w:t>
            </w:r>
          </w:p>
          <w:p w:rsidR="00506AA9" w:rsidRPr="001973D0" w:rsidRDefault="00506AA9" w:rsidP="00506AA9">
            <w:pPr>
              <w:pStyle w:val="BodyText"/>
              <w:numPr>
                <w:ilvl w:val="0"/>
                <w:numId w:val="134"/>
              </w:numPr>
              <w:tabs>
                <w:tab w:val="left" w:pos="709"/>
                <w:tab w:val="left" w:pos="987"/>
              </w:tabs>
              <w:spacing w:before="0"/>
              <w:ind w:left="0" w:firstLine="0"/>
              <w:jc w:val="both"/>
              <w:rPr>
                <w:rFonts w:ascii="Times New Roman" w:hAnsi="Times New Roman"/>
                <w:noProof/>
                <w:sz w:val="24"/>
              </w:rPr>
            </w:pPr>
            <w:r>
              <w:rPr>
                <w:rFonts w:ascii="Times New Roman" w:hAnsi="Times New Roman"/>
                <w:noProof/>
                <w:sz w:val="24"/>
              </w:rPr>
              <w:t>Elektromagnētiskais spektrs (radioviļņi) atbilst aktīva definīcijai nacionālajos kontos.</w:t>
            </w:r>
          </w:p>
          <w:p w:rsidR="00506AA9" w:rsidRPr="001973D0" w:rsidRDefault="00506AA9" w:rsidP="00506AA9">
            <w:pPr>
              <w:pStyle w:val="BodyText"/>
              <w:numPr>
                <w:ilvl w:val="0"/>
                <w:numId w:val="134"/>
              </w:numPr>
              <w:tabs>
                <w:tab w:val="left" w:pos="709"/>
                <w:tab w:val="left" w:pos="1024"/>
              </w:tabs>
              <w:spacing w:before="0"/>
              <w:ind w:left="0" w:firstLine="0"/>
              <w:jc w:val="both"/>
              <w:rPr>
                <w:rFonts w:ascii="Times New Roman" w:hAnsi="Times New Roman"/>
                <w:noProof/>
                <w:sz w:val="24"/>
              </w:rPr>
            </w:pPr>
            <w:r>
              <w:rPr>
                <w:rFonts w:ascii="Times New Roman" w:hAnsi="Times New Roman"/>
                <w:noProof/>
                <w:sz w:val="24"/>
              </w:rPr>
              <w:t>EKS 2010 radiospektrs ir skaidri noteikts kā dabas resurss (AN.2151). Tajā nav konkrēti pieminētas UMTS vai mobilo telefonu licences, taču 15. nodaļā (EKS 2010 15.23.–15.30. punktā) ir apspriesta dabas resursu noma. Norādīts, ka gadījumā, ja valdība izdod atļauju, kas tās turētājam piešķir ilgstošu kontroli pār dabas resursiem kopā ar saistītajiem riskiem un</w:t>
            </w:r>
            <w:r w:rsidR="004A267D">
              <w:rPr>
                <w:rFonts w:ascii="Times New Roman" w:hAnsi="Times New Roman"/>
                <w:noProof/>
                <w:sz w:val="24"/>
              </w:rPr>
              <w:t xml:space="preserve"> priekšrocībām, to var ierakstīt</w:t>
            </w:r>
            <w:r>
              <w:rPr>
                <w:rFonts w:ascii="Times New Roman" w:hAnsi="Times New Roman"/>
                <w:noProof/>
                <w:sz w:val="24"/>
              </w:rPr>
              <w:t xml:space="preserve"> kā jaunu aktīvu (AN.22 “atļaujas lietot dabas resursus”), ja vien “risku un atlīdzības pārņemšanas rezultāts ir pārvedama atļauja ar realizējamu vērtību” (EKS 2010 15.28. punkts).</w:t>
            </w:r>
          </w:p>
          <w:p w:rsidR="00506AA9" w:rsidRPr="001973D0" w:rsidRDefault="00506AA9" w:rsidP="00506AA9">
            <w:pPr>
              <w:pStyle w:val="BodyText"/>
              <w:numPr>
                <w:ilvl w:val="0"/>
                <w:numId w:val="134"/>
              </w:numPr>
              <w:tabs>
                <w:tab w:val="left" w:pos="709"/>
                <w:tab w:val="left" w:pos="1029"/>
              </w:tabs>
              <w:spacing w:before="0"/>
              <w:ind w:left="0" w:firstLine="0"/>
              <w:jc w:val="both"/>
              <w:rPr>
                <w:rFonts w:ascii="Times New Roman" w:hAnsi="Times New Roman"/>
                <w:noProof/>
                <w:sz w:val="24"/>
              </w:rPr>
            </w:pPr>
            <w:r>
              <w:rPr>
                <w:rFonts w:ascii="Times New Roman" w:hAnsi="Times New Roman"/>
                <w:noProof/>
                <w:sz w:val="24"/>
              </w:rPr>
              <w:t>Līdz ar to atļaujas/licences turētājam jāspēj visā licences darbības termiņā realizēt vērtību no atļaujas, ja tas vēlas iziet no attiecīgās darbības. Jābūt iespējai licenci nodot trešai personai. Parasti šādi darījumi jāveic saskaņā ar īpašu procedūru. Līdzīgi citiem licenču vai koncesiju/PPP gadījumiem tam var būt nepieciešams valdības pilnvarojums, jo īpaši, lai novērtētu saņēmēja tehnisko spēju veikt attiecīgo darbību un tā finanšu stabilitāti.</w:t>
            </w:r>
          </w:p>
          <w:p w:rsidR="00506AA9" w:rsidRPr="001973D0" w:rsidRDefault="00506AA9" w:rsidP="00506AA9">
            <w:pPr>
              <w:pStyle w:val="BodyText"/>
              <w:numPr>
                <w:ilvl w:val="0"/>
                <w:numId w:val="134"/>
              </w:numPr>
              <w:tabs>
                <w:tab w:val="left" w:pos="709"/>
                <w:tab w:val="left" w:pos="1026"/>
              </w:tabs>
              <w:spacing w:before="0"/>
              <w:ind w:left="0" w:firstLine="0"/>
              <w:jc w:val="both"/>
              <w:rPr>
                <w:rFonts w:ascii="Times New Roman" w:hAnsi="Times New Roman"/>
                <w:noProof/>
                <w:sz w:val="24"/>
                <w:szCs w:val="14"/>
              </w:rPr>
            </w:pPr>
            <w:r>
              <w:rPr>
                <w:rFonts w:ascii="Times New Roman" w:hAnsi="Times New Roman"/>
                <w:noProof/>
                <w:sz w:val="24"/>
              </w:rPr>
              <w:t>Līgumā arī var būt paredzēts tas, ka darījums var notikt tikai ar valdības starpniecību, nevis tieši starp darījumā iesaistītajiem dalībniekiem. Ja šie nosacījumi ir izpildīti, var uzskatīt, ka licence ir pārvedama licence, un līdz ar to šādu licenci var atzīt par aktīvu.</w:t>
            </w:r>
            <w:r>
              <w:rPr>
                <w:rStyle w:val="FootnoteReference"/>
                <w:rFonts w:ascii="Times New Roman" w:hAnsi="Times New Roman"/>
                <w:noProof/>
                <w:sz w:val="24"/>
              </w:rPr>
              <w:footnoteReference w:id="197"/>
            </w:r>
          </w:p>
          <w:p w:rsidR="00506AA9" w:rsidRPr="00AE217F" w:rsidRDefault="00506AA9" w:rsidP="00506AA9">
            <w:pPr>
              <w:pStyle w:val="BodyText"/>
              <w:numPr>
                <w:ilvl w:val="0"/>
                <w:numId w:val="134"/>
              </w:numPr>
              <w:tabs>
                <w:tab w:val="left" w:pos="709"/>
                <w:tab w:val="left" w:pos="1035"/>
              </w:tabs>
              <w:spacing w:before="0"/>
              <w:ind w:left="0" w:firstLine="0"/>
              <w:jc w:val="both"/>
              <w:rPr>
                <w:rFonts w:ascii="Times New Roman" w:hAnsi="Times New Roman"/>
                <w:noProof/>
                <w:sz w:val="24"/>
              </w:rPr>
            </w:pPr>
            <w:r>
              <w:rPr>
                <w:rFonts w:ascii="Times New Roman" w:hAnsi="Times New Roman"/>
                <w:noProof/>
                <w:sz w:val="24"/>
              </w:rPr>
              <w:t xml:space="preserve">Un otrādi, ja valdībai ir tiesības iebilst nodošanai jebkāda iemesla dēļ vai ja līgumā noteikts, ka atļaujas turētājam ir jātur licence līdz tās darbības termiņa beigām, licenci nevar atzīt par aktīvu </w:t>
            </w:r>
            <w:r w:rsidR="004A267D">
              <w:rPr>
                <w:rFonts w:ascii="Times New Roman" w:hAnsi="Times New Roman"/>
                <w:noProof/>
                <w:sz w:val="24"/>
              </w:rPr>
              <w:t>un maksājumi valdībai jāieraksta</w:t>
            </w:r>
            <w:r>
              <w:rPr>
                <w:rFonts w:ascii="Times New Roman" w:hAnsi="Times New Roman"/>
                <w:noProof/>
                <w:sz w:val="24"/>
              </w:rPr>
              <w:t xml:space="preserve"> kā rente (sk. EKS 2010 15.3. tabulu “Trīs dažādu veidu dabas resursu izmantošanas atļauju ierakstīšana” un 15.4. tabulu “Nefinanšu aktīvu izmantošanas un pirkšanas ierakstīšana, atkarībā no darījuma veida un plūsmas”).</w:t>
            </w:r>
          </w:p>
        </w:tc>
      </w:tr>
    </w:tbl>
    <w:p w:rsidR="00506AA9" w:rsidRDefault="00506AA9" w:rsidP="00506AA9">
      <w:pPr>
        <w:jc w:val="both"/>
        <w:rPr>
          <w:rFonts w:ascii="Times New Roman" w:eastAsia="Arial" w:hAnsi="Times New Roman" w:cs="Arial"/>
          <w:noProof/>
          <w:sz w:val="24"/>
          <w:szCs w:val="20"/>
        </w:rPr>
      </w:pPr>
    </w:p>
    <w:p w:rsidR="00506AA9" w:rsidRDefault="00506AA9" w:rsidP="00506AA9">
      <w:pPr>
        <w:rPr>
          <w:rFonts w:ascii="Times New Roman" w:eastAsia="Arial" w:hAnsi="Times New Roman" w:cs="Arial"/>
          <w:noProof/>
          <w:sz w:val="24"/>
          <w:szCs w:val="20"/>
        </w:rPr>
      </w:pPr>
      <w:r>
        <w:br w:type="page"/>
      </w:r>
    </w:p>
    <w:p w:rsidR="00506AA9" w:rsidRDefault="00506AA9" w:rsidP="00455C2F">
      <w:pPr>
        <w:pStyle w:val="Heading2"/>
        <w:rPr>
          <w:noProof/>
        </w:rPr>
      </w:pPr>
      <w:bookmarkStart w:id="434" w:name="VI.2_Sale_and_leaseback"/>
      <w:bookmarkStart w:id="435" w:name="_bookmark48"/>
      <w:bookmarkStart w:id="436" w:name="_Toc471135914"/>
      <w:bookmarkEnd w:id="434"/>
      <w:bookmarkEnd w:id="435"/>
      <w:r>
        <w:rPr>
          <w:noProof/>
        </w:rPr>
        <w:lastRenderedPageBreak/>
        <w:t>VI.2. Pārdošana ar saņemšanu atpakaļ nomā</w:t>
      </w:r>
      <w:bookmarkEnd w:id="436"/>
    </w:p>
    <w:p w:rsidR="00506AA9" w:rsidRPr="001973D0" w:rsidRDefault="00506AA9" w:rsidP="00506AA9">
      <w:pPr>
        <w:tabs>
          <w:tab w:val="left" w:pos="1422"/>
        </w:tabs>
        <w:jc w:val="both"/>
        <w:rPr>
          <w:rFonts w:ascii="Times New Roman" w:hAnsi="Times New Roman"/>
          <w:b/>
          <w:noProof/>
          <w:sz w:val="24"/>
        </w:rPr>
      </w:pPr>
    </w:p>
    <w:p w:rsidR="00506AA9" w:rsidRDefault="00506AA9" w:rsidP="00506AA9">
      <w:pPr>
        <w:pStyle w:val="Heading4"/>
        <w:tabs>
          <w:tab w:val="left" w:pos="1412"/>
        </w:tabs>
        <w:ind w:left="0" w:firstLine="0"/>
        <w:jc w:val="both"/>
        <w:rPr>
          <w:rFonts w:ascii="Times New Roman" w:hAnsi="Times New Roman"/>
          <w:noProof/>
          <w:u w:val="thick" w:color="000000"/>
        </w:rPr>
      </w:pPr>
      <w:bookmarkStart w:id="437" w:name="VI.2.1_Background"/>
      <w:bookmarkEnd w:id="437"/>
      <w:r>
        <w:rPr>
          <w:rFonts w:ascii="Times New Roman" w:hAnsi="Times New Roman"/>
          <w:noProof/>
          <w:u w:val="none"/>
        </w:rPr>
        <w:t>VI.2.1. </w:t>
      </w:r>
      <w:r>
        <w:rPr>
          <w:rFonts w:ascii="Times New Roman" w:hAnsi="Times New Roman"/>
          <w:noProof/>
          <w:u w:val="thick" w:color="000000"/>
        </w:rPr>
        <w:t>Vispārēja informācija</w:t>
      </w:r>
    </w:p>
    <w:p w:rsidR="00506AA9" w:rsidRPr="001973D0" w:rsidRDefault="00506AA9" w:rsidP="00506AA9">
      <w:pPr>
        <w:pStyle w:val="Heading4"/>
        <w:tabs>
          <w:tab w:val="left" w:pos="1412"/>
        </w:tabs>
        <w:ind w:left="0" w:firstLine="0"/>
        <w:jc w:val="both"/>
        <w:rPr>
          <w:rFonts w:ascii="Times New Roman" w:hAnsi="Times New Roman"/>
          <w:noProof/>
          <w:u w:val="thick" w:color="000000"/>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Pārdošanas darījums ar saņemšanu atpakaļ nomā ir saistīts pasākums, kurā aktīva īpašnieks pārdod aktīvu un nekavējoties atkal to saņem nomā no pircēja. Parasti pārdošanas ar saņemšanu atpakaļ nomā darījuma priekšmets ir ēka, bet tas varbūt arī cits pamatlīdzeklis. Cenšoties uzlabot savu aktīvu pārvaldību un palielināt savus naudas krājumus, šādos pasākumos var būt iesaistīta jebkura līmeņa valdība – vietējā, pavalsts vai centrālā valdība.</w:t>
      </w:r>
    </w:p>
    <w:p w:rsidR="00506AA9"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No nacionālo kontu viedokļa pārdošana ar saņemšanu atpakaļ nomā, ko veic valdība, rada divus faktiski savstarpēji saistītus jautājumus.</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22"/>
        </w:tabs>
        <w:spacing w:before="0"/>
        <w:ind w:left="1134" w:hanging="425"/>
        <w:jc w:val="both"/>
        <w:rPr>
          <w:rFonts w:ascii="Times New Roman" w:hAnsi="Times New Roman"/>
          <w:noProof/>
          <w:sz w:val="24"/>
        </w:rPr>
      </w:pPr>
      <w:r>
        <w:rPr>
          <w:rFonts w:ascii="Times New Roman" w:hAnsi="Times New Roman"/>
          <w:noProof/>
          <w:sz w:val="24"/>
        </w:rPr>
        <w:t>Kura vienība ir iesaistīta šajā darījumā ar valdību un kāda ir tās atbilstošā sektora klasifikācija?</w:t>
      </w:r>
    </w:p>
    <w:p w:rsidR="00506AA9" w:rsidRDefault="00506AA9" w:rsidP="00506AA9">
      <w:pPr>
        <w:pStyle w:val="BodyText"/>
        <w:numPr>
          <w:ilvl w:val="1"/>
          <w:numId w:val="133"/>
        </w:numPr>
        <w:tabs>
          <w:tab w:val="left" w:pos="1422"/>
        </w:tabs>
        <w:spacing w:before="0"/>
        <w:ind w:left="1134" w:hanging="425"/>
        <w:jc w:val="both"/>
        <w:rPr>
          <w:rFonts w:ascii="Times New Roman" w:hAnsi="Times New Roman"/>
          <w:noProof/>
          <w:sz w:val="24"/>
        </w:rPr>
      </w:pPr>
      <w:r>
        <w:rPr>
          <w:rFonts w:ascii="Times New Roman" w:hAnsi="Times New Roman"/>
          <w:noProof/>
          <w:sz w:val="24"/>
        </w:rPr>
        <w:t>Kāds ir šā pasākuma vispārējais mērķis: vai mērķis ir “privatizēt” šo aktīvu pārvaldību vai veikt reorganizāciju publiskajā sektorā?</w:t>
      </w:r>
    </w:p>
    <w:p w:rsidR="00506AA9" w:rsidRPr="001973D0" w:rsidRDefault="00506AA9" w:rsidP="00506AA9">
      <w:pPr>
        <w:pStyle w:val="BodyText"/>
        <w:tabs>
          <w:tab w:val="left" w:pos="142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Atkarībā no atbildēm uz šiem jautājumiem var apšaubīt, vai ir notikusi reāla “pārdošana”, un “darījumu</w:t>
      </w:r>
      <w:r w:rsidR="004A267D">
        <w:rPr>
          <w:rFonts w:ascii="Times New Roman" w:hAnsi="Times New Roman"/>
          <w:noProof/>
          <w:sz w:val="24"/>
        </w:rPr>
        <w:t>” var ierakstīt</w:t>
      </w:r>
      <w:r>
        <w:rPr>
          <w:rFonts w:ascii="Times New Roman" w:hAnsi="Times New Roman"/>
          <w:noProof/>
          <w:sz w:val="24"/>
        </w:rPr>
        <w:t xml:space="preserve"> ļoti dažādi.</w:t>
      </w: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Principi, saskaņā ar kuriem tiek klasificēta pircēja vienība, līdzinās principiem, ko piemēro attiecībā uz īpašam nolūkam dibinātām sabiedrībām (sk. EKS 2010 20.47. punktu), kuras izveidotas, lai iegādātos vērtspapirizētos aktīvus.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412"/>
        </w:tabs>
        <w:ind w:left="0" w:firstLine="0"/>
        <w:jc w:val="both"/>
        <w:rPr>
          <w:rFonts w:ascii="Times New Roman" w:hAnsi="Times New Roman"/>
          <w:noProof/>
          <w:u w:val="thick" w:color="000000"/>
        </w:rPr>
      </w:pPr>
      <w:bookmarkStart w:id="438" w:name="VI.2.2_Treatment_in_national_accounts"/>
      <w:bookmarkEnd w:id="438"/>
      <w:r>
        <w:rPr>
          <w:rFonts w:ascii="Times New Roman" w:hAnsi="Times New Roman"/>
          <w:noProof/>
          <w:u w:val="none"/>
        </w:rPr>
        <w:t>VI.2.2. </w:t>
      </w:r>
      <w:r>
        <w:rPr>
          <w:rFonts w:ascii="Times New Roman" w:hAnsi="Times New Roman"/>
          <w:noProof/>
          <w:u w:val="thick" w:color="000000"/>
        </w:rPr>
        <w:t>Traktējums nacionālajos kontos</w:t>
      </w:r>
    </w:p>
    <w:p w:rsidR="00506AA9" w:rsidRPr="001973D0" w:rsidRDefault="00506AA9" w:rsidP="00506AA9">
      <w:pPr>
        <w:pStyle w:val="Heading4"/>
        <w:tabs>
          <w:tab w:val="left" w:pos="1412"/>
        </w:tabs>
        <w:ind w:left="0" w:firstLine="0"/>
        <w:jc w:val="both"/>
        <w:rPr>
          <w:rFonts w:ascii="Times New Roman" w:hAnsi="Times New Roman"/>
          <w:noProof/>
          <w:u w:val="thick" w:color="000000"/>
        </w:rPr>
      </w:pPr>
    </w:p>
    <w:p w:rsidR="00506AA9"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Atkarībā no tā, kāda ir vienība, kura iesaistīta pārdošanas darījumā ar valdību ar saņemšanu atpakaļ nomā, var izšķirt trīs gadījumus:</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12"/>
        </w:tabs>
        <w:spacing w:before="0"/>
        <w:ind w:left="1134" w:hanging="425"/>
        <w:jc w:val="both"/>
        <w:rPr>
          <w:rFonts w:ascii="Times New Roman" w:hAnsi="Times New Roman"/>
          <w:noProof/>
          <w:sz w:val="24"/>
        </w:rPr>
      </w:pPr>
      <w:r>
        <w:rPr>
          <w:rFonts w:ascii="Times New Roman" w:hAnsi="Times New Roman"/>
          <w:noProof/>
          <w:sz w:val="24"/>
        </w:rPr>
        <w:t>valdība ir radījusi vienību ar noteiktu mērķi;</w:t>
      </w:r>
    </w:p>
    <w:p w:rsidR="00506AA9" w:rsidRPr="001973D0" w:rsidRDefault="00506AA9" w:rsidP="00506AA9">
      <w:pPr>
        <w:pStyle w:val="BodyText"/>
        <w:numPr>
          <w:ilvl w:val="1"/>
          <w:numId w:val="133"/>
        </w:numPr>
        <w:tabs>
          <w:tab w:val="left" w:pos="1412"/>
        </w:tabs>
        <w:spacing w:before="0"/>
        <w:ind w:left="1134" w:hanging="425"/>
        <w:jc w:val="both"/>
        <w:rPr>
          <w:rFonts w:ascii="Times New Roman" w:hAnsi="Times New Roman"/>
          <w:noProof/>
          <w:sz w:val="24"/>
        </w:rPr>
      </w:pPr>
      <w:r>
        <w:rPr>
          <w:rFonts w:ascii="Times New Roman" w:hAnsi="Times New Roman"/>
          <w:noProof/>
          <w:sz w:val="24"/>
        </w:rPr>
        <w:t>vienība ir esoša publiska sabiedrība;</w:t>
      </w:r>
    </w:p>
    <w:p w:rsidR="00506AA9" w:rsidRPr="001973D0" w:rsidRDefault="00506AA9" w:rsidP="00506AA9">
      <w:pPr>
        <w:pStyle w:val="BodyText"/>
        <w:numPr>
          <w:ilvl w:val="1"/>
          <w:numId w:val="133"/>
        </w:numPr>
        <w:tabs>
          <w:tab w:val="left" w:pos="1412"/>
        </w:tabs>
        <w:spacing w:before="0"/>
        <w:ind w:left="1134" w:hanging="425"/>
        <w:jc w:val="both"/>
        <w:rPr>
          <w:rFonts w:ascii="Times New Roman" w:hAnsi="Times New Roman"/>
          <w:noProof/>
          <w:sz w:val="24"/>
        </w:rPr>
      </w:pPr>
      <w:r>
        <w:rPr>
          <w:rFonts w:ascii="Times New Roman" w:hAnsi="Times New Roman"/>
          <w:noProof/>
          <w:sz w:val="24"/>
        </w:rPr>
        <w:t>vienība ir privāts operators.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780"/>
        </w:tabs>
        <w:jc w:val="both"/>
        <w:rPr>
          <w:rFonts w:ascii="Times New Roman" w:hAnsi="Times New Roman"/>
          <w:noProof/>
          <w:sz w:val="24"/>
        </w:rPr>
      </w:pPr>
      <w:bookmarkStart w:id="439" w:name="VI.2.2.1_The_unit_is_created_on_purpose_"/>
      <w:bookmarkEnd w:id="439"/>
      <w:r>
        <w:rPr>
          <w:rFonts w:ascii="Times New Roman" w:hAnsi="Times New Roman"/>
          <w:noProof/>
          <w:sz w:val="24"/>
        </w:rPr>
        <w:t>VI.2.2.1. Valdība ir radījusi vienību ar noteiktu mērķi</w:t>
      </w:r>
    </w:p>
    <w:p w:rsidR="00506AA9" w:rsidRPr="001973D0" w:rsidRDefault="00506AA9" w:rsidP="00506AA9">
      <w:pPr>
        <w:pStyle w:val="Heading6"/>
        <w:tabs>
          <w:tab w:val="left" w:pos="1780"/>
        </w:tabs>
        <w:jc w:val="both"/>
        <w:rPr>
          <w:rFonts w:ascii="Times New Roman" w:hAnsi="Times New Roman"/>
          <w:noProof/>
          <w:sz w:val="24"/>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Šajā gadījumā galvenā problēma ir saistīta ar klasifikāciju. Kamēr iesaistītās vienības galvenā darbība ir nodrošināt iznomājamus objektus valdībai, kas ir izveidojusi šo vienību, to klasificē vispārējās valdības sektorā.</w:t>
      </w: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Ja tās vienīgais pienākums ir sniegt pakalpojumus vienai valdības vienībai, kura to izveidojusi, uzskata, ka tā iesaistīta palīgdarbībā (sk. EKS 2010 2.26. punktu). Līdz ar to šādu vienību neapsver atrauti no valdības mātesvienības. Nacionālajos kontos nav jāņem vērā nekādi darījumi – ne darījums ar aktīviem, kad tāds izveidots, ne arī kāds sekojošs darījums ar precēm un pakalpojumiem – produkcija un starppatēriņš.</w:t>
      </w:r>
    </w:p>
    <w:p w:rsidR="00506AA9" w:rsidRPr="00AE217F"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Vienība var būt atsevišķa institucionāla vienība, ja tā sniedz pakalpojumus vairākām vispārējai valdībai piederošām vienībām. Ja vienība tiek radīta, sadalot ci</w:t>
      </w:r>
      <w:r w:rsidR="004A267D">
        <w:rPr>
          <w:rFonts w:ascii="Times New Roman" w:hAnsi="Times New Roman"/>
          <w:noProof/>
          <w:sz w:val="24"/>
        </w:rPr>
        <w:t>tu vienību, tās izveidi ieraksta</w:t>
      </w:r>
      <w:r>
        <w:rPr>
          <w:rFonts w:ascii="Times New Roman" w:hAnsi="Times New Roman"/>
          <w:noProof/>
          <w:sz w:val="24"/>
        </w:rPr>
        <w:t xml:space="preserve"> aktīvu apjoma citu pārmaiņu kontā kā pārmaiņas klasifikācijā un struktūrā. Ja vienība faktiski iegādājas aktīvu pati par saviem finanšu līdzekļiem, piemēram, aizņemoties savā vārdā, šo darījumu var traktēt kā aktīva pārdošanu, parasti kā bruto pamatkapitāla veidošanu (P.51g), no vienas vispārējās valdības daļas citai valdības daļai. Tādējādi kopumā vispārējās valdības neto aizdevums/aizņēmums (B.9) </w:t>
      </w:r>
      <w:r>
        <w:rPr>
          <w:rFonts w:ascii="Times New Roman" w:hAnsi="Times New Roman"/>
          <w:noProof/>
          <w:sz w:val="24"/>
        </w:rPr>
        <w:lastRenderedPageBreak/>
        <w:t>netiktu ietekmēts. Visi maksājumi, ko pēc tam v</w:t>
      </w:r>
      <w:r w:rsidR="004A267D">
        <w:rPr>
          <w:rFonts w:ascii="Times New Roman" w:hAnsi="Times New Roman"/>
          <w:noProof/>
          <w:sz w:val="24"/>
        </w:rPr>
        <w:t>aldība veic vienībai, jāieraksta</w:t>
      </w:r>
      <w:r>
        <w:rPr>
          <w:rFonts w:ascii="Times New Roman" w:hAnsi="Times New Roman"/>
          <w:noProof/>
          <w:sz w:val="24"/>
        </w:rPr>
        <w:t xml:space="preserve"> kā kārtējie pārvedumi vispārējā valdībā (D.73).</w:t>
      </w:r>
    </w:p>
    <w:p w:rsidR="00506AA9" w:rsidRPr="001973D0"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Šo vienību klasificē vispārējās valdības sektorā tik ilgi, kamēr tās darbība galvenokārt ir saistīta ar pakalpojumu sniegšanu valdībai. Iespējamā pārklasificēšanā ārpus vispārējās valdības sektora jāveic saskaņā ar noteikumiem, kas nosaka tirgus/ārpustirgus atšķirību un kontroles definīcijas.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440" w:name="VI.2.2.2_The_unit_is_an_existing_public_"/>
      <w:bookmarkEnd w:id="440"/>
      <w:r>
        <w:rPr>
          <w:rFonts w:ascii="Times New Roman" w:hAnsi="Times New Roman"/>
          <w:noProof/>
          <w:sz w:val="24"/>
        </w:rPr>
        <w:t>VI.2.2.2. Vienība ir esoša publiska sabiedrība</w:t>
      </w:r>
    </w:p>
    <w:p w:rsidR="00506AA9" w:rsidRPr="001973D0" w:rsidRDefault="00506AA9" w:rsidP="00506AA9">
      <w:pPr>
        <w:pStyle w:val="Heading6"/>
        <w:tabs>
          <w:tab w:val="left" w:pos="1876"/>
        </w:tabs>
        <w:jc w:val="both"/>
        <w:rPr>
          <w:rFonts w:ascii="Times New Roman" w:hAnsi="Times New Roman"/>
          <w:noProof/>
          <w:sz w:val="24"/>
        </w:rPr>
      </w:pPr>
    </w:p>
    <w:p w:rsidR="00506AA9"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Šķiet, pastāv divi nosacījumi, lai pamatlīdzekļu pārvedumu no valdības uz esošu publisku sabiedrību traktētu kā aktīva pārdošanu atbilstīgi bruto pamatkapitāla veidošanai (kas ietekmē neto aizdevumu/aizņēmumu (B.9)):</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sabiedrībai jābūt patstāvīgai, nevis izveidotai īpaši izskatāmā darījuma īstenošanai; parasti tai jābūt iesaistītai šāda veida darbībā, apliecinot kompetenci šādu aktīvu pārvaldībā; tās lielumam jābūt samērīgam ar attiecīgo darījumu; praktisks kritērijs – nodoto aktīvu vērtība nedrīkst būtiski pārsniegt to aktīvu pašreizējo vērtību, kuri jau pieder sabiedrībai;</w:t>
      </w:r>
    </w:p>
    <w:p w:rsidR="00506AA9"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sabiedrība aktīvu iegādi finansē pati no saviem līdzekļiem (vai no pašas veikta aizņēmuma tirgū).</w:t>
      </w:r>
    </w:p>
    <w:p w:rsidR="00506AA9" w:rsidRPr="001973D0" w:rsidRDefault="00506AA9" w:rsidP="00506AA9">
      <w:pPr>
        <w:pStyle w:val="BodyText"/>
        <w:tabs>
          <w:tab w:val="left" w:pos="1452"/>
        </w:tabs>
        <w:spacing w:before="0"/>
        <w:ind w:left="0" w:firstLine="0"/>
        <w:jc w:val="both"/>
        <w:rPr>
          <w:rFonts w:ascii="Times New Roman" w:hAnsi="Times New Roman"/>
          <w:noProof/>
          <w:sz w:val="24"/>
        </w:rPr>
      </w:pPr>
    </w:p>
    <w:p w:rsidR="00506AA9"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Ja viens no šiem nosacījumiem tomēr netiek izpildīts, visu procesu var uzskatīt par aktīvu pārstrukturēšanu publiskajā sektorā, kā rezultātā tiek panākta efektīvāka šo aktīvu pārvald</w:t>
      </w:r>
      <w:r w:rsidR="004A267D">
        <w:rPr>
          <w:rFonts w:ascii="Times New Roman" w:hAnsi="Times New Roman"/>
          <w:noProof/>
          <w:sz w:val="24"/>
        </w:rPr>
        <w:t>ība. Aktīvu pārvedumu ierakstītu</w:t>
      </w:r>
      <w:r>
        <w:rPr>
          <w:rFonts w:ascii="Times New Roman" w:hAnsi="Times New Roman"/>
          <w:noProof/>
          <w:sz w:val="24"/>
        </w:rPr>
        <w:t xml:space="preserve"> kontā “Citas aktīvu apjoma pārmaiņas”. Ja valdībai tiek veikts faktisks “pārdošanas” maksājums, ko agrāk finansēja ar valdības aizdevumu, kopējā operācija jāsadala divās daļās: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pirmkārt, aktīvu (piemēram, ēku) pārvedums, kas palielina vi</w:t>
      </w:r>
      <w:r w:rsidR="004A267D">
        <w:rPr>
          <w:rFonts w:ascii="Times New Roman" w:hAnsi="Times New Roman"/>
          <w:noProof/>
          <w:sz w:val="24"/>
        </w:rPr>
        <w:t>enības pašu kapitālu, jāieraksta</w:t>
      </w:r>
      <w:r>
        <w:rPr>
          <w:rFonts w:ascii="Times New Roman" w:hAnsi="Times New Roman"/>
          <w:noProof/>
          <w:sz w:val="24"/>
        </w:rPr>
        <w:t xml:space="preserve"> kontā “Citas aktīvu apjoma pārmaiņas”;</w:t>
      </w:r>
    </w:p>
    <w:p w:rsidR="00506AA9"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tad finanšu darījumi: aizņēmums (F.4), ko veic vienība, un maksājums valdībai jāanalizē kā pašu kapitāla izņemšana (F.5).</w:t>
      </w:r>
    </w:p>
    <w:p w:rsidR="00506AA9" w:rsidRPr="001973D0" w:rsidRDefault="00506AA9" w:rsidP="00506AA9">
      <w:pPr>
        <w:pStyle w:val="BodyText"/>
        <w:tabs>
          <w:tab w:val="left" w:pos="145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Tā rezultātā saistībā ar šādu aktīvu pārstrukturēšanu netiek ietekmēts vispārējās valdības neto aizdevums/aizņēmums (B.9).</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441" w:name="VI.2.2.3_The_unit_is_an_existing_private"/>
      <w:bookmarkEnd w:id="441"/>
      <w:r>
        <w:rPr>
          <w:rFonts w:ascii="Times New Roman" w:hAnsi="Times New Roman"/>
          <w:noProof/>
          <w:sz w:val="24"/>
        </w:rPr>
        <w:t>VI.2.2.3. Vienība ir esošs privāts operators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gadījumā darījumu ar pamatlīdzekļiem (bruto pamatkapi</w:t>
      </w:r>
      <w:r w:rsidR="004A267D">
        <w:rPr>
          <w:rFonts w:ascii="Times New Roman" w:hAnsi="Times New Roman"/>
          <w:noProof/>
          <w:sz w:val="24"/>
        </w:rPr>
        <w:t>tāla veidošana) parasti ieraksta</w:t>
      </w:r>
      <w:r>
        <w:rPr>
          <w:rFonts w:ascii="Times New Roman" w:hAnsi="Times New Roman"/>
          <w:noProof/>
          <w:sz w:val="24"/>
        </w:rPr>
        <w:t>, uzlabojot vispārējās valdības neto aizdevumu/aizņēmumu. Liku</w:t>
      </w:r>
      <w:r w:rsidR="004A267D">
        <w:rPr>
          <w:rFonts w:ascii="Times New Roman" w:hAnsi="Times New Roman"/>
          <w:noProof/>
          <w:sz w:val="24"/>
        </w:rPr>
        <w:t>mīgs pārvedums netiks ierakstīts</w:t>
      </w:r>
      <w:r>
        <w:rPr>
          <w:rFonts w:ascii="Times New Roman" w:hAnsi="Times New Roman"/>
          <w:noProof/>
          <w:sz w:val="24"/>
        </w:rPr>
        <w:t xml:space="preserve"> kā ekonomiska pārdošana, ja tiktu uzskatīts, ka pasākums pēc būtības ir finanšu noma (iznomātājs ir privāts operators, bet nomnieks ir valdība), un šajā gadījumā aktīvs būtu jāsaglabā valdības bilancē, t. i., ja valdība joprojām ir uzskatāma par aktīva ekonomisko īpašnieci. Tas jānovērtē, pamatojoties uz līguma nosacījumiem, kuros var būt atspoguļotas ļoti konkrētas klauzulas (piemēram, līguma darbības laiks) salīdzinājumā ar ierasto uzņēmējdarbības praksi; valdībai arī var būt tiesības vienpusēji pagarināt līgumu, ko parasti nav iespējams novērot komerciālos darījumos.</w:t>
      </w:r>
    </w:p>
    <w:p w:rsidR="00455C2F" w:rsidRDefault="00455C2F">
      <w:pPr>
        <w:widowControl/>
        <w:spacing w:after="160" w:line="259" w:lineRule="auto"/>
        <w:rPr>
          <w:rFonts w:ascii="Times New Roman" w:eastAsia="Arial" w:hAnsi="Times New Roman" w:cs="Arial"/>
          <w:noProof/>
          <w:sz w:val="24"/>
          <w:szCs w:val="19"/>
        </w:rPr>
      </w:pPr>
      <w:r>
        <w:rPr>
          <w:rFonts w:ascii="Times New Roman" w:eastAsia="Arial" w:hAnsi="Times New Roman" w:cs="Arial"/>
          <w:noProof/>
          <w:sz w:val="24"/>
          <w:szCs w:val="19"/>
        </w:rPr>
        <w:br w:type="page"/>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4"/>
        <w:tabs>
          <w:tab w:val="left" w:pos="1412"/>
        </w:tabs>
        <w:ind w:left="0" w:firstLine="0"/>
        <w:jc w:val="both"/>
        <w:rPr>
          <w:rFonts w:ascii="Times New Roman" w:hAnsi="Times New Roman"/>
          <w:noProof/>
          <w:u w:val="thick" w:color="000000"/>
        </w:rPr>
      </w:pPr>
      <w:bookmarkStart w:id="442" w:name="VI.2.3_Rationale_of_the_treatment"/>
      <w:bookmarkEnd w:id="442"/>
      <w:r>
        <w:rPr>
          <w:rFonts w:ascii="Times New Roman" w:hAnsi="Times New Roman"/>
          <w:noProof/>
          <w:u w:val="none"/>
        </w:rPr>
        <w:t>VI.2.3. </w:t>
      </w:r>
      <w:r>
        <w:rPr>
          <w:rFonts w:ascii="Times New Roman" w:hAnsi="Times New Roman"/>
          <w:noProof/>
          <w:u w:val="thick" w:color="000000"/>
        </w:rPr>
        <w:t>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36"/>
        </w:tabs>
        <w:jc w:val="both"/>
        <w:rPr>
          <w:rFonts w:ascii="Times New Roman" w:hAnsi="Times New Roman"/>
          <w:noProof/>
          <w:sz w:val="24"/>
        </w:rPr>
      </w:pPr>
      <w:bookmarkStart w:id="443" w:name="VI.2.3.1_The_unit_is_created_on_purpose"/>
      <w:bookmarkEnd w:id="443"/>
      <w:r>
        <w:rPr>
          <w:rFonts w:ascii="Times New Roman" w:hAnsi="Times New Roman"/>
          <w:noProof/>
          <w:sz w:val="24"/>
        </w:rPr>
        <w:t>VI.2.3.1. Vienību rada ar mērķi</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Tāds pats pamatojums jāpiemēro attiecībā uz palīgpakalpojumu sniedzējiem, ko valdība izveidojusi identisku mērķu īstenošanai (proti, vienīgi tam, lai tās sniegtu pakalpojumus valdībai). Tad nacionālo kontu apkopošanas laikā visus darījumus starp valdību un šādām vienībām konsolidē.</w:t>
      </w:r>
    </w:p>
    <w:p w:rsidR="00506AA9"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Tomēr, ja uzskata, ka šāda vienība ir pilnīgi institucionāla vienība, maksājumus, ko valdība veic par minētās vienības sniegtajiem nomas pakalpojumiem, nevar uzskatīt par tirgus produkciju, jo:</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12"/>
        </w:tabs>
        <w:spacing w:before="0"/>
        <w:ind w:left="1134" w:hanging="425"/>
        <w:jc w:val="both"/>
        <w:rPr>
          <w:rFonts w:ascii="Times New Roman" w:hAnsi="Times New Roman"/>
          <w:noProof/>
          <w:sz w:val="24"/>
        </w:rPr>
      </w:pPr>
      <w:r>
        <w:rPr>
          <w:rFonts w:ascii="Times New Roman" w:hAnsi="Times New Roman"/>
          <w:noProof/>
          <w:sz w:val="24"/>
        </w:rPr>
        <w:t>lai maksājumu uzskatītu par pārdošanu, tam jābūt tādam, kas ievērojami ietekmē piedāvājumu un/vai pieprasījumu;</w:t>
      </w:r>
    </w:p>
    <w:p w:rsidR="00506AA9" w:rsidRDefault="00506AA9" w:rsidP="00506AA9">
      <w:pPr>
        <w:pStyle w:val="BodyText"/>
        <w:numPr>
          <w:ilvl w:val="1"/>
          <w:numId w:val="133"/>
        </w:numPr>
        <w:tabs>
          <w:tab w:val="left" w:pos="1412"/>
        </w:tabs>
        <w:spacing w:before="0"/>
        <w:ind w:left="1134" w:hanging="425"/>
        <w:jc w:val="both"/>
        <w:rPr>
          <w:rFonts w:ascii="Times New Roman" w:hAnsi="Times New Roman"/>
          <w:noProof/>
          <w:sz w:val="24"/>
        </w:rPr>
      </w:pPr>
      <w:r>
        <w:rPr>
          <w:rFonts w:ascii="Times New Roman" w:hAnsi="Times New Roman"/>
          <w:noProof/>
          <w:sz w:val="24"/>
        </w:rPr>
        <w:t>šajā gadījumā, kad valdība izveido vienību, kas apsaimnieko sabiedriskās ēkas un sniedz mājokļu pakalpojumus valdības struktūrvienībām, maksājumus, kurus veic šīs struktūrvienības, kopumā nevar uzskatīt par pārdošanu, jo, visticamāk, tie ievērojami neietekmē pieprasījumu, ko radījuši valdības pakalpojumi, pat ja nomas maksu nosaka saskaņā ar tirgus cenām. Turklāt šādi maksājumi, visticamāk, nozīmē vienīgi ierakstus valsts kases grāmatvedības uzskaites datos bez jebkādas faktiskas līdzekļu plūsmas. Šāda maksājuma finanšu ekvivalents ir diezgan “abstrakts” finanšu darījums.</w:t>
      </w:r>
    </w:p>
    <w:p w:rsidR="00506AA9" w:rsidRPr="001973D0" w:rsidRDefault="00506AA9" w:rsidP="00506AA9">
      <w:pPr>
        <w:pStyle w:val="BodyText"/>
        <w:tabs>
          <w:tab w:val="left" w:pos="141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Protams, tas nenozīmē, ka šāds pasākums nav efektīvs sabiedrisko ēku apsaimniekošanai. Tomēr labākajā gadījumā tā rezultātā sabiedriskās ēkas tiks pārdalītas starp valdības struktūrvienībām, un, iespējams, radīsies situācija, kurā valdības struktūrvienības pamet noteiktas sabiedriskās ēkas, kuras tādējādi kļūs pieejamas privātai lietošanai. Šajā pēdējā gadījumā privāto lietotāju veiktie maksājumi, protams, jātraktē kā pārdošana vai noma. Šādu aktīvu pārkārtošana valdības sektorā tomēr neatbilst tirgus darbībai.</w:t>
      </w: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Tādējādi šī vienība, kas ir ārpustirgus vienība, jāklasificē vispārējās valdības sektorā vismaz tik ilgi, kamēr maksājumi, ko veic valdības struktūrvienības, veido tās resursu lielāko daļu.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44" w:name="VI.2.3.2_The_unit_is_an_existing_public_"/>
      <w:bookmarkEnd w:id="444"/>
      <w:r>
        <w:rPr>
          <w:rFonts w:ascii="Times New Roman" w:hAnsi="Times New Roman"/>
          <w:noProof/>
          <w:sz w:val="24"/>
        </w:rPr>
        <w:t>VI.2.3.2. Vienība ir esoša publiska sabiedrība</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Vienkāršākajā gadījumā, kad esoša publiska sabiedrība pērk nefinanšu aktīvus no valdības par tirgus cenu un kad netiek veikti citi saistīti darījumi starp valdību un sabiedrību, kapitā</w:t>
      </w:r>
      <w:r w:rsidR="004A267D">
        <w:rPr>
          <w:rFonts w:ascii="Times New Roman" w:hAnsi="Times New Roman"/>
          <w:noProof/>
          <w:sz w:val="24"/>
        </w:rPr>
        <w:t>la kontā ir atbilstoši ierakstīt</w:t>
      </w:r>
      <w:r>
        <w:rPr>
          <w:rFonts w:ascii="Times New Roman" w:hAnsi="Times New Roman"/>
          <w:noProof/>
          <w:sz w:val="24"/>
        </w:rPr>
        <w:t xml:space="preserve"> nefinanšu aktīvu pārdošanu kapitāla kontā (P.51g), kas uzlabo valdības neto aizdevumu/aizņēmumu (B.9).</w:t>
      </w: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Tomēr dažos šāda veida gadījumos tiek veikti arī citi pasākumi. Piemēram, aktīvu pārvedumu var saistīt ar lielām pārmaiņām sabiedrības funkcijās, proti, tā sāk jaunu darbību un uzņemas pienākumus, kas agrāk ietilpa valdības funkcijās. Aktīvu pārvedums netiek veikts par tirgus cenu vai arī vispār netiek veikts nekāds maksājums par aktīvu, vai arī pirkumu var finansēt no aizdevuma vai valdības ieguldījuma pašu kapitālā.</w:t>
      </w:r>
    </w:p>
    <w:p w:rsidR="00506AA9" w:rsidRPr="001973D0" w:rsidRDefault="00506AA9" w:rsidP="00506AA9">
      <w:pPr>
        <w:pStyle w:val="BodyText"/>
        <w:numPr>
          <w:ilvl w:val="0"/>
          <w:numId w:val="133"/>
        </w:numPr>
        <w:tabs>
          <w:tab w:val="left" w:pos="1062"/>
        </w:tabs>
        <w:spacing w:before="0"/>
        <w:ind w:left="709" w:hanging="709"/>
        <w:jc w:val="both"/>
        <w:rPr>
          <w:rFonts w:ascii="Times New Roman" w:hAnsi="Times New Roman"/>
          <w:noProof/>
          <w:sz w:val="24"/>
        </w:rPr>
      </w:pPr>
      <w:r>
        <w:rPr>
          <w:rFonts w:ascii="Times New Roman" w:hAnsi="Times New Roman"/>
          <w:noProof/>
          <w:sz w:val="24"/>
        </w:rPr>
        <w:t>Šādos gadījumos visu procesu var uzskatīt par aktīvu pārstrukturēšanu publiskajā sektorā, kā rezultātā tiek panākta efektīvāka šo aktīvu pārvaldība. Atšķirībā no vienkārša pārdošanas darījuma tirgū šāds aktīvu pārvedums, līdzīgi kā saistībā ar sabiedrī</w:t>
      </w:r>
      <w:r w:rsidR="004A267D">
        <w:rPr>
          <w:rFonts w:ascii="Times New Roman" w:hAnsi="Times New Roman"/>
          <w:noProof/>
          <w:sz w:val="24"/>
        </w:rPr>
        <w:t>bas pārstrukturēšanu, jāieraksta</w:t>
      </w:r>
      <w:r>
        <w:rPr>
          <w:rFonts w:ascii="Times New Roman" w:hAnsi="Times New Roman"/>
          <w:noProof/>
          <w:sz w:val="24"/>
        </w:rPr>
        <w:t xml:space="preserve"> kā citas plūsmas kontā “Citas aktīvu apjoma pārmaiņas” </w:t>
      </w:r>
      <w:r>
        <w:rPr>
          <w:rFonts w:ascii="Times New Roman" w:hAnsi="Times New Roman"/>
          <w:noProof/>
          <w:sz w:val="24"/>
        </w:rPr>
        <w:lastRenderedPageBreak/>
        <w:t>(sīkāku informāciju skatīt III.4. nodaļā “Kapitāla iepludināšana natūrā” un III.4.2. iedaļā “Traktējums nacionālajos kontos”).</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820"/>
        </w:tabs>
        <w:jc w:val="both"/>
        <w:rPr>
          <w:rFonts w:ascii="Times New Roman" w:hAnsi="Times New Roman"/>
          <w:noProof/>
          <w:sz w:val="24"/>
        </w:rPr>
      </w:pPr>
      <w:bookmarkStart w:id="445" w:name="VI.2.3.3_The_unit_is_an_existing_private"/>
      <w:bookmarkEnd w:id="445"/>
      <w:r>
        <w:rPr>
          <w:rFonts w:ascii="Times New Roman" w:hAnsi="Times New Roman"/>
          <w:noProof/>
          <w:sz w:val="24"/>
        </w:rPr>
        <w:t>VI.2.3.3. Vienība ir esošs privāts operators</w:t>
      </w:r>
    </w:p>
    <w:p w:rsidR="00506AA9" w:rsidRPr="001973D0" w:rsidRDefault="00506AA9" w:rsidP="00506AA9">
      <w:pPr>
        <w:pStyle w:val="Heading6"/>
        <w:tabs>
          <w:tab w:val="left" w:pos="1820"/>
        </w:tabs>
        <w:jc w:val="both"/>
        <w:rPr>
          <w:rFonts w:ascii="Times New Roman" w:hAnsi="Times New Roman"/>
          <w:noProof/>
          <w:sz w:val="24"/>
        </w:rPr>
      </w:pPr>
    </w:p>
    <w:p w:rsidR="00506AA9"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Vienību klasificē kā privātu sabiedrību (S.11002), ja tā ir esoša privātā sektora vienība (vai tās pamatā ir esošas sabiedrības) un ja nav radušās nekādas pārmaiņas attiecībā uz tās kontroli vai pastāvēšanas mērķi. Ja tā ir jauna vienība, to varētu uzskatīt par privātu vienību tad, ja to izveidotu un kontrolētu citas privātas vienības, kas tajā ieguldījušas pašu kapitālu. Privātas sabiedrības klasifikāciju var apšaubīt šādos gadījumos: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dažus vienības direktorus ieceļ valdība;</w:t>
      </w: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privātais pašu kapitāls nav pakļauts riskam;</w:t>
      </w:r>
    </w:p>
    <w:p w:rsidR="00506AA9"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valdība izsniedz garantijas attiecībā uz vienības parādiem.</w:t>
      </w:r>
    </w:p>
    <w:p w:rsidR="00506AA9" w:rsidRPr="001973D0" w:rsidRDefault="00506AA9" w:rsidP="00506AA9">
      <w:pPr>
        <w:pStyle w:val="BodyText"/>
        <w:tabs>
          <w:tab w:val="left" w:pos="145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Šeit nav iespējams sniegt īpašus noteikumus, kas aptvertu visas iespējas, jo šādi gadījumi ir ļoti dažādi. Lai noteiktu, kura klasifikācija – “publiska sabiedrība” vai “privāta sabiedrība” – ir visatbilstošākā, vienības struktūra un darbība ir jāizvērtē kā viens veselums.</w:t>
      </w:r>
    </w:p>
    <w:p w:rsidR="00506AA9"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ar privātu vienību var veikt pārdošanas darījumu ar saņemšanu atpakaļ nomā vairāku iemeslu dēļ, tostarp:</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lai samazinātu riskus, kas saistīti ar aktīva īpašumtiesībām;</w:t>
      </w:r>
    </w:p>
    <w:p w:rsidR="00506AA9" w:rsidRPr="001973D0"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lai gūtu labumu no privātā sektora pārvaldības;</w:t>
      </w:r>
    </w:p>
    <w:p w:rsidR="00506AA9" w:rsidRDefault="00506AA9" w:rsidP="00506AA9">
      <w:pPr>
        <w:pStyle w:val="BodyText"/>
        <w:numPr>
          <w:ilvl w:val="1"/>
          <w:numId w:val="133"/>
        </w:numPr>
        <w:tabs>
          <w:tab w:val="left" w:pos="1452"/>
        </w:tabs>
        <w:spacing w:before="0"/>
        <w:ind w:left="1134" w:hanging="425"/>
        <w:jc w:val="both"/>
        <w:rPr>
          <w:rFonts w:ascii="Times New Roman" w:hAnsi="Times New Roman"/>
          <w:noProof/>
          <w:sz w:val="24"/>
        </w:rPr>
      </w:pPr>
      <w:r>
        <w:rPr>
          <w:rFonts w:ascii="Times New Roman" w:hAnsi="Times New Roman"/>
          <w:noProof/>
          <w:sz w:val="24"/>
        </w:rPr>
        <w:t>lai samazinātu savu parādu.</w:t>
      </w:r>
    </w:p>
    <w:p w:rsidR="00506AA9" w:rsidRPr="001973D0" w:rsidRDefault="00506AA9" w:rsidP="00506AA9">
      <w:pPr>
        <w:pStyle w:val="BodyText"/>
        <w:tabs>
          <w:tab w:val="left" w:pos="145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3"/>
        </w:numPr>
        <w:tabs>
          <w:tab w:val="left" w:pos="1102"/>
        </w:tabs>
        <w:spacing w:before="0"/>
        <w:ind w:left="709" w:hanging="709"/>
        <w:jc w:val="both"/>
        <w:rPr>
          <w:rFonts w:ascii="Times New Roman" w:hAnsi="Times New Roman"/>
          <w:noProof/>
          <w:sz w:val="24"/>
        </w:rPr>
      </w:pPr>
      <w:r>
        <w:rPr>
          <w:rFonts w:ascii="Times New Roman" w:hAnsi="Times New Roman"/>
          <w:noProof/>
          <w:sz w:val="24"/>
        </w:rPr>
        <w:t>Operācija ar privā</w:t>
      </w:r>
      <w:r w:rsidR="004A267D">
        <w:rPr>
          <w:rFonts w:ascii="Times New Roman" w:hAnsi="Times New Roman"/>
          <w:noProof/>
          <w:sz w:val="24"/>
        </w:rPr>
        <w:t>tu vienību jāieraksta</w:t>
      </w:r>
      <w:r>
        <w:rPr>
          <w:rFonts w:ascii="Times New Roman" w:hAnsi="Times New Roman"/>
          <w:noProof/>
          <w:sz w:val="24"/>
        </w:rPr>
        <w:t xml:space="preserve"> ar darījumu starpniecību, nevis kā aktīvu pārstrukturēšana citās plūsmās. Galvenais izvērtējamais jautājums attiecas uz to, vai saņemšana atpakaļ nomā ir finanšu noma (šādā gadī</w:t>
      </w:r>
      <w:r w:rsidR="004A267D">
        <w:rPr>
          <w:rFonts w:ascii="Times New Roman" w:hAnsi="Times New Roman"/>
          <w:noProof/>
          <w:sz w:val="24"/>
        </w:rPr>
        <w:t>jumā aktīva pārdošanu neieraksta</w:t>
      </w:r>
      <w:r>
        <w:rPr>
          <w:rFonts w:ascii="Times New Roman" w:hAnsi="Times New Roman"/>
          <w:noProof/>
          <w:sz w:val="24"/>
        </w:rPr>
        <w:t>, jo tas paliek valdības bilancē) vai operatīvā noma atbilstīgi EKS 2010 pielikumam.</w:t>
      </w:r>
    </w:p>
    <w:p w:rsidR="00506AA9" w:rsidRDefault="00506AA9" w:rsidP="00506AA9">
      <w:pPr>
        <w:rPr>
          <w:rFonts w:ascii="Times New Roman" w:eastAsia="Arial" w:hAnsi="Times New Roman" w:cs="Arial"/>
          <w:noProof/>
          <w:sz w:val="24"/>
          <w:szCs w:val="20"/>
        </w:rPr>
      </w:pPr>
      <w:r>
        <w:br w:type="page"/>
      </w:r>
    </w:p>
    <w:p w:rsidR="00506AA9" w:rsidRDefault="00506AA9" w:rsidP="00455C2F">
      <w:pPr>
        <w:pStyle w:val="Heading2"/>
        <w:rPr>
          <w:noProof/>
        </w:rPr>
      </w:pPr>
      <w:bookmarkStart w:id="446" w:name="VI.3_Contracts_with_non-government_units"/>
      <w:bookmarkStart w:id="447" w:name="_bookmark49"/>
      <w:bookmarkStart w:id="448" w:name="_Toc471135915"/>
      <w:bookmarkEnd w:id="446"/>
      <w:bookmarkEnd w:id="447"/>
      <w:r>
        <w:rPr>
          <w:noProof/>
        </w:rPr>
        <w:lastRenderedPageBreak/>
        <w:t>VI.3. Līgumi ar valdības sektoram nepiederošām vienībām saistībā ar pamatlīdzekļiem</w:t>
      </w:r>
      <w:bookmarkEnd w:id="448"/>
    </w:p>
    <w:p w:rsidR="00506AA9" w:rsidRPr="001973D0" w:rsidRDefault="00506AA9" w:rsidP="00506AA9">
      <w:pPr>
        <w:tabs>
          <w:tab w:val="left" w:pos="3117"/>
          <w:tab w:val="left" w:pos="3959"/>
          <w:tab w:val="left" w:pos="6686"/>
          <w:tab w:val="left" w:pos="7652"/>
          <w:tab w:val="left" w:pos="8903"/>
        </w:tabs>
        <w:jc w:val="both"/>
        <w:rPr>
          <w:rFonts w:ascii="Times New Roman" w:hAnsi="Times New Roman"/>
          <w:b/>
          <w:noProof/>
          <w:sz w:val="24"/>
        </w:rPr>
      </w:pPr>
    </w:p>
    <w:p w:rsidR="00506AA9" w:rsidRDefault="00506AA9" w:rsidP="00506AA9">
      <w:pPr>
        <w:pStyle w:val="Heading4"/>
        <w:ind w:left="0" w:firstLine="0"/>
        <w:jc w:val="both"/>
        <w:rPr>
          <w:rFonts w:ascii="Times New Roman" w:hAnsi="Times New Roman"/>
          <w:noProof/>
          <w:u w:val="thick" w:color="000000"/>
        </w:rPr>
      </w:pPr>
      <w:bookmarkStart w:id="449" w:name="VI.3.1_Background"/>
      <w:bookmarkEnd w:id="449"/>
      <w:r>
        <w:rPr>
          <w:rFonts w:ascii="Times New Roman" w:hAnsi="Times New Roman"/>
          <w:noProof/>
          <w:u w:val="none"/>
        </w:rPr>
        <w:t>VI.3.1. </w:t>
      </w:r>
      <w:r>
        <w:rPr>
          <w:rFonts w:ascii="Times New Roman" w:hAnsi="Times New Roman"/>
          <w:noProof/>
          <w:u w:val="thick" w:color="000000"/>
        </w:rPr>
        <w:t>Vispārēja informācija</w:t>
      </w:r>
    </w:p>
    <w:p w:rsidR="00506AA9" w:rsidRPr="001973D0" w:rsidRDefault="00506AA9" w:rsidP="00506AA9">
      <w:pPr>
        <w:pStyle w:val="Heading4"/>
        <w:ind w:left="0" w:firstLine="0"/>
        <w:jc w:val="both"/>
        <w:rPr>
          <w:rFonts w:ascii="Times New Roman" w:hAnsi="Times New Roman"/>
          <w:b w:val="0"/>
          <w:bCs w:val="0"/>
          <w:noProof/>
          <w:u w:val="none"/>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Šajā nodaļā ir skatīts jautājums par </w:t>
      </w:r>
      <w:r w:rsidR="004A267D">
        <w:rPr>
          <w:rFonts w:ascii="Times New Roman" w:hAnsi="Times New Roman"/>
          <w:noProof/>
          <w:sz w:val="24"/>
        </w:rPr>
        <w:t>to, kā valdības kontos ierakstīt</w:t>
      </w:r>
      <w:r>
        <w:rPr>
          <w:rFonts w:ascii="Times New Roman" w:hAnsi="Times New Roman"/>
          <w:noProof/>
          <w:sz w:val="24"/>
        </w:rPr>
        <w:t xml:space="preserve"> līgumus ar valdības sektorā neietilpstošām vienībām, kas attiecas uz pamatlīdzekļiem (izņemot privātā un publiskā sektora partnerību, kas sīkāk skatīta turpmāk VI.4. nodaļā).</w:t>
      </w: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Valdības līgumi ar sabiedrībām par tādu publisku pamatlīdzekļu finansēšanu, izveidi, būvniecību un izmantošanu kā gāzes, ūdens, elektrības un telesakaru tīkli, ceļi, dzelzceļa līnijas, ūdensceļi, lidostas un ēkas (slimnīcas, skolas, cietumi u. c.) var būt sagatavoti dažādās formās. Visbiežāk izmantotie ilgtermiņa līgumu veidi ir raksturoti turpmākajās apakšiedaļās.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50" w:name="VI.3.1.1_Procurement_contracts_for_capit"/>
      <w:bookmarkEnd w:id="450"/>
      <w:r>
        <w:rPr>
          <w:rFonts w:ascii="Times New Roman" w:hAnsi="Times New Roman"/>
          <w:noProof/>
          <w:sz w:val="24"/>
        </w:rPr>
        <w:t>VI.3.1.1. Iepirkuma līgumi attiecībā uz pamatlīdzekļiem</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Šajā gadījumā valdības sektoram nepiederoša puse tikai apņemas veikt aktīva būvniecību un nodot to valdībai atbilstoši tās prasībām (pārbaudi parasti veic trešā puse). Aktīvu pilnībā izmantos valdība, uzņemoties par to pilnu atbildību. Ietekme uz valdības kapitāla izdevumiem var būt “vienreizēja” vienīgi attiecībā uz aktīviem, kas tiek uzbūvēti un pabeigti viena fiskālā gada laikā. Pretējā gadījumā EKS 2010 3.55. punktā noteikts, ka nepabeigtas celtnes un ēkas saskaņā ar pārdošanas/pirkšanas līgumu (kas nozīmē, ka valdība apņemas pārņemt aktīvus, ja tie atbilst noteiktajām prasībām) tiek iegūtas ilgstošā laika posmā atbilstīgi uzkrāšanas principam (pat ja tās ir nepabeigtā stāvoklī). Praksē bruto ieguldījumu pamatkapitālā vērtību var aplēst, izmantojot posmu (starpposmu) maksājumus, bet, ja tādu nav, var izmantot izmaksas, kas radušās līdz konkrētajam datumam. Tas neizslēdz iespēju, ka dažus pakalpojumus, kas nav tieši saistīti ar aktīviem, varētu nacionālajos kontos norādīt atsevišķi un atbilstoši traktēt.</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51" w:name="VI.3.1.2_Procurement_contracts_for_goods"/>
      <w:bookmarkEnd w:id="451"/>
      <w:r>
        <w:rPr>
          <w:rFonts w:ascii="Times New Roman" w:hAnsi="Times New Roman"/>
          <w:noProof/>
          <w:sz w:val="24"/>
        </w:rPr>
        <w:t>VI.3.1.2. Preču un pakalpojumu iepirkuma līgums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Valdība konkrētā ilgtermiņa periodā tikai iepērk pakalpojumus, bet nenosaka īpašas prasības attiecībā uz aktīviem (t. i., tādas prasības, kas atšķirtos no vispārējiem reglamentējošiem standartiem). Šāda līgumiskā saikne var būt būtiska, lai nodrošinātu pakalpojumu piegādes nepārtrauktību gan daudzuma, gan kvalitātes ziņā. Traktējums nacionālajos kontos balstās tikai uz plūsmām vienā fiskālajā gadā.</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52" w:name="VI.3.1.3_Equity_stakes"/>
      <w:bookmarkEnd w:id="452"/>
      <w:r>
        <w:rPr>
          <w:rFonts w:ascii="Times New Roman" w:hAnsi="Times New Roman"/>
          <w:noProof/>
          <w:sz w:val="24"/>
        </w:rPr>
        <w:t>VI.3.1.3. Pašu kapitāla daļas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Šādi pasākumi ietver tādas jaunas vienības (ko bieži vien dēvē par “kopuzņēmumu”) dibināšanu, kurā valdības vienībai un valdības sektoram nepiederošai vienībai pieder pašu kapitāla daļas sabiedrībā, kas pārvalda, piemēram, konkrēto infrastruktūru, vai situāciju, kurā valdības sektoram nepiederošs partneris pārņem kontroli pār pastāvošu publisku uzņēmumu. EKS 2010 noteikumi, kas papildināti ar šo rokasgrāmatu, sniedz skaidrus norādījumus, jo īpaši attiecībā uz tādu plūsmu traktējumu, kas ir starp valdību un šādu vienību. Tirgus subjektu, kas nepārprotami ir kopuzņēmums ar stingri vienlīdzīgu kapitāla daļu sadalījumu, klasificē kā publisku sabiedrību, ja vien tiek uzskatīts, ka vienības vispārējā darbība atrodas valdības kontrolē (sk. I.8. nodaļu “Kopuzņēmumi”).</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876"/>
        </w:tabs>
        <w:jc w:val="both"/>
        <w:rPr>
          <w:rFonts w:ascii="Times New Roman" w:hAnsi="Times New Roman"/>
          <w:noProof/>
          <w:sz w:val="24"/>
        </w:rPr>
      </w:pPr>
      <w:bookmarkStart w:id="453" w:name="VI.3.1.4_Leases"/>
      <w:bookmarkEnd w:id="453"/>
      <w:r>
        <w:rPr>
          <w:rFonts w:ascii="Times New Roman" w:hAnsi="Times New Roman"/>
          <w:noProof/>
          <w:sz w:val="24"/>
        </w:rPr>
        <w:lastRenderedPageBreak/>
        <w:t>VI.3.1.4. Noma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noteiktu laikposmu izmanto aktīvu, kas juridiski pieder valdības sektoram nepiederošai vienībai. Atbilstoši katras puses “riska un atlīdzību” analīzei (tas ir jēdziena “ekonomiskās īpašumtiesības” pamats) nomu uzskata par “operatīvo nomu” vai par “finanšu nomu”, un kā rezultātā jāizmanto atšķirīgs traktējums nacionālajos kontos (sk. EKS 2010 15. nodaļu). Tas attiecas arī uz “pārrobežu nomu” (kas izpaužas kā savstarpēji saistīti nomas līgumi, kurus parasti dēvē par “galveno nomu” un “apakšnomu”). Ja valdība noslēdz finanšu nomas līgumu, tad valdības neto aizdevums/aizņēmums (B.9) un parāds tiks ietekmēts aktīvu tirgus vērtības apmērā brīdī, kad valdība kļūst par šo aktīvu ekonomisko īpašnieci.</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EKS 2010 15. nodaļā paskaidrota atšķirība starp finanšu nomu un operatīvo nomu. Nomas veids ir atkarīgs no tā, kurš ir uzņēmies lielāko daļu ar aktīvu saistīto risku un priekšrocību – iznomātājs (aktīva īpašnieks) vai nomnieks (aktīva lietotājs), un minētajā pielikumā ir uzsvērts, ka noteicošā ir šo pasākumu ekonomiskā realitāte, nevis to juridiskās īpašības. Nacionālajos kontos ir ieteikti dažādi kritēriji, saskaņā ar kuriem pieņem lēmumu par to, vai noma jāuzskata par operatīvo nomu vai finanšu nomu. To atbilstību izvērtē katrā konkrētajā gadījumā atsevišķi.</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saistībā cieša korelācija starp līguma darbības termiņu un aktīva paredzamo ekonomisko mūžu ir būtiska finanšu nomas pazīme, jo pēc līguma beigām iznomātājs nespētu aizdot aktīvu citam nomniekam vai to izmantot līdzīgā efektivitātes līmenī (bez renovācijas izdevumiem).</w:t>
      </w:r>
    </w:p>
    <w:p w:rsidR="00506AA9" w:rsidRPr="002828E1"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Par finanšu nomu uzskata arī gadījumus, kuros valdība veic tiešus maksājumus par lielāko daļu uzturēšanas darbu, kas saistīti ar aktīvu, iegādājas apdrošināšanu dažu ilglietojuma preču gadījumā, kā arī uzņemas risku saistībā ar šādu izmaksu mainīgumu. Tas attiecas arī uz gadījumu, ja valdība apņemas atmaksāt sabiedrības parādu līguma pirmstermiņa izbeigšanas gadījumā.</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Turpretī operatīvā noma ir jāapsver, ja nomas sabiedrībai ir būtiskas un nepārtrauktas pilnvaras lemt par līguma izpildes veidu, pieņemt būtiskos lēmumus par aktīva projektēšanu un būvniecību, kā arī pieņemt lēmumu par to, kā ekspluatēt un uzturēt šo aktīvu, lai sniegtu nepieciešamos pakalpojumus.</w:t>
      </w:r>
      <w:r>
        <w:rPr>
          <w:rStyle w:val="FootnoteReference"/>
          <w:rFonts w:ascii="Times New Roman" w:hAnsi="Times New Roman"/>
          <w:noProof/>
          <w:sz w:val="24"/>
        </w:rPr>
        <w:footnoteReference w:id="198"/>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Papildus tam kā atbilstīgas klasifikācijas pazīmi var izmantot arī izvēlētā partnera raksturu, ja valdība noslēdz nomas līgumu ar vienībām, kas ir specializējušās vai nu operatīvajā nomā, vai arī finanšu nomā. Piemēri ir vienības, kas piedāvā tikai aprīkojuma (piemēram, transporta aprīkojuma, datortehnikas) operatīvo nomu, vai iestādes, kas specializējušās finanšu nomā un piedāvā īpašuma nomu (biroju platības valsts vienībām) vai aprīkojuma nomu. Visos gadījumos ir svarīgi arī pārbaudīt, vai valdība līgumu noslēgusi atbilstīgi ierastajiem komerciālajiem/tirgus nosacījumiem (piemēram, nomas ilgums, cenu indeksācija, paziņošana par līguma laušanu, atjaunošana, strīdu izšķiršanas kārtība u. c.).</w:t>
      </w:r>
    </w:p>
    <w:p w:rsidR="00506AA9" w:rsidRPr="002828E1"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Ja valdības sektoram nepiederoša vienība ir aktīvu likumīgā īpašniece (iznomātājs) un valdība, kas izmanto aktīvus (nomnieks), tiek uzskatīta par ek</w:t>
      </w:r>
      <w:r w:rsidR="004A267D">
        <w:rPr>
          <w:rFonts w:ascii="Times New Roman" w:hAnsi="Times New Roman"/>
          <w:noProof/>
          <w:sz w:val="24"/>
        </w:rPr>
        <w:t>onomisko īpašnieci, tad ieraksta</w:t>
      </w:r>
      <w:r>
        <w:rPr>
          <w:rFonts w:ascii="Times New Roman" w:hAnsi="Times New Roman"/>
          <w:noProof/>
          <w:sz w:val="24"/>
        </w:rPr>
        <w:t xml:space="preserve"> finanšu nomu. Aktīvs, kas nodrošinā</w:t>
      </w:r>
      <w:r w:rsidR="001B5996">
        <w:rPr>
          <w:rFonts w:ascii="Times New Roman" w:hAnsi="Times New Roman"/>
          <w:noProof/>
          <w:sz w:val="24"/>
        </w:rPr>
        <w:t>ts finanšu nomā, tiek ierakstīts</w:t>
      </w:r>
      <w:r>
        <w:rPr>
          <w:rFonts w:ascii="Times New Roman" w:hAnsi="Times New Roman"/>
          <w:noProof/>
          <w:sz w:val="24"/>
        </w:rPr>
        <w:t xml:space="preserve"> valdības bilancē, un aktīva ekonom</w:t>
      </w:r>
      <w:r w:rsidR="001B5996">
        <w:rPr>
          <w:rFonts w:ascii="Times New Roman" w:hAnsi="Times New Roman"/>
          <w:noProof/>
          <w:sz w:val="24"/>
        </w:rPr>
        <w:t>iskais pārvedums tiek ierakstīts</w:t>
      </w:r>
      <w:r>
        <w:rPr>
          <w:rFonts w:ascii="Times New Roman" w:hAnsi="Times New Roman"/>
          <w:noProof/>
          <w:sz w:val="24"/>
        </w:rPr>
        <w:t xml:space="preserve"> kā valdības bruto ieguldījums pamatkapitālā (P.51g) un kā nefinanšu aktīvu tās bilancē. Tādējādi valdības bilancē rodas arī saistības nosacītā aizdevuma (AF.4) formā. Tiek uzskatīts, ka regulārie maksājumi iznomātājiem ir nosacītā aizdevuma amortizācija, un tos var sadalīt divos darījumos: finanšu darījumā attiecībā uz pamatsummas atmaksāšanu (F.4) un nefinanšu </w:t>
      </w:r>
      <w:r>
        <w:rPr>
          <w:rFonts w:ascii="Times New Roman" w:hAnsi="Times New Roman"/>
          <w:noProof/>
          <w:sz w:val="24"/>
        </w:rPr>
        <w:lastRenderedPageBreak/>
        <w:t>darījumā attiecībā uz procentu maksājumu(D.41). Iespējams arī pakalpojuma komponents (</w:t>
      </w:r>
      <w:r>
        <w:rPr>
          <w:rFonts w:ascii="Times New Roman" w:hAnsi="Times New Roman"/>
          <w:i/>
          <w:noProof/>
          <w:sz w:val="24"/>
        </w:rPr>
        <w:t>FISIM</w:t>
      </w:r>
      <w:r>
        <w:rPr>
          <w:rFonts w:ascii="Times New Roman" w:hAnsi="Times New Roman"/>
          <w:noProof/>
          <w:sz w:val="24"/>
        </w:rPr>
        <w:t>), ja iznomātājs ir klasificēts finanšu sektorā (papildu informāciju sk. EKS 2010 15. nodaļā). Pēc likumīgo īpašumtiesību uz aktīvu nodošanas, valdības bilancē ir iekļauts ražots nefinanšu aktīvs, kura vērtība atbilst tirgus cenai, kas ir vienāda ar aktīva atlikušo tirgus cenu.</w:t>
      </w:r>
      <w:r>
        <w:rPr>
          <w:rStyle w:val="FootnoteReference"/>
          <w:rFonts w:ascii="Times New Roman" w:hAnsi="Times New Roman"/>
          <w:noProof/>
          <w:sz w:val="24"/>
        </w:rPr>
        <w:footnoteReference w:id="199"/>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54" w:name="VI.3.1.5_Concessions"/>
      <w:bookmarkEnd w:id="454"/>
      <w:r>
        <w:rPr>
          <w:rFonts w:ascii="Times New Roman" w:hAnsi="Times New Roman"/>
          <w:noProof/>
          <w:sz w:val="24"/>
        </w:rPr>
        <w:t>VI.3.1.5. Koncesijas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Šo terminu šeit izmanto attiecībā uz valdības līgumiem ar sabiedrību (koncesionāru), kas var būt publiska vai privāta sabiedrība, kas parakstīti konkursa kārtībā par aktīva ekspluatāciju</w:t>
      </w:r>
      <w:r>
        <w:rPr>
          <w:rStyle w:val="FootnoteReference"/>
          <w:rFonts w:ascii="Times New Roman" w:hAnsi="Times New Roman"/>
          <w:noProof/>
          <w:sz w:val="24"/>
        </w:rPr>
        <w:footnoteReference w:id="200"/>
      </w:r>
      <w:r>
        <w:rPr>
          <w:rFonts w:ascii="Times New Roman" w:hAnsi="Times New Roman"/>
          <w:noProof/>
          <w:sz w:val="24"/>
        </w:rPr>
        <w:t xml:space="preserve"> ilgā laika posmā</w:t>
      </w:r>
      <w:r>
        <w:rPr>
          <w:rStyle w:val="FootnoteReference"/>
          <w:rFonts w:ascii="Times New Roman" w:hAnsi="Times New Roman"/>
          <w:noProof/>
          <w:sz w:val="24"/>
        </w:rPr>
        <w:footnoteReference w:id="201"/>
      </w:r>
      <w:r>
        <w:rPr>
          <w:rFonts w:ascii="Times New Roman" w:hAnsi="Times New Roman"/>
          <w:noProof/>
          <w:sz w:val="24"/>
        </w:rPr>
        <w:t>, kad aktīvs jau pastāv (un ir jārenovē) vai kad tas ir jāuzbūvē no jauna, un kas paredz, ka sabiedrība iekasēs no gala lietotājiem lietošanas maksu. Piemēram, sabiedrība var uzbūvēt ceļu vai tiltu un iekasēt maksu no to lietotājiem. Parasti aktīvi tiek nodoti valdībai koncesijas beigās, un valdība pēc tam var ekspluatēt šo aktīvu vai nu tiešā veidā (iekasējot no lietotājiem maksu, šim nolūkam, iespējams, izmantojot pakalpojumu līgumus), vai izstrādājot jaunu koncesiju attiecībā uz šiem aktīviem. Līdz ar to viens no galvenajiem jautājumiem ir ekonomiskās īpašumtiesības uz aktīvu (pamatojoties uz riskiem un priekšrocībām) līguma darbības laikā, kuras var būt piešķirtas koncesionāram (visbiežāk) vai valdībai.</w:t>
      </w: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Saskaņā ar koncesijas līgumiem lielāko daļu ienākumu koncesionāri gūst no preču vai pakalpojumu tiešas pārdošanas dažādām vienībām saskaņā ar komerciāliem nosacījumiem (ceļa nodevas, apakšuzņēmēju veiktie maksājumi u. c.). Šādos apstākļos koncesionārs uzņemas lielāko daļu komercriska, kas atkarīgs gan no ārējiem faktoriem (galalietotāju pieprasījums, viņu vēlme maksāt u. c.), gan paša rezultātiem aktīvu pārvaldības un uzturēšanas jomā. Koncesionāram var nākties darboties saskaņā ar konkrētām valdības prasībām, ko dažkārt valdība kompensē (piemēram, ar subsīdijām).</w:t>
      </w:r>
    </w:p>
    <w:p w:rsidR="00506AA9" w:rsidRPr="002828E1" w:rsidRDefault="00506AA9" w:rsidP="00506AA9">
      <w:pPr>
        <w:pStyle w:val="BodyText"/>
        <w:numPr>
          <w:ilvl w:val="0"/>
          <w:numId w:val="132"/>
        </w:numPr>
        <w:tabs>
          <w:tab w:val="left" w:pos="1062"/>
        </w:tabs>
        <w:spacing w:before="0"/>
        <w:ind w:left="709" w:hanging="709"/>
        <w:jc w:val="both"/>
        <w:rPr>
          <w:rFonts w:ascii="Times New Roman" w:hAnsi="Times New Roman" w:cs="Arial"/>
          <w:noProof/>
          <w:sz w:val="24"/>
          <w:szCs w:val="19"/>
        </w:rPr>
      </w:pPr>
      <w:r>
        <w:rPr>
          <w:rFonts w:ascii="Times New Roman" w:hAnsi="Times New Roman"/>
          <w:noProof/>
          <w:sz w:val="24"/>
        </w:rPr>
        <w:t>Tāpat arī cena, kas tiek piemērota attiecībā uz galalietotājiem, var būt noteikta iepirkuma dokumentos, un koncesionārs to nevar brīvi noteikt, bet gan vienīgi koriģēt kādu konkrētu notikumu gadījumā un/vai atbilstīgi inflācijai. Valdība koncesiju var piešķirt par brīvu vai arī par maksu, kas koncesionāram jāsamaksā valdīb</w:t>
      </w:r>
      <w:r w:rsidR="001B5996">
        <w:rPr>
          <w:rFonts w:ascii="Times New Roman" w:hAnsi="Times New Roman"/>
          <w:noProof/>
          <w:sz w:val="24"/>
        </w:rPr>
        <w:t>ai. Šie maksājumi jāieraksta</w:t>
      </w:r>
      <w:r>
        <w:rPr>
          <w:rFonts w:ascii="Times New Roman" w:hAnsi="Times New Roman"/>
          <w:noProof/>
          <w:sz w:val="24"/>
        </w:rPr>
        <w:t xml:space="preserve"> saskaņā ar EKS 2010 kl</w:t>
      </w:r>
      <w:r w:rsidR="001B5996">
        <w:rPr>
          <w:rFonts w:ascii="Times New Roman" w:hAnsi="Times New Roman"/>
          <w:noProof/>
          <w:sz w:val="24"/>
        </w:rPr>
        <w:t>asifikāciju, sākotnēji (ieraksta</w:t>
      </w:r>
      <w:r>
        <w:rPr>
          <w:rFonts w:ascii="Times New Roman" w:hAnsi="Times New Roman"/>
          <w:noProof/>
          <w:sz w:val="24"/>
        </w:rPr>
        <w:t xml:space="preserve"> kā valdības atļauju, nodokli vai pakalpojumu, sk. EKS 2010 15.37. punktu) vai regulāri līguma darbības laikā (rente, īpaši nodokļi utt.) un pēc uzkrāšanas principa. Ja uzskatāms, ka valdība ir aktīva ekonomiskais īpašnieks, nac</w:t>
      </w:r>
      <w:r w:rsidR="001B5996">
        <w:rPr>
          <w:rFonts w:ascii="Times New Roman" w:hAnsi="Times New Roman"/>
          <w:noProof/>
          <w:sz w:val="24"/>
        </w:rPr>
        <w:t>ionālajos kontos aktīvu ieraksta</w:t>
      </w:r>
      <w:r>
        <w:rPr>
          <w:rFonts w:ascii="Times New Roman" w:hAnsi="Times New Roman"/>
          <w:noProof/>
          <w:sz w:val="24"/>
        </w:rPr>
        <w:t xml:space="preserve"> valdības kontos un plūsmas, kas attiecas uz šā aktīva izmantošanu, ir jāpārvirza (sk. turpmāk).</w:t>
      </w:r>
    </w:p>
    <w:p w:rsidR="00506AA9" w:rsidRPr="002828E1"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Nacionālajos kontos koncesijas ir skaidri jānošķir no publiskajām un privātajām partnerībām (PPP). Šajā nodaļā terminu “koncesija” izmanto, lai aprakstītu tikai tādus ilgtermiņa līgumus, kuros lielāko daļu partnera (koncesionāra) ieņēmumu veido pakalpojuma galalietotāju maksājumi, t. i., saskaņā ar kuriem valdība neveic nekādus regulārus maksājumus partnerim vai arī šādi maksājumi neveido lielāko daļu no partnera ieņēmumiem. Turpretī PPP līgumu gadījumā lielāko daļu partnera ieņēmumu saskaņā ar līgumu veido valdības maksājumi (piemēram, virtuālās ceļa nodevas). Turklāt šajā </w:t>
      </w:r>
      <w:r>
        <w:rPr>
          <w:rFonts w:ascii="Times New Roman" w:hAnsi="Times New Roman"/>
          <w:noProof/>
          <w:sz w:val="24"/>
        </w:rPr>
        <w:lastRenderedPageBreak/>
        <w:t>nodaļā skatītie koncesijas līgumi ir skaidri jānošķir no līgumiem (pat ja tie apzīmēti kā “koncesijas”), kuros valdība lūdz vienībai nodrošināt noteiktus pakalpojumus, ko apmaksā galalietotāji un/vai valdība, taču kuros valdība precīzi nenosaka prasības/specifikācijas attiecībā uz galvenajām pazīmēm aktīviem, kurus līgumslēdzēja vienība izmantos, un līguma beigās šos aktīvus nav paredzēts nodot atpakaļ valdībai. Šāda kārtība ir novērojama daudzās jomās, piemēram, ēdināšanā (piemēram, skolās), sabiedriskā transporta pakalpojumos utt.</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455" w:name="VI.3.1.5.1_The_key_issue_in_national_acc"/>
      <w:bookmarkEnd w:id="455"/>
      <w:r>
        <w:rPr>
          <w:rFonts w:ascii="Times New Roman" w:hAnsi="Times New Roman"/>
          <w:noProof/>
          <w:sz w:val="24"/>
        </w:rPr>
        <w:t>VI.3.1.5.1. Galvenā problēma nacionālajos kontos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Koncesijas veida līguma gadījumā sabiedrība (koncesionārs), piemēram, var uzbūvēt ceļu vai tiltu un iekasēt nodevu no transportlīdzekļiem, kas to izmanto. Valdība var vai nevar saņemt maksājumus no šīs sabiedrības.</w:t>
      </w:r>
    </w:p>
    <w:p w:rsidR="00506AA9"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Būtiskie jautājumi, kas rodas šajā saistībā, ir norādīti turpmāk.</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32"/>
        </w:numPr>
        <w:tabs>
          <w:tab w:val="left" w:pos="1462"/>
        </w:tabs>
        <w:spacing w:before="0"/>
        <w:ind w:left="1134" w:hanging="425"/>
        <w:jc w:val="both"/>
        <w:rPr>
          <w:rFonts w:ascii="Times New Roman" w:hAnsi="Times New Roman"/>
          <w:noProof/>
          <w:sz w:val="24"/>
        </w:rPr>
      </w:pPr>
      <w:r>
        <w:rPr>
          <w:rFonts w:ascii="Times New Roman" w:hAnsi="Times New Roman"/>
          <w:noProof/>
          <w:sz w:val="24"/>
        </w:rPr>
        <w:t>Kura puse ir aktīva ekonomiskais īpašnieks (proti, kuras puse</w:t>
      </w:r>
      <w:r w:rsidR="001B5996">
        <w:rPr>
          <w:rFonts w:ascii="Times New Roman" w:hAnsi="Times New Roman"/>
          <w:noProof/>
          <w:sz w:val="24"/>
        </w:rPr>
        <w:t>s bilancē aktīvs tiek ierakstīts</w:t>
      </w:r>
      <w:r>
        <w:rPr>
          <w:rFonts w:ascii="Times New Roman" w:hAnsi="Times New Roman"/>
          <w:noProof/>
          <w:sz w:val="24"/>
        </w:rPr>
        <w:t xml:space="preserve"> tā ekspluatācijas laikā)?</w:t>
      </w:r>
    </w:p>
    <w:p w:rsidR="00506AA9" w:rsidRDefault="00506AA9" w:rsidP="00506AA9">
      <w:pPr>
        <w:pStyle w:val="BodyText"/>
        <w:numPr>
          <w:ilvl w:val="1"/>
          <w:numId w:val="132"/>
        </w:numPr>
        <w:tabs>
          <w:tab w:val="left" w:pos="1462"/>
        </w:tabs>
        <w:spacing w:before="0"/>
        <w:ind w:left="1134" w:hanging="425"/>
        <w:jc w:val="both"/>
        <w:rPr>
          <w:rFonts w:ascii="Times New Roman" w:hAnsi="Times New Roman"/>
          <w:noProof/>
          <w:sz w:val="24"/>
        </w:rPr>
      </w:pPr>
      <w:r>
        <w:rPr>
          <w:rFonts w:ascii="Times New Roman" w:hAnsi="Times New Roman"/>
          <w:noProof/>
          <w:sz w:val="24"/>
        </w:rPr>
        <w:t>K</w:t>
      </w:r>
      <w:r w:rsidR="001B5996">
        <w:rPr>
          <w:rFonts w:ascii="Times New Roman" w:hAnsi="Times New Roman"/>
          <w:noProof/>
          <w:sz w:val="24"/>
        </w:rPr>
        <w:t>ā nacionālajos kontos jāieraksta</w:t>
      </w:r>
      <w:r>
        <w:rPr>
          <w:rFonts w:ascii="Times New Roman" w:hAnsi="Times New Roman"/>
          <w:noProof/>
          <w:sz w:val="24"/>
        </w:rPr>
        <w:t xml:space="preserve"> ar koncesijas līgumiem saistītie darījumi?</w:t>
      </w:r>
    </w:p>
    <w:p w:rsidR="00506AA9" w:rsidRPr="001973D0" w:rsidRDefault="00506AA9" w:rsidP="00506AA9">
      <w:pPr>
        <w:pStyle w:val="BodyText"/>
        <w:tabs>
          <w:tab w:val="left" w:pos="146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Īpaša uzmanība būtu jāpievērš gadījumiem, kad koncesionārs ir valdības kontrolēts subjekts</w:t>
      </w:r>
      <w:r>
        <w:rPr>
          <w:rStyle w:val="FootnoteReference"/>
          <w:rFonts w:ascii="Times New Roman" w:hAnsi="Times New Roman"/>
          <w:noProof/>
          <w:sz w:val="24"/>
        </w:rPr>
        <w:footnoteReference w:id="202"/>
      </w:r>
      <w:r>
        <w:rPr>
          <w:rFonts w:ascii="Times New Roman" w:hAnsi="Times New Roman"/>
          <w:noProof/>
          <w:sz w:val="24"/>
        </w:rPr>
        <w:t>, kam nav lēmumu pieņemšanas autonomijas attiecībā uz savu pamatfunkciju, kā tas prasīts nacionālajos kontos (EKS 2010 2.12. punkts). Šādos gadījumos koncesionāru klasificē vispārējās valdības sektorā. Ja šādu subjektu kontrolē dažādas valdības vienības (kas, iespējams, iekļautas dažādos apakšsektoros, t. i., centrā</w:t>
      </w:r>
      <w:r w:rsidR="001B5996">
        <w:rPr>
          <w:rFonts w:ascii="Times New Roman" w:hAnsi="Times New Roman"/>
          <w:noProof/>
          <w:sz w:val="24"/>
        </w:rPr>
        <w:t>lās valdības, pavalsts/paš</w:t>
      </w:r>
      <w:r>
        <w:rPr>
          <w:rFonts w:ascii="Times New Roman" w:hAnsi="Times New Roman"/>
          <w:noProof/>
          <w:sz w:val="24"/>
        </w:rPr>
        <w:t>valdības apakšsektorā), to klasificē tajā valdības vienības apakšsektorā, kurā sabiedrībai (koncesionāram) ir balsstiesību vairākums vai dažos gadījumos, kas liecina par kontroli, pamatojoties uz citiem kritērijiem, kā aprakstīts šīs rokasgrāmatas I.2.3. apakšiedaļā.</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Kā minēts iepriekš, koncesijas darbībās var būt iesaistītas gan publiskas, gan privātas sabiedrības. Ja ir iesaistīts publisks uzņēmums, rodas jautājums, kur šādu publisku uzņēmumu klasificēt (sk. I daļu “Vispārējās valdības sektora norobežošana”). Lai varētu novērtēt turpmākajos gados paredzamās izmaksas un pārdošanas darījumus, jābūt pieejamiem koncesijas saimnieciskajiem un finanšu plāniem.</w:t>
      </w:r>
    </w:p>
    <w:p w:rsidR="00506AA9" w:rsidRPr="00F51735"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ir būtiski pārbaudīt visus grozījumus, pārskatīšanas vai vienošanās maiņas, kas notiek koncesijas periodā un var ietekmēt statistikas traktējumu, jo īpaši gadījumā, ja koncesionārs vairs netiek uzskatīts par tirgus ražotāju, jo šādā gadījumā aktīvus nāktos pārklasificēt par tirgus aktīviem un koncesiju uzskatīt par apsaimniekošanas līgumu. Īpaša uzmanība jāpievērš visiem noteikumiem, kas reglamentē līguma pirmstermiņa izbeigšanu, pamatojoties uz to, ka sabiedrība nepilda savas saistības (papildu skaidrojums sniegts VI.4.3.5. apakšiedaļā “Izbeigšanas klauzulas un pārmaiņas līguma būtībā”).</w:t>
      </w: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Var arī gadīties, ka publiskais koncesionārs (ko nacionālajos kontos atzīst par institucionālo vienību), kurš varētu tikt klasificēts valdības sektorā, pamatojoties uz tirgus/ārpustirgus testu (piemēram, jo tiek saņemtas nozīmīgas ražošanas subsīdijas no valdības), varētu vēlāk atgūt tirgus dalībnieka statusu pēc iesaistīšanās vairākos koncesijas līgumos un turpmāk 26. punktā minēto prasību izpildes, ja lielākā daļa ieņēmumu nāktu no tirgus nodevām (tirgus ražošanas).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56" w:name="VI.3.1.5.2_Treatment_in_national_account"/>
      <w:bookmarkEnd w:id="456"/>
      <w:r>
        <w:rPr>
          <w:rFonts w:ascii="Times New Roman" w:hAnsi="Times New Roman"/>
          <w:noProof/>
          <w:sz w:val="24"/>
        </w:rPr>
        <w:lastRenderedPageBreak/>
        <w:t>VI.3.1.5.2. Traktējums nacionālajos kontos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Kad koncesiju gadījumos</w:t>
      </w:r>
      <w:r>
        <w:rPr>
          <w:rStyle w:val="FootnoteReference"/>
          <w:rFonts w:ascii="Times New Roman" w:hAnsi="Times New Roman"/>
          <w:noProof/>
          <w:sz w:val="24"/>
        </w:rPr>
        <w:footnoteReference w:id="203"/>
      </w:r>
      <w:r>
        <w:rPr>
          <w:rFonts w:ascii="Times New Roman" w:hAnsi="Times New Roman"/>
          <w:noProof/>
          <w:sz w:val="24"/>
        </w:rPr>
        <w:t xml:space="preserve"> maksājumi, ko valdība maksā naudā vai natūrā, veido mazāko daļu no ieņēmumiem, ko sabiedrība tieši vai netieši gūst, pamatojoties uz līgu</w:t>
      </w:r>
      <w:r w:rsidR="001B5996">
        <w:rPr>
          <w:rFonts w:ascii="Times New Roman" w:hAnsi="Times New Roman"/>
          <w:noProof/>
          <w:sz w:val="24"/>
        </w:rPr>
        <w:t>miem, koncesijas aktīvu ieraksta</w:t>
      </w:r>
      <w:r>
        <w:rPr>
          <w:rFonts w:ascii="Times New Roman" w:hAnsi="Times New Roman"/>
          <w:noProof/>
          <w:sz w:val="24"/>
        </w:rPr>
        <w:t xml:space="preserve"> sabiedrības bilancē tā ekspluatācijas laikā.</w:t>
      </w:r>
    </w:p>
    <w:p w:rsidR="00506AA9" w:rsidRPr="001973D0" w:rsidRDefault="00506AA9" w:rsidP="00506AA9">
      <w:pPr>
        <w:pStyle w:val="BodyText"/>
        <w:numPr>
          <w:ilvl w:val="0"/>
          <w:numId w:val="132"/>
        </w:numPr>
        <w:tabs>
          <w:tab w:val="left" w:pos="1062"/>
        </w:tabs>
        <w:spacing w:before="0"/>
        <w:ind w:left="709" w:hanging="709"/>
        <w:jc w:val="both"/>
        <w:rPr>
          <w:rFonts w:ascii="Times New Roman" w:hAnsi="Times New Roman"/>
          <w:noProof/>
          <w:sz w:val="24"/>
          <w:szCs w:val="14"/>
        </w:rPr>
      </w:pPr>
      <w:r>
        <w:rPr>
          <w:rFonts w:ascii="Times New Roman" w:hAnsi="Times New Roman"/>
          <w:noProof/>
          <w:sz w:val="24"/>
        </w:rPr>
        <w:t>Ja tomēr valdība dažādos veidos (tostarp, izmantojot ieguldījumu dotācijas) finansē lielāko būvniecības (vai renovācijas) izdevumu daļu,</w:t>
      </w:r>
      <w:r w:rsidR="001B5996">
        <w:rPr>
          <w:rFonts w:ascii="Times New Roman" w:hAnsi="Times New Roman"/>
          <w:noProof/>
          <w:sz w:val="24"/>
        </w:rPr>
        <w:t xml:space="preserve"> koncesijas aktīvs ir jāieraksta</w:t>
      </w:r>
      <w:r>
        <w:rPr>
          <w:rFonts w:ascii="Times New Roman" w:hAnsi="Times New Roman"/>
          <w:noProof/>
          <w:sz w:val="24"/>
        </w:rPr>
        <w:t xml:space="preserve"> valdības bilancē. Ieņēmumus, ko koncesionārs gūst ekspluatācijas posmā (neto apsaimniekošanas maksājumi), pārvirza valdībai, jo koncesionārs šajā gadījumā darbojas valdības “vārdā”. Ja vienību kontrolē valdība un koncesijas ar valdību ir tās galvenā darbība, vienību pārklasificē vispārējās valdības sektorā, izņemot gadījumus, ja ir skaidrs apliecinājums, ka vienība vienmēr ir piedalījusies brīvos atklātos iepirkumu konkursos ar privātām vienībām saistībā ar koncesionāru atlasi. Ja koncesionārs ir privāta sabiedrība, jāuzskata, ka koncesijas līgums ir apsaimniekošanas/pakalpojumu līgums. Līdzīgs noteikums jāpiemēro gadījumā, ja valdība ir sniegusi tiešu garantiju</w:t>
      </w:r>
      <w:r>
        <w:rPr>
          <w:rStyle w:val="FootnoteReference"/>
          <w:rFonts w:ascii="Times New Roman" w:hAnsi="Times New Roman"/>
          <w:noProof/>
          <w:sz w:val="24"/>
        </w:rPr>
        <w:footnoteReference w:id="204"/>
      </w:r>
      <w:r>
        <w:rPr>
          <w:rFonts w:ascii="Times New Roman" w:hAnsi="Times New Roman"/>
          <w:noProof/>
          <w:sz w:val="24"/>
        </w:rPr>
        <w:t xml:space="preserve"> attiecībā uz vairāk nekā 50 % no koncesionāra parādsaistībām, ko tas uzņēmies ar mērķi nodrošināt aktīvam nepieciešamo finansējumu, tādējādi valdībai uzņemoties lielāko daļu ar aktīvu saistītā riska.</w:t>
      </w:r>
      <w:r>
        <w:rPr>
          <w:rStyle w:val="FootnoteReference"/>
          <w:rFonts w:ascii="Times New Roman" w:hAnsi="Times New Roman"/>
          <w:noProof/>
          <w:sz w:val="24"/>
        </w:rPr>
        <w:footnoteReference w:id="205"/>
      </w:r>
    </w:p>
    <w:p w:rsidR="00506AA9" w:rsidRPr="00F51735" w:rsidRDefault="00506AA9" w:rsidP="00506AA9">
      <w:pPr>
        <w:pStyle w:val="BodyText"/>
        <w:numPr>
          <w:ilvl w:val="0"/>
          <w:numId w:val="132"/>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Turklāt gadījumā, ja sākotnējā līgumā vai tā darbības laikā valdība sniedz garantiju attiecībā uz minimālajiem ienākumiem (piemēram, garantē minimālo satiksmes apjomu) vai dažos gadījumos attiecībā uz minimālo koncesionāra ienesīgumu </w:t>
      </w:r>
      <w:r w:rsidR="00E0064A">
        <w:rPr>
          <w:rFonts w:ascii="Times New Roman" w:hAnsi="Times New Roman"/>
          <w:noProof/>
          <w:sz w:val="24"/>
        </w:rPr>
        <w:t>(piemēram, attiecībā uz</w:t>
      </w:r>
      <w:r>
        <w:rPr>
          <w:rFonts w:ascii="Times New Roman" w:hAnsi="Times New Roman"/>
          <w:noProof/>
          <w:sz w:val="24"/>
        </w:rPr>
        <w:t xml:space="preserve"> pašu kapitāla</w:t>
      </w:r>
      <w:r w:rsidR="00E0064A">
        <w:rPr>
          <w:rFonts w:ascii="Times New Roman" w:hAnsi="Times New Roman"/>
          <w:noProof/>
          <w:sz w:val="24"/>
        </w:rPr>
        <w:t xml:space="preserve"> atdevi</w:t>
      </w:r>
      <w:r>
        <w:rPr>
          <w:rFonts w:ascii="Times New Roman" w:hAnsi="Times New Roman"/>
          <w:noProof/>
          <w:sz w:val="24"/>
        </w:rPr>
        <w:t xml:space="preserve">), jāuzskata, ka valdība uzņemas lielāko ekonomisko </w:t>
      </w:r>
      <w:r w:rsidR="001B5996">
        <w:rPr>
          <w:rFonts w:ascii="Times New Roman" w:hAnsi="Times New Roman"/>
          <w:noProof/>
          <w:sz w:val="24"/>
        </w:rPr>
        <w:t>risku daļu, un aktīvi jāieraksta</w:t>
      </w:r>
      <w:r>
        <w:rPr>
          <w:rFonts w:ascii="Times New Roman" w:hAnsi="Times New Roman"/>
          <w:noProof/>
          <w:sz w:val="24"/>
        </w:rPr>
        <w:t xml:space="preserve"> valdības bilancē. No šāda viedokļa raugoties, izzūd galvenā atšķirība starp koncesijām un PPP. Šajā gadījumā šo līgumu nacionālajos kontos traktē līdzīgi iepirkuma līgumam, ko slēdz attiecībā uz aktīvu būvniecību, un pēc aktīva būvniecības pabeigšanas to traktē kā aktīva apsaimniekošanas/apkopes pakalpojumu pirkšanu.</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Ciktāl runa ir par iemesliem, kādēļ koncesionāram tiek sniegts atbalsts, ieteicams līgumā iekļaut pilnīgu sarakstu, kurā norādīti iespējamie notikumi, kas rodas nepārvaramas varas apstākļu dēļ, līdz ar to izslēdzot jebkādu partnera atbildību par tā finanšu situācijas pasliktināšanos, pretēji “atvērtam” formulējumam, kas var būt par iemeslu atklātai un iespējami apstrīdamai interpretācijai un faktiski nepietiekamai risku nodošanai.</w:t>
      </w:r>
      <w:r>
        <w:rPr>
          <w:rStyle w:val="FootnoteReference"/>
          <w:rFonts w:ascii="Times New Roman" w:hAnsi="Times New Roman"/>
          <w:noProof/>
          <w:sz w:val="24"/>
        </w:rPr>
        <w:footnoteReference w:id="206"/>
      </w:r>
      <w:r>
        <w:rPr>
          <w:rFonts w:ascii="Times New Roman" w:hAnsi="Times New Roman"/>
          <w:noProof/>
          <w:sz w:val="24"/>
        </w:rPr>
        <w:t xml:space="preserve"> Jebkurā gadījumā tam ir jāizslēdz ekonomiskie riski, kuri saistīti ar uzņēmējdarbības cikliem un ar kuriem ražotāji saskaras savā darbības jomā. Tomēr saistībā ar ārkārtējiem un dramatiskiem nelabvēlīgiem ekonomiskajiem apstākļiem valdības sniegts ierobežots pagaidu atbalsts ne vienmēr nozīmē to, ka aktīvi ir jāpārklasificē.</w:t>
      </w:r>
    </w:p>
    <w:p w:rsidR="00506AA9"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Izņēmums šim principam varētu būt gadījums, kad publiskajam koncesionāram ir piešķirta lēmumu pieņemšanas autonomija attiecībā uz līgumu (vismaz attiecībā uz dažiem būtiskiem lēmumiem, ievērojot to, ka viņi varētu samērā neatkarīgi darboties ikdienas saimnieciskajās darbībās). Koncesijas līgumā(-os) ar valdības vienībām būtu </w:t>
      </w:r>
      <w:r>
        <w:rPr>
          <w:rFonts w:ascii="Times New Roman" w:hAnsi="Times New Roman"/>
          <w:noProof/>
          <w:sz w:val="24"/>
        </w:rPr>
        <w:lastRenderedPageBreak/>
        <w:t>jāiekļauj koncesionāra galvenā darbība (tostarp arī gadījumos, kad ir tikai viena darbība). Tāpēc šajā gadījumā ir svarīgi pārbaudīt koncesionāra autonomiju attiecībā uz svarīgu lēmumu pieņemšanu koncesijas jautājumos.</w:t>
      </w:r>
      <w:r>
        <w:rPr>
          <w:rStyle w:val="FootnoteReference"/>
          <w:rFonts w:ascii="Times New Roman" w:hAnsi="Times New Roman"/>
          <w:noProof/>
          <w:sz w:val="24"/>
        </w:rPr>
        <w:footnoteReference w:id="207"/>
      </w:r>
      <w:r>
        <w:rPr>
          <w:rFonts w:ascii="Times New Roman" w:hAnsi="Times New Roman"/>
          <w:noProof/>
          <w:sz w:val="24"/>
        </w:rPr>
        <w:t xml:space="preserve"> Šajā saistībā ir jāizvērtē šādu kritēriju kopums: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koncesionāram ir tiesības parakstīt līgumu bez kontrolējošās(-o) valdības vienības(-u) piekrišanas;</w:t>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szCs w:val="14"/>
        </w:rPr>
      </w:pPr>
      <w:r>
        <w:rPr>
          <w:rFonts w:ascii="Times New Roman" w:hAnsi="Times New Roman"/>
          <w:noProof/>
          <w:sz w:val="24"/>
        </w:rPr>
        <w:t>vai koncesionārs varētu noslēgt citus koncesijas līgumus bez valdības piekrišanas;</w:t>
      </w:r>
      <w:r>
        <w:rPr>
          <w:rStyle w:val="FootnoteReference"/>
          <w:rFonts w:ascii="Times New Roman" w:hAnsi="Times New Roman"/>
          <w:noProof/>
          <w:sz w:val="24"/>
        </w:rPr>
        <w:footnoteReference w:id="208"/>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koncesionārs varētu izstāties no koncesijas līguma (piemēram, pārdodot koncesiju citai vienībai) bez valdības piekrišanas;</w:t>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koncesionāram ir pilnīga lēmumu pieņemšanas brīvība jautājumos, kas skar “nozīmīgu remontu” izdevumu summu un veikšanas laiku;</w:t>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szCs w:val="14"/>
        </w:rPr>
      </w:pPr>
      <w:r>
        <w:rPr>
          <w:rFonts w:ascii="Times New Roman" w:hAnsi="Times New Roman"/>
          <w:noProof/>
          <w:sz w:val="24"/>
        </w:rPr>
        <w:t>vai publiskajam koncesionāram nepastāv kādi ierobežojumi attiecībā uz algu un personāla politiku, piegādātāju atlasi, pirkumu politiku un sniegto pakalpojumu kvalitāti,</w:t>
      </w:r>
      <w:r>
        <w:rPr>
          <w:rStyle w:val="FootnoteReference"/>
          <w:rFonts w:ascii="Times New Roman" w:hAnsi="Times New Roman"/>
          <w:noProof/>
          <w:sz w:val="24"/>
        </w:rPr>
        <w:footnoteReference w:id="209"/>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koncesionārs var slēgt apakšuzņēmuma līgumus ar citām vienībām bez kontrolējošās vienības vai līguma attiecībās esošās valdības vienības piekrišanas;</w:t>
      </w:r>
    </w:p>
    <w:p w:rsidR="00506AA9" w:rsidRPr="001973D0"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koncesionārs var lemt par koncesijas aktīvu jaudas/kvalitātes paplašināšanu/modernizāciju bez kontrolējošās vienības vai līgumslēdzējas valdības vienības piekrišanas;</w:t>
      </w:r>
    </w:p>
    <w:p w:rsidR="00506AA9" w:rsidRPr="00F51735" w:rsidRDefault="00506AA9" w:rsidP="00506AA9">
      <w:pPr>
        <w:pStyle w:val="BodyText"/>
        <w:numPr>
          <w:ilvl w:val="0"/>
          <w:numId w:val="131"/>
        </w:numPr>
        <w:tabs>
          <w:tab w:val="left" w:pos="1462"/>
        </w:tabs>
        <w:spacing w:before="0"/>
        <w:ind w:left="1134" w:hanging="425"/>
        <w:jc w:val="both"/>
        <w:rPr>
          <w:rFonts w:ascii="Times New Roman" w:hAnsi="Times New Roman"/>
          <w:noProof/>
          <w:sz w:val="24"/>
        </w:rPr>
      </w:pPr>
      <w:r>
        <w:rPr>
          <w:rFonts w:ascii="Times New Roman" w:hAnsi="Times New Roman"/>
          <w:noProof/>
          <w:sz w:val="24"/>
        </w:rPr>
        <w:t>vai koncesionāram nav pienākuma īstenot cenu diferenciāciju gala lietotājiem saskaņā ar valdības norādījumiem (piemēram, noteikt īpašus tarifus sociālos nolūkos), par ko valdība ar iekšējas šķērssubsīdijas starpniecību nesniedz konkrētu kompensāciju.</w:t>
      </w:r>
      <w:r>
        <w:rPr>
          <w:rStyle w:val="FootnoteReference"/>
          <w:rFonts w:ascii="Times New Roman" w:hAnsi="Times New Roman"/>
          <w:noProof/>
          <w:sz w:val="24"/>
        </w:rPr>
        <w:footnoteReference w:id="210"/>
      </w:r>
    </w:p>
    <w:p w:rsidR="00506AA9" w:rsidRDefault="00506AA9" w:rsidP="00506AA9">
      <w:pPr>
        <w:pStyle w:val="BodyText"/>
        <w:spacing w:before="0"/>
        <w:ind w:left="0" w:firstLine="0"/>
        <w:jc w:val="both"/>
        <w:rPr>
          <w:rFonts w:ascii="Times New Roman" w:hAnsi="Times New Roman"/>
          <w:noProof/>
          <w:sz w:val="24"/>
        </w:rPr>
      </w:pP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 ir gūts apliecinājums, ka kāds no minētajiem kritērijiem nav izpildīts, uzskatāms, ka vienībai nav lēmumu pieņemšanas autonomijas attiecībā uz līgumu. Ja publiskais koncesionārs tiek iesaistīts vairākos līgumos ar valdības vienībām un ja attiecībā uz šiem kritērijiem radīsies atšķirīgi secinājumi, vispārējais novērtējums izdarāms, pamatojoties uz koncesijas aktīvu vērtības lielāko daļu.</w:t>
      </w:r>
      <w:r>
        <w:rPr>
          <w:rStyle w:val="FootnoteReference"/>
          <w:rFonts w:ascii="Times New Roman" w:hAnsi="Times New Roman"/>
          <w:noProof/>
          <w:sz w:val="24"/>
        </w:rPr>
        <w:footnoteReference w:id="211"/>
      </w:r>
    </w:p>
    <w:p w:rsidR="00506AA9" w:rsidRPr="001973D0" w:rsidRDefault="00506AA9" w:rsidP="00506AA9">
      <w:pPr>
        <w:pStyle w:val="BodyText"/>
        <w:spacing w:before="0"/>
        <w:ind w:left="0" w:firstLine="0"/>
        <w:jc w:val="both"/>
        <w:rPr>
          <w:rFonts w:ascii="Times New Roman" w:hAnsi="Times New Roman"/>
          <w:noProof/>
          <w:sz w:val="24"/>
          <w:szCs w:val="1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1. gadījums. Sabiedrība ir uzbūvējusi jaunu aktīvu</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 aktīvs ir uzbūvēts no jauna un to ir uzbūvējusi sabiedrība, tad tie ir sabiedrības bruto pamatkapitāla veidošana, kas neietekmē valdības kontus.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Ja aktīva ekspluatācijas perioda beigās aktīvs tiek pārdots valdībai, to ieraksta valdības bilancē </w:t>
      </w:r>
      <w:r>
        <w:rPr>
          <w:rFonts w:ascii="Times New Roman" w:hAnsi="Times New Roman"/>
          <w:noProof/>
          <w:sz w:val="24"/>
        </w:rPr>
        <w:lastRenderedPageBreak/>
        <w:t xml:space="preserve">kā bruto pamatkapitāla veidošanu atbilstīgi aktīva tirgus vērtībai (izmantotā vērtība jānovērtē neatkarīgai struktūrai, kas var būt arī valdības vienība, ar nosacījumu, ka ir pierādījums tam, ka tā varētu darboties neatkarīgi šā uzdevuma veikšanai). Ja valdības samaksātā summa atšķiras no tirgus </w:t>
      </w:r>
      <w:r w:rsidR="001B5996">
        <w:rPr>
          <w:rFonts w:ascii="Times New Roman" w:hAnsi="Times New Roman"/>
          <w:noProof/>
          <w:sz w:val="24"/>
        </w:rPr>
        <w:t>vērtības, šī starpība jāieraksta</w:t>
      </w:r>
      <w:r>
        <w:rPr>
          <w:rFonts w:ascii="Times New Roman" w:hAnsi="Times New Roman"/>
          <w:noProof/>
          <w:sz w:val="24"/>
        </w:rPr>
        <w:t xml:space="preserve"> kā kapitāla pārvedums (D.99). Gadījumos, kad aktīvs ir piešķirts valdībai bez maksas, kapitāla pārvedumam (D.99) ir tāda pati vērtība kā bruto ieguldījumam pamatkapitālā, līdz ar to valdības neto aizdevums/aizņēmums (B.9) kopumā netiek ietekmēts.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 līguma darbības laikā sabiedrība veic mak</w:t>
      </w:r>
      <w:r w:rsidR="001B5996">
        <w:rPr>
          <w:rFonts w:ascii="Times New Roman" w:hAnsi="Times New Roman"/>
          <w:noProof/>
          <w:sz w:val="24"/>
        </w:rPr>
        <w:t>sājumus valdībai, tie jāieraksta</w:t>
      </w:r>
      <w:r>
        <w:rPr>
          <w:rFonts w:ascii="Times New Roman" w:hAnsi="Times New Roman"/>
          <w:noProof/>
          <w:sz w:val="24"/>
        </w:rPr>
        <w:t xml:space="preserve"> kā rente (D.45), ja valdība piešķir sabiedrībai neražotu aktīvu (piemēram, zemi, uz kuras ir uzbūvēta infrastruktūra), bet, ja valdība piešķir ražotu </w:t>
      </w:r>
      <w:r w:rsidR="001B5996">
        <w:rPr>
          <w:rFonts w:ascii="Times New Roman" w:hAnsi="Times New Roman"/>
          <w:noProof/>
          <w:sz w:val="24"/>
        </w:rPr>
        <w:t>aktīvu, tad maksājums jāieraksta</w:t>
      </w:r>
      <w:r>
        <w:rPr>
          <w:rFonts w:ascii="Times New Roman" w:hAnsi="Times New Roman"/>
          <w:noProof/>
          <w:sz w:val="24"/>
        </w:rPr>
        <w:t xml:space="preserve"> kā nomas maksa (produkcija P.1). Ja valdība apmaiņā pret šiem maksājum</w:t>
      </w:r>
      <w:r w:rsidR="001B5996">
        <w:rPr>
          <w:rFonts w:ascii="Times New Roman" w:hAnsi="Times New Roman"/>
          <w:noProof/>
          <w:sz w:val="24"/>
        </w:rPr>
        <w:t>iem neko nepiešķir, tos ieraksta</w:t>
      </w:r>
      <w:r>
        <w:rPr>
          <w:rFonts w:ascii="Times New Roman" w:hAnsi="Times New Roman"/>
          <w:noProof/>
          <w:sz w:val="24"/>
        </w:rPr>
        <w:t xml:space="preserve"> kā citus ražošanas nodokļus (D.29). Ja valdība pieprasa maksājumu par tiesībām ekspluatēt aktīvu un sabiedrība drīkst nodot tiesības citām pusēm, tas jāuzskata par maksājumu par neražota aktīva (AN.22) iegādi, ja pastāv atbilstība EKS 2010 15.37. punkta nosacījumiem.</w:t>
      </w:r>
    </w:p>
    <w:p w:rsidR="00506AA9" w:rsidRDefault="00506AA9" w:rsidP="00506AA9">
      <w:pPr>
        <w:pStyle w:val="Heading6"/>
        <w:jc w:val="both"/>
        <w:rPr>
          <w:rFonts w:ascii="Times New Roman" w:hAnsi="Times New Roman"/>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2. gadījums. Valdība nodod sabiedrībai esošu ražotu aktīvu</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Ir iespējams, ka valdība koncesijas termiņa sākumā nodod sabiedrībai jau esošu infrastruktūru. Ja apmaiņā pret to valdība iegūst pašu kapitālu sabiedrībā nodotās infr</w:t>
      </w:r>
      <w:r w:rsidR="001B5996">
        <w:rPr>
          <w:rFonts w:ascii="Times New Roman" w:hAnsi="Times New Roman"/>
          <w:noProof/>
          <w:sz w:val="24"/>
        </w:rPr>
        <w:t>astruktūras vērtībā, to ieraksta</w:t>
      </w:r>
      <w:r>
        <w:rPr>
          <w:rFonts w:ascii="Times New Roman" w:hAnsi="Times New Roman"/>
          <w:noProof/>
          <w:sz w:val="24"/>
        </w:rPr>
        <w:t xml:space="preserve"> kā kapitāla iepludināšanu natūrā kontā “Citas aktīvu apjoma pārmaiņas” bez ietekmes uz valdības neto aizdevumu/aizņēmumu (B.9). Tā ir nefinanšu aktīva apmaiņa pret finanšu aktīvu (valdības pašu kapitāls (A</w:t>
      </w:r>
      <w:r w:rsidR="001B5996">
        <w:rPr>
          <w:rFonts w:ascii="Times New Roman" w:hAnsi="Times New Roman"/>
          <w:noProof/>
          <w:sz w:val="24"/>
        </w:rPr>
        <w:t>F.5) sabiedrībā), kas jāieraksta</w:t>
      </w:r>
      <w:r>
        <w:rPr>
          <w:rFonts w:ascii="Times New Roman" w:hAnsi="Times New Roman"/>
          <w:noProof/>
          <w:sz w:val="24"/>
        </w:rPr>
        <w:t xml:space="preserve"> saskaņā ar šīs rokasgrāmatas III.4. nodaļā paredzētajiem noteikumiem. Ja valdība neko nesaņem a</w:t>
      </w:r>
      <w:r w:rsidR="001B5996">
        <w:rPr>
          <w:rFonts w:ascii="Times New Roman" w:hAnsi="Times New Roman"/>
          <w:noProof/>
          <w:sz w:val="24"/>
        </w:rPr>
        <w:t>pmaiņā, aktīva nodošanu ieraksta</w:t>
      </w:r>
      <w:r>
        <w:rPr>
          <w:rFonts w:ascii="Times New Roman" w:hAnsi="Times New Roman"/>
          <w:noProof/>
          <w:sz w:val="24"/>
        </w:rPr>
        <w:t xml:space="preserve"> kā negatīvu bruto ieguldījumu pašu kapitālā, ko kompensē ar izdevumiem investīciju dotācijas formā.</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 ekspluatācijas perioda beigās valdība atgūst infrastruktūru, nema</w:t>
      </w:r>
      <w:r w:rsidR="001B5996">
        <w:rPr>
          <w:rFonts w:ascii="Times New Roman" w:hAnsi="Times New Roman"/>
          <w:noProof/>
          <w:sz w:val="24"/>
        </w:rPr>
        <w:t>ksājot par to naudu, to ieraksta</w:t>
      </w:r>
      <w:r>
        <w:rPr>
          <w:rFonts w:ascii="Times New Roman" w:hAnsi="Times New Roman"/>
          <w:noProof/>
          <w:sz w:val="24"/>
        </w:rPr>
        <w:t xml:space="preserve"> kā valdības iegūtu aktīvu, kas savienots ar ieņēmumiem no kapitāla pārveduma, bez ietekmes uz valdības neto aizdevumu/aizņēmumu (B.9).</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Gadījumā, ja valdībai ir pašu kapitāls sabiedrībā, peļņas izmaksāšana (pēc nodokļu atskaitīšanas) valdībai </w:t>
      </w:r>
      <w:r w:rsidR="001B5996">
        <w:rPr>
          <w:rFonts w:ascii="Times New Roman" w:hAnsi="Times New Roman"/>
          <w:noProof/>
          <w:sz w:val="24"/>
        </w:rPr>
        <w:t>līguma darbības laikā jāieraksta</w:t>
      </w:r>
      <w:r>
        <w:rPr>
          <w:rFonts w:ascii="Times New Roman" w:hAnsi="Times New Roman"/>
          <w:noProof/>
          <w:sz w:val="24"/>
        </w:rPr>
        <w:t xml:space="preserve"> kā dividendes (D.421).</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5"/>
        </w:tabs>
        <w:jc w:val="both"/>
        <w:rPr>
          <w:rFonts w:ascii="Times New Roman" w:hAnsi="Times New Roman"/>
          <w:noProof/>
          <w:sz w:val="24"/>
        </w:rPr>
      </w:pPr>
      <w:bookmarkStart w:id="457" w:name="V.3.1.5.3_Rationale_of_the_treatment"/>
      <w:bookmarkEnd w:id="457"/>
      <w:r>
        <w:rPr>
          <w:rFonts w:ascii="Times New Roman" w:hAnsi="Times New Roman"/>
          <w:noProof/>
          <w:sz w:val="24"/>
        </w:rPr>
        <w:t>V.3.1.5.3. Traktējuma pamatojums</w:t>
      </w:r>
    </w:p>
    <w:p w:rsidR="00506AA9" w:rsidRPr="001973D0" w:rsidRDefault="00506AA9" w:rsidP="00506AA9">
      <w:pPr>
        <w:pStyle w:val="Heading6"/>
        <w:tabs>
          <w:tab w:val="left" w:pos="1875"/>
        </w:tabs>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Sabiedrība (koncesionārs), izmantojot aktīvu, rada pakalpojumu. Šo produkciju patērē aktīva lietotāji, veicot maksājumus sabiedrībai (piemēram, maksājot ceļa nodevu).</w:t>
      </w:r>
      <w:r w:rsidR="001B5996">
        <w:rPr>
          <w:rFonts w:ascii="Times New Roman" w:hAnsi="Times New Roman"/>
          <w:noProof/>
          <w:sz w:val="24"/>
        </w:rPr>
        <w:t xml:space="preserve"> Līdz ar to ir būtiski ierakstīt</w:t>
      </w:r>
      <w:r>
        <w:rPr>
          <w:rFonts w:ascii="Times New Roman" w:hAnsi="Times New Roman"/>
          <w:noProof/>
          <w:sz w:val="24"/>
        </w:rPr>
        <w:t xml:space="preserve"> aktīvu sabiedrības bilancē ekspluatācijas periodā, ievērojot iepriekš minētos izņēmumus.</w:t>
      </w:r>
    </w:p>
    <w:p w:rsidR="00506AA9" w:rsidRDefault="00506AA9" w:rsidP="00506AA9">
      <w:pPr>
        <w:pStyle w:val="Heading6"/>
        <w:jc w:val="both"/>
        <w:rPr>
          <w:rFonts w:ascii="Times New Roman" w:hAnsi="Times New Roman"/>
          <w:noProof/>
          <w:sz w:val="24"/>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1.a gadījums. Sabiedrība ir uzbūvējusi jaunu aktīvu</w:t>
      </w:r>
    </w:p>
    <w:p w:rsidR="00506AA9" w:rsidRPr="001973D0" w:rsidRDefault="00506AA9" w:rsidP="00506AA9">
      <w:pPr>
        <w:pStyle w:val="Heading6"/>
        <w:jc w:val="both"/>
        <w:rPr>
          <w:rFonts w:ascii="Times New Roman" w:hAnsi="Times New Roman"/>
          <w:noProof/>
          <w:sz w:val="24"/>
        </w:rPr>
      </w:pPr>
    </w:p>
    <w:p w:rsidR="00506AA9"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var gūt ieņēmumus no sabiedrības turpmāk norādīto iemeslu dēļ.</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30"/>
        </w:numPr>
        <w:tabs>
          <w:tab w:val="left" w:pos="1398"/>
        </w:tabs>
        <w:spacing w:before="0"/>
        <w:ind w:left="1134" w:hanging="425"/>
        <w:jc w:val="both"/>
        <w:rPr>
          <w:rFonts w:ascii="Times New Roman" w:hAnsi="Times New Roman"/>
          <w:noProof/>
          <w:sz w:val="24"/>
        </w:rPr>
      </w:pPr>
      <w:r>
        <w:rPr>
          <w:rFonts w:ascii="Times New Roman" w:hAnsi="Times New Roman"/>
          <w:noProof/>
          <w:sz w:val="24"/>
        </w:rPr>
        <w:t>Valdība sniedz kaut ko apmaiņā pret maksājumu.</w:t>
      </w:r>
    </w:p>
    <w:p w:rsidR="00506AA9" w:rsidRPr="001973D0"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Ieņēmumu klasifikācija ir atkarīga no tā, ko valdība sniedz. Parasti valdība piešķir zemi, uz kuras būvē aktīvu. Šajā gadījumā ieņēmumi no sabiedrības jāklasificē kā rente (D.45).</w:t>
      </w:r>
    </w:p>
    <w:p w:rsidR="00455C2F" w:rsidRDefault="00455C2F" w:rsidP="00506AA9">
      <w:pPr>
        <w:pStyle w:val="BodyText"/>
        <w:spacing w:before="0"/>
        <w:ind w:left="709" w:firstLine="0"/>
        <w:jc w:val="both"/>
        <w:rPr>
          <w:rFonts w:ascii="Times New Roman" w:hAnsi="Times New Roman"/>
          <w:noProof/>
          <w:sz w:val="24"/>
        </w:rPr>
      </w:pPr>
    </w:p>
    <w:p w:rsidR="00506AA9"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Vai turpmāk norādītā iemesla dēļ.</w:t>
      </w:r>
    </w:p>
    <w:p w:rsidR="00455C2F" w:rsidRPr="001973D0" w:rsidRDefault="00455C2F" w:rsidP="00506AA9">
      <w:pPr>
        <w:pStyle w:val="BodyText"/>
        <w:spacing w:before="0"/>
        <w:ind w:left="709" w:firstLine="0"/>
        <w:jc w:val="both"/>
        <w:rPr>
          <w:rFonts w:ascii="Times New Roman" w:hAnsi="Times New Roman"/>
          <w:noProof/>
          <w:sz w:val="24"/>
        </w:rPr>
      </w:pPr>
    </w:p>
    <w:p w:rsidR="00506AA9" w:rsidRPr="001973D0" w:rsidRDefault="00506AA9" w:rsidP="00506AA9">
      <w:pPr>
        <w:pStyle w:val="BodyText"/>
        <w:numPr>
          <w:ilvl w:val="0"/>
          <w:numId w:val="130"/>
        </w:numPr>
        <w:tabs>
          <w:tab w:val="left" w:pos="1464"/>
        </w:tabs>
        <w:spacing w:before="0"/>
        <w:ind w:left="1134" w:hanging="425"/>
        <w:jc w:val="both"/>
        <w:rPr>
          <w:rFonts w:ascii="Times New Roman" w:hAnsi="Times New Roman"/>
          <w:noProof/>
          <w:sz w:val="24"/>
        </w:rPr>
      </w:pPr>
      <w:r>
        <w:rPr>
          <w:rFonts w:ascii="Times New Roman" w:hAnsi="Times New Roman"/>
          <w:noProof/>
          <w:sz w:val="24"/>
        </w:rPr>
        <w:t>Valdība saņem maksājumu apmaiņā pret atļauju sabiedrībai veikt darbību.</w:t>
      </w:r>
    </w:p>
    <w:p w:rsidR="00506AA9" w:rsidRPr="001973D0"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Ja nav noteikti ierobežojumi attiecībā uz sabiedrības tiesībām nodot atļauju trešai personai un tiek ievēroti citi EKS 201</w:t>
      </w:r>
      <w:r w:rsidR="001B5996">
        <w:rPr>
          <w:rFonts w:ascii="Times New Roman" w:hAnsi="Times New Roman"/>
          <w:noProof/>
          <w:sz w:val="24"/>
        </w:rPr>
        <w:t>0 15.37. punkta nosacījumi, to ieraksta</w:t>
      </w:r>
      <w:r>
        <w:rPr>
          <w:rFonts w:ascii="Times New Roman" w:hAnsi="Times New Roman"/>
          <w:noProof/>
          <w:sz w:val="24"/>
        </w:rPr>
        <w:t xml:space="preserve"> kā </w:t>
      </w:r>
      <w:r>
        <w:rPr>
          <w:rFonts w:ascii="Times New Roman" w:hAnsi="Times New Roman"/>
          <w:noProof/>
          <w:sz w:val="24"/>
        </w:rPr>
        <w:lastRenderedPageBreak/>
        <w:t>neražota aktīva realizāciju (AN.223).</w:t>
      </w:r>
    </w:p>
    <w:p w:rsidR="00506AA9"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Tomēr daudzos gadījumos atļauju ir aizliegts nodot vai attiecībā uz šādu nodošanu tiek piemēroti stingri ierobežojumi (piemēram, nepieciešams valdības apstiprinājums). Šādā gadījumā maksājums jāklasificē kā citi ražošanas nodokļi (D.29), kā minēts EKS 2010 4.2</w:t>
      </w:r>
      <w:r w:rsidR="001B5996">
        <w:rPr>
          <w:rFonts w:ascii="Times New Roman" w:hAnsi="Times New Roman"/>
          <w:noProof/>
          <w:sz w:val="24"/>
        </w:rPr>
        <w:t>3. punktā. Šāda summa jāieraksta</w:t>
      </w:r>
      <w:r>
        <w:rPr>
          <w:rFonts w:ascii="Times New Roman" w:hAnsi="Times New Roman"/>
          <w:noProof/>
          <w:sz w:val="24"/>
        </w:rPr>
        <w:t xml:space="preserve"> atbilstīgi uzkrāšanas principam attiecībā uz visu koncesijas periodu neatkarīgi no tā, kāda naudas maksājumu kārtība tiek piemērota praksē.</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Ja ekspluatācijas perioda beigās infrastruktūra tiek nodota valdībai bez maksas, koncesijas perioda b</w:t>
      </w:r>
      <w:r w:rsidR="001B5996">
        <w:rPr>
          <w:rFonts w:ascii="Times New Roman" w:hAnsi="Times New Roman"/>
          <w:noProof/>
          <w:sz w:val="24"/>
        </w:rPr>
        <w:t>eigās valdības kontos ierakstīto</w:t>
      </w:r>
      <w:r>
        <w:rPr>
          <w:rFonts w:ascii="Times New Roman" w:hAnsi="Times New Roman"/>
          <w:noProof/>
          <w:sz w:val="24"/>
        </w:rPr>
        <w:t xml:space="preserve"> bruto ieguldījumu pamatkapitālā līdzsvaro ar kapitāla pārvedumu (D.99).</w:t>
      </w:r>
    </w:p>
    <w:p w:rsidR="00506AA9" w:rsidRDefault="00506AA9" w:rsidP="00506AA9">
      <w:pPr>
        <w:pStyle w:val="Heading6"/>
        <w:jc w:val="both"/>
        <w:rPr>
          <w:rFonts w:ascii="Times New Roman" w:hAnsi="Times New Roman"/>
          <w:noProof/>
          <w:sz w:val="24"/>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1.b gadījums. Sabiedrībai nodod esošu ražotu aktīvu</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Ja valdība nodod sabiedrī</w:t>
      </w:r>
      <w:r w:rsidR="001B5996">
        <w:rPr>
          <w:rFonts w:ascii="Times New Roman" w:hAnsi="Times New Roman"/>
          <w:noProof/>
          <w:sz w:val="24"/>
        </w:rPr>
        <w:t>bai esošu aktīvu, to ieraksta</w:t>
      </w:r>
      <w:r>
        <w:rPr>
          <w:rFonts w:ascii="Times New Roman" w:hAnsi="Times New Roman"/>
          <w:noProof/>
          <w:sz w:val="24"/>
        </w:rPr>
        <w:t xml:space="preserve"> kā kapitāla iepludināšanu natūrā, ko savieno ar aktīvu realizāciju, neietekmējot valdības neto aizdevumu/aizņēmumu (B.9). Tomēr to var uzskatīt par nefinanšu aktīva apmaiņu pret finanšu aktīvu (valdības pašu kapitāls sabiedrībā, AF.5) atkarībā no valdības iegūtajām tiesībām. Ja valdība pretī nesaņem nekādas tiesīb</w:t>
      </w:r>
      <w:r w:rsidR="001B5996">
        <w:rPr>
          <w:rFonts w:ascii="Times New Roman" w:hAnsi="Times New Roman"/>
          <w:noProof/>
          <w:sz w:val="24"/>
        </w:rPr>
        <w:t>as, tad aktīva nodošanu ieraksta</w:t>
      </w:r>
      <w:r>
        <w:rPr>
          <w:rFonts w:ascii="Times New Roman" w:hAnsi="Times New Roman"/>
          <w:noProof/>
          <w:sz w:val="24"/>
        </w:rPr>
        <w:t xml:space="preserve"> kā negatīvu bruto ieguldījumu pamatkapitālā, kas kompensēts ar kapitāla pārvedumu.</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Ja šādai valdības vienībai ir pašu kapitāls sabiedrībā, sabiedrības maksājumus valdībai ir būtiski klasificēt kā dividendes (D.421), pat ja daļu no tām varētu uzskatīt par renti.</w:t>
      </w:r>
    </w:p>
    <w:p w:rsidR="00506AA9" w:rsidRPr="001973D0" w:rsidRDefault="00506AA9" w:rsidP="00506AA9">
      <w:pPr>
        <w:pStyle w:val="BodyText"/>
        <w:numPr>
          <w:ilvl w:val="0"/>
          <w:numId w:val="132"/>
        </w:numPr>
        <w:tabs>
          <w:tab w:val="left" w:pos="1102"/>
        </w:tabs>
        <w:spacing w:before="0"/>
        <w:ind w:left="709" w:hanging="709"/>
        <w:jc w:val="both"/>
        <w:rPr>
          <w:rFonts w:ascii="Times New Roman" w:hAnsi="Times New Roman"/>
          <w:noProof/>
          <w:sz w:val="24"/>
        </w:rPr>
      </w:pPr>
      <w:r>
        <w:rPr>
          <w:rFonts w:ascii="Times New Roman" w:hAnsi="Times New Roman"/>
          <w:noProof/>
          <w:sz w:val="24"/>
        </w:rPr>
        <w:t>Aktīva atdošanu valdīb</w:t>
      </w:r>
      <w:r w:rsidR="001B5996">
        <w:rPr>
          <w:rFonts w:ascii="Times New Roman" w:hAnsi="Times New Roman"/>
          <w:noProof/>
          <w:sz w:val="24"/>
        </w:rPr>
        <w:t>ai bez naudas maksājuma ieraksta</w:t>
      </w:r>
      <w:r>
        <w:rPr>
          <w:rFonts w:ascii="Times New Roman" w:hAnsi="Times New Roman"/>
          <w:noProof/>
          <w:sz w:val="24"/>
        </w:rPr>
        <w:t xml:space="preserve"> kā valdības iegūtu aktīvu (P.51g), ko savieno ar ieņēmumiem no kapitāla pārveduma. Ja pašu kapitāls ir atzīts kā val</w:t>
      </w:r>
      <w:r w:rsidR="001B5996">
        <w:rPr>
          <w:rFonts w:ascii="Times New Roman" w:hAnsi="Times New Roman"/>
          <w:noProof/>
          <w:sz w:val="24"/>
        </w:rPr>
        <w:t>dības aktīvs, pārvedumu ieraksta</w:t>
      </w:r>
      <w:r>
        <w:rPr>
          <w:rFonts w:ascii="Times New Roman" w:hAnsi="Times New Roman"/>
          <w:noProof/>
          <w:sz w:val="24"/>
        </w:rPr>
        <w:t xml:space="preserve"> vienīgi kontā “Citas aktīvu apjoma pārmaiņas”.</w:t>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6"/>
        <w:jc w:val="both"/>
        <w:rPr>
          <w:rFonts w:ascii="Times New Roman" w:hAnsi="Times New Roman"/>
          <w:noProof/>
          <w:sz w:val="24"/>
        </w:rPr>
      </w:pPr>
      <w:bookmarkStart w:id="458" w:name="VI.3.1.5.4_Accounting_examples"/>
      <w:bookmarkEnd w:id="458"/>
      <w:r>
        <w:rPr>
          <w:rFonts w:ascii="Times New Roman" w:hAnsi="Times New Roman"/>
          <w:noProof/>
          <w:sz w:val="24"/>
        </w:rPr>
        <w:t>VI.3.1.5.4. Uzskaites piemēri</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Turpmāk ir izklāstīti uzskaites traktējumi attiecībā uz diviem gadījumiem.</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Valdības un sabiedrības kontu pilna secība nav sniegta, proti, parādīti tikai tie konti, kas attiecas uz aplūkotajiem gadījumiem.</w:t>
      </w:r>
    </w:p>
    <w:p w:rsidR="00506AA9" w:rsidRDefault="00506AA9" w:rsidP="00506AA9">
      <w:pPr>
        <w:pStyle w:val="Heading6"/>
        <w:jc w:val="both"/>
        <w:rPr>
          <w:rFonts w:ascii="Times New Roman" w:hAnsi="Times New Roman"/>
          <w:noProof/>
          <w:sz w:val="24"/>
        </w:rPr>
      </w:pPr>
      <w:bookmarkStart w:id="459" w:name="Case_1_a:_the_new_asset_is_built_by_the_"/>
      <w:bookmarkEnd w:id="459"/>
    </w:p>
    <w:p w:rsidR="00506AA9" w:rsidRDefault="00506AA9" w:rsidP="00506AA9">
      <w:pPr>
        <w:pStyle w:val="Heading6"/>
        <w:jc w:val="both"/>
        <w:rPr>
          <w:rFonts w:ascii="Times New Roman" w:hAnsi="Times New Roman"/>
          <w:noProof/>
          <w:sz w:val="24"/>
        </w:rPr>
      </w:pPr>
      <w:r>
        <w:rPr>
          <w:rFonts w:ascii="Times New Roman" w:hAnsi="Times New Roman"/>
          <w:noProof/>
          <w:sz w:val="24"/>
        </w:rPr>
        <w:t>1.a gadījums. Sabiedrība ir uzbūvējusi jaunu aktīvu</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0"/>
          <w:numId w:val="89"/>
        </w:numPr>
        <w:tabs>
          <w:tab w:val="left" w:pos="1128"/>
        </w:tabs>
        <w:spacing w:before="0"/>
        <w:ind w:left="709" w:hanging="709"/>
        <w:jc w:val="both"/>
        <w:rPr>
          <w:rFonts w:ascii="Times New Roman" w:hAnsi="Times New Roman"/>
          <w:noProof/>
          <w:sz w:val="24"/>
        </w:rPr>
      </w:pPr>
      <w:r>
        <w:rPr>
          <w:rFonts w:ascii="Times New Roman" w:hAnsi="Times New Roman"/>
          <w:noProof/>
          <w:sz w:val="24"/>
        </w:rPr>
        <w:t>Sabiedrība ir uzbūvējusi aktīvu par 250 naudas vienībām.</w:t>
      </w:r>
    </w:p>
    <w:p w:rsidR="00506AA9" w:rsidRPr="001973D0" w:rsidRDefault="00506AA9" w:rsidP="00506AA9">
      <w:pPr>
        <w:pStyle w:val="BodyText"/>
        <w:numPr>
          <w:ilvl w:val="0"/>
          <w:numId w:val="89"/>
        </w:numPr>
        <w:tabs>
          <w:tab w:val="left" w:pos="1128"/>
        </w:tabs>
        <w:spacing w:before="0"/>
        <w:ind w:left="709" w:hanging="709"/>
        <w:jc w:val="both"/>
        <w:rPr>
          <w:rFonts w:ascii="Times New Roman" w:hAnsi="Times New Roman"/>
          <w:noProof/>
          <w:sz w:val="24"/>
        </w:rPr>
      </w:pPr>
      <w:r>
        <w:rPr>
          <w:rFonts w:ascii="Times New Roman" w:hAnsi="Times New Roman"/>
          <w:noProof/>
          <w:sz w:val="24"/>
        </w:rPr>
        <w:t>Sabiedrība maksā valdībai renti/nodokļus (pirmajā gadā maksājumi veido 100 naudas vienības).</w:t>
      </w:r>
    </w:p>
    <w:p w:rsidR="00506AA9" w:rsidRPr="001973D0" w:rsidRDefault="00506AA9" w:rsidP="00506AA9">
      <w:pPr>
        <w:pStyle w:val="BodyText"/>
        <w:numPr>
          <w:ilvl w:val="0"/>
          <w:numId w:val="89"/>
        </w:numPr>
        <w:tabs>
          <w:tab w:val="left" w:pos="1128"/>
        </w:tabs>
        <w:spacing w:before="0"/>
        <w:ind w:left="709" w:hanging="709"/>
        <w:jc w:val="both"/>
        <w:rPr>
          <w:rFonts w:ascii="Times New Roman" w:hAnsi="Times New Roman"/>
          <w:noProof/>
          <w:sz w:val="24"/>
        </w:rPr>
      </w:pPr>
      <w:r>
        <w:rPr>
          <w:rFonts w:ascii="Times New Roman" w:hAnsi="Times New Roman"/>
          <w:noProof/>
          <w:sz w:val="24"/>
        </w:rPr>
        <w:t>Ekspluatācijas perioda beigās infrastruktūru atdod valdībai bez naudas maksājuma (tās tirgus vērtība ir 200 naudas vienības).</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Būvniecība un pirmais ekspluatācijas gads</w:t>
      </w:r>
    </w:p>
    <w:p w:rsidR="00506AA9" w:rsidRPr="005C0A92" w:rsidRDefault="00506AA9" w:rsidP="00506AA9">
      <w:pPr>
        <w:jc w:val="both"/>
        <w:rPr>
          <w:rFonts w:ascii="Times New Roman" w:eastAsia="Calibri" w:hAnsi="Times New Roman" w:cs="Calibri"/>
          <w:bCs/>
          <w:noProof/>
          <w:sz w:val="24"/>
          <w:szCs w:val="20"/>
        </w:rPr>
      </w:pPr>
    </w:p>
    <w:p w:rsidR="00506AA9" w:rsidRPr="005C0A92" w:rsidRDefault="00E20FB9" w:rsidP="00506AA9">
      <w:pPr>
        <w:jc w:val="center"/>
        <w:rPr>
          <w:rFonts w:ascii="Times New Roman" w:eastAsia="Calibri" w:hAnsi="Times New Roman" w:cs="Calibri"/>
          <w:bCs/>
          <w:noProof/>
          <w:sz w:val="24"/>
          <w:szCs w:val="20"/>
        </w:rPr>
      </w:pPr>
      <w:r w:rsidRPr="00E20FB9">
        <w:rPr>
          <w:rFonts w:ascii="Times New Roman" w:eastAsia="Calibri" w:hAnsi="Times New Roman" w:cs="Calibri"/>
          <w:bCs/>
          <w:noProof/>
          <w:sz w:val="24"/>
          <w:szCs w:val="20"/>
          <w:lang w:bidi="ar-SA"/>
        </w:rPr>
        <w:drawing>
          <wp:inline distT="0" distB="0" distL="0" distR="0">
            <wp:extent cx="4427517" cy="1518976"/>
            <wp:effectExtent l="0" t="0" r="0" b="508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451951" cy="1527359"/>
                    </a:xfrm>
                    <a:prstGeom prst="rect">
                      <a:avLst/>
                    </a:prstGeom>
                    <a:noFill/>
                    <a:ln>
                      <a:noFill/>
                    </a:ln>
                  </pic:spPr>
                </pic:pic>
              </a:graphicData>
            </a:graphic>
          </wp:inline>
        </w:drawing>
      </w:r>
    </w:p>
    <w:p w:rsidR="00506AA9" w:rsidRPr="005C0A92" w:rsidRDefault="00506AA9" w:rsidP="00506AA9">
      <w:pPr>
        <w:jc w:val="both"/>
        <w:rPr>
          <w:rFonts w:ascii="Times New Roman" w:eastAsia="Calibri" w:hAnsi="Times New Roman" w:cs="Calibri"/>
          <w:bCs/>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Infrastruktūras atdošana ekspluatācijas perioda beigās</w:t>
      </w:r>
    </w:p>
    <w:p w:rsidR="00506AA9" w:rsidRPr="005C0A92" w:rsidRDefault="00506AA9" w:rsidP="00506AA9">
      <w:pPr>
        <w:jc w:val="both"/>
        <w:rPr>
          <w:rFonts w:ascii="Times New Roman" w:eastAsia="Calibri" w:hAnsi="Times New Roman" w:cs="Calibri"/>
          <w:bCs/>
          <w:noProof/>
          <w:sz w:val="24"/>
          <w:szCs w:val="15"/>
        </w:rPr>
      </w:pPr>
    </w:p>
    <w:p w:rsidR="00506AA9" w:rsidRPr="005C0A92" w:rsidRDefault="00E20FB9" w:rsidP="00506AA9">
      <w:pPr>
        <w:jc w:val="center"/>
        <w:rPr>
          <w:rFonts w:ascii="Times New Roman" w:eastAsia="Calibri" w:hAnsi="Times New Roman" w:cs="Calibri"/>
          <w:bCs/>
          <w:noProof/>
          <w:sz w:val="24"/>
          <w:szCs w:val="15"/>
        </w:rPr>
      </w:pPr>
      <w:r w:rsidRPr="00E20FB9">
        <w:rPr>
          <w:rFonts w:ascii="Times New Roman" w:eastAsia="Calibri" w:hAnsi="Times New Roman" w:cs="Calibri"/>
          <w:bCs/>
          <w:noProof/>
          <w:sz w:val="24"/>
          <w:szCs w:val="15"/>
          <w:lang w:bidi="ar-SA"/>
        </w:rPr>
        <w:drawing>
          <wp:inline distT="0" distB="0" distL="0" distR="0">
            <wp:extent cx="5760085" cy="3457597"/>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60085" cy="3457597"/>
                    </a:xfrm>
                    <a:prstGeom prst="rect">
                      <a:avLst/>
                    </a:prstGeom>
                    <a:noFill/>
                    <a:ln>
                      <a:noFill/>
                    </a:ln>
                  </pic:spPr>
                </pic:pic>
              </a:graphicData>
            </a:graphic>
          </wp:inline>
        </w:drawing>
      </w:r>
    </w:p>
    <w:p w:rsidR="00506AA9" w:rsidRPr="005C0A92" w:rsidRDefault="000D4C0B" w:rsidP="00506AA9">
      <w:pPr>
        <w:jc w:val="center"/>
        <w:rPr>
          <w:rFonts w:ascii="Times New Roman" w:eastAsia="Calibri" w:hAnsi="Times New Roman" w:cs="Calibri"/>
          <w:bCs/>
          <w:noProof/>
          <w:sz w:val="24"/>
          <w:szCs w:val="15"/>
        </w:rPr>
      </w:pPr>
      <w:r w:rsidRPr="000D4C0B">
        <w:rPr>
          <w:rFonts w:ascii="Times New Roman" w:eastAsia="Calibri" w:hAnsi="Times New Roman" w:cs="Calibri"/>
          <w:bCs/>
          <w:noProof/>
          <w:sz w:val="24"/>
          <w:szCs w:val="15"/>
          <w:lang w:bidi="ar-SA"/>
        </w:rPr>
        <w:drawing>
          <wp:inline distT="0" distB="0" distL="0" distR="0">
            <wp:extent cx="5760085" cy="1212882"/>
            <wp:effectExtent l="0" t="0" r="0" b="635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760085" cy="1212882"/>
                    </a:xfrm>
                    <a:prstGeom prst="rect">
                      <a:avLst/>
                    </a:prstGeom>
                    <a:noFill/>
                    <a:ln>
                      <a:noFill/>
                    </a:ln>
                  </pic:spPr>
                </pic:pic>
              </a:graphicData>
            </a:graphic>
          </wp:inline>
        </w:drawing>
      </w:r>
    </w:p>
    <w:p w:rsidR="00506AA9" w:rsidRPr="005C0A92" w:rsidRDefault="00506AA9" w:rsidP="00506AA9">
      <w:pPr>
        <w:jc w:val="both"/>
        <w:rPr>
          <w:rFonts w:ascii="Times New Roman" w:eastAsia="Calibri" w:hAnsi="Times New Roman" w:cs="Calibri"/>
          <w:bCs/>
          <w:noProof/>
          <w:sz w:val="24"/>
          <w:szCs w:val="15"/>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2. gadījums. Sabiedrībai nodod esošu ražotu aktīvu</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0"/>
          <w:numId w:val="89"/>
        </w:numPr>
        <w:tabs>
          <w:tab w:val="left" w:pos="1168"/>
        </w:tabs>
        <w:spacing w:before="0"/>
        <w:ind w:left="709" w:hanging="709"/>
        <w:jc w:val="both"/>
        <w:rPr>
          <w:rFonts w:ascii="Times New Roman" w:hAnsi="Times New Roman"/>
          <w:noProof/>
          <w:sz w:val="24"/>
        </w:rPr>
      </w:pPr>
      <w:r>
        <w:rPr>
          <w:rFonts w:ascii="Times New Roman" w:hAnsi="Times New Roman"/>
          <w:noProof/>
          <w:sz w:val="24"/>
        </w:rPr>
        <w:t>Ekspluatācijas sākumā valdība nodod infrastruktūru sabiedrībai (par 1000 naudas vienībām).</w:t>
      </w:r>
    </w:p>
    <w:p w:rsidR="00506AA9" w:rsidRPr="001973D0" w:rsidRDefault="00506AA9" w:rsidP="00506AA9">
      <w:pPr>
        <w:pStyle w:val="BodyText"/>
        <w:numPr>
          <w:ilvl w:val="0"/>
          <w:numId w:val="89"/>
        </w:numPr>
        <w:tabs>
          <w:tab w:val="left" w:pos="1168"/>
        </w:tabs>
        <w:spacing w:before="0"/>
        <w:ind w:left="709" w:hanging="709"/>
        <w:jc w:val="both"/>
        <w:rPr>
          <w:rFonts w:ascii="Times New Roman" w:hAnsi="Times New Roman"/>
          <w:noProof/>
          <w:sz w:val="24"/>
        </w:rPr>
      </w:pPr>
      <w:r>
        <w:rPr>
          <w:rFonts w:ascii="Times New Roman" w:hAnsi="Times New Roman"/>
          <w:noProof/>
          <w:sz w:val="24"/>
        </w:rPr>
        <w:t>Ir atzīts valdībai piederošais pašu kapitāls.</w:t>
      </w:r>
    </w:p>
    <w:p w:rsidR="00506AA9" w:rsidRPr="001973D0" w:rsidRDefault="00506AA9" w:rsidP="00506AA9">
      <w:pPr>
        <w:pStyle w:val="BodyText"/>
        <w:numPr>
          <w:ilvl w:val="0"/>
          <w:numId w:val="89"/>
        </w:numPr>
        <w:tabs>
          <w:tab w:val="left" w:pos="1168"/>
        </w:tabs>
        <w:spacing w:before="0"/>
        <w:ind w:left="709" w:hanging="709"/>
        <w:jc w:val="both"/>
        <w:rPr>
          <w:rFonts w:ascii="Times New Roman" w:hAnsi="Times New Roman"/>
          <w:noProof/>
          <w:sz w:val="24"/>
        </w:rPr>
      </w:pPr>
      <w:r>
        <w:rPr>
          <w:rFonts w:ascii="Times New Roman" w:hAnsi="Times New Roman"/>
          <w:noProof/>
          <w:sz w:val="24"/>
        </w:rPr>
        <w:t>Ekspluatācijas perioda beigās infrastruktūru atdod valdībai (šajā brīdī tā tirgus vērtība ir 200 vienības).</w:t>
      </w:r>
    </w:p>
    <w:p w:rsidR="00E20FB9" w:rsidRDefault="00E20FB9">
      <w:pPr>
        <w:widowControl/>
        <w:spacing w:after="160" w:line="259" w:lineRule="auto"/>
        <w:rPr>
          <w:rFonts w:ascii="Times New Roman" w:eastAsia="Arial" w:hAnsi="Times New Roman" w:cs="Arial"/>
          <w:noProof/>
          <w:sz w:val="24"/>
          <w:szCs w:val="32"/>
        </w:rPr>
      </w:pPr>
      <w:r>
        <w:rPr>
          <w:rFonts w:ascii="Times New Roman" w:eastAsia="Arial" w:hAnsi="Times New Roman" w:cs="Arial"/>
          <w:noProof/>
          <w:sz w:val="24"/>
          <w:szCs w:val="32"/>
        </w:rPr>
        <w:br w:type="page"/>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Aktīva sākotnējā nodošana</w:t>
      </w:r>
    </w:p>
    <w:p w:rsidR="00506AA9" w:rsidRPr="001973D0" w:rsidRDefault="00506AA9" w:rsidP="00506AA9">
      <w:pPr>
        <w:jc w:val="both"/>
        <w:rPr>
          <w:rFonts w:ascii="Times New Roman" w:eastAsia="Calibri" w:hAnsi="Times New Roman" w:cs="Calibri"/>
          <w:noProof/>
          <w:sz w:val="24"/>
          <w:szCs w:val="20"/>
        </w:rPr>
      </w:pPr>
    </w:p>
    <w:p w:rsidR="00506AA9" w:rsidRDefault="000D4C0B" w:rsidP="00506AA9">
      <w:pPr>
        <w:jc w:val="center"/>
        <w:rPr>
          <w:rFonts w:ascii="Times New Roman" w:eastAsia="Calibri" w:hAnsi="Times New Roman" w:cs="Calibri"/>
          <w:noProof/>
          <w:sz w:val="24"/>
          <w:szCs w:val="20"/>
        </w:rPr>
      </w:pPr>
      <w:r w:rsidRPr="000D4C0B">
        <w:rPr>
          <w:rFonts w:ascii="Times New Roman" w:eastAsia="Calibri" w:hAnsi="Times New Roman" w:cs="Calibri"/>
          <w:noProof/>
          <w:sz w:val="24"/>
          <w:szCs w:val="20"/>
          <w:lang w:bidi="ar-SA"/>
        </w:rPr>
        <w:drawing>
          <wp:inline distT="0" distB="0" distL="0" distR="0">
            <wp:extent cx="5306862" cy="4272596"/>
            <wp:effectExtent l="0" t="0" r="825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10418" cy="4275459"/>
                    </a:xfrm>
                    <a:prstGeom prst="rect">
                      <a:avLst/>
                    </a:prstGeom>
                    <a:noFill/>
                    <a:ln>
                      <a:noFill/>
                    </a:ln>
                  </pic:spPr>
                </pic:pic>
              </a:graphicData>
            </a:graphic>
          </wp:inline>
        </w:drawing>
      </w:r>
    </w:p>
    <w:p w:rsidR="00506AA9" w:rsidRDefault="00506AA9" w:rsidP="00506AA9">
      <w:pPr>
        <w:jc w:val="both"/>
        <w:rPr>
          <w:rFonts w:ascii="Times New Roman" w:eastAsia="Calibri" w:hAnsi="Times New Roman" w:cs="Calibri"/>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Pirmais aktīva ekspluatācijas gads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K.1 = 40</w:t>
      </w:r>
    </w:p>
    <w:p w:rsidR="00506AA9" w:rsidRPr="005C0A92" w:rsidRDefault="00506AA9" w:rsidP="00506AA9">
      <w:pPr>
        <w:jc w:val="both"/>
        <w:rPr>
          <w:rFonts w:ascii="Times New Roman" w:eastAsia="Arial" w:hAnsi="Times New Roman" w:cs="Arial"/>
          <w:noProof/>
          <w:sz w:val="24"/>
          <w:szCs w:val="10"/>
        </w:rPr>
      </w:pPr>
    </w:p>
    <w:p w:rsidR="00506AA9" w:rsidRPr="005C0A92" w:rsidRDefault="000D4C0B" w:rsidP="00506AA9">
      <w:pPr>
        <w:jc w:val="center"/>
        <w:rPr>
          <w:rFonts w:ascii="Times New Roman" w:eastAsia="Calibri" w:hAnsi="Times New Roman" w:cs="Calibri"/>
          <w:bCs/>
          <w:noProof/>
          <w:sz w:val="24"/>
          <w:szCs w:val="20"/>
        </w:rPr>
      </w:pPr>
      <w:r w:rsidRPr="000D4C0B">
        <w:rPr>
          <w:rFonts w:ascii="Times New Roman" w:eastAsia="Calibri" w:hAnsi="Times New Roman" w:cs="Calibri"/>
          <w:bCs/>
          <w:noProof/>
          <w:sz w:val="24"/>
          <w:szCs w:val="20"/>
          <w:lang w:bidi="ar-SA"/>
        </w:rPr>
        <w:drawing>
          <wp:inline distT="0" distB="0" distL="0" distR="0">
            <wp:extent cx="5071479" cy="3414828"/>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82604" cy="3422319"/>
                    </a:xfrm>
                    <a:prstGeom prst="rect">
                      <a:avLst/>
                    </a:prstGeom>
                    <a:noFill/>
                    <a:ln>
                      <a:noFill/>
                    </a:ln>
                  </pic:spPr>
                </pic:pic>
              </a:graphicData>
            </a:graphic>
          </wp:inline>
        </w:drawing>
      </w:r>
    </w:p>
    <w:p w:rsidR="00506AA9" w:rsidRPr="005C0A92" w:rsidRDefault="00506AA9" w:rsidP="00506AA9">
      <w:pPr>
        <w:jc w:val="both"/>
        <w:rPr>
          <w:rFonts w:ascii="Times New Roman" w:eastAsia="Calibri" w:hAnsi="Times New Roman" w:cs="Calibri"/>
          <w:bCs/>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Aktīva atdošana valdībai ekspluatācijas perioda beigās</w:t>
      </w:r>
    </w:p>
    <w:p w:rsidR="00506AA9" w:rsidRPr="001973D0" w:rsidRDefault="00506AA9" w:rsidP="00506AA9">
      <w:pPr>
        <w:jc w:val="both"/>
        <w:rPr>
          <w:rFonts w:ascii="Times New Roman" w:eastAsia="Calibri" w:hAnsi="Times New Roman" w:cs="Calibri"/>
          <w:b/>
          <w:bCs/>
          <w:noProof/>
          <w:sz w:val="24"/>
          <w:szCs w:val="20"/>
        </w:rPr>
      </w:pPr>
    </w:p>
    <w:p w:rsidR="00506AA9" w:rsidRPr="001973D0" w:rsidRDefault="000D4C0B" w:rsidP="00506AA9">
      <w:pPr>
        <w:jc w:val="center"/>
        <w:rPr>
          <w:rFonts w:ascii="Times New Roman" w:eastAsia="Calibri" w:hAnsi="Times New Roman" w:cs="Calibri"/>
          <w:b/>
          <w:bCs/>
          <w:noProof/>
          <w:sz w:val="24"/>
          <w:szCs w:val="20"/>
        </w:rPr>
      </w:pPr>
      <w:r w:rsidRPr="000D4C0B">
        <w:rPr>
          <w:rFonts w:ascii="Times New Roman" w:eastAsia="Calibri" w:hAnsi="Times New Roman" w:cs="Calibri"/>
          <w:b/>
          <w:bCs/>
          <w:noProof/>
          <w:sz w:val="24"/>
          <w:szCs w:val="20"/>
          <w:lang w:bidi="ar-SA"/>
        </w:rPr>
        <w:drawing>
          <wp:inline distT="0" distB="0" distL="0" distR="0">
            <wp:extent cx="5760085" cy="2462661"/>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60085" cy="2462661"/>
                    </a:xfrm>
                    <a:prstGeom prst="rect">
                      <a:avLst/>
                    </a:prstGeom>
                    <a:noFill/>
                    <a:ln>
                      <a:noFill/>
                    </a:ln>
                  </pic:spPr>
                </pic:pic>
              </a:graphicData>
            </a:graphic>
          </wp:inline>
        </w:drawing>
      </w:r>
    </w:p>
    <w:p w:rsidR="00506AA9" w:rsidRDefault="00506AA9" w:rsidP="00506AA9">
      <w:pPr>
        <w:rPr>
          <w:rFonts w:ascii="Times New Roman" w:eastAsia="Calibri" w:hAnsi="Times New Roman" w:cs="Calibri"/>
          <w:b/>
          <w:bCs/>
          <w:noProof/>
          <w:sz w:val="24"/>
          <w:szCs w:val="20"/>
        </w:rPr>
      </w:pPr>
      <w:r>
        <w:br w:type="page"/>
      </w:r>
    </w:p>
    <w:p w:rsidR="00506AA9" w:rsidRDefault="00506AA9" w:rsidP="00E20FB9">
      <w:pPr>
        <w:pStyle w:val="Heading2"/>
        <w:rPr>
          <w:noProof/>
        </w:rPr>
      </w:pPr>
      <w:bookmarkStart w:id="460" w:name="VI.4___Public-Private_Partnerships_(PPPs"/>
      <w:bookmarkStart w:id="461" w:name="_bookmark50"/>
      <w:bookmarkStart w:id="462" w:name="_Toc471135916"/>
      <w:bookmarkEnd w:id="460"/>
      <w:bookmarkEnd w:id="461"/>
      <w:r>
        <w:rPr>
          <w:noProof/>
        </w:rPr>
        <w:lastRenderedPageBreak/>
        <w:t>VI.4. Publiskā un privātā partnerība (PPP)</w:t>
      </w:r>
      <w:bookmarkEnd w:id="462"/>
    </w:p>
    <w:p w:rsidR="00506AA9" w:rsidRPr="001973D0" w:rsidRDefault="00506AA9" w:rsidP="00506AA9">
      <w:pPr>
        <w:tabs>
          <w:tab w:val="left" w:pos="1396"/>
        </w:tabs>
        <w:jc w:val="both"/>
        <w:rPr>
          <w:rFonts w:ascii="Times New Roman" w:hAnsi="Times New Roman"/>
          <w:b/>
          <w:noProof/>
          <w:sz w:val="24"/>
        </w:rPr>
      </w:pPr>
    </w:p>
    <w:p w:rsidR="00506AA9" w:rsidRDefault="00506AA9" w:rsidP="00506AA9">
      <w:pPr>
        <w:pStyle w:val="Heading4"/>
        <w:tabs>
          <w:tab w:val="left" w:pos="1452"/>
        </w:tabs>
        <w:ind w:left="0" w:firstLine="0"/>
        <w:jc w:val="both"/>
        <w:rPr>
          <w:rFonts w:ascii="Times New Roman" w:hAnsi="Times New Roman"/>
          <w:noProof/>
          <w:u w:val="thick" w:color="000000"/>
        </w:rPr>
      </w:pPr>
      <w:bookmarkStart w:id="463" w:name="VI.4.1_Overview"/>
      <w:bookmarkEnd w:id="463"/>
      <w:r>
        <w:rPr>
          <w:rFonts w:ascii="Times New Roman" w:hAnsi="Times New Roman"/>
          <w:noProof/>
          <w:u w:val="none"/>
        </w:rPr>
        <w:t>VI.4.1. </w:t>
      </w:r>
      <w:r>
        <w:rPr>
          <w:rFonts w:ascii="Times New Roman" w:hAnsi="Times New Roman"/>
          <w:noProof/>
          <w:u w:val="thick" w:color="000000"/>
        </w:rPr>
        <w:t>Pārskats</w:t>
      </w:r>
    </w:p>
    <w:p w:rsidR="00506AA9" w:rsidRPr="001973D0" w:rsidRDefault="00506AA9" w:rsidP="00506AA9">
      <w:pPr>
        <w:pStyle w:val="Heading4"/>
        <w:tabs>
          <w:tab w:val="left" w:pos="1452"/>
        </w:tabs>
        <w:ind w:left="0" w:firstLine="0"/>
        <w:jc w:val="both"/>
        <w:rPr>
          <w:rFonts w:ascii="Times New Roman" w:hAnsi="Times New Roman"/>
          <w:noProof/>
          <w:u w:val="thick" w:color="000000"/>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Terminu </w:t>
      </w:r>
      <w:r>
        <w:rPr>
          <w:rFonts w:ascii="Times New Roman" w:hAnsi="Times New Roman"/>
          <w:noProof/>
          <w:sz w:val="24"/>
          <w:u w:val="single" w:color="000000"/>
        </w:rPr>
        <w:t>“publiskā un privātā partnerība” (PPP)</w:t>
      </w:r>
      <w:r>
        <w:rPr>
          <w:rFonts w:ascii="Times New Roman" w:hAnsi="Times New Roman"/>
          <w:noProof/>
          <w:sz w:val="24"/>
        </w:rPr>
        <w:t xml:space="preserve"> plaši izmanto attiecībā uz daudziem dažādiem ilgtermiņa līgumiem starp valdību un sabiedrībām par publisko aktīvu nodrošināšanu. Šādās publiskās un privātās partnerībās valdība piekrīt pirkt tādus pakalpojumus no valdības sektoram nepiederošas vienības (partnera) ilgā laika posmā, kas izriet no īpašu “tam paredzētu aktīvu” izmantošanas, kurus valdības sektoram nepiederošā vienība uzbūvē šā pakalpojuma nodrošināšanai. Parasti aktīva aprīkojums tiek izmantots sabiedrisku pakalpojumu sniegšanai, piemēram, veselības aprūpē (slimnīcas), izglītībā (skolas un universitātes) un sabiedrības drošības nodrošināšanā (cietumi), vai atsevišķu transporta un sakaru struktūru jomā. Valdība var pirkt pakalpojumus arī savu vajadzību apmierināšanai, piemēram, biroja ēku gadījumā, ko izmanto valsts amatpersonas vispārējās pārvaldes vai citu specializēto pakalpojumu nodrošināšanai.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nodaļā termins “PPP” tiek attiecināts vienīgi uz tiem ilgtermiņa līgumiem, kuri paredz, ka valdība maksā valdības sektorā neietilpstošam partnerim visus konkrētajā līgumā noteiktos maksājumus vai lielāko daļu šādu maksājumu, līdz ar to sedzot lielāko daļu no sniegtā pakalpojuma kopējām izmaksām (tostarp aktīvu amortizācijas izdevumus). Nacionālajos kontos šī pazīme nosaka atšķirību starp PPP un koncesijām. Koncesijas līguma gadījumā valdība neveic regulārus maksājumus partnerim vai arī šādi maksājumi, ja tie pastāv, neveido lielāko daļu no partnera saņemtajiem maksājumiem (sk. šīs rokasgrāmatas VI.3. nodaļu). Kā norādīts šajā nodaļā, PPP līguma gadījumā galalietotāji neveic tiešus maksājumus (t. i., proporcionāli aktīva izmantošanai un ar skaidru norādi par to, ka maksājums tiek veikts tikai par šādu izmantošanu) vai samaksā tikai nelielu daļu (un parasti par kādu konkrētu aktīva izmantošanas veidu</w:t>
      </w:r>
      <w:r>
        <w:rPr>
          <w:rStyle w:val="FootnoteReference"/>
          <w:rFonts w:ascii="Times New Roman" w:hAnsi="Times New Roman"/>
          <w:noProof/>
          <w:sz w:val="24"/>
        </w:rPr>
        <w:footnoteReference w:id="212"/>
      </w:r>
      <w:r>
        <w:rPr>
          <w:rFonts w:ascii="Times New Roman" w:hAnsi="Times New Roman"/>
          <w:noProof/>
          <w:sz w:val="24"/>
        </w:rPr>
        <w:t>) par aktīvu izmantošanu, par kuriem tiks sniegts pakalpojums.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Galvenā statistikas problēma ir saistīta ar PPP līgumā iekļauto aktīvu klasifikāciju, proti, vai šie aktīvi būtu klasificējami kā valdības aktīvi (kas tādējādi nekavējoties ietekmē valdības neto aizdevumu/aizņēmumu (B.9) un parādu) vai kā partnera aktīvi (sadalot ietekmi uz valdības neto aizdevumu/aizņēmumu (B.9) (un uz aprēķināto parādu) visa līguma darbības termiņa laikā). Šis jautājums ir samērā līdzīgs tam, kā nošķirt operatīvo nomu no finanšu nomas, kas skaidrots EKS 2010 15. nodaļā</w:t>
      </w:r>
      <w:r>
        <w:rPr>
          <w:rStyle w:val="FootnoteReference"/>
          <w:rFonts w:ascii="Times New Roman" w:hAnsi="Times New Roman"/>
          <w:noProof/>
          <w:sz w:val="24"/>
        </w:rPr>
        <w:footnoteReference w:id="213"/>
      </w:r>
      <w:r>
        <w:rPr>
          <w:rFonts w:ascii="Times New Roman" w:hAnsi="Times New Roman"/>
          <w:noProof/>
          <w:sz w:val="24"/>
        </w:rPr>
        <w:t>.</w:t>
      </w:r>
    </w:p>
    <w:p w:rsidR="00506AA9" w:rsidRPr="0021538A"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Izmantotās metodoloģiskās sistēmas rezultātā nacionālajos kontos PPP iesaistītos aktīvus var uzskatīt par valdības sektoram nepiederošiem aktīviem tikai tad, ja ir pārliecinoši pierādījumi, ka partneris vienlaikus uzņemas lielāko daļu risku un atlīdzību (tiešā veidā un saistībā ar aktīva izmantošanu), kas saistīti ar konkrētajā partnerībā izmantoto aktīvu. Tāpēc kā galvenais jautājums ir jāuzskata analīze par riska un atlīdzību sadali starp valdību un valdības sektorā neietilpstošo partneri</w:t>
      </w:r>
      <w:r>
        <w:rPr>
          <w:rStyle w:val="FootnoteReference"/>
          <w:rFonts w:ascii="Times New Roman" w:hAnsi="Times New Roman"/>
          <w:noProof/>
          <w:sz w:val="24"/>
        </w:rPr>
        <w:footnoteReference w:id="214"/>
      </w:r>
      <w:r>
        <w:rPr>
          <w:rFonts w:ascii="Times New Roman" w:hAnsi="Times New Roman"/>
          <w:noProof/>
          <w:sz w:val="24"/>
        </w:rPr>
        <w:t xml:space="preserve">. Šajā gadījumā </w:t>
      </w:r>
      <w:r>
        <w:rPr>
          <w:rFonts w:ascii="Times New Roman" w:hAnsi="Times New Roman"/>
          <w:noProof/>
          <w:sz w:val="24"/>
        </w:rPr>
        <w:lastRenderedPageBreak/>
        <w:t>ar risku saprot ietekmi (uz ieņēmumiem vai peļņu), ko rada vienas puses skaidri veikti pasākumi (saistīti ar būvniecību, apkopes pasākumiem, pakalpojumu sniegšanu, attiecībā uz ko puse ir uzņēmusies atbildību) un/vai kas rodas citu ekonomikas dalībnieku darbību rezultātā, kuru vajadzībām attiecīgais pasākums tiek veikts (piemēram, pārmaiņas valdības vai galalietotāju pieprasījumā pēc pakalpojuma). Risku uzņemšanās nozīmē to, ka pusei ir tiesības veikt pasākumus, lai novērstu šādus riskus vai mazinātu to ietekmi.</w:t>
      </w:r>
    </w:p>
    <w:p w:rsidR="00506AA9"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Šajā saistībā norādījumi par to, kā novērtēt risku, ir sniegti, pamatojoties uz trīs galvenajām riska kategorijām:</w:t>
      </w:r>
    </w:p>
    <w:p w:rsidR="00506AA9" w:rsidRPr="001973D0" w:rsidRDefault="00506AA9" w:rsidP="00506AA9">
      <w:pPr>
        <w:pStyle w:val="BodyText"/>
        <w:tabs>
          <w:tab w:val="left" w:pos="1062"/>
        </w:tabs>
        <w:spacing w:before="0"/>
        <w:ind w:left="0" w:firstLine="0"/>
        <w:rPr>
          <w:rFonts w:ascii="Times New Roman" w:hAnsi="Times New Roman"/>
          <w:noProof/>
          <w:sz w:val="24"/>
        </w:rPr>
      </w:pPr>
    </w:p>
    <w:p w:rsidR="00506AA9" w:rsidRPr="001973D0"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color="000000"/>
        </w:rPr>
        <w:t>būvniecības risks</w:t>
      </w:r>
      <w:r>
        <w:rPr>
          <w:rFonts w:ascii="Times New Roman" w:hAnsi="Times New Roman"/>
          <w:noProof/>
          <w:sz w:val="24"/>
        </w:rPr>
        <w:t>”– ietver, piemēram, piegādes kavējumus, specifikāciju ievērošanu un papildu izmaksas;</w:t>
      </w:r>
    </w:p>
    <w:p w:rsidR="00506AA9" w:rsidRPr="001973D0"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color="000000"/>
        </w:rPr>
        <w:t>pieejamības risks</w:t>
      </w:r>
      <w:r>
        <w:rPr>
          <w:rFonts w:ascii="Times New Roman" w:hAnsi="Times New Roman"/>
          <w:noProof/>
          <w:sz w:val="24"/>
        </w:rPr>
        <w:t>” – ietver produkcijas apjomu un kvalitāti (saistīts ar partnera darbības rezultātu);</w:t>
      </w:r>
    </w:p>
    <w:p w:rsidR="00506AA9"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w:t>
      </w:r>
      <w:r>
        <w:rPr>
          <w:rFonts w:ascii="Times New Roman" w:hAnsi="Times New Roman"/>
          <w:noProof/>
          <w:sz w:val="24"/>
          <w:u w:val="single" w:color="000000"/>
        </w:rPr>
        <w:t>pieprasījuma risks</w:t>
      </w:r>
      <w:r>
        <w:rPr>
          <w:rFonts w:ascii="Times New Roman" w:hAnsi="Times New Roman"/>
          <w:noProof/>
          <w:sz w:val="24"/>
        </w:rPr>
        <w:t>”– ietver pieprasījuma mainīgumu (galalietotāju faktiskais patēriņš).</w:t>
      </w:r>
    </w:p>
    <w:p w:rsidR="00506AA9" w:rsidRPr="001973D0" w:rsidRDefault="00506AA9" w:rsidP="00506AA9">
      <w:pPr>
        <w:pStyle w:val="BodyText"/>
        <w:tabs>
          <w:tab w:val="left" w:pos="1422"/>
        </w:tabs>
        <w:spacing w:before="0"/>
        <w:ind w:left="0" w:firstLine="0"/>
        <w:rPr>
          <w:rFonts w:ascii="Times New Roman" w:hAnsi="Times New Roman"/>
          <w:noProof/>
          <w:sz w:val="24"/>
        </w:rPr>
      </w:pPr>
    </w:p>
    <w:p w:rsidR="00506AA9"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Parasti, ciktāl tas attiecas uz riskiem, PPP aktīvus klasificē partnera bilancē, nevis valdības bilancē, ja vien ir izpildīti turpmāk norādītie nosacījumi.</w:t>
      </w:r>
    </w:p>
    <w:p w:rsidR="00506AA9" w:rsidRPr="001973D0" w:rsidRDefault="00506AA9" w:rsidP="00506AA9">
      <w:pPr>
        <w:pStyle w:val="BodyText"/>
        <w:tabs>
          <w:tab w:val="left" w:pos="1062"/>
        </w:tabs>
        <w:spacing w:before="0"/>
        <w:ind w:left="0" w:firstLine="0"/>
        <w:rPr>
          <w:rFonts w:ascii="Times New Roman" w:hAnsi="Times New Roman"/>
          <w:noProof/>
          <w:sz w:val="24"/>
        </w:rPr>
      </w:pPr>
    </w:p>
    <w:p w:rsidR="00506AA9" w:rsidRPr="0021538A"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Partneris uzņemas būvniecības</w:t>
      </w:r>
      <w:r>
        <w:rPr>
          <w:rStyle w:val="FootnoteReference"/>
          <w:rFonts w:ascii="Times New Roman" w:hAnsi="Times New Roman"/>
          <w:noProof/>
          <w:sz w:val="24"/>
        </w:rPr>
        <w:footnoteReference w:id="215"/>
      </w:r>
      <w:r>
        <w:rPr>
          <w:rFonts w:ascii="Times New Roman" w:hAnsi="Times New Roman"/>
          <w:noProof/>
          <w:sz w:val="24"/>
        </w:rPr>
        <w:t xml:space="preserve"> riskus.</w:t>
      </w:r>
    </w:p>
    <w:p w:rsidR="00506AA9" w:rsidRPr="001973D0"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Partneris uzņemas vismaz pieejamības risku vai pieprasījuma risku (kā norādīts līgumā), bet dažos gadījumos (sk. turpmāk VI.4.3.2. apakšiedaļu) gan pieejamības risku, gan pieprasījuma risku. Jāuzsver, ka vairumā līgumu tikai viena veida risks ierosina visu (vai gandrīz) visu maksājumu, ko valdība veic partnerim; maksājums tiek veikts, pamatojoties vai nu uz aktīva rādītāju pieejamību, vai uz aktīva izmantošanu/apmeklētību. Pēdējo minēto gadījumu ievēro tikai tad, ja tas atkarīgs no galalietotājiem, nevis no maksājumu veicošās valdības vienības.</w:t>
      </w:r>
    </w:p>
    <w:p w:rsidR="00506AA9"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Valdība neuzņemas riskus ar citu līdzekļu starpniecību, piemēram, ar valdības finansējuma, valdības garantiju un pirmstermiņa izpirkšanas klauzulu starpniecību.</w:t>
      </w:r>
    </w:p>
    <w:p w:rsidR="00506AA9" w:rsidRPr="001973D0" w:rsidRDefault="00506AA9" w:rsidP="00506AA9">
      <w:pPr>
        <w:pStyle w:val="BodyText"/>
        <w:tabs>
          <w:tab w:val="left" w:pos="1422"/>
        </w:tabs>
        <w:spacing w:before="0"/>
        <w:ind w:left="0" w:firstLine="0"/>
        <w:rPr>
          <w:rFonts w:ascii="Times New Roman" w:hAnsi="Times New Roman"/>
          <w:noProof/>
          <w:sz w:val="24"/>
        </w:rPr>
      </w:pPr>
    </w:p>
    <w:p w:rsidR="00506AA9" w:rsidRPr="0021538A"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Ja tiek izpildīti minētie nosacījumi, svarīgi ir arī izvērtēt visus citus līgumā norādītos mehānismus, lai pārbaudītu, vai valdībai varētu nodot riskus, izmantojot citus līdzekļus. Ja tas tā nav</w:t>
      </w:r>
      <w:r>
        <w:rPr>
          <w:rStyle w:val="FootnoteReference"/>
          <w:rFonts w:ascii="Times New Roman" w:hAnsi="Times New Roman"/>
          <w:noProof/>
          <w:sz w:val="24"/>
        </w:rPr>
        <w:footnoteReference w:id="216"/>
      </w:r>
      <w:r>
        <w:rPr>
          <w:rFonts w:ascii="Times New Roman" w:hAnsi="Times New Roman"/>
          <w:noProof/>
          <w:sz w:val="24"/>
        </w:rPr>
        <w:t>, PPP uzskaites traktējums varētu līdzināties operatīvās nomas traktējumam nacionālais kontos; proti, to varētu klasificēt kā pakalpojumu pirkšanu, ko veic valdība.</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6. rindkopā minētie nosacījumi nav izpildīti vai ja valdība uzņemas riskus, izmantojot citus mehānismus, vai ja valdība gūst labumu no vairuma</w:t>
      </w:r>
      <w:r w:rsidR="001B5996">
        <w:rPr>
          <w:rFonts w:ascii="Times New Roman" w:hAnsi="Times New Roman"/>
          <w:noProof/>
          <w:sz w:val="24"/>
        </w:rPr>
        <w:t xml:space="preserve"> atlīdzību, tad aktīvus ieraksta</w:t>
      </w:r>
      <w:r>
        <w:rPr>
          <w:rFonts w:ascii="Times New Roman" w:hAnsi="Times New Roman"/>
          <w:noProof/>
          <w:sz w:val="24"/>
        </w:rPr>
        <w:t xml:space="preserve"> valdības bilancē. Šajā gadījumā traktējums nacionālajos kontos varētu būt līdzīgs finanšu nomas traktējuma</w:t>
      </w:r>
      <w:r w:rsidR="001B5996">
        <w:rPr>
          <w:rFonts w:ascii="Times New Roman" w:hAnsi="Times New Roman"/>
          <w:noProof/>
          <w:sz w:val="24"/>
        </w:rPr>
        <w:t>m, saskaņā ar kuru ir jāieraksta</w:t>
      </w:r>
      <w:r>
        <w:rPr>
          <w:rFonts w:ascii="Times New Roman" w:hAnsi="Times New Roman"/>
          <w:noProof/>
          <w:sz w:val="24"/>
        </w:rPr>
        <w:t xml:space="preserve"> valdības kapitāla izdevumi un finanšu saistības.</w:t>
      </w:r>
    </w:p>
    <w:p w:rsidR="008F2A74" w:rsidRDefault="008F2A74">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452"/>
        </w:tabs>
        <w:ind w:left="0" w:firstLine="0"/>
        <w:jc w:val="both"/>
        <w:rPr>
          <w:rFonts w:ascii="Times New Roman" w:hAnsi="Times New Roman"/>
          <w:noProof/>
          <w:u w:val="thick" w:color="000000"/>
        </w:rPr>
      </w:pPr>
      <w:bookmarkStart w:id="464" w:name="VI.4.2_Background"/>
      <w:bookmarkEnd w:id="464"/>
      <w:r>
        <w:rPr>
          <w:rFonts w:ascii="Times New Roman" w:hAnsi="Times New Roman"/>
          <w:noProof/>
          <w:u w:val="none"/>
        </w:rPr>
        <w:t>VI.4.2. </w:t>
      </w:r>
      <w:r>
        <w:rPr>
          <w:rFonts w:ascii="Times New Roman" w:hAnsi="Times New Roman"/>
          <w:noProof/>
          <w:u w:val="thick" w:color="000000"/>
        </w:rPr>
        <w:t>Vispārēja informācija</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76"/>
        </w:tabs>
        <w:jc w:val="both"/>
        <w:rPr>
          <w:rFonts w:ascii="Times New Roman" w:hAnsi="Times New Roman"/>
          <w:noProof/>
          <w:sz w:val="24"/>
        </w:rPr>
      </w:pPr>
      <w:bookmarkStart w:id="465" w:name="VI.4.2.1_The_development_of_PPPs"/>
      <w:bookmarkEnd w:id="465"/>
      <w:r>
        <w:rPr>
          <w:rFonts w:ascii="Times New Roman" w:hAnsi="Times New Roman"/>
          <w:noProof/>
          <w:sz w:val="24"/>
        </w:rPr>
        <w:t>VI.4.2.1. PPP attīstība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PPP </w:t>
      </w:r>
      <w:r>
        <w:rPr>
          <w:rFonts w:ascii="Times New Roman" w:hAnsi="Times New Roman"/>
          <w:noProof/>
          <w:sz w:val="24"/>
          <w:u w:val="single" w:color="000000"/>
        </w:rPr>
        <w:t>nozīmē ilgtermiņa attiecības</w:t>
      </w:r>
      <w:r>
        <w:rPr>
          <w:rFonts w:ascii="Times New Roman" w:hAnsi="Times New Roman"/>
          <w:noProof/>
          <w:sz w:val="24"/>
        </w:rPr>
        <w:t xml:space="preserve"> atbilstoši konkrētiem līgumiem, kuros ir skaidri noteikti katra partnera pienākumi un tiesības. Praksē PPP līgumi galvenokārt tiek slēgti vismaz uz 20 gadiem. PPP līguma darbības termiņš parasti ir atkarīgs no aktīvu veida (kāds ir gaidāmais to nolietojuma termiņš), taču var būt gadījumi, kad līguma termiņš ir mazāks par 15 gadiem vai pat par 10 gadiem. Šādos gadījumos jāveic īpaša analīze, lai novērtētu, vai šādus līgumus varētu uzskatīt par PPP šīs nodaļas izpratnē. Līgums varētu neatbilst PPP definīcijai, ja tā darbības termiņš varētu būt ilgāks par laikposmu, kurā jānodrošina aktīva saimnieciskā izmantošana, un ja līguma darbības laikā aktīvu nāktos vienu vai vairākas reizes nomainīt.</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Papildus mērķim izmantot partnera prasmes un kompetences, lai uzlabotu valdības pakalpojumu kvalitāti un samazinātu to izmaksas, PPP var veidot arī budžeta ierobežojumu dēļ, kas liek valdībai meklēt alternatīvus līdzekļus un ārējus resursus koplietošanas aprīkojuma būvniecībai vai pilnveidei. Parasti šādi līgumi ļauj sadalīt jauno aktīvu izmaksas pa visu laika posmu, kad tie tiek izmantoti, līdz ar to novēršot nepieciešamību pēc lieliem sākotnējiem valdības kapitāla izdevumiem un attiecīgām naudas izmaksām, kas rastos, ja valdība būtu izmantojusi tiešu iepirkuma procedūru infrastruktūras būvniecībai.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No šīs pazīmes </w:t>
      </w:r>
      <w:r>
        <w:rPr>
          <w:rFonts w:ascii="Times New Roman" w:hAnsi="Times New Roman"/>
          <w:noProof/>
          <w:sz w:val="24"/>
          <w:u w:val="single" w:color="000000"/>
        </w:rPr>
        <w:t>izriet</w:t>
      </w:r>
      <w:r>
        <w:rPr>
          <w:rFonts w:ascii="Times New Roman" w:hAnsi="Times New Roman"/>
          <w:noProof/>
          <w:sz w:val="24"/>
        </w:rPr>
        <w:t>, ka ir jāizvērtē valdības maksājumu grafiks. Piemēram, ja izdevumus, kas partnerim rodas saistībā ar aktīva būvniecību (visa aktīva vai būtiskas tā daļas būvniecību), valdība būtu atmaksājusi aktīva ekspluatācijas posma sākumā vienā vai dažos lielas summas maksājumos (vienreizējas summas), līgumu varētu uzskatīt par iepirkuma pakalpojumu sniegšanu attiecībā uz aktīvu, kas jāiekļauj valdības bilancē, pēc kura tiek noslēgts pakalpojuma līgums uz atlikušo līguma darbības laiku. Jebkurā gadījumā šādi valdības veikti maksājumi vienmēr jāuzskata par valdība</w:t>
      </w:r>
      <w:r w:rsidR="000A143A">
        <w:rPr>
          <w:rFonts w:ascii="Times New Roman" w:hAnsi="Times New Roman"/>
          <w:noProof/>
          <w:sz w:val="24"/>
        </w:rPr>
        <w:t>s izdevumiem (ja aktīvu ieraksta</w:t>
      </w:r>
      <w:r>
        <w:rPr>
          <w:rFonts w:ascii="Times New Roman" w:hAnsi="Times New Roman"/>
          <w:noProof/>
          <w:sz w:val="24"/>
        </w:rPr>
        <w:t xml:space="preserve"> ārpus valdības bilances) un nevis par priekšapmaksu par nodevu, kas būs pieejama nākotnē.</w:t>
      </w:r>
    </w:p>
    <w:p w:rsidR="00506AA9" w:rsidRPr="0021538A"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Statistikas speciālistu pienākums nav izpētīt šo partnerību iemeslus, pamatojumu un efektivitāti (izdevīgumu) vai izteikt viedokli par attiecīgo projektu ekonomisko un finansiālo dzīvotspēju, jo īpaši salīdzinot tos ar citām ieguldījumu pieejām. Statistiķiem ir tikai jāsniedz skaidri norādījumi par PPP projektu traktējumu nacionālajos kontos un saistībā ar pārmērīgu budžeta deficīta novēršanas procedūru ir jānosaka to ietekme uz vispārējās valdības neto aizdevumu/aizņēmumu (B.9) un parādu. Tāpēc ir svarīgi pareizi īstenot nacionālo kontu vispārējos principus šajā jomā, lai nodrošinātu, ka visās ES dalībvalstīs tiek ievēroti valdības statistikas noteikumi un saskanība, un lai valstu neto aizdevuma/aizņēmuma (B.9) un parāda rādītāji būtu pilnībā salīdzināmi.</w:t>
      </w:r>
      <w:r>
        <w:rPr>
          <w:rStyle w:val="FootnoteReference"/>
          <w:rFonts w:ascii="Times New Roman" w:hAnsi="Times New Roman"/>
          <w:noProof/>
          <w:sz w:val="24"/>
        </w:rPr>
        <w:footnoteReference w:id="217"/>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Tāpat statistikas speciālistiem nav jāsniedz sīka PPP definīcija, jo šo jēdzienu var plaši izmantot dažādu pasākumu raksturošanai, un pārlieku ierobežojoša definīcija arī nav atbilstoša, ņemot vērā minētās partnerības sarežģītību un jauninājumus. Tā vietā viņiem ir pienācīgi jānosaka pamatkritēriji, lai nacionālo kontu speciālisti varētu viegli analizēt līgumus, skaidri atšķirot dažādos iespējamos pasākumus, kas varētu būt novērojami praksē, un piemērojot EKS 2010 minētos noteikumus.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66" w:name="VI.4.2.2_Characteristics_of_PPPs"/>
      <w:bookmarkEnd w:id="466"/>
      <w:r>
        <w:rPr>
          <w:rFonts w:ascii="Times New Roman" w:hAnsi="Times New Roman"/>
          <w:noProof/>
          <w:sz w:val="24"/>
        </w:rPr>
        <w:lastRenderedPageBreak/>
        <w:t>VI.4.2.2. PPP pazīmes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PPP konkrētāk attiecas uz tādām partnerībām, kuras ir paredzētas valdības pakalpojumu sniegšanai un kurās valdības maksājumi veido lielāko daļu no maksas, ko saskaņā ar līgumu saņem partneris.</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Praksē PPP mēdz veidot tādās darbībās jomās, kurās valdība parasti ir būtiski iesaistīta (piemēram, transports, izglītība, veselības aprūpe, drošība u. c.). Valdība parasti slēdz līgumu ar vienu vai vairākiem pieredzējušiem komerciālajiem partneriem tieši vai ar tādas īpašam nolūkam dibinātas sabiedrības starpniecību, kas izveidota konkrētam PPP mērķim, lai saņemtu pakalpojumus, kas izriet no konkrētā aktīva. Šie pakalpojumi pēc definīcijas noteikti iekļauj ēku un struktūru uzturēšanu (tostarp kapitālremontus), bet var iekļaut arī citas darbības, kas noteiktā pakāpē nodrošina pakalpojumu faktisku darbību (apkure, drošības pakalpojumi utt.). No vienas puses, dažus pakalpojumus var īstenot citi ekonomikas dalībnieki, kas nav partnera personāls (piemēram, medicīniskais vai izglītības personāls slimnīcās vai skolās), tādējādi par to īstenošanu partneris nav tieši atbildīgs. No otras puses, partneris var sniegt pats vai nodot apakšuzņēmējam dažus pakalpojumus, kas tiek veikti ēkā vai struktūrā, bet kas nav aktīva pamata izmantošana.</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Šādos līgumos norāda īpaši paredzētus aktīvus, kam parasti ir nepieciešami vai nu būtiski sākotnējie kapitāla izdevumi, vai arī lieli renovēšanas vai atjaunošanas darbi, kā arī nosaka saskaņoto pakalpojumu sniegšanu, saistībā ar kuriem ir jāizmanto minētie aktīvi (līgumā var iekļaut arī pakalpojumus, kas nav tieši saistīti ar šiem aktīviem</w:t>
      </w:r>
      <w:r>
        <w:rPr>
          <w:rStyle w:val="FootnoteReference"/>
          <w:rFonts w:ascii="Times New Roman" w:hAnsi="Times New Roman"/>
          <w:noProof/>
          <w:sz w:val="24"/>
        </w:rPr>
        <w:footnoteReference w:id="218"/>
      </w:r>
      <w:r>
        <w:rPr>
          <w:rFonts w:ascii="Times New Roman" w:hAnsi="Times New Roman"/>
          <w:noProof/>
          <w:sz w:val="24"/>
        </w:rPr>
        <w:t>), ievērojot līgumā noteiktos kvalitātes un apjoma standartus. Tieši pakalpojumu komponenta dēļ PPP līgumi atšķiras no nomas.</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Līgums var būt noslēgts attiecībā uz jaunu aktīvu vai paredzēt valdībai iepriekš piederošo un tās ekspluatēto aktīvu būtisku renovāciju, modernizāciju vai uzlabošanu. Ja līgums paredz nevis jauna aktīva būvniecību, bet jau esoša aktīva renovāciju/atjaunošanu, šajā saistībā veiktā darba izmaksām ir jāveido lielākā daļa no aktīva vērtības pēc darbu pabeigšanas. Pretējā gadījumā (ja darba izmaksas nepārsniedz 50 % no aktīva vērtības) līgums nav uzskatāms par šajā nodaļā noteikto PPP, un tā vietā līgums ir jāsadala aktīvu iepirkuma līgumā un pakalpojumu līg</w:t>
      </w:r>
      <w:r w:rsidR="000A143A">
        <w:rPr>
          <w:rFonts w:ascii="Times New Roman" w:hAnsi="Times New Roman"/>
          <w:noProof/>
          <w:sz w:val="24"/>
        </w:rPr>
        <w:t>umā, atlikušo aktīvu ierakstot</w:t>
      </w:r>
      <w:r>
        <w:rPr>
          <w:rFonts w:ascii="Times New Roman" w:hAnsi="Times New Roman"/>
          <w:noProof/>
          <w:sz w:val="24"/>
        </w:rPr>
        <w:t xml:space="preserve"> valdības vienības bilancē.</w:t>
      </w:r>
    </w:p>
    <w:p w:rsidR="00506AA9" w:rsidRPr="0021538A" w:rsidRDefault="00506AA9" w:rsidP="00506AA9">
      <w:pPr>
        <w:pStyle w:val="BodyText"/>
        <w:numPr>
          <w:ilvl w:val="0"/>
          <w:numId w:val="129"/>
        </w:numPr>
        <w:tabs>
          <w:tab w:val="left" w:pos="1124"/>
        </w:tabs>
        <w:spacing w:before="0"/>
        <w:ind w:left="709" w:hanging="709"/>
        <w:jc w:val="both"/>
        <w:rPr>
          <w:rFonts w:ascii="Times New Roman" w:hAnsi="Times New Roman"/>
          <w:noProof/>
          <w:sz w:val="24"/>
        </w:rPr>
      </w:pPr>
      <w:r>
        <w:rPr>
          <w:rFonts w:ascii="Times New Roman" w:hAnsi="Times New Roman"/>
          <w:noProof/>
          <w:sz w:val="24"/>
        </w:rPr>
        <w:t>Dažiem aktīviem tirgus cena nav zināma, jo nav tādu darījumu, vai aktīvi pēc būtības ir pārāk specifiski, lai būtu iespējams izmantot salīdzinošās novērtēšanas metodi. Šādā gadījumā vērtība ir jānosaka, pamatojoties uz “pārvērtētajām iegādes izmaksām, no kurām atskaitīti uzkrātie norakstījumi”. Turklāt šajā vērtībā jāņem vērā precīzs aktīvu stāvoklis, kas nozīmē, ka gadījumā, ja nepieciešama ļoti būtiska renovācija, aktīva vērtība ir samērā zema. Vēl viena problēma ir tā, ka atjaunošanas/renovācijas izdevumi palielinās visa aktīva vērtību (pat to daļu vērtību, kuras nav renovētas) virs radušos izdevumu vērtības. Šādu ietekmi varētu būt sarežģīti mērīt. Praktisks princips būtu pārbaudīt, vai paredzētie kapitāla izdevumi pārsniedz vismaz aktīvu vērtību pirms renovācijas.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Ņemot vērā minēto, ja esošais un darbojošais PPP līgums kādu iemeslu dēļ tiktu apturēts un jauns līgums vēlāk tiktu noslēgts ar jaunu partneri (izsludinot jaunu konkursa procedūru), jaunais līgums vairs netiktu uzskatīts par PPP, ja tiktu parakstīts vecā līguma darbības posmā, jo jaunais partneris neuzņemas nekādu būvniecības risku. Būtībā līgumu var uzskatīt par PPP tikai tad, ja ir aktīvs, kas jābūvē vai jāatjaunina, un ja ir skaidri identificējams būvniecības risks</w:t>
      </w:r>
      <w:r>
        <w:rPr>
          <w:rStyle w:val="FootnoteReference"/>
          <w:rFonts w:ascii="Times New Roman" w:hAnsi="Times New Roman"/>
          <w:noProof/>
          <w:sz w:val="24"/>
        </w:rPr>
        <w:footnoteReference w:id="219"/>
      </w:r>
      <w:r>
        <w:rPr>
          <w:rFonts w:ascii="Times New Roman" w:hAnsi="Times New Roman"/>
          <w:noProof/>
          <w:sz w:val="24"/>
        </w:rPr>
        <w:t>.</w:t>
      </w:r>
    </w:p>
    <w:p w:rsidR="00506AA9" w:rsidRPr="0021538A" w:rsidRDefault="00506AA9" w:rsidP="00506AA9">
      <w:pPr>
        <w:pStyle w:val="BodyText"/>
        <w:numPr>
          <w:ilvl w:val="0"/>
          <w:numId w:val="129"/>
        </w:numPr>
        <w:tabs>
          <w:tab w:val="left" w:pos="1164"/>
        </w:tabs>
        <w:spacing w:before="0"/>
        <w:ind w:left="709" w:hanging="709"/>
        <w:jc w:val="both"/>
        <w:rPr>
          <w:rFonts w:ascii="Times New Roman" w:hAnsi="Times New Roman"/>
          <w:noProof/>
          <w:sz w:val="24"/>
        </w:rPr>
      </w:pPr>
      <w:r>
        <w:rPr>
          <w:rFonts w:ascii="Times New Roman" w:hAnsi="Times New Roman"/>
          <w:noProof/>
          <w:sz w:val="24"/>
        </w:rPr>
        <w:lastRenderedPageBreak/>
        <w:t>Ja līgums tiek apturēts būvniecības posmā, ir jāanalizē, vai būvniecības lielākā daļa jau ir paveikta vai nē. Ja jaunajam partnerim (kas izraudzīts konkursa procedūrā) nebūs jāveic nekāda būvniecība, līgums ir jāuzskata vienkārši par pakalpojumu sniegšanas līgumu saistībā ar jau esošu aktīvu, un aktīvs būtu automātiski jāpārklasificē valdības bilancē brīdī, kad iepriekšējais līgums tiek apturēts un vecais partneris vairs nav aktīvu ekonomiskais īpašnieks</w:t>
      </w:r>
      <w:r>
        <w:rPr>
          <w:rStyle w:val="FootnoteReference"/>
          <w:rFonts w:ascii="Times New Roman" w:hAnsi="Times New Roman"/>
          <w:noProof/>
          <w:sz w:val="24"/>
        </w:rPr>
        <w:footnoteReference w:id="220"/>
      </w:r>
      <w:r>
        <w:rPr>
          <w:rFonts w:ascii="Times New Roman" w:hAnsi="Times New Roman"/>
          <w:noProof/>
          <w:sz w:val="24"/>
        </w:rPr>
        <w:t xml:space="preserve">. Dažkārt, lai arī var paiet zināms laiks no brīža, kad oficiāli tiek izbeigts iepriekšējais līgums, valdība var organizēt jaunu izsoli un jaunais partneris var piekrist pārņemt uzturēšanas uzdevumus atlikušajā līguma termiņā, t. i., pārvaldīt aktīvus un saistītos pakalpojumus attiecībā uz jau uzbūvētu aktīvu. Šādos </w:t>
      </w:r>
      <w:r w:rsidR="002E0202">
        <w:rPr>
          <w:rFonts w:ascii="Times New Roman" w:hAnsi="Times New Roman"/>
          <w:noProof/>
          <w:sz w:val="24"/>
        </w:rPr>
        <w:t>gadījumos maksājumus valdībai ieraksta</w:t>
      </w:r>
      <w:r>
        <w:rPr>
          <w:rFonts w:ascii="Times New Roman" w:hAnsi="Times New Roman"/>
          <w:noProof/>
          <w:sz w:val="24"/>
        </w:rPr>
        <w:t xml:space="preserve"> kā finansiālo avansu valdībai, kas tiktu pakāpeniski dzēsts ar turpmākiem regulāriem (vienotiem) maksājumiem partnerim (ņemot vērā tā faktisko sniegumu). Tomēr var arī gadīties, ka sākotnējais partneris ar valdības piekrišanu vienkārši nodod PPP līgumu citam partnerim</w:t>
      </w:r>
      <w:r>
        <w:rPr>
          <w:rStyle w:val="FootnoteReference"/>
          <w:rFonts w:ascii="Times New Roman" w:hAnsi="Times New Roman"/>
          <w:noProof/>
          <w:sz w:val="24"/>
        </w:rPr>
        <w:footnoteReference w:id="221"/>
      </w:r>
      <w:r>
        <w:rPr>
          <w:rFonts w:ascii="Times New Roman" w:hAnsi="Times New Roman"/>
          <w:noProof/>
          <w:sz w:val="24"/>
        </w:rPr>
        <w:t xml:space="preserve"> vai ka notiek partnera pašu kapitāla pārstrukturēšana, kā rezultātā ir jāparaksta jauns līgums. Šādā gadījumā ir rūpīgi jāpārbauda, vai jaunajā līgumā ir mainījusies risku un atlīdzību sadale.</w:t>
      </w:r>
    </w:p>
    <w:p w:rsidR="00506AA9" w:rsidRPr="0021538A"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Svarīgākā PPP pazīme ir tā, ka valdība ir galvenā partnera pakalpojumu pircēja. Šajā saistībā PPP atšķiras no “koncesijām”, kas noteiktas saistībā ar nacionālajiem kontiem (sk. šīs rokasgrāmatas VI.3. nodaļu), kad galvenais risks ir atkarīgs no galalietotāju vēlmes maksāt. PPP gadījumā valdība pērk pakalpojumu, veicot regulārus maksājumus, tiklīdz partneris ir piegādājis aktīvus, neatkarīgi no tā, kas rada pieprasījumu – tieši pati valdība vai trešās puses patērētāji (piemēram, medicīnas vai izglītības pakalpojumi, kā arī daži transporta infrastruktūras veidi). Šajā posmā nav jānorāda konkrēta robežvērtība starp valdības un trešās puses maksājumiem. Lai gan tam ir tikai mazliet jāpārsniedz 50 %, realitātē tas ir daudz lielāks, parasti virs 90 %, jo lielākā daļa līgumu attiecas uz tipveida ekonomiskajiem modeļiem. Bieži, jo īpaši saistībā ar transporta infrastruktūras aktīviem, izmanto jēdzienu “virtuālās ceļu nodevas”, un to attiecina uz valdības atlīdzību par to, ka aktīvus attiecīgajā apmērā izmanto trešās puses</w:t>
      </w:r>
      <w:r>
        <w:rPr>
          <w:rStyle w:val="FootnoteReference"/>
          <w:rFonts w:ascii="Times New Roman" w:hAnsi="Times New Roman"/>
          <w:noProof/>
          <w:sz w:val="24"/>
        </w:rPr>
        <w:footnoteReference w:id="222"/>
      </w:r>
      <w:r>
        <w:rPr>
          <w:rFonts w:ascii="Times New Roman" w:hAnsi="Times New Roman"/>
          <w:noProof/>
          <w:sz w:val="24"/>
        </w:rPr>
        <w:t>.</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Aktīvu izmantošana parasti būtu konkrēti jādefinē līgumā, iespējams, izmantojot “dialoga procesu”, un līgumā vajadzētu būt ierobežojumiem attiecībā uz veidu, kādā partneris varētu izmantot aktīvus. Piemēram, partneris nedrīkstētu tos realizēt pēc saviem ieskatiem, un attiecīgajos gadījumos tam būtu jādod priekšroka valdības lietotājiem, nevis citiem iespējamiem lietotājiem. Ir jāuzsver, ka daudzos līgumos netiek izslēgta “trešās puses” maksājumu iespēja, bet visticamāk šie maksājumi veidos mazu (dažkārt pat niecīgu) daļu no partnera ieņēmumiem un bieži vien tie rodas no palīgdarbības, kas saistīta ar īpašam mērķim paredzētiem aktīviem (piemēram, noteiktas sporta, izglītības vai kultūras infrastruktūras neregulāra </w:t>
      </w:r>
      <w:r>
        <w:rPr>
          <w:rFonts w:ascii="Times New Roman" w:hAnsi="Times New Roman"/>
          <w:i/>
          <w:noProof/>
          <w:sz w:val="24"/>
        </w:rPr>
        <w:t>ad hoc</w:t>
      </w:r>
      <w:r>
        <w:rPr>
          <w:rFonts w:ascii="Times New Roman" w:hAnsi="Times New Roman"/>
          <w:noProof/>
          <w:sz w:val="24"/>
        </w:rPr>
        <w:t xml:space="preserve"> “privāta” izmantošana noteiktos apstākļos vai iekasētie maksājumi par tālruņa kabeļu ievilkšanu gar autoceļu vai zem tā).</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Papildus jāuzsver, ka “valdība” šajā saistībā nozīmē visu vispārējās valdības sektoru (S.13), kā noteikts EKS 2010. Līgumā atbilstoši dažādiem līmeņiem var piedalīties dažādas valdības vienības, pat ja tās ir klasificētas dažādos valdības apakšsektoros.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67" w:name="VI.4.2.3_The_key_issue_in_national_accou"/>
      <w:bookmarkEnd w:id="467"/>
      <w:r>
        <w:rPr>
          <w:rFonts w:ascii="Times New Roman" w:hAnsi="Times New Roman"/>
          <w:noProof/>
          <w:sz w:val="24"/>
        </w:rPr>
        <w:t>VI.4.2.3. Galvenā problēma nacionālajos kontos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Saistībā ar nacionālajiem kontiem tādi ilgtermiņa līgumi kā PPP rada jautājumus par to, kura sektora bilancē iekļaut saistītos aktīvus. Tas attiecas uz iesaistī</w:t>
      </w:r>
      <w:r w:rsidR="002E0202">
        <w:rPr>
          <w:rFonts w:ascii="Times New Roman" w:hAnsi="Times New Roman"/>
          <w:noProof/>
          <w:sz w:val="24"/>
        </w:rPr>
        <w:t>to aktīvu sākotnējo ierakstīšanu</w:t>
      </w:r>
      <w:r>
        <w:rPr>
          <w:rFonts w:ascii="Times New Roman" w:hAnsi="Times New Roman"/>
          <w:noProof/>
          <w:sz w:val="24"/>
        </w:rPr>
        <w:t xml:space="preserve"> vai nu valdības bilancē, vai ar</w:t>
      </w:r>
      <w:r w:rsidR="002E0202">
        <w:rPr>
          <w:rFonts w:ascii="Times New Roman" w:hAnsi="Times New Roman"/>
          <w:noProof/>
          <w:sz w:val="24"/>
        </w:rPr>
        <w:t>ī partnera bilancē. Ierakstīšana</w:t>
      </w:r>
      <w:r>
        <w:rPr>
          <w:rFonts w:ascii="Times New Roman" w:hAnsi="Times New Roman"/>
          <w:noProof/>
          <w:sz w:val="24"/>
        </w:rPr>
        <w:t xml:space="preserve"> valdības bilancē var būtiski ietekmēt valdības statistiku – gan valdības neto aizdevumu/aizņēmumu (B.9) </w:t>
      </w:r>
      <w:r w:rsidR="002E0202">
        <w:rPr>
          <w:rFonts w:ascii="Times New Roman" w:hAnsi="Times New Roman"/>
          <w:noProof/>
          <w:sz w:val="24"/>
        </w:rPr>
        <w:t>(kapitāla izdevumi ir jāieraksta</w:t>
      </w:r>
      <w:r>
        <w:rPr>
          <w:rFonts w:ascii="Times New Roman" w:hAnsi="Times New Roman"/>
          <w:noProof/>
          <w:sz w:val="24"/>
        </w:rPr>
        <w:t xml:space="preserve"> nefinanšu kontā kā valdības bruto pamatkapitāla veidošanu nefinanšu kontā (P.51g)), gan valdības parādu (finanšu kontam būtu jāsaskaņo kapitāla izdevumus ar nosacītajām valdības saistībām, kas varētu palielināt b</w:t>
      </w:r>
      <w:r w:rsidR="002E0202">
        <w:rPr>
          <w:rFonts w:ascii="Times New Roman" w:hAnsi="Times New Roman"/>
          <w:noProof/>
          <w:sz w:val="24"/>
        </w:rPr>
        <w:t>ruto parādu, ja tiek ierakstītas</w:t>
      </w:r>
      <w:r>
        <w:rPr>
          <w:rFonts w:ascii="Times New Roman" w:hAnsi="Times New Roman"/>
          <w:noProof/>
          <w:sz w:val="24"/>
        </w:rPr>
        <w:t xml:space="preserve"> kā nosacīts aizdevums (AF.4)).</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Turklāt saskaņā ar nacionālo kontu noteikumiem (sk. EKS 2010 3.148. punkta b) apakšpunkta 3. daļu), ja aktīvus (ēkas vai citas būves) uzskata par valdības aktīvie</w:t>
      </w:r>
      <w:r w:rsidR="002E0202">
        <w:rPr>
          <w:rFonts w:ascii="Times New Roman" w:hAnsi="Times New Roman"/>
          <w:noProof/>
          <w:sz w:val="24"/>
        </w:rPr>
        <w:t>m, tad kapitālizdevumus ieraksta</w:t>
      </w:r>
      <w:r>
        <w:rPr>
          <w:rFonts w:ascii="Times New Roman" w:hAnsi="Times New Roman"/>
          <w:noProof/>
          <w:sz w:val="24"/>
        </w:rPr>
        <w:t xml:space="preserve"> atbilstīgi uzkrāšanas principam darbu sākumā, nevis būvniecības/renovācijas beigās. Praktisku apsvēr</w:t>
      </w:r>
      <w:r w:rsidR="002E0202">
        <w:rPr>
          <w:rFonts w:ascii="Times New Roman" w:hAnsi="Times New Roman"/>
          <w:noProof/>
          <w:sz w:val="24"/>
        </w:rPr>
        <w:t>umu dēļ atbilstošā ierakstīšanas</w:t>
      </w:r>
      <w:r>
        <w:rPr>
          <w:rFonts w:ascii="Times New Roman" w:hAnsi="Times New Roman"/>
          <w:noProof/>
          <w:sz w:val="24"/>
        </w:rPr>
        <w:t xml:space="preserve"> laika noteikšanai dažkārt var izmantot pakāpeniskos maksājumus (maksājumus pa daļām), kurus saņem būvnieks vai ražotājs. To pēc definīcijas PPP līgumos piemēro bruto pamatkapitāla veidošanai (sk. EKS 2010 3.55. punktu attiecībā uz citu struktūru būvniecību).</w:t>
      </w: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Sekas rodas arī att</w:t>
      </w:r>
      <w:r w:rsidR="002E0202">
        <w:rPr>
          <w:rFonts w:ascii="Times New Roman" w:hAnsi="Times New Roman"/>
          <w:noProof/>
          <w:sz w:val="24"/>
        </w:rPr>
        <w:t>iecībā uz to plūsmu ierakstīšanu</w:t>
      </w:r>
      <w:r>
        <w:rPr>
          <w:rFonts w:ascii="Times New Roman" w:hAnsi="Times New Roman"/>
          <w:noProof/>
          <w:sz w:val="24"/>
        </w:rPr>
        <w:t>, kas līguma darbības laikā tiek novērotas starp valdību un partneri. Ja nosacīta</w:t>
      </w:r>
      <w:r w:rsidR="002E0202">
        <w:rPr>
          <w:rFonts w:ascii="Times New Roman" w:hAnsi="Times New Roman"/>
          <w:noProof/>
          <w:sz w:val="24"/>
        </w:rPr>
        <w:t>is aizdevums ir ticis ierakstīts</w:t>
      </w:r>
      <w:r>
        <w:rPr>
          <w:rFonts w:ascii="Times New Roman" w:hAnsi="Times New Roman"/>
          <w:noProof/>
          <w:sz w:val="24"/>
        </w:rPr>
        <w:t xml:space="preserve"> valdības bilancē, tad attiecīgās pamatsummas atmaksu sadala uz visu termiņu, neietekmējot valdības neto aizdevumu/aizņēmumu (B.9), savukārt nosacītie procenti arī ir jāaprēķina un jāiekļauj valdības izdevumos kopā ar maksu par pakalpojumiem, ko valdība maksā atbilstoši līguma noteikumiem, tādējādi abi šie izdevumi ietekmē valdības neto aizņēmumu/aizdevumu (B.9).</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Jāuzsver, ka turpmākajā iedaļā izstrādātie kritēriji, pamatojoties uz kuriem pieņem lēmumu par aktīva klasifikāciju valdības vai partnera bilancē, nav jāskata katrs kritērijs atsevišķi, bet gan saskaņā ar aditivitātes principu. Piemēram, ja valdībai partnera pašu kapitālā pieder akciju mazākums</w:t>
      </w:r>
      <w:r>
        <w:rPr>
          <w:rStyle w:val="FootnoteReference"/>
          <w:rFonts w:ascii="Times New Roman" w:hAnsi="Times New Roman"/>
          <w:noProof/>
          <w:sz w:val="24"/>
        </w:rPr>
        <w:footnoteReference w:id="223"/>
      </w:r>
      <w:r>
        <w:rPr>
          <w:rFonts w:ascii="Times New Roman" w:hAnsi="Times New Roman"/>
          <w:noProof/>
          <w:sz w:val="24"/>
        </w:rPr>
        <w:t>, tas vien vēl nav pietiekami, lai pārklasificētu aktīvus valdības bilancē, taču, ja vienlaikus valdība saņem atlīdzības, kas pārsniedz tai kā akcionāram pienākošās tiesības, būtu jāuzskata, ka aktīvi pieder valdībai. Līdzīgi, ja valdībai būtu īpašas tiesības (piemēram, veto tiesības attiecībā uz būtiskiem lēmumiem), partneri (un tādējādi arī aktīvus) varētu pārklasificēt valdības sektorā.</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Turklāt saistībā ar jautājumu par to, kādā apmērā valdība dažādos veidos saņem atpakaļ riskus un atlīdzības, dažkārt viens atsevišķs kritērijs varētu būt pietiekams, lai pārklasificētu aktīvu valdības bilancē (būvniecības risks, pieejamības/piedāvājuma risks, finansēšana (tostarp refinansēšana), pirmstermiņa izbeigšana, nepārvarama vara). Sarežģītākos gadījumos, kad vairākas pazīmes vai specifiski līguma panti atsevišķi nav pietiekami, ņemot vērā pašreizējos metodoloģiskos noteikumus, ko izmanto aktīva klasificēšanai valdības bilancē, kā rezultātā ekonomiskās īpašumtiesības varētu nepietiekami pāriet uz partneri, jāizmanto īpaša analīze, papildus piemērojot vispārēju pieeju.</w:t>
      </w:r>
    </w:p>
    <w:p w:rsidR="008F2A74" w:rsidRDefault="008F2A74">
      <w:pPr>
        <w:widowControl/>
        <w:spacing w:after="160" w:line="259" w:lineRule="auto"/>
        <w:rPr>
          <w:rFonts w:ascii="Times New Roman" w:hAnsi="Times New Roman"/>
          <w:noProof/>
          <w:sz w:val="24"/>
        </w:rPr>
      </w:pPr>
      <w:r>
        <w:rPr>
          <w:rFonts w:ascii="Times New Roman" w:hAnsi="Times New Roman"/>
          <w:noProof/>
          <w:sz w:val="24"/>
        </w:rPr>
        <w:br w:type="page"/>
      </w:r>
    </w:p>
    <w:p w:rsidR="00506AA9" w:rsidRPr="001973D0" w:rsidRDefault="00506AA9" w:rsidP="00506AA9">
      <w:pPr>
        <w:jc w:val="both"/>
        <w:rPr>
          <w:rFonts w:ascii="Times New Roman" w:hAnsi="Times New Roman"/>
          <w:noProof/>
          <w:sz w:val="24"/>
        </w:rPr>
      </w:pPr>
    </w:p>
    <w:p w:rsidR="00506AA9" w:rsidRPr="001973D0" w:rsidRDefault="00506AA9" w:rsidP="00506AA9">
      <w:pPr>
        <w:pStyle w:val="Heading4"/>
        <w:tabs>
          <w:tab w:val="left" w:pos="1412"/>
        </w:tabs>
        <w:ind w:left="0" w:firstLine="0"/>
        <w:jc w:val="both"/>
        <w:rPr>
          <w:rFonts w:ascii="Times New Roman" w:hAnsi="Times New Roman"/>
          <w:b w:val="0"/>
          <w:bCs w:val="0"/>
          <w:noProof/>
          <w:szCs w:val="16"/>
          <w:u w:val="none"/>
        </w:rPr>
      </w:pPr>
      <w:bookmarkStart w:id="468" w:name="VI.4.3_Treatment_in_national_accounts"/>
      <w:bookmarkEnd w:id="468"/>
      <w:r>
        <w:rPr>
          <w:rFonts w:ascii="Times New Roman" w:hAnsi="Times New Roman"/>
          <w:noProof/>
          <w:u w:val="none"/>
        </w:rPr>
        <w:t>VI.4.3. </w:t>
      </w:r>
      <w:r>
        <w:rPr>
          <w:rFonts w:ascii="Times New Roman" w:hAnsi="Times New Roman"/>
          <w:noProof/>
          <w:u w:val="thick" w:color="000000"/>
        </w:rPr>
        <w:t>Traktējums nacionālajos kontos</w:t>
      </w:r>
      <w:r>
        <w:rPr>
          <w:rStyle w:val="FootnoteReference"/>
          <w:rFonts w:ascii="Times New Roman" w:hAnsi="Times New Roman"/>
          <w:noProof/>
          <w:u w:val="none"/>
        </w:rPr>
        <w:footnoteReference w:id="224"/>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36"/>
        </w:tabs>
        <w:jc w:val="both"/>
        <w:rPr>
          <w:rFonts w:ascii="Times New Roman" w:hAnsi="Times New Roman"/>
          <w:noProof/>
          <w:sz w:val="24"/>
        </w:rPr>
      </w:pPr>
      <w:bookmarkStart w:id="469" w:name="VI.4.3.1_Sector_classification_of_the_pa"/>
      <w:bookmarkEnd w:id="469"/>
      <w:r>
        <w:rPr>
          <w:rFonts w:ascii="Times New Roman" w:hAnsi="Times New Roman"/>
          <w:noProof/>
          <w:sz w:val="24"/>
        </w:rPr>
        <w:t>VI.4.3.1. Partnera sektora klasifikācija</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Partneris, kas iesaistīts ilgtermiņa līgumos ar valdību, var piederēt publiskajam vai privātajam sektoram. Ja tā ir publiska vienība, tas parasti nozīmē, ka saskaņā ar nacionālo kontu noteikumiem šīs vienības vispārējo saimniecisko darbību nosaka valdība vai cita publiska vienība.</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Publisks partneris ir jāklasificē kā nefinanšu sabiedrība tiktāl, ciktāl tas darbojas kā tirgus vienība (izpilda 50 % kritēriju), izpilda EKS 2010 noteiktos kvalitatīvos kritērijus un ja valdības maksājumus var uzskatīt par pārdošanas darījumiem (kā pakalpojumu sniegšanas pretvērtību).</w:t>
      </w: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Tomēr īpaša uzmanība jāpievērš gadījumiem, kad ir publiska sabiedrība (kas varētu atbilst kvalitatīvajiem/kvantitatīvajiem tirgus ražošanas kritērijiem un parastos apstākļos netiktu klasificēta valdības sektorā) vai kad valdībai varētu būt akciju mazākums, taču tā spēj īstenot būtisku ietekmi sarunās par līgumu vai svarīgos lēmumos, kas jāpieņem līguma īstenošanas procesā</w:t>
      </w:r>
      <w:r>
        <w:rPr>
          <w:rStyle w:val="FootnoteReference"/>
          <w:rFonts w:ascii="Times New Roman" w:hAnsi="Times New Roman"/>
          <w:noProof/>
          <w:sz w:val="24"/>
        </w:rPr>
        <w:footnoteReference w:id="225"/>
      </w:r>
      <w:r>
        <w:rPr>
          <w:rFonts w:ascii="Times New Roman" w:hAnsi="Times New Roman"/>
          <w:noProof/>
          <w:sz w:val="24"/>
        </w:rPr>
        <w:t>. Gadījumos, kuros valdības maksājumi saskaņā ar līgumu varētu veidot lielāko daļu partnera ieņēmumu, šie maksājumi ir jāanalizē, lai noteiktu, vai tos var klasificēt kā pārdošanas darījumus, jo īpaši, ja tieši šāda līguma dēļ ievērojami mainās partnera darbības apjoms vai būtība. Piemērojot I daļā (Vispārējās valdības sektora norobežošana) sniegtos noteikumus, šo sabiedrību varētu pārklasificēt par valdības vienību, ja maksājumi, ko veic valdība, netiktu uzskatīti par pārdošanu.</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Attiecībā uz PPP līgumiem, kuros partneris ir īpaša vienība, kas nodibināta ar noteiktu mērķi (šādas vienības bieži vien dēvē par “projektu īstenojošām sabiedrībām” vai “īpašam nolūkam dibinātām sabiedrībām” jeb ĪNDS) vienam atsevišķam PPP līgumam, ir jāizvērtē, kādā apmērā to kontrolē valdība. Pat ja valdība ir mazākuma akcionārs, tā var īstenot dominējošu ietekmi attiecībā uz sarunām par līgumu un nozīmīgiem lēmumiem. Valdībai varētu būt, piemēram, veto tiesības attiecībā uz nozīmīgu lēmumu galīgo apstiprināšanu līguma izstrādes un/vai tā izpildes gaitā (piemēram, apakšuzņēmēju izvēle, pievienotās darbības, nozīmīgi remonti, jaudas paplašināšana utt.). Šādā gadījumā aktīvi ir jāpārklasificē valdības bilancē. Turklāt valdības klātesamība ĪNDS vai tas, ka partneris varētu būt publiska vienība, ir faktori, kas jāņem vērā saistībā ar atlīdzību galīgo sadali starp valdību un partneri.</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Visbeidzot, ja partnerim, kas ir klasificēts ārpus valdības sektora, valdība apzināti piedāvā atbalstu kā kompensāciju par notikumiem, kas līguma parakstīšanas brīdī nebija norādīti kā konkrēta apņemšanās,</w:t>
      </w:r>
      <w:r w:rsidR="00EC08AA">
        <w:rPr>
          <w:rFonts w:ascii="Times New Roman" w:hAnsi="Times New Roman"/>
          <w:noProof/>
          <w:sz w:val="24"/>
        </w:rPr>
        <w:t xml:space="preserve"> tad šāds atbalsts ir jāieraksta</w:t>
      </w:r>
      <w:r>
        <w:rPr>
          <w:rFonts w:ascii="Times New Roman" w:hAnsi="Times New Roman"/>
          <w:noProof/>
          <w:sz w:val="24"/>
        </w:rPr>
        <w:t xml:space="preserve"> lēmuma par atbalsta piešķiršanu pieņemšanas vai īstenošanas brīdī kā pārvedums, kas ietekmē valdības neto aizdevumu/aizņēmumu (B.9), ja vien tas nav iekļauts tādu notikumu ierobežotajā sarakstā, kurus var uzskatīt par nepārvaramas varas apstākļiem. Valdības atbalsts partnerim var ietekmēt arī risku sadali. Piemēram, valdība varētu nodrošināt refinansēšanu tādā apjomā, ka valdības saistības segtu lielāko daļu pamatlīdzekļa vērtības. Vai arī sniegt kādas subsīdijas, kuru rezultātā tirgus/ārpustirgus testa vērtība varētu nokrist zem 50 % atzīmes.</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Aktīvu pārklasificēšana valdības bilancē izrietēs no publiskā partnera pārklasificēšanas vispārējā valdībā. Tas varētu notikt, piemēram, ja regulāra atbalsta dēļ publiska vienība </w:t>
      </w:r>
      <w:r>
        <w:rPr>
          <w:rFonts w:ascii="Times New Roman" w:hAnsi="Times New Roman"/>
          <w:noProof/>
          <w:sz w:val="24"/>
        </w:rPr>
        <w:lastRenderedPageBreak/>
        <w:t>no tirgus vienības kļūst par ārpustirgus vienību (t. i., tā vairs neatbilst kritērijiem, kas jāizpilda, lai varētu uzskatīt, ka tā ir iesaistīta tirgus darbībā) vai kādu citu iemeslu dēļ.</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36"/>
        </w:tabs>
        <w:jc w:val="both"/>
        <w:rPr>
          <w:rFonts w:ascii="Times New Roman" w:hAnsi="Times New Roman"/>
          <w:noProof/>
          <w:sz w:val="24"/>
        </w:rPr>
      </w:pPr>
      <w:bookmarkStart w:id="470" w:name="VI.4.3.2_Assessment_of_the_risks_and_rew"/>
      <w:bookmarkEnd w:id="470"/>
      <w:r>
        <w:rPr>
          <w:rFonts w:ascii="Times New Roman" w:hAnsi="Times New Roman"/>
          <w:noProof/>
          <w:sz w:val="24"/>
        </w:rPr>
        <w:t>VI.4.3.2. Katras līgumslēdzējas puses risku un atlīdzību novērtējums</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Aktīvus, kas noteikti ilgtermiņa līgumā starp valdības vienību un valdības sektoram nepiederošu partneri, nacionālajos kontos var uzskatīt par valdības sektoram nepiederošiem aktīviem tikai tad, ja valdības sektoram nepiederošais partneris uzņemas lielāko daļu ar aktīvu saistīto risku visā līguma darbības laikā un ir arī tiesīgs saņemt lielāko daļu kārtējo priekšrocību no aktīviem.</w:t>
      </w: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EKS 2010 20.283. punktā noteikts, ka ir jānodod lielākā daļa risku un atlīdzību un nevis “visi” riski un atlīdzības. Faktiski var novērot, ka partnerībās starp valdību un partneri parasti notiek kādu risku dalīšana. Kā norādīts turpmāk, ir pieņemami, ka valdība uzņemas dažus riskus, piemēram, ārkārtēju notikumu gadījumā (nepārvarama vara) attiecībā uz valdības rīcību, kas varētu mainīt darbības nosacījumus, par kuriem iepriekš tika panākta vienošanās, vai kādus specifiskus riskus, jo īpaši saistībā ar arheoloģiju, zemes reģistru, vidi, sabiedrības drošību, juridisko lēmumu realizēšanu utt., attiecībā uz kuriem valdības rīcībai var būt noteicoša ietekme. Savukārt parastie riski, kas attiecas uz aktīva ekonomiskajām īpašumtiesībām, jāuzņemas partnerim, ja aktīvu ir paredzēts klasificēt partnera bilancē, un parastos apstākļos, kad ir skaidra saikne starp šo risku realizāciju un partnera veiktajām darbībām (vai bezdarbību), šiem riskiem, ko izņēmies partneris, ir būtiski jāietekmē partnera rentabilitāte (un, iespējams, dažos gadījumos arī tā maksātspēja). Tādēļ šāda to risku analīze, kurus uzņemas līgumslēdzējas puses, ir uzskatāms par ļoti būtisku elementu saistībā ar līgumā paredzēto aktīvu klasifikāciju, lai nodrošinātu pareizu uzskaiti attiecībā uz šāda veida partnerības ietekmi uz valdības neto aizdevumu/aizņēmumu (B.9) un parādu.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Ir jāņem vērā arī tas, ka šie nosacījumi attiecas tikai uz vienu aktīvu vai uz aktīvu kopumu, kas saskaņā ar līgumu nav sadalāmi. Ņemot vērā līgumu iezīmes, PPP aktīvus nedrīkst sadalīt nacionālajos </w:t>
      </w:r>
      <w:r w:rsidR="00EC08AA">
        <w:rPr>
          <w:rFonts w:ascii="Times New Roman" w:hAnsi="Times New Roman"/>
          <w:noProof/>
          <w:sz w:val="24"/>
        </w:rPr>
        <w:t>kontos. Šie aktīvi ir jāieraksta</w:t>
      </w:r>
      <w:r>
        <w:rPr>
          <w:rFonts w:ascii="Times New Roman" w:hAnsi="Times New Roman"/>
          <w:noProof/>
          <w:sz w:val="24"/>
        </w:rPr>
        <w:t xml:space="preserve"> tikai vienas iesaistītās puses bilancē, proti, ekonomiskā īpašnieka bilancē, atbilstīgi to pilnai vērtībai.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PPP klasificēšanai nacionālajos kontos, lai vienkāršotu analīzi, ir izvēlētas turpmāk norādītās trīs galvenās risku kategorijas.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u w:val="single" w:color="000000"/>
        </w:rPr>
        <w:t>“Būvniecības risks”</w:t>
      </w:r>
      <w:r>
        <w:rPr>
          <w:rFonts w:ascii="Times New Roman" w:hAnsi="Times New Roman"/>
          <w:noProof/>
          <w:sz w:val="24"/>
        </w:rPr>
        <w:t xml:space="preserve"> attiecas uz notikumiem, kas saistīti ar iespējamām grūtībām, ar kurām nākas saskarties būvniecības laikā, un ar iesaistīto aktīvu stāvokli brīdī, kad sākas pakalpojumu sniegšana. Praksē tas ir saistīts, piemēram, ar tādiem notikumiem, kā novēlota piegāde, noteikto standartu neievērošana, būtiskas papildu izmaksas, juridiskie un vides jautājumi, tehniski trūkumi un ārēja nelabvēlīga ietekme (tostarp vides riski), par ko ir jāmaksā kompensācijas trešām personām.</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u w:val="single" w:color="000000"/>
        </w:rPr>
        <w:t>“Pieejamības risks”</w:t>
      </w:r>
      <w:r>
        <w:t xml:space="preserve"> </w:t>
      </w:r>
      <w:r>
        <w:rPr>
          <w:rFonts w:ascii="Times New Roman" w:hAnsi="Times New Roman"/>
          <w:noProof/>
          <w:sz w:val="24"/>
        </w:rPr>
        <w:t>attiecas uz gadījumiem, kad partnerim aktīva izmantošanas laikā ir jāuzņemas atbildība par kļūdainu pārvaldību (“slikti darbības rezultāti”), kā rezultātā pakalpojumu apjoms kļūst mazāks par līgumā paredzēto vai pakalpojumi neatbilst līgumā noteiktajiem kvalitātes standartiem.</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u w:val="single" w:color="000000"/>
        </w:rPr>
        <w:t>“Pieprasījuma risks”</w:t>
      </w:r>
      <w:r>
        <w:t xml:space="preserve"> </w:t>
      </w:r>
      <w:r>
        <w:rPr>
          <w:rFonts w:ascii="Times New Roman" w:hAnsi="Times New Roman"/>
          <w:noProof/>
          <w:sz w:val="24"/>
        </w:rPr>
        <w:t>attiecas uz pieprasījuma mainīgumu (lielāks vai mazāks, nekā paredzēts līguma parakstīšanas brīdī) neatkarīgi no privātā partnera darbības rezultātiem. Citiem vārdiem sakot, pieprasījuma maiņu nevar tieši vai pilnībā saistīt ar partnera nodrošināto pakalpojumu nepietiekamu kvalitāti, lai arī kvantitatīvi un kvalitatīvi trūkumi šajā jautājumā, visticamāk, ietekmē pakalpojuma efektīvu izmantošanu un dažkārt var nozīmēt izslēgšanu. Tā vietā piedāvājuma risks var rasties arī citu faktoru dēļ, piemēram, ekonomiskā cikla, jaunu tirgus tendenču, galalietotāju vēlmju maiņas vai tehnoloģijas novecošanas dēļ. Tas ir jāskata kā daļa no parastā “saimnieciskā riska”, kuru tirgus ekonomikā uzņemas privātie uzņēmumi.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lastRenderedPageBreak/>
        <w:t>Parasti pieprasījuma risks nav attiecināms uz līgumiem, kuros galalietotājam nav dota izvēles brīvība attiecībā uz pakalpojumu, kurš saistīts ar attiecīgo aktīvu un kuru tam sniedz partneris (tādējādi tiek izslēgti “sekundārie” pakalpojumi, kurus var pieskaitīt pie “trešo pušu” ieņēmumu kategorijas). Piemēram, piedāvājuma risku nepiemēro tādiem aktīviem kā cietumi. Noteiktos apstākļos tas varētu attiekties arī uz slimnīcām vai skolām un dažos gadījumos uz sporta un kultūras infrastruktūras aktīviem. Piedāvājuma risku nepiemērošana varētu pastiprināt to, ka šādos gadījumos neapšaubāmi jānodod būvniecības un pieejamības riski.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daži līgumi varētu būt noformēti tā, ka valdības maksājumi ir galvenokārt saistīti ar aktīvu faktisko izmantošanu (apjoma rādītāji) neatkarīgi no galapatērētāju pašu iniciatīvas un neatkarīgi no tā, ka izmantošanas apjoms bieži vien ir cieši saistīts ar partnera darbības rezultātiem aktīva pieejamības un kvalitātes jomā.</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szCs w:val="14"/>
        </w:rPr>
      </w:pPr>
      <w:r>
        <w:rPr>
          <w:rFonts w:ascii="Times New Roman" w:hAnsi="Times New Roman"/>
          <w:noProof/>
          <w:sz w:val="24"/>
        </w:rPr>
        <w:t>Dažos līgumos regulārie (vienotie) maksājumi, kas saistīti ar aktīvu pieejamību, var būt apvienoti ar citiem regulārajiem (vienotajiem) maksājumiem, kas saistīti ar aktīvu faktisko izmantošanu (pieprasījums), nodrošinot iespēju identificēt abus maksājumus. Partneris šajā gadījumā var uzņemties vairākus riskus. Ja neviens no atsevišķajiem maksājumu veidiem nepārsniedz divas trešdaļas no valdības vienoto maksājumu kopsummas, atsevišķi jānovērtē pieejamības riski un pieprasījuma riski; tie ir jānodod kopā (papildus būvniecības risku nodošanai, kas pats par sevi ir obligāts nosacījums), lai aktīvu klasificētu ārpus valdības bilances. Ja tiek konstatēts, ka viena veida maksājums veido lielāko daļu, kas pārsniedz divas trešdaļas no kopsummas, analīzē prioritāte jāpiešķir atbilstošajam riskam. Tomēr nedrīkst atstāt bez ievērības arī otru valdības maksājumu komponentu, un jāpārbauda, ciktāl tas var mazināt dominējošā riska ietekmi uz partnera ienākumiem/peļņu.</w:t>
      </w:r>
      <w:r>
        <w:rPr>
          <w:rStyle w:val="FootnoteReference"/>
          <w:rFonts w:ascii="Times New Roman" w:hAnsi="Times New Roman"/>
          <w:noProof/>
          <w:sz w:val="24"/>
        </w:rPr>
        <w:footnoteReference w:id="226"/>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Jebkurā gadījumā katras puses risku analīzē jānovērtē, kura puse uzņemas lielāko risku katrā no atšķirīgajām kategorijām iepriekš minētajos apstākļos, ņemot vērā arī citas līgumu iezīmes, kas norādītas turpmāk.</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szCs w:val="14"/>
        </w:rPr>
      </w:pPr>
      <w:r>
        <w:rPr>
          <w:rFonts w:ascii="Times New Roman" w:hAnsi="Times New Roman"/>
          <w:noProof/>
          <w:sz w:val="24"/>
        </w:rPr>
        <w:t>Tomēr šādā novērtējumā netiek ņemti vērā riski, kuri nav cieši saistīti ar attiecīgajiem aktīviem un kurus var nošķirt no galvenā līguma, piemēram, ja daļu no līguma periodiski pārskata, kā arī ja ir paredzēti maksājumi sliktu darbības rezultātu dēļ vai līgumsodi, kas nav īpaši atkarīgi no galveno aktīvu faktiskā stāvokļa vai pakalpojuma kvalitātes.</w:t>
      </w:r>
      <w:r>
        <w:rPr>
          <w:rStyle w:val="FootnoteReference"/>
          <w:rFonts w:ascii="Times New Roman" w:hAnsi="Times New Roman"/>
          <w:noProof/>
          <w:sz w:val="24"/>
        </w:rPr>
        <w:footnoteReference w:id="227"/>
      </w:r>
    </w:p>
    <w:p w:rsidR="00506AA9"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Šādā PPP ie</w:t>
      </w:r>
      <w:r w:rsidR="00EC08AA">
        <w:rPr>
          <w:rFonts w:ascii="Times New Roman" w:hAnsi="Times New Roman"/>
          <w:noProof/>
          <w:sz w:val="24"/>
        </w:rPr>
        <w:t>saistītie aktīvi būtu jāieraksta</w:t>
      </w:r>
      <w:r>
        <w:rPr>
          <w:rFonts w:ascii="Times New Roman" w:hAnsi="Times New Roman"/>
          <w:noProof/>
          <w:sz w:val="24"/>
        </w:rPr>
        <w:t xml:space="preserve"> partnera bilancē, un līdz ar tie</w:t>
      </w:r>
      <w:r w:rsidR="00EC08AA">
        <w:rPr>
          <w:rFonts w:ascii="Times New Roman" w:hAnsi="Times New Roman"/>
          <w:noProof/>
          <w:sz w:val="24"/>
        </w:rPr>
        <w:t>m būtu ierakstāmi</w:t>
      </w:r>
      <w:r>
        <w:rPr>
          <w:rFonts w:ascii="Times New Roman" w:hAnsi="Times New Roman"/>
          <w:noProof/>
          <w:sz w:val="24"/>
        </w:rPr>
        <w:t xml:space="preserve"> valdības “ārpusbilancē” tikai gadījumā, ja ir izpildīti abi šādi nosacījumi:</w:t>
      </w:r>
    </w:p>
    <w:p w:rsidR="00506AA9" w:rsidRPr="001973D0" w:rsidRDefault="00506AA9" w:rsidP="00506AA9">
      <w:pPr>
        <w:pStyle w:val="BodyText"/>
        <w:tabs>
          <w:tab w:val="left" w:pos="1062"/>
        </w:tabs>
        <w:spacing w:before="0"/>
        <w:ind w:left="0" w:firstLine="0"/>
        <w:rPr>
          <w:rFonts w:ascii="Times New Roman" w:hAnsi="Times New Roman"/>
          <w:noProof/>
          <w:sz w:val="24"/>
        </w:rPr>
      </w:pPr>
    </w:p>
    <w:p w:rsidR="00506AA9" w:rsidRPr="001973D0"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partneris uzņemas būvniecības risku; un</w:t>
      </w:r>
    </w:p>
    <w:p w:rsidR="00506AA9"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partneris atbilstoši līgumā noteiktajam uzņemas vismaz vienu no šādiem riskiem: pieejamības risku vai pieprasījuma risku.</w:t>
      </w:r>
    </w:p>
    <w:p w:rsidR="00506AA9" w:rsidRPr="001973D0" w:rsidRDefault="00506AA9" w:rsidP="00506AA9">
      <w:pPr>
        <w:pStyle w:val="BodyText"/>
        <w:tabs>
          <w:tab w:val="left" w:pos="1422"/>
        </w:tabs>
        <w:spacing w:before="0"/>
        <w:ind w:left="0" w:firstLine="0"/>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Tāpēc, ja būvniecības risku uzņemas valdība vai ja partneris uzņemas tikai būvniecības risku un nekādu</w:t>
      </w:r>
      <w:r w:rsidR="00EC08AA">
        <w:rPr>
          <w:rFonts w:ascii="Times New Roman" w:hAnsi="Times New Roman"/>
          <w:noProof/>
          <w:sz w:val="24"/>
        </w:rPr>
        <w:t>s citus riskus, aktīvus ieraksta</w:t>
      </w:r>
      <w:r>
        <w:rPr>
          <w:rFonts w:ascii="Times New Roman" w:hAnsi="Times New Roman"/>
          <w:noProof/>
          <w:sz w:val="24"/>
        </w:rPr>
        <w:t xml:space="preserve"> valdības bilancē.</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Svarīgs kritērijs, kas jāņem vērā, ir valdības iespēja piemērot līgumsodus gadījumos, kad partneris nepilda savas pakalpojumu saistības. Līgumsodu piemērošanai jānotiek automātiski (t. i., tai jābūt skaidri noteiktai līgumā un tā nedrīkst būt apspriežama vai atkarīga no valdības lēmuma, vai to piemērot vai nepiemērot), un tai būtiski jāietekmē arī partnera ieņēmumi/peļņa, līdz ar to līgumsods nedrīkst būt simbolisks. Ja aktīvs </w:t>
      </w:r>
      <w:r>
        <w:rPr>
          <w:rFonts w:ascii="Times New Roman" w:hAnsi="Times New Roman"/>
          <w:noProof/>
          <w:sz w:val="24"/>
        </w:rPr>
        <w:lastRenderedPageBreak/>
        <w:t>nozīmīgu ilgu laikposmu nav pieejams, paredzams, ka valdības maksājumi, kā noteikts līguma formulā, par šādu periodu nokritīsies līdz nullei saskaņā ar pamatprincipu “nulles pieejamība – nulles maksājums”.</w:t>
      </w: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Tomēr jāatzīmē, ka var būt arī kādi vienreizēji maksājumi (piemēram, konkrēti naudas sodi par kādiem notikumiem, aktīva nepietiekamu kvalitāti, informācijas trūkumu vai dokumentācijas nepietiekamu nodrošināšanu, sliktiem darbības rezultātiem utt.), kas jāveic partnerim jebkurā gadījumā citu apstākļu dēļ neatkarīgi no tā, vai tiek piemērota sodu sistēma saistībā ar iepriekš minētā aktīva nepieejamību. Tādējādi var rasties partnera neto maksājumi valdībai, kas būtībā nevar nonākt atpakaļ līdz nullei. Turpretim gadījumā, ja partneris spēj pildīt savas saistības saskaņā ar līguma noteikumiem labāk, nekā tas tika paredzēts (augstāka produktivitāte, zemākas ievades izmaksas, labāki finanšu nosacījumi u. c.), viņam jāatļauj paturēt sev visu to gūto peļņu, kas pārsniedz gaidāmo.</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Turklāt jebkuri citi mehānismi, ar kuriem valdība varētu atkārtoti uzņemties lielāko projekta risku daļu (piemēram, izbeigšanas klauzulas, valdība nodrošina lielāko finansējuma daļu vai sniedz garantijas (sk. turpmāk VI.4.3.3.–VI.4.3.5. iedaļu), nos</w:t>
      </w:r>
      <w:r w:rsidR="00EC08AA">
        <w:rPr>
          <w:rFonts w:ascii="Times New Roman" w:hAnsi="Times New Roman"/>
          <w:noProof/>
          <w:sz w:val="24"/>
        </w:rPr>
        <w:t>aka, ka aktīvs būtu ierakstāms</w:t>
      </w:r>
      <w:r>
        <w:rPr>
          <w:rFonts w:ascii="Times New Roman" w:hAnsi="Times New Roman"/>
          <w:noProof/>
          <w:sz w:val="24"/>
        </w:rPr>
        <w:t xml:space="preserve"> valdības bilancē neatkarīgi no iepriekš minēto risku analīzes. Citiem vārdiem sakot, aktīvs tiks klasificēts kā valdības aktīvs, ja netiek ievērots kāds no turpmākajiem noteikumiem attiecībā uz garantijām, finansējumu vai pirmstermiņa izbeigšanu.</w:t>
      </w:r>
      <w:r>
        <w:rPr>
          <w:rStyle w:val="FootnoteReference"/>
          <w:rFonts w:ascii="Times New Roman" w:hAnsi="Times New Roman"/>
          <w:noProof/>
          <w:sz w:val="24"/>
        </w:rPr>
        <w:footnoteReference w:id="228"/>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Saistībā ar atlīdzībām, kas tiek gūtas no attiecīgā projekta, ja PPP līgumā paredzēts, ka gadījumā, ja partnerim sasniedzot noteiktu rentabilitātes līmeni, lai arī kādā izteiksmē tas būtu notei</w:t>
      </w:r>
      <w:r w:rsidR="00E0064A">
        <w:rPr>
          <w:rFonts w:ascii="Times New Roman" w:hAnsi="Times New Roman"/>
          <w:noProof/>
          <w:sz w:val="24"/>
        </w:rPr>
        <w:t>kts (naudas izteiksmē, kā atdeves</w:t>
      </w:r>
      <w:r>
        <w:rPr>
          <w:rFonts w:ascii="Times New Roman" w:hAnsi="Times New Roman"/>
          <w:noProof/>
          <w:sz w:val="24"/>
        </w:rPr>
        <w:t xml:space="preserve"> attiecība pret pašu kapitālu utt.), valdības vienība būtu tiesīga saņemt jebkādu peļņas daļu, PPP aktīvi ir uzskatāmi par valdības aktīviem neatkarīgi no tā, vai ir precīzi noteikta peļņa, ko ietur valdība, un tās apjoms. Jebkurā gadījumā tas, ka vienība saņem atlīdzības no aktīva, ir rādītājs, ka aktīvs ir jāklasificē tās bilancē. Tomēr, ja valdībai PPP partnerībā ir mazākuma akcijas, tā joprojām varētu būt netieši tiesīga uz tās parasto peļņas daļu, kas varētu tikt sadalīta partnerim, t. i., saskaņā ar tādiem pašiem nosacījumiem, kādi ir pārējiem akciju turētājiem, maksājuma vai dividenžu veidā. Tomēr jāatzīmē, ka valdība var būt tiesīga saņemt visu iepriekš neparedzēto papildu peļņu, ko guvis partneris, vai tās daļu, ja ir apliecinājums, ka tā veidojusies valdības apzinātas darbības vai lēmumu rezultātā, kuri ietekmējuši konkrētā aktīva izmantošanu un/vai tā pieejamības izmaksas, piemēram, ja nepārprotama valdības lēmuma/politikas utt. rezultātā ir palielinājušās piedāvājuma maksas. Tas tomēr neietver vispārējos pasākumus, ko veic valdība un kas būtiski ietekmē ekonomiku.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561"/>
        </w:tabs>
        <w:jc w:val="both"/>
        <w:rPr>
          <w:rFonts w:ascii="Times New Roman" w:hAnsi="Times New Roman"/>
          <w:noProof/>
          <w:sz w:val="24"/>
        </w:rPr>
      </w:pPr>
      <w:bookmarkStart w:id="471" w:name="VI.4.3.3_Government_financing"/>
      <w:bookmarkEnd w:id="471"/>
      <w:r>
        <w:rPr>
          <w:rFonts w:ascii="Times New Roman" w:hAnsi="Times New Roman"/>
          <w:noProof/>
          <w:sz w:val="24"/>
        </w:rPr>
        <w:t>VI.4.3.3. Valdības finansējums</w:t>
      </w:r>
    </w:p>
    <w:p w:rsidR="00506AA9" w:rsidRPr="001973D0" w:rsidRDefault="00506AA9" w:rsidP="00506AA9">
      <w:pPr>
        <w:pStyle w:val="Heading6"/>
        <w:tabs>
          <w:tab w:val="left" w:pos="1561"/>
        </w:tabs>
        <w:jc w:val="both"/>
        <w:rPr>
          <w:rFonts w:ascii="Times New Roman" w:hAnsi="Times New Roman"/>
          <w:noProof/>
          <w:sz w:val="24"/>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Ir iespējams, ka svarīgs mērķis valdības ilgtermiņa partnerībai ar valdības sektoram nepiederošām vienībām ir kapitāla izdevumu un saistītā finansējuma uzskaites sadalīšana ilgā laika posmā.</w:t>
      </w:r>
    </w:p>
    <w:p w:rsidR="00506AA9" w:rsidRPr="00B854EF"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Šādos apstākļos valdība pati piedalās partnera finansēšanā. Partneris bieži vien nevar aizņemties naudas līdzekļus ar tādu pašu procentu likmi kā valdība, tādējādi palielinot projekta izmaksas. Tāpēc valdība var piedāvāt partnerim konkrētu daļu no PPP projektam vajadzīgā finansējuma, lai piesaistītu lielāku privātā sektora subjektu interesi </w:t>
      </w:r>
      <w:r>
        <w:rPr>
          <w:rFonts w:ascii="Times New Roman" w:hAnsi="Times New Roman"/>
          <w:noProof/>
          <w:sz w:val="24"/>
        </w:rPr>
        <w:lastRenderedPageBreak/>
        <w:t>par projektu un samazinātu finansēšanas kopējās izmaksas un/vai vienkārši nodrošinātu projekta dzīvotspēju.</w:t>
      </w:r>
      <w:r>
        <w:rPr>
          <w:rStyle w:val="FootnoteReference"/>
          <w:rFonts w:ascii="Times New Roman" w:hAnsi="Times New Roman"/>
          <w:noProof/>
          <w:sz w:val="24"/>
        </w:rPr>
        <w:footnoteReference w:id="229"/>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Ja valdība finansē kapitāla izdevumu lielāko daļu (dažādos veidos, kas jāizvērtē visi kopā, piemēram, ar ieguldījumu dotācijām, aizdevumiem, garantijām, pašu kapitālu partnera sabiedrībā utt.), uzskatāms, ka valdība uzņemas lielāko daļu risku, un aktīvs ir jāklasificē valdības bilancē. Ja šī situācija ir paredzēta sākotnējā līgumā, v</w:t>
      </w:r>
      <w:r w:rsidR="00EC08AA">
        <w:rPr>
          <w:rFonts w:ascii="Times New Roman" w:hAnsi="Times New Roman"/>
          <w:noProof/>
          <w:sz w:val="24"/>
        </w:rPr>
        <w:t>isus kapitāla izdevumus ieraksta</w:t>
      </w:r>
      <w:r>
        <w:rPr>
          <w:rFonts w:ascii="Times New Roman" w:hAnsi="Times New Roman"/>
          <w:noProof/>
          <w:sz w:val="24"/>
        </w:rPr>
        <w:t xml:space="preserve"> ka valdības bruto ieguldījumus pamatkapitālā. Valdība var sniegt finansējumu arī dažādos laikos. Tas var notikt sākumā, lai segtu būvniecības posmu, un var arī būt būvniecības posma beigās, kad ir uzkrājies parāds par būvniecības posmu (ko finansējis partneris no saviem līdzekļiem un/vai izmantojot banku īstermiņa mehānismus), ko varētu būt nepieciešams “konsolidēt” ilgākā termiņā. Var gadīties, ka valdība būtisku summu maksā būvniecības posma beigās, kas ir uzskatāma par ieguldījumu dotāciju (un nevis par priekšapmaksu nākotnes vienotajiem pieejamības vai piedāvājuma maksājumiem), un, kā jau tika iepriekš minēts, tas ir jāņem vērā, novērtējot valdības daļu kopējā finansējumā. Turklāt, ja valdības sniegtais finansējums vispirms ir neliela daļa no kopējā nepieciešamā finansējuma (tādējādi aktīvi </w:t>
      </w:r>
      <w:r>
        <w:rPr>
          <w:rFonts w:ascii="Times New Roman" w:hAnsi="Times New Roman"/>
          <w:i/>
          <w:noProof/>
          <w:sz w:val="24"/>
        </w:rPr>
        <w:t>ceteris paribus</w:t>
      </w:r>
      <w:r>
        <w:rPr>
          <w:rFonts w:ascii="Times New Roman" w:hAnsi="Times New Roman"/>
          <w:noProof/>
          <w:sz w:val="24"/>
        </w:rPr>
        <w:t xml:space="preserve"> tiek klasificēti partnera bilancē), taču vēlāk būvniecības gaitā dažādu iemeslu dēļ finansējums kļūst par dominējošu, tajā brīdī, kad tas notiek, tas rada pamatu aktīva pārklasificēšanai valdības bilancē.</w:t>
      </w: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Tas varētu attiekties tikai uz gadījumiem, kad finansējumu sniedz nacionālās valdības vienības, tāpēc netiek iekļauts finansējums, ko sniedz starptautiski subjekti saskaņā ar starpvaldību nolīgumiem, piemēram, ES fondu (ESIF, Kohēzijas fonda) finansējums, kas tiek piešķirts valdības sektorā neietilpstošām vienībām. Šajā saistībā ir jāatzīmē, ka, piemēram, ja ES finansē 30 % dotāciju veidā, privātais partneris finansē 36 % un valdība attiecīgi 34 % (no kopapjoma), būtu jāuzskata, ka PPP projekta vairākumu finansē privātais sektors, jo tā finansējums būtu 36/70=51,4 % no kopapjoma. Novērtējot valdības un partnera ieguldījumu kapitāla izmaksu finansēšanā, nav jāiekļauj ES dotācijas, kas samazina nepieciešamību finansēt izdevumus iekšzemes līmenī, iespējams, ar valdības l</w:t>
      </w:r>
      <w:r w:rsidR="00EE6A0A">
        <w:rPr>
          <w:rFonts w:ascii="Times New Roman" w:hAnsi="Times New Roman"/>
          <w:noProof/>
          <w:sz w:val="24"/>
        </w:rPr>
        <w:t>īdzdalību. Aktīvus var ierakstīt</w:t>
      </w:r>
      <w:r>
        <w:rPr>
          <w:rFonts w:ascii="Times New Roman" w:hAnsi="Times New Roman"/>
          <w:noProof/>
          <w:sz w:val="24"/>
        </w:rPr>
        <w:t xml:space="preserve"> kā valdības aktīvus, pat ja valdība nesedz vairāk par 50 % no kapitāla izdevumiem; tas ir atkarīgs no ES dotāciju īpatsvara. Faktiski tas vienkārši ir atkarīgs no tā, vai valdības finansējuma daļa būs lielāka vai mazāka par privātā sektora sniegtā finansējuma daļu.</w:t>
      </w:r>
      <w:r>
        <w:rPr>
          <w:rStyle w:val="FootnoteReference"/>
          <w:rFonts w:ascii="Times New Roman" w:hAnsi="Times New Roman"/>
          <w:noProof/>
          <w:sz w:val="24"/>
        </w:rPr>
        <w:footnoteReference w:id="230"/>
      </w:r>
      <w:r>
        <w:rPr>
          <w:rFonts w:ascii="Times New Roman" w:hAnsi="Times New Roman"/>
          <w:noProof/>
          <w:sz w:val="24"/>
        </w:rPr>
        <w:t xml:space="preserve"> Valdības un partnera risku līdzsvara analīzē un novērtējumā</w:t>
      </w:r>
      <w:r>
        <w:rPr>
          <w:rStyle w:val="FootnoteReference"/>
          <w:rFonts w:ascii="Times New Roman" w:hAnsi="Times New Roman"/>
          <w:noProof/>
          <w:sz w:val="24"/>
        </w:rPr>
        <w:footnoteReference w:id="231"/>
      </w:r>
      <w:r>
        <w:rPr>
          <w:rFonts w:ascii="Times New Roman" w:hAnsi="Times New Roman"/>
          <w:noProof/>
          <w:sz w:val="24"/>
        </w:rPr>
        <w:t xml:space="preserve"> nevajadzētu iekļaut dotāciju veidā piešķirto ārējo ES finansējumu</w:t>
      </w:r>
      <w:r>
        <w:rPr>
          <w:rStyle w:val="FootnoteReference"/>
          <w:rFonts w:ascii="Times New Roman" w:hAnsi="Times New Roman"/>
          <w:noProof/>
          <w:sz w:val="24"/>
        </w:rPr>
        <w:footnoteReference w:id="232"/>
      </w:r>
      <w:r>
        <w:rPr>
          <w:rFonts w:ascii="Times New Roman" w:hAnsi="Times New Roman"/>
          <w:noProof/>
          <w:sz w:val="24"/>
        </w:rPr>
        <w:t>. Tomēr ir jānovērtē, vai valdība uzņemas vairāk risku nekā partneris, vai arī otrādi.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Ja valdība piedalās PPP projekta finansēšanā ar mazāk nekā 50 % no kopapjoma, kā minēts iepriekš, būtu svarīgi pārbaudīt, kāda veida parādu uzņemas partneris attiecībā uz valdību (kas varētu arī nebūt tā pati vienība, kas iesaistīta līgumā). Tas ir tāpēc, ka </w:t>
      </w:r>
      <w:r>
        <w:rPr>
          <w:rFonts w:ascii="Times New Roman" w:hAnsi="Times New Roman"/>
          <w:noProof/>
          <w:sz w:val="24"/>
        </w:rPr>
        <w:lastRenderedPageBreak/>
        <w:t>finanšu instrumentos var tikt iekļauti dažādas pakāpes riski tādā ziņā, ka debitora saistību nepildīšana tiktu attiecināta uz kreditoriem noteiktā prioritāšu secībā. Šajā saistībā, lai īstenotu šo noteikumu, parāds ir jāpadara pēc būtības viendabīgs. Šajā saistībā tomēr nav iespējams izmantot dažus parastos finanšu analīzes rīkus, ar kuriem nosaka, piemēram, “saistību neizpildes iespējamību” vai “saistību nepildīšanas zaudējumu” utt., jo tam būtu nepieciešami ievērojams piemēru daudzums. Tāpēc izmanto vienkāršu metodi, pieņemot reizinātāju, kas ir vienāds ar 2,5</w:t>
      </w:r>
      <w:r>
        <w:rPr>
          <w:rStyle w:val="FootnoteReference"/>
          <w:rFonts w:ascii="Times New Roman" w:hAnsi="Times New Roman"/>
          <w:noProof/>
          <w:sz w:val="24"/>
        </w:rPr>
        <w:footnoteReference w:id="233"/>
      </w:r>
      <w:r>
        <w:rPr>
          <w:rFonts w:ascii="Times New Roman" w:hAnsi="Times New Roman"/>
          <w:noProof/>
          <w:sz w:val="24"/>
        </w:rPr>
        <w:t>, ja valdība tur augstāka riska instrumentu (pakārtoto vai subordinēto parādu) nekā citi kreditori.</w:t>
      </w:r>
      <w:r>
        <w:rPr>
          <w:rStyle w:val="FootnoteReference"/>
          <w:rFonts w:ascii="Times New Roman" w:hAnsi="Times New Roman"/>
          <w:noProof/>
          <w:sz w:val="24"/>
        </w:rPr>
        <w:footnoteReference w:id="234"/>
      </w:r>
      <w:r>
        <w:rPr>
          <w:rFonts w:ascii="Times New Roman" w:hAnsi="Times New Roman"/>
          <w:noProof/>
          <w:sz w:val="24"/>
        </w:rPr>
        <w:t xml:space="preserve"> Sarežģītākos gadījumos (piemēram, ja ir dažādu instrumentu klašu kopums un vairāki zaudējumu seguma līmeņi) tomēr būtu nepieciešams veikt īpašu analīzi.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līgumos valdība var cieši apņemties nodrošināt visu partnera finansējumu vai tā daļu gadījumā, ja partneris nav tādā stāvoklī, lai iegūtu finanšu resursus, kad tie ir nepieciešami.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Piemēram, izņēmuma gadījumos sākumā parakstītais finanšu nolīgums nesedz visu līguma darbības termiņu (piemēram, ilgtermiņa sindicētā bankas aizdevuma gadījumā) vai būvniecības posma beigās rodas kādas problēmas. Pēdējo minēto gadījumu parasti finansē, izmantojot īstermiņa mehānismus (izstrādāti darba gaitā), kas “konsolidēti” pēc darba pabeigšanas (un kad darbu ir apstiprinājis darījuma partneris), izmantojot ilgtermiņa finansēšanas līdzekļus (tostarp emitētos ilgtermiņa vērtspapīrus). Tas varētu notikt, piemēram, ja kādām bankām vai riska parakstītājiem nav stingra pienākuma nodrošināt šo konsolidāciju un viņi dažādu iemeslu dēļ varētu izlemt nepiedalīties. Šādā gadījumā, ja valdība ir apņēmusies finansēt vairāk nekā 50 % no kapitāla izdevumiem, aktīvus klasificē kā valdības aktīvus PPP līguma darbības sākumā (pakā</w:t>
      </w:r>
      <w:r w:rsidR="00EE6A0A">
        <w:rPr>
          <w:rFonts w:ascii="Times New Roman" w:hAnsi="Times New Roman"/>
          <w:noProof/>
          <w:sz w:val="24"/>
        </w:rPr>
        <w:t>peniski ierakstot</w:t>
      </w:r>
      <w:r>
        <w:rPr>
          <w:rFonts w:ascii="Times New Roman" w:hAnsi="Times New Roman"/>
          <w:noProof/>
          <w:sz w:val="24"/>
        </w:rPr>
        <w:t xml:space="preserve"> bruto pamatkapitāla veidošanu pēc darbu pabeigšanas), jo PPP novērtējums ir jāveic attiecībā uz partnera vispārējo finanšu risku gan būvniecības, gan ekspluatācijas posmā, t. i., visā līguma darbības termiņa laikā, nevis tikai tā parakstīšanas brīdī. Šādas gadījuma saistības, ko uzņemas valsts, varētu būtiski mazināt partnera risku.</w:t>
      </w:r>
    </w:p>
    <w:p w:rsidR="00506AA9" w:rsidRPr="00B854EF"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Cits gadījums varētu būt, ja ilgtermiņa finansējums dažādu iemeslu dēļ (tirgus apstākļi finansēšanas nolīguma brīdī, izvairīšanās no riskiem, neskaidrība par pasākuma dzīvotspēju utt.) nesedz PPP līgumu līdz tā galīgajam termiņam un varētu būt neskaidrība par partnera spēju iegūt visus nepieciešamos finanšu resursus, kā arī neskaidrība par to izmaksām. Aktīvus pārklasificē par valdības aktīviem brīdī, kad valdība faktiski refinansē parādu, ja tās saistības pārsniedz 50 % no aktīva gaidāmās vērtības refinansēšanas brīdī, pamatojoties uz līguma noteikumiem, kas attiecas uz kapitāla izdevumiem (dažos gadījumos realizētie izdevumi varētu tomēr būt lielāki). Tomēr abos iepriekš minētajos gadījumos, ja valdība nodrošina (re)finansēšanu saistībā ar tirgus traucējumiem (tas varētu būt, piemēram, brīdī, kad parakstīts finanšu nolīgums), piemēram, saistībā ar kredītresursu trūkumu vai neaktīviem finanšu tirgiem, ko varētu uzskatīt par nepārvaramas varas apstākļiem, valdības iejaukšanās dēļ aktīvs nebūtu jāpārklasificē ar nosacījumu, ka valdības finansējums sedz tikai ļoti mazu daļu no līguma atlikušā darbības termiņa un tiek paredzēta valdības izstāšanās, tiklīdz tirgus apstākļi atkal ir salīdzinoši “normāli”.</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Visbeidzot, refinansēšana varētu tikt īstenota vai nu tāpēc, ka ir pienācis finanšu instrumenta maksājuma termiņš pirms PPP līguma darbības termiņā beigām, vai arī, lai izdevīgi izmantotu labvēlīgas tirgus tendences (piemēram, procentu likmes vispārēju </w:t>
      </w:r>
      <w:r>
        <w:rPr>
          <w:rFonts w:ascii="Times New Roman" w:hAnsi="Times New Roman"/>
          <w:noProof/>
          <w:sz w:val="24"/>
        </w:rPr>
        <w:lastRenderedPageBreak/>
        <w:t>samazināšanos), vai tāpēc, ka tirgū tiek labāk novērtēts partnera risks</w:t>
      </w:r>
      <w:r>
        <w:rPr>
          <w:rStyle w:val="FootnoteReference"/>
          <w:rFonts w:ascii="Times New Roman" w:hAnsi="Times New Roman"/>
          <w:noProof/>
          <w:sz w:val="24"/>
        </w:rPr>
        <w:footnoteReference w:id="235"/>
      </w:r>
      <w:r>
        <w:rPr>
          <w:rFonts w:ascii="Times New Roman" w:hAnsi="Times New Roman"/>
          <w:noProof/>
          <w:sz w:val="24"/>
        </w:rPr>
        <w:t>. Aktīvus jau no paša sākuma uzskata par valdības aktīviem, ja līgumā ir noteikts, ka valdība ir tiesīga saņemt konkrētu daļu no iespējamā refinansēšanas guvuma. Taču izņēmumus ir gadījumā, ja tiek gūts apliecinājums, ka partnera riska labāku novērtējumu ir radījusi valdības konkrēta rīcība (piemēram, aktīvu mazākas izmantošanas dēļ vai tāpēc, ka valdības dēļ ir radīti labvēlīgāki nosacījumi aktīvu izmantošanai utt.), kuras rezultātā ir pieaugusi partnera rentabilitāte. Šādā gadījumā refinansēšanas guvumu varētu piešķirt valdībai. Dažkārt ir visai grūti nodalīt refinansēšanas guvuma dominējošo cēloni, kas praksē varētu būt vairāku tādu faktoru mijiedarbības rezultāts, kurus ir grūti precīzi izsvērt. Šādos gadījumos, ja valdība bija tiesīga paturēt ne vairāk kā vienu trešdaļu guvuma, aktīvi nav klasificējami valdības bilancē PPP līguma darbības sākumā. Šī attiecība ir pamatojama ar to, ka papildus atlīdzībām, kas tieši saistītas ar partnera vai valdības konkrētajām darbībām, vēl ir jāizvērtē arī tas, ka riski un atlīdzības, kas izriet no makroekonomiskās vides, ir jāuzņemas aktīva ekonomiskajam īpašniekam precīzi tāpat, kā tas ir nepārvaramas varas notikumu gadījumā vai citos līdzīgos gadījumos. Valdība varētu arī saņemt daļu peļņas nodokļu veidā, taču tikai saskaņā ar parastajiem nodokļu piemērošanas noteikumiem, nevis īpašu nodokļu veidā, kas iekasēti saistībā ar konkrēto PPP gadījumu.</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521"/>
        </w:tabs>
        <w:jc w:val="both"/>
        <w:rPr>
          <w:rFonts w:ascii="Times New Roman" w:hAnsi="Times New Roman"/>
          <w:noProof/>
          <w:sz w:val="24"/>
        </w:rPr>
      </w:pPr>
      <w:bookmarkStart w:id="472" w:name="VI.4.3.4_Government_guarantees"/>
      <w:bookmarkEnd w:id="472"/>
      <w:r>
        <w:rPr>
          <w:rFonts w:ascii="Times New Roman" w:hAnsi="Times New Roman"/>
          <w:noProof/>
          <w:sz w:val="24"/>
        </w:rPr>
        <w:t>VI.4.3.4. Valdības garantijas</w:t>
      </w:r>
    </w:p>
    <w:p w:rsidR="00506AA9" w:rsidRPr="001973D0" w:rsidRDefault="00506AA9" w:rsidP="00506AA9">
      <w:pPr>
        <w:pStyle w:val="Heading6"/>
        <w:tabs>
          <w:tab w:val="left" w:pos="1521"/>
        </w:tabs>
        <w:jc w:val="both"/>
        <w:rPr>
          <w:rFonts w:ascii="Times New Roman" w:hAnsi="Times New Roman"/>
          <w:noProof/>
          <w:sz w:val="24"/>
        </w:rPr>
      </w:pPr>
    </w:p>
    <w:p w:rsidR="00506AA9" w:rsidRPr="00B854EF"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Valdība var arī piešķirt tiešu garantiju</w:t>
      </w:r>
      <w:r>
        <w:rPr>
          <w:rStyle w:val="FootnoteReference"/>
          <w:rFonts w:ascii="Times New Roman" w:hAnsi="Times New Roman"/>
          <w:noProof/>
          <w:sz w:val="24"/>
        </w:rPr>
        <w:footnoteReference w:id="236"/>
      </w:r>
      <w:r>
        <w:rPr>
          <w:rFonts w:ascii="Times New Roman" w:hAnsi="Times New Roman"/>
          <w:noProof/>
          <w:sz w:val="24"/>
        </w:rPr>
        <w:t>, kas pilnīgi vai daļēji sedz ar projektu saistīto partnera aizņēmumu, lai arī kādi būtu kreditori (tostarp, iespējams, starptautiskas finanšu organizācijas). Parasti tas palīdz partnerim piesaistīt līdzekļus tirgū ar mazākām izmaksām un uzlabot tā kredītreitingu.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saistībā, ja pastāv</w:t>
      </w:r>
      <w:r w:rsidR="005A7579">
        <w:rPr>
          <w:rFonts w:ascii="Times New Roman" w:hAnsi="Times New Roman"/>
          <w:noProof/>
          <w:sz w:val="24"/>
        </w:rPr>
        <w:t xml:space="preserve"> </w:t>
      </w:r>
      <w:r>
        <w:rPr>
          <w:rFonts w:ascii="Times New Roman" w:hAnsi="Times New Roman"/>
          <w:noProof/>
          <w:sz w:val="24"/>
        </w:rPr>
        <w:t>tiesību normas, kas paredz valdībai nodot visa parāda vai tā daļas apkalpošanu, partnera parāds varētu tikt pārklasificēts par valdības parādu.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ņemot vērā, ka garantijas ietekmē risku sadalījumu starp pusēm, garantijas ir jāizmanto PPP risku analīzē, jo īpaši gadījumā, ja lielākā PPP aktīvu vērtības daļa (tostarp jebkādas atjaunošanas izmaksas) varētu izrietēt no valdības veiktas aktīvu nodošanas.</w:t>
      </w:r>
    </w:p>
    <w:p w:rsidR="00506AA9" w:rsidRPr="001973D0" w:rsidRDefault="00EE6A0A"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PPP aktīvu ierakstīšanu</w:t>
      </w:r>
      <w:r w:rsidR="00506AA9">
        <w:rPr>
          <w:rFonts w:ascii="Times New Roman" w:hAnsi="Times New Roman"/>
          <w:noProof/>
          <w:sz w:val="24"/>
        </w:rPr>
        <w:t xml:space="preserve"> var ietekmēt garantijas tvērums (tostarp gadījumi, kad tā attiecas ne tikai uz konkrētu parāda instrumentu, kas saistīts ar projektu</w:t>
      </w:r>
      <w:r w:rsidR="00506AA9">
        <w:rPr>
          <w:rStyle w:val="FootnoteReference"/>
          <w:rFonts w:ascii="Times New Roman" w:hAnsi="Times New Roman"/>
          <w:noProof/>
          <w:sz w:val="24"/>
        </w:rPr>
        <w:footnoteReference w:id="237"/>
      </w:r>
      <w:r w:rsidR="00506AA9">
        <w:rPr>
          <w:rFonts w:ascii="Times New Roman" w:hAnsi="Times New Roman"/>
          <w:noProof/>
          <w:sz w:val="24"/>
        </w:rPr>
        <w:t>). Tas var nozīmēt, ka valdībai ir jāuzņemas daži no šajā nodaļā iepriekš analizētajiem riskiem.</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PPP gadījumā valdība var piešķirt garantijas partnerim, lai segtu parāda atmaksu, taču tā var a</w:t>
      </w:r>
      <w:r w:rsidR="00E0064A">
        <w:rPr>
          <w:rFonts w:ascii="Times New Roman" w:hAnsi="Times New Roman"/>
          <w:noProof/>
          <w:sz w:val="24"/>
        </w:rPr>
        <w:t>rī nodrošināt konkrētu</w:t>
      </w:r>
      <w:r>
        <w:rPr>
          <w:rFonts w:ascii="Times New Roman" w:hAnsi="Times New Roman"/>
          <w:noProof/>
          <w:sz w:val="24"/>
        </w:rPr>
        <w:t xml:space="preserve"> pašu kapitāla</w:t>
      </w:r>
      <w:r w:rsidR="00E0064A">
        <w:rPr>
          <w:rFonts w:ascii="Times New Roman" w:hAnsi="Times New Roman"/>
          <w:noProof/>
          <w:sz w:val="24"/>
        </w:rPr>
        <w:t xml:space="preserve"> atdevi</w:t>
      </w:r>
      <w:r>
        <w:rPr>
          <w:rFonts w:ascii="Times New Roman" w:hAnsi="Times New Roman"/>
          <w:noProof/>
          <w:sz w:val="24"/>
        </w:rPr>
        <w:t>, lai arī kāds būt partnera darbības rezultāts. Tas varētu norādīt par risku nepietiekamu nodošanu partnerim. Līdzīgi dažos gadījumos, kad “virtuālās ceļa nodevas” izveido atkarībā no tā, kā aktīvu izmanto galalietotāji, valdība varētu nodrošināt minimālos ieņēmumus pieprasījuma garantētā līmeņa veidā neatkarīgi no aktīva faktiskās izmantošanas. To arī varētu uzskatīt par risku nepietiekamu nodošanu.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būvniecības posma sākumā vai tās laikā valdības garantijas sedz lielāko daļu PPP projekta kapitāla i</w:t>
      </w:r>
      <w:r w:rsidR="00EE6A0A">
        <w:rPr>
          <w:rFonts w:ascii="Times New Roman" w:hAnsi="Times New Roman"/>
          <w:noProof/>
          <w:sz w:val="24"/>
        </w:rPr>
        <w:t>zdevumu, aktīvu parasti ieraksta</w:t>
      </w:r>
      <w:r>
        <w:rPr>
          <w:rFonts w:ascii="Times New Roman" w:hAnsi="Times New Roman"/>
          <w:noProof/>
          <w:sz w:val="24"/>
        </w:rPr>
        <w:t xml:space="preserve"> valdības bilancē, izņemot gadījumus, </w:t>
      </w:r>
      <w:r>
        <w:rPr>
          <w:rFonts w:ascii="Times New Roman" w:hAnsi="Times New Roman"/>
          <w:noProof/>
          <w:sz w:val="24"/>
        </w:rPr>
        <w:lastRenderedPageBreak/>
        <w:t>kad garantijas laiks ir ļoti ierobežots un tā piemērojama tikai ļoti stingros tirgus traucējumu apstākļos. Tas pats attiecas uz gadījumiem, kad partnerim jebkuros apstākļos tiek nodrošināta konkrēta vai minimāla peļņas norma.</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Papildus vienkāršajam tiešās parāda garantijas gadījumam riska sadalījuma starp valdību un partneri analīzē būtu jāiekļauj arī tās garantijas, kas dažādos veidos ir piešķirtas kreditoriem vai partnerim, piemēram, apdrošināšanas vai atvasināto finanšu instrumentu veidā, kā arī jebkādus citus nosacījumus ar līdzīgu ietekmi.</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Lai novērtētu riska sadalījumu starp valdību un partneri, attiecībā uz PPP projekta kapitāla izdevumiem lielākās finansējuma daļas tests jāveic kopā ar izsniegto garantiju testu. PPP līgumu gadījumā valdība varētu nodrošināt mazāko kopējo kapitāla izdevumu daļu, taču pēc tam varētu piešķirt garantiju attiecībā uz lielāko atlikušā projekta finansējuma daļu (attiecinot to uz partnera parādsaistībām tieši vai arī netieši, piemēram, garantēdama pieejamības maksājumus). Šādā gadījumā, ja valdības atbalsta kopējā ietekme aptvertu vairāk nekā tikai lielāko daļu kapitāla izdevumu, varētu secināt, ka valdība uzņemas lielāko riska daļu. Turklāt gadījumā, kad PPP finansē galvenokārt no pašu kapitāla, ir jāveic īpaša analīze, lai novērtētu ietekmi uz riska sadalījumu starp valdību un partneri atbilstoši līguma noteikumiem par pašu kapitāla daļu.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Visbeidzot, ja garantija tiek faktiski pieprasīta, varētu mainīties aktīvu ekonomiskās īpašumtiesības un tos var nākties pārklasificēt (par to atlikušo vērtību), kad vien tādā veidā varētu būtiski mainīties riska sadalījums starp pusēm. Tas būtu jādara, piemēram, tad, ja valdība pārņemtu partneri savā kontrolē un/vai turpmāk vairs neveiktu maksājumus, pamatojoties uz aktīvu pieejamību un pieprasījumu, bet galvenokārt pamatojoties uz darbības izmaksām.</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521"/>
        </w:tabs>
        <w:jc w:val="both"/>
        <w:rPr>
          <w:rFonts w:ascii="Times New Roman" w:hAnsi="Times New Roman"/>
          <w:noProof/>
          <w:sz w:val="24"/>
        </w:rPr>
      </w:pPr>
      <w:bookmarkStart w:id="473" w:name="VI.4.3.5_Termination_clauses_and_change_"/>
      <w:bookmarkEnd w:id="473"/>
      <w:r>
        <w:rPr>
          <w:rFonts w:ascii="Times New Roman" w:hAnsi="Times New Roman"/>
          <w:noProof/>
          <w:sz w:val="24"/>
        </w:rPr>
        <w:t>VI.4.3.5. Izbeigšanas klauzulas un pārmaiņas līguma būtībā</w:t>
      </w:r>
    </w:p>
    <w:p w:rsidR="00506AA9" w:rsidRPr="001973D0" w:rsidRDefault="00506AA9" w:rsidP="00506AA9">
      <w:pPr>
        <w:pStyle w:val="Heading6"/>
        <w:tabs>
          <w:tab w:val="left" w:pos="1521"/>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PPP līgumos iekļauj līguma izbeigšanas noteikumus gadījumā, ja valdība vai partneris nevar izpildīt līgumu vai arī kāds no viņiem pastāvīgi nespēj ievērot savas līgumsaistības. Turklāt valdība var izmantot savas ārkārtas suverēnās tiesības. Iespējami dažādi iemesli, kāpēc līgums tiek izbeigts pirms līguma termiņa beigām. Īpaša uzmanība jāpievērš gadījumam, kad izbeigšanas iemesls ir partnera saistību neizpilde (vai partneris neatkarīgi izlemj izstāties no līguma), piemēram, tāpēc, ka partnerim regulāri ir slikti darbības rezultāti vai partneris vairs nespēj sniegt pakalpojumus atbilstīgi noslēgtā līguma nosacījumiem. Tas kopumā ir noteikts dažos līguma nosacījumos un procedūrās. Ja partneris nepilda saistības, aktīvi parasti tiek nodoti valdībai (sk. turpmākos nosacījumus) līguma izbeigšanas brīdī, izņemot gadījumu, kad tie varētu tikt uzreiz nodoti jaunam partnerim. Attiecībā uz jauniem līgumiem šajā saistībā būtu nepieciešama jauna analīze.</w:t>
      </w:r>
    </w:p>
    <w:p w:rsidR="00506AA9"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Izbeigšanas noteikumos parasti būs noteikts, ka valdībai ir jāiegādājas aktīvs un jāpārņem viss partnera parāds, kas saistīts ar PPP, vai tā daļa un jāsamaksā partnerim kompensācija. Tas ir tāpēc, ka PPP aktīvs nereti ir “īpašam mērķim paredzēts aktīvs” ar ierobežotu tālākpārdošanas vērtību tirgū partnerim un valdība parasti vēlas saglabāt galveno ietekmi uz nosacījumiem, saskaņā ar kuriem pakalpojumi tiek sniegti, izmantojot aktīvu. Principā jebkurā kompensācijā, kas tiek sniegta saistībā ar pirmstermiņa izbeigšanu, pamatojoties uz to, ka partneris nepilda saistības, jāņem vērā partnera neapmierinošie darbības rezultāti, un līdz ar to šādām kompensācijām jāatšķiras no kompensācijas maksājumiem, kas tiek veikti saistībā ar pirmstermiņa izbeigšanu, kas noteikta pēc valdības ierosmes.</w:t>
      </w:r>
    </w:p>
    <w:p w:rsidR="00506AA9" w:rsidRPr="001973D0" w:rsidRDefault="00506AA9" w:rsidP="00506AA9">
      <w:pPr>
        <w:pStyle w:val="BodyText"/>
        <w:tabs>
          <w:tab w:val="left" w:pos="1062"/>
        </w:tabs>
        <w:spacing w:before="0"/>
        <w:ind w:left="0" w:firstLine="0"/>
        <w:rPr>
          <w:rFonts w:ascii="Times New Roman" w:hAnsi="Times New Roman"/>
          <w:noProof/>
          <w:sz w:val="24"/>
        </w:rPr>
      </w:pPr>
    </w:p>
    <w:p w:rsidR="00506AA9" w:rsidRPr="001973D0"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 xml:space="preserve">Ja līgums tiek izbeigts tādēļ, ka partneris nepilda saistības būvniecības laikā vai būvniecības posma beigās, parasti līgumā ir paredzēts tikai valdības atmaksājums, </w:t>
      </w:r>
      <w:r>
        <w:rPr>
          <w:rFonts w:ascii="Times New Roman" w:hAnsi="Times New Roman"/>
          <w:noProof/>
          <w:sz w:val="24"/>
        </w:rPr>
        <w:lastRenderedPageBreak/>
        <w:t>pamatojoties uz kapitāla izdevumiem, kas radušies. Turklāt, ja attiecībā uz partneri netiek piemērots sods par iespējami nelabvēlīgajām sekām, ko rada neizpilde (kavējumi, izmaksu pārsniegums), uzskata, ka būvniecības risku uzņemas valdība.</w:t>
      </w:r>
    </w:p>
    <w:p w:rsidR="00506AA9" w:rsidRDefault="00506AA9" w:rsidP="00506AA9">
      <w:pPr>
        <w:pStyle w:val="BodyText"/>
        <w:numPr>
          <w:ilvl w:val="1"/>
          <w:numId w:val="129"/>
        </w:numPr>
        <w:tabs>
          <w:tab w:val="left" w:pos="1422"/>
        </w:tabs>
        <w:spacing w:before="0"/>
        <w:ind w:left="1134" w:hanging="425"/>
        <w:jc w:val="both"/>
        <w:rPr>
          <w:rFonts w:ascii="Times New Roman" w:hAnsi="Times New Roman"/>
          <w:noProof/>
          <w:sz w:val="24"/>
        </w:rPr>
      </w:pPr>
      <w:r>
        <w:rPr>
          <w:rFonts w:ascii="Times New Roman" w:hAnsi="Times New Roman"/>
          <w:noProof/>
          <w:sz w:val="24"/>
        </w:rPr>
        <w:t>Ja neizpilde notiek ekspluatācijas posmā, līgumā ir skaidri jānorāda, ka partnerim izmaksājamā kompensācija (ja tāda ir paredzēta) laikā, kad valdība pārņem aktīvu no partnera, nedrīkst pārsniegt aktīva tirgus vērtību (kā norādīts EKS 2010 7. nodaļā “Bilances”) konkrētajā brīdī (ievērojot paredzamās izmaksas, kas nepieciešamas, lai savestu aktīvu pienācīgā kārtībā), kas noteiktas atkārtotā konkursa procesā vai ko ticami noteikuši neatkarīgi eksperti</w:t>
      </w:r>
      <w:r>
        <w:rPr>
          <w:rStyle w:val="FootnoteReference"/>
          <w:rFonts w:ascii="Times New Roman" w:hAnsi="Times New Roman"/>
          <w:noProof/>
          <w:sz w:val="24"/>
        </w:rPr>
        <w:footnoteReference w:id="238"/>
      </w:r>
      <w:r>
        <w:rPr>
          <w:rFonts w:ascii="Times New Roman" w:hAnsi="Times New Roman"/>
          <w:noProof/>
          <w:sz w:val="24"/>
        </w:rPr>
        <w:t>. Ja šie nosacījumi nav izpildīti (pirmkārt un galvenokārt, ja kompensācija noteikta, pamatojoties tikai uz līgumā paredzētu partnera nākotnes plūsmu pašreizējo vērtību, neņemot vērā aktīva faktisko stāvokli, vai ja dažas summas neatspoguļo aktīva pašreizējo vērtību), tiek uzskatīts, ka risku (pieejamības vai pieprasījuma risku) nodošana partnerim nav pietiekama</w:t>
      </w:r>
      <w:r>
        <w:rPr>
          <w:rStyle w:val="FootnoteReference"/>
          <w:rFonts w:ascii="Times New Roman" w:hAnsi="Times New Roman"/>
          <w:noProof/>
          <w:sz w:val="24"/>
        </w:rPr>
        <w:footnoteReference w:id="239"/>
      </w:r>
      <w:r>
        <w:rPr>
          <w:rFonts w:ascii="Times New Roman" w:hAnsi="Times New Roman"/>
          <w:noProof/>
          <w:sz w:val="24"/>
        </w:rPr>
        <w:t>.</w:t>
      </w:r>
    </w:p>
    <w:p w:rsidR="00506AA9" w:rsidRPr="001973D0" w:rsidRDefault="00506AA9" w:rsidP="00506AA9">
      <w:pPr>
        <w:pStyle w:val="BodyText"/>
        <w:tabs>
          <w:tab w:val="left" w:pos="1422"/>
        </w:tabs>
        <w:spacing w:before="0"/>
        <w:ind w:left="0" w:firstLine="0"/>
        <w:rPr>
          <w:rFonts w:ascii="Times New Roman" w:hAnsi="Times New Roman"/>
          <w:noProof/>
          <w:sz w:val="24"/>
        </w:rPr>
      </w:pPr>
    </w:p>
    <w:p w:rsidR="00506AA9" w:rsidRPr="009322C2"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Ja līguma izbeigšanas laikā aktīvi tiek pārklasificēti valdības bilancē, valdības bruto pamatkapitā</w:t>
      </w:r>
      <w:r w:rsidR="00EE6A0A">
        <w:rPr>
          <w:rFonts w:ascii="Times New Roman" w:hAnsi="Times New Roman"/>
          <w:noProof/>
          <w:sz w:val="24"/>
        </w:rPr>
        <w:t>la veidošanu šajā laikā ieraksta</w:t>
      </w:r>
      <w:r>
        <w:rPr>
          <w:rFonts w:ascii="Times New Roman" w:hAnsi="Times New Roman"/>
          <w:noProof/>
          <w:sz w:val="24"/>
        </w:rPr>
        <w:t xml:space="preserve"> kā precīzu aktīvu vērtību. Valdībai parasti jāuzņemas līdzvērtīga parāda daļa, taču dažkārt valdība var uzņemties arī tādu parāda summu, kas pārsniedz aktīvu vērtī</w:t>
      </w:r>
      <w:r w:rsidR="00EE6A0A">
        <w:rPr>
          <w:rFonts w:ascii="Times New Roman" w:hAnsi="Times New Roman"/>
          <w:noProof/>
          <w:sz w:val="24"/>
        </w:rPr>
        <w:t>bu. Jebkuru pārsniegumu ieraksta</w:t>
      </w:r>
      <w:r>
        <w:rPr>
          <w:rFonts w:ascii="Times New Roman" w:hAnsi="Times New Roman"/>
          <w:noProof/>
          <w:sz w:val="24"/>
        </w:rPr>
        <w:t xml:space="preserve"> kā kapitāla pārvedumu ar ietekmi uz valdības neto aizdevumu/aizņēmumu (B.9).</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Daudzos gadījumos novērots, ka PPP līgumu darbības laikā tiek veikti līguma grozījumi vai tiek atkārtoti apspriesti tā nosacījumi. Vairumā gadījumu, kad līgumos tiek veiktas būtiskas izmaiņas vai mainīts risku un atlīdzību sadalījums starp valdību un partneri, to var uzskatīt par iepriekšējā līguma anulēšanu un jauna līguma izstrādi. Jo īpaši var būt iekļauta kompensācijas klauzula, lai uzturētu līguma ekonomisko līdzsvaru (partnera ienesīgums) gadījumos, kad šķiet, ka rezultāts atšķiras no sākotnējām prognozēm. Līdz ar to statistiķiem ir rūpīgi jāizskata līguma pārskatīšanas iemesli. Uzskatāms, ka pārskatīšana neietekmē riska nodošanas analīzi tikai tad, ja tā tiek veikta līguma vides izmaiņu dēļ, kas atrodas ārpus partnera atbildības (un tikai gadījumā, ja valdība veic īpašus pasākumus vai pieņem lēmumus, kas ietekmē līguma īstenošanu). Tomēr šādos gadījumos principā partnerim izmaksājamā kompensācija jānosaka precīzi proporcionāli valdības rīcības ietekmei uz partnera ieņēmumiem.</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Saistībā ar līguma grozījumiem var pastāvēt arī tāds īpašs gadījums, kad tiek paredzēts, ka par aktīva izmantošanu galalietotāji sāk veikt tiešus vai netiešus maksājumus valdībai (piemēram, ceļa nodevas), savukārt valdība turpina maksāt regulāras nodevas partnerim. Pat ja šie līgumi saskaņā ar pašreizējo terminoloģiju tiek joprojām dēvēti par PPP līgumiem, nacionālajos kontos tie vairs nav uzskatāmi par PPP, ja par aktīvu izmantošanu maksā galalietotāji un šie maksājumi kļūst par nozīmīgu ieņēmumu avotu. Šajā saistībā aktīvi jāpārklasificē kā valdības aktīvi, ja šie galalietotā</w:t>
      </w:r>
      <w:r w:rsidR="00EE6A0A">
        <w:rPr>
          <w:rFonts w:ascii="Times New Roman" w:hAnsi="Times New Roman"/>
          <w:noProof/>
          <w:sz w:val="24"/>
        </w:rPr>
        <w:t>ju veiktie maksājumi (ierakstīti</w:t>
      </w:r>
      <w:r>
        <w:rPr>
          <w:rFonts w:ascii="Times New Roman" w:hAnsi="Times New Roman"/>
          <w:noProof/>
          <w:sz w:val="24"/>
        </w:rPr>
        <w:t xml:space="preserve"> bruto vērtībā, t. i., tostarp visi iekasētie maksājumi, ko patur partneris) pārsniedz 50 % no kopējām izmaksām, kas saistītas ar aktīvu izmantošanu (fiksētā kapitāla patēriņš, uzturēšanas un remonta izdevumi u. c.) un kas galvenokārt tiek segtas ar valdības vienotajiem maksājumiem partnerim.</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Ja grozītajā līgumā tiek paredzēts, ka maksājumiem, ko veic galalietotāji par aktīvu izmantošanu, 50 % attiecība ir jāsasniedz samērā īsā laika posmā (kas nepārsniedz divus </w:t>
      </w:r>
      <w:r>
        <w:rPr>
          <w:rFonts w:ascii="Times New Roman" w:hAnsi="Times New Roman"/>
          <w:noProof/>
          <w:sz w:val="24"/>
        </w:rPr>
        <w:lastRenderedPageBreak/>
        <w:t>gadus), aktīvu nodošanai jānotiek brīdī, kad stājas spēkā jaunais līgums.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grozītajā līgumā paredzēta pakāpeniska pāreja uz maksājumu summas relatīvo sadalījumu starp valdību un galalietotājiem (piemēram, saistībā ar secīgiem transporta infrastruktūras posmiem), nodošanai jānotiek, tiklīdz tiks sasniegts 50 % slieksnis. Līdzīgas klauzulas attiecībā uz galalietotājiem līgumos var būt paredzētas arī, uzsākot jaunus projektus, taču šajā gadījumā aktīvi ir vienmēr jāklasificē kā valdības aktīvi būvniecības posma sākumā neatkarīgi no 50 % robežas sasniegšanas.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561"/>
        </w:tabs>
        <w:jc w:val="both"/>
        <w:rPr>
          <w:rFonts w:ascii="Times New Roman" w:hAnsi="Times New Roman"/>
          <w:noProof/>
          <w:sz w:val="24"/>
        </w:rPr>
      </w:pPr>
      <w:bookmarkStart w:id="474" w:name="VI.4.3.6_Force_majeure"/>
      <w:bookmarkEnd w:id="474"/>
      <w:r>
        <w:rPr>
          <w:rFonts w:ascii="Times New Roman" w:hAnsi="Times New Roman"/>
          <w:noProof/>
          <w:sz w:val="24"/>
        </w:rPr>
        <w:t>VI.4.3.6. Nepārvarama vara</w:t>
      </w:r>
    </w:p>
    <w:p w:rsidR="00506AA9" w:rsidRPr="001973D0" w:rsidRDefault="00506AA9" w:rsidP="00506AA9">
      <w:pPr>
        <w:pStyle w:val="Heading6"/>
        <w:tabs>
          <w:tab w:val="left" w:pos="1561"/>
        </w:tabs>
        <w:jc w:val="both"/>
        <w:rPr>
          <w:rFonts w:ascii="Times New Roman" w:hAnsi="Times New Roman"/>
          <w:noProof/>
          <w:sz w:val="24"/>
        </w:rPr>
      </w:pPr>
    </w:p>
    <w:p w:rsidR="00506AA9" w:rsidRPr="0051363E"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Līguma izpildes gaitā pēc tam, kad partneris ir sācis uzņemties kapitāla izdevumus, vai aktīva ekspluatācijas posmā, ir svarīgi skaidri nošķirt dažādu veidu notikumus vai tendences, kas ietekmē PPP vienošanos. Daži no tiem neapšaubāmi ir partnera atbildība, jo tie ir atkarīgi no tā, kāda ir partnera darbības rezultātu “kvalitāte” saistībā ar aktīvu vai saistībā ar pakalpojumu, kas tiek sniegts, izmantojot šo aktīvu. Tas ir jāņem vērā, veicot vienoto maksājumu vērtības samazināšanas korekciju, jo īpaši, ja tie ietver “pieejamības maksājumus” (sk. iepriekš), un arī ja šie maksājumi ir saistīti ar lietderīgu izmantošanu, kas varētu tikt ietekmēta. No otras puses, var būt valdības lēmumi, kas tieši ietekmē līguma izpildi un par kuriem partneris ir tiesīgs saņemt kompensāciju, ja šie lēmumi rada atkāpi no sākotnējām līguma klauzulām un valdības saistībām. Šeit tomēr neiekļauj vispārējas politikas lēmumus (dažādās jomās, piemēram, ekonomikā, sociālos, vides, sabiedriskās kārtības jautājumos utt.), kas konkrēti neattiecas uz katru atsevišķo PPP līgumu.</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Tomēr ir vēl arī trešā notikumu kategorija, kur nav skaidras atbildības no vienas vai otras puses. Šos ārkārtējos “ārējos” notikumus līgumos parasti sauc par “nepārvaramas varas” apstākļiem. Tie var būtiski ietekmēt pakalpojumu pieejamību un/vai pieprasījuma līmeni. Valdība varētu uzņemties šādus riskus, un šādā gadījumā aktīvs nav obligāti jāklasificē tās bilancē. Līgumos tos var dēvēt arī par “atvieglojuma notikumiem” vai izmantot citu terminoloģiju, kas atbrīvo partneri no finansiālām sekām. Tomēr tie ir jāizvērtē, ņemot vērā stingrus nosacījumus un izsmeļošu un precīzu uzskaitījumu.</w:t>
      </w:r>
      <w:r>
        <w:rPr>
          <w:rStyle w:val="FootnoteReference"/>
          <w:rFonts w:ascii="Times New Roman" w:hAnsi="Times New Roman"/>
          <w:noProof/>
          <w:sz w:val="24"/>
        </w:rPr>
        <w:footnoteReference w:id="240"/>
      </w:r>
      <w:r>
        <w:rPr>
          <w:rFonts w:ascii="Times New Roman" w:hAnsi="Times New Roman"/>
          <w:noProof/>
          <w:sz w:val="24"/>
        </w:rPr>
        <w:t xml:space="preserve"> Proti, šādā notikumā ir jābūt neapstrīdamai pārliecībai par partnera atbildības neesamību, ar to saprotot, ka partneris nekādā pamatotā veidā nevarēja paredzēt šādu apstākļu iestāšanos vai to sekas un nevarēja pamatoti novērst apstākļu iestāšanos.</w:t>
      </w:r>
      <w:r>
        <w:rPr>
          <w:rStyle w:val="FootnoteReference"/>
          <w:rFonts w:ascii="Times New Roman" w:hAnsi="Times New Roman"/>
          <w:noProof/>
          <w:sz w:val="24"/>
        </w:rPr>
        <w:footnoteReference w:id="241"/>
      </w:r>
      <w:r>
        <w:rPr>
          <w:rFonts w:ascii="Times New Roman" w:hAnsi="Times New Roman"/>
          <w:noProof/>
          <w:sz w:val="24"/>
        </w:rPr>
        <w:t xml:space="preserve"> Turklāt valdība nevar pārņemt jebkādus “makroekonomiskos” riskus, ko uzņemas visi ekonomikas subjekti savā darbībā (piemēram, uzņēmējdarbības cikla ietekme uz izmaksām un pieprasījumu, nelabvēlīga ietekme, papildu sekas). Parasti partnerim ir jāveic pasākumi, lai pasargātu sevi šādu notikumu gadījumā no negatīvās ietekmes, jo īpaši, iegādājoties apdrošināšanas polises, ja tās ir pieejamas tirgū par saprātīgu cenu (lai arī pasargāšana parasti būtu fiksētas summas vai maksimālā prasījuma summas robežās, kas varētu nebūt proporcionāla zaudējumu iespējamajām reālajām izmaksām). Savukārt, ja iestājas apstākļi, kurus parasti nebūtu iespējams nodrošināt (piemēram, sacelšanās, karš, dabas katastrofas utt.), valdība varētu pilnībā vai daļēji pārņemt partneru risku; ja tā nebūtu, aktīvi noteikti būtu </w:t>
      </w:r>
      <w:r>
        <w:rPr>
          <w:rFonts w:ascii="Times New Roman" w:hAnsi="Times New Roman"/>
          <w:i/>
          <w:noProof/>
          <w:sz w:val="24"/>
        </w:rPr>
        <w:t>ex ante</w:t>
      </w:r>
      <w:r>
        <w:rPr>
          <w:rFonts w:ascii="Times New Roman" w:hAnsi="Times New Roman"/>
          <w:noProof/>
          <w:sz w:val="24"/>
        </w:rPr>
        <w:t xml:space="preserve"> jāklasificē valdības bilancē. Taču, ja iestājas šādi apstākļi, ir jāveic jauna risku un atlīdzību sadalījuma analīze.</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521"/>
        </w:tabs>
        <w:jc w:val="both"/>
        <w:rPr>
          <w:rFonts w:ascii="Times New Roman" w:hAnsi="Times New Roman"/>
          <w:noProof/>
          <w:sz w:val="24"/>
        </w:rPr>
      </w:pPr>
      <w:bookmarkStart w:id="475" w:name="VI.4.3.7_Allocation_of_the_assets_at_the"/>
      <w:bookmarkEnd w:id="475"/>
      <w:r>
        <w:rPr>
          <w:rFonts w:ascii="Times New Roman" w:hAnsi="Times New Roman"/>
          <w:noProof/>
          <w:sz w:val="24"/>
        </w:rPr>
        <w:t>VI.4.3.7. Aktīvu sadale līguma termiņa beigās</w:t>
      </w:r>
    </w:p>
    <w:p w:rsidR="00506AA9" w:rsidRPr="001973D0" w:rsidRDefault="00506AA9" w:rsidP="00506AA9">
      <w:pPr>
        <w:pStyle w:val="Heading6"/>
        <w:tabs>
          <w:tab w:val="left" w:pos="1521"/>
        </w:tabs>
        <w:jc w:val="both"/>
        <w:rPr>
          <w:rFonts w:ascii="Times New Roman" w:hAnsi="Times New Roman"/>
          <w:noProof/>
          <w:sz w:val="24"/>
        </w:rPr>
      </w:pPr>
    </w:p>
    <w:p w:rsidR="00506AA9" w:rsidRPr="0051363E"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Analīzi par līguma beigās izklāstītajiem noteikumiem attiecībā uz PPP aktīvu realizāciju varētu izmantot kā papildu kritēriju, lai noteiktu vispārējā riska nodošanu, jo īpaši tad, ja iepriekš minētajā riska analīzē nav sniegti nepārprotami secinājumi (piemēram, ja tiktu noteikts, ka riska sadalījums ir līdzsvarots vai pamatots ar nepilnīgām hipotēzēm). Nosacījumi, saskaņā ar kuriem varētu notikt aktīvu galīgā sadale, var sniegt nozīmīgu papildu ieskatu par risku sadalījumu starp līgumslēdzējiem partneriem, jo šādas klauzulas var palīdzēt novērtēt to, vai partneris joprojām uzņemas ievērojamu risku. Ārkārtīgi ilga termiņa līgumos aktīva ekonomiskā vērtība līguma darbības termiņa beigās var būt visnotaļ neskaidra (jo īpaši neprognozējamās novecošanas dēļ), savukārt maksājumi, ko valdība veiktu šajā posmā, veidotu nelielu daļu no to maksājumu kopējās summas, ko valdība veic visā līguma darbības laikā. Līdz ar to šo jautājumu pašu par sevi nevar uzskatīt par vienīgo un izšķirošo kritēriju attiecībā uz aktīvu klasifikāciju.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projekta beigās aktīvi paliek partnera īpašumā neatkarīgi no to ekonomiskās vērtības konkrētajā brīdī (lai arī bieži to turpmākais ekonomiskais cikls joprojām ir diezgan būtisks, jo īpaši attiecībā uz infrastruktūru, kas laika gaitā tikai nedaudz nolietojas), tad to var izmantot kā stingru papildu pamatojumu tam, lai minētos aktīvus iekļautu partnera bilancē.</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līgumos tiek noteikts, ka valdībai ir iespēja nopirkt aktīvu vienā konkrētā brīdī vai vairākos brīžos. Ja šāds pirkums jāveic par aktīva tirgus cenu, kas atbilstoši novērtēta pirkuma brīdī, partnerim būtu jāuzņemas riski, kas saistīti ar nepārtraukto pieprasījumu pēc aktīva un tā fizisko stāvokli līguma darbības laikā. Tas būtu arī papildu pamatojum</w:t>
      </w:r>
      <w:r w:rsidR="00EE6A0A">
        <w:rPr>
          <w:rFonts w:ascii="Times New Roman" w:hAnsi="Times New Roman"/>
          <w:noProof/>
          <w:sz w:val="24"/>
        </w:rPr>
        <w:t>s aktīvu ierakstīšanai</w:t>
      </w:r>
      <w:r>
        <w:rPr>
          <w:rFonts w:ascii="Times New Roman" w:hAnsi="Times New Roman"/>
          <w:noProof/>
          <w:sz w:val="24"/>
        </w:rPr>
        <w:t xml:space="preserve"> partnera bilancē līguma darbības periodā.</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līgumos valdībai ir obligāts pienākums iegādāties aktīvus līguma darbības termiņa beigās par iepriekš noteiktu cenu, kas parasti ir noteikta līguma parakstīšanas laikā.</w:t>
      </w:r>
    </w:p>
    <w:p w:rsidR="00506AA9"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Turpmāk minētie gadījumi varētu ievērojami pastiprināt citu līguma iezīmju analīzi un lieci</w:t>
      </w:r>
      <w:r w:rsidR="00EE6A0A">
        <w:rPr>
          <w:rFonts w:ascii="Times New Roman" w:hAnsi="Times New Roman"/>
          <w:noProof/>
          <w:sz w:val="24"/>
        </w:rPr>
        <w:t>nāt par to, ka aktīvi jāieraksta</w:t>
      </w:r>
      <w:r>
        <w:rPr>
          <w:rFonts w:ascii="Times New Roman" w:hAnsi="Times New Roman"/>
          <w:noProof/>
          <w:sz w:val="24"/>
        </w:rPr>
        <w:t xml:space="preserve"> kā valdības aktīvi.</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9"/>
        </w:numPr>
        <w:tabs>
          <w:tab w:val="left" w:pos="1462"/>
        </w:tabs>
        <w:spacing w:before="0"/>
        <w:ind w:left="1134" w:hanging="425"/>
        <w:jc w:val="both"/>
        <w:rPr>
          <w:rFonts w:ascii="Times New Roman" w:hAnsi="Times New Roman"/>
          <w:noProof/>
          <w:sz w:val="24"/>
        </w:rPr>
      </w:pPr>
      <w:r>
        <w:rPr>
          <w:rFonts w:ascii="Times New Roman" w:hAnsi="Times New Roman"/>
          <w:noProof/>
          <w:sz w:val="24"/>
        </w:rPr>
        <w:t>Iepriekš noteiktā cena atbilst sākotnējo kapitāla izmaksu atlikumam, neņemot vērā paredzamo aktīva tirgus vērtību līguma termiņa beigās.</w:t>
      </w:r>
    </w:p>
    <w:p w:rsidR="00506AA9" w:rsidRPr="001973D0" w:rsidRDefault="00506AA9" w:rsidP="00506AA9">
      <w:pPr>
        <w:pStyle w:val="BodyText"/>
        <w:numPr>
          <w:ilvl w:val="1"/>
          <w:numId w:val="129"/>
        </w:numPr>
        <w:tabs>
          <w:tab w:val="left" w:pos="1462"/>
        </w:tabs>
        <w:spacing w:before="0"/>
        <w:ind w:left="1134" w:hanging="425"/>
        <w:jc w:val="both"/>
        <w:rPr>
          <w:rFonts w:ascii="Times New Roman" w:hAnsi="Times New Roman"/>
          <w:noProof/>
          <w:sz w:val="24"/>
        </w:rPr>
      </w:pPr>
      <w:r>
        <w:rPr>
          <w:rFonts w:ascii="Times New Roman" w:hAnsi="Times New Roman"/>
          <w:noProof/>
          <w:sz w:val="24"/>
        </w:rPr>
        <w:t>Iepriekš noteiktā cena ir acīmredzami augstāka par paredzamo aktīvu tirgus vērtību līguma termiņa beigās.</w:t>
      </w:r>
    </w:p>
    <w:p w:rsidR="00506AA9" w:rsidRPr="001973D0" w:rsidRDefault="00506AA9" w:rsidP="00506AA9">
      <w:pPr>
        <w:pStyle w:val="BodyText"/>
        <w:numPr>
          <w:ilvl w:val="1"/>
          <w:numId w:val="129"/>
        </w:numPr>
        <w:tabs>
          <w:tab w:val="left" w:pos="1462"/>
        </w:tabs>
        <w:spacing w:before="0"/>
        <w:ind w:left="1134" w:hanging="425"/>
        <w:jc w:val="both"/>
        <w:rPr>
          <w:rFonts w:ascii="Times New Roman" w:hAnsi="Times New Roman"/>
          <w:noProof/>
          <w:sz w:val="24"/>
        </w:rPr>
      </w:pPr>
      <w:r>
        <w:rPr>
          <w:rFonts w:ascii="Times New Roman" w:hAnsi="Times New Roman"/>
          <w:noProof/>
          <w:sz w:val="24"/>
        </w:rPr>
        <w:t>Iepriekš noteiktā cena ir zemāka par nodošanas brīdī paredzamo tirgus vērtību vai aktīvs tiek atgriezts valdībai bez maksas, taču līguma darbības laikā valdība jau ir samaksājusi par aktīvu iegādi, veicot regulārus maksājumus, kuru kopsumma gandrīz atbilst aktīvu kopējai tirgus vērtībai.</w:t>
      </w:r>
    </w:p>
    <w:p w:rsidR="00506AA9" w:rsidRDefault="00506AA9" w:rsidP="00506AA9">
      <w:pPr>
        <w:pStyle w:val="BodyText"/>
        <w:numPr>
          <w:ilvl w:val="1"/>
          <w:numId w:val="129"/>
        </w:numPr>
        <w:tabs>
          <w:tab w:val="left" w:pos="1462"/>
        </w:tabs>
        <w:spacing w:before="0"/>
        <w:ind w:left="1134" w:hanging="425"/>
        <w:jc w:val="both"/>
        <w:rPr>
          <w:rFonts w:ascii="Times New Roman" w:hAnsi="Times New Roman"/>
          <w:noProof/>
          <w:sz w:val="24"/>
        </w:rPr>
      </w:pPr>
      <w:r>
        <w:rPr>
          <w:rFonts w:ascii="Times New Roman" w:hAnsi="Times New Roman"/>
          <w:noProof/>
          <w:sz w:val="24"/>
        </w:rPr>
        <w:t>Ja līgumā nav noteikts, ka nepieciešama neatkarīgas struktūras veikta rūpīga pārbaude, kurā precīzi jānoskaidro aktīvu stāvoklis (“pārskatīšanas klauzula”) dažus gadus pirms galīgās izbeigšanas, lai valdība būtu tiesīga pieprasīt papildu izdevumus un/vai vajadzības gadījumā samazināt iepriekš noteikto cenu.</w:t>
      </w:r>
    </w:p>
    <w:p w:rsidR="00506AA9" w:rsidRPr="001973D0" w:rsidRDefault="00506AA9" w:rsidP="00506AA9">
      <w:pPr>
        <w:pStyle w:val="BodyText"/>
        <w:tabs>
          <w:tab w:val="left" w:pos="1462"/>
        </w:tabs>
        <w:spacing w:before="0"/>
        <w:ind w:left="0" w:firstLine="0"/>
        <w:rPr>
          <w:rFonts w:ascii="Times New Roman" w:hAnsi="Times New Roman"/>
          <w:noProof/>
          <w:sz w:val="24"/>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gadījumos līguma termiņa beigās valdība likvidē partneri vai pārņem to. Šādos gadījumos līguma termiņa beigās aktīvi būtu reģistrējami valdības bilancē kā citas apjoma pārmaiņas (Sektoru klasifikācijas un institucionālo vienību struktūras pārmaiņas (K.61)).</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561"/>
        </w:tabs>
        <w:jc w:val="both"/>
        <w:rPr>
          <w:rFonts w:ascii="Times New Roman" w:hAnsi="Times New Roman"/>
          <w:noProof/>
          <w:sz w:val="24"/>
        </w:rPr>
      </w:pPr>
      <w:bookmarkStart w:id="476" w:name="VI.4.3.8_Classification_of_some_transact"/>
      <w:bookmarkEnd w:id="476"/>
      <w:r>
        <w:rPr>
          <w:rFonts w:ascii="Times New Roman" w:hAnsi="Times New Roman"/>
          <w:noProof/>
          <w:sz w:val="24"/>
        </w:rPr>
        <w:t>VI.4.3.8. Dažu sabiedrības un valdības darījumu klasifikācija</w:t>
      </w:r>
    </w:p>
    <w:p w:rsidR="00506AA9" w:rsidRPr="001973D0" w:rsidRDefault="00506AA9" w:rsidP="00506AA9">
      <w:pPr>
        <w:pStyle w:val="Heading6"/>
        <w:tabs>
          <w:tab w:val="left" w:pos="1561"/>
        </w:tabs>
        <w:jc w:val="both"/>
        <w:rPr>
          <w:rFonts w:ascii="Times New Roman" w:hAnsi="Times New Roman"/>
          <w:noProof/>
          <w:sz w:val="24"/>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lastRenderedPageBreak/>
        <w:t>Ja valdība veic regulārus maksājumus partnerim, šo darījumu traktējums ir atkarīgs</w:t>
      </w:r>
      <w:r w:rsidR="00EE6A0A">
        <w:rPr>
          <w:rFonts w:ascii="Times New Roman" w:hAnsi="Times New Roman"/>
          <w:noProof/>
          <w:sz w:val="24"/>
        </w:rPr>
        <w:t xml:space="preserve"> no tā, vai aktīvs ir ierakstīts</w:t>
      </w:r>
      <w:r>
        <w:rPr>
          <w:rFonts w:ascii="Times New Roman" w:hAnsi="Times New Roman"/>
          <w:noProof/>
          <w:sz w:val="24"/>
        </w:rPr>
        <w:t xml:space="preserve"> valdības vai partnera bilancē.</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aktīvs ir iekļauts partnera bilancē, sabiedrība valdībai sniedz pakalpojumu, kas veido valdības starppatēriņa izdevumus, kuru vērtība atbilst maksājumiem, ko saņem sabiedrība.</w:t>
      </w:r>
    </w:p>
    <w:p w:rsidR="00506AA9" w:rsidRPr="0051363E"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aktīvs ir iekļauts valdības bilancē, pakalpojums iedzīvotājiem tiek sniegts, izmantojot valdības aktīvu. Valdīb</w:t>
      </w:r>
      <w:r w:rsidR="00EE6A0A">
        <w:rPr>
          <w:rFonts w:ascii="Times New Roman" w:hAnsi="Times New Roman"/>
          <w:noProof/>
          <w:sz w:val="24"/>
        </w:rPr>
        <w:t>as veiktu aktīva iegādi ieraksta</w:t>
      </w:r>
      <w:r>
        <w:rPr>
          <w:rFonts w:ascii="Times New Roman" w:hAnsi="Times New Roman"/>
          <w:noProof/>
          <w:sz w:val="24"/>
        </w:rPr>
        <w:t xml:space="preserve"> kā “standarta” finanšu nomas līgumu. Valdības maksājumi partnerim visā līguma darbības laikā ir jāsadala starp pamatsummas atmaksu (F.4), procentu maksājumiem (D.41) un iespējamo pakalpojumu pirkumu saistībā ar uzdevumiem, kurus veic sabiedrība un apmaksā valdība (P.2).</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412"/>
        </w:tabs>
        <w:ind w:left="0" w:firstLine="0"/>
        <w:jc w:val="both"/>
        <w:rPr>
          <w:rFonts w:ascii="Times New Roman" w:hAnsi="Times New Roman"/>
          <w:noProof/>
          <w:u w:val="thick" w:color="000000"/>
        </w:rPr>
      </w:pPr>
      <w:bookmarkStart w:id="477" w:name="VI.4.4_Rationale_of_the_treatment"/>
      <w:bookmarkEnd w:id="477"/>
      <w:r>
        <w:rPr>
          <w:rFonts w:ascii="Times New Roman" w:hAnsi="Times New Roman"/>
          <w:noProof/>
          <w:u w:val="none"/>
        </w:rPr>
        <w:t>VI.4.4. </w:t>
      </w:r>
      <w:r>
        <w:rPr>
          <w:rFonts w:ascii="Times New Roman" w:hAnsi="Times New Roman"/>
          <w:noProof/>
          <w:u w:val="thick" w:color="000000"/>
        </w:rPr>
        <w:t>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36"/>
        </w:tabs>
        <w:jc w:val="both"/>
        <w:rPr>
          <w:rFonts w:ascii="Times New Roman" w:hAnsi="Times New Roman"/>
          <w:noProof/>
          <w:sz w:val="24"/>
        </w:rPr>
      </w:pPr>
      <w:bookmarkStart w:id="478" w:name="VI.4.4.1_Sector_classification_of_the_pa"/>
      <w:bookmarkEnd w:id="478"/>
      <w:r>
        <w:rPr>
          <w:rFonts w:ascii="Times New Roman" w:hAnsi="Times New Roman"/>
          <w:noProof/>
          <w:sz w:val="24"/>
        </w:rPr>
        <w:t>VI.4.4.1. Partnera sektora klasifikācija</w:t>
      </w:r>
    </w:p>
    <w:p w:rsidR="00506AA9" w:rsidRPr="001973D0" w:rsidRDefault="00506AA9" w:rsidP="00506AA9">
      <w:pPr>
        <w:pStyle w:val="Heading6"/>
        <w:tabs>
          <w:tab w:val="left" w:pos="1836"/>
        </w:tabs>
        <w:jc w:val="both"/>
        <w:rPr>
          <w:rFonts w:ascii="Times New Roman" w:hAnsi="Times New Roman"/>
          <w:noProof/>
          <w:sz w:val="24"/>
        </w:rPr>
      </w:pP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Īpašajam PPP gadījumam starp valdību un valsts komercsabiedrību jāatbilst noteiktiem nosacījumiem.</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Publiskai sabiedrībai jāpierāda, ka tai ir kompetence, kas parasti tiek pieprasīta PPP darbības jomā (tiešā veidā vai citas vienības izveides gadījumā tai vienībai/-ām, kuras/kuru kontrolē tā atrodas), un PPP līguma noslēgšanai ar valdību jābūt vienai no vairākām publiskās sabiedrības saimnieciskajām darbībām.</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Publiska subjekta gadījumā, kas nozīmē, ka līgumi ar valdību ir gandrīz vienīgais tā ieņēmumu avots, pārklasificēšana par valdības vienību nav obligāti nepieciešama, ja ir pierādījumi tam, ka sabiedrība saņem uz tirgu orientētus maksājumus (līdzīgus tiem, kas novēroti starp citām tirgus vienībām), kā arī ja valdība uzņemas vienīgi tādus riskus, kādus komercsabiedrība parasti neuzņemas (piemēram, īpaši lielu politisko vai drošības risku). Citā gadījumā tas liecinātu, ka publiskais subjekts valdībai nodrošina palīgdarbību.</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Dažkārt līguma izpilde notiek īpašam nolūkam izveidotas sabiedrības (ĪNDS) tiesiskajā aizsegā. Parasti šādas juridiskās personas darbības laiks ir ierobežots ar PPP līguma termiņu, vai arī tā darbojas tikai būvniecības posmā. Iespējams, ka šāds uzņēmums ir izveidots tikai ar juridisku mērķi.</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Ja šo vienību kontrolē viens vai vairāki partneri, kas ir strādājošas līgumslēdzējas puses, tad vienība jāklasificē kā valdības sektoram nepiederoša vienība. To var novērot novatorisku un sarežģītu aktīvu būvniecībā, kam vajadzīga cieša sadarbība starp uzņēmumiem, kas specializējušies dažādās tehniskajās jomās. ĪNDS varētu būt organizācija, kas izveidota kā konsorcijs šādu uzņēmumu pārstāvēšanai. Ievērojamu finansējuma prasību gadījumā ĪNDS var būt veidota arī kā banku apvienība. Līdz ar to ĪNDS parasti neīsteno līguma izpildi, kā arī nedarbojas ne kā projekta vadītājs, ne būvnieks vai PPP aktīva ekspluatants.</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Sarežģījumi rodas, ja šādu īpašu vienību izveido valdība vai publiska sabiedrība. Šādā gadījumā ir rūpīgi jāpārbauda, vai saskaņā ar nacionālajiem kontiem šādu vienību var uzskatīt par neatkarīgu institucionālu vienību un vai tā ir patiess tirgus ražotājs. Vienībai tostarp ir jāspēj iegādāties aktīvus un uzņemties saistības savā vārdā, kā arī slēgt līgumus ar nevalstiskām vienībām. Dažkārt vienība ir jāpārklasificē valdības sektorā (iespējams, kā vienība, kas veic palīgdarbības (EKS 2010 2.26. punkts) vai saskaņā ar noteikumiem par vispārējās valdības īpašam nolūkam dibinātām sabiedrībām (EKS 2010 2.27.–2.28. punkts) tā, ka valdības veiktie maksājumi būtu uzskatāmi nevis par “īstā partnera” ieņēmumiem, bet gan par pārvedumiem vispārējā valdības sektorā.</w:t>
      </w:r>
    </w:p>
    <w:p w:rsidR="008F2A74" w:rsidRDefault="008F2A74">
      <w:pPr>
        <w:widowControl/>
        <w:spacing w:after="160" w:line="259" w:lineRule="auto"/>
        <w:rPr>
          <w:rFonts w:ascii="Times New Roman" w:eastAsia="Arial" w:hAnsi="Times New Roman" w:cs="Arial"/>
          <w:noProof/>
          <w:sz w:val="24"/>
          <w:szCs w:val="19"/>
        </w:rPr>
      </w:pPr>
      <w:r>
        <w:rPr>
          <w:rFonts w:ascii="Times New Roman" w:eastAsia="Arial" w:hAnsi="Times New Roman" w:cs="Arial"/>
          <w:noProof/>
          <w:sz w:val="24"/>
          <w:szCs w:val="19"/>
        </w:rPr>
        <w:br w:type="page"/>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282"/>
        </w:tabs>
        <w:jc w:val="both"/>
        <w:rPr>
          <w:rFonts w:ascii="Times New Roman" w:hAnsi="Times New Roman"/>
          <w:noProof/>
          <w:sz w:val="24"/>
        </w:rPr>
      </w:pPr>
      <w:bookmarkStart w:id="479" w:name="VI.4.4.2_Assessment_of_the_risk"/>
      <w:bookmarkEnd w:id="479"/>
      <w:r>
        <w:rPr>
          <w:rFonts w:ascii="Times New Roman" w:hAnsi="Times New Roman"/>
          <w:noProof/>
          <w:sz w:val="24"/>
        </w:rPr>
        <w:t>VI.4.4.2. Riska novērtējums</w:t>
      </w:r>
    </w:p>
    <w:p w:rsidR="00506AA9" w:rsidRPr="001973D0" w:rsidRDefault="00506AA9" w:rsidP="00506AA9">
      <w:pPr>
        <w:pStyle w:val="Heading6"/>
        <w:tabs>
          <w:tab w:val="left" w:pos="1282"/>
        </w:tabs>
        <w:jc w:val="both"/>
        <w:rPr>
          <w:rFonts w:ascii="Times New Roman" w:hAnsi="Times New Roman"/>
          <w:noProof/>
          <w:sz w:val="24"/>
        </w:rPr>
      </w:pP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Galvenais jautājums par to, cik lielu līgumam piemītošā riska daļu partneri ir uzņēmušies, un kuri riski ir tieši saistīti ar attiecīgo aktīvu stāvokli vai ir atkarīgi no dažiem pārvaldības uzdevumiem, kuri ir jāveic partnerim saskaņā ar tā līgumsaistībām. Tas attiecas uz “ekonomisko īpašumtiesību” jēdzienu, kurš nacionālajos kontos ir skaidri jānodala no kādām “juridiskajām īpašumtiesībām” un kas tiek izmantots lielākajā daļā grāmatvedības standartu (gan nacionālajos kontos, gan uzņēmējdarbības grāmatvedības vajadzībām). Risku dalīšanas analīzei ir jābūt pamatotai gan ar iespējamo ietekmi uz partnera peļņu (mazāki ienākumi un/vai augstākas izmaksas), gan ar riska rašanās iespējamību (pat ja tā ir noteikta tikai aptuveni) analoģiski “matemātisko gaidu” koncepcijai (vai “saistību neizpildes varbūtības” un “zaudējumu saistību neizpildes gadījumā” jēdzieniem finanšu riska modeļos). Līdz ar to nebūtu pieņemami, ka partneris uzņemtos tikai tos riskus, kuriem ir augsts kaitējuma potenciāls, taču ļoti zema rašanās varbūtība.</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Attiecībā uz </w:t>
      </w:r>
      <w:r>
        <w:rPr>
          <w:rFonts w:ascii="Times New Roman" w:hAnsi="Times New Roman"/>
          <w:b/>
          <w:noProof/>
          <w:sz w:val="24"/>
        </w:rPr>
        <w:t>būvniecības risku</w:t>
      </w:r>
      <w:r>
        <w:rPr>
          <w:rFonts w:ascii="Times New Roman" w:hAnsi="Times New Roman"/>
          <w:noProof/>
          <w:sz w:val="24"/>
        </w:rPr>
        <w:t xml:space="preserve"> jānorāda, ka valdības pienākumu sākt regulārus maksājumus partnerim, neņemot vērā nodoto aktīvu faktisko stāvokli, varētu uzskatīt par apliecinājumu tam, ka valdība uzņemas lielāko daļu būvniecības riska un faktiski kopš būvniecības sākuma darbojas kā aktīvu faktiskā īpašniece. Tas attiecas arī uz gadījumiem, kad valdība sistemātiski veic maksājumus, lai segtu papildu izmaksas neatkarīgi no to pamatojuma.</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Šā riska dažādo elementu apjomu var novērtēt, ja aprēķina izdevumus, kas būtu jāsedz katram no partneriem, ja rastos attiecīgais iztrūkums. Šāds risks var būt īpaši būtisks, ja aktīvi ir iesaistīti apjomīgā pētniecības un izstrādes vai tehniska jauninājuma projektā, turpretī attiecībā uz būvkonstrukcijām risks var būt mazāks. Būtiski ir tas, ka valdībai nav pienākuma maksāt, ja būvdarbu veikšanas posmā partneris izdara jebkādu kļūdu, neatkarīgi no tā, vai šo kļūdu ir pieļāvis tiešais piegādātājs vai tikai koordinators/uzraugs.</w:t>
      </w:r>
    </w:p>
    <w:p w:rsidR="00506AA9" w:rsidRPr="0051363E"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Partnerim nebūtu jāuzņemas atbildība par neparedzamiem eksogēniem notikumiem, pret kuriem apdrošināšanas sabiedrības parasti neapdrošina vai kurus pamatoti nebija iespējams prognozēt pirms darbu sākšanas.</w:t>
      </w:r>
      <w:r>
        <w:rPr>
          <w:rStyle w:val="FootnoteReference"/>
          <w:rFonts w:ascii="Times New Roman" w:hAnsi="Times New Roman"/>
          <w:noProof/>
          <w:sz w:val="24"/>
        </w:rPr>
        <w:footnoteReference w:id="242"/>
      </w:r>
      <w:r>
        <w:rPr>
          <w:rFonts w:ascii="Times New Roman" w:hAnsi="Times New Roman"/>
          <w:noProof/>
          <w:sz w:val="24"/>
        </w:rPr>
        <w:t xml:space="preserve"> Šādu risku nedrīkst jaukt ar aktīvu “projektēšanas” atbilstību, jo šajā posmā partnera iniciatīvas iespējas var būt ļoti ierobežotas. Šādā gadījumā galvenais ir tas, ka parasti partneris nepiekristu uzņemties ar būvniecību saistītos riskus, ja valdības prasības būtu neparastas un ietekmētu aktīva komerciālo izdevīgumu. Turklāt partnerim nav jāuzņemas atbildība par kādu nepārprotamu valdības rīcību, piemēram, specifikāciju maiņu būvniecības laikā vai standarta prasību pārveidošanu. Īpaši jāapsver gadījums, kad partneris no valdības saņem esošu aktīvu, kas ir vajadzīgs projekta īstenošanai (vai nu kā elementu no visa kopuma, vai saistībā ar apjomīgu renovācijas darbu veikšanu). Būvniecības risks attiecas tikai uz jaunajiem kapitāla izdevumiem, par ko atbildību uzņemas partneris neatkarīgi no pārņemto aktīvu stāvokļa. Partnerim arī nav jāuzņemas atbildība par tēriņu pārsniegšanu un kavējumiem, kas varētu rasties juridisko risku vai asimilēto risku (piemēram, ekspropriācijas riska) dēļ, kurus nepārprotami izraisījuši neatbilstīgi noteikumi/tiesību akti, par kuriem ir lēmusi valdība.</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Attiecībā uz </w:t>
      </w:r>
      <w:r>
        <w:rPr>
          <w:rFonts w:ascii="Times New Roman" w:hAnsi="Times New Roman"/>
          <w:b/>
          <w:noProof/>
          <w:sz w:val="24"/>
        </w:rPr>
        <w:t>pieejamības risku</w:t>
      </w:r>
      <w:r>
        <w:rPr>
          <w:rFonts w:ascii="Times New Roman" w:hAnsi="Times New Roman"/>
          <w:noProof/>
          <w:sz w:val="24"/>
        </w:rPr>
        <w:t xml:space="preserve"> tiek pieņemts, ka valdība šādu risku neuzņemas, ja tai ir tiesības būtiski samazināt savus regulāros maksājumus (tāpat kā šādas tiesības ir jebkuram“parastam klientam”) gadījumos, kad nav izpildīti noteikti darbības kritēriji. Saskaņā ar šādiem nosacījumiem valdības maksājumiem jābūt atkarīgiem no faktiskās </w:t>
      </w:r>
      <w:r>
        <w:rPr>
          <w:rFonts w:ascii="Times New Roman" w:hAnsi="Times New Roman"/>
          <w:noProof/>
          <w:sz w:val="24"/>
        </w:rPr>
        <w:lastRenderedPageBreak/>
        <w:t>pieejamības, ko partneris nodrošina konkrētā laika posmā. Tas galvenokārt attiektos gadījumos, kad partneris neatbilst noteiktajiem kvalitātes standartiem, jo neuzrāda pietiekami augstus darbības rezultātus, un par to liecina tas, ka pakalpojums nav pieejams, ir zems faktiskais pieprasījums no galalietotāju puses vai arī ir zema lietotāju apmierinātība. To atspoguļo līgumā minētie darbības rādītāji, piemēram, attiecībā uz pieejamo gultu skaitu slimnīcā, mācību klašu un kameru skaitu cietumā, satiksmei pieejamo joslu skaitu uz automaģistrāles u. tml. Parasti tiek uzskatīts, ka partneris spēj novērst šo pieejamības risku. Dažkārt problēmas partnerim var radīt kāds “ārējs iemesls”, piemēram, valdības politikas būtiskas pārmaiņas, papildu specifikācijas, ko pieprasa valdība, vai nepārvaramas varas apstākļi. Taču šādi izņēmumi ir pieļaujami vienīgi saskaņā ar ļoti stingriem nosacījumiem, un tie ir skaidri jāparedz līgumā, tajos ietverot lielu faktoru grupu, kuri ietekmē partnera izmaksas un/vai tā spēju izpildīt līgumsaistības.</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Ja partneris nepilda savas pakalpojumu saistības, tad līgumsodi ir jāpiemēro automātiski, un tiem ir būtiski jāietekmē partnera ieņēmumi/peļņa. Tiem ir būtiski jāietekmē partnera darbības spēju robeža un dažos gadījumos pat tā jāpārsniedz, lai partneris tiktu smagi finansiāli sodīts par līguma neatbilstošu izpildi. Līgumsods var būt arī automātiska līguma pārskatīšana un pat līguma laušana.</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Ir būtiski pārliecināties, vai līgumsodi par neatbilstošu izpildi nav tikai “kosmētiski” vai simboliski. Par to, ka ir noteikti neatbilstīgi līgumsodi, liecinātu tas, ka valdības maksājumu samazinājums ir ievērojami neproporcionāls nesniegto pakalpojumu apjomam, un šāda situācija būtu pretrunā pamatidejai, ka būtiska risku daļa ir jānodod partnerim. Turklāt, ja paredzētajam līgumsodam, kas ir piemērojams saistību nepildīšanas gadījumā, ir noteikti maksimālie griesti vai procentuālais ierobežojums, arī tas varētu liecināt, ka partnerim nav nodota pietiekami būtiska riska daļa. Gadījumā, ja aktīvs nav pieejams noteiktu laika posmu, valdības maksājumiem būtu jāsamazinās līdz nullei.</w:t>
      </w:r>
    </w:p>
    <w:p w:rsidR="00506AA9" w:rsidRPr="001973D0" w:rsidRDefault="00506AA9"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 xml:space="preserve">Attiecībā uz </w:t>
      </w:r>
      <w:r>
        <w:rPr>
          <w:rFonts w:ascii="Times New Roman" w:hAnsi="Times New Roman"/>
          <w:b/>
          <w:noProof/>
          <w:sz w:val="24"/>
        </w:rPr>
        <w:t>pieprasījuma risku</w:t>
      </w:r>
      <w:r>
        <w:rPr>
          <w:rFonts w:ascii="Times New Roman" w:hAnsi="Times New Roman"/>
          <w:noProof/>
          <w:sz w:val="24"/>
        </w:rPr>
        <w:t xml:space="preserve"> jānorāda, ka valdību uzskata par līgumslēdzēju pusi, kura uzņēmusies risku, ja tai līgumā būtu noteikts pienākums nodrošināt maksājumus noteiktā līmenī partnerim neatkarīgi no galalietotāju faktiskā pieprasījuma, tādējādi nodrošinot, ka pieprasījuma līmeņa mainībai ir nebūtiska ietekme uz partnera ienesīgumu. Tomēr pieprasījuma mainīgums nedrīkstētu būt atkarīgs no partnera darbības rezultātiem, kas jau ir ietverts iepriekš minētajos noteikumos (citiem vārdiem, būtu jāizpilda līgumā norādītie pieejamības standarti). Tādēļ pieprasījuma riskam būtu jāattiecas uz galalietotāju rīcības tiešām pārmaiņām tādu faktoru dēļ kā, piemēram, uzņēmējdarbības cikls, jaunas tirgus tendences, tieša konkurence vai tehnoloģiska novecošana. Citiem vārdiem sakot, būtu uzskatāms, ka šādu ekonomisku risku uzņemšanās ir normāla partnera darbības iezīme.</w:t>
      </w:r>
    </w:p>
    <w:p w:rsidR="00506AA9" w:rsidRPr="0051363E" w:rsidRDefault="00EE6A0A" w:rsidP="00506AA9">
      <w:pPr>
        <w:pStyle w:val="BodyText"/>
        <w:numPr>
          <w:ilvl w:val="0"/>
          <w:numId w:val="129"/>
        </w:numPr>
        <w:tabs>
          <w:tab w:val="left" w:pos="1062"/>
        </w:tabs>
        <w:spacing w:before="0"/>
        <w:ind w:left="709" w:hanging="709"/>
        <w:jc w:val="both"/>
        <w:rPr>
          <w:rFonts w:ascii="Times New Roman" w:hAnsi="Times New Roman"/>
          <w:noProof/>
          <w:sz w:val="24"/>
        </w:rPr>
      </w:pPr>
      <w:r>
        <w:rPr>
          <w:rFonts w:ascii="Times New Roman" w:hAnsi="Times New Roman"/>
          <w:noProof/>
          <w:sz w:val="24"/>
        </w:rPr>
        <w:t>Lai aktīvu ierakstītu</w:t>
      </w:r>
      <w:r w:rsidR="00506AA9">
        <w:rPr>
          <w:rFonts w:ascii="Times New Roman" w:hAnsi="Times New Roman"/>
          <w:noProof/>
          <w:sz w:val="24"/>
        </w:rPr>
        <w:t xml:space="preserve"> partnera bilancē gadījumā, kad neparedzēti samazinās partnera ieņēmumi, partnerim pašam ir jāspēj atrisināt šādu problēmu, veicot dažādas tā atbildībā ietilpstošas darbības, piemēram, izvēršot reklāmu, veicot diversificēšanu vai pārplānošanu u. tml. Šajā ziņā partneris īstenotu savu darbību atbilstīgi komercpraksei. Tādējādi, ja līguma noteikumi paredz, ka partneris drīkst izmantot aktīvus arī tādiem mērķiem, kas nav saskaņoti ar valdību, tad tas bieži liecinātu par to, ka partneris faktiski ir uzņēmies šeit noteikto pieprasījuma risku.</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Ja pieprasījuma pārmaiņas notiek acīmredzamas valdības rīcības dēļ, piemēram, tādu valdības (un līdz ar to ne tikai līgumā tieši iesaistītās valdības vienības/-u) lēmumu dēļ, kas būtu pielīdzināmi būtiskai politikas maiņai, vai arī valdība ir atļāvusi būvēt tieši konkurējošu infrastruktūru, tad regulāro maksājumu koriģēšana vai pat kompensācijas maksājuma veikšana partnerim nen</w:t>
      </w:r>
      <w:r w:rsidR="00EE6A0A">
        <w:rPr>
          <w:rFonts w:ascii="Times New Roman" w:hAnsi="Times New Roman"/>
          <w:noProof/>
          <w:sz w:val="24"/>
        </w:rPr>
        <w:t>ozīmētu, ka aktīvi ir jāieraksta</w:t>
      </w:r>
      <w:r>
        <w:rPr>
          <w:rFonts w:ascii="Times New Roman" w:hAnsi="Times New Roman"/>
          <w:noProof/>
          <w:sz w:val="24"/>
        </w:rPr>
        <w:t xml:space="preserve"> (vai jāpārklasificē) valdības bilancē, ja tiktu atzīts, ka partnera rentabilitātes samazināšanās ir tiešs valdības </w:t>
      </w:r>
      <w:r>
        <w:rPr>
          <w:rFonts w:ascii="Times New Roman" w:hAnsi="Times New Roman"/>
          <w:noProof/>
          <w:sz w:val="24"/>
        </w:rPr>
        <w:lastRenderedPageBreak/>
        <w:t>tīšas darbības rezultāts.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Kas attiecas uz citiem nosacījumiem, saskaņā ar kuriem valdība var uzņemties projekta risku, ir jāanalizē, vai pastāv valdības finansējums un galvojums privātā sektora finansējumā. Šādu “finansējuma risku” varētu uzskatīt par “būvniecības riska” neatņemamu daļu, jo piemērota finansējuma trūkums varētu nozīmēt, ka nav iespējams uzbūvēt aktīvu vai arī to nevar uzbūvēt saskaņā ar pieņemtajiem standartiem. Turklāt, ņemot vērā, ka finansēšanas risks varētu būt atkarīgs no partnera izpildījuma, kā rezultātā dažkārt varētu samazināties ieņēmumi no valdības, šādas garantijas beigu beigās samazinātu partnera riskus.</w:t>
      </w:r>
    </w:p>
    <w:p w:rsidR="00506AA9" w:rsidRPr="001973D0" w:rsidRDefault="00506AA9" w:rsidP="00506AA9">
      <w:pPr>
        <w:pStyle w:val="BodyText"/>
        <w:numPr>
          <w:ilvl w:val="0"/>
          <w:numId w:val="129"/>
        </w:numPr>
        <w:tabs>
          <w:tab w:val="left" w:pos="1102"/>
        </w:tabs>
        <w:spacing w:before="0"/>
        <w:ind w:left="709" w:hanging="709"/>
        <w:jc w:val="both"/>
        <w:rPr>
          <w:rFonts w:ascii="Times New Roman" w:hAnsi="Times New Roman"/>
          <w:noProof/>
          <w:sz w:val="24"/>
        </w:rPr>
      </w:pPr>
      <w:r>
        <w:rPr>
          <w:rFonts w:ascii="Times New Roman" w:hAnsi="Times New Roman"/>
          <w:noProof/>
          <w:sz w:val="24"/>
        </w:rPr>
        <w:t>Gadījumos, kad valdība finansētu daļu no PPP un arī piešķirtu garantijas attiecībā uz visu partnera pašu kapitālu un/vai parādiem vai to daļu, šādus pasākumus riska analīzes izpratnē uzskata par kumulatīviem pasākumiem. Šāda analīze ir jāveic attiecībā uz projekta kapitāla izdevumiem, lai noskaidrotu, vai valdība, izmantojot šos mehānismus, sedz lielāko daļu kapitāla izdevumu.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452"/>
        </w:tabs>
        <w:ind w:left="0" w:firstLine="0"/>
        <w:jc w:val="both"/>
        <w:rPr>
          <w:rFonts w:ascii="Times New Roman" w:hAnsi="Times New Roman"/>
          <w:noProof/>
          <w:u w:val="thick" w:color="000000"/>
        </w:rPr>
      </w:pPr>
      <w:bookmarkStart w:id="480" w:name="VI.4.5_Accounting_examples"/>
      <w:bookmarkEnd w:id="480"/>
      <w:r>
        <w:rPr>
          <w:rFonts w:ascii="Times New Roman" w:hAnsi="Times New Roman"/>
          <w:noProof/>
          <w:u w:val="none"/>
        </w:rPr>
        <w:t>VI.4.5. Uzskaites piemēri</w:t>
      </w:r>
    </w:p>
    <w:p w:rsidR="00506AA9" w:rsidRPr="001973D0" w:rsidRDefault="00506AA9" w:rsidP="00506AA9">
      <w:pPr>
        <w:pStyle w:val="Heading4"/>
        <w:tabs>
          <w:tab w:val="left" w:pos="1452"/>
        </w:tabs>
        <w:ind w:left="0" w:firstLine="0"/>
        <w:jc w:val="both"/>
        <w:rPr>
          <w:rFonts w:ascii="Times New Roman" w:hAnsi="Times New Roman"/>
          <w:noProof/>
          <w:u w:val="thick" w:color="000000"/>
        </w:rPr>
      </w:pPr>
    </w:p>
    <w:p w:rsidR="00506AA9" w:rsidRDefault="00EE6A0A" w:rsidP="00506AA9">
      <w:pPr>
        <w:pStyle w:val="Heading6"/>
        <w:jc w:val="both"/>
        <w:rPr>
          <w:rFonts w:ascii="Times New Roman" w:hAnsi="Times New Roman"/>
          <w:noProof/>
          <w:sz w:val="24"/>
        </w:rPr>
      </w:pPr>
      <w:bookmarkStart w:id="481" w:name="The_PPP_asset_is_recorded_in_the_partner"/>
      <w:bookmarkEnd w:id="481"/>
      <w:r>
        <w:rPr>
          <w:rFonts w:ascii="Times New Roman" w:hAnsi="Times New Roman"/>
          <w:noProof/>
          <w:sz w:val="24"/>
        </w:rPr>
        <w:t>PPP aktīvu ieraksta</w:t>
      </w:r>
      <w:r w:rsidR="00506AA9">
        <w:rPr>
          <w:rFonts w:ascii="Times New Roman" w:hAnsi="Times New Roman"/>
          <w:noProof/>
          <w:sz w:val="24"/>
        </w:rPr>
        <w:t xml:space="preserve"> partnera bilancē</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3"/>
          <w:numId w:val="128"/>
        </w:numPr>
        <w:tabs>
          <w:tab w:val="left" w:pos="1462"/>
        </w:tabs>
        <w:spacing w:before="0"/>
        <w:ind w:left="709" w:hanging="709"/>
        <w:jc w:val="both"/>
        <w:rPr>
          <w:rFonts w:ascii="Times New Roman" w:hAnsi="Times New Roman"/>
          <w:noProof/>
          <w:sz w:val="24"/>
        </w:rPr>
      </w:pPr>
      <w:r>
        <w:rPr>
          <w:rFonts w:ascii="Times New Roman" w:hAnsi="Times New Roman"/>
          <w:noProof/>
          <w:sz w:val="24"/>
        </w:rPr>
        <w:t>Partneris uzbūvē aktīvu 1. gadā 1000 naudas vienību vērtībā.</w:t>
      </w:r>
    </w:p>
    <w:p w:rsidR="00506AA9" w:rsidRPr="001973D0" w:rsidRDefault="00506AA9" w:rsidP="00506AA9">
      <w:pPr>
        <w:pStyle w:val="BodyText"/>
        <w:numPr>
          <w:ilvl w:val="3"/>
          <w:numId w:val="128"/>
        </w:numPr>
        <w:tabs>
          <w:tab w:val="left" w:pos="1462"/>
        </w:tabs>
        <w:spacing w:before="0"/>
        <w:ind w:left="709" w:hanging="709"/>
        <w:jc w:val="both"/>
        <w:rPr>
          <w:rFonts w:ascii="Times New Roman" w:hAnsi="Times New Roman"/>
          <w:noProof/>
          <w:sz w:val="24"/>
        </w:rPr>
      </w:pPr>
      <w:r>
        <w:rPr>
          <w:rFonts w:ascii="Times New Roman" w:hAnsi="Times New Roman"/>
          <w:noProof/>
          <w:sz w:val="24"/>
        </w:rPr>
        <w:t>Valdība ekspluatācijas laikā veic regulārus maksājumus sabiedrībai atbilstoši pieejamībai (pirmajā gadā maksājums ir 100 naudas vienības).</w:t>
      </w:r>
    </w:p>
    <w:p w:rsidR="00506AA9" w:rsidRPr="001973D0" w:rsidRDefault="00506AA9" w:rsidP="00506AA9">
      <w:pPr>
        <w:pStyle w:val="BodyText"/>
        <w:numPr>
          <w:ilvl w:val="3"/>
          <w:numId w:val="128"/>
        </w:numPr>
        <w:tabs>
          <w:tab w:val="left" w:pos="1462"/>
        </w:tabs>
        <w:spacing w:before="0"/>
        <w:ind w:left="709" w:hanging="709"/>
        <w:jc w:val="both"/>
        <w:rPr>
          <w:rFonts w:ascii="Times New Roman" w:hAnsi="Times New Roman"/>
          <w:noProof/>
          <w:sz w:val="24"/>
        </w:rPr>
      </w:pPr>
      <w:r>
        <w:rPr>
          <w:rFonts w:ascii="Times New Roman" w:hAnsi="Times New Roman"/>
          <w:noProof/>
          <w:sz w:val="24"/>
        </w:rPr>
        <w:t>Ekspluatācijas beigās infrastruktūru nopērk valdība (par 200 naudas vienībām).</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1. gads</w:t>
      </w:r>
    </w:p>
    <w:p w:rsidR="00506AA9" w:rsidRPr="0051363E" w:rsidRDefault="00506AA9" w:rsidP="00506AA9">
      <w:pPr>
        <w:jc w:val="both"/>
        <w:rPr>
          <w:rFonts w:ascii="Times New Roman" w:eastAsia="Arial" w:hAnsi="Times New Roman" w:cs="Arial"/>
          <w:bCs/>
          <w:noProof/>
          <w:sz w:val="24"/>
          <w:szCs w:val="10"/>
        </w:rPr>
      </w:pPr>
    </w:p>
    <w:p w:rsidR="00506AA9" w:rsidRPr="0051363E" w:rsidRDefault="00106B7A" w:rsidP="00506AA9">
      <w:pPr>
        <w:jc w:val="center"/>
        <w:rPr>
          <w:rFonts w:ascii="Times New Roman" w:eastAsia="Arial" w:hAnsi="Times New Roman" w:cs="Arial"/>
          <w:bCs/>
          <w:noProof/>
          <w:sz w:val="24"/>
          <w:szCs w:val="10"/>
        </w:rPr>
      </w:pPr>
      <w:r w:rsidRPr="00106B7A">
        <w:rPr>
          <w:rFonts w:ascii="Times New Roman" w:eastAsia="Arial" w:hAnsi="Times New Roman" w:cs="Arial"/>
          <w:bCs/>
          <w:noProof/>
          <w:sz w:val="24"/>
          <w:szCs w:val="10"/>
          <w:lang w:bidi="ar-SA"/>
        </w:rPr>
        <w:drawing>
          <wp:inline distT="0" distB="0" distL="0" distR="0">
            <wp:extent cx="5760085" cy="1809503"/>
            <wp:effectExtent l="0" t="0" r="0" b="63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60085" cy="1809503"/>
                    </a:xfrm>
                    <a:prstGeom prst="rect">
                      <a:avLst/>
                    </a:prstGeom>
                    <a:noFill/>
                    <a:ln>
                      <a:noFill/>
                    </a:ln>
                  </pic:spPr>
                </pic:pic>
              </a:graphicData>
            </a:graphic>
          </wp:inline>
        </w:drawing>
      </w:r>
      <w:r w:rsidR="002879C0" w:rsidRPr="002879C0">
        <w:rPr>
          <w:rFonts w:ascii="Times New Roman" w:eastAsia="Arial" w:hAnsi="Times New Roman" w:cs="Arial"/>
          <w:bCs/>
          <w:noProof/>
          <w:sz w:val="24"/>
          <w:szCs w:val="10"/>
          <w:lang w:bidi="ar-SA"/>
        </w:rPr>
        <w:drawing>
          <wp:inline distT="0" distB="0" distL="0" distR="0">
            <wp:extent cx="5760085" cy="1288079"/>
            <wp:effectExtent l="0" t="0" r="0" b="762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60085" cy="1288079"/>
                    </a:xfrm>
                    <a:prstGeom prst="rect">
                      <a:avLst/>
                    </a:prstGeom>
                    <a:noFill/>
                    <a:ln>
                      <a:noFill/>
                    </a:ln>
                  </pic:spPr>
                </pic:pic>
              </a:graphicData>
            </a:graphic>
          </wp:inline>
        </w:drawing>
      </w:r>
    </w:p>
    <w:p w:rsidR="00506AA9" w:rsidRPr="0051363E" w:rsidRDefault="00506AA9" w:rsidP="00506AA9">
      <w:pPr>
        <w:jc w:val="center"/>
        <w:rPr>
          <w:rFonts w:ascii="Times New Roman" w:eastAsia="Arial" w:hAnsi="Times New Roman" w:cs="Arial"/>
          <w:bCs/>
          <w:noProof/>
          <w:sz w:val="24"/>
          <w:szCs w:val="10"/>
        </w:rPr>
      </w:pPr>
    </w:p>
    <w:p w:rsidR="002879C0" w:rsidRDefault="002879C0">
      <w:pPr>
        <w:widowControl/>
        <w:spacing w:after="160" w:line="259" w:lineRule="auto"/>
        <w:rPr>
          <w:rFonts w:ascii="Times New Roman" w:eastAsia="Arial" w:hAnsi="Times New Roman" w:cs="Arial"/>
          <w:bCs/>
          <w:noProof/>
          <w:sz w:val="24"/>
          <w:szCs w:val="10"/>
        </w:rPr>
      </w:pPr>
      <w:r>
        <w:rPr>
          <w:rFonts w:ascii="Times New Roman" w:eastAsia="Arial" w:hAnsi="Times New Roman" w:cs="Arial"/>
          <w:bCs/>
          <w:noProof/>
          <w:sz w:val="24"/>
          <w:szCs w:val="10"/>
        </w:rPr>
        <w:br w:type="page"/>
      </w: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lastRenderedPageBreak/>
        <w:t>Gads </w:t>
      </w:r>
      <w:r>
        <w:rPr>
          <w:rFonts w:ascii="Times New Roman" w:hAnsi="Times New Roman"/>
          <w:i/>
          <w:noProof/>
          <w:sz w:val="24"/>
        </w:rPr>
        <w:t>t</w:t>
      </w:r>
      <w:r>
        <w:rPr>
          <w:rFonts w:ascii="Times New Roman" w:hAnsi="Times New Roman"/>
          <w:noProof/>
          <w:sz w:val="24"/>
        </w:rPr>
        <w:t>. Ekspluatācijas beigās iegādājas valdība</w:t>
      </w:r>
    </w:p>
    <w:p w:rsidR="00506AA9" w:rsidRDefault="00506AA9" w:rsidP="00506AA9">
      <w:pPr>
        <w:jc w:val="both"/>
        <w:rPr>
          <w:rFonts w:ascii="Times New Roman" w:eastAsia="Calibri" w:hAnsi="Times New Roman" w:cs="Calibri"/>
          <w:noProof/>
          <w:sz w:val="24"/>
          <w:szCs w:val="20"/>
        </w:rPr>
      </w:pPr>
    </w:p>
    <w:p w:rsidR="00506AA9" w:rsidRDefault="00106B7A" w:rsidP="00506AA9">
      <w:pPr>
        <w:jc w:val="center"/>
        <w:rPr>
          <w:rFonts w:ascii="Times New Roman" w:eastAsia="Calibri" w:hAnsi="Times New Roman" w:cs="Calibri"/>
          <w:noProof/>
          <w:sz w:val="24"/>
          <w:szCs w:val="20"/>
        </w:rPr>
      </w:pPr>
      <w:r w:rsidRPr="00106B7A">
        <w:rPr>
          <w:rFonts w:ascii="Times New Roman" w:eastAsia="Calibri" w:hAnsi="Times New Roman" w:cs="Calibri"/>
          <w:noProof/>
          <w:sz w:val="24"/>
          <w:szCs w:val="20"/>
          <w:lang w:bidi="ar-SA"/>
        </w:rPr>
        <w:drawing>
          <wp:inline distT="0" distB="0" distL="0" distR="0">
            <wp:extent cx="5760085" cy="258044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760085" cy="2580449"/>
                    </a:xfrm>
                    <a:prstGeom prst="rect">
                      <a:avLst/>
                    </a:prstGeom>
                    <a:noFill/>
                    <a:ln>
                      <a:noFill/>
                    </a:ln>
                  </pic:spPr>
                </pic:pic>
              </a:graphicData>
            </a:graphic>
          </wp:inline>
        </w:drawing>
      </w:r>
    </w:p>
    <w:p w:rsidR="00506AA9" w:rsidRDefault="00506AA9" w:rsidP="00506AA9">
      <w:pPr>
        <w:jc w:val="both"/>
        <w:rPr>
          <w:rFonts w:ascii="Times New Roman" w:eastAsia="Calibri" w:hAnsi="Times New Roman" w:cs="Calibri"/>
          <w:noProof/>
          <w:sz w:val="24"/>
          <w:szCs w:val="20"/>
        </w:rPr>
      </w:pPr>
    </w:p>
    <w:p w:rsidR="00506AA9" w:rsidRDefault="00EE6A0A" w:rsidP="00506AA9">
      <w:pPr>
        <w:pStyle w:val="Heading6"/>
        <w:jc w:val="both"/>
        <w:rPr>
          <w:rFonts w:ascii="Times New Roman" w:hAnsi="Times New Roman"/>
          <w:noProof/>
          <w:sz w:val="24"/>
        </w:rPr>
      </w:pPr>
      <w:r>
        <w:rPr>
          <w:rFonts w:ascii="Times New Roman" w:hAnsi="Times New Roman"/>
          <w:noProof/>
          <w:sz w:val="24"/>
        </w:rPr>
        <w:t>PPP aktīvu ieraksta</w:t>
      </w:r>
      <w:r w:rsidR="00506AA9">
        <w:rPr>
          <w:rFonts w:ascii="Times New Roman" w:hAnsi="Times New Roman"/>
          <w:noProof/>
          <w:sz w:val="24"/>
        </w:rPr>
        <w:t xml:space="preserve"> valdības bilancē</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BodyText"/>
        <w:numPr>
          <w:ilvl w:val="0"/>
          <w:numId w:val="88"/>
        </w:numPr>
        <w:tabs>
          <w:tab w:val="left" w:pos="1478"/>
        </w:tabs>
        <w:spacing w:before="0"/>
        <w:ind w:left="709" w:hanging="709"/>
        <w:jc w:val="both"/>
        <w:rPr>
          <w:rFonts w:ascii="Times New Roman" w:hAnsi="Times New Roman"/>
          <w:noProof/>
          <w:sz w:val="24"/>
        </w:rPr>
      </w:pPr>
      <w:r>
        <w:rPr>
          <w:rFonts w:ascii="Times New Roman" w:hAnsi="Times New Roman"/>
          <w:noProof/>
          <w:sz w:val="24"/>
        </w:rPr>
        <w:t>Partneris uzbūvē aktīvu 1. gadā 1000 naudas vienību vērtībā.</w:t>
      </w:r>
    </w:p>
    <w:p w:rsidR="00506AA9" w:rsidRPr="001973D0" w:rsidRDefault="00506AA9" w:rsidP="00506AA9">
      <w:pPr>
        <w:pStyle w:val="BodyText"/>
        <w:numPr>
          <w:ilvl w:val="0"/>
          <w:numId w:val="88"/>
        </w:numPr>
        <w:tabs>
          <w:tab w:val="left" w:pos="1478"/>
        </w:tabs>
        <w:spacing w:before="0"/>
        <w:ind w:left="709" w:hanging="709"/>
        <w:jc w:val="both"/>
        <w:rPr>
          <w:rFonts w:ascii="Times New Roman" w:hAnsi="Times New Roman"/>
          <w:noProof/>
          <w:sz w:val="24"/>
        </w:rPr>
      </w:pPr>
      <w:r>
        <w:rPr>
          <w:rFonts w:ascii="Times New Roman" w:hAnsi="Times New Roman"/>
          <w:noProof/>
          <w:sz w:val="24"/>
        </w:rPr>
        <w:t>Ekspluatācijas laikā valdība veic regulārus maksājumus sabiedrībai (maksājums ir 100 naudas vienības: 50 naudas vienības – procenti D.41, 30 naudas vienības – maksa par pakalpojumu P.2, 20 naudas vienības – nosacītā aizdevuma amortizācija F.4).</w:t>
      </w:r>
    </w:p>
    <w:p w:rsidR="00506AA9" w:rsidRPr="001973D0" w:rsidRDefault="00506AA9" w:rsidP="00506AA9">
      <w:pPr>
        <w:pStyle w:val="BodyText"/>
        <w:numPr>
          <w:ilvl w:val="0"/>
          <w:numId w:val="88"/>
        </w:numPr>
        <w:tabs>
          <w:tab w:val="left" w:pos="1478"/>
        </w:tabs>
        <w:spacing w:before="0"/>
        <w:ind w:left="709" w:hanging="709"/>
        <w:jc w:val="both"/>
        <w:rPr>
          <w:rFonts w:ascii="Times New Roman" w:hAnsi="Times New Roman"/>
          <w:noProof/>
          <w:sz w:val="24"/>
        </w:rPr>
      </w:pPr>
      <w:r>
        <w:rPr>
          <w:rFonts w:ascii="Times New Roman" w:hAnsi="Times New Roman"/>
          <w:noProof/>
          <w:sz w:val="24"/>
        </w:rPr>
        <w:t>Gada beigās aktīva vērtība ir 950 naudas vienības.</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jc w:val="both"/>
        <w:rPr>
          <w:rFonts w:ascii="Times New Roman" w:eastAsia="Arial" w:hAnsi="Times New Roman" w:cs="Arial"/>
          <w:noProof/>
          <w:sz w:val="24"/>
          <w:szCs w:val="27"/>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1. gad</w:t>
      </w:r>
      <w:r w:rsidR="00EE6A0A">
        <w:rPr>
          <w:rFonts w:ascii="Times New Roman" w:hAnsi="Times New Roman"/>
          <w:noProof/>
          <w:sz w:val="24"/>
        </w:rPr>
        <w:t>s. Kapitāla izdevumi (ierakstīti</w:t>
      </w:r>
      <w:r>
        <w:rPr>
          <w:rFonts w:ascii="Times New Roman" w:hAnsi="Times New Roman"/>
          <w:noProof/>
          <w:sz w:val="24"/>
        </w:rPr>
        <w:t xml:space="preserve"> kā finanšu noma)</w:t>
      </w:r>
    </w:p>
    <w:p w:rsidR="00506AA9" w:rsidRPr="0051363E" w:rsidRDefault="00506AA9" w:rsidP="00506AA9">
      <w:pPr>
        <w:jc w:val="both"/>
        <w:rPr>
          <w:rFonts w:ascii="Times New Roman" w:eastAsia="Arial" w:hAnsi="Times New Roman" w:cs="Arial"/>
          <w:bCs/>
          <w:noProof/>
          <w:sz w:val="24"/>
          <w:szCs w:val="10"/>
        </w:rPr>
      </w:pPr>
    </w:p>
    <w:p w:rsidR="00506AA9" w:rsidRPr="0051363E" w:rsidRDefault="002879C0" w:rsidP="00506AA9">
      <w:pPr>
        <w:jc w:val="center"/>
        <w:rPr>
          <w:rFonts w:ascii="Times New Roman" w:eastAsia="Calibri" w:hAnsi="Times New Roman" w:cs="Calibri"/>
          <w:bCs/>
          <w:noProof/>
          <w:sz w:val="24"/>
          <w:szCs w:val="20"/>
        </w:rPr>
      </w:pPr>
      <w:r w:rsidRPr="002879C0">
        <w:rPr>
          <w:rFonts w:ascii="Times New Roman" w:eastAsia="Calibri" w:hAnsi="Times New Roman" w:cs="Calibri"/>
          <w:bCs/>
          <w:noProof/>
          <w:sz w:val="24"/>
          <w:szCs w:val="20"/>
          <w:lang w:bidi="ar-SA"/>
        </w:rPr>
        <w:drawing>
          <wp:inline distT="0" distB="0" distL="0" distR="0">
            <wp:extent cx="5055293" cy="1606001"/>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83322" cy="1614905"/>
                    </a:xfrm>
                    <a:prstGeom prst="rect">
                      <a:avLst/>
                    </a:prstGeom>
                    <a:noFill/>
                    <a:ln>
                      <a:noFill/>
                    </a:ln>
                  </pic:spPr>
                </pic:pic>
              </a:graphicData>
            </a:graphic>
          </wp:inline>
        </w:drawing>
      </w:r>
      <w:r w:rsidR="00106B7A" w:rsidRPr="00106B7A">
        <w:rPr>
          <w:rFonts w:ascii="Times New Roman" w:eastAsia="Calibri" w:hAnsi="Times New Roman" w:cs="Calibri"/>
          <w:bCs/>
          <w:noProof/>
          <w:sz w:val="24"/>
          <w:szCs w:val="20"/>
          <w:lang w:bidi="ar-SA"/>
        </w:rPr>
        <w:drawing>
          <wp:inline distT="0" distB="0" distL="0" distR="0">
            <wp:extent cx="5111728" cy="2269007"/>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121557" cy="2273370"/>
                    </a:xfrm>
                    <a:prstGeom prst="rect">
                      <a:avLst/>
                    </a:prstGeom>
                    <a:noFill/>
                    <a:ln>
                      <a:noFill/>
                    </a:ln>
                  </pic:spPr>
                </pic:pic>
              </a:graphicData>
            </a:graphic>
          </wp:inline>
        </w:drawing>
      </w:r>
    </w:p>
    <w:p w:rsidR="00506AA9" w:rsidRPr="0051363E" w:rsidRDefault="00506AA9" w:rsidP="00506AA9">
      <w:pPr>
        <w:jc w:val="both"/>
        <w:rPr>
          <w:rFonts w:ascii="Times New Roman" w:eastAsia="Calibri" w:hAnsi="Times New Roman" w:cs="Calibri"/>
          <w:bCs/>
          <w:noProof/>
          <w:sz w:val="24"/>
          <w:szCs w:val="23"/>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2. gads</w:t>
      </w:r>
    </w:p>
    <w:p w:rsidR="00506AA9" w:rsidRDefault="00506AA9" w:rsidP="00506AA9">
      <w:pPr>
        <w:jc w:val="both"/>
        <w:rPr>
          <w:rFonts w:ascii="Times New Roman" w:eastAsia="Calibri" w:hAnsi="Times New Roman" w:cs="Calibri"/>
          <w:noProof/>
          <w:sz w:val="24"/>
          <w:szCs w:val="20"/>
        </w:rPr>
      </w:pPr>
    </w:p>
    <w:p w:rsidR="00506AA9" w:rsidRDefault="00106B7A" w:rsidP="00506AA9">
      <w:pPr>
        <w:jc w:val="center"/>
        <w:rPr>
          <w:rFonts w:ascii="Times New Roman" w:eastAsia="Calibri" w:hAnsi="Times New Roman" w:cs="Calibri"/>
          <w:noProof/>
          <w:sz w:val="24"/>
          <w:szCs w:val="20"/>
        </w:rPr>
      </w:pPr>
      <w:r w:rsidRPr="00106B7A">
        <w:rPr>
          <w:rFonts w:ascii="Times New Roman" w:eastAsia="Calibri" w:hAnsi="Times New Roman" w:cs="Calibri"/>
          <w:noProof/>
          <w:sz w:val="24"/>
          <w:szCs w:val="20"/>
          <w:lang w:bidi="ar-SA"/>
        </w:rPr>
        <w:drawing>
          <wp:inline distT="0" distB="0" distL="0" distR="0">
            <wp:extent cx="5760085" cy="4305842"/>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60085" cy="4305842"/>
                    </a:xfrm>
                    <a:prstGeom prst="rect">
                      <a:avLst/>
                    </a:prstGeom>
                    <a:noFill/>
                    <a:ln>
                      <a:noFill/>
                    </a:ln>
                  </pic:spPr>
                </pic:pic>
              </a:graphicData>
            </a:graphic>
          </wp:inline>
        </w:drawing>
      </w:r>
    </w:p>
    <w:p w:rsidR="00506AA9" w:rsidRDefault="00506AA9" w:rsidP="00506AA9">
      <w:pPr>
        <w:jc w:val="both"/>
        <w:rPr>
          <w:rFonts w:ascii="Times New Roman" w:eastAsia="Calibri" w:hAnsi="Times New Roman" w:cs="Calibri"/>
          <w:noProof/>
          <w:sz w:val="24"/>
          <w:szCs w:val="20"/>
        </w:rPr>
      </w:pPr>
    </w:p>
    <w:p w:rsidR="00506AA9" w:rsidRDefault="00506AA9" w:rsidP="00506AA9">
      <w:pPr>
        <w:rPr>
          <w:rFonts w:ascii="Times New Roman" w:eastAsia="Calibri" w:hAnsi="Times New Roman" w:cs="Calibri"/>
          <w:noProof/>
          <w:sz w:val="24"/>
          <w:szCs w:val="20"/>
        </w:rPr>
      </w:pPr>
      <w:r>
        <w:br w:type="page"/>
      </w:r>
    </w:p>
    <w:p w:rsidR="00506AA9" w:rsidRDefault="00506AA9" w:rsidP="002879C0">
      <w:pPr>
        <w:pStyle w:val="Heading2"/>
        <w:rPr>
          <w:noProof/>
        </w:rPr>
      </w:pPr>
      <w:bookmarkStart w:id="482" w:name="VI.5__Emission_trading_allowances"/>
      <w:bookmarkStart w:id="483" w:name="_bookmark51"/>
      <w:bookmarkStart w:id="484" w:name="_Toc471135917"/>
      <w:bookmarkEnd w:id="482"/>
      <w:bookmarkEnd w:id="483"/>
      <w:r>
        <w:rPr>
          <w:noProof/>
        </w:rPr>
        <w:lastRenderedPageBreak/>
        <w:t>VI.5. Emisijas tirdzniecības kvotas</w:t>
      </w:r>
      <w:bookmarkEnd w:id="484"/>
    </w:p>
    <w:p w:rsidR="00506AA9" w:rsidRPr="001973D0" w:rsidRDefault="00506AA9" w:rsidP="00506AA9">
      <w:pPr>
        <w:tabs>
          <w:tab w:val="left" w:pos="1500"/>
        </w:tabs>
        <w:jc w:val="both"/>
        <w:rPr>
          <w:rFonts w:ascii="Times New Roman" w:hAnsi="Times New Roman"/>
          <w:b/>
          <w:noProof/>
          <w:sz w:val="24"/>
        </w:rPr>
      </w:pPr>
    </w:p>
    <w:p w:rsidR="00506AA9" w:rsidRDefault="00506AA9" w:rsidP="00506AA9">
      <w:pPr>
        <w:pStyle w:val="Heading4"/>
        <w:tabs>
          <w:tab w:val="left" w:pos="1412"/>
        </w:tabs>
        <w:ind w:left="0" w:firstLine="0"/>
        <w:jc w:val="both"/>
        <w:rPr>
          <w:rFonts w:ascii="Times New Roman" w:hAnsi="Times New Roman"/>
          <w:noProof/>
          <w:u w:val="thick" w:color="000000"/>
        </w:rPr>
      </w:pPr>
      <w:bookmarkStart w:id="485" w:name="VI.5.1_Background"/>
      <w:bookmarkEnd w:id="485"/>
      <w:r>
        <w:rPr>
          <w:rFonts w:ascii="Times New Roman" w:hAnsi="Times New Roman"/>
          <w:noProof/>
          <w:u w:val="none"/>
        </w:rPr>
        <w:t>VI.5.1. </w:t>
      </w:r>
      <w:r>
        <w:rPr>
          <w:rFonts w:ascii="Times New Roman" w:hAnsi="Times New Roman"/>
          <w:noProof/>
          <w:u w:val="thick" w:color="000000"/>
        </w:rPr>
        <w:t>Vispārēja informācija</w:t>
      </w:r>
    </w:p>
    <w:p w:rsidR="00506AA9" w:rsidRPr="001973D0" w:rsidRDefault="00506AA9" w:rsidP="00506AA9">
      <w:pPr>
        <w:pStyle w:val="Heading4"/>
        <w:tabs>
          <w:tab w:val="left" w:pos="1412"/>
        </w:tabs>
        <w:ind w:left="0" w:firstLine="0"/>
        <w:jc w:val="both"/>
        <w:rPr>
          <w:rFonts w:ascii="Times New Roman" w:hAnsi="Times New Roman"/>
          <w:noProof/>
          <w:u w:val="thick" w:color="000000"/>
        </w:rPr>
      </w:pPr>
    </w:p>
    <w:p w:rsidR="00506AA9" w:rsidRPr="001973D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Valdības izdod emisiju kvotas (ko šajā nodaļā sauc arī par “atļaujām”) kā līdzekli tam, lai kontrolētu piesārņojuma kopējās emisijas vidē, un kā alternatīvu piesārņojuma aplikšanai ar tiešajiem nodokļiem.</w:t>
      </w:r>
    </w:p>
    <w:p w:rsidR="00506AA9" w:rsidRPr="001973D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Šādas emisijas atļauju shēmas var darboties dažādi, un tās var būt vietējās shēmas vai arī shēmas, kas tiek piemērotas vairākās valstīs. Attiecībā uz siltumnīcefekta gāzu emisiju pasaules mēroga kontroles sistēma tika izveidota ar Apvienoto Nāciju Organizācijas Vispārējo konvenciju par klimata pārmaiņām, emisijas mērķlielumu dalībvalstīm nosakot Kioto protokolā, kas tika pieņemts 1997. gadā. Tādējādi dalībvalstīm (tostarp Eiropas Savienībai) tika noteikti saistoši emisijas mērķlielumi 2008.–2012. gadam. 2013.–2020. gadam emisiju maksimālā apjoma noteikšanas sistēma tika atjaunināta un tajā ietvertas dažas būtiskas izmaiņas.</w:t>
      </w:r>
    </w:p>
    <w:p w:rsidR="00506AA9" w:rsidRPr="001973D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Kioto protokolā tika noteikti trīs tirgus mehānismi, ko dalībvalstis var izmantot savu mērķlielumu sasniegšanai. Galvenais mehānisms ļauj valstīm savstarpēji tirgoties ar “noteikta daudzuma vienībām” (</w:t>
      </w:r>
      <w:r>
        <w:rPr>
          <w:rFonts w:ascii="Times New Roman" w:hAnsi="Times New Roman"/>
          <w:i/>
          <w:noProof/>
          <w:sz w:val="24"/>
        </w:rPr>
        <w:t>AAU</w:t>
      </w:r>
      <w:r>
        <w:rPr>
          <w:rFonts w:ascii="Times New Roman" w:hAnsi="Times New Roman"/>
          <w:noProof/>
          <w:sz w:val="24"/>
        </w:rPr>
        <w:t>)</w:t>
      </w:r>
      <w:r>
        <w:rPr>
          <w:rStyle w:val="FootnoteReference"/>
          <w:rFonts w:ascii="Times New Roman" w:hAnsi="Times New Roman"/>
          <w:noProof/>
          <w:sz w:val="24"/>
        </w:rPr>
        <w:footnoteReference w:id="243"/>
      </w:r>
      <w:r>
        <w:rPr>
          <w:rFonts w:ascii="Times New Roman" w:hAnsi="Times New Roman"/>
          <w:noProof/>
          <w:sz w:val="24"/>
        </w:rPr>
        <w:t xml:space="preserve">, kas sākotnēji tika piešķirtas, pamatojoties uz 2008.–2012. gada saistībām. Citi mehānismi (Tīras attīstības mehānisms un Kopīgā īstenošana) ļauj izveidot jaunus instrumentu veidus (ko iespējams apmainīt pret </w:t>
      </w:r>
      <w:r>
        <w:rPr>
          <w:rFonts w:ascii="Times New Roman" w:hAnsi="Times New Roman"/>
          <w:i/>
          <w:noProof/>
          <w:sz w:val="24"/>
        </w:rPr>
        <w:t>AAU</w:t>
      </w:r>
      <w:r>
        <w:rPr>
          <w:rFonts w:ascii="Times New Roman" w:hAnsi="Times New Roman"/>
          <w:noProof/>
          <w:sz w:val="24"/>
        </w:rPr>
        <w:t>), kas atspoguļo emisijas samazināšanas projektus attiecīgi attīstības un tiesīgajās valstīs.</w:t>
      </w:r>
    </w:p>
    <w:p w:rsidR="00506AA9" w:rsidRPr="001973D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Eiropas Savienībā galvenā emisijas kvotu shēma ir Emisijas kvotu tirdzniecības sistēma (ETS). ETS darbība tika sākta 2005. gadā, pamatojoties uz “emisiju ierobežošanas un tirdzniecības” principu. Šis princips nozīmē, ka tiek noteikti “griesti” jeb tiek ierobežots noteiktu siltumnīcefekta gāzu kopējais apjoms, ko rūpnīcas, spēkstacijas un citas sistēmā iekļautās ietaises drīkst emitēt (lai arī ievērojams daudzums piesārņojošo darbību nav iekļauts sistēmā). Ievērojot šo ierobežojumu, uzņēmumi saņem emisijas kvotas, ar kurām tie drīkst savstarpēji tirgoties atbilstīgi vajadzībai. Valstis minētajā periodā izsniedz ierobežotu skaitu atļauju (oglekļa tonnu izteiksmē), kas šobrīd tiek īstenots galvenokārt izsoles veidā.</w:t>
      </w:r>
      <w:r>
        <w:rPr>
          <w:rStyle w:val="FootnoteReference"/>
          <w:rFonts w:ascii="Times New Roman" w:hAnsi="Times New Roman"/>
          <w:noProof/>
          <w:sz w:val="24"/>
        </w:rPr>
        <w:footnoteReference w:id="244"/>
      </w:r>
      <w:r>
        <w:rPr>
          <w:rFonts w:ascii="Times New Roman" w:hAnsi="Times New Roman"/>
          <w:noProof/>
          <w:sz w:val="24"/>
        </w:rPr>
        <w:t xml:space="preserve"> Ierobežotais kopējais kvotu skaits nodrošina to, ka šīm kvotām ir vērtība, un kvotu skaits ar laiku tiek samazināts, kas nozīmē, ka samazinās kopējā emisija. Ar šo sistēmu tiek aizstāts tiešo nodokļu mehānisms, taču ir paredzēts panākt tādu pašu efektu, t. i., mudināt ražotājus pāriet uz tādām iekārtām, kas emitē mazāk oglekļa.</w:t>
      </w:r>
    </w:p>
    <w:p w:rsidR="00506AA9" w:rsidRPr="0051363E"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Katra gada sākumā (Eiropas Savienībā aprīlī) katram uzņēmumam ir jānodod pietiekams daudzums kvotu, kas nosedz visas pagājušā perioda emisijas; pretējā gadījumā attiecībā uz uzņēmumu tiek piemērots liels naudas sods. Ja uzņēmums samazina savas emisijas, tas var paturēt neiztērētās kvotas, lai segtu savas turpmākās vajadzības vai pārdotu tās citam uzņēmumam, kuram pietrūkst kvotu.</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Eiropas Savienībā tiek izdots un pārdots liels daudzums emisijas kvotu, un pieaugošais kvotu izsoļu skaits, kuras organizē ES dalībvalstu valdības, rada nepieciešamību ieviest skaidrību attiecībā uz šādu kvotu reģistrēšanu statistikā.</w:t>
      </w:r>
      <w:r>
        <w:rPr>
          <w:rStyle w:val="FootnoteReference"/>
          <w:rFonts w:ascii="Times New Roman" w:hAnsi="Times New Roman"/>
          <w:noProof/>
          <w:sz w:val="24"/>
        </w:rPr>
        <w:footnoteReference w:id="245"/>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452"/>
        </w:tabs>
        <w:ind w:left="0" w:firstLine="0"/>
        <w:jc w:val="both"/>
        <w:rPr>
          <w:rFonts w:ascii="Times New Roman" w:hAnsi="Times New Roman"/>
          <w:noProof/>
          <w:u w:val="thick" w:color="000000"/>
        </w:rPr>
      </w:pPr>
      <w:bookmarkStart w:id="486" w:name="VI.5.2_Treatment_in_national_accounts"/>
      <w:bookmarkEnd w:id="486"/>
      <w:r>
        <w:rPr>
          <w:rFonts w:ascii="Times New Roman" w:hAnsi="Times New Roman"/>
          <w:noProof/>
          <w:u w:val="none"/>
        </w:rPr>
        <w:t>VI.5.2. </w:t>
      </w:r>
      <w:r>
        <w:rPr>
          <w:rFonts w:ascii="Times New Roman" w:hAnsi="Times New Roman"/>
          <w:noProof/>
          <w:u w:val="thick" w:color="000000"/>
        </w:rPr>
        <w:t>Traktējums nacionālajos kontos</w:t>
      </w:r>
    </w:p>
    <w:p w:rsidR="00506AA9" w:rsidRPr="001973D0" w:rsidRDefault="00506AA9" w:rsidP="00506AA9">
      <w:pPr>
        <w:pStyle w:val="Heading4"/>
        <w:tabs>
          <w:tab w:val="left" w:pos="1452"/>
        </w:tabs>
        <w:ind w:left="0" w:firstLine="0"/>
        <w:jc w:val="both"/>
        <w:rPr>
          <w:rFonts w:ascii="Times New Roman" w:hAnsi="Times New Roman"/>
          <w:noProof/>
          <w:u w:val="thick" w:color="000000"/>
        </w:rPr>
      </w:pP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Maksājumi par emisijas kvotām, ko valdības izdod emisiju ierobežošanas un </w:t>
      </w:r>
      <w:r w:rsidR="00EE6A0A">
        <w:rPr>
          <w:rFonts w:ascii="Times New Roman" w:hAnsi="Times New Roman"/>
          <w:noProof/>
          <w:sz w:val="24"/>
        </w:rPr>
        <w:t>tirdzniecības shēmās, jāieraksta</w:t>
      </w:r>
      <w:r>
        <w:rPr>
          <w:rFonts w:ascii="Times New Roman" w:hAnsi="Times New Roman"/>
          <w:noProof/>
          <w:sz w:val="24"/>
        </w:rPr>
        <w:t xml:space="preserve"> kā citi ražošanas nodokļi (D.29) tikai kvotu nodošanas gadā, nevis tajā gadā, kad kvotas ir pārdotas iekšzemes ekonomikas dalībnieki</w:t>
      </w:r>
      <w:r w:rsidR="00EE6A0A">
        <w:rPr>
          <w:rFonts w:ascii="Times New Roman" w:hAnsi="Times New Roman"/>
          <w:noProof/>
          <w:sz w:val="24"/>
        </w:rPr>
        <w:t>em. Teorētiski nodokļus ieraksta</w:t>
      </w:r>
      <w:r>
        <w:rPr>
          <w:rFonts w:ascii="Times New Roman" w:hAnsi="Times New Roman"/>
          <w:noProof/>
          <w:sz w:val="24"/>
        </w:rPr>
        <w:t xml:space="preserve"> brīdī, kad rodas faktiskās emisijas, taču ir noslēgta vienošanās, ka emisijas varētu uzkrāt par visu gadu un deklarēt un pārbaudīt tās nākamā gada sākumā. K</w:t>
      </w:r>
      <w:r w:rsidR="00EE6A0A">
        <w:rPr>
          <w:rFonts w:ascii="Times New Roman" w:hAnsi="Times New Roman"/>
          <w:noProof/>
          <w:sz w:val="24"/>
        </w:rPr>
        <w:t>opumā valdības kontos neieraksta</w:t>
      </w:r>
      <w:r>
        <w:rPr>
          <w:rFonts w:ascii="Times New Roman" w:hAnsi="Times New Roman"/>
          <w:noProof/>
          <w:sz w:val="24"/>
        </w:rPr>
        <w:t xml:space="preserve"> kvotas, ko izdod bez maksas.</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Laika starpība starp skaidras naudas maksājumiem, ko valdība saņem par kvotām, rīkojot izsoles tās teritorijā, </w:t>
      </w:r>
      <w:r w:rsidR="00EE6A0A">
        <w:rPr>
          <w:rFonts w:ascii="Times New Roman" w:hAnsi="Times New Roman"/>
          <w:noProof/>
          <w:sz w:val="24"/>
        </w:rPr>
        <w:t>un nodokļu ieņēmumu ierakstīšanu</w:t>
      </w:r>
      <w:r>
        <w:rPr>
          <w:rFonts w:ascii="Times New Roman" w:hAnsi="Times New Roman"/>
          <w:noProof/>
          <w:sz w:val="24"/>
        </w:rPr>
        <w:t xml:space="preserve"> nacionālajos kontos, rada finanšu saistības valdībai (kreditoru saistības (AF.89)) un finanšu aktīvu turētājam (debitoru saistības (AF.89)).</w:t>
      </w:r>
    </w:p>
    <w:p w:rsidR="00506AA9"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Ja nav pieejama precīza informācija par atsevišķām kvotām (tostarp par to sākotnējo pārdošanas cenu, kas katrā izsolē var atšķirties), </w:t>
      </w:r>
      <w:r w:rsidR="00374367">
        <w:rPr>
          <w:rFonts w:ascii="Times New Roman" w:hAnsi="Times New Roman"/>
          <w:noProof/>
          <w:sz w:val="24"/>
        </w:rPr>
        <w:t>katrā konkrētajā gadā ierakstā</w:t>
      </w:r>
      <w:r>
        <w:rPr>
          <w:rFonts w:ascii="Times New Roman" w:hAnsi="Times New Roman"/>
          <w:noProof/>
          <w:sz w:val="24"/>
        </w:rPr>
        <w:t>mo nodokļu ieņēmumu līmeni nosaka atbilstīgi šādam modelim:</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ind w:left="1134"/>
        <w:jc w:val="both"/>
        <w:rPr>
          <w:rFonts w:ascii="Times New Roman" w:eastAsia="Arial" w:hAnsi="Times New Roman" w:cs="Arial"/>
          <w:i/>
          <w:noProof/>
          <w:sz w:val="24"/>
        </w:rPr>
      </w:pPr>
      <w:r>
        <w:rPr>
          <w:rFonts w:ascii="Times New Roman" w:hAnsi="Times New Roman"/>
          <w:i/>
          <w:noProof/>
          <w:sz w:val="24"/>
        </w:rPr>
        <w:t>Nodokļu ieņēmumi = [Nodoto “izsolīto” kvotu skaits] X [Attiecīgā vidējā kvotu kopuma cena izsolē]</w:t>
      </w:r>
    </w:p>
    <w:p w:rsidR="00506AA9" w:rsidRPr="001973D0" w:rsidRDefault="00506AA9" w:rsidP="00506AA9">
      <w:pPr>
        <w:ind w:left="709" w:hanging="709"/>
        <w:jc w:val="both"/>
        <w:rPr>
          <w:rFonts w:ascii="Times New Roman" w:eastAsia="Arial" w:hAnsi="Times New Roman" w:cs="Arial"/>
          <w:i/>
          <w:noProof/>
          <w:sz w:val="24"/>
        </w:rPr>
      </w:pP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Vidējo kvotu kopuma izsoles cenu, kas aprēķināta iespējami neilgi pirms kvotu nodošanas datuma, pamatojoties uz datiem (par atbilstošo kreditoru saistību kopumu (AF.89) un spēkā esošo kvotu skaitu, kas izdotas konkrētajā valstī), nosaka šādi:</w:t>
      </w:r>
    </w:p>
    <w:p w:rsidR="00506AA9" w:rsidRDefault="00506AA9" w:rsidP="00506AA9">
      <w:pPr>
        <w:ind w:left="709" w:hanging="709"/>
        <w:jc w:val="both"/>
        <w:rPr>
          <w:rFonts w:ascii="Times New Roman" w:hAnsi="Times New Roman"/>
          <w:i/>
          <w:noProof/>
          <w:sz w:val="24"/>
        </w:rPr>
      </w:pPr>
    </w:p>
    <w:p w:rsidR="00506AA9" w:rsidRPr="001973D0" w:rsidRDefault="00506AA9" w:rsidP="00506AA9">
      <w:pPr>
        <w:ind w:left="1134"/>
        <w:jc w:val="both"/>
        <w:rPr>
          <w:rFonts w:ascii="Times New Roman" w:hAnsi="Times New Roman"/>
          <w:i/>
          <w:noProof/>
          <w:sz w:val="24"/>
        </w:rPr>
      </w:pPr>
      <w:r>
        <w:rPr>
          <w:rFonts w:ascii="Times New Roman" w:hAnsi="Times New Roman"/>
          <w:i/>
          <w:noProof/>
          <w:sz w:val="24"/>
        </w:rPr>
        <w:t>Vidējā izsoles cena = [kreditoru saistību kopums (AF.89), kas saistīts ar kvotu pārdošanu]</w:t>
      </w:r>
    </w:p>
    <w:p w:rsidR="00506AA9" w:rsidRPr="001973D0" w:rsidRDefault="00506AA9" w:rsidP="00506AA9">
      <w:pPr>
        <w:ind w:left="1134"/>
        <w:jc w:val="both"/>
        <w:rPr>
          <w:rFonts w:ascii="Times New Roman" w:hAnsi="Times New Roman"/>
          <w:i/>
          <w:noProof/>
          <w:sz w:val="24"/>
        </w:rPr>
      </w:pPr>
      <w:r>
        <w:rPr>
          <w:rFonts w:ascii="Times New Roman" w:hAnsi="Times New Roman"/>
          <w:i/>
          <w:noProof/>
          <w:sz w:val="24"/>
        </w:rPr>
        <w:t>dalīts ar</w:t>
      </w:r>
    </w:p>
    <w:p w:rsidR="00506AA9" w:rsidRDefault="00506AA9" w:rsidP="00506AA9">
      <w:pPr>
        <w:ind w:left="1134"/>
        <w:jc w:val="both"/>
        <w:rPr>
          <w:rFonts w:ascii="Times New Roman" w:eastAsia="Arial" w:hAnsi="Times New Roman" w:cs="Arial"/>
          <w:i/>
          <w:noProof/>
          <w:sz w:val="24"/>
        </w:rPr>
      </w:pPr>
      <w:r>
        <w:rPr>
          <w:rFonts w:ascii="Times New Roman" w:hAnsi="Times New Roman"/>
          <w:i/>
          <w:noProof/>
          <w:sz w:val="24"/>
        </w:rPr>
        <w:t>[tādu valstī “izsolīto” izdoto kvotu kopējais daudzums, kuras vēl nav nodotas]</w:t>
      </w:r>
    </w:p>
    <w:p w:rsidR="00506AA9" w:rsidRPr="001973D0" w:rsidRDefault="00506AA9" w:rsidP="00506AA9">
      <w:pPr>
        <w:ind w:left="709" w:hanging="709"/>
        <w:jc w:val="both"/>
        <w:rPr>
          <w:rFonts w:ascii="Times New Roman" w:eastAsia="Arial" w:hAnsi="Times New Roman" w:cs="Arial"/>
          <w:i/>
          <w:noProof/>
          <w:sz w:val="24"/>
        </w:rPr>
      </w:pPr>
    </w:p>
    <w:p w:rsidR="00506AA9" w:rsidRPr="001C4310" w:rsidRDefault="00506AA9" w:rsidP="00506AA9">
      <w:pPr>
        <w:pStyle w:val="BodyText"/>
        <w:numPr>
          <w:ilvl w:val="0"/>
          <w:numId w:val="126"/>
        </w:numPr>
        <w:tabs>
          <w:tab w:val="left" w:pos="1102"/>
        </w:tabs>
        <w:spacing w:before="0"/>
        <w:ind w:left="709" w:hanging="709"/>
        <w:jc w:val="both"/>
        <w:rPr>
          <w:rFonts w:ascii="Times New Roman" w:hAnsi="Times New Roman" w:cs="Arial"/>
          <w:noProof/>
          <w:sz w:val="24"/>
        </w:rPr>
      </w:pPr>
      <w:r>
        <w:rPr>
          <w:rFonts w:ascii="Times New Roman" w:hAnsi="Times New Roman"/>
          <w:noProof/>
          <w:sz w:val="24"/>
        </w:rPr>
        <w:t>Vai arī, ja sastādītājiem nav iespējams identificēt, kuras no nodotajām kvotām ir piešķirtas bez maksas un kuras piešķirtas izsoles veidā, tirgus cenu joprojām varētu aprēķināt, pamatojoties uz izsolē izdotajām atļaujām, jo tā jebkurā gadījumā ir informācija, kas ir pieejama.</w:t>
      </w:r>
      <w:r>
        <w:rPr>
          <w:rStyle w:val="FootnoteReference"/>
          <w:rFonts w:ascii="Times New Roman" w:hAnsi="Times New Roman"/>
          <w:noProof/>
          <w:sz w:val="24"/>
        </w:rPr>
        <w:footnoteReference w:id="246"/>
      </w:r>
      <w:r>
        <w:rPr>
          <w:rFonts w:ascii="Times New Roman" w:hAnsi="Times New Roman"/>
          <w:noProof/>
          <w:sz w:val="24"/>
        </w:rPr>
        <w:t xml:space="preserve"> Tas neko nemainītu ar nosacījumu, ka nodošanas procesā ir iespējams identificēt tikai kopējo “valstī izdoto atļauju” apjomu, t. i., netiktu iekļautas tās, ko vietējie piesārņotāji varētu būt iegādājušies no nerezidentiem turētājiem vai iegādājušies izsolēs, kas tiek rīkotas citviet Eiropas Savienībā.</w:t>
      </w:r>
      <w:r>
        <w:rPr>
          <w:rStyle w:val="FootnoteReference"/>
          <w:rFonts w:ascii="Times New Roman" w:hAnsi="Times New Roman"/>
          <w:noProof/>
          <w:sz w:val="24"/>
        </w:rPr>
        <w:footnoteReference w:id="247"/>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saistībā sastādītāji kā tuvinājumu varētu izmantot “pirmais iekšā – pirmais ārā” metodi tādā ziņā, ka visas vispirms nodotās atļaujas tiktu uzskatītas kā valsts izsolē iegādātās atļaujas.</w:t>
      </w:r>
      <w:r>
        <w:rPr>
          <w:rStyle w:val="FootnoteReference"/>
          <w:rFonts w:ascii="Times New Roman" w:hAnsi="Times New Roman"/>
          <w:noProof/>
          <w:sz w:val="24"/>
        </w:rPr>
        <w:footnoteReference w:id="248"/>
      </w:r>
      <w:r>
        <w:rPr>
          <w:rFonts w:ascii="Times New Roman" w:hAnsi="Times New Roman"/>
          <w:noProof/>
          <w:sz w:val="24"/>
        </w:rPr>
        <w:t xml:space="preserve"> Tādējādi tiktu samazināts laika intervāls no brīža, kad tiek gūti naudas ieņēmumi no izsolēm, </w:t>
      </w:r>
      <w:r w:rsidR="00374367">
        <w:rPr>
          <w:rFonts w:ascii="Times New Roman" w:hAnsi="Times New Roman"/>
          <w:noProof/>
          <w:sz w:val="24"/>
        </w:rPr>
        <w:t>līdz brīdim, kad tiek ierakstīti</w:t>
      </w:r>
      <w:r>
        <w:rPr>
          <w:rFonts w:ascii="Times New Roman" w:hAnsi="Times New Roman"/>
          <w:noProof/>
          <w:sz w:val="24"/>
        </w:rPr>
        <w:t xml:space="preserve"> nodokļu ieņēmumi valdības kontos.</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To nodokļu ieņēmumu su</w:t>
      </w:r>
      <w:r w:rsidR="00374367">
        <w:rPr>
          <w:rFonts w:ascii="Times New Roman" w:hAnsi="Times New Roman"/>
          <w:noProof/>
          <w:sz w:val="24"/>
        </w:rPr>
        <w:t>mmai, kas laika gaitā ierakstīta</w:t>
      </w:r>
      <w:r>
        <w:rPr>
          <w:rFonts w:ascii="Times New Roman" w:hAnsi="Times New Roman"/>
          <w:noProof/>
          <w:sz w:val="24"/>
        </w:rPr>
        <w:t xml:space="preserve"> kontos, jābūt vienādai ar valdības saņemto izsoļu ieņēmumu summu (nodrošinot, ka emisijas kvotas, kas izdotas bez maksas, neietekmē valdības kontus). Ja kļūst skaidrs, ka nodoto kvotu skaits ir </w:t>
      </w:r>
      <w:r>
        <w:rPr>
          <w:rFonts w:ascii="Times New Roman" w:hAnsi="Times New Roman"/>
          <w:noProof/>
          <w:sz w:val="24"/>
        </w:rPr>
        <w:lastRenderedPageBreak/>
        <w:t>ievērojami zemāks par izsolēs izdoto kvotu skaitu (kas attiecīgi nozīmē kreditora saistību kopuma (AF.89) strauju pieaugumu valdībai)</w:t>
      </w:r>
      <w:r>
        <w:rPr>
          <w:rStyle w:val="FootnoteReference"/>
          <w:rFonts w:ascii="Times New Roman" w:hAnsi="Times New Roman"/>
          <w:noProof/>
          <w:sz w:val="24"/>
        </w:rPr>
        <w:footnoteReference w:id="249"/>
      </w:r>
      <w:r>
        <w:rPr>
          <w:rFonts w:ascii="Times New Roman" w:hAnsi="Times New Roman"/>
          <w:noProof/>
          <w:sz w:val="24"/>
        </w:rPr>
        <w:t>, jāveic ieraksti kontā “Citas aktīvu apjoma pārmaiņas”, lai samazinātu kreditora saistību kopumu (AF.89) un tādējādi atjaunotu modeļa līdzsvaru. Šī atkārtotā novērtēšana jāveic katra emisijas kvotu tirdzniecības sistēmas posma beigās.</w:t>
      </w:r>
      <w:r>
        <w:rPr>
          <w:rStyle w:val="FootnoteReference"/>
          <w:rFonts w:ascii="Times New Roman" w:hAnsi="Times New Roman"/>
          <w:noProof/>
          <w:sz w:val="24"/>
        </w:rPr>
        <w:footnoteReference w:id="250"/>
      </w:r>
      <w:r>
        <w:rPr>
          <w:rFonts w:ascii="Times New Roman" w:hAnsi="Times New Roman"/>
          <w:noProof/>
          <w:sz w:val="24"/>
        </w:rPr>
        <w:t xml:space="preserve"> Var arī novērot, ka atlikušā kreditora saistību kopuma (AF.89) vērtība samazinās zem nulles atzīmes. Šādā gadījumā krājums jākoriģē atbilstoši tam, kāds ir faktiski novēroto nodoto atļauju skaita līmenis (pamatojoties uz tirgus cenām un neiekļaujot atļaujas, kas valstī piešķi</w:t>
      </w:r>
      <w:r w:rsidR="00374367">
        <w:rPr>
          <w:rFonts w:ascii="Times New Roman" w:hAnsi="Times New Roman"/>
          <w:noProof/>
          <w:sz w:val="24"/>
        </w:rPr>
        <w:t>rtas bez maksas), lai ierakstītu</w:t>
      </w:r>
      <w:r>
        <w:rPr>
          <w:rFonts w:ascii="Times New Roman" w:hAnsi="Times New Roman"/>
          <w:noProof/>
          <w:sz w:val="24"/>
        </w:rPr>
        <w:t xml:space="preserve"> valdības nodokļu ieņēmumus atbilstoši tam, kāds ir faktiskais oglekļa emisiju līmenis valstī. Ietekmi, ko rada šis nosacītais nodoklis uz valdības neto aizdevumu/aizņēmum</w:t>
      </w:r>
      <w:r w:rsidR="00374367">
        <w:rPr>
          <w:rFonts w:ascii="Times New Roman" w:hAnsi="Times New Roman"/>
          <w:noProof/>
          <w:sz w:val="24"/>
        </w:rPr>
        <w:t>u (B.9), neitralizē, ierakstot</w:t>
      </w:r>
      <w:r>
        <w:rPr>
          <w:rFonts w:ascii="Times New Roman" w:hAnsi="Times New Roman"/>
          <w:noProof/>
          <w:sz w:val="24"/>
        </w:rPr>
        <w:t xml:space="preserve"> pārvedumu no valdības.</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Atšķirība starp nodokļa vērtību, kas iepriekš samaksāts attiecībā uz atļauju, un atļaujas tirgus vērtību veido tirgojamu līgumu (neražotu nefinanšu aktīvu) turētājam un neietekmē valdības kontus. Kvotu tirdzniecība starp valdības sektoram nepiederošām personām neietekmē valdības kontus, bet vienīgi palīdz valdības izsolēs noteikt tirgus vērtības.</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Ekonomikas subjektu darījumus ar atļaujām (noteikta daudzuma vienībām (</w:t>
      </w:r>
      <w:r>
        <w:rPr>
          <w:rFonts w:ascii="Times New Roman" w:hAnsi="Times New Roman"/>
          <w:i/>
          <w:noProof/>
          <w:sz w:val="24"/>
        </w:rPr>
        <w:t>AAU</w:t>
      </w:r>
      <w:r w:rsidR="00374367">
        <w:rPr>
          <w:rFonts w:ascii="Times New Roman" w:hAnsi="Times New Roman"/>
          <w:noProof/>
          <w:sz w:val="24"/>
        </w:rPr>
        <w:t>)) ieraksta</w:t>
      </w:r>
      <w:r>
        <w:rPr>
          <w:rFonts w:ascii="Times New Roman" w:hAnsi="Times New Roman"/>
          <w:noProof/>
          <w:sz w:val="24"/>
        </w:rPr>
        <w:t xml:space="preserve"> kā neražotu nefinanšu aktīvu pirkšanu un pārdošanu (AN.22, darījumu kods NP) laikā, kad šādi darījumi notiek. Dažkārt valdības dažādu iemeslu dēļ (pārmērīga kvotu sadale valstī, efektīvāka procedūra utt.) var pārdot kādu daudzumu atļauju tiešā veidā citai ES valstij ar kādas apmaiņas platformas starpniecību. Šādā gadī</w:t>
      </w:r>
      <w:r w:rsidR="00374367">
        <w:rPr>
          <w:rFonts w:ascii="Times New Roman" w:hAnsi="Times New Roman"/>
          <w:noProof/>
          <w:sz w:val="24"/>
        </w:rPr>
        <w:t>jumā valdības ieņēmumus ieraksta</w:t>
      </w:r>
      <w:r>
        <w:rPr>
          <w:rFonts w:ascii="Times New Roman" w:hAnsi="Times New Roman"/>
          <w:noProof/>
          <w:sz w:val="24"/>
        </w:rPr>
        <w:t xml:space="preserve"> brīdī, kad atļauju īpašumtiesības tiek nodotas pircējiem ārvalstī. Var gadīties, ka šādas atļaujas iegādājas rezidenti un nodod valdībai, kas ierosinājusi pārdošanu, taču tādā gadījumā tiek uzskatīts, ka tās ir piešķirtas par brīvu.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452"/>
        </w:tabs>
        <w:ind w:left="0" w:firstLine="0"/>
        <w:jc w:val="both"/>
        <w:rPr>
          <w:rFonts w:ascii="Times New Roman" w:hAnsi="Times New Roman"/>
          <w:noProof/>
          <w:u w:val="thick" w:color="000000"/>
        </w:rPr>
      </w:pPr>
      <w:bookmarkStart w:id="487" w:name="VI.5.3_Rationale_of_the_treatment"/>
      <w:bookmarkEnd w:id="487"/>
      <w:r>
        <w:rPr>
          <w:rFonts w:ascii="Times New Roman" w:hAnsi="Times New Roman"/>
          <w:noProof/>
          <w:u w:val="none"/>
        </w:rPr>
        <w:t>VI.5.3. </w:t>
      </w:r>
      <w:r>
        <w:rPr>
          <w:rFonts w:ascii="Times New Roman" w:hAnsi="Times New Roman"/>
          <w:noProof/>
          <w:u w:val="thick" w:color="000000"/>
        </w:rPr>
        <w:t>Traktējuma pamatojums</w:t>
      </w:r>
    </w:p>
    <w:p w:rsidR="00506AA9" w:rsidRPr="001973D0" w:rsidRDefault="00506AA9" w:rsidP="00506AA9">
      <w:pPr>
        <w:pStyle w:val="Heading4"/>
        <w:tabs>
          <w:tab w:val="left" w:pos="1452"/>
        </w:tabs>
        <w:ind w:left="0" w:firstLine="0"/>
        <w:jc w:val="both"/>
        <w:rPr>
          <w:rFonts w:ascii="Times New Roman" w:hAnsi="Times New Roman"/>
          <w:noProof/>
          <w:u w:val="thick" w:color="000000"/>
        </w:rPr>
      </w:pPr>
    </w:p>
    <w:p w:rsidR="00506AA9"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NKS 2008 (17.363. punktā) šis jautājums pieminēts šādi:</w:t>
      </w:r>
    </w:p>
    <w:p w:rsidR="00506AA9" w:rsidRPr="001C4310"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ind w:left="1134"/>
        <w:jc w:val="both"/>
        <w:rPr>
          <w:rFonts w:ascii="Times New Roman" w:eastAsia="Arial" w:hAnsi="Times New Roman" w:cs="Arial"/>
          <w:i/>
          <w:noProof/>
          <w:sz w:val="24"/>
          <w:szCs w:val="20"/>
        </w:rPr>
      </w:pPr>
      <w:r>
        <w:rPr>
          <w:rFonts w:ascii="Times New Roman" w:hAnsi="Times New Roman"/>
          <w:i/>
          <w:noProof/>
          <w:sz w:val="24"/>
        </w:rPr>
        <w:t>Valdības arvien vairāk pievēršas emisijas kvotu izdošanai kā kopējās emisijas kontroles līdzeklim. Šīm kvotām nav saistības ar dabas aktīvu izmantošanu (atmosfērai nav noteikta vērtība, tāpēc to nevar uzskatīt par ekonomisko aktīvu), tāpēc tās klasificē kā nodokļus, lai arī atļautā “darbība” rada papildu sekas. Kvotu būtība paredz to, ka tās būs tirgojamas un ka to tirdzniecībai tiks radīts aktīvs tirgus. Līdz ar to kvotas ir aktīvi, un tās jānovērtē atbilstoši tirgus cenai, par kādu tās iespējams pārdot.</w:t>
      </w:r>
    </w:p>
    <w:p w:rsidR="00506AA9" w:rsidRPr="001973D0" w:rsidRDefault="00506AA9" w:rsidP="00506AA9">
      <w:pPr>
        <w:jc w:val="both"/>
        <w:rPr>
          <w:rFonts w:ascii="Times New Roman" w:eastAsia="Arial" w:hAnsi="Times New Roman" w:cs="Arial"/>
          <w:i/>
          <w:noProof/>
          <w:sz w:val="24"/>
          <w:szCs w:val="20"/>
        </w:rPr>
      </w:pP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Pamatojoties uz </w:t>
      </w:r>
      <w:r>
        <w:rPr>
          <w:rFonts w:ascii="Times New Roman" w:hAnsi="Times New Roman"/>
          <w:i/>
          <w:noProof/>
          <w:sz w:val="24"/>
        </w:rPr>
        <w:t>Eurostat</w:t>
      </w:r>
      <w:r>
        <w:rPr>
          <w:rFonts w:ascii="Times New Roman" w:hAnsi="Times New Roman"/>
          <w:noProof/>
          <w:sz w:val="24"/>
        </w:rPr>
        <w:t xml:space="preserve">/ESAO darba grupas darba rezultātiem 2009.–2010. gadā, </w:t>
      </w:r>
      <w:r>
        <w:rPr>
          <w:rFonts w:ascii="Times New Roman" w:hAnsi="Times New Roman"/>
          <w:i/>
          <w:noProof/>
          <w:sz w:val="24"/>
        </w:rPr>
        <w:t>ISWGNA</w:t>
      </w:r>
      <w:r>
        <w:rPr>
          <w:rFonts w:ascii="Times New Roman" w:hAnsi="Times New Roman"/>
          <w:noProof/>
          <w:sz w:val="24"/>
        </w:rPr>
        <w:t xml:space="preserve"> izstrādāja ieteikumus, kurus Apvienoto Nāciju Organizācijas Statistikas komiteja apstiprināja pēc apspriešanas ar Padomdevēju ekspertu grupu par nacionālajiem kontiem un kuri tika publicēti NKS ziņu izdevumos Nr. 30/31</w:t>
      </w:r>
      <w:r>
        <w:rPr>
          <w:rStyle w:val="FootnoteReference"/>
          <w:rFonts w:ascii="Times New Roman" w:hAnsi="Times New Roman"/>
          <w:noProof/>
          <w:sz w:val="24"/>
        </w:rPr>
        <w:footnoteReference w:id="251"/>
      </w:r>
      <w:r>
        <w:rPr>
          <w:rFonts w:ascii="Times New Roman" w:hAnsi="Times New Roman"/>
          <w:noProof/>
          <w:sz w:val="24"/>
        </w:rPr>
        <w:t xml:space="preserve"> un 32/33</w:t>
      </w:r>
      <w:r>
        <w:rPr>
          <w:rStyle w:val="FootnoteReference"/>
          <w:rFonts w:ascii="Times New Roman" w:hAnsi="Times New Roman"/>
          <w:noProof/>
          <w:sz w:val="24"/>
        </w:rPr>
        <w:footnoteReference w:id="252"/>
      </w:r>
      <w:r>
        <w:rPr>
          <w:rFonts w:ascii="Times New Roman" w:hAnsi="Times New Roman"/>
          <w:noProof/>
          <w:sz w:val="24"/>
        </w:rPr>
        <w:t>. Šis punkts ir sagatavots, pamatojoties uz vispasaules vie</w:t>
      </w:r>
      <w:r w:rsidR="00374367">
        <w:rPr>
          <w:rFonts w:ascii="Times New Roman" w:hAnsi="Times New Roman"/>
          <w:noProof/>
          <w:sz w:val="24"/>
        </w:rPr>
        <w:t>nošanos par to, kā ierakstāmās</w:t>
      </w:r>
      <w:r>
        <w:rPr>
          <w:rFonts w:ascii="Times New Roman" w:hAnsi="Times New Roman"/>
          <w:noProof/>
          <w:sz w:val="24"/>
        </w:rPr>
        <w:t xml:space="preserve"> emisijas kvotas emisiju ierobežošanas un tirdzniecības shēmās.</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lastRenderedPageBreak/>
        <w:t xml:space="preserve">Vispasaules vienošanās pamatprincips paredzēja to, ka maksājumi par emisijas kvotām, kas izdotas emisiju ierobežošanas un </w:t>
      </w:r>
      <w:r w:rsidR="00374367">
        <w:rPr>
          <w:rFonts w:ascii="Times New Roman" w:hAnsi="Times New Roman"/>
          <w:noProof/>
          <w:sz w:val="24"/>
        </w:rPr>
        <w:t>tirdzniecības shēmās, jāieraksta kā nodokļi, kas ierakstīti</w:t>
      </w:r>
      <w:r>
        <w:rPr>
          <w:rFonts w:ascii="Times New Roman" w:hAnsi="Times New Roman"/>
          <w:noProof/>
          <w:sz w:val="24"/>
        </w:rPr>
        <w:t xml:space="preserve"> laikā, kad notikusi emisija. Turklāt tiek uzskatī</w:t>
      </w:r>
      <w:r w:rsidR="00374367">
        <w:rPr>
          <w:rFonts w:ascii="Times New Roman" w:hAnsi="Times New Roman"/>
          <w:noProof/>
          <w:sz w:val="24"/>
        </w:rPr>
        <w:t>ts, ka šādi maksājumi jāieraksta</w:t>
      </w:r>
      <w:r>
        <w:rPr>
          <w:rFonts w:ascii="Times New Roman" w:hAnsi="Times New Roman"/>
          <w:noProof/>
          <w:sz w:val="24"/>
        </w:rPr>
        <w:t xml:space="preserve"> kā citi ražošanas nodokļi.</w:t>
      </w:r>
    </w:p>
    <w:p w:rsidR="00506AA9"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NKS izdevumā “Ziņas un piezīmes” [</w:t>
      </w:r>
      <w:r>
        <w:rPr>
          <w:rFonts w:ascii="Times New Roman" w:hAnsi="Times New Roman"/>
          <w:i/>
          <w:noProof/>
          <w:sz w:val="24"/>
        </w:rPr>
        <w:t>News and Notes</w:t>
      </w:r>
      <w:r>
        <w:rPr>
          <w:rFonts w:ascii="Times New Roman" w:hAnsi="Times New Roman"/>
          <w:noProof/>
          <w:sz w:val="24"/>
        </w:rPr>
        <w:t>] sniegts šāds sīks traktējums:</w:t>
      </w:r>
    </w:p>
    <w:p w:rsidR="00506AA9" w:rsidRPr="001973D0" w:rsidRDefault="00506AA9" w:rsidP="00506AA9">
      <w:pPr>
        <w:pStyle w:val="BodyText"/>
        <w:tabs>
          <w:tab w:val="left" w:pos="1102"/>
        </w:tabs>
        <w:spacing w:before="0"/>
        <w:ind w:left="0" w:firstLine="0"/>
        <w:jc w:val="both"/>
        <w:rPr>
          <w:rFonts w:ascii="Times New Roman" w:hAnsi="Times New Roman"/>
          <w:noProof/>
          <w:sz w:val="24"/>
        </w:rPr>
      </w:pPr>
    </w:p>
    <w:p w:rsidR="00506AA9" w:rsidRDefault="00506AA9" w:rsidP="00506AA9">
      <w:pPr>
        <w:ind w:left="1134"/>
        <w:jc w:val="both"/>
        <w:rPr>
          <w:rFonts w:ascii="Times New Roman" w:hAnsi="Times New Roman"/>
          <w:i/>
          <w:noProof/>
          <w:sz w:val="24"/>
        </w:rPr>
      </w:pPr>
      <w:r>
        <w:rPr>
          <w:rFonts w:ascii="Times New Roman" w:hAnsi="Times New Roman"/>
          <w:i/>
          <w:noProof/>
          <w:sz w:val="24"/>
        </w:rPr>
        <w:t>Maksājumus par emisiju kvotām, ko valdības izdod emisijas ierobežojumu un tirdzniecības shēmās, jāreģistrē laikā, kad notiek emisija, kā nodokļi, jo īpaši kā citi ražošanas nodokļi (D.29), atbilstoši uzkrāšanas principam. Laika starpība starp skaidras naudas maksājumiem, ko valdība saņem par kvotām, un laiku, kad notiek emisija, rada finanšu saistības (kreditoru saistības) valdībai un finanšu aktīvu (debitoru saistības) turētājam. Atšķirība starp nodokļa vērtību, kas iepriekš samaksāts attiecībā atļauju, un atļaujas tirgus vērtību veido tirgojamu līgumu (neražotu nefinanšu aktīvu) turētājam. Neražota nefinanšu aktīva izveide un izzušana tiek reģistrēta kā citas aktīvu apjoma pārmaiņas.</w:t>
      </w:r>
    </w:p>
    <w:p w:rsidR="00506AA9" w:rsidRPr="001973D0" w:rsidRDefault="00506AA9" w:rsidP="00506AA9">
      <w:pPr>
        <w:jc w:val="both"/>
        <w:rPr>
          <w:rFonts w:ascii="Times New Roman" w:hAnsi="Times New Roman"/>
          <w:i/>
          <w:noProof/>
          <w:sz w:val="24"/>
        </w:rPr>
      </w:pP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Lai arī nodokļu ieņēmumi, ievērojot </w:t>
      </w:r>
      <w:r w:rsidR="00374367">
        <w:rPr>
          <w:rFonts w:ascii="Times New Roman" w:hAnsi="Times New Roman"/>
          <w:noProof/>
          <w:sz w:val="24"/>
        </w:rPr>
        <w:t>uzkrāšanas principus, jāieraksta</w:t>
      </w:r>
      <w:r>
        <w:rPr>
          <w:rFonts w:ascii="Times New Roman" w:hAnsi="Times New Roman"/>
          <w:noProof/>
          <w:sz w:val="24"/>
        </w:rPr>
        <w:t>, kad notiek ekonomiskā darbība, kurā tiek radīts piesārņojums, vispasaules vienošanās paredz vienkāršojumu, kas novērš iespējamos sarežģījumus, kuri saistīti ar ieņēmumu plūsmām, kad pastāv laika nobīde starp piesārņojuma laiku un nodošanas laiku:</w:t>
      </w:r>
    </w:p>
    <w:p w:rsidR="00506AA9" w:rsidRDefault="00506AA9" w:rsidP="00506AA9">
      <w:pPr>
        <w:jc w:val="both"/>
        <w:rPr>
          <w:rFonts w:ascii="Times New Roman" w:hAnsi="Times New Roman"/>
          <w:i/>
          <w:noProof/>
          <w:sz w:val="24"/>
        </w:rPr>
      </w:pPr>
    </w:p>
    <w:p w:rsidR="00506AA9" w:rsidRDefault="00506AA9" w:rsidP="00506AA9">
      <w:pPr>
        <w:ind w:left="1134"/>
        <w:jc w:val="both"/>
        <w:rPr>
          <w:rFonts w:ascii="Times New Roman" w:hAnsi="Times New Roman"/>
          <w:i/>
          <w:noProof/>
          <w:sz w:val="24"/>
        </w:rPr>
      </w:pPr>
      <w:r>
        <w:rPr>
          <w:rFonts w:ascii="Times New Roman" w:hAnsi="Times New Roman"/>
          <w:i/>
          <w:noProof/>
          <w:sz w:val="24"/>
        </w:rPr>
        <w:t>Tomēr vienkāršības labad praksē var pieņemt, ka atļauja tiek nodota tajā pašā laikā, kad notiek emisija, ciktāl starp šiem abiem notikumiem nav ievērojama laika nobīde un šī nobīde ir nemainīga.</w:t>
      </w:r>
    </w:p>
    <w:p w:rsidR="00506AA9" w:rsidRPr="001973D0" w:rsidRDefault="00506AA9" w:rsidP="00506AA9">
      <w:pPr>
        <w:jc w:val="both"/>
        <w:rPr>
          <w:rFonts w:ascii="Times New Roman" w:hAnsi="Times New Roman"/>
          <w:i/>
          <w:noProof/>
          <w:sz w:val="24"/>
        </w:rPr>
      </w:pP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ES Emisiju tirdzniecības sistēmā kvotas nodod aptuveni četrus mēnešus ilgā laika posmā tā gada beigās, uz kuru tās attiecas, un līdz ar to laika nobīde ir salīdzinoši īsa. Vienlaikus, neesot pieejamai novatoriskai piesārņojuma samazināšanas tehnoloģijai, atšķirība starp emisiju vienā gadā un emisiju nākamajā gadā var nebūt tik ievērojama, un līdz ar to kā atbilstošu emisijas tuvinājumu attiecīgajā gadā parastos apstākļos (t. i., uzņēmējdarbības cikls netiek būtiski ietekmēts) var pieņemt jebkurā no šiem gadiem nodotās kvotas. Tāpēc, lai no</w:t>
      </w:r>
      <w:r w:rsidR="005168BD">
        <w:rPr>
          <w:rFonts w:ascii="Times New Roman" w:hAnsi="Times New Roman"/>
          <w:noProof/>
          <w:sz w:val="24"/>
        </w:rPr>
        <w:t>drošinātu saskaņotu ierakstīšanu</w:t>
      </w:r>
      <w:r>
        <w:rPr>
          <w:rFonts w:ascii="Times New Roman" w:hAnsi="Times New Roman"/>
          <w:noProof/>
          <w:sz w:val="24"/>
        </w:rPr>
        <w:t xml:space="preserve"> visās valstīs, ša</w:t>
      </w:r>
      <w:r w:rsidR="005168BD">
        <w:rPr>
          <w:rFonts w:ascii="Times New Roman" w:hAnsi="Times New Roman"/>
          <w:noProof/>
          <w:sz w:val="24"/>
        </w:rPr>
        <w:t>jā rokasgrāmatā kā ierakstīšanas</w:t>
      </w:r>
      <w:r>
        <w:rPr>
          <w:rFonts w:ascii="Times New Roman" w:hAnsi="Times New Roman"/>
          <w:noProof/>
          <w:sz w:val="24"/>
        </w:rPr>
        <w:t xml:space="preserve"> laiku ierosināts izmantot nodošanas datumu.</w:t>
      </w:r>
    </w:p>
    <w:p w:rsidR="00506AA9" w:rsidRPr="001C4310" w:rsidRDefault="005168BD"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Atbilstoši teorijai ierakstīšana</w:t>
      </w:r>
      <w:r w:rsidR="00506AA9">
        <w:rPr>
          <w:rFonts w:ascii="Times New Roman" w:hAnsi="Times New Roman"/>
          <w:noProof/>
          <w:sz w:val="24"/>
        </w:rPr>
        <w:t xml:space="preserve"> ir jāpiemēro individuālu atļauju līmenī. Tomēr ir skaidrs, ka informācija, kas nepieciešama šādam traktējumam, ir pieejama ļoti reti vai nav pieejama vispār; tas jo īpaši attiecas uz starptautiskām shēmām, kurās kvotas iespējams brīvi tirgot pāri valstu robežām un tās tiek nodotas citā valstī, nevis valstī, kas tās izdevusi.</w:t>
      </w:r>
      <w:r w:rsidR="00506AA9">
        <w:rPr>
          <w:rStyle w:val="FootnoteReference"/>
          <w:rFonts w:ascii="Times New Roman" w:hAnsi="Times New Roman"/>
          <w:noProof/>
          <w:sz w:val="24"/>
        </w:rPr>
        <w:footnoteReference w:id="253"/>
      </w:r>
      <w:r w:rsidR="00506AA9">
        <w:rPr>
          <w:rFonts w:ascii="Times New Roman" w:hAnsi="Times New Roman"/>
          <w:noProof/>
          <w:sz w:val="24"/>
        </w:rPr>
        <w:t xml:space="preserve"> Tajā pašā laikā saistībā ar pārrobežu plūsmu mērīšanu ir iespējami sarežģījumi. Kā norādīts NKS izdevumā “Ziņas un piezīmes”, šī iemesla dēļ starptautiskajā līgumā tika noteikti divi praktiski vienkāršojumi:</w:t>
      </w:r>
    </w:p>
    <w:p w:rsidR="00506AA9" w:rsidRDefault="00506AA9" w:rsidP="00506AA9">
      <w:pPr>
        <w:jc w:val="both"/>
        <w:rPr>
          <w:rFonts w:ascii="Times New Roman" w:hAnsi="Times New Roman"/>
          <w:i/>
          <w:noProof/>
          <w:sz w:val="24"/>
        </w:rPr>
      </w:pPr>
    </w:p>
    <w:p w:rsidR="00506AA9" w:rsidRPr="001973D0" w:rsidRDefault="00506AA9" w:rsidP="00506AA9">
      <w:pPr>
        <w:ind w:left="1134"/>
        <w:jc w:val="both"/>
        <w:rPr>
          <w:rFonts w:ascii="Times New Roman" w:hAnsi="Times New Roman"/>
          <w:i/>
          <w:noProof/>
          <w:sz w:val="24"/>
        </w:rPr>
      </w:pPr>
      <w:r>
        <w:rPr>
          <w:rFonts w:ascii="Times New Roman" w:hAnsi="Times New Roman"/>
          <w:i/>
          <w:noProof/>
          <w:sz w:val="24"/>
        </w:rPr>
        <w:t>Emisijas kvotu maksājumu uzkrāšanas pieejas pamatā jāizmanto pieņēmums, ka kvotas, ko izdevusi konkrētā valsts, visticamāk arī tiks nodotas šajā valstī.</w:t>
      </w:r>
    </w:p>
    <w:p w:rsidR="00506AA9" w:rsidRDefault="00506AA9" w:rsidP="00506AA9">
      <w:pPr>
        <w:ind w:left="1134"/>
        <w:jc w:val="both"/>
        <w:rPr>
          <w:rFonts w:ascii="Times New Roman" w:hAnsi="Times New Roman"/>
          <w:i/>
          <w:noProof/>
          <w:sz w:val="24"/>
        </w:rPr>
      </w:pPr>
      <w:r>
        <w:rPr>
          <w:rFonts w:ascii="Times New Roman" w:hAnsi="Times New Roman"/>
          <w:i/>
          <w:noProof/>
          <w:sz w:val="24"/>
        </w:rPr>
        <w:t xml:space="preserve">Vienkāršākajā gadījumā, proti, valsts shēmas gadījumā, nodokļi ir jāuzkrāj atbilstīgi tam, kā norādīts turpmāk. Nodoklis, kas reģistrēts attiecībā uz jebkuru atļauju, kas nodota attiecībā uz emisiju, kura notikusi laika posmā t, ir vienāds ar summu, kas iegūta, attiecīgo citu kreditora saistību kopuma summu dalot ar izdoto </w:t>
      </w:r>
      <w:r>
        <w:rPr>
          <w:rFonts w:ascii="Times New Roman" w:hAnsi="Times New Roman"/>
          <w:i/>
          <w:noProof/>
          <w:sz w:val="24"/>
        </w:rPr>
        <w:lastRenderedPageBreak/>
        <w:t>aktīvo (un apritē esošo) kvotu kopējo skaitu laikā t. Teorētiski no attiecīgajām citām kreditoru saistībām jāizslēdz visas kvotas, kas tika nodotas pēc laika t attiecībā uz emisijām, kas notikušas pirms laika t. Attiecīgi šīs kvotas jāizslēdz arī no laikā t aktīvo (un apritē esošo) kvotu kopējā skaita.</w:t>
      </w:r>
    </w:p>
    <w:p w:rsidR="00506AA9" w:rsidRPr="001973D0" w:rsidRDefault="00506AA9" w:rsidP="00506AA9">
      <w:pPr>
        <w:jc w:val="both"/>
        <w:rPr>
          <w:rFonts w:ascii="Times New Roman" w:hAnsi="Times New Roman"/>
          <w:i/>
          <w:noProof/>
          <w:sz w:val="24"/>
        </w:rPr>
      </w:pPr>
    </w:p>
    <w:p w:rsidR="00506AA9" w:rsidRPr="001973D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Līdz ar to šajā nodaļā izmantotā pieeja, kas izklāstīta iepriekš, ir izstrādāta, pamatojoties uz šiem vienkāršojumiem. Principā saistībā ar emisijas kvotām nav tādu pārro</w:t>
      </w:r>
      <w:r w:rsidR="005168BD">
        <w:rPr>
          <w:rFonts w:ascii="Times New Roman" w:hAnsi="Times New Roman"/>
          <w:noProof/>
          <w:sz w:val="24"/>
        </w:rPr>
        <w:t>bežu plūsmu, kas būtu jāieraksta</w:t>
      </w:r>
      <w:r>
        <w:rPr>
          <w:rFonts w:ascii="Times New Roman" w:hAnsi="Times New Roman"/>
          <w:noProof/>
          <w:sz w:val="24"/>
        </w:rPr>
        <w:t xml:space="preserve"> attiecībā uz ražošanas nodokļiem. Tas būtu tā, it kā kvotas būtu izdotas bez maksas valstī, kur tās tiek nodotas, jo valdība nav saņēmusi ieņēmumus no izsoles, kas tika paturēti izdevēja valstī. Šajā posmā nav paredzēts mehānisms ieņēmumu pārdalīšanai.</w:t>
      </w:r>
      <w:r>
        <w:rPr>
          <w:rStyle w:val="FootnoteReference"/>
          <w:rFonts w:ascii="Times New Roman" w:hAnsi="Times New Roman"/>
          <w:noProof/>
          <w:sz w:val="24"/>
        </w:rPr>
        <w:footnoteReference w:id="254"/>
      </w:r>
      <w:r>
        <w:rPr>
          <w:rFonts w:ascii="Times New Roman" w:hAnsi="Times New Roman"/>
          <w:noProof/>
          <w:sz w:val="24"/>
        </w:rPr>
        <w:t xml:space="preserve"> Tas atbilst arī principam, kas izklāstīts II.2. nodaļā (Nodokļu un sociālo iemaksu</w:t>
      </w:r>
      <w:r w:rsidR="005168BD">
        <w:rPr>
          <w:rFonts w:ascii="Times New Roman" w:hAnsi="Times New Roman"/>
          <w:noProof/>
          <w:sz w:val="24"/>
        </w:rPr>
        <w:t xml:space="preserve"> ierakstīšana</w:t>
      </w:r>
      <w:r>
        <w:rPr>
          <w:rFonts w:ascii="Times New Roman" w:hAnsi="Times New Roman"/>
          <w:noProof/>
          <w:sz w:val="24"/>
        </w:rPr>
        <w:t>) un paredz, ka nodokļu ietekmei uz vispārējās valdības neto aizdevumu/aizņēmumu samērīgā laika posmā jāatbilst faktiski saņemtajām atbilstošajām naudas summām.</w:t>
      </w:r>
    </w:p>
    <w:p w:rsidR="00506AA9"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Kā atzīts NKS izdevumā “Ziņas un piezīmes”, starptautisku shēmu gadījumā iespējams, ka laika gaitā izdoto kvotu skaits jebkurā valstī var atšķirties no šajā valstī nodoto kvotu skaita. Ierosinātas divas pieejas šā jautājuma risināšanai.</w:t>
      </w:r>
    </w:p>
    <w:p w:rsidR="00506AA9" w:rsidRPr="001973D0" w:rsidRDefault="00506AA9" w:rsidP="00506AA9">
      <w:pPr>
        <w:pStyle w:val="BodyText"/>
        <w:tabs>
          <w:tab w:val="left" w:pos="10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126"/>
        </w:numPr>
        <w:tabs>
          <w:tab w:val="left" w:pos="1422"/>
        </w:tabs>
        <w:spacing w:before="0"/>
        <w:ind w:left="1134" w:hanging="425"/>
        <w:jc w:val="both"/>
        <w:rPr>
          <w:rFonts w:ascii="Times New Roman" w:hAnsi="Times New Roman"/>
          <w:noProof/>
          <w:sz w:val="24"/>
        </w:rPr>
      </w:pPr>
      <w:r>
        <w:rPr>
          <w:rFonts w:ascii="Times New Roman" w:hAnsi="Times New Roman"/>
          <w:noProof/>
          <w:sz w:val="24"/>
        </w:rPr>
        <w:t>Valstīs, kurās izdoto kvotu skaits pārsniedz nodoto kvotu skaitu, praksē vienkāršāk ir neņemt vērā šīs plūsmas un tā vietā kvotas norakstīt (atļaujas termiņa beigās) izdevējas valsts kontos kā citas aktīvu apjoma pārmaiņas (K.5) tā, it kā tās nebūtu izmantotas.</w:t>
      </w:r>
    </w:p>
    <w:p w:rsidR="00506AA9" w:rsidRDefault="00506AA9" w:rsidP="00506AA9">
      <w:pPr>
        <w:pStyle w:val="BodyText"/>
        <w:numPr>
          <w:ilvl w:val="1"/>
          <w:numId w:val="126"/>
        </w:numPr>
        <w:tabs>
          <w:tab w:val="left" w:pos="1422"/>
        </w:tabs>
        <w:spacing w:before="0"/>
        <w:ind w:left="1134" w:hanging="425"/>
        <w:jc w:val="both"/>
        <w:rPr>
          <w:rFonts w:ascii="Times New Roman" w:hAnsi="Times New Roman"/>
          <w:noProof/>
          <w:sz w:val="24"/>
        </w:rPr>
      </w:pPr>
      <w:r>
        <w:rPr>
          <w:rFonts w:ascii="Times New Roman" w:hAnsi="Times New Roman"/>
          <w:noProof/>
          <w:sz w:val="24"/>
        </w:rPr>
        <w:t>Attiecībā uz valstīm, kurās nodots vairāk kvotu nekā izdots, s</w:t>
      </w:r>
      <w:r w:rsidR="005168BD">
        <w:rPr>
          <w:rFonts w:ascii="Times New Roman" w:hAnsi="Times New Roman"/>
          <w:noProof/>
          <w:sz w:val="24"/>
        </w:rPr>
        <w:t>aņemtie maksājumi pārsniedz ierakstītos</w:t>
      </w:r>
      <w:r>
        <w:rPr>
          <w:rFonts w:ascii="Times New Roman" w:hAnsi="Times New Roman"/>
          <w:noProof/>
          <w:sz w:val="24"/>
        </w:rPr>
        <w:t xml:space="preserve"> nodokļus. Atkāpjoties no jautājuma par ražoš</w:t>
      </w:r>
      <w:r w:rsidR="005168BD">
        <w:rPr>
          <w:rFonts w:ascii="Times New Roman" w:hAnsi="Times New Roman"/>
          <w:noProof/>
          <w:sz w:val="24"/>
        </w:rPr>
        <w:t>anas nodokļu plūsmu ierakstīšanu</w:t>
      </w:r>
      <w:r>
        <w:rPr>
          <w:rFonts w:ascii="Times New Roman" w:hAnsi="Times New Roman"/>
          <w:noProof/>
          <w:sz w:val="24"/>
        </w:rPr>
        <w:t xml:space="preserve"> no pārējās pasaules, to saņemto maksājumu a</w:t>
      </w:r>
      <w:r w:rsidR="005168BD">
        <w:rPr>
          <w:rFonts w:ascii="Times New Roman" w:hAnsi="Times New Roman"/>
          <w:noProof/>
          <w:sz w:val="24"/>
        </w:rPr>
        <w:t>pmērs, kas pārsniedz ierakstītos</w:t>
      </w:r>
      <w:r>
        <w:rPr>
          <w:rFonts w:ascii="Times New Roman" w:hAnsi="Times New Roman"/>
          <w:noProof/>
          <w:sz w:val="24"/>
        </w:rPr>
        <w:t xml:space="preserve"> nodokļus, saglabājas, jo ne visas kvotas tiks nodotas (jo īpaši tās, kuras nopirkušas vides aizstāvju grupas). Turklāt valstīs, kuras izdod ievērojami lielāku kvotu skaitu, nekā šajā valstī paredzēts nodot, pastāv labs pamats uzskatīt, ka atšķirība starp saņemtaji</w:t>
      </w:r>
      <w:r w:rsidR="005168BD">
        <w:rPr>
          <w:rFonts w:ascii="Times New Roman" w:hAnsi="Times New Roman"/>
          <w:noProof/>
          <w:sz w:val="24"/>
        </w:rPr>
        <w:t>em maksājumiem un ierakstītajiem</w:t>
      </w:r>
      <w:r>
        <w:rPr>
          <w:rFonts w:ascii="Times New Roman" w:hAnsi="Times New Roman"/>
          <w:noProof/>
          <w:sz w:val="24"/>
        </w:rPr>
        <w:t xml:space="preserve"> nodokļiem ir neprognozēts guvums, kas radniecīgs citām aktīvu apjoma pārmaiņām, </w:t>
      </w:r>
      <w:r w:rsidR="005168BD">
        <w:rPr>
          <w:rFonts w:ascii="Times New Roman" w:hAnsi="Times New Roman"/>
          <w:noProof/>
          <w:sz w:val="24"/>
        </w:rPr>
        <w:t>pat ja teorētiski tas jāieraksta</w:t>
      </w:r>
      <w:r>
        <w:rPr>
          <w:rFonts w:ascii="Times New Roman" w:hAnsi="Times New Roman"/>
          <w:noProof/>
          <w:sz w:val="24"/>
        </w:rPr>
        <w:t xml:space="preserve"> kā no pārējās pasaules gūts ražošanas nodoklis.</w:t>
      </w:r>
    </w:p>
    <w:p w:rsidR="00506AA9" w:rsidRPr="001973D0" w:rsidRDefault="00506AA9" w:rsidP="00506AA9">
      <w:pPr>
        <w:pStyle w:val="BodyText"/>
        <w:tabs>
          <w:tab w:val="left" w:pos="1422"/>
        </w:tabs>
        <w:spacing w:before="0"/>
        <w:ind w:left="0" w:firstLine="0"/>
        <w:jc w:val="both"/>
        <w:rPr>
          <w:rFonts w:ascii="Times New Roman" w:hAnsi="Times New Roman"/>
          <w:noProof/>
          <w:sz w:val="24"/>
        </w:rPr>
      </w:pPr>
    </w:p>
    <w:p w:rsidR="00506AA9" w:rsidRPr="001C4310" w:rsidRDefault="00506AA9" w:rsidP="00506AA9">
      <w:pPr>
        <w:pStyle w:val="BodyText"/>
        <w:numPr>
          <w:ilvl w:val="0"/>
          <w:numId w:val="126"/>
        </w:numPr>
        <w:tabs>
          <w:tab w:val="left" w:pos="1062"/>
        </w:tabs>
        <w:spacing w:before="0"/>
        <w:ind w:left="709" w:hanging="709"/>
        <w:jc w:val="both"/>
        <w:rPr>
          <w:rFonts w:ascii="Times New Roman" w:hAnsi="Times New Roman"/>
          <w:noProof/>
          <w:sz w:val="24"/>
        </w:rPr>
      </w:pPr>
      <w:r>
        <w:rPr>
          <w:rFonts w:ascii="Times New Roman" w:hAnsi="Times New Roman"/>
          <w:noProof/>
          <w:sz w:val="24"/>
        </w:rPr>
        <w:t>Lai nodrošinātu, ka šī pārvērtēšana tiek veikta pienācīgi, tā ir jāveic katra ES Emisijas tirdzniecības shēmas “posma” pēdējā gada beigās, kas ir brīdis, kad tiek izstrādāta jauna emisijas kvotu sadale un kad var arī stāties spēkā jauni noteikumi. Ja kādā gadā citu kreditoru saistību (AF.89) kopuma vērtība kontā samazinās zem nulles atzīmes, būs jāpārskata arī modelis, lai nodrošinātu, ka nodokļu ieņēmumi attiecīgajā laika posmā tuvinātos izsoļu ieņēmumiem. Attie</w:t>
      </w:r>
      <w:r w:rsidR="005168BD">
        <w:rPr>
          <w:rFonts w:ascii="Times New Roman" w:hAnsi="Times New Roman"/>
          <w:noProof/>
          <w:sz w:val="24"/>
        </w:rPr>
        <w:t>cībā uz to ieņēmumu ierakstīšanu</w:t>
      </w:r>
      <w:r>
        <w:rPr>
          <w:rFonts w:ascii="Times New Roman" w:hAnsi="Times New Roman"/>
          <w:noProof/>
          <w:sz w:val="24"/>
        </w:rPr>
        <w:t xml:space="preserve"> katru ceturksni, kuri gūti no emisiju kvotām, ir ieteicams pārbaudīt, vai ir pieejami dati par ceturkšņa emisiju, lai pēc tam, pamatojoties uz šiem ceturkšņa datiem, veiktu iepriekš izklāstītos ikgadējos aprēķinus. Ja šādi dati nav pieejami, var izmantot atbilstošu minēto ceturkšņa datu tuvinājumu, piemēram, ceturkšņa bruto vērtību, kāda pievienota ekonomikai, ja var uzskatīt, ka tam ir kāda saistība ar emisijām.</w:t>
      </w:r>
    </w:p>
    <w:p w:rsidR="00506AA9" w:rsidRPr="001973D0" w:rsidRDefault="00506AA9" w:rsidP="00506AA9">
      <w:pPr>
        <w:pStyle w:val="BodyText"/>
        <w:numPr>
          <w:ilvl w:val="0"/>
          <w:numId w:val="126"/>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Noteikta daudzuma vienību reģistrēšanu statistikā apgrūtina fakts, ka sākotnēji tās tiek piešķirtas valstīm bez maksas, tās nav jānodod, kad tiek veikta emisija un tās tiek piešķirtas uz vairākiem gadiem. Tomēr dažas valdības (un arī dažas valdības sektoram nepiederošas vienības) ir gatavas pirkt </w:t>
      </w:r>
      <w:r>
        <w:rPr>
          <w:rFonts w:ascii="Times New Roman" w:hAnsi="Times New Roman"/>
          <w:i/>
          <w:noProof/>
          <w:sz w:val="24"/>
        </w:rPr>
        <w:t>AAU</w:t>
      </w:r>
      <w:r>
        <w:rPr>
          <w:rFonts w:ascii="Times New Roman" w:hAnsi="Times New Roman"/>
          <w:noProof/>
          <w:sz w:val="24"/>
        </w:rPr>
        <w:t xml:space="preserve"> no citām </w:t>
      </w:r>
      <w:r w:rsidR="005168BD">
        <w:rPr>
          <w:rFonts w:ascii="Times New Roman" w:hAnsi="Times New Roman"/>
          <w:noProof/>
          <w:sz w:val="24"/>
        </w:rPr>
        <w:t>valdībām, un tāpēc ir jāieraksta</w:t>
      </w:r>
      <w:r>
        <w:rPr>
          <w:rFonts w:ascii="Times New Roman" w:hAnsi="Times New Roman"/>
          <w:noProof/>
          <w:sz w:val="24"/>
        </w:rPr>
        <w:t xml:space="preserve"> darījumi. Pieņemot, ka </w:t>
      </w:r>
      <w:r>
        <w:rPr>
          <w:rFonts w:ascii="Times New Roman" w:hAnsi="Times New Roman"/>
          <w:i/>
          <w:noProof/>
          <w:sz w:val="24"/>
        </w:rPr>
        <w:t>AAU</w:t>
      </w:r>
      <w:r>
        <w:rPr>
          <w:rFonts w:ascii="Times New Roman" w:hAnsi="Times New Roman"/>
          <w:noProof/>
          <w:sz w:val="24"/>
        </w:rPr>
        <w:t xml:space="preserve"> ir neražots nefinanšu aktīvs, un analoģiski iepriekš </w:t>
      </w:r>
      <w:r>
        <w:rPr>
          <w:rFonts w:ascii="Times New Roman" w:hAnsi="Times New Roman"/>
          <w:noProof/>
          <w:sz w:val="24"/>
        </w:rPr>
        <w:lastRenderedPageBreak/>
        <w:t>izklāstītajam emisijas kvotu tirgus cenas pārmaiņu trak</w:t>
      </w:r>
      <w:r w:rsidR="005168BD">
        <w:rPr>
          <w:rFonts w:ascii="Times New Roman" w:hAnsi="Times New Roman"/>
          <w:noProof/>
          <w:sz w:val="24"/>
        </w:rPr>
        <w:t>tējumam šādi darījumi jāieraksta</w:t>
      </w:r>
      <w:r>
        <w:rPr>
          <w:rFonts w:ascii="Times New Roman" w:hAnsi="Times New Roman"/>
          <w:noProof/>
          <w:sz w:val="24"/>
        </w:rPr>
        <w:t xml:space="preserve"> kā neražoto nefinanšu aktīvu pirkšana un pārdošana. Šādu </w:t>
      </w:r>
      <w:r>
        <w:rPr>
          <w:rFonts w:ascii="Times New Roman" w:hAnsi="Times New Roman"/>
          <w:i/>
          <w:noProof/>
          <w:sz w:val="24"/>
        </w:rPr>
        <w:t>AAU</w:t>
      </w:r>
      <w:r>
        <w:rPr>
          <w:rFonts w:ascii="Times New Roman" w:hAnsi="Times New Roman"/>
          <w:noProof/>
          <w:sz w:val="24"/>
        </w:rPr>
        <w:t xml:space="preserve"> darbības termiņa beigās tie ir jāsvītro no nacionālo kontu bilancēm, kad tiek sasniegts līgumā noteiktais datums, izmantojot citas pārmaiņas aktīvu apjomā.</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452"/>
        </w:tabs>
        <w:ind w:left="0" w:firstLine="0"/>
        <w:jc w:val="both"/>
        <w:rPr>
          <w:rFonts w:ascii="Times New Roman" w:hAnsi="Times New Roman"/>
          <w:noProof/>
          <w:u w:val="thick" w:color="000000"/>
        </w:rPr>
      </w:pPr>
      <w:bookmarkStart w:id="488" w:name="VI.5.4_Accounting_examples"/>
      <w:bookmarkEnd w:id="488"/>
      <w:r>
        <w:rPr>
          <w:rFonts w:ascii="Times New Roman" w:hAnsi="Times New Roman"/>
          <w:noProof/>
          <w:u w:val="none"/>
        </w:rPr>
        <w:t>VI.5.4. Uzskaites piemēri</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4"/>
        <w:numPr>
          <w:ilvl w:val="3"/>
          <w:numId w:val="127"/>
        </w:numPr>
        <w:tabs>
          <w:tab w:val="left" w:pos="1168"/>
        </w:tabs>
        <w:ind w:left="709" w:hanging="709"/>
        <w:jc w:val="both"/>
        <w:rPr>
          <w:rFonts w:ascii="Times New Roman" w:hAnsi="Times New Roman"/>
          <w:noProof/>
          <w:u w:val="none"/>
        </w:rPr>
      </w:pPr>
      <w:bookmarkStart w:id="489" w:name="1._The_impact_of_auctioned_emission_allo"/>
      <w:bookmarkEnd w:id="489"/>
      <w:r>
        <w:rPr>
          <w:rFonts w:ascii="Times New Roman" w:hAnsi="Times New Roman"/>
          <w:noProof/>
          <w:u w:val="none"/>
        </w:rPr>
        <w:t>Izsolīto emisijas kvotu ietekme</w:t>
      </w:r>
    </w:p>
    <w:p w:rsidR="00506AA9" w:rsidRPr="001973D0" w:rsidRDefault="00506AA9" w:rsidP="00506AA9">
      <w:pPr>
        <w:pStyle w:val="Heading4"/>
        <w:tabs>
          <w:tab w:val="left" w:pos="1168"/>
        </w:tabs>
        <w:ind w:left="0" w:firstLine="0"/>
        <w:jc w:val="both"/>
        <w:rPr>
          <w:rFonts w:ascii="Times New Roman" w:hAnsi="Times New Roman"/>
          <w:noProof/>
          <w:u w:val="none"/>
        </w:rPr>
      </w:pPr>
    </w:p>
    <w:p w:rsidR="00506AA9" w:rsidRDefault="00506AA9" w:rsidP="00506AA9">
      <w:pPr>
        <w:pStyle w:val="Heading6"/>
        <w:numPr>
          <w:ilvl w:val="4"/>
          <w:numId w:val="127"/>
        </w:numPr>
        <w:tabs>
          <w:tab w:val="left" w:pos="1462"/>
        </w:tabs>
        <w:ind w:left="1134" w:hanging="425"/>
        <w:jc w:val="both"/>
        <w:rPr>
          <w:rFonts w:ascii="Times New Roman" w:hAnsi="Times New Roman"/>
          <w:noProof/>
          <w:sz w:val="24"/>
        </w:rPr>
      </w:pPr>
      <w:bookmarkStart w:id="490" w:name="_Government_auctions_emission_allowance"/>
      <w:bookmarkEnd w:id="490"/>
      <w:r>
        <w:rPr>
          <w:rFonts w:ascii="Times New Roman" w:hAnsi="Times New Roman"/>
          <w:noProof/>
          <w:sz w:val="24"/>
        </w:rPr>
        <w:t>Valdība izsola emisijas kvotas, kuras tiek nodotas turpmāko divu gadu laikā</w:t>
      </w:r>
    </w:p>
    <w:p w:rsidR="00506AA9" w:rsidRPr="001973D0" w:rsidRDefault="00506AA9" w:rsidP="00506AA9">
      <w:pPr>
        <w:pStyle w:val="Heading6"/>
        <w:tabs>
          <w:tab w:val="left" w:pos="1462"/>
        </w:tabs>
        <w:jc w:val="both"/>
        <w:rPr>
          <w:rFonts w:ascii="Times New Roman" w:hAnsi="Times New Roman"/>
          <w:noProof/>
          <w:sz w:val="24"/>
        </w:rPr>
      </w:pPr>
    </w:p>
    <w:p w:rsidR="00506AA9" w:rsidRPr="001973D0" w:rsidRDefault="00506AA9" w:rsidP="00506AA9">
      <w:pPr>
        <w:pStyle w:val="BodyText"/>
        <w:numPr>
          <w:ilvl w:val="5"/>
          <w:numId w:val="127"/>
        </w:numPr>
        <w:tabs>
          <w:tab w:val="left" w:pos="1822"/>
        </w:tabs>
        <w:spacing w:before="0"/>
        <w:ind w:left="1701" w:hanging="567"/>
        <w:jc w:val="both"/>
        <w:rPr>
          <w:rFonts w:ascii="Times New Roman" w:hAnsi="Times New Roman"/>
          <w:noProof/>
          <w:sz w:val="24"/>
        </w:rPr>
      </w:pPr>
      <w:r>
        <w:rPr>
          <w:rFonts w:ascii="Times New Roman" w:hAnsi="Times New Roman"/>
          <w:noProof/>
          <w:sz w:val="24"/>
        </w:rPr>
        <w:t xml:space="preserve">Kvotu dominējošā tirgus cena </w:t>
      </w:r>
      <w:r>
        <w:rPr>
          <w:rFonts w:ascii="Times New Roman" w:hAnsi="Times New Roman"/>
          <w:i/>
          <w:noProof/>
          <w:sz w:val="24"/>
        </w:rPr>
        <w:t>t</w:t>
      </w:r>
      <w:r>
        <w:rPr>
          <w:rFonts w:ascii="Times New Roman" w:hAnsi="Times New Roman"/>
          <w:noProof/>
          <w:sz w:val="24"/>
        </w:rPr>
        <w:t> gadā ir viena naudas vienība par katru atļauju.</w:t>
      </w:r>
    </w:p>
    <w:p w:rsidR="00506AA9" w:rsidRPr="001973D0" w:rsidRDefault="00506AA9" w:rsidP="00506AA9">
      <w:pPr>
        <w:pStyle w:val="BodyText"/>
        <w:numPr>
          <w:ilvl w:val="5"/>
          <w:numId w:val="127"/>
        </w:numPr>
        <w:tabs>
          <w:tab w:val="left" w:pos="1822"/>
        </w:tabs>
        <w:spacing w:before="0"/>
        <w:ind w:left="1701" w:hanging="567"/>
        <w:jc w:val="both"/>
        <w:rPr>
          <w:rFonts w:ascii="Times New Roman" w:hAnsi="Times New Roman"/>
          <w:noProof/>
          <w:sz w:val="24"/>
        </w:rPr>
      </w:pPr>
      <w:r>
        <w:rPr>
          <w:rFonts w:ascii="Times New Roman" w:hAnsi="Times New Roman"/>
          <w:noProof/>
          <w:sz w:val="24"/>
        </w:rPr>
        <w:t>Vienkāršošanas nolūkā uzņēmumiem nav “bezmaksas” vai importēto atļauju.</w:t>
      </w:r>
    </w:p>
    <w:p w:rsidR="00506AA9" w:rsidRPr="001973D0" w:rsidRDefault="00506AA9" w:rsidP="00506AA9">
      <w:pPr>
        <w:pStyle w:val="BodyText"/>
        <w:numPr>
          <w:ilvl w:val="5"/>
          <w:numId w:val="127"/>
        </w:numPr>
        <w:tabs>
          <w:tab w:val="left" w:pos="1822"/>
        </w:tabs>
        <w:spacing w:before="0"/>
        <w:ind w:left="1701" w:hanging="567"/>
        <w:jc w:val="both"/>
        <w:rPr>
          <w:rFonts w:ascii="Times New Roman" w:hAnsi="Times New Roman"/>
          <w:noProof/>
          <w:sz w:val="24"/>
        </w:rPr>
      </w:pPr>
      <w:r>
        <w:rPr>
          <w:rFonts w:ascii="Times New Roman" w:hAnsi="Times New Roman"/>
          <w:noProof/>
          <w:sz w:val="24"/>
        </w:rPr>
        <w:t xml:space="preserve">Valdība </w:t>
      </w:r>
      <w:r>
        <w:rPr>
          <w:rFonts w:ascii="Times New Roman" w:hAnsi="Times New Roman"/>
          <w:i/>
          <w:noProof/>
          <w:sz w:val="24"/>
        </w:rPr>
        <w:t>t</w:t>
      </w:r>
      <w:r>
        <w:rPr>
          <w:rFonts w:ascii="Times New Roman" w:hAnsi="Times New Roman"/>
          <w:noProof/>
          <w:sz w:val="24"/>
        </w:rPr>
        <w:t> gadā izsola arī 1000 kvotas par 1000 naudas vienībām.</w:t>
      </w:r>
    </w:p>
    <w:p w:rsidR="00506AA9" w:rsidRPr="001973D0" w:rsidRDefault="00506AA9" w:rsidP="00506AA9">
      <w:pPr>
        <w:pStyle w:val="BodyText"/>
        <w:numPr>
          <w:ilvl w:val="5"/>
          <w:numId w:val="127"/>
        </w:numPr>
        <w:tabs>
          <w:tab w:val="left" w:pos="1822"/>
        </w:tabs>
        <w:spacing w:before="0"/>
        <w:ind w:left="1701" w:hanging="567"/>
        <w:jc w:val="both"/>
        <w:rPr>
          <w:rFonts w:ascii="Times New Roman" w:hAnsi="Times New Roman"/>
          <w:noProof/>
          <w:sz w:val="24"/>
        </w:rPr>
      </w:pPr>
      <w:r>
        <w:rPr>
          <w:rFonts w:ascii="Times New Roman" w:hAnsi="Times New Roman"/>
          <w:noProof/>
          <w:sz w:val="24"/>
        </w:rPr>
        <w:t xml:space="preserve">Gadā </w:t>
      </w:r>
      <w:r>
        <w:rPr>
          <w:rFonts w:ascii="Times New Roman" w:hAnsi="Times New Roman"/>
          <w:i/>
          <w:noProof/>
          <w:sz w:val="24"/>
        </w:rPr>
        <w:t>t+1</w:t>
      </w:r>
      <w:r>
        <w:rPr>
          <w:rFonts w:ascii="Times New Roman" w:hAnsi="Times New Roman"/>
          <w:noProof/>
          <w:sz w:val="24"/>
        </w:rPr>
        <w:t xml:space="preserve"> uzņēmumi nodod 500 kvotas.</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 xml:space="preserve">Gads </w:t>
      </w:r>
      <w:r>
        <w:rPr>
          <w:rFonts w:ascii="Times New Roman" w:hAnsi="Times New Roman"/>
          <w:i/>
          <w:noProof/>
          <w:sz w:val="24"/>
        </w:rPr>
        <w:t>t</w:t>
      </w:r>
    </w:p>
    <w:p w:rsidR="00506AA9" w:rsidRDefault="00506AA9" w:rsidP="00506AA9">
      <w:pPr>
        <w:tabs>
          <w:tab w:val="left" w:pos="5399"/>
        </w:tabs>
        <w:jc w:val="both"/>
        <w:rPr>
          <w:rFonts w:ascii="Times New Roman" w:eastAsia="Calibri" w:hAnsi="Times New Roman" w:cs="Calibri"/>
          <w:noProof/>
          <w:sz w:val="24"/>
          <w:szCs w:val="20"/>
        </w:rPr>
      </w:pPr>
    </w:p>
    <w:p w:rsidR="00506AA9" w:rsidRPr="001973D0" w:rsidRDefault="00106B7A" w:rsidP="00506AA9">
      <w:pPr>
        <w:tabs>
          <w:tab w:val="left" w:pos="5399"/>
        </w:tabs>
        <w:jc w:val="center"/>
        <w:rPr>
          <w:rFonts w:ascii="Times New Roman" w:eastAsia="Calibri" w:hAnsi="Times New Roman" w:cs="Calibri"/>
          <w:noProof/>
          <w:sz w:val="24"/>
          <w:szCs w:val="20"/>
        </w:rPr>
      </w:pPr>
      <w:r w:rsidRPr="00106B7A">
        <w:rPr>
          <w:rFonts w:ascii="Times New Roman" w:eastAsia="Calibri" w:hAnsi="Times New Roman" w:cs="Calibri"/>
          <w:noProof/>
          <w:sz w:val="24"/>
          <w:szCs w:val="20"/>
          <w:lang w:bidi="ar-SA"/>
        </w:rPr>
        <w:drawing>
          <wp:inline distT="0" distB="0" distL="0" distR="0">
            <wp:extent cx="5157785" cy="1945188"/>
            <wp:effectExtent l="0" t="0" r="508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67562" cy="1948875"/>
                    </a:xfrm>
                    <a:prstGeom prst="rect">
                      <a:avLst/>
                    </a:prstGeom>
                    <a:noFill/>
                    <a:ln>
                      <a:noFill/>
                    </a:ln>
                  </pic:spPr>
                </pic:pic>
              </a:graphicData>
            </a:graphic>
          </wp:inline>
        </w:drawing>
      </w:r>
      <w:r w:rsidRPr="00106B7A">
        <w:rPr>
          <w:rFonts w:ascii="Times New Roman" w:eastAsia="Calibri" w:hAnsi="Times New Roman" w:cs="Calibri"/>
          <w:noProof/>
          <w:sz w:val="24"/>
          <w:szCs w:val="20"/>
          <w:lang w:bidi="ar-SA"/>
        </w:rPr>
        <w:lastRenderedPageBreak/>
        <w:drawing>
          <wp:inline distT="0" distB="0" distL="0" distR="0">
            <wp:extent cx="5250873" cy="3991104"/>
            <wp:effectExtent l="0" t="0" r="698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56953" cy="3995725"/>
                    </a:xfrm>
                    <a:prstGeom prst="rect">
                      <a:avLst/>
                    </a:prstGeom>
                    <a:noFill/>
                    <a:ln>
                      <a:noFill/>
                    </a:ln>
                  </pic:spPr>
                </pic:pic>
              </a:graphicData>
            </a:graphic>
          </wp:inline>
        </w:drawing>
      </w:r>
    </w:p>
    <w:p w:rsidR="00506AA9" w:rsidRDefault="00506AA9" w:rsidP="00506AA9">
      <w:pPr>
        <w:jc w:val="center"/>
        <w:rPr>
          <w:rFonts w:ascii="Times New Roman" w:eastAsia="Calibri" w:hAnsi="Times New Roman" w:cs="Calibri"/>
          <w:noProof/>
          <w:sz w:val="24"/>
          <w:szCs w:val="20"/>
        </w:rPr>
      </w:pPr>
    </w:p>
    <w:p w:rsidR="00506AA9" w:rsidRDefault="00506AA9" w:rsidP="00506AA9">
      <w:pPr>
        <w:jc w:val="both"/>
        <w:rPr>
          <w:rFonts w:ascii="Times New Roman" w:eastAsia="Calibri" w:hAnsi="Times New Roman" w:cs="Calibri"/>
          <w:noProof/>
          <w:sz w:val="24"/>
          <w:szCs w:val="20"/>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Paskaidrojums.</w:t>
      </w:r>
      <w:r>
        <w:rPr>
          <w:rFonts w:ascii="Times New Roman" w:hAnsi="Times New Roman"/>
          <w:noProof/>
          <w:sz w:val="24"/>
        </w:rPr>
        <w:t xml:space="preserve"> Kvotu izsole par 1000 naudas vienīb</w:t>
      </w:r>
      <w:r w:rsidR="005168BD">
        <w:rPr>
          <w:rFonts w:ascii="Times New Roman" w:hAnsi="Times New Roman"/>
          <w:noProof/>
          <w:sz w:val="24"/>
        </w:rPr>
        <w:t>ām skaidrā naudā tiek ierakstīta</w:t>
      </w:r>
      <w:r>
        <w:rPr>
          <w:rFonts w:ascii="Times New Roman" w:hAnsi="Times New Roman"/>
          <w:noProof/>
          <w:sz w:val="24"/>
        </w:rPr>
        <w:t xml:space="preserve"> kā finanšu darījums (ar pretvērtību pozīcijā F.8), ņemot vērā, ka att</w:t>
      </w:r>
      <w:r w:rsidR="005168BD">
        <w:rPr>
          <w:rFonts w:ascii="Times New Roman" w:hAnsi="Times New Roman"/>
          <w:noProof/>
          <w:sz w:val="24"/>
        </w:rPr>
        <w:t>iecīgie ieņēmumi tiks ierakstīti</w:t>
      </w:r>
      <w:r>
        <w:rPr>
          <w:rFonts w:ascii="Times New Roman" w:hAnsi="Times New Roman"/>
          <w:noProof/>
          <w:sz w:val="24"/>
        </w:rPr>
        <w:t xml:space="preserve"> tikai turpmākajos gados, kad tiks nodotas kvotas.</w:t>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 xml:space="preserve">Gads </w:t>
      </w:r>
      <w:r>
        <w:rPr>
          <w:rFonts w:ascii="Times New Roman" w:hAnsi="Times New Roman"/>
          <w:i/>
          <w:noProof/>
          <w:sz w:val="24"/>
        </w:rPr>
        <w:t>t+1</w:t>
      </w:r>
    </w:p>
    <w:p w:rsidR="00506AA9" w:rsidRDefault="00506AA9" w:rsidP="00506AA9">
      <w:pPr>
        <w:jc w:val="both"/>
        <w:rPr>
          <w:rFonts w:ascii="Times New Roman" w:hAnsi="Times New Roman"/>
          <w:noProof/>
          <w:sz w:val="24"/>
        </w:rPr>
      </w:pPr>
    </w:p>
    <w:p w:rsidR="00506AA9" w:rsidRDefault="00F22F29" w:rsidP="00506AA9">
      <w:pPr>
        <w:jc w:val="center"/>
        <w:rPr>
          <w:rFonts w:ascii="Times New Roman" w:hAnsi="Times New Roman"/>
          <w:noProof/>
          <w:sz w:val="24"/>
        </w:rPr>
      </w:pPr>
      <w:r w:rsidRPr="00F22F29">
        <w:rPr>
          <w:rFonts w:ascii="Times New Roman" w:hAnsi="Times New Roman"/>
          <w:noProof/>
          <w:sz w:val="24"/>
          <w:lang w:bidi="ar-SA"/>
        </w:rPr>
        <w:drawing>
          <wp:inline distT="0" distB="0" distL="0" distR="0">
            <wp:extent cx="5760085" cy="1861122"/>
            <wp:effectExtent l="0" t="0" r="0" b="635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60085" cy="1861122"/>
                    </a:xfrm>
                    <a:prstGeom prst="rect">
                      <a:avLst/>
                    </a:prstGeom>
                    <a:noFill/>
                    <a:ln>
                      <a:noFill/>
                    </a:ln>
                  </pic:spPr>
                </pic:pic>
              </a:graphicData>
            </a:graphic>
          </wp:inline>
        </w:drawing>
      </w:r>
    </w:p>
    <w:p w:rsidR="00506AA9" w:rsidRDefault="00106B7A" w:rsidP="00506AA9">
      <w:pPr>
        <w:jc w:val="center"/>
        <w:rPr>
          <w:rFonts w:ascii="Times New Roman" w:hAnsi="Times New Roman"/>
          <w:noProof/>
          <w:sz w:val="24"/>
        </w:rPr>
      </w:pPr>
      <w:r w:rsidRPr="00106B7A">
        <w:rPr>
          <w:rFonts w:ascii="Times New Roman" w:hAnsi="Times New Roman"/>
          <w:noProof/>
          <w:sz w:val="24"/>
          <w:lang w:bidi="ar-SA"/>
        </w:rPr>
        <w:lastRenderedPageBreak/>
        <w:drawing>
          <wp:inline distT="0" distB="0" distL="0" distR="0">
            <wp:extent cx="5760085" cy="4690323"/>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760085" cy="4690323"/>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13"/>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Paskaidrojums.</w:t>
      </w:r>
      <w:r>
        <w:rPr>
          <w:rFonts w:ascii="Times New Roman" w:hAnsi="Times New Roman"/>
          <w:noProof/>
          <w:sz w:val="24"/>
        </w:rPr>
        <w:t xml:space="preserve"> Vidējā vienas atļaujas izsoles cena gada </w:t>
      </w:r>
      <w:r>
        <w:rPr>
          <w:rFonts w:ascii="Times New Roman" w:hAnsi="Times New Roman"/>
          <w:i/>
          <w:noProof/>
          <w:sz w:val="24"/>
        </w:rPr>
        <w:t>t+1</w:t>
      </w:r>
      <w:r>
        <w:rPr>
          <w:rFonts w:ascii="Times New Roman" w:hAnsi="Times New Roman"/>
          <w:noProof/>
          <w:sz w:val="24"/>
        </w:rPr>
        <w:t xml:space="preserve"> sākumā ir kopējie izsoles ieņēmumi, kas gūti, izsolot 1000 kvotas, dalīti ar valsts iekšējās izsolēs iegūto kvotu skaitu (1000), proti, 1 naudas vienība. Tā kā gadā </w:t>
      </w:r>
      <w:r>
        <w:rPr>
          <w:rFonts w:ascii="Times New Roman" w:hAnsi="Times New Roman"/>
          <w:i/>
          <w:noProof/>
          <w:sz w:val="24"/>
        </w:rPr>
        <w:t>t+1</w:t>
      </w:r>
      <w:r>
        <w:rPr>
          <w:rFonts w:ascii="Times New Roman" w:hAnsi="Times New Roman"/>
          <w:noProof/>
          <w:sz w:val="24"/>
        </w:rPr>
        <w:t xml:space="preserve"> tika nodotas 500 kvotas, citu ražo</w:t>
      </w:r>
      <w:r w:rsidR="0046147C">
        <w:rPr>
          <w:rFonts w:ascii="Times New Roman" w:hAnsi="Times New Roman"/>
          <w:noProof/>
          <w:sz w:val="24"/>
        </w:rPr>
        <w:t>šanas nodokļu vērtība jāieraksta</w:t>
      </w:r>
      <w:r>
        <w:rPr>
          <w:rFonts w:ascii="Times New Roman" w:hAnsi="Times New Roman"/>
          <w:noProof/>
          <w:sz w:val="24"/>
        </w:rPr>
        <w:t xml:space="preserve"> 500*1=500 naudas vienību apmērā. Šo ieņēmumu pretvērtība valdībai ir citu kreditora saistību samazinājums un vienībām – debitora saistību samazinājums. Ja vienībām būtu bijušas “bezmaksas” vai importētās atļaujas</w:t>
      </w:r>
      <w:r w:rsidR="0046147C">
        <w:rPr>
          <w:rFonts w:ascii="Times New Roman" w:hAnsi="Times New Roman"/>
          <w:noProof/>
          <w:sz w:val="24"/>
        </w:rPr>
        <w:t>, pēdējās minētās būt jāieraksta</w:t>
      </w:r>
      <w:r>
        <w:rPr>
          <w:rFonts w:ascii="Times New Roman" w:hAnsi="Times New Roman"/>
          <w:noProof/>
          <w:sz w:val="24"/>
        </w:rPr>
        <w:t xml:space="preserve"> kā AN.2 (ar citām apjoma pārmaiņām pirmajā gadījumā, ar darījumu otrajā gadījumā). Šīm atļaujām vērtība jānosaka tirgus cenās (iespējams, veicot pārvērtēšanu). Tomēr piemērā tiek uzskatīts, ka “izsolītās” atļaujas izmantotas prioritāri un pārējās atļaujas tiktu nodotas tikai tad, kad “izsolīto” atļauju krājums ir izsmelts.</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4"/>
        <w:numPr>
          <w:ilvl w:val="3"/>
          <w:numId w:val="127"/>
        </w:numPr>
        <w:tabs>
          <w:tab w:val="left" w:pos="1488"/>
        </w:tabs>
        <w:ind w:left="709" w:hanging="709"/>
        <w:jc w:val="both"/>
        <w:rPr>
          <w:rFonts w:ascii="Times New Roman" w:hAnsi="Times New Roman"/>
          <w:noProof/>
          <w:u w:val="none"/>
        </w:rPr>
      </w:pPr>
      <w:bookmarkStart w:id="491" w:name="2._The_impact_of_the_sale_of_Assigned_Am"/>
      <w:bookmarkEnd w:id="491"/>
      <w:r>
        <w:rPr>
          <w:rFonts w:ascii="Times New Roman" w:hAnsi="Times New Roman"/>
          <w:noProof/>
          <w:u w:val="none"/>
        </w:rPr>
        <w:t>Noteiktā daudzuma vienību (jeb atļauju) pārdošanas ietekme</w:t>
      </w:r>
    </w:p>
    <w:p w:rsidR="00506AA9" w:rsidRPr="001973D0" w:rsidRDefault="00506AA9" w:rsidP="00506AA9">
      <w:pPr>
        <w:pStyle w:val="Heading4"/>
        <w:tabs>
          <w:tab w:val="left" w:pos="1488"/>
        </w:tabs>
        <w:ind w:left="0" w:firstLine="0"/>
        <w:jc w:val="both"/>
        <w:rPr>
          <w:rFonts w:ascii="Times New Roman" w:hAnsi="Times New Roman"/>
          <w:noProof/>
          <w:u w:val="none"/>
        </w:rPr>
      </w:pPr>
    </w:p>
    <w:p w:rsidR="00506AA9" w:rsidRPr="001973D0" w:rsidRDefault="00506AA9" w:rsidP="00506AA9">
      <w:pPr>
        <w:pStyle w:val="BodyText"/>
        <w:numPr>
          <w:ilvl w:val="4"/>
          <w:numId w:val="127"/>
        </w:numPr>
        <w:tabs>
          <w:tab w:val="left" w:pos="1422"/>
        </w:tabs>
        <w:spacing w:before="0"/>
        <w:ind w:left="1134" w:hanging="425"/>
        <w:jc w:val="both"/>
        <w:rPr>
          <w:rFonts w:ascii="Times New Roman" w:hAnsi="Times New Roman"/>
          <w:noProof/>
          <w:sz w:val="24"/>
        </w:rPr>
      </w:pPr>
      <w:bookmarkStart w:id="492" w:name="_Government_A_sells_Assigned_Amount_Uni"/>
      <w:bookmarkEnd w:id="492"/>
      <w:r>
        <w:rPr>
          <w:rFonts w:ascii="Times New Roman" w:hAnsi="Times New Roman"/>
          <w:b/>
          <w:noProof/>
          <w:sz w:val="24"/>
        </w:rPr>
        <w:t>Valdība A</w:t>
      </w:r>
      <w:r>
        <w:t xml:space="preserve"> </w:t>
      </w:r>
      <w:r>
        <w:rPr>
          <w:rFonts w:ascii="Times New Roman" w:hAnsi="Times New Roman"/>
          <w:noProof/>
          <w:sz w:val="24"/>
        </w:rPr>
        <w:t xml:space="preserve">pārdod noteiktā daudzuma vienības valdībai B par 200 naudas vienībām </w:t>
      </w:r>
      <w:r>
        <w:rPr>
          <w:rFonts w:ascii="Times New Roman" w:hAnsi="Times New Roman"/>
          <w:i/>
          <w:noProof/>
          <w:sz w:val="24"/>
        </w:rPr>
        <w:t>t</w:t>
      </w:r>
      <w:r>
        <w:rPr>
          <w:rFonts w:ascii="Times New Roman" w:hAnsi="Times New Roman"/>
          <w:noProof/>
          <w:sz w:val="24"/>
        </w:rPr>
        <w:t> gadā.</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Gads </w:t>
      </w:r>
      <w:r>
        <w:rPr>
          <w:rFonts w:ascii="Times New Roman" w:hAnsi="Times New Roman"/>
          <w:i/>
          <w:noProof/>
          <w:sz w:val="24"/>
        </w:rPr>
        <w:t>t</w:t>
      </w:r>
    </w:p>
    <w:p w:rsidR="00506AA9" w:rsidRDefault="00506AA9" w:rsidP="00506AA9">
      <w:pPr>
        <w:jc w:val="both"/>
        <w:rPr>
          <w:rFonts w:ascii="Times New Roman" w:eastAsia="Calibri" w:hAnsi="Times New Roman" w:cs="Calibri"/>
          <w:b/>
          <w:bCs/>
          <w:noProof/>
          <w:sz w:val="24"/>
          <w:szCs w:val="20"/>
        </w:rPr>
      </w:pPr>
    </w:p>
    <w:p w:rsidR="00506AA9" w:rsidRDefault="00106B7A" w:rsidP="00506AA9">
      <w:pPr>
        <w:jc w:val="center"/>
        <w:rPr>
          <w:rFonts w:ascii="Times New Roman" w:eastAsia="Calibri" w:hAnsi="Times New Roman" w:cs="Calibri"/>
          <w:b/>
          <w:bCs/>
          <w:noProof/>
          <w:sz w:val="24"/>
          <w:szCs w:val="20"/>
        </w:rPr>
      </w:pPr>
      <w:r w:rsidRPr="00106B7A">
        <w:rPr>
          <w:rFonts w:ascii="Times New Roman" w:eastAsia="Calibri" w:hAnsi="Times New Roman" w:cs="Calibri"/>
          <w:b/>
          <w:bCs/>
          <w:noProof/>
          <w:sz w:val="24"/>
          <w:szCs w:val="20"/>
          <w:lang w:bidi="ar-SA"/>
        </w:rPr>
        <w:lastRenderedPageBreak/>
        <w:drawing>
          <wp:inline distT="0" distB="0" distL="0" distR="0">
            <wp:extent cx="5760085" cy="4385227"/>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60085" cy="4385227"/>
                    </a:xfrm>
                    <a:prstGeom prst="rect">
                      <a:avLst/>
                    </a:prstGeom>
                    <a:noFill/>
                    <a:ln>
                      <a:noFill/>
                    </a:ln>
                  </pic:spPr>
                </pic:pic>
              </a:graphicData>
            </a:graphic>
          </wp:inline>
        </w:drawing>
      </w:r>
    </w:p>
    <w:p w:rsidR="00506AA9" w:rsidRPr="00240C84" w:rsidRDefault="00506AA9" w:rsidP="00506AA9">
      <w:pPr>
        <w:jc w:val="both"/>
        <w:rPr>
          <w:rFonts w:ascii="Times New Roman" w:eastAsia="Calibri" w:hAnsi="Times New Roman" w:cs="Calibri"/>
          <w:bCs/>
          <w:noProof/>
          <w:sz w:val="24"/>
          <w:szCs w:val="20"/>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Paskaidrojums.</w:t>
      </w:r>
      <w:r>
        <w:rPr>
          <w:rFonts w:ascii="Times New Roman" w:hAnsi="Times New Roman"/>
          <w:noProof/>
          <w:sz w:val="24"/>
        </w:rPr>
        <w:t xml:space="preserve"> Tiek pieņemts, ka noteiktā daudzuma vienības ir nefinanšu neražoti aktīvi (sk. paskaidrojumu iepriekš). Tāpēc tās jāiekļauj šādu aktīvu (AN.22) kopumā, un to pārdošana (pirkšana) valdībai A nozīmē nefinanšu neražoto aktīvu realizāciju (iegād</w:t>
      </w:r>
      <w:r w:rsidR="0046147C">
        <w:rPr>
          <w:rFonts w:ascii="Times New Roman" w:hAnsi="Times New Roman"/>
          <w:noProof/>
          <w:sz w:val="24"/>
        </w:rPr>
        <w:t>i) (NP.2). Valdībai B jāieraksta</w:t>
      </w:r>
      <w:r>
        <w:rPr>
          <w:rFonts w:ascii="Times New Roman" w:hAnsi="Times New Roman"/>
          <w:noProof/>
          <w:sz w:val="24"/>
        </w:rPr>
        <w:t xml:space="preserve"> neražotu nefinanšu aktīvu simetriska pirkšana (iegāde).</w:t>
      </w:r>
    </w:p>
    <w:p w:rsidR="00506AA9" w:rsidRDefault="00506AA9" w:rsidP="00506AA9">
      <w:pPr>
        <w:rPr>
          <w:rFonts w:ascii="Times New Roman" w:hAnsi="Times New Roman"/>
          <w:noProof/>
          <w:sz w:val="24"/>
        </w:rPr>
      </w:pPr>
      <w:r>
        <w:br w:type="page"/>
      </w:r>
    </w:p>
    <w:p w:rsidR="00506AA9" w:rsidRDefault="00506AA9" w:rsidP="00F22F29">
      <w:pPr>
        <w:pStyle w:val="Heading2"/>
        <w:rPr>
          <w:noProof/>
        </w:rPr>
      </w:pPr>
      <w:bookmarkStart w:id="493" w:name="VI.6_Keywords_and_accounting_references"/>
      <w:bookmarkStart w:id="494" w:name="_bookmark52"/>
      <w:bookmarkStart w:id="495" w:name="_Toc471135918"/>
      <w:bookmarkEnd w:id="493"/>
      <w:bookmarkEnd w:id="494"/>
      <w:r>
        <w:rPr>
          <w:noProof/>
        </w:rPr>
        <w:lastRenderedPageBreak/>
        <w:t>VI.6. Atslēgvārdi un atsauces</w:t>
      </w:r>
      <w:bookmarkEnd w:id="495"/>
    </w:p>
    <w:p w:rsidR="00506AA9" w:rsidRPr="00240C84" w:rsidRDefault="00506AA9" w:rsidP="00506AA9">
      <w:pPr>
        <w:tabs>
          <w:tab w:val="left" w:pos="1462"/>
        </w:tabs>
        <w:jc w:val="both"/>
        <w:rPr>
          <w:rFonts w:ascii="Times New Roman" w:hAnsi="Times New Roman"/>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5373"/>
        <w:gridCol w:w="3688"/>
      </w:tblGrid>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Ekonomiskais aktīvs</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7.15.–7.18.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Neražoto aktīvu izslēgšana no ekonomikas (K.2)</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6.07.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Finanšu noma/ operatīvā noma</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w:t>
            </w:r>
            <w:r w:rsidR="005A7579">
              <w:rPr>
                <w:rFonts w:ascii="Times New Roman" w:hAnsi="Times New Roman"/>
                <w:noProof/>
                <w:sz w:val="24"/>
              </w:rPr>
              <w:t xml:space="preserve"> </w:t>
            </w:r>
            <w:r>
              <w:rPr>
                <w:rFonts w:ascii="Times New Roman" w:hAnsi="Times New Roman"/>
                <w:noProof/>
                <w:sz w:val="24"/>
              </w:rPr>
              <w:t>2010, 15.04. un turpmākie punkti</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Nefinanšu neražotie aktīvi</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7.24. punkts un 7.1. pielikums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Citi kārtējie nodokļi</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4.79.–4.80.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Citi ražošanas nodokļi</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4.23.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Produkcija</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3.14. un turpmākie punkti</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Īpašuma ienākums</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4.41.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Rente</w:t>
            </w:r>
          </w:p>
        </w:tc>
        <w:tc>
          <w:tcPr>
            <w:tcW w:w="2035" w:type="pct"/>
          </w:tcPr>
          <w:p w:rsidR="00506AA9" w:rsidRDefault="00E0064A" w:rsidP="005A7579">
            <w:pPr>
              <w:tabs>
                <w:tab w:val="left" w:pos="1462"/>
              </w:tabs>
              <w:jc w:val="both"/>
              <w:rPr>
                <w:rFonts w:ascii="Times New Roman" w:hAnsi="Times New Roman"/>
                <w:noProof/>
                <w:sz w:val="24"/>
              </w:rPr>
            </w:pPr>
            <w:r>
              <w:rPr>
                <w:rFonts w:ascii="Times New Roman" w:hAnsi="Times New Roman"/>
                <w:noProof/>
                <w:sz w:val="24"/>
              </w:rPr>
              <w:t>EKS</w:t>
            </w:r>
            <w:r w:rsidR="00506AA9">
              <w:rPr>
                <w:rFonts w:ascii="Times New Roman" w:hAnsi="Times New Roman"/>
                <w:noProof/>
                <w:sz w:val="24"/>
              </w:rPr>
              <w:t> 2010, 4.72–4.76. punkts</w:t>
            </w:r>
          </w:p>
        </w:tc>
      </w:tr>
      <w:tr w:rsidR="00506AA9" w:rsidTr="005A7579">
        <w:tc>
          <w:tcPr>
            <w:tcW w:w="2965" w:type="pct"/>
          </w:tcPr>
          <w:p w:rsidR="00506AA9" w:rsidRDefault="0046147C" w:rsidP="005A7579">
            <w:pPr>
              <w:tabs>
                <w:tab w:val="left" w:pos="1462"/>
              </w:tabs>
              <w:jc w:val="both"/>
              <w:rPr>
                <w:rFonts w:ascii="Times New Roman" w:hAnsi="Times New Roman"/>
                <w:noProof/>
                <w:sz w:val="24"/>
              </w:rPr>
            </w:pPr>
            <w:r>
              <w:rPr>
                <w:rFonts w:ascii="Times New Roman" w:hAnsi="Times New Roman"/>
                <w:noProof/>
                <w:sz w:val="24"/>
              </w:rPr>
              <w:t>Plūsmu ierakstīšanas</w:t>
            </w:r>
            <w:r w:rsidR="00506AA9">
              <w:rPr>
                <w:rFonts w:ascii="Times New Roman" w:hAnsi="Times New Roman"/>
                <w:noProof/>
                <w:sz w:val="24"/>
              </w:rPr>
              <w:t xml:space="preserve"> laiks</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1.101. punkts</w:t>
            </w:r>
          </w:p>
        </w:tc>
      </w:tr>
      <w:tr w:rsidR="00506AA9" w:rsidTr="005A7579">
        <w:tc>
          <w:tcPr>
            <w:tcW w:w="296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Darījums ar neražotiem aktīviem</w:t>
            </w:r>
          </w:p>
        </w:tc>
        <w:tc>
          <w:tcPr>
            <w:tcW w:w="2035" w:type="pct"/>
          </w:tcPr>
          <w:p w:rsidR="00506AA9" w:rsidRDefault="00506AA9" w:rsidP="005A7579">
            <w:pPr>
              <w:tabs>
                <w:tab w:val="left" w:pos="1462"/>
              </w:tabs>
              <w:jc w:val="both"/>
              <w:rPr>
                <w:rFonts w:ascii="Times New Roman" w:hAnsi="Times New Roman"/>
                <w:noProof/>
                <w:sz w:val="24"/>
              </w:rPr>
            </w:pPr>
            <w:r>
              <w:rPr>
                <w:rFonts w:ascii="Times New Roman" w:hAnsi="Times New Roman"/>
                <w:noProof/>
                <w:sz w:val="24"/>
              </w:rPr>
              <w:t>EKS 2010, 3.184. un turpmākie punkti</w:t>
            </w:r>
          </w:p>
        </w:tc>
      </w:tr>
    </w:tbl>
    <w:p w:rsidR="00506AA9" w:rsidRDefault="00506AA9" w:rsidP="00506AA9">
      <w:pPr>
        <w:tabs>
          <w:tab w:val="left" w:pos="1462"/>
        </w:tabs>
        <w:jc w:val="both"/>
        <w:rPr>
          <w:rFonts w:ascii="Times New Roman" w:hAnsi="Times New Roman"/>
          <w:noProof/>
          <w:sz w:val="24"/>
        </w:rPr>
      </w:pPr>
    </w:p>
    <w:p w:rsidR="00506AA9" w:rsidRDefault="00506AA9" w:rsidP="00506AA9">
      <w:pPr>
        <w:rPr>
          <w:rFonts w:ascii="Times New Roman" w:hAnsi="Times New Roman"/>
          <w:noProof/>
          <w:sz w:val="24"/>
        </w:rPr>
      </w:pPr>
      <w:r>
        <w:br w:type="page"/>
      </w:r>
    </w:p>
    <w:p w:rsidR="00506AA9" w:rsidRPr="001973D0" w:rsidRDefault="00F22F29" w:rsidP="00F22F29">
      <w:pPr>
        <w:pStyle w:val="Heading1"/>
        <w:tabs>
          <w:tab w:val="left" w:pos="1418"/>
        </w:tabs>
        <w:rPr>
          <w:noProof/>
        </w:rPr>
      </w:pPr>
      <w:bookmarkStart w:id="496" w:name="Part_VII_Debt_related_transactions_and_g"/>
      <w:bookmarkStart w:id="497" w:name="_bookmark53"/>
      <w:bookmarkStart w:id="498" w:name="_Toc471135919"/>
      <w:bookmarkEnd w:id="496"/>
      <w:bookmarkEnd w:id="497"/>
      <w:r>
        <w:rPr>
          <w:noProof/>
        </w:rPr>
        <w:lastRenderedPageBreak/>
        <w:t>VII daļa.</w:t>
      </w:r>
      <w:r>
        <w:rPr>
          <w:noProof/>
        </w:rPr>
        <w:tab/>
      </w:r>
      <w:r w:rsidR="00506AA9">
        <w:rPr>
          <w:noProof/>
        </w:rPr>
        <w:t>Ar parādu saistītie darījumi un garantijas</w:t>
      </w:r>
      <w:bookmarkEnd w:id="498"/>
    </w:p>
    <w:p w:rsidR="00506AA9" w:rsidRPr="001973D0" w:rsidRDefault="00506AA9" w:rsidP="00506AA9">
      <w:pPr>
        <w:jc w:val="both"/>
        <w:rPr>
          <w:rFonts w:ascii="Times New Roman" w:eastAsia="Arial" w:hAnsi="Times New Roman" w:cs="Arial"/>
          <w:b/>
          <w:bCs/>
          <w:noProof/>
          <w:sz w:val="24"/>
          <w:szCs w:val="31"/>
        </w:rPr>
      </w:pPr>
    </w:p>
    <w:p w:rsidR="00506AA9" w:rsidRDefault="00506AA9" w:rsidP="00F22F29">
      <w:pPr>
        <w:pStyle w:val="Heading2"/>
        <w:rPr>
          <w:noProof/>
        </w:rPr>
      </w:pPr>
      <w:bookmarkStart w:id="499" w:name="VII.1_Overview"/>
      <w:bookmarkStart w:id="500" w:name="_bookmark54"/>
      <w:bookmarkStart w:id="501" w:name="_Toc471135920"/>
      <w:bookmarkEnd w:id="499"/>
      <w:bookmarkEnd w:id="500"/>
      <w:r>
        <w:rPr>
          <w:noProof/>
        </w:rPr>
        <w:t>VII.1. Pārskats</w:t>
      </w:r>
      <w:bookmarkEnd w:id="501"/>
    </w:p>
    <w:p w:rsidR="00506AA9" w:rsidRPr="001973D0" w:rsidRDefault="00506AA9" w:rsidP="00506AA9">
      <w:pPr>
        <w:tabs>
          <w:tab w:val="left" w:pos="1462"/>
        </w:tabs>
        <w:jc w:val="both"/>
        <w:rPr>
          <w:rFonts w:ascii="Times New Roman" w:hAnsi="Times New Roman"/>
          <w:b/>
          <w:noProof/>
          <w:sz w:val="24"/>
        </w:rPr>
      </w:pPr>
    </w:p>
    <w:p w:rsidR="00506AA9" w:rsidRPr="001973D0" w:rsidRDefault="00506AA9" w:rsidP="00506AA9">
      <w:pPr>
        <w:pStyle w:val="BodyText"/>
        <w:numPr>
          <w:ilvl w:val="0"/>
          <w:numId w:val="125"/>
        </w:numPr>
        <w:tabs>
          <w:tab w:val="left" w:pos="1102"/>
        </w:tabs>
        <w:spacing w:before="0"/>
        <w:ind w:left="709" w:hanging="709"/>
        <w:jc w:val="both"/>
        <w:rPr>
          <w:rFonts w:ascii="Times New Roman" w:hAnsi="Times New Roman"/>
          <w:noProof/>
          <w:sz w:val="24"/>
        </w:rPr>
      </w:pPr>
      <w:r>
        <w:rPr>
          <w:rFonts w:ascii="Times New Roman" w:hAnsi="Times New Roman"/>
          <w:noProof/>
          <w:sz w:val="24"/>
        </w:rPr>
        <w:t>Šajā daļā ir apspriests valdībai pienākošos parādu (valdības aktīvu) traktējums, nevis parāds kā valdības saistības (sk. VIII daļu “Vispārējās valdības parāda apmēra noteikšana”). Dažkārt valdības ar sociālo un ekonomisko attīstību saistītas politikas dēļ vai starptautisko attiecību dēļ atbrīvo atsevišķus ekonomikas subjektus no visām parādsaistībām vai to daļas. Šāda rīcība ietekmē valdības neto aizdevumu/aizņēmumu, jo tā ir brīvprātīgs bagātības pārv</w:t>
      </w:r>
      <w:r w:rsidR="0046147C">
        <w:rPr>
          <w:rFonts w:ascii="Times New Roman" w:hAnsi="Times New Roman"/>
          <w:noProof/>
          <w:sz w:val="24"/>
        </w:rPr>
        <w:t>edums (kas līdz ar to jāieraksta</w:t>
      </w:r>
      <w:r>
        <w:rPr>
          <w:rFonts w:ascii="Times New Roman" w:hAnsi="Times New Roman"/>
          <w:noProof/>
          <w:sz w:val="24"/>
        </w:rPr>
        <w:t xml:space="preserve"> kā kapitāla pārvedums).</w:t>
      </w:r>
    </w:p>
    <w:p w:rsidR="00506AA9" w:rsidRPr="001973D0" w:rsidRDefault="00506AA9" w:rsidP="00506AA9">
      <w:pPr>
        <w:pStyle w:val="BodyText"/>
        <w:numPr>
          <w:ilvl w:val="0"/>
          <w:numId w:val="125"/>
        </w:numPr>
        <w:tabs>
          <w:tab w:val="left" w:pos="1102"/>
        </w:tabs>
        <w:spacing w:before="0"/>
        <w:ind w:left="709" w:hanging="709"/>
        <w:jc w:val="both"/>
        <w:rPr>
          <w:rFonts w:ascii="Times New Roman" w:hAnsi="Times New Roman"/>
          <w:noProof/>
          <w:sz w:val="24"/>
        </w:rPr>
      </w:pPr>
      <w:r>
        <w:rPr>
          <w:rFonts w:ascii="Times New Roman" w:hAnsi="Times New Roman"/>
          <w:noProof/>
          <w:sz w:val="24"/>
        </w:rPr>
        <w:t>Valdība var atcelt sabiedrībai tai piederošu parādu, lai, uzreiz pēc tam pārdodot sabiedrību, nodrošinātu tai augstāku cenu. Šādā gadījum</w:t>
      </w:r>
      <w:r w:rsidR="0046147C">
        <w:rPr>
          <w:rFonts w:ascii="Times New Roman" w:hAnsi="Times New Roman"/>
          <w:noProof/>
          <w:sz w:val="24"/>
        </w:rPr>
        <w:t>ā parāda atcelšanu var ierakstīt</w:t>
      </w:r>
      <w:r>
        <w:rPr>
          <w:rFonts w:ascii="Times New Roman" w:hAnsi="Times New Roman"/>
          <w:noProof/>
          <w:sz w:val="24"/>
        </w:rPr>
        <w:t xml:space="preserve"> kā finanšu darījumu. Parādus var arī atcelt tādēļ, ka parādnieks vairs nepastāv vai pastāv vienīgi juridiski, taču ne faktiski. Šajā gadījumā, ievērojot atsevišķus nosacījumu</w:t>
      </w:r>
      <w:r w:rsidR="0046147C">
        <w:rPr>
          <w:rFonts w:ascii="Times New Roman" w:hAnsi="Times New Roman"/>
          <w:noProof/>
          <w:sz w:val="24"/>
        </w:rPr>
        <w:t>s, parāda atcelšanu var ierakstīt</w:t>
      </w:r>
      <w:r>
        <w:rPr>
          <w:rFonts w:ascii="Times New Roman" w:hAnsi="Times New Roman"/>
          <w:noProof/>
          <w:sz w:val="24"/>
        </w:rPr>
        <w:t xml:space="preserve"> kā “citu plūsmu”. Principā nevienā no gadījumiem nepastāv tieša ietekme uz neto aizdevumu/aizņēmumu.</w:t>
      </w:r>
    </w:p>
    <w:p w:rsidR="00506AA9" w:rsidRPr="001973D0" w:rsidRDefault="00506AA9" w:rsidP="00506AA9">
      <w:pPr>
        <w:pStyle w:val="BodyText"/>
        <w:numPr>
          <w:ilvl w:val="0"/>
          <w:numId w:val="125"/>
        </w:numPr>
        <w:tabs>
          <w:tab w:val="left" w:pos="1102"/>
        </w:tabs>
        <w:spacing w:before="0"/>
        <w:ind w:left="709" w:hanging="709"/>
        <w:jc w:val="both"/>
        <w:rPr>
          <w:rFonts w:ascii="Times New Roman" w:hAnsi="Times New Roman"/>
          <w:noProof/>
          <w:sz w:val="24"/>
        </w:rPr>
      </w:pPr>
      <w:r>
        <w:rPr>
          <w:rFonts w:ascii="Times New Roman" w:hAnsi="Times New Roman"/>
          <w:noProof/>
          <w:sz w:val="24"/>
        </w:rPr>
        <w:t>Dažos gadījumos, piemēram, ja parāda atcelšanas vietā pārskata valdības parāda atmaksas grafiku ar Parīzes kluba starpniecību, mainās noteiktās atmaksas nosacījumi. Šeit ir sniegti norādījumi par šo gadījumu traktējumu.</w:t>
      </w:r>
    </w:p>
    <w:p w:rsidR="00506AA9" w:rsidRPr="001973D0" w:rsidRDefault="00506AA9" w:rsidP="00506AA9">
      <w:pPr>
        <w:pStyle w:val="BodyText"/>
        <w:numPr>
          <w:ilvl w:val="0"/>
          <w:numId w:val="125"/>
        </w:numPr>
        <w:tabs>
          <w:tab w:val="left" w:pos="1102"/>
        </w:tabs>
        <w:spacing w:before="0"/>
        <w:ind w:left="709" w:hanging="709"/>
        <w:jc w:val="both"/>
        <w:rPr>
          <w:rFonts w:ascii="Times New Roman" w:hAnsi="Times New Roman"/>
          <w:noProof/>
          <w:sz w:val="24"/>
        </w:rPr>
      </w:pPr>
      <w:r>
        <w:rPr>
          <w:rFonts w:ascii="Times New Roman" w:hAnsi="Times New Roman"/>
          <w:noProof/>
          <w:sz w:val="24"/>
        </w:rPr>
        <w:t>VII.4. nodaļā “Valdības garantijas” ir veltīta valdības p</w:t>
      </w:r>
      <w:r w:rsidR="0046147C">
        <w:rPr>
          <w:rFonts w:ascii="Times New Roman" w:hAnsi="Times New Roman"/>
          <w:noProof/>
          <w:sz w:val="24"/>
        </w:rPr>
        <w:t>iešķirto garantiju ierakstīšanai</w:t>
      </w:r>
      <w:r>
        <w:rPr>
          <w:rFonts w:ascii="Times New Roman" w:hAnsi="Times New Roman"/>
          <w:noProof/>
          <w:sz w:val="24"/>
        </w:rPr>
        <w:t>. Tas īpaši attiecas uz gadījumiem, kad valdība garantē noteiktu valdības sektoram nepiederošas vienības parādu atmaksu, ja šāda vienība pati to nespēj (tā dēvētās “vienreizējās garantijas”).</w:t>
      </w:r>
    </w:p>
    <w:p w:rsidR="00506AA9" w:rsidRPr="001973D0" w:rsidRDefault="00506AA9" w:rsidP="00506AA9">
      <w:pPr>
        <w:pStyle w:val="BodyText"/>
        <w:numPr>
          <w:ilvl w:val="0"/>
          <w:numId w:val="125"/>
        </w:numPr>
        <w:tabs>
          <w:tab w:val="left" w:pos="1102"/>
        </w:tabs>
        <w:spacing w:before="0"/>
        <w:ind w:left="709" w:hanging="709"/>
        <w:jc w:val="both"/>
        <w:rPr>
          <w:rFonts w:ascii="Times New Roman" w:hAnsi="Times New Roman"/>
          <w:noProof/>
          <w:sz w:val="24"/>
        </w:rPr>
      </w:pPr>
      <w:r>
        <w:rPr>
          <w:rFonts w:ascii="Times New Roman" w:hAnsi="Times New Roman"/>
          <w:noProof/>
          <w:sz w:val="24"/>
        </w:rPr>
        <w:t>Lai gan šeit apspriestās darbības ar parādu attiecas galvenokārt uz sabiedrībām vai ārvalstu valdībām, tomēr ir skaidri norādīts, ka pamatprincipus piemēro vispārējās valdības attiecībām ar visiem institucionālajiem sektoriem (tostarp mājsaimniecībām un mājsaimniecības apkalpojošajām bezpeļņas institūcijām).</w:t>
      </w:r>
    </w:p>
    <w:p w:rsidR="00506AA9" w:rsidRDefault="00506AA9" w:rsidP="00506AA9">
      <w:pPr>
        <w:rPr>
          <w:rFonts w:ascii="Times New Roman" w:eastAsia="Arial" w:hAnsi="Times New Roman" w:cs="Arial"/>
          <w:noProof/>
          <w:sz w:val="24"/>
          <w:szCs w:val="20"/>
        </w:rPr>
      </w:pPr>
      <w:r>
        <w:br w:type="page"/>
      </w:r>
    </w:p>
    <w:p w:rsidR="00506AA9" w:rsidRDefault="00506AA9" w:rsidP="00F22F29">
      <w:pPr>
        <w:pStyle w:val="Heading2"/>
        <w:rPr>
          <w:noProof/>
        </w:rPr>
      </w:pPr>
      <w:bookmarkStart w:id="502" w:name="VII.2_Debt_assumption_and_debt_cancellat"/>
      <w:bookmarkStart w:id="503" w:name="_bookmark55"/>
      <w:bookmarkStart w:id="504" w:name="_Toc471135921"/>
      <w:bookmarkEnd w:id="502"/>
      <w:bookmarkEnd w:id="503"/>
      <w:r>
        <w:rPr>
          <w:noProof/>
        </w:rPr>
        <w:lastRenderedPageBreak/>
        <w:t>VII.2. Parāda pārņemšana un parāda atcelšana</w:t>
      </w:r>
      <w:bookmarkEnd w:id="504"/>
    </w:p>
    <w:p w:rsidR="00506AA9" w:rsidRPr="001973D0" w:rsidRDefault="00506AA9" w:rsidP="00506AA9">
      <w:pPr>
        <w:tabs>
          <w:tab w:val="left" w:pos="1462"/>
        </w:tabs>
        <w:jc w:val="both"/>
        <w:rPr>
          <w:rFonts w:ascii="Times New Roman" w:hAnsi="Times New Roman"/>
          <w:b/>
          <w:noProof/>
          <w:sz w:val="24"/>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505" w:name="VII.2.1_Background"/>
      <w:bookmarkEnd w:id="505"/>
      <w:r>
        <w:rPr>
          <w:rFonts w:ascii="Times New Roman" w:hAnsi="Times New Roman"/>
          <w:noProof/>
          <w:u w:val="none"/>
        </w:rPr>
        <w:t>VII.2.1. </w:t>
      </w:r>
      <w:r>
        <w:rPr>
          <w:rFonts w:ascii="Times New Roman" w:hAnsi="Times New Roman"/>
          <w:noProof/>
          <w:u w:val="thick" w:color="000000"/>
        </w:rPr>
        <w:t>Vispārēja informācija</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Parāda pārņemšana un publisku un, iespējams, arī privātu sabiedrību saistību izpirkšana, ko īsteno vispārējā valdība, ir svarīgi jautājumi. Lietderīgi ir vispirms noskaidrot terminoloģiju.</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szCs w:val="14"/>
        </w:rPr>
      </w:pPr>
      <w:r>
        <w:rPr>
          <w:rFonts w:ascii="Times New Roman" w:hAnsi="Times New Roman"/>
          <w:noProof/>
          <w:sz w:val="24"/>
        </w:rPr>
        <w:t>Parāda pārņemšana (sk. EKS 2010 20.222. punktu) ir trīspusēja vienošanās starp kreditoru, agrāko debitoru un jauno debitoru, saskaņā ar kuru jaunais debitors uzņemas iepriekšējā debitora nenokārtotās saistības pret kreditoru. Jaunais debitors (šajā gadījumā valdība) ieņem iepriekšējā debitora vietu attiecībā pret kreditoru un atbild par parāda atmaksu. Pēc pārņemšanas parāda instruments, kas sākotnēji bija iepriekšējā debitora saistības, kļūst par jaunā debitora saistībām. Īpaši tas notiek gadījumā, ja par agrākā debitora parādu galvo jaunais debitors un ja tiek lūgts galvojums (sk. VII.4. nodaļu “Valdības garantijas”).</w:t>
      </w:r>
      <w:r>
        <w:rPr>
          <w:rStyle w:val="FootnoteReference"/>
          <w:rFonts w:ascii="Times New Roman" w:hAnsi="Times New Roman"/>
          <w:noProof/>
          <w:sz w:val="24"/>
        </w:rPr>
        <w:footnoteReference w:id="255"/>
      </w: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Dažos gadījumos (sk. EKS 2010 20.232. punktu) parāda pārņemšana paredz nefinanšu aktīvu, piemēram, pamatlīdzekļu, nodošanu no vienības, kura gūst labumu no parāda pārņemšanas (piemēram, no publiskās sabiedrības, kura apsaimnieko publisku infrastruktūru (piemēram, dzelzceļu), sabiedrisko transportu u. c.), valdības subjektam, kurš pārņem parādu. Šajā gadījumā var būt iesaistīti arī citi nefinanšu aktīvi, piemēram, zeme.</w:t>
      </w: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Parāda anulēšana jeb atlaišana (sk. EKS 2010 20.225. punktu) ir divpusēja vienošanās starp kreditoru un debitoru, saskaņā ar kuru tiek anulēta vai atlaista daļa vai visas nenokārtotās saistības, kuras debitors ir uzņēmies pret kreditoru. Parāda anulēšanas rezultātā debitora saistības un attiecīgie kreditora aktīvi beidz pastāvēt.</w:t>
      </w: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Lai daļēji vai pilnīgi norakstītu parādu, nav nepieciešams divpusējs līgums, un tas notiek, ja kreditors ir vienpusēji un parasti bez paziņošanas debitoram atzinis, ka prasījumu nav iespējams iekasēt (galvenokārt tādēļ, ka debitors ir bankrotējis). Kreditors svītro šo prasījumu no savas bilances aktīva puses.</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bookmarkStart w:id="506" w:name="VII.2.2_Treatment_in_national_accounts"/>
      <w:bookmarkEnd w:id="506"/>
      <w:r>
        <w:rPr>
          <w:rFonts w:ascii="Times New Roman" w:hAnsi="Times New Roman"/>
          <w:noProof/>
          <w:u w:val="none"/>
        </w:rPr>
        <w:t>VII.2.2. </w:t>
      </w:r>
      <w:r>
        <w:rPr>
          <w:rFonts w:ascii="Times New Roman" w:hAnsi="Times New Roman"/>
          <w:noProof/>
          <w:u w:val="thick" w:color="000000"/>
        </w:rPr>
        <w:t>Traktējums nacionālajos kontos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20"/>
        </w:tabs>
        <w:jc w:val="both"/>
        <w:rPr>
          <w:rFonts w:ascii="Times New Roman" w:hAnsi="Times New Roman"/>
          <w:noProof/>
          <w:sz w:val="24"/>
        </w:rPr>
      </w:pPr>
      <w:bookmarkStart w:id="507" w:name="VII.2.2.1_Mutual_Agreement"/>
      <w:bookmarkEnd w:id="507"/>
      <w:r>
        <w:rPr>
          <w:rFonts w:ascii="Times New Roman" w:hAnsi="Times New Roman"/>
          <w:noProof/>
          <w:sz w:val="24"/>
        </w:rPr>
        <w:t>VII.2.2.1. Savstarpēja vienošanās</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Parāda pārņemšanas un parāda anulēšanas pretvērtības darījums principā ir kapitāla pārvedums.</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Līdz ar to, ja valdība uzņemas publiskas sabiedrības parādu vai atceļ prasījumu, kas tai ir pret publisku sabiedrību, pretvērtības darījums fi</w:t>
      </w:r>
      <w:r w:rsidR="003E5E5B">
        <w:rPr>
          <w:rFonts w:ascii="Times New Roman" w:hAnsi="Times New Roman"/>
          <w:noProof/>
          <w:sz w:val="24"/>
        </w:rPr>
        <w:t>nanšu plūsmām, kuras ierakstītas</w:t>
      </w:r>
      <w:r>
        <w:rPr>
          <w:rFonts w:ascii="Times New Roman" w:hAnsi="Times New Roman"/>
          <w:noProof/>
          <w:sz w:val="24"/>
        </w:rPr>
        <w:t xml:space="preserve"> finanšu kontos, ir kapitāla pārvedums (D.99) jeb izdevumi, kas negatīvi ietekmē valdības neto aizdevumu/aizņēmumu (B.9).</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Daudzos gadījumos vispārējā valdība pēc savas ierosmes nolemj anulēt parādu vai pārņemt to. Tiek uzskatīts, ka sabiedrība piekrīt šādam pasākumam (maz ticams, ka tā varētu atteikties no šādas “dāvanas”) un darbības nepārtrauktībai, pamatojoties uz savstarpēju vienošanos.</w:t>
      </w:r>
    </w:p>
    <w:p w:rsidR="00F22F29" w:rsidRDefault="00F22F29">
      <w:pPr>
        <w:widowControl/>
        <w:spacing w:after="160" w:line="259" w:lineRule="auto"/>
        <w:rPr>
          <w:rFonts w:ascii="Times New Roman" w:eastAsia="Arial" w:hAnsi="Times New Roman" w:cs="Arial"/>
          <w:noProof/>
          <w:sz w:val="24"/>
          <w:szCs w:val="16"/>
        </w:rPr>
      </w:pPr>
      <w:r>
        <w:rPr>
          <w:rFonts w:ascii="Times New Roman" w:eastAsia="Arial" w:hAnsi="Times New Roman" w:cs="Arial"/>
          <w:noProof/>
          <w:sz w:val="24"/>
          <w:szCs w:val="16"/>
        </w:rPr>
        <w:br w:type="page"/>
      </w:r>
    </w:p>
    <w:p w:rsidR="00506AA9" w:rsidRPr="001973D0" w:rsidRDefault="00506AA9" w:rsidP="00506AA9">
      <w:pPr>
        <w:jc w:val="both"/>
        <w:rPr>
          <w:rFonts w:ascii="Times New Roman" w:eastAsia="Arial" w:hAnsi="Times New Roman" w:cs="Arial"/>
          <w:noProof/>
          <w:sz w:val="24"/>
          <w:szCs w:val="16"/>
        </w:rPr>
      </w:pPr>
    </w:p>
    <w:p w:rsidR="00506AA9" w:rsidRDefault="00506AA9" w:rsidP="00506AA9">
      <w:pPr>
        <w:pStyle w:val="Heading6"/>
        <w:tabs>
          <w:tab w:val="left" w:pos="1642"/>
        </w:tabs>
        <w:jc w:val="both"/>
        <w:rPr>
          <w:rFonts w:ascii="Times New Roman" w:hAnsi="Times New Roman"/>
          <w:noProof/>
          <w:sz w:val="24"/>
        </w:rPr>
      </w:pPr>
      <w:bookmarkStart w:id="508" w:name="VII.2.2.2_Other_cases"/>
      <w:bookmarkEnd w:id="508"/>
      <w:r>
        <w:rPr>
          <w:rFonts w:ascii="Times New Roman" w:hAnsi="Times New Roman"/>
          <w:noProof/>
          <w:sz w:val="24"/>
        </w:rPr>
        <w:t>VII.2.2.2. Citi gadījumi</w:t>
      </w:r>
    </w:p>
    <w:p w:rsidR="00506AA9" w:rsidRPr="001973D0" w:rsidRDefault="00506AA9" w:rsidP="00506AA9">
      <w:pPr>
        <w:pStyle w:val="Heading6"/>
        <w:tabs>
          <w:tab w:val="left" w:pos="1642"/>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Pastāv trīs izņēmumi attiecībā uz savstarpējās vienošanās traktējumu: šajos gadījumos parāda pārņemšana/anulēšana neietekmē valdības neto aizdevumu/aizņēmumu un nepastāv nefinanšu darījums.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09" w:name="VII.2.2.2.1_Debt_of_a_quasi-corporation"/>
      <w:bookmarkEnd w:id="509"/>
      <w:r>
        <w:rPr>
          <w:rFonts w:ascii="Times New Roman" w:hAnsi="Times New Roman"/>
          <w:noProof/>
          <w:sz w:val="24"/>
        </w:rPr>
        <w:t>VII.2.2.2.1. Kvazisabiedrības parāds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EKS 2010 5.37. punktā noteikts, ka gadījumā, ja parādu pārņem vai anulē ienesīgas kvazisabiedrības īpašnieks (kas valdības gadījumā pēc būtības ir publiska vienība), tas nerada pamatu </w:t>
      </w:r>
      <w:r w:rsidR="003E5E5B">
        <w:rPr>
          <w:rFonts w:ascii="Times New Roman" w:hAnsi="Times New Roman"/>
          <w:noProof/>
          <w:sz w:val="24"/>
        </w:rPr>
        <w:t>kapitāla pārveduma ierakstīšanai</w:t>
      </w:r>
      <w:r>
        <w:rPr>
          <w:rFonts w:ascii="Times New Roman" w:hAnsi="Times New Roman"/>
          <w:noProof/>
          <w:sz w:val="24"/>
        </w:rPr>
        <w:t xml:space="preserve">. </w:t>
      </w:r>
      <w:r w:rsidR="003E5E5B">
        <w:rPr>
          <w:rFonts w:ascii="Times New Roman" w:hAnsi="Times New Roman"/>
          <w:noProof/>
          <w:sz w:val="24"/>
        </w:rPr>
        <w:t>Pretvērtības darījums jāieraksta</w:t>
      </w:r>
      <w:r>
        <w:rPr>
          <w:rFonts w:ascii="Times New Roman" w:hAnsi="Times New Roman"/>
          <w:noProof/>
          <w:sz w:val="24"/>
        </w:rPr>
        <w:t xml:space="preserve"> kā finanšu darījums (darījums ar pašu kapitālu, F.51).</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Tomēr šis nosacījums ir spēkā, ciktāl kvazisabiedrība ir ienesīga, proti, ja tai nav uzkrātu zaudējumu vai ārkārtīgi liela zaudējuma, kurš būtu jāsedz no iepriekš minētajiem darījumie</w:t>
      </w:r>
      <w:r w:rsidR="003E5E5B">
        <w:rPr>
          <w:rFonts w:ascii="Times New Roman" w:hAnsi="Times New Roman"/>
          <w:noProof/>
          <w:sz w:val="24"/>
        </w:rPr>
        <w:t>m, kapitāla pārvedums jāieraksta</w:t>
      </w:r>
      <w:r>
        <w:rPr>
          <w:rFonts w:ascii="Times New Roman" w:hAnsi="Times New Roman"/>
          <w:noProof/>
          <w:sz w:val="24"/>
        </w:rPr>
        <w:t xml:space="preserve"> līdz šo zaudējumu robežai.</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10" w:name="VII.2.2.2.2_Operations_in_the_context_of"/>
      <w:bookmarkEnd w:id="510"/>
      <w:r>
        <w:rPr>
          <w:rFonts w:ascii="Times New Roman" w:hAnsi="Times New Roman"/>
          <w:noProof/>
          <w:sz w:val="24"/>
        </w:rPr>
        <w:t>VII.2.2.2.2. Operācijas saistībā ar privatizācijas procesu</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EKS 2010 5.39. punktā noteikts, ka gadījumā, ja valdība anulē vai pārņem publiskas sabiedrības parādus “kā īstermiņa periodā veicama privatizācijas procesa daļu” (sk. turpmāk), pretvērtības darījums nav kapitāla pārvedums, bet gan darījums ar pašu kapitālu (F.51).</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Privatizācija nozīmē atteikšanos no kontroles pār publisko sabiedrību, realizējot pašu kapitālu, kas gadījumā, ja akcijas sniedz tiesības uz vairāk balsīm, nozīmē atteikšanos no balsstiesībām. Tādējādi tiek palielināti subjekta pašu līdzekļi, pat ja jaunie pašu kapitāla instrumenti nav oficiāli emitēti.</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Šis noteikums jāpiemēro vienīgi tad, ja ir pierādījumi tam, ka privatizācijas process ir faktiski uzsākts (piemēram, izraugoties padomdevēju banku un/vai īpašu konsultatīvo komiteju/komisiju) un var prognozēt, ka privatizācijas process tiks pabeigts ne ilgāk kā viena gada laikā. Jebkurā gadījumā fakts, ka pastāv privatizācijas plāns vai valdības paustas apņemšanās, nav pietiekams iemesls, lai parāda pārņemšanu/anulēšanu uzskatītu par “īstermiņa periodā veicama privatizācijas procesa daļu”.</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pārņemtā vai anu</w:t>
      </w:r>
      <w:r w:rsidR="003E5E5B">
        <w:rPr>
          <w:rFonts w:ascii="Times New Roman" w:hAnsi="Times New Roman"/>
          <w:noProof/>
          <w:sz w:val="24"/>
        </w:rPr>
        <w:t>lētā parāda plūsma ir jāieraksta</w:t>
      </w:r>
      <w:r>
        <w:rPr>
          <w:rFonts w:ascii="Times New Roman" w:hAnsi="Times New Roman"/>
          <w:noProof/>
          <w:sz w:val="24"/>
        </w:rPr>
        <w:t xml:space="preserve"> kā finanšu darījums, nepārsniedzot privatizācijas ieņēmumu robežu. Valdības pārņemtās vai anulētās summas, kuras pārsnied</w:t>
      </w:r>
      <w:r w:rsidR="003E5E5B">
        <w:rPr>
          <w:rFonts w:ascii="Times New Roman" w:hAnsi="Times New Roman"/>
          <w:noProof/>
          <w:sz w:val="24"/>
        </w:rPr>
        <w:t>z šo robežu, jāieraksta</w:t>
      </w:r>
      <w:r>
        <w:rPr>
          <w:rFonts w:ascii="Times New Roman" w:hAnsi="Times New Roman"/>
          <w:noProof/>
          <w:sz w:val="24"/>
        </w:rPr>
        <w:t xml:space="preserve"> saskaņā ar vispārīgu noteikumu kā valdības kapitāla pārveduma izdevumi.</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11" w:name="VII.2.2.2.3_Write-offs"/>
      <w:bookmarkEnd w:id="511"/>
      <w:r>
        <w:rPr>
          <w:rFonts w:ascii="Times New Roman" w:hAnsi="Times New Roman"/>
          <w:noProof/>
          <w:sz w:val="24"/>
        </w:rPr>
        <w:t>VII.2.2.2.3. Norakstīšana</w:t>
      </w:r>
    </w:p>
    <w:p w:rsidR="00506AA9" w:rsidRPr="001973D0" w:rsidRDefault="00506AA9" w:rsidP="00506AA9">
      <w:pPr>
        <w:pStyle w:val="Heading6"/>
        <w:tabs>
          <w:tab w:val="left" w:pos="1876"/>
        </w:tabs>
        <w:jc w:val="both"/>
        <w:rPr>
          <w:rFonts w:ascii="Times New Roman" w:hAnsi="Times New Roman"/>
          <w:noProof/>
          <w:sz w:val="24"/>
        </w:rPr>
      </w:pPr>
    </w:p>
    <w:p w:rsidR="00506AA9" w:rsidRPr="00C97C31" w:rsidRDefault="00506AA9" w:rsidP="00506AA9">
      <w:pPr>
        <w:pStyle w:val="BodyText"/>
        <w:numPr>
          <w:ilvl w:val="0"/>
          <w:numId w:val="124"/>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Sabiedrības likvidācijas procesā var tikt atcelti valdības prasījumi pret sabiedrību. Principā likvidācija jānovērtē no ekonomiskā viedokļa, nevis no juridiskā viedokļa, jo sabiedrība parasti turpina juridiski pastāvēt līdz pat procesa beigām, taču var būt zaudējusi savu finansiālo segumu un galveno ekonomisko funkciju.</w:t>
      </w:r>
      <w:r>
        <w:rPr>
          <w:rStyle w:val="FootnoteReference"/>
          <w:rFonts w:ascii="Times New Roman" w:hAnsi="Times New Roman"/>
          <w:noProof/>
          <w:sz w:val="24"/>
        </w:rPr>
        <w:footnoteReference w:id="256"/>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Šādu prasīju</w:t>
      </w:r>
      <w:r w:rsidR="003E5E5B">
        <w:rPr>
          <w:rFonts w:ascii="Times New Roman" w:hAnsi="Times New Roman"/>
          <w:noProof/>
          <w:sz w:val="24"/>
        </w:rPr>
        <w:t>mu norakstīšanu parasti ieraksta</w:t>
      </w:r>
      <w:r>
        <w:rPr>
          <w:rFonts w:ascii="Times New Roman" w:hAnsi="Times New Roman"/>
          <w:noProof/>
          <w:sz w:val="24"/>
        </w:rPr>
        <w:t xml:space="preserve"> EKS 2010 kā citas aktīvu apjoma pārmaiņas bez ietekmes uz neto aizņēmumu/aizdevumu (B.9), taču </w:t>
      </w:r>
      <w:r w:rsidR="003E5E5B">
        <w:rPr>
          <w:rFonts w:ascii="Times New Roman" w:hAnsi="Times New Roman"/>
          <w:noProof/>
          <w:sz w:val="24"/>
        </w:rPr>
        <w:t>kapitāla pārvedumu var ierakstīt</w:t>
      </w:r>
      <w:r>
        <w:rPr>
          <w:rFonts w:ascii="Times New Roman" w:hAnsi="Times New Roman"/>
          <w:noProof/>
          <w:sz w:val="24"/>
        </w:rPr>
        <w:t xml:space="preserve"> dažos īpašos gadījumos.</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876"/>
        </w:tabs>
        <w:jc w:val="both"/>
        <w:rPr>
          <w:rFonts w:ascii="Times New Roman" w:hAnsi="Times New Roman"/>
          <w:noProof/>
          <w:sz w:val="24"/>
        </w:rPr>
      </w:pPr>
      <w:bookmarkStart w:id="512" w:name="VII.2.2.2.4_Debt_assumption_including_a_"/>
      <w:bookmarkEnd w:id="512"/>
      <w:r>
        <w:rPr>
          <w:rFonts w:ascii="Times New Roman" w:hAnsi="Times New Roman"/>
          <w:noProof/>
          <w:sz w:val="24"/>
        </w:rPr>
        <w:lastRenderedPageBreak/>
        <w:t>VII.2.2.2.4. Parāda pārņemšana ar nefinanšu aktīvu nodošanu</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Ekonomisko not</w:t>
      </w:r>
      <w:r w:rsidR="003E5E5B">
        <w:rPr>
          <w:rFonts w:ascii="Times New Roman" w:hAnsi="Times New Roman"/>
          <w:noProof/>
          <w:sz w:val="24"/>
        </w:rPr>
        <w:t>ikumu var aprakstīt un ierakstīt</w:t>
      </w:r>
      <w:r>
        <w:rPr>
          <w:rFonts w:ascii="Times New Roman" w:hAnsi="Times New Roman"/>
          <w:noProof/>
          <w:sz w:val="24"/>
        </w:rPr>
        <w:t xml:space="preserve"> divos veidos, kas abi vienādi ietekmē vispārējās valdības neto aizdevumu/aizņēmumu (B.9).</w:t>
      </w:r>
    </w:p>
    <w:p w:rsidR="00506AA9" w:rsidRDefault="00506AA9" w:rsidP="00506AA9">
      <w:pPr>
        <w:pStyle w:val="Heading6"/>
        <w:jc w:val="both"/>
        <w:rPr>
          <w:rFonts w:ascii="Times New Roman" w:hAnsi="Times New Roman"/>
          <w:noProof/>
          <w:sz w:val="24"/>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Parāda</w:t>
      </w:r>
      <w:r w:rsidR="003E5E5B">
        <w:rPr>
          <w:rFonts w:ascii="Times New Roman" w:hAnsi="Times New Roman"/>
          <w:noProof/>
          <w:sz w:val="24"/>
        </w:rPr>
        <w:t xml:space="preserve"> pārņemšanas “bruto ierakstīšana</w:t>
      </w:r>
      <w:r>
        <w:rPr>
          <w:rFonts w:ascii="Times New Roman" w:hAnsi="Times New Roman"/>
          <w:noProof/>
          <w:sz w:val="24"/>
        </w:rPr>
        <w:t>”</w:t>
      </w:r>
    </w:p>
    <w:p w:rsidR="00506AA9" w:rsidRPr="001973D0" w:rsidRDefault="00506AA9" w:rsidP="00506AA9">
      <w:pPr>
        <w:pStyle w:val="Heading6"/>
        <w:jc w:val="both"/>
        <w:rPr>
          <w:rFonts w:ascii="Times New Roman" w:hAnsi="Times New Roman"/>
          <w:noProof/>
          <w:sz w:val="24"/>
        </w:rPr>
      </w:pPr>
    </w:p>
    <w:p w:rsidR="00506AA9" w:rsidRDefault="003E5E5B"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Bruto ierakstīšana</w:t>
      </w:r>
      <w:r w:rsidR="00506AA9">
        <w:rPr>
          <w:rFonts w:ascii="Times New Roman" w:hAnsi="Times New Roman"/>
          <w:noProof/>
          <w:sz w:val="24"/>
        </w:rPr>
        <w:t xml:space="preserve"> veidota no diviem vienlaikus veiktiem, taču atsevišķiem darījumiem:</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p</w:t>
      </w:r>
      <w:r w:rsidR="003E5E5B">
        <w:rPr>
          <w:rFonts w:ascii="Times New Roman" w:hAnsi="Times New Roman"/>
          <w:noProof/>
          <w:sz w:val="24"/>
        </w:rPr>
        <w:t>arāda pārņemšana, kas jāieraksta</w:t>
      </w:r>
      <w:r>
        <w:rPr>
          <w:rFonts w:ascii="Times New Roman" w:hAnsi="Times New Roman"/>
          <w:noProof/>
          <w:sz w:val="24"/>
        </w:rPr>
        <w:t xml:space="preserve"> valdības kapitāla pārveduma (D.99) izdevumos par tādu pašu summu kā pārņemtās saistības (F.3 un/vai F.4) līdzīgi tipiskam parāda pārņemšanas gadījumam;</w:t>
      </w:r>
    </w:p>
    <w:p w:rsidR="00506AA9" w:rsidRDefault="003E5E5B"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aktīvu pārvedums, ko ieraksta</w:t>
      </w:r>
      <w:r w:rsidR="00506AA9">
        <w:rPr>
          <w:rFonts w:ascii="Times New Roman" w:hAnsi="Times New Roman"/>
          <w:noProof/>
          <w:sz w:val="24"/>
        </w:rPr>
        <w:t xml:space="preserve"> kā bruto ieguldījumus pamatkapitālā (GFCF, P.51). Tā kā šis pārvedums ir dotācija/dāvana, to līdzsvaro ar kapitāla pārveduma natūrā (D.92) ieņēmumiem, padarot aktīvu pārvedumu neitrālu attiecībā uz neto aizdevumu/aizņēmumu (B.9).</w:t>
      </w:r>
    </w:p>
    <w:p w:rsidR="00506AA9" w:rsidRPr="001973D0" w:rsidRDefault="00506AA9" w:rsidP="00506AA9">
      <w:pPr>
        <w:pStyle w:val="BodyText"/>
        <w:tabs>
          <w:tab w:val="left" w:pos="1462"/>
        </w:tabs>
        <w:spacing w:before="0"/>
        <w:ind w:left="0" w:firstLine="0"/>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“Bruto kapitāla pārvedums”, kas ir vienāds ar visām pārņemtajām saistībām, negatīvi ietekmē vispārējās valdības neto aizdevumu/aizņēmumu (B.9).</w:t>
      </w:r>
    </w:p>
    <w:p w:rsidR="00506AA9" w:rsidRDefault="00506AA9" w:rsidP="00506AA9">
      <w:pPr>
        <w:pStyle w:val="Heading6"/>
        <w:jc w:val="both"/>
        <w:rPr>
          <w:rFonts w:ascii="Times New Roman" w:hAnsi="Times New Roman" w:cs="Arial"/>
          <w:noProof/>
          <w:sz w:val="24"/>
        </w:rPr>
      </w:pPr>
    </w:p>
    <w:p w:rsidR="00506AA9" w:rsidRDefault="00506AA9" w:rsidP="00506AA9">
      <w:pPr>
        <w:pStyle w:val="Heading6"/>
        <w:jc w:val="both"/>
        <w:rPr>
          <w:rFonts w:ascii="Times New Roman" w:hAnsi="Times New Roman" w:cs="Arial"/>
          <w:noProof/>
          <w:sz w:val="24"/>
        </w:rPr>
      </w:pPr>
      <w:r>
        <w:rPr>
          <w:rFonts w:ascii="Times New Roman" w:hAnsi="Times New Roman"/>
          <w:noProof/>
          <w:sz w:val="24"/>
        </w:rPr>
        <w:t>Parād</w:t>
      </w:r>
      <w:r w:rsidR="003E5E5B">
        <w:rPr>
          <w:rFonts w:ascii="Times New Roman" w:hAnsi="Times New Roman"/>
          <w:noProof/>
          <w:sz w:val="24"/>
        </w:rPr>
        <w:t>a pārņemšanas “neto ierakstīšana</w:t>
      </w:r>
      <w:r>
        <w:rPr>
          <w:rFonts w:ascii="Times New Roman" w:hAnsi="Times New Roman"/>
          <w:noProof/>
          <w:sz w:val="24"/>
        </w:rPr>
        <w:t>”</w:t>
      </w:r>
    </w:p>
    <w:p w:rsidR="00506AA9" w:rsidRPr="001973D0" w:rsidRDefault="00506AA9" w:rsidP="00506AA9">
      <w:pPr>
        <w:pStyle w:val="Heading6"/>
        <w:jc w:val="both"/>
        <w:rPr>
          <w:rFonts w:ascii="Times New Roman" w:hAnsi="Times New Roman" w:cs="Arial"/>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Var arī uzskatīt, ka valdības neto aizdevumu/aizņēmumu (B.9) ietekmē starpība starp pārņemtajām saistībām un nodoto aktīvu vērtību: tas ir “neto kapitāla pārvedums”. Tomēr, ņemot vērā, ka vienlaikus palielinās bruto ieguldījumi pamatkapitālā (</w:t>
      </w:r>
      <w:r>
        <w:rPr>
          <w:rFonts w:ascii="Times New Roman" w:hAnsi="Times New Roman"/>
          <w:i/>
          <w:noProof/>
          <w:sz w:val="24"/>
        </w:rPr>
        <w:t>GFCF</w:t>
      </w:r>
      <w:r>
        <w:rPr>
          <w:rFonts w:ascii="Times New Roman" w:hAnsi="Times New Roman"/>
          <w:noProof/>
          <w:sz w:val="24"/>
        </w:rPr>
        <w:t>, P.51), galīgā ietekme uz vispārējās valdības neto aizdevumu/aizņēmumu (B.9) (neto kapitāla pārvedums, pieskaitot bruto ieguldījumus pamatkapitālā) ir tieš</w:t>
      </w:r>
      <w:r w:rsidR="003E5E5B">
        <w:rPr>
          <w:rFonts w:ascii="Times New Roman" w:hAnsi="Times New Roman"/>
          <w:noProof/>
          <w:sz w:val="24"/>
        </w:rPr>
        <w:t>i tāda pati kā “bruto” ierakstīšanas</w:t>
      </w:r>
      <w:r>
        <w:rPr>
          <w:rFonts w:ascii="Times New Roman" w:hAnsi="Times New Roman"/>
          <w:noProof/>
          <w:sz w:val="24"/>
        </w:rPr>
        <w:t xml:space="preserve"> gadījumā.</w:t>
      </w:r>
    </w:p>
    <w:p w:rsidR="00506AA9" w:rsidRPr="001973D0" w:rsidRDefault="00506AA9" w:rsidP="00506AA9">
      <w:pPr>
        <w:jc w:val="both"/>
        <w:rPr>
          <w:rFonts w:ascii="Times New Roman" w:eastAsia="Arial" w:hAnsi="Times New Roman" w:cs="Arial"/>
          <w:noProof/>
          <w:sz w:val="24"/>
          <w:szCs w:val="20"/>
        </w:rPr>
      </w:pPr>
    </w:p>
    <w:p w:rsidR="00506AA9" w:rsidRDefault="003E5E5B" w:rsidP="00506AA9">
      <w:pPr>
        <w:pStyle w:val="Heading6"/>
        <w:tabs>
          <w:tab w:val="left" w:pos="1876"/>
        </w:tabs>
        <w:jc w:val="both"/>
        <w:rPr>
          <w:rFonts w:ascii="Times New Roman" w:hAnsi="Times New Roman"/>
          <w:noProof/>
          <w:sz w:val="24"/>
        </w:rPr>
      </w:pPr>
      <w:bookmarkStart w:id="513" w:name="VII.2.2.2.5_Time_of_recording,_amounts_t"/>
      <w:bookmarkEnd w:id="513"/>
      <w:r>
        <w:rPr>
          <w:rFonts w:ascii="Times New Roman" w:hAnsi="Times New Roman"/>
          <w:noProof/>
          <w:sz w:val="24"/>
        </w:rPr>
        <w:t>VII.2.2.2.5. Ierakstīšanas laiks, ierakstāmās</w:t>
      </w:r>
      <w:r w:rsidR="00506AA9">
        <w:rPr>
          <w:rFonts w:ascii="Times New Roman" w:hAnsi="Times New Roman"/>
          <w:noProof/>
          <w:sz w:val="24"/>
        </w:rPr>
        <w:t xml:space="preserve"> summas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Parāda pārņemšan</w:t>
      </w:r>
      <w:r w:rsidR="003E5E5B">
        <w:rPr>
          <w:rFonts w:ascii="Times New Roman" w:hAnsi="Times New Roman"/>
          <w:noProof/>
          <w:sz w:val="24"/>
        </w:rPr>
        <w:t>a un parāda anulēšana jāieraksta</w:t>
      </w:r>
      <w:r>
        <w:rPr>
          <w:rFonts w:ascii="Times New Roman" w:hAnsi="Times New Roman"/>
          <w:noProof/>
          <w:sz w:val="24"/>
        </w:rPr>
        <w:t>, kad saistības ir faktiski svītrotas no debitora bilances un valdības bilancē ir veikti atbilstoši (pozitīvi vai negatīvi) ieraksti. Ar</w:t>
      </w:r>
      <w:r w:rsidR="003E5E5B">
        <w:rPr>
          <w:rFonts w:ascii="Times New Roman" w:hAnsi="Times New Roman"/>
          <w:noProof/>
          <w:sz w:val="24"/>
        </w:rPr>
        <w:t>ī uzkrāto procentu ierakstīšanai</w:t>
      </w:r>
      <w:r w:rsidR="005A67A8">
        <w:rPr>
          <w:rFonts w:ascii="Times New Roman" w:hAnsi="Times New Roman"/>
          <w:noProof/>
          <w:sz w:val="24"/>
        </w:rPr>
        <w:t xml:space="preserve"> ir jāsaskan ar šo ierakstīšanas</w:t>
      </w:r>
      <w:r>
        <w:rPr>
          <w:rFonts w:ascii="Times New Roman" w:hAnsi="Times New Roman"/>
          <w:noProof/>
          <w:sz w:val="24"/>
        </w:rPr>
        <w:t xml:space="preserve"> laiku.</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parāda pā</w:t>
      </w:r>
      <w:r w:rsidR="005A67A8">
        <w:rPr>
          <w:rFonts w:ascii="Times New Roman" w:hAnsi="Times New Roman"/>
          <w:noProof/>
          <w:sz w:val="24"/>
        </w:rPr>
        <w:t>rņemšana/anulēšana ir jāieraksta</w:t>
      </w:r>
      <w:r>
        <w:rPr>
          <w:rFonts w:ascii="Times New Roman" w:hAnsi="Times New Roman"/>
          <w:noProof/>
          <w:sz w:val="24"/>
        </w:rPr>
        <w:t xml:space="preserve"> vienā reizē, proti, nav svarīgi atmaksas secīgie datumi, kas iepriekš bija paredzēti saistībā ar bijušo parādu.</w:t>
      </w:r>
    </w:p>
    <w:p w:rsidR="00506AA9" w:rsidRPr="001973D0" w:rsidRDefault="005A67A8"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Ierakstāmā</w:t>
      </w:r>
      <w:r w:rsidR="00506AA9">
        <w:rPr>
          <w:rFonts w:ascii="Times New Roman" w:hAnsi="Times New Roman"/>
          <w:noProof/>
          <w:sz w:val="24"/>
        </w:rPr>
        <w:t xml:space="preserve"> summa (kapitāla pārveduma izdevumi) ir visa neatmaksātā parāda summa, kura tiek pārņemta vai anulēta. Īpašā gadījumā (VII.2.2.2.4. punkts) kapitāla pārvedu</w:t>
      </w:r>
      <w:r>
        <w:rPr>
          <w:rFonts w:ascii="Times New Roman" w:hAnsi="Times New Roman"/>
          <w:noProof/>
          <w:sz w:val="24"/>
        </w:rPr>
        <w:t>ma ieņēmumus vienlaikus ieraksta</w:t>
      </w:r>
      <w:r w:rsidR="00506AA9">
        <w:rPr>
          <w:rFonts w:ascii="Times New Roman" w:hAnsi="Times New Roman"/>
          <w:noProof/>
          <w:sz w:val="24"/>
        </w:rPr>
        <w:t xml:space="preserve"> atbilstoši nodoto nefinanšu aktīvu vērtībai.</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bookmarkStart w:id="514" w:name="VII.2.3_Rationale_of_the_treatment"/>
      <w:bookmarkEnd w:id="514"/>
      <w:r>
        <w:rPr>
          <w:rFonts w:ascii="Times New Roman" w:hAnsi="Times New Roman"/>
          <w:noProof/>
          <w:u w:val="none"/>
        </w:rPr>
        <w:t>VII.2.3. </w:t>
      </w:r>
      <w:r>
        <w:rPr>
          <w:rFonts w:ascii="Times New Roman" w:hAnsi="Times New Roman"/>
          <w:noProof/>
          <w:u w:val="thick" w:color="000000"/>
        </w:rPr>
        <w:t>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76"/>
        </w:tabs>
        <w:jc w:val="both"/>
        <w:rPr>
          <w:rFonts w:ascii="Times New Roman" w:hAnsi="Times New Roman"/>
          <w:noProof/>
          <w:sz w:val="24"/>
        </w:rPr>
      </w:pPr>
      <w:bookmarkStart w:id="515" w:name="VII.2.3.1_Mutual_agreement"/>
      <w:bookmarkEnd w:id="515"/>
      <w:r>
        <w:rPr>
          <w:rFonts w:ascii="Times New Roman" w:hAnsi="Times New Roman"/>
          <w:noProof/>
          <w:sz w:val="24"/>
        </w:rPr>
        <w:t>VII.2.3.1. Savstarpēja vienošanās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numPr>
          <w:ilvl w:val="0"/>
          <w:numId w:val="124"/>
        </w:numPr>
        <w:tabs>
          <w:tab w:val="left" w:pos="1102"/>
        </w:tabs>
        <w:ind w:left="709" w:hanging="709"/>
        <w:jc w:val="both"/>
        <w:rPr>
          <w:rFonts w:ascii="Times New Roman" w:eastAsia="Arial" w:hAnsi="Times New Roman" w:cs="Arial"/>
          <w:noProof/>
          <w:sz w:val="24"/>
        </w:rPr>
      </w:pPr>
      <w:r>
        <w:rPr>
          <w:rFonts w:ascii="Times New Roman" w:hAnsi="Times New Roman"/>
          <w:noProof/>
          <w:sz w:val="24"/>
        </w:rPr>
        <w:t xml:space="preserve">Šāda darījuma gadījumā, kas veikts saskaņā ar savstarpēju vienošanos, piemēro </w:t>
      </w:r>
      <w:r w:rsidR="005A67A8">
        <w:rPr>
          <w:rFonts w:ascii="Times New Roman" w:hAnsi="Times New Roman"/>
          <w:noProof/>
          <w:sz w:val="24"/>
        </w:rPr>
        <w:t>kapitāla pārveduma ierakstīšanas</w:t>
      </w:r>
      <w:r>
        <w:rPr>
          <w:rFonts w:ascii="Times New Roman" w:hAnsi="Times New Roman"/>
          <w:noProof/>
          <w:sz w:val="24"/>
        </w:rPr>
        <w:t xml:space="preserve"> noteikumu. Tas izriet no citu kapitāla pārvedumu definīcijas (sk. EKS 2010 4.164. punktu): </w:t>
      </w:r>
      <w:r>
        <w:rPr>
          <w:rFonts w:ascii="Times New Roman" w:hAnsi="Times New Roman"/>
          <w:i/>
          <w:noProof/>
          <w:sz w:val="24"/>
        </w:rPr>
        <w:t>Citi kapitāla pārvedumi (D.99) ietver pārvedumus, [..] kas paši par sevi nepārdala ienākumu, bet pārdala uzkrājumus vai kapitālu starp dažādiem ekonomikas sektoriem vai apakšsektoriem vai pārējo pasauli</w:t>
      </w:r>
      <w:r>
        <w:rPr>
          <w:rFonts w:ascii="Times New Roman" w:hAnsi="Times New Roman"/>
          <w:noProof/>
          <w:sz w:val="24"/>
        </w:rPr>
        <w:t>.</w:t>
      </w:r>
    </w:p>
    <w:p w:rsidR="00506AA9" w:rsidRPr="001973D0"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noProof/>
          <w:sz w:val="24"/>
        </w:rPr>
        <w:t xml:space="preserve">Pārņemot vai dzēšot publiska uzņēmuma parādu, vispārējā valdība minētajam uzņēmumam nodod nevis ienākumus, bet gan daļu savas bagātības. Tā kā pārmaiņas </w:t>
      </w:r>
      <w:r>
        <w:rPr>
          <w:rFonts w:ascii="Times New Roman" w:hAnsi="Times New Roman"/>
          <w:noProof/>
          <w:sz w:val="24"/>
        </w:rPr>
        <w:lastRenderedPageBreak/>
        <w:t>valdības saistībās (parāda pārņemšana) vai pārmaiņas valdības finanšu aktīvos (parāda anulēšana) ir vienvirziena darījums, kas nozīmē apzinātu un brīvprātīgu bagātības nodošanu, pretvērtības darījums ir kapitāla pārvedums.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56"/>
        </w:tabs>
        <w:jc w:val="both"/>
        <w:rPr>
          <w:rFonts w:ascii="Times New Roman" w:hAnsi="Times New Roman"/>
          <w:noProof/>
          <w:sz w:val="24"/>
        </w:rPr>
      </w:pPr>
      <w:bookmarkStart w:id="516" w:name="VII.2.3.2_Other_cases"/>
      <w:bookmarkEnd w:id="516"/>
      <w:r>
        <w:rPr>
          <w:rFonts w:ascii="Times New Roman" w:hAnsi="Times New Roman"/>
          <w:noProof/>
          <w:sz w:val="24"/>
        </w:rPr>
        <w:t>VII.2.3.2. Citi gadījumi</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b/>
          <w:noProof/>
          <w:sz w:val="24"/>
        </w:rPr>
        <w:t>Kvazisabiedrība.</w:t>
      </w:r>
      <w:r>
        <w:t xml:space="preserve"> </w:t>
      </w:r>
      <w:r>
        <w:rPr>
          <w:rFonts w:ascii="Times New Roman" w:hAnsi="Times New Roman"/>
          <w:noProof/>
          <w:sz w:val="24"/>
        </w:rPr>
        <w:t>Izņēmuma attiecībā uz rentablu kvazisabiedrību izvērtēšanas pamatā ir tām raksturīgās vienības īpatnības:</w:t>
      </w:r>
      <w:r>
        <w:t xml:space="preserve"> </w:t>
      </w:r>
      <w:r>
        <w:rPr>
          <w:rFonts w:ascii="Times New Roman" w:hAnsi="Times New Roman"/>
          <w:noProof/>
          <w:sz w:val="24"/>
        </w:rPr>
        <w:t>kvazisabiedrība ir tirgus ražotājs, kas var nebūt juridiski neatkarīgs no sava īpašnieka, jo īpaši aktīvu un saistību izpratnē, tomēr kas tiek uzskatīts par pietiekami atbilstošu kritērijiem, saskaņā ar kuriem kontu sistēmā to var uzskatīt par institucionālu vienību. Kvazisabiedrības un tās īpašnieka bagātība zināmā mērā ir apvienota, tāpēc var apšaubīt bagātības pārvedumu starp kvazisabiedrību un tās īpašnieku. Līdz ar to pastāv vienošanās arī par to, ka kvazisabiedrības neto vērtība parasti ir vienāda ar nulli. Tāpēc aktīvu pārvedumu, kas notiek starp kvazisabiedrību un tās īpašnieku, var tieši atspoguļot tās pašu kapitāla vērtībā. Ja tomēr publiska kvazisabiedrība regulāri cieš zaudējumus, saskaņā ar EKS 2010 noteikumiem šādu zaudējumu segšana nozīmē valdības pārvedumus (subsīdijas) un, ievērojot III.3. nodaļā par kapitāla iepludināšanu publiskās kvazisabiedrībās noteikto, parāda pārņem</w:t>
      </w:r>
      <w:r w:rsidR="005A67A8">
        <w:rPr>
          <w:rFonts w:ascii="Times New Roman" w:hAnsi="Times New Roman"/>
          <w:noProof/>
          <w:sz w:val="24"/>
        </w:rPr>
        <w:t>šana vai anulēšana ir jāieraksta</w:t>
      </w:r>
      <w:r>
        <w:rPr>
          <w:rFonts w:ascii="Times New Roman" w:hAnsi="Times New Roman"/>
          <w:noProof/>
          <w:sz w:val="24"/>
        </w:rPr>
        <w:t xml:space="preserve"> saskaņā ar vispārīgu noteikumu (kapitāla pārvedums).</w:t>
      </w:r>
    </w:p>
    <w:p w:rsidR="00506AA9" w:rsidRPr="001973D0"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b/>
          <w:noProof/>
          <w:sz w:val="24"/>
        </w:rPr>
        <w:t>Privatizācija.</w:t>
      </w:r>
      <w:r>
        <w:rPr>
          <w:rFonts w:ascii="Times New Roman" w:hAnsi="Times New Roman"/>
          <w:noProof/>
          <w:sz w:val="24"/>
        </w:rPr>
        <w:t xml:space="preserve"> Izņēmumu attiecībā uz darījumiem, kurus veic kā daļu no notiekoša privatizācijas procesa, kas jāīsteno īsā termiņā, nosaka EKS 2010 vienošanās, kuras pamatā ir pieņēmums, ka parāda atlaišanas izmaksas tiks pilnīgi atgūtas ar privatizācijas procesā noteikto pā</w:t>
      </w:r>
      <w:r w:rsidR="005A67A8">
        <w:rPr>
          <w:rFonts w:ascii="Times New Roman" w:hAnsi="Times New Roman"/>
          <w:noProof/>
          <w:sz w:val="24"/>
        </w:rPr>
        <w:t>rdošanas cenu. Tāpēc to ieraksta</w:t>
      </w:r>
      <w:r>
        <w:rPr>
          <w:rFonts w:ascii="Times New Roman" w:hAnsi="Times New Roman"/>
          <w:noProof/>
          <w:sz w:val="24"/>
        </w:rPr>
        <w:t xml:space="preserve"> kā ieguldījumu pašu kapitālā (F.5), kas ir tāds pats instruments kā ieņēmumi no privatizācijas. Tomēr šo traktējumu nepiemēro, ja parāda atcelšanas vērtība pārsniedz paredzamos ieņēmumus no privatizācijas.</w:t>
      </w:r>
    </w:p>
    <w:p w:rsidR="00506AA9" w:rsidRPr="001973D0"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b/>
          <w:noProof/>
          <w:sz w:val="24"/>
        </w:rPr>
        <w:t>Norakstīšana.</w:t>
      </w:r>
      <w:r>
        <w:rPr>
          <w:rFonts w:ascii="Times New Roman" w:hAnsi="Times New Roman"/>
          <w:noProof/>
          <w:sz w:val="24"/>
        </w:rPr>
        <w:t xml:space="preserve"> Darījumu vispārējā definīcijā (EKS 2010 1.66. punkts) ir ietverts noteikums par tādu gadījumu apraks</w:t>
      </w:r>
      <w:r w:rsidR="00194E48">
        <w:rPr>
          <w:rFonts w:ascii="Times New Roman" w:hAnsi="Times New Roman"/>
          <w:noProof/>
          <w:sz w:val="24"/>
        </w:rPr>
        <w:t>tīšanu, kad attiecīgi jāieraksta</w:t>
      </w:r>
      <w:r>
        <w:rPr>
          <w:rFonts w:ascii="Times New Roman" w:hAnsi="Times New Roman"/>
          <w:noProof/>
          <w:sz w:val="24"/>
        </w:rPr>
        <w:t xml:space="preserve"> kapitāla pārvedums vai citas aktīvu apjoma pārmaiņas. Noteikuma pamatā ir pieņēmums, ka puses ir noslēgušas savstarpēju vienošanos (sk. iepriekš VII.2.2.1. punktu). Tāpēc norakstīšanu nevar uzskatīt par darījumu, jo īpaši gadījumā, ja publiska sabiedrība faktiski beidz pastāvēt. Līdz ar to izzūdošas vienības p</w:t>
      </w:r>
      <w:r w:rsidR="00194E48">
        <w:rPr>
          <w:rFonts w:ascii="Times New Roman" w:hAnsi="Times New Roman"/>
          <w:noProof/>
          <w:sz w:val="24"/>
        </w:rPr>
        <w:t>arāda norakstīšanu var ierakstīt</w:t>
      </w:r>
      <w:r>
        <w:rPr>
          <w:rFonts w:ascii="Times New Roman" w:hAnsi="Times New Roman"/>
          <w:noProof/>
          <w:sz w:val="24"/>
        </w:rPr>
        <w:t xml:space="preserve"> kā citas aktīvu apjoma pārmaiņas.</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956"/>
        </w:tabs>
        <w:jc w:val="both"/>
        <w:rPr>
          <w:rFonts w:ascii="Times New Roman" w:hAnsi="Times New Roman"/>
          <w:noProof/>
          <w:sz w:val="24"/>
        </w:rPr>
      </w:pPr>
      <w:bookmarkStart w:id="517" w:name="VII.2.3.3_Debt_assumption_with_transfer_"/>
      <w:bookmarkEnd w:id="517"/>
      <w:r>
        <w:rPr>
          <w:rFonts w:ascii="Times New Roman" w:hAnsi="Times New Roman"/>
          <w:noProof/>
          <w:sz w:val="24"/>
        </w:rPr>
        <w:t>VII.2.3.3. Parāda pārņemšana ar nefinanšu aktīvu pārvedumu</w:t>
      </w:r>
      <w:bookmarkStart w:id="518" w:name="VII.2.3.3.1_The_acquisition_of_non-finan"/>
      <w:bookmarkEnd w:id="518"/>
    </w:p>
    <w:p w:rsidR="00506AA9" w:rsidRDefault="00506AA9" w:rsidP="00506AA9">
      <w:pPr>
        <w:pStyle w:val="Heading6"/>
        <w:tabs>
          <w:tab w:val="left" w:pos="1956"/>
        </w:tabs>
        <w:jc w:val="both"/>
        <w:rPr>
          <w:rFonts w:ascii="Times New Roman" w:hAnsi="Times New Roman"/>
          <w:noProof/>
          <w:sz w:val="24"/>
        </w:rPr>
      </w:pPr>
    </w:p>
    <w:p w:rsidR="00506AA9" w:rsidRDefault="00506AA9" w:rsidP="00506AA9">
      <w:pPr>
        <w:pStyle w:val="Heading6"/>
        <w:tabs>
          <w:tab w:val="left" w:pos="1956"/>
        </w:tabs>
        <w:jc w:val="both"/>
        <w:rPr>
          <w:rFonts w:ascii="Times New Roman" w:hAnsi="Times New Roman"/>
          <w:noProof/>
          <w:sz w:val="24"/>
        </w:rPr>
      </w:pPr>
      <w:r>
        <w:rPr>
          <w:rFonts w:ascii="Times New Roman" w:hAnsi="Times New Roman"/>
          <w:noProof/>
          <w:sz w:val="24"/>
        </w:rPr>
        <w:t>VII.2.3.3.1. Nefinanšu aktīvu iegāde kā izdevumi</w:t>
      </w:r>
    </w:p>
    <w:p w:rsidR="00506AA9" w:rsidRPr="001973D0" w:rsidRDefault="00506AA9" w:rsidP="00506AA9">
      <w:pPr>
        <w:pStyle w:val="Heading6"/>
        <w:tabs>
          <w:tab w:val="left" w:pos="1956"/>
        </w:tabs>
        <w:jc w:val="both"/>
        <w:rPr>
          <w:rFonts w:ascii="Times New Roman" w:hAnsi="Times New Roman"/>
          <w:noProof/>
          <w:sz w:val="24"/>
        </w:rPr>
      </w:pPr>
    </w:p>
    <w:p w:rsidR="00506AA9" w:rsidRPr="00C97C31"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noProof/>
          <w:sz w:val="24"/>
        </w:rPr>
        <w:t>Kopumā nefinanšu aktīvu iegāde negatīvi ietekmē valdības subjekta neto aizdevumu/a</w:t>
      </w:r>
      <w:r w:rsidR="00194E48">
        <w:rPr>
          <w:rFonts w:ascii="Times New Roman" w:hAnsi="Times New Roman"/>
          <w:noProof/>
          <w:sz w:val="24"/>
        </w:rPr>
        <w:t>izņēmumu (B.9), jo tā jāieraksta</w:t>
      </w:r>
      <w:r>
        <w:rPr>
          <w:rFonts w:ascii="Times New Roman" w:hAnsi="Times New Roman"/>
          <w:noProof/>
          <w:sz w:val="24"/>
        </w:rPr>
        <w:t xml:space="preserve"> kā bruto pamatkapitāla veidošanas palielinājums (</w:t>
      </w:r>
      <w:r>
        <w:rPr>
          <w:rFonts w:ascii="Times New Roman" w:hAnsi="Times New Roman"/>
          <w:i/>
          <w:noProof/>
          <w:sz w:val="24"/>
        </w:rPr>
        <w:t>GFCF</w:t>
      </w:r>
      <w:r>
        <w:rPr>
          <w:rFonts w:ascii="Times New Roman" w:hAnsi="Times New Roman"/>
          <w:noProof/>
          <w:sz w:val="24"/>
        </w:rPr>
        <w:t>, P.51) valdības bilances izdevumu pusē. Ja pārvedums/iegāde ir notikusi bez maksas, proti, kā dāvinājums, ietekme ir neitrāla (sk. turpmāk).</w:t>
      </w:r>
    </w:p>
    <w:p w:rsidR="00506AA9" w:rsidRPr="00C97C31" w:rsidRDefault="00506AA9" w:rsidP="00506AA9">
      <w:pPr>
        <w:pStyle w:val="BodyText"/>
        <w:numPr>
          <w:ilvl w:val="0"/>
          <w:numId w:val="124"/>
        </w:numPr>
        <w:tabs>
          <w:tab w:val="left" w:pos="1182"/>
        </w:tabs>
        <w:spacing w:before="0"/>
        <w:ind w:left="709" w:hanging="709"/>
        <w:jc w:val="both"/>
        <w:rPr>
          <w:rFonts w:ascii="Times New Roman" w:hAnsi="Times New Roman"/>
          <w:noProof/>
          <w:sz w:val="24"/>
        </w:rPr>
      </w:pPr>
      <w:r>
        <w:rPr>
          <w:rFonts w:ascii="Times New Roman" w:hAnsi="Times New Roman"/>
          <w:noProof/>
          <w:sz w:val="24"/>
        </w:rPr>
        <w:t xml:space="preserve">Lai gan šāda darījuma tūlītējā ietekme uz neto aizdevumu/aizņēmumu (B.9) ir negatīva, nākotnē tā ietekme var kļūt pozitīva tiktāl, ciktāl iegūtajiem aktīviem ir reāla tirgus vērtība, tiem ir “pakalpojuma potenciāls” un tos var uzskatīt par nākotnes ieņēmumu avotu. Tomēr iegādes brīdī bruto pamatkapitāla veidošana ir izdevumi, jo parasti tie rada ieguvējam neto aizņēmumu (deficītu). Ja aktīvus iegūst, pamatojoties uz dotāciju, t. i., bez turpmākām saņēmēja finanšu saistībām, bruto pamatkapitāla veidošanu var līdzsvarot ar kapitāla pārvedumu natūrā, kā rezultātā to ietekme uz neto aizdevumu/aizņēmumu (B.9) </w:t>
      </w:r>
      <w:r w:rsidR="00194E48">
        <w:rPr>
          <w:rFonts w:ascii="Times New Roman" w:hAnsi="Times New Roman"/>
          <w:noProof/>
          <w:sz w:val="24"/>
        </w:rPr>
        <w:t>būs neitrāla (bruto ierakstīšana</w:t>
      </w:r>
      <w:r>
        <w:rPr>
          <w:rFonts w:ascii="Times New Roman" w:hAnsi="Times New Roman"/>
          <w:noProof/>
          <w:sz w:val="24"/>
        </w:rPr>
        <w:t xml:space="preserve">). Ja aktīvi tiek iegūti saistībā ar parāda pārņemšanu/anulēšanu, to vērtību var atskaitīt no kapitāla pārveduma </w:t>
      </w:r>
      <w:r>
        <w:rPr>
          <w:rFonts w:ascii="Times New Roman" w:hAnsi="Times New Roman"/>
          <w:noProof/>
          <w:sz w:val="24"/>
        </w:rPr>
        <w:lastRenderedPageBreak/>
        <w:t>kā parāda pārņemša</w:t>
      </w:r>
      <w:r w:rsidR="00194E48">
        <w:rPr>
          <w:rFonts w:ascii="Times New Roman" w:hAnsi="Times New Roman"/>
          <w:noProof/>
          <w:sz w:val="24"/>
        </w:rPr>
        <w:t>nas izmaksas (neto ierakstīšanas</w:t>
      </w:r>
      <w:r>
        <w:rPr>
          <w:rFonts w:ascii="Times New Roman" w:hAnsi="Times New Roman"/>
          <w:noProof/>
          <w:sz w:val="24"/>
        </w:rPr>
        <w:t xml:space="preserve"> iespēja, sk. turpmāk)</w:t>
      </w:r>
      <w:r w:rsidR="00194E48">
        <w:rPr>
          <w:rFonts w:ascii="Times New Roman" w:hAnsi="Times New Roman"/>
          <w:noProof/>
          <w:sz w:val="24"/>
        </w:rPr>
        <w:t>. Tomēr visos gadījumos ieraksta</w:t>
      </w:r>
      <w:r>
        <w:rPr>
          <w:rFonts w:ascii="Times New Roman" w:hAnsi="Times New Roman"/>
          <w:noProof/>
          <w:sz w:val="24"/>
        </w:rPr>
        <w:t xml:space="preserve"> bruto pamatkapitāla veidošanu (kas novērtēts, pamatojoties uz ierastajām uzņēmējdarbības metodēm) par pilnu to vērtību aktīvu ieguvēja bilances izdevumu pusē.</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jc w:val="both"/>
        <w:rPr>
          <w:rFonts w:ascii="Times New Roman" w:hAnsi="Times New Roman"/>
          <w:noProof/>
          <w:sz w:val="24"/>
        </w:rPr>
      </w:pPr>
      <w:bookmarkStart w:id="519" w:name="VII.2.3.3.2_The_final_impact_on_governme"/>
      <w:bookmarkEnd w:id="519"/>
      <w:r>
        <w:rPr>
          <w:rFonts w:ascii="Times New Roman" w:hAnsi="Times New Roman"/>
          <w:noProof/>
          <w:sz w:val="24"/>
        </w:rPr>
        <w:t>VII.2.3.3.2. Galīgā ietekme uz valdības neto aizdevumu/aizņēmumu (B.9)</w:t>
      </w:r>
    </w:p>
    <w:p w:rsidR="00506AA9" w:rsidRPr="001973D0" w:rsidRDefault="00506AA9" w:rsidP="00506AA9">
      <w:pPr>
        <w:pStyle w:val="Heading6"/>
        <w:jc w:val="both"/>
        <w:rPr>
          <w:rFonts w:ascii="Times New Roman" w:hAnsi="Times New Roman"/>
          <w:noProof/>
          <w:sz w:val="24"/>
        </w:rPr>
      </w:pPr>
    </w:p>
    <w:p w:rsidR="00506AA9" w:rsidRDefault="00194E48"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Bruto ierakstīšana</w:t>
      </w:r>
      <w:r w:rsidR="00506AA9">
        <w:rPr>
          <w:rFonts w:ascii="Times New Roman" w:hAnsi="Times New Roman"/>
          <w:noProof/>
          <w:sz w:val="24"/>
        </w:rPr>
        <w:t xml:space="preserve"> – analītiskā izpratnē visuzskatāmākais veids ekonomiskā notikuma analizēšanai ir tā atzīšana par diviem atšķirīgiem darījumiem, kas ir notikuši vienā un tajā pašā pārskata periodā:</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pamatlīdzekļu bezmaksas pārvedums, kura ietekme uz neto aizdevumu/aizņēmumu (B.9) ir neitrāla, kā aprakstīts iepriekš;</w:t>
      </w:r>
    </w:p>
    <w:p w:rsidR="00506AA9" w:rsidRDefault="00506AA9" w:rsidP="00506AA9">
      <w:pPr>
        <w:pStyle w:val="BodyText"/>
        <w:numPr>
          <w:ilvl w:val="1"/>
          <w:numId w:val="124"/>
        </w:numPr>
        <w:tabs>
          <w:tab w:val="left" w:pos="1462"/>
        </w:tabs>
        <w:spacing w:before="0"/>
        <w:ind w:left="1134" w:hanging="425"/>
        <w:jc w:val="both"/>
        <w:rPr>
          <w:rFonts w:ascii="Times New Roman" w:hAnsi="Times New Roman"/>
          <w:noProof/>
          <w:sz w:val="24"/>
        </w:rPr>
      </w:pPr>
      <w:r>
        <w:rPr>
          <w:rFonts w:ascii="Times New Roman" w:hAnsi="Times New Roman"/>
          <w:noProof/>
          <w:sz w:val="24"/>
        </w:rPr>
        <w:t>parāda pārņemšana, kas negatīvi ietekmē neto aizdevumu/aizņēmumu (B.9) par kapitāla pārveduma summu tieši tāpat kā vispārējā gadījumā.</w:t>
      </w:r>
    </w:p>
    <w:p w:rsidR="00506AA9" w:rsidRPr="001973D0" w:rsidRDefault="00506AA9" w:rsidP="00506AA9">
      <w:pPr>
        <w:pStyle w:val="BodyText"/>
        <w:tabs>
          <w:tab w:val="left" w:pos="1462"/>
        </w:tabs>
        <w:spacing w:before="0"/>
        <w:ind w:left="0" w:firstLine="0"/>
        <w:rPr>
          <w:rFonts w:ascii="Times New Roman" w:hAnsi="Times New Roman"/>
          <w:noProof/>
          <w:sz w:val="24"/>
        </w:rPr>
      </w:pPr>
    </w:p>
    <w:p w:rsidR="00506AA9" w:rsidRPr="001973D0" w:rsidRDefault="00194E48"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noProof/>
          <w:sz w:val="24"/>
        </w:rPr>
        <w:t>Neto ierakstī</w:t>
      </w:r>
      <w:r w:rsidR="00506AA9">
        <w:rPr>
          <w:rFonts w:ascii="Times New Roman" w:hAnsi="Times New Roman"/>
          <w:noProof/>
          <w:sz w:val="24"/>
        </w:rPr>
        <w:t>šana – parāda pārņemšanu var aplūkot arī kā valdības maksājumu par pamatlīdzekļu iegādi. Šajā gadījumā “dāvi</w:t>
      </w:r>
      <w:r>
        <w:rPr>
          <w:rFonts w:ascii="Times New Roman" w:hAnsi="Times New Roman"/>
          <w:noProof/>
          <w:sz w:val="24"/>
        </w:rPr>
        <w:t>nājuma” elements, kas ierakstīts</w:t>
      </w:r>
      <w:r w:rsidR="00506AA9">
        <w:rPr>
          <w:rFonts w:ascii="Times New Roman" w:hAnsi="Times New Roman"/>
          <w:noProof/>
          <w:sz w:val="24"/>
        </w:rPr>
        <w:t xml:space="preserve"> kā kapitāla pārvedums, būtu starpība starp pārņemtajām saistībām un aktīvu vērtību. Tomēr galīgā ietekme uz neto aizdevumu/aizņēmumu (B.9) ir </w:t>
      </w:r>
      <w:r>
        <w:rPr>
          <w:rFonts w:ascii="Times New Roman" w:hAnsi="Times New Roman"/>
          <w:noProof/>
          <w:sz w:val="24"/>
        </w:rPr>
        <w:t>tāda pati kā bruto ierakstīšanas</w:t>
      </w:r>
      <w:r w:rsidR="00506AA9">
        <w:rPr>
          <w:rFonts w:ascii="Times New Roman" w:hAnsi="Times New Roman"/>
          <w:noProof/>
          <w:sz w:val="24"/>
        </w:rPr>
        <w:t xml:space="preserve"> gadīju</w:t>
      </w:r>
      <w:r>
        <w:rPr>
          <w:rFonts w:ascii="Times New Roman" w:hAnsi="Times New Roman"/>
          <w:noProof/>
          <w:sz w:val="24"/>
        </w:rPr>
        <w:t>mā, jo tiek pilnīgi ierakstīts</w:t>
      </w:r>
      <w:r w:rsidR="00506AA9">
        <w:rPr>
          <w:rFonts w:ascii="Times New Roman" w:hAnsi="Times New Roman"/>
          <w:noProof/>
          <w:sz w:val="24"/>
        </w:rPr>
        <w:t xml:space="preserve"> bruto ieguldījums pamatkapitālā (P.51).</w:t>
      </w:r>
    </w:p>
    <w:p w:rsidR="00506AA9" w:rsidRPr="001973D0" w:rsidRDefault="00506AA9" w:rsidP="00506AA9">
      <w:pPr>
        <w:pStyle w:val="BodyText"/>
        <w:numPr>
          <w:ilvl w:val="0"/>
          <w:numId w:val="124"/>
        </w:numPr>
        <w:tabs>
          <w:tab w:val="left" w:pos="1102"/>
        </w:tabs>
        <w:spacing w:before="0"/>
        <w:ind w:left="709" w:hanging="709"/>
        <w:jc w:val="both"/>
        <w:rPr>
          <w:rFonts w:ascii="Times New Roman" w:hAnsi="Times New Roman"/>
          <w:noProof/>
          <w:sz w:val="24"/>
        </w:rPr>
      </w:pPr>
      <w:r>
        <w:rPr>
          <w:rFonts w:ascii="Times New Roman" w:hAnsi="Times New Roman"/>
          <w:b/>
          <w:noProof/>
          <w:sz w:val="24"/>
        </w:rPr>
        <w:t>NB</w:t>
      </w:r>
      <w:r>
        <w:rPr>
          <w:rFonts w:ascii="Times New Roman" w:hAnsi="Times New Roman"/>
          <w:noProof/>
          <w:sz w:val="24"/>
        </w:rPr>
        <w:t>! Valdības organizēto publiskas sabiedrī</w:t>
      </w:r>
      <w:r w:rsidR="00194E48">
        <w:rPr>
          <w:rFonts w:ascii="Times New Roman" w:hAnsi="Times New Roman"/>
          <w:noProof/>
          <w:sz w:val="24"/>
        </w:rPr>
        <w:t>bas parāda pārņemšanu neieraksta</w:t>
      </w:r>
      <w:r>
        <w:rPr>
          <w:rFonts w:ascii="Times New Roman" w:hAnsi="Times New Roman"/>
          <w:noProof/>
          <w:sz w:val="24"/>
        </w:rPr>
        <w:t>, izmantojot citas aktīvu apjoma pārmaiņas (K.61), kā tas tiek darīts tādu plūsmu gadījumā, kuras rodas ārpus valdības kontroles esošās “uzņēmumu pārstrukturēšanas” dēļ, kas noteikta EKS 2010 6.19. punktā. Valdības tieša līdzdalība ar galveno mērķi atvieglot sabiedrībai parāda nastu nozīmē to, ka parāda pārņemšana tiek atzīta kā darījums, kas veikts, pamatojoties uz savstarpēju vienošanos, pat ja tajā pašā laikā notikusi publisko sabiedrību pārstrukturēšana vai reorganizācija.</w:t>
      </w:r>
    </w:p>
    <w:p w:rsidR="00506AA9" w:rsidRPr="001973D0" w:rsidRDefault="00506AA9" w:rsidP="00506AA9">
      <w:pPr>
        <w:jc w:val="both"/>
        <w:rPr>
          <w:rFonts w:ascii="Times New Roman" w:hAnsi="Times New Roman"/>
          <w:noProof/>
          <w:sz w:val="24"/>
        </w:rPr>
      </w:pPr>
    </w:p>
    <w:p w:rsidR="00506AA9" w:rsidRPr="001973D0" w:rsidRDefault="00506AA9" w:rsidP="00506AA9">
      <w:pPr>
        <w:pStyle w:val="Heading4"/>
        <w:ind w:left="0" w:firstLine="0"/>
        <w:jc w:val="both"/>
        <w:rPr>
          <w:rFonts w:ascii="Times New Roman" w:hAnsi="Times New Roman"/>
          <w:b w:val="0"/>
          <w:bCs w:val="0"/>
          <w:noProof/>
          <w:u w:val="none"/>
        </w:rPr>
      </w:pPr>
      <w:bookmarkStart w:id="520" w:name="VII.2.4_Accounting_examples"/>
      <w:bookmarkEnd w:id="520"/>
      <w:r>
        <w:rPr>
          <w:rFonts w:ascii="Times New Roman" w:hAnsi="Times New Roman"/>
          <w:noProof/>
          <w:u w:val="none"/>
        </w:rPr>
        <w:t>VII.2.4. </w:t>
      </w:r>
      <w:r>
        <w:rPr>
          <w:rFonts w:ascii="Times New Roman" w:hAnsi="Times New Roman"/>
          <w:noProof/>
          <w:u w:val="thick" w:color="000000"/>
        </w:rPr>
        <w:t>Uzskaites piemēri</w:t>
      </w:r>
    </w:p>
    <w:p w:rsidR="00506AA9" w:rsidRDefault="00506AA9" w:rsidP="00506AA9">
      <w:pPr>
        <w:pStyle w:val="Heading6"/>
        <w:jc w:val="both"/>
        <w:rPr>
          <w:rFonts w:ascii="Times New Roman" w:hAnsi="Times New Roman"/>
          <w:noProof/>
          <w:sz w:val="24"/>
        </w:rPr>
      </w:pPr>
      <w:bookmarkStart w:id="521" w:name="Recording_a_capital_transfer"/>
      <w:bookmarkEnd w:id="521"/>
    </w:p>
    <w:p w:rsidR="00506AA9" w:rsidRPr="001973D0" w:rsidRDefault="00194E48" w:rsidP="00506AA9">
      <w:pPr>
        <w:pStyle w:val="Heading6"/>
        <w:jc w:val="both"/>
        <w:rPr>
          <w:rFonts w:ascii="Times New Roman" w:hAnsi="Times New Roman"/>
          <w:noProof/>
          <w:sz w:val="24"/>
        </w:rPr>
      </w:pPr>
      <w:r>
        <w:rPr>
          <w:rFonts w:ascii="Times New Roman" w:hAnsi="Times New Roman"/>
          <w:noProof/>
          <w:sz w:val="24"/>
        </w:rPr>
        <w:t>Kapitāla pārveduma ierakstīšana</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Turpmāk sniegtajos piemēros tiek pieņemts, ka kapitāla pārvedumu rezultātā, pirmkārt, palielinās publiskas sabiedrības neto vērtība. Otrajā posmā varētu pieņemt, ka šo neto vērtības palielinājumu ar pārvērtēšanas konta starpniecību “absorbē” ekvivalents palielinājums valdības pašu kapitālā, kas tai pieder publiskā sabiedrībā; taču šis otrais posms šeit</w:t>
      </w:r>
      <w:r w:rsidR="00E0064A">
        <w:rPr>
          <w:rFonts w:ascii="Times New Roman" w:hAnsi="Times New Roman"/>
          <w:noProof/>
          <w:sz w:val="24"/>
        </w:rPr>
        <w:t xml:space="preserve"> nav aprakstīts. Turklāt beigu</w:t>
      </w:r>
      <w:r>
        <w:rPr>
          <w:rFonts w:ascii="Times New Roman" w:hAnsi="Times New Roman"/>
          <w:noProof/>
          <w:sz w:val="24"/>
        </w:rPr>
        <w:t xml:space="preserve"> bilancēs ir uzrādītas vienīgi pārmaiņas neto vērtībā.</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pārņemšana</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Pieņem, ka finanšu sabiedrība ir izsniegusi ilgtermiņa aizdevumu (F.42) publiskai nefinanšu sabiedrībai. Pirms maksājuma termiņa vispārējā valdība pārņem ilgtermiņa aizdevuma neatmaksāto daļu no publiskās nefinanšu sabiedrības.</w:t>
      </w:r>
    </w:p>
    <w:p w:rsidR="00506AA9" w:rsidRPr="001973D0" w:rsidRDefault="00506AA9" w:rsidP="00506AA9">
      <w:pPr>
        <w:jc w:val="both"/>
        <w:rPr>
          <w:rFonts w:ascii="Times New Roman" w:eastAsia="Arial" w:hAnsi="Times New Roman" w:cs="Arial"/>
          <w:noProof/>
          <w:sz w:val="24"/>
          <w:szCs w:val="20"/>
        </w:rPr>
      </w:pPr>
    </w:p>
    <w:p w:rsidR="00506AA9" w:rsidRDefault="00106B7A" w:rsidP="00506AA9">
      <w:pPr>
        <w:jc w:val="center"/>
        <w:rPr>
          <w:rFonts w:ascii="Times New Roman" w:eastAsia="Arial" w:hAnsi="Times New Roman" w:cs="Arial"/>
          <w:noProof/>
          <w:sz w:val="24"/>
          <w:szCs w:val="20"/>
        </w:rPr>
      </w:pPr>
      <w:r w:rsidRPr="00106B7A">
        <w:rPr>
          <w:rFonts w:ascii="Times New Roman" w:eastAsia="Arial" w:hAnsi="Times New Roman" w:cs="Arial"/>
          <w:noProof/>
          <w:sz w:val="24"/>
          <w:szCs w:val="20"/>
          <w:lang w:bidi="ar-SA"/>
        </w:rPr>
        <w:lastRenderedPageBreak/>
        <w:drawing>
          <wp:inline distT="0" distB="0" distL="0" distR="0">
            <wp:extent cx="5760085" cy="5323921"/>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60085" cy="5323921"/>
                    </a:xfrm>
                    <a:prstGeom prst="rect">
                      <a:avLst/>
                    </a:prstGeom>
                    <a:noFill/>
                    <a:ln>
                      <a:noFill/>
                    </a:ln>
                  </pic:spPr>
                </pic:pic>
              </a:graphicData>
            </a:graphic>
          </wp:inline>
        </w:drawing>
      </w:r>
    </w:p>
    <w:p w:rsidR="00506AA9"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anulēšana</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Pieņem, ka vispārējā valdība ir izsniegusi ilgtermiņa aizdevumu (F.42) publiskai nefinanšu sabiedrībai. Vispārējā valdība atceļ savu prasījumu (neatmaksāto ilgtermiņa aizdevumu) pirms maksājuma termiņa.</w:t>
      </w:r>
    </w:p>
    <w:p w:rsidR="00506AA9" w:rsidRPr="0075130F" w:rsidRDefault="00506AA9" w:rsidP="00506AA9">
      <w:pPr>
        <w:jc w:val="both"/>
        <w:rPr>
          <w:rFonts w:ascii="Times New Roman" w:eastAsia="Arial" w:hAnsi="Times New Roman" w:cs="Arial"/>
          <w:noProof/>
          <w:sz w:val="24"/>
          <w:szCs w:val="20"/>
        </w:rPr>
      </w:pPr>
    </w:p>
    <w:p w:rsidR="00506AA9" w:rsidRPr="0075130F" w:rsidRDefault="00902321" w:rsidP="00506AA9">
      <w:pPr>
        <w:jc w:val="center"/>
        <w:rPr>
          <w:rFonts w:ascii="Times New Roman" w:eastAsia="Calibri" w:hAnsi="Times New Roman" w:cs="Calibri"/>
          <w:bCs/>
          <w:noProof/>
          <w:sz w:val="24"/>
          <w:szCs w:val="20"/>
        </w:rPr>
      </w:pPr>
      <w:r w:rsidRPr="00902321">
        <w:rPr>
          <w:rFonts w:ascii="Times New Roman" w:eastAsia="Calibri" w:hAnsi="Times New Roman" w:cs="Calibri"/>
          <w:bCs/>
          <w:noProof/>
          <w:sz w:val="24"/>
          <w:szCs w:val="20"/>
          <w:lang w:bidi="ar-SA"/>
        </w:rPr>
        <w:drawing>
          <wp:inline distT="0" distB="0" distL="0" distR="0">
            <wp:extent cx="5760085" cy="1526704"/>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085" cy="1526704"/>
                    </a:xfrm>
                    <a:prstGeom prst="rect">
                      <a:avLst/>
                    </a:prstGeom>
                    <a:noFill/>
                    <a:ln>
                      <a:noFill/>
                    </a:ln>
                  </pic:spPr>
                </pic:pic>
              </a:graphicData>
            </a:graphic>
          </wp:inline>
        </w:drawing>
      </w:r>
    </w:p>
    <w:p w:rsidR="00506AA9" w:rsidRPr="0075130F" w:rsidRDefault="00106B7A" w:rsidP="00506AA9">
      <w:pPr>
        <w:jc w:val="center"/>
        <w:rPr>
          <w:rFonts w:ascii="Times New Roman" w:eastAsia="Calibri" w:hAnsi="Times New Roman" w:cs="Calibri"/>
          <w:bCs/>
          <w:noProof/>
          <w:sz w:val="24"/>
          <w:szCs w:val="20"/>
        </w:rPr>
      </w:pPr>
      <w:r w:rsidRPr="00106B7A">
        <w:rPr>
          <w:rFonts w:ascii="Times New Roman" w:eastAsia="Calibri" w:hAnsi="Times New Roman" w:cs="Calibri"/>
          <w:bCs/>
          <w:noProof/>
          <w:sz w:val="24"/>
          <w:szCs w:val="20"/>
          <w:lang w:bidi="ar-SA"/>
        </w:rPr>
        <w:lastRenderedPageBreak/>
        <w:drawing>
          <wp:inline distT="0" distB="0" distL="0" distR="0">
            <wp:extent cx="5760085" cy="396389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085" cy="3963899"/>
                    </a:xfrm>
                    <a:prstGeom prst="rect">
                      <a:avLst/>
                    </a:prstGeom>
                    <a:noFill/>
                    <a:ln>
                      <a:noFill/>
                    </a:ln>
                  </pic:spPr>
                </pic:pic>
              </a:graphicData>
            </a:graphic>
          </wp:inline>
        </w:drawing>
      </w:r>
    </w:p>
    <w:p w:rsidR="00506AA9" w:rsidRPr="0075130F" w:rsidRDefault="00506AA9" w:rsidP="00506AA9">
      <w:pPr>
        <w:jc w:val="both"/>
        <w:rPr>
          <w:rFonts w:ascii="Times New Roman" w:eastAsia="Calibri" w:hAnsi="Times New Roman" w:cs="Calibri"/>
          <w:bCs/>
          <w:noProof/>
          <w:sz w:val="24"/>
          <w:szCs w:val="19"/>
        </w:rPr>
      </w:pPr>
    </w:p>
    <w:p w:rsidR="00506AA9" w:rsidRPr="001973D0" w:rsidRDefault="00194E48" w:rsidP="00506AA9">
      <w:pPr>
        <w:pStyle w:val="Heading6"/>
        <w:jc w:val="both"/>
        <w:rPr>
          <w:rFonts w:ascii="Times New Roman" w:hAnsi="Times New Roman"/>
          <w:noProof/>
          <w:sz w:val="24"/>
        </w:rPr>
      </w:pPr>
      <w:bookmarkStart w:id="522" w:name="Recording_a_financial_transaction"/>
      <w:bookmarkEnd w:id="522"/>
      <w:r>
        <w:rPr>
          <w:rFonts w:ascii="Times New Roman" w:hAnsi="Times New Roman"/>
          <w:noProof/>
          <w:sz w:val="24"/>
        </w:rPr>
        <w:t>Finanšu darījuma ierakstīšana</w:t>
      </w:r>
    </w:p>
    <w:p w:rsidR="00506AA9" w:rsidRPr="001973D0" w:rsidRDefault="00194E48" w:rsidP="00506AA9">
      <w:pPr>
        <w:pStyle w:val="BodyText"/>
        <w:spacing w:before="0"/>
        <w:ind w:left="0" w:firstLine="0"/>
        <w:jc w:val="both"/>
        <w:rPr>
          <w:rFonts w:ascii="Times New Roman" w:hAnsi="Times New Roman"/>
          <w:noProof/>
          <w:sz w:val="24"/>
        </w:rPr>
      </w:pPr>
      <w:r>
        <w:rPr>
          <w:rFonts w:ascii="Times New Roman" w:hAnsi="Times New Roman"/>
          <w:noProof/>
          <w:sz w:val="24"/>
        </w:rPr>
        <w:t>Šādu ierakstīšanu</w:t>
      </w:r>
      <w:r w:rsidR="00506AA9">
        <w:rPr>
          <w:rFonts w:ascii="Times New Roman" w:hAnsi="Times New Roman"/>
          <w:noProof/>
          <w:sz w:val="24"/>
        </w:rPr>
        <w:t xml:space="preserve"> piemēro gadījumā, ja kvazisabiedrība nerada zaudējumus, un uz parāda pārņemšanu/anulēšanu notiekošā privatizācijas procesā, kas ir jāveic ī</w:t>
      </w:r>
      <w:r>
        <w:rPr>
          <w:rFonts w:ascii="Times New Roman" w:hAnsi="Times New Roman"/>
          <w:noProof/>
          <w:sz w:val="24"/>
        </w:rPr>
        <w:t>sā termiņā. Ierakstīšana</w:t>
      </w:r>
      <w:r w:rsidR="00506AA9">
        <w:rPr>
          <w:rFonts w:ascii="Times New Roman" w:hAnsi="Times New Roman"/>
          <w:noProof/>
          <w:sz w:val="24"/>
        </w:rPr>
        <w:t xml:space="preserve"> abos gadījumos ir vienāda – tā nozīmē darījumus ar akcijām un citu pašu kapitālu (F.5).</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pārņemšana</w:t>
      </w:r>
    </w:p>
    <w:p w:rsidR="00506AA9" w:rsidRDefault="00506AA9" w:rsidP="00506AA9">
      <w:pPr>
        <w:jc w:val="both"/>
        <w:rPr>
          <w:rFonts w:ascii="Times New Roman" w:eastAsia="Calibri" w:hAnsi="Times New Roman" w:cs="Calibri"/>
          <w:b/>
          <w:bCs/>
          <w:noProof/>
          <w:sz w:val="24"/>
          <w:szCs w:val="13"/>
        </w:rPr>
      </w:pPr>
    </w:p>
    <w:p w:rsidR="00506AA9" w:rsidRDefault="00902321" w:rsidP="00506AA9">
      <w:pPr>
        <w:jc w:val="center"/>
        <w:rPr>
          <w:rFonts w:ascii="Times New Roman" w:eastAsia="Calibri" w:hAnsi="Times New Roman" w:cs="Calibri"/>
          <w:b/>
          <w:bCs/>
          <w:noProof/>
          <w:sz w:val="24"/>
          <w:szCs w:val="13"/>
        </w:rPr>
      </w:pPr>
      <w:r w:rsidRPr="00902321">
        <w:rPr>
          <w:rFonts w:ascii="Times New Roman" w:eastAsia="Calibri" w:hAnsi="Times New Roman" w:cs="Calibri"/>
          <w:b/>
          <w:bCs/>
          <w:noProof/>
          <w:sz w:val="24"/>
          <w:szCs w:val="13"/>
          <w:lang w:bidi="ar-SA"/>
        </w:rPr>
        <w:drawing>
          <wp:inline distT="0" distB="0" distL="0" distR="0">
            <wp:extent cx="5760085" cy="2907519"/>
            <wp:effectExtent l="0" t="0" r="0" b="762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60085" cy="2907519"/>
                    </a:xfrm>
                    <a:prstGeom prst="rect">
                      <a:avLst/>
                    </a:prstGeom>
                    <a:noFill/>
                    <a:ln>
                      <a:noFill/>
                    </a:ln>
                  </pic:spPr>
                </pic:pic>
              </a:graphicData>
            </a:graphic>
          </wp:inline>
        </w:drawing>
      </w:r>
    </w:p>
    <w:p w:rsidR="00506AA9" w:rsidRDefault="00106B7A" w:rsidP="00506AA9">
      <w:pPr>
        <w:jc w:val="center"/>
        <w:rPr>
          <w:rFonts w:ascii="Times New Roman" w:eastAsia="Calibri" w:hAnsi="Times New Roman" w:cs="Calibri"/>
          <w:b/>
          <w:bCs/>
          <w:noProof/>
          <w:sz w:val="24"/>
          <w:szCs w:val="13"/>
        </w:rPr>
      </w:pPr>
      <w:r w:rsidRPr="00106B7A">
        <w:rPr>
          <w:rFonts w:ascii="Times New Roman" w:eastAsia="Calibri" w:hAnsi="Times New Roman" w:cs="Calibri"/>
          <w:b/>
          <w:bCs/>
          <w:noProof/>
          <w:sz w:val="24"/>
          <w:szCs w:val="13"/>
          <w:lang w:bidi="ar-SA"/>
        </w:rPr>
        <w:lastRenderedPageBreak/>
        <w:drawing>
          <wp:inline distT="0" distB="0" distL="0" distR="0">
            <wp:extent cx="5760085" cy="1350806"/>
            <wp:effectExtent l="0" t="0" r="0" b="190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60085" cy="1350806"/>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b/>
          <w:bCs/>
          <w:noProof/>
          <w:sz w:val="24"/>
          <w:szCs w:val="13"/>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anulēšana</w:t>
      </w:r>
    </w:p>
    <w:p w:rsidR="00506AA9" w:rsidRDefault="00506AA9" w:rsidP="00506AA9">
      <w:pPr>
        <w:jc w:val="both"/>
        <w:rPr>
          <w:rFonts w:ascii="Times New Roman" w:eastAsia="Calibri" w:hAnsi="Times New Roman" w:cs="Calibri"/>
          <w:b/>
          <w:bCs/>
          <w:noProof/>
          <w:sz w:val="24"/>
          <w:szCs w:val="20"/>
        </w:rPr>
      </w:pPr>
    </w:p>
    <w:p w:rsidR="00506AA9" w:rsidRPr="001973D0" w:rsidRDefault="00106B7A" w:rsidP="00506AA9">
      <w:pPr>
        <w:jc w:val="center"/>
        <w:rPr>
          <w:rFonts w:ascii="Times New Roman" w:eastAsia="Calibri" w:hAnsi="Times New Roman" w:cs="Calibri"/>
          <w:b/>
          <w:bCs/>
          <w:noProof/>
          <w:sz w:val="24"/>
          <w:szCs w:val="20"/>
        </w:rPr>
      </w:pPr>
      <w:r w:rsidRPr="00106B7A">
        <w:rPr>
          <w:rFonts w:ascii="Times New Roman" w:eastAsia="Calibri" w:hAnsi="Times New Roman" w:cs="Calibri"/>
          <w:b/>
          <w:bCs/>
          <w:noProof/>
          <w:sz w:val="24"/>
          <w:szCs w:val="20"/>
          <w:lang w:bidi="ar-SA"/>
        </w:rPr>
        <w:drawing>
          <wp:inline distT="0" distB="0" distL="0" distR="0">
            <wp:extent cx="5760085" cy="4329922"/>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760085" cy="4329922"/>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b/>
          <w:bCs/>
          <w:noProof/>
          <w:sz w:val="24"/>
          <w:szCs w:val="15"/>
        </w:rPr>
      </w:pPr>
    </w:p>
    <w:p w:rsidR="00506AA9" w:rsidRPr="001973D0" w:rsidRDefault="00506AA9" w:rsidP="00506AA9">
      <w:pPr>
        <w:pStyle w:val="Heading6"/>
        <w:jc w:val="both"/>
        <w:rPr>
          <w:rFonts w:ascii="Times New Roman" w:hAnsi="Times New Roman"/>
          <w:noProof/>
          <w:sz w:val="24"/>
        </w:rPr>
      </w:pPr>
      <w:bookmarkStart w:id="523" w:name="Recording_other_changes_in_the_volume_of"/>
      <w:bookmarkEnd w:id="523"/>
      <w:r>
        <w:rPr>
          <w:rFonts w:ascii="Times New Roman" w:hAnsi="Times New Roman"/>
          <w:noProof/>
          <w:sz w:val="24"/>
        </w:rPr>
        <w:t>Citu akt</w:t>
      </w:r>
      <w:r w:rsidR="00194E48">
        <w:rPr>
          <w:rFonts w:ascii="Times New Roman" w:hAnsi="Times New Roman"/>
          <w:noProof/>
          <w:sz w:val="24"/>
        </w:rPr>
        <w:t>īvu apjoma pārmaiņu ierakstīšana</w:t>
      </w:r>
    </w:p>
    <w:p w:rsidR="00506AA9" w:rsidRPr="001973D0" w:rsidRDefault="00752AB7" w:rsidP="00506AA9">
      <w:pPr>
        <w:pStyle w:val="BodyText"/>
        <w:spacing w:before="0"/>
        <w:ind w:left="0" w:firstLine="0"/>
        <w:jc w:val="both"/>
        <w:rPr>
          <w:rFonts w:ascii="Times New Roman" w:hAnsi="Times New Roman"/>
          <w:noProof/>
          <w:sz w:val="24"/>
        </w:rPr>
      </w:pPr>
      <w:r>
        <w:rPr>
          <w:rFonts w:ascii="Times New Roman" w:hAnsi="Times New Roman"/>
          <w:noProof/>
          <w:sz w:val="24"/>
        </w:rPr>
        <w:t>Šī ierakstīšana</w:t>
      </w:r>
      <w:r w:rsidR="00506AA9">
        <w:rPr>
          <w:rFonts w:ascii="Times New Roman" w:hAnsi="Times New Roman"/>
          <w:noProof/>
          <w:sz w:val="24"/>
        </w:rPr>
        <w:t xml:space="preserve"> attiecas uz tiem publisko sabiedrību parādiem valdībai, ko tā noraksta (debitors ir bankrotējis vai likvidēts).</w:t>
      </w:r>
    </w:p>
    <w:p w:rsidR="00506AA9" w:rsidRPr="001973D0" w:rsidRDefault="00506AA9" w:rsidP="00506AA9">
      <w:pPr>
        <w:jc w:val="both"/>
        <w:rPr>
          <w:rFonts w:ascii="Times New Roman" w:eastAsia="Arial" w:hAnsi="Times New Roman" w:cs="Arial"/>
          <w:noProof/>
          <w:sz w:val="24"/>
          <w:szCs w:val="20"/>
        </w:rPr>
      </w:pPr>
    </w:p>
    <w:p w:rsidR="00506AA9" w:rsidRPr="008659FE" w:rsidRDefault="00902321" w:rsidP="00506AA9">
      <w:pPr>
        <w:jc w:val="center"/>
        <w:rPr>
          <w:rFonts w:ascii="Times New Roman" w:eastAsia="Calibri" w:hAnsi="Times New Roman" w:cs="Calibri"/>
          <w:bCs/>
          <w:noProof/>
          <w:sz w:val="24"/>
          <w:szCs w:val="20"/>
        </w:rPr>
      </w:pPr>
      <w:r w:rsidRPr="00902321">
        <w:rPr>
          <w:rFonts w:ascii="Times New Roman" w:eastAsia="Calibri" w:hAnsi="Times New Roman" w:cs="Calibri"/>
          <w:bCs/>
          <w:noProof/>
          <w:sz w:val="24"/>
          <w:szCs w:val="20"/>
          <w:lang w:bidi="ar-SA"/>
        </w:rPr>
        <w:drawing>
          <wp:inline distT="0" distB="0" distL="0" distR="0">
            <wp:extent cx="5760085" cy="1599594"/>
            <wp:effectExtent l="0" t="0" r="0" b="63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60085" cy="1599594"/>
                    </a:xfrm>
                    <a:prstGeom prst="rect">
                      <a:avLst/>
                    </a:prstGeom>
                    <a:noFill/>
                    <a:ln>
                      <a:noFill/>
                    </a:ln>
                  </pic:spPr>
                </pic:pic>
              </a:graphicData>
            </a:graphic>
          </wp:inline>
        </w:drawing>
      </w:r>
    </w:p>
    <w:p w:rsidR="00506AA9" w:rsidRPr="00902321" w:rsidRDefault="00106B7A" w:rsidP="00506AA9">
      <w:pPr>
        <w:jc w:val="center"/>
        <w:rPr>
          <w:rFonts w:ascii="Times New Roman" w:eastAsia="Calibri" w:hAnsi="Times New Roman" w:cs="Calibri"/>
          <w:b/>
          <w:bCs/>
          <w:noProof/>
          <w:sz w:val="24"/>
          <w:szCs w:val="20"/>
        </w:rPr>
      </w:pPr>
      <w:r w:rsidRPr="00106B7A">
        <w:rPr>
          <w:rFonts w:ascii="Times New Roman" w:eastAsia="Calibri" w:hAnsi="Times New Roman" w:cs="Calibri"/>
          <w:b/>
          <w:bCs/>
          <w:noProof/>
          <w:sz w:val="24"/>
          <w:szCs w:val="20"/>
          <w:lang w:bidi="ar-SA"/>
        </w:rPr>
        <w:lastRenderedPageBreak/>
        <w:drawing>
          <wp:inline distT="0" distB="0" distL="0" distR="0">
            <wp:extent cx="5760085" cy="2407959"/>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60085" cy="2407959"/>
                    </a:xfrm>
                    <a:prstGeom prst="rect">
                      <a:avLst/>
                    </a:prstGeom>
                    <a:noFill/>
                    <a:ln>
                      <a:noFill/>
                    </a:ln>
                  </pic:spPr>
                </pic:pic>
              </a:graphicData>
            </a:graphic>
          </wp:inline>
        </w:drawing>
      </w:r>
    </w:p>
    <w:p w:rsidR="00506AA9" w:rsidRPr="008659FE" w:rsidRDefault="00506AA9" w:rsidP="00506AA9">
      <w:pPr>
        <w:jc w:val="both"/>
        <w:rPr>
          <w:rFonts w:ascii="Times New Roman" w:eastAsia="Calibri" w:hAnsi="Times New Roman" w:cs="Calibri"/>
          <w:bCs/>
          <w:noProof/>
          <w:sz w:val="24"/>
          <w:szCs w:val="20"/>
        </w:rPr>
      </w:pPr>
    </w:p>
    <w:p w:rsidR="00506AA9" w:rsidRDefault="00506AA9" w:rsidP="00506AA9">
      <w:pPr>
        <w:pStyle w:val="Heading6"/>
        <w:jc w:val="both"/>
        <w:rPr>
          <w:rFonts w:ascii="Times New Roman" w:hAnsi="Times New Roman"/>
          <w:noProof/>
          <w:sz w:val="24"/>
        </w:rPr>
      </w:pPr>
      <w:bookmarkStart w:id="524" w:name="Special_case:_debt_assumption_including_"/>
      <w:bookmarkEnd w:id="524"/>
      <w:r>
        <w:rPr>
          <w:rFonts w:ascii="Times New Roman" w:hAnsi="Times New Roman"/>
          <w:noProof/>
          <w:sz w:val="24"/>
        </w:rPr>
        <w:t>Īpašs gadījums – parāda pārņemšana ar nefinanšu aktīvu nodošanu</w:t>
      </w:r>
    </w:p>
    <w:p w:rsidR="00506AA9" w:rsidRDefault="00506AA9" w:rsidP="00506AA9">
      <w:pPr>
        <w:pStyle w:val="Heading6"/>
        <w:jc w:val="both"/>
        <w:rPr>
          <w:rFonts w:ascii="Times New Roman" w:hAnsi="Times New Roman"/>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pārņemšana</w:t>
      </w:r>
      <w:r w:rsidR="00752AB7">
        <w:rPr>
          <w:rFonts w:ascii="Times New Roman" w:hAnsi="Times New Roman"/>
          <w:noProof/>
          <w:sz w:val="24"/>
        </w:rPr>
        <w:t>s ar aktīviem bruto ierakstīšana</w:t>
      </w:r>
    </w:p>
    <w:p w:rsidR="00506AA9" w:rsidRDefault="00506AA9" w:rsidP="00506AA9">
      <w:pPr>
        <w:jc w:val="both"/>
        <w:rPr>
          <w:rFonts w:ascii="Times New Roman" w:eastAsia="Calibri" w:hAnsi="Times New Roman" w:cs="Calibri"/>
          <w:noProof/>
          <w:sz w:val="24"/>
          <w:szCs w:val="23"/>
        </w:rPr>
      </w:pPr>
    </w:p>
    <w:p w:rsidR="00506AA9" w:rsidRPr="00902321" w:rsidRDefault="00902321" w:rsidP="00506AA9">
      <w:pPr>
        <w:jc w:val="center"/>
        <w:rPr>
          <w:rFonts w:ascii="Times New Roman" w:eastAsia="Calibri" w:hAnsi="Times New Roman" w:cs="Calibri"/>
          <w:noProof/>
          <w:sz w:val="24"/>
          <w:szCs w:val="23"/>
        </w:rPr>
      </w:pPr>
      <w:r w:rsidRPr="00902321">
        <w:rPr>
          <w:rFonts w:ascii="Times New Roman" w:eastAsia="Calibri" w:hAnsi="Times New Roman" w:cs="Calibri"/>
          <w:noProof/>
          <w:sz w:val="24"/>
          <w:szCs w:val="23"/>
          <w:lang w:bidi="ar-SA"/>
        </w:rPr>
        <w:drawing>
          <wp:inline distT="0" distB="0" distL="0" distR="0">
            <wp:extent cx="5760085" cy="442046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60085" cy="4420465"/>
                    </a:xfrm>
                    <a:prstGeom prst="rect">
                      <a:avLst/>
                    </a:prstGeom>
                    <a:noFill/>
                    <a:ln>
                      <a:noFill/>
                    </a:ln>
                  </pic:spPr>
                </pic:pic>
              </a:graphicData>
            </a:graphic>
          </wp:inline>
        </w:drawing>
      </w:r>
    </w:p>
    <w:p w:rsidR="00506AA9" w:rsidRPr="00902321" w:rsidRDefault="00106B7A" w:rsidP="00506AA9">
      <w:pPr>
        <w:jc w:val="center"/>
        <w:rPr>
          <w:rFonts w:ascii="Times New Roman" w:eastAsia="Calibri" w:hAnsi="Times New Roman" w:cs="Calibri"/>
          <w:b/>
          <w:noProof/>
          <w:sz w:val="24"/>
          <w:szCs w:val="23"/>
        </w:rPr>
      </w:pPr>
      <w:r w:rsidRPr="00106B7A">
        <w:rPr>
          <w:rFonts w:ascii="Times New Roman" w:eastAsia="Calibri" w:hAnsi="Times New Roman" w:cs="Calibri"/>
          <w:b/>
          <w:noProof/>
          <w:sz w:val="24"/>
          <w:szCs w:val="23"/>
          <w:lang w:bidi="ar-SA"/>
        </w:rPr>
        <w:lastRenderedPageBreak/>
        <w:drawing>
          <wp:inline distT="0" distB="0" distL="0" distR="0">
            <wp:extent cx="5760085" cy="1668962"/>
            <wp:effectExtent l="0" t="0" r="0" b="762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60085" cy="1668962"/>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23"/>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Parāda pārņemšan</w:t>
      </w:r>
      <w:r w:rsidR="00752AB7">
        <w:rPr>
          <w:rFonts w:ascii="Times New Roman" w:hAnsi="Times New Roman"/>
          <w:noProof/>
          <w:sz w:val="24"/>
        </w:rPr>
        <w:t>as ar aktīviem neto ierakstīšana</w:t>
      </w:r>
    </w:p>
    <w:p w:rsidR="00506AA9" w:rsidRPr="001973D0" w:rsidRDefault="00506AA9" w:rsidP="00506AA9">
      <w:pPr>
        <w:jc w:val="both"/>
        <w:rPr>
          <w:rFonts w:ascii="Times New Roman" w:eastAsia="Calibri" w:hAnsi="Times New Roman" w:cs="Calibri"/>
          <w:noProof/>
          <w:sz w:val="24"/>
          <w:szCs w:val="20"/>
        </w:rPr>
      </w:pPr>
    </w:p>
    <w:p w:rsidR="00506AA9" w:rsidRPr="00902321" w:rsidRDefault="00106B7A" w:rsidP="00506AA9">
      <w:pPr>
        <w:jc w:val="center"/>
        <w:rPr>
          <w:rFonts w:ascii="Times New Roman" w:eastAsia="Calibri" w:hAnsi="Times New Roman" w:cs="Calibri"/>
          <w:b/>
          <w:noProof/>
          <w:sz w:val="24"/>
          <w:szCs w:val="20"/>
        </w:rPr>
      </w:pPr>
      <w:r w:rsidRPr="00106B7A">
        <w:rPr>
          <w:rFonts w:ascii="Times New Roman" w:eastAsia="Calibri" w:hAnsi="Times New Roman" w:cs="Calibri"/>
          <w:b/>
          <w:noProof/>
          <w:sz w:val="24"/>
          <w:szCs w:val="20"/>
          <w:lang w:bidi="ar-SA"/>
        </w:rPr>
        <w:drawing>
          <wp:inline distT="0" distB="0" distL="0" distR="0">
            <wp:extent cx="5760085" cy="5544452"/>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60085" cy="5544452"/>
                    </a:xfrm>
                    <a:prstGeom prst="rect">
                      <a:avLst/>
                    </a:prstGeom>
                    <a:noFill/>
                    <a:ln>
                      <a:noFill/>
                    </a:ln>
                  </pic:spPr>
                </pic:pic>
              </a:graphicData>
            </a:graphic>
          </wp:inline>
        </w:drawing>
      </w:r>
    </w:p>
    <w:p w:rsidR="00506AA9" w:rsidRDefault="00506AA9" w:rsidP="00506AA9">
      <w:pPr>
        <w:rPr>
          <w:rFonts w:ascii="Times New Roman" w:eastAsia="Calibri" w:hAnsi="Times New Roman" w:cs="Calibri"/>
          <w:noProof/>
          <w:sz w:val="24"/>
          <w:szCs w:val="20"/>
        </w:rPr>
      </w:pPr>
      <w:r>
        <w:br w:type="page"/>
      </w:r>
    </w:p>
    <w:p w:rsidR="00506AA9" w:rsidRDefault="00506AA9" w:rsidP="00902321">
      <w:pPr>
        <w:pStyle w:val="Heading2"/>
        <w:rPr>
          <w:noProof/>
        </w:rPr>
      </w:pPr>
      <w:bookmarkStart w:id="525" w:name="VII.3__Debt_rescheduling"/>
      <w:bookmarkStart w:id="526" w:name="_bookmark56"/>
      <w:bookmarkStart w:id="527" w:name="_Toc471135922"/>
      <w:bookmarkEnd w:id="525"/>
      <w:bookmarkEnd w:id="526"/>
      <w:r>
        <w:rPr>
          <w:noProof/>
        </w:rPr>
        <w:lastRenderedPageBreak/>
        <w:t>VII.3. Parāda atmaksas grafika pārskatīšana</w:t>
      </w:r>
      <w:bookmarkEnd w:id="527"/>
    </w:p>
    <w:p w:rsidR="00506AA9" w:rsidRPr="001973D0" w:rsidRDefault="00506AA9" w:rsidP="00506AA9">
      <w:pPr>
        <w:tabs>
          <w:tab w:val="left" w:pos="1462"/>
        </w:tabs>
        <w:jc w:val="both"/>
        <w:rPr>
          <w:rFonts w:ascii="Times New Roman" w:hAnsi="Times New Roman"/>
          <w:b/>
          <w:noProof/>
          <w:sz w:val="24"/>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528" w:name="VII.3.1_Background"/>
      <w:bookmarkEnd w:id="528"/>
      <w:r>
        <w:rPr>
          <w:rFonts w:ascii="Times New Roman" w:hAnsi="Times New Roman"/>
          <w:noProof/>
          <w:u w:val="none"/>
        </w:rPr>
        <w:t>VII.3.1. </w:t>
      </w:r>
      <w:r>
        <w:rPr>
          <w:rFonts w:ascii="Times New Roman" w:hAnsi="Times New Roman"/>
          <w:noProof/>
          <w:u w:val="thick" w:color="000000"/>
        </w:rPr>
        <w:t>Vispārēja informācija</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Parāda atmaksas grafika pārskatīšana var būt alternatīvs risinājums parāda anulēšanai vai arī parāda anulēšanas procesa posms.</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Šo darījumu valdība bieži īsteno ar ārvalstu darījumu veicējiem, jo īpaši no attīstības valstīm, tomēr tos var veikt arī ar vietējām publiskajām sabiedrībām (jo īpaši finanšu nozarē). Ārvalstu debitori var būt valdības vienības vai valdības sektoram nepiederošas vienības, piemēram, publiskas sabiedrības. Parīzes klubs ir paredzēts sarunām par valsts parādu. Londonas klubs ir paredzēts sarunām par privāto (banku) parādiem, taču tas vairs praktiski nedarbojas. Turpmāk termins “valdība” tiek attiecināts vienīgi uz kreditoru valdību (proti, uz Valsts kasi vai īpašām aģentūrām, izņemot īpašas finanšu iestādes, kas klasificētas sektorā S.12).</w:t>
      </w:r>
    </w:p>
    <w:p w:rsidR="00506AA9" w:rsidRPr="001973D0" w:rsidRDefault="00752AB7"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Rodas jautājums, kā ierakstīt</w:t>
      </w:r>
      <w:r w:rsidR="00506AA9">
        <w:rPr>
          <w:rFonts w:ascii="Times New Roman" w:hAnsi="Times New Roman"/>
          <w:noProof/>
          <w:sz w:val="24"/>
        </w:rPr>
        <w:t xml:space="preserve"> prasījumu un saistību grafika pār</w:t>
      </w:r>
      <w:r>
        <w:rPr>
          <w:rFonts w:ascii="Times New Roman" w:hAnsi="Times New Roman"/>
          <w:noProof/>
          <w:sz w:val="24"/>
        </w:rPr>
        <w:t>skatīšanu? Kāda summa jāieraksta</w:t>
      </w:r>
      <w:r w:rsidR="00506AA9">
        <w:rPr>
          <w:rFonts w:ascii="Times New Roman" w:hAnsi="Times New Roman"/>
          <w:noProof/>
          <w:sz w:val="24"/>
        </w:rPr>
        <w:t xml:space="preserve"> valdības bilances aktīva pusē, ja parāda līguma termiņi ir mainīti saskaņā ar vienošanos par atmaksas grafika pārskatīšanu, un kad jāveic ieraksts?</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Izskatāmais gadījums.</w:t>
      </w:r>
    </w:p>
    <w:p w:rsidR="00506AA9" w:rsidRDefault="00506AA9" w:rsidP="00506AA9">
      <w:pPr>
        <w:pStyle w:val="BodyText"/>
        <w:spacing w:before="0"/>
        <w:ind w:left="0" w:firstLine="0"/>
        <w:jc w:val="both"/>
        <w:rPr>
          <w:rFonts w:ascii="Times New Roman" w:hAnsi="Times New Roman"/>
          <w:noProof/>
          <w:sz w:val="24"/>
        </w:rPr>
      </w:pPr>
    </w:p>
    <w:p w:rsidR="00506AA9"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Šis ir gadījums, kad valdība ir tieši pagarinājusi aizdevumu citas valsts valdībai un debitors neveic vai atliek visus savus maksājumus vai daļu no tiem:</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vispirms notiek sarunas par parāda atmaksas grafika pārskatīšanu;</w:t>
      </w: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otrais posms – parādu var anulēt vai pat pārdot. Aplūkoti tikai aizdevumi.</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Kredīta apdrošināšanas gadījums nav aplūkots.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529" w:name="VII.3.2_Treatment_in_national_accounts"/>
      <w:bookmarkEnd w:id="529"/>
      <w:r>
        <w:rPr>
          <w:rFonts w:ascii="Times New Roman" w:hAnsi="Times New Roman"/>
          <w:noProof/>
          <w:u w:val="none"/>
        </w:rPr>
        <w:t>VII.3.2. </w:t>
      </w:r>
      <w:r>
        <w:rPr>
          <w:rFonts w:ascii="Times New Roman" w:hAnsi="Times New Roman"/>
          <w:noProof/>
          <w:u w:val="thick" w:color="000000"/>
        </w:rPr>
        <w:t>Traktējums nacionālajos kontos</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Tikai tad, ja prasījuma (aizdevuma) ne</w:t>
      </w:r>
      <w:r w:rsidR="00752AB7">
        <w:rPr>
          <w:rFonts w:ascii="Times New Roman" w:hAnsi="Times New Roman"/>
          <w:noProof/>
          <w:sz w:val="24"/>
        </w:rPr>
        <w:t>atmaksātā daļa, kas ierakstīta</w:t>
      </w:r>
      <w:r>
        <w:rPr>
          <w:rFonts w:ascii="Times New Roman" w:hAnsi="Times New Roman"/>
          <w:noProof/>
          <w:sz w:val="24"/>
        </w:rPr>
        <w:t xml:space="preserve"> tās nominālvērtībā, samazinās, kapitāla pārvedums atc</w:t>
      </w:r>
      <w:r w:rsidR="00752AB7">
        <w:rPr>
          <w:rFonts w:ascii="Times New Roman" w:hAnsi="Times New Roman"/>
          <w:noProof/>
          <w:sz w:val="24"/>
        </w:rPr>
        <w:t>eltā prasījuma apjomā jāieraksta</w:t>
      </w:r>
      <w:r>
        <w:rPr>
          <w:rFonts w:ascii="Times New Roman" w:hAnsi="Times New Roman"/>
          <w:noProof/>
          <w:sz w:val="24"/>
        </w:rPr>
        <w:t xml:space="preserve"> par labu debitoram, kurš neizpilda savas saistības: tas līdzinās parāda anulēšanai (sk. VII.2. nodaļu “Parāda pārņemšana un parāda anulēšana”).</w:t>
      </w:r>
    </w:p>
    <w:p w:rsidR="00506AA9"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To nepiemēro attiecībā uz citiem gadījumiem, jo īpaši gadījumos:</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ja prasījuma maksājums tiek tikai kavēts vai pārlikts grafikā uz citu laiku;</w:t>
      </w: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ja tiek pārspriesta vienīgi procentu summa.</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30" w:name="VII.3.2.1_Recording_of_a_loan"/>
      <w:bookmarkEnd w:id="530"/>
      <w:r>
        <w:rPr>
          <w:rFonts w:ascii="Times New Roman" w:hAnsi="Times New Roman"/>
          <w:noProof/>
          <w:sz w:val="24"/>
        </w:rPr>
        <w:t>V</w:t>
      </w:r>
      <w:r w:rsidR="00752AB7">
        <w:rPr>
          <w:rFonts w:ascii="Times New Roman" w:hAnsi="Times New Roman"/>
          <w:noProof/>
          <w:sz w:val="24"/>
        </w:rPr>
        <w:t>II.3.2.1. Aizdevuma ierakstīšana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Debitora saistību apjoms pret kreditoru jebkurā brīdī ir nenomaksātā pamatsumma: tā ir summa, kas debitoram jāatmaksā, lai izpildītu saistības un tādējādi dzēstu kreditora prasījumu pret debitoru. Tā ir neatma</w:t>
      </w:r>
      <w:r w:rsidR="00752AB7">
        <w:rPr>
          <w:rFonts w:ascii="Times New Roman" w:hAnsi="Times New Roman"/>
          <w:noProof/>
          <w:sz w:val="24"/>
        </w:rPr>
        <w:t>ksātā pamatsumma, kas jāieraksta</w:t>
      </w:r>
      <w:r>
        <w:rPr>
          <w:rFonts w:ascii="Times New Roman" w:hAnsi="Times New Roman"/>
          <w:noProof/>
          <w:sz w:val="24"/>
        </w:rPr>
        <w:t xml:space="preserve"> gan kreditora, gan debitora bilancē.</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Aizdevumam var būt dažādi veidi (sk. turpmāk 1. ierāmējumu VII.3.2.4. apakšiedaļā). Tomēr neatkarīgi no aizdevuma veida kopējie gada maksājumi (pamatsumma un procenti) tiek noteikti līgumā, un tos var mainīt, vienīgi grozot līgumu. Turpmākās procentu plūsmu sēr</w:t>
      </w:r>
      <w:r w:rsidR="00752AB7">
        <w:rPr>
          <w:rFonts w:ascii="Times New Roman" w:hAnsi="Times New Roman"/>
          <w:noProof/>
          <w:sz w:val="24"/>
        </w:rPr>
        <w:t>ijas netiek ierakstītas</w:t>
      </w:r>
      <w:r>
        <w:rPr>
          <w:rFonts w:ascii="Times New Roman" w:hAnsi="Times New Roman"/>
          <w:noProof/>
          <w:sz w:val="24"/>
        </w:rPr>
        <w:t xml:space="preserve"> nacionālajos kontos kā kreditora prasījumi.</w:t>
      </w:r>
    </w:p>
    <w:p w:rsidR="00506AA9" w:rsidRPr="001973D0" w:rsidRDefault="00506AA9"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 xml:space="preserve">Procentu likme var būt nemainīga, vai arī to var pārskatīt – tiek iekļauti gadījumi ar mainīgām likmēm, pārskatītajām likmēm un pieaugošajām procentu likmēm. </w:t>
      </w:r>
      <w:r>
        <w:rPr>
          <w:rFonts w:ascii="Times New Roman" w:hAnsi="Times New Roman"/>
          <w:noProof/>
          <w:sz w:val="24"/>
        </w:rPr>
        <w:lastRenderedPageBreak/>
        <w:t>Aizdevuma līgumā ir iekļauti procentu likmes piemērošanas noteikumi.</w:t>
      </w:r>
    </w:p>
    <w:p w:rsidR="00506AA9" w:rsidRPr="001973D0" w:rsidRDefault="00506AA9"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Ja kādā brīdī kādi iepriekšēji maksājumi nav veikti, atbilstoša summa jāpievieno nenomaksātajai pamatsummai. Šajās summās ietilpst arī procenti, kas ir uzkrāti un pievienoti pamatsummai nacionālo kontu bilancē, bet nav laikus nomaksāti (to parasti dēvē par procentu parādu).</w:t>
      </w:r>
    </w:p>
    <w:p w:rsidR="00506AA9" w:rsidRPr="001973D0" w:rsidRDefault="00506AA9"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Jebkurā gadījum</w:t>
      </w:r>
      <w:r w:rsidR="00752AB7">
        <w:rPr>
          <w:rFonts w:ascii="Times New Roman" w:hAnsi="Times New Roman"/>
          <w:noProof/>
          <w:sz w:val="24"/>
        </w:rPr>
        <w:t>ā nacionālajos kontos neieraksta</w:t>
      </w:r>
      <w:r>
        <w:rPr>
          <w:rFonts w:ascii="Times New Roman" w:hAnsi="Times New Roman"/>
          <w:noProof/>
          <w:sz w:val="24"/>
        </w:rPr>
        <w:t xml:space="preserve"> iespējamos kreditora veiktos uzkrājumus.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56"/>
        </w:tabs>
        <w:jc w:val="both"/>
        <w:rPr>
          <w:rFonts w:ascii="Times New Roman" w:hAnsi="Times New Roman"/>
          <w:noProof/>
          <w:sz w:val="24"/>
        </w:rPr>
      </w:pPr>
      <w:bookmarkStart w:id="531" w:name="VII.3.2.2_Rescheduling_of_the_loan:_ordi"/>
      <w:bookmarkEnd w:id="531"/>
      <w:r>
        <w:rPr>
          <w:rFonts w:ascii="Times New Roman" w:hAnsi="Times New Roman"/>
          <w:noProof/>
          <w:sz w:val="24"/>
        </w:rPr>
        <w:t>VII.3.2.2. Aizdevuma atmaksas grafika pārskatīšana – standarta gadījumi</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Standarta gadījumos vienošanās par atmaksas grafika pārskatīšanu neietvers atlikušā prasījuma maiņu: prasījuma samaksa tiek tikai aizkavēta, pārlikta grafikā uz citu laiku, un/vai tiek pārskatīta procentu summa.</w:t>
      </w:r>
    </w:p>
    <w:p w:rsidR="00506AA9" w:rsidRDefault="00506AA9"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Pastāv trīs galvenie aizdevuma atmaksas grafika pārskatīšanas veidi.</w:t>
      </w:r>
    </w:p>
    <w:p w:rsidR="00506AA9" w:rsidRPr="001973D0" w:rsidRDefault="00506AA9" w:rsidP="00506AA9">
      <w:pPr>
        <w:pStyle w:val="BodyText"/>
        <w:tabs>
          <w:tab w:val="left" w:pos="1182"/>
        </w:tabs>
        <w:spacing w:before="0"/>
        <w:ind w:left="0" w:firstLine="0"/>
        <w:rPr>
          <w:rFonts w:ascii="Times New Roman" w:hAnsi="Times New Roman"/>
          <w:noProof/>
          <w:sz w:val="24"/>
        </w:rPr>
      </w:pPr>
    </w:p>
    <w:p w:rsidR="00506AA9" w:rsidRPr="001973D0" w:rsidRDefault="00506AA9" w:rsidP="00506AA9">
      <w:pPr>
        <w:pStyle w:val="BodyText"/>
        <w:numPr>
          <w:ilvl w:val="0"/>
          <w:numId w:val="122"/>
        </w:numPr>
        <w:tabs>
          <w:tab w:val="left" w:pos="1542"/>
        </w:tabs>
        <w:spacing w:before="0"/>
        <w:ind w:left="1134" w:hanging="425"/>
        <w:jc w:val="both"/>
        <w:rPr>
          <w:rFonts w:ascii="Times New Roman" w:hAnsi="Times New Roman"/>
          <w:noProof/>
          <w:sz w:val="24"/>
        </w:rPr>
      </w:pPr>
      <w:r>
        <w:rPr>
          <w:rFonts w:ascii="Times New Roman" w:hAnsi="Times New Roman"/>
          <w:noProof/>
          <w:sz w:val="24"/>
        </w:rPr>
        <w:t>Ir iespējams mainīt pamatsummas maksājuma termiņu. Tā kā kopumā mērķis ir atvieglot atmaksas ikgadējo nastu, šajā gadījumā visticamāk tiks pagarināts termiņš. Tomēr, lai arī procentu likme nemainās, kopējā procentu maksa pieaug (sk. piemēru).</w:t>
      </w:r>
    </w:p>
    <w:p w:rsidR="00506AA9" w:rsidRPr="001973D0"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Tas nemaina neatmaksātās pamatsummas nominālvērtību, taču ietekmē parāda instrumenta “tirgus vērtību”, jo īpaši neregulāru darījumu gadījumā sekundārajā tirgū. Rezultātā tiek izstrādāts tāds jauns ikgadējās atmaksas grafiks, kas atšķiras no sākotnējā grafika.</w:t>
      </w:r>
    </w:p>
    <w:p w:rsidR="00506AA9" w:rsidRPr="001973D0" w:rsidRDefault="00506AA9" w:rsidP="00506AA9">
      <w:pPr>
        <w:pStyle w:val="BodyText"/>
        <w:numPr>
          <w:ilvl w:val="0"/>
          <w:numId w:val="122"/>
        </w:numPr>
        <w:tabs>
          <w:tab w:val="left" w:pos="1542"/>
        </w:tabs>
        <w:spacing w:before="0"/>
        <w:ind w:left="1134" w:hanging="425"/>
        <w:jc w:val="both"/>
        <w:rPr>
          <w:rFonts w:ascii="Times New Roman" w:hAnsi="Times New Roman"/>
          <w:noProof/>
          <w:sz w:val="24"/>
        </w:rPr>
      </w:pPr>
      <w:r>
        <w:rPr>
          <w:rFonts w:ascii="Times New Roman" w:hAnsi="Times New Roman"/>
          <w:noProof/>
          <w:sz w:val="24"/>
        </w:rPr>
        <w:t>Ir iespējams mainīt līguma procentu likmi. Tas ietekmēs vienīgi procentu maksājumu sērijas. Sākotnējā nenomaksātā pamatsumma nemainās. Ja mainās procentu likme, tad, visticamāk, mainīsies arī veicamie regulārie maksājumi.</w:t>
      </w:r>
    </w:p>
    <w:p w:rsidR="00506AA9" w:rsidRPr="001973D0" w:rsidRDefault="00506AA9" w:rsidP="00506AA9">
      <w:pPr>
        <w:pStyle w:val="BodyText"/>
        <w:spacing w:before="0"/>
        <w:ind w:left="1134" w:firstLine="0"/>
        <w:jc w:val="both"/>
        <w:rPr>
          <w:rFonts w:ascii="Times New Roman" w:hAnsi="Times New Roman"/>
          <w:noProof/>
          <w:sz w:val="24"/>
        </w:rPr>
      </w:pPr>
      <w:r>
        <w:rPr>
          <w:rFonts w:ascii="Times New Roman" w:hAnsi="Times New Roman"/>
          <w:noProof/>
          <w:sz w:val="24"/>
        </w:rPr>
        <w:t>Konkrēta šāda vienošanās var ietvert procentu maksājumu nākotnes plūsmu atcelšanu, ko veic kreditors, ar dažādām pamatsummas atmaksāšanas alternatīvām. Nenomaksātās pamatsummas apjoms bilancēs nemainās: tas līdzinās aizdevuma procentu likmes pārskatīšanai, kad jaunā procentu likme ir vienāda ar nulli.</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Ir iespējams kavēt pamatsummas maksājumus termiņa pagarinājuma laikā. Parasti tiek piedāvāts atbilstošs termiņa pagarinājums. Sākotnējā nenomaksātā summa netiek mainīta. Atvieglojumu periodā procentus var maksāt katru gadu vai pārvērst tos kapitālā un pievienot pamatsummai, kura tiks amortizēta pēc atvieglojumu perioda (sk. II.</w:t>
      </w:r>
      <w:r w:rsidR="00752AB7">
        <w:rPr>
          <w:rFonts w:ascii="Times New Roman" w:hAnsi="Times New Roman"/>
          <w:noProof/>
          <w:sz w:val="24"/>
        </w:rPr>
        <w:t>4. nodaļu “Procentu ierakstīšana</w:t>
      </w:r>
      <w:r>
        <w:rPr>
          <w:rFonts w:ascii="Times New Roman" w:hAnsi="Times New Roman"/>
          <w:noProof/>
          <w:sz w:val="24"/>
        </w:rPr>
        <w:t>”).</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56"/>
        </w:tabs>
        <w:jc w:val="both"/>
        <w:rPr>
          <w:rFonts w:ascii="Times New Roman" w:hAnsi="Times New Roman"/>
          <w:noProof/>
          <w:sz w:val="24"/>
        </w:rPr>
      </w:pPr>
      <w:bookmarkStart w:id="532" w:name="VII.3.2.3_Determining_the_new_amount_out"/>
      <w:bookmarkEnd w:id="532"/>
      <w:r>
        <w:rPr>
          <w:rFonts w:ascii="Times New Roman" w:hAnsi="Times New Roman"/>
          <w:noProof/>
          <w:sz w:val="24"/>
        </w:rPr>
        <w:t>VII.3.2.3. Jaunās nenomaksātās summas noteikšana</w:t>
      </w:r>
    </w:p>
    <w:p w:rsidR="00506AA9" w:rsidRPr="001973D0" w:rsidRDefault="00506AA9" w:rsidP="00506AA9">
      <w:pPr>
        <w:pStyle w:val="Heading6"/>
        <w:tabs>
          <w:tab w:val="left" w:pos="1956"/>
        </w:tabs>
        <w:jc w:val="both"/>
        <w:rPr>
          <w:rFonts w:ascii="Times New Roman" w:hAnsi="Times New Roman"/>
          <w:noProof/>
          <w:sz w:val="24"/>
        </w:rPr>
      </w:pPr>
    </w:p>
    <w:p w:rsidR="00506AA9" w:rsidRPr="008659FE" w:rsidRDefault="00752AB7" w:rsidP="00506AA9">
      <w:pPr>
        <w:pStyle w:val="BodyText"/>
        <w:numPr>
          <w:ilvl w:val="0"/>
          <w:numId w:val="123"/>
        </w:numPr>
        <w:tabs>
          <w:tab w:val="left" w:pos="1182"/>
        </w:tabs>
        <w:spacing w:before="0"/>
        <w:ind w:left="709" w:hanging="709"/>
        <w:jc w:val="both"/>
        <w:rPr>
          <w:rFonts w:ascii="Times New Roman" w:hAnsi="Times New Roman"/>
          <w:noProof/>
          <w:sz w:val="24"/>
        </w:rPr>
      </w:pPr>
      <w:r>
        <w:rPr>
          <w:rFonts w:ascii="Times New Roman" w:hAnsi="Times New Roman"/>
          <w:noProof/>
          <w:sz w:val="24"/>
        </w:rPr>
        <w:t>Lai noteiktu, vai jāieraksta</w:t>
      </w:r>
      <w:r w:rsidR="00506AA9">
        <w:rPr>
          <w:rFonts w:ascii="Times New Roman" w:hAnsi="Times New Roman"/>
          <w:noProof/>
          <w:sz w:val="24"/>
        </w:rPr>
        <w:t xml:space="preserve"> kapitāla pārvedums un jāaprēķina tā vērtība, jāzina starpība starp nenomaksāto prasījumu summu pirms un pēc atmaksas grafika pārskatīšanas. Parasti jaunā nenomaksātā summa būs norādīta atmaksas grafika pārskatīšanas līgumā. Tomēr atsevišķos gadījumos tā var nebūt norādīta atmaksas grafika pārskatīšanas līgumā. Tad minētā summa jāaprēķina no turpmāko gada maksu plūsmas un procentu likmes, kas noteikta jaunajā līgumā (sk. VII.3.2.4. apakšiedaļas 1. ierāmējumā norādītās formulas). Ja procentu likme nav norādīta, nenomaksātās summas vērtība jāaprēķina kā turpmāko gada maksu pašreizējā neto vērtība, izmantojot diskonta likmi, kas ir vienāda ar procentu likmi, kura tika piemērota attiecībā uz sākotnējo līgumu.</w:t>
      </w:r>
    </w:p>
    <w:p w:rsidR="00506AA9"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Citiem vārdiem sakot:</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ja kādā brīdī nenomaksātajai aizdevuma pamatsummai ir dota vērtība V</w:t>
      </w:r>
    </w:p>
    <w:p w:rsidR="00506AA9" w:rsidRPr="001973D0"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un ja vienošanās par atmaksas grafika pārskatīšanu, kas īstenota šajā brīdi, rada </w:t>
      </w:r>
      <w:r>
        <w:rPr>
          <w:rFonts w:ascii="Times New Roman" w:hAnsi="Times New Roman"/>
          <w:noProof/>
          <w:sz w:val="24"/>
        </w:rPr>
        <w:lastRenderedPageBreak/>
        <w:t>situāciju, ka gada maksājumu pašreizējā vērtība – aprēķināta atbilstīgi procentu likmei saskaņā ar vienošanos – pēc atmaksas grafika pārskatīšanas atšķiras no iepriekš minētās nenomaksātās pamatsummas V,</w:t>
      </w:r>
    </w:p>
    <w:p w:rsidR="00506AA9" w:rsidRDefault="00506AA9" w:rsidP="00506AA9">
      <w:pPr>
        <w:pStyle w:val="BodyText"/>
        <w:numPr>
          <w:ilvl w:val="1"/>
          <w:numId w:val="123"/>
        </w:numPr>
        <w:tabs>
          <w:tab w:val="left" w:pos="1462"/>
        </w:tabs>
        <w:spacing w:before="0"/>
        <w:ind w:left="1134" w:hanging="425"/>
        <w:jc w:val="both"/>
        <w:rPr>
          <w:rFonts w:ascii="Times New Roman" w:hAnsi="Times New Roman"/>
          <w:noProof/>
          <w:sz w:val="24"/>
        </w:rPr>
      </w:pPr>
      <w:r>
        <w:rPr>
          <w:rFonts w:ascii="Times New Roman" w:hAnsi="Times New Roman"/>
          <w:noProof/>
          <w:sz w:val="24"/>
        </w:rPr>
        <w:t>tas nozīmē, ka faktiski pastāv izmaiņas nenomaksātās pam</w:t>
      </w:r>
      <w:r w:rsidR="00752AB7">
        <w:rPr>
          <w:rFonts w:ascii="Times New Roman" w:hAnsi="Times New Roman"/>
          <w:noProof/>
          <w:sz w:val="24"/>
        </w:rPr>
        <w:t>atsummas vērtībā, kas jāieraksta</w:t>
      </w:r>
      <w:r>
        <w:rPr>
          <w:rFonts w:ascii="Times New Roman" w:hAnsi="Times New Roman"/>
          <w:noProof/>
          <w:sz w:val="24"/>
        </w:rPr>
        <w:t xml:space="preserve"> pozīcijā AF.4 gan kreditora, gan debitora bilancē.</w:t>
      </w:r>
    </w:p>
    <w:p w:rsidR="00506AA9" w:rsidRPr="001973D0" w:rsidRDefault="00506AA9" w:rsidP="00506AA9">
      <w:pPr>
        <w:pStyle w:val="BodyText"/>
        <w:tabs>
          <w:tab w:val="left" w:pos="1462"/>
        </w:tabs>
        <w:spacing w:before="0"/>
        <w:ind w:left="0" w:firstLine="0"/>
        <w:rPr>
          <w:rFonts w:ascii="Times New Roman" w:hAnsi="Times New Roman"/>
          <w:noProof/>
          <w:sz w:val="24"/>
        </w:rPr>
      </w:pP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Tā kā šajā gadījumā ir iespējams, ka jaunā nenomaksātā pamatsumma būs zemāka par iepriekšējo, debitoram no kreditora jāieraksta kapitāla pārvedums natūrā (D.99), jo </w:t>
      </w:r>
      <w:r>
        <w:rPr>
          <w:rFonts w:ascii="Times New Roman" w:hAnsi="Times New Roman"/>
          <w:i/>
          <w:noProof/>
          <w:sz w:val="24"/>
        </w:rPr>
        <w:t>de facto</w:t>
      </w:r>
      <w:r>
        <w:rPr>
          <w:rFonts w:ascii="Times New Roman" w:hAnsi="Times New Roman"/>
          <w:noProof/>
          <w:sz w:val="24"/>
        </w:rPr>
        <w:t xml:space="preserve"> pastāv daļēja parāda anulēšana.</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33" w:name="VII.3.2.4_Cancellation_of_a_debt_followi"/>
      <w:bookmarkEnd w:id="533"/>
      <w:r>
        <w:rPr>
          <w:rFonts w:ascii="Times New Roman" w:hAnsi="Times New Roman"/>
          <w:noProof/>
          <w:sz w:val="24"/>
        </w:rPr>
        <w:t>VII.3.2.4. Parāda anulēšana pēc atmaksas grafika pārskatīšanas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Ir iespējams, ka, neņemot vērā faktu, ka ir pārskatīts parāda atmaksas grafiks, kreditora valdība atceļ atlikumu. Parāda anulē</w:t>
      </w:r>
      <w:r w:rsidR="00752AB7">
        <w:rPr>
          <w:rFonts w:ascii="Times New Roman" w:hAnsi="Times New Roman"/>
          <w:noProof/>
          <w:sz w:val="24"/>
        </w:rPr>
        <w:t>šanas līguma laikā ir jāieraksta</w:t>
      </w:r>
      <w:r>
        <w:rPr>
          <w:rFonts w:ascii="Times New Roman" w:hAnsi="Times New Roman"/>
          <w:noProof/>
          <w:sz w:val="24"/>
        </w:rPr>
        <w:t xml:space="preserve"> kapitāla pārvedums debitoram no valdības. Kapitāla pārveduma summa (standarta parāda dzēšanas traktējums EKS 2010) ir līdzvērtīgs aizdevuma nenomaksātajai pamatsummai pēc atmaksas grafika pārskatīšanas.</w:t>
      </w:r>
    </w:p>
    <w:p w:rsidR="00506AA9" w:rsidRDefault="00506AA9" w:rsidP="00506AA9">
      <w:pPr>
        <w:pStyle w:val="BodyText"/>
        <w:spacing w:before="0"/>
        <w:ind w:left="709" w:hanging="709"/>
        <w:jc w:val="both"/>
        <w:rPr>
          <w:rFonts w:ascii="Times New Roman" w:hAnsi="Times New Roman"/>
          <w:noProof/>
          <w:sz w:val="24"/>
          <w:u w:val="single" w:color="000000"/>
        </w:rPr>
      </w:pPr>
    </w:p>
    <w:p w:rsidR="00506AA9" w:rsidRPr="001973D0" w:rsidRDefault="00506AA9" w:rsidP="00506AA9">
      <w:pPr>
        <w:pStyle w:val="BodyText"/>
        <w:spacing w:before="0"/>
        <w:ind w:left="709" w:hanging="709"/>
        <w:jc w:val="both"/>
        <w:rPr>
          <w:rFonts w:ascii="Times New Roman" w:hAnsi="Times New Roman"/>
          <w:noProof/>
          <w:sz w:val="24"/>
          <w:u w:val="single" w:color="000000"/>
        </w:rPr>
      </w:pPr>
      <w:r>
        <w:rPr>
          <w:rFonts w:ascii="Times New Roman" w:hAnsi="Times New Roman"/>
          <w:noProof/>
          <w:sz w:val="24"/>
          <w:u w:val="single" w:color="000000"/>
        </w:rPr>
        <w:t>Aizdevuma pārdošana</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Ir iespējams, ka pēc atmaksas grafika pārskatīšanas valdība pārdod aizdevumu, piemēram, kādai finanšu iestādei. Iespējams arī, ka saistībā ar atšķirībām starp procentu likmi, kas līgumā noteikta attiecībā uz aizdevumu, un attiecīgo tirgus likmi tādam pašam aizdevumam, pārdošana notiek par pamatsummas apjomu, kas ir daudz zemāks par nenomaksāto pamatsummu, kura paredzēta līgumā par atmaksas grafika pārskatīšanu.</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noProof/>
          <w:sz w:val="24"/>
        </w:rPr>
        <w:t>Šādā gadījumā starpība starp nenomaksāto pamatsummu pēc atmaksas grafika pārskatīšanas un nenomaksāto pamatsummu, kas</w:t>
      </w:r>
      <w:r w:rsidR="0057710B">
        <w:rPr>
          <w:rFonts w:ascii="Times New Roman" w:hAnsi="Times New Roman"/>
          <w:noProof/>
          <w:sz w:val="24"/>
        </w:rPr>
        <w:t xml:space="preserve"> ietirgota pārdošanā, jāieraksta</w:t>
      </w:r>
      <w:r>
        <w:rPr>
          <w:rFonts w:ascii="Times New Roman" w:hAnsi="Times New Roman"/>
          <w:noProof/>
          <w:sz w:val="24"/>
        </w:rPr>
        <w:t xml:space="preserve"> valdības pārvērtēšanas kontā kā turēšanas zaudējums (EKS 2010 6.58. punkts).</w:t>
      </w:r>
    </w:p>
    <w:p w:rsidR="00506AA9" w:rsidRPr="001973D0" w:rsidRDefault="00506AA9" w:rsidP="00506AA9">
      <w:pPr>
        <w:pStyle w:val="BodyText"/>
        <w:numPr>
          <w:ilvl w:val="0"/>
          <w:numId w:val="123"/>
        </w:numPr>
        <w:tabs>
          <w:tab w:val="left" w:pos="1102"/>
        </w:tabs>
        <w:spacing w:before="0"/>
        <w:ind w:left="709" w:hanging="709"/>
        <w:jc w:val="both"/>
        <w:rPr>
          <w:rFonts w:ascii="Times New Roman" w:hAnsi="Times New Roman"/>
          <w:noProof/>
          <w:sz w:val="24"/>
        </w:rPr>
      </w:pPr>
      <w:r>
        <w:rPr>
          <w:rFonts w:ascii="Times New Roman" w:hAnsi="Times New Roman"/>
          <w:b/>
          <w:noProof/>
          <w:sz w:val="24"/>
        </w:rPr>
        <w:t>NB</w:t>
      </w:r>
      <w:r>
        <w:rPr>
          <w:rFonts w:ascii="Times New Roman" w:hAnsi="Times New Roman"/>
          <w:noProof/>
          <w:sz w:val="24"/>
        </w:rPr>
        <w:t>! Gadījumos, kad debitors savu parādu turpina atmaksāt pirmajam kreditoram, darījumu starp abiem kreditoriem neuzskata par prasījuma (aizdevuma) pārdošanu, bet gan par jaunu aizdevumu, ko jaunais kreditors piešķir bijušajam kreditoram.</w:t>
      </w:r>
    </w:p>
    <w:p w:rsidR="00506AA9" w:rsidRDefault="00506AA9" w:rsidP="00506AA9">
      <w:pPr>
        <w:rPr>
          <w:rFonts w:ascii="Times New Roman" w:eastAsia="Arial" w:hAnsi="Times New Roman" w:cs="Arial"/>
          <w:noProof/>
          <w:sz w:val="24"/>
          <w:szCs w:val="20"/>
        </w:rPr>
      </w:pPr>
      <w:r>
        <w:br w:type="page"/>
      </w:r>
    </w:p>
    <w:p w:rsidR="00506AA9" w:rsidRPr="001973D0" w:rsidRDefault="00506AA9" w:rsidP="00506AA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21"/>
        <w:gridCol w:w="1475"/>
        <w:gridCol w:w="1769"/>
        <w:gridCol w:w="1522"/>
        <w:gridCol w:w="1703"/>
        <w:gridCol w:w="1620"/>
        <w:gridCol w:w="551"/>
      </w:tblGrid>
      <w:tr w:rsidR="00506AA9" w:rsidTr="00902321">
        <w:tc>
          <w:tcPr>
            <w:tcW w:w="9061" w:type="dxa"/>
            <w:gridSpan w:val="7"/>
            <w:tcBorders>
              <w:bottom w:val="nil"/>
            </w:tcBorders>
          </w:tcPr>
          <w:p w:rsidR="00506AA9" w:rsidRPr="001973D0" w:rsidRDefault="00506AA9" w:rsidP="005A7579">
            <w:pPr>
              <w:jc w:val="both"/>
              <w:rPr>
                <w:rFonts w:ascii="Times New Roman" w:eastAsia="Arial" w:hAnsi="Times New Roman" w:cs="Arial"/>
                <w:noProof/>
                <w:sz w:val="24"/>
                <w:szCs w:val="20"/>
              </w:rPr>
            </w:pPr>
            <w:r>
              <w:rPr>
                <w:rFonts w:ascii="Times New Roman" w:hAnsi="Times New Roman"/>
                <w:b/>
                <w:noProof/>
                <w:sz w:val="24"/>
              </w:rPr>
              <w:t>1. ie</w:t>
            </w:r>
            <w:r w:rsidR="0057710B">
              <w:rPr>
                <w:rFonts w:ascii="Times New Roman" w:hAnsi="Times New Roman"/>
                <w:b/>
                <w:noProof/>
                <w:sz w:val="24"/>
              </w:rPr>
              <w:t>rāmējums. Aizdevumu ierakstīšana</w:t>
            </w:r>
            <w:r>
              <w:rPr>
                <w:rFonts w:ascii="Times New Roman" w:hAnsi="Times New Roman"/>
                <w:b/>
                <w:noProof/>
                <w:sz w:val="24"/>
              </w:rPr>
              <w:t xml:space="preserve"> (pamatsumma un procenti): tehniska piezīme</w:t>
            </w:r>
          </w:p>
          <w:p w:rsidR="00506AA9" w:rsidRPr="001973D0" w:rsidRDefault="00506AA9" w:rsidP="005A7579">
            <w:pPr>
              <w:jc w:val="both"/>
              <w:rPr>
                <w:rFonts w:ascii="Times New Roman" w:eastAsia="Arial" w:hAnsi="Times New Roman" w:cs="Arial"/>
                <w:b/>
                <w:bCs/>
                <w:noProof/>
                <w:sz w:val="24"/>
                <w:szCs w:val="23"/>
              </w:rPr>
            </w:pPr>
          </w:p>
          <w:p w:rsidR="00506AA9" w:rsidRPr="001973D0" w:rsidRDefault="00506AA9" w:rsidP="00506AA9">
            <w:pPr>
              <w:numPr>
                <w:ilvl w:val="0"/>
                <w:numId w:val="121"/>
              </w:numPr>
              <w:tabs>
                <w:tab w:val="left" w:pos="1125"/>
              </w:tabs>
              <w:ind w:left="709" w:hanging="709"/>
              <w:jc w:val="both"/>
              <w:rPr>
                <w:rFonts w:ascii="Times New Roman" w:hAnsi="Times New Roman"/>
                <w:noProof/>
                <w:sz w:val="24"/>
              </w:rPr>
            </w:pPr>
            <w:r>
              <w:rPr>
                <w:rFonts w:ascii="Times New Roman" w:hAnsi="Times New Roman"/>
                <w:noProof/>
                <w:sz w:val="24"/>
              </w:rPr>
              <w:t>Sākumā nenomaksātā pamatsumma ir vienāda ar aizdoto summu. Tā ir vienāda arī ar visu gada maksu pašreizējo vērtību, aizdevuma līguma procentu likmi izmantojot kā diskonta likmi (sk. ierāmējumā 1. formulu).</w:t>
            </w:r>
          </w:p>
          <w:p w:rsidR="00506AA9" w:rsidRPr="001973D0" w:rsidRDefault="00506AA9" w:rsidP="00506AA9">
            <w:pPr>
              <w:numPr>
                <w:ilvl w:val="0"/>
                <w:numId w:val="121"/>
              </w:numPr>
              <w:tabs>
                <w:tab w:val="left" w:pos="1125"/>
              </w:tabs>
              <w:ind w:left="709" w:hanging="709"/>
              <w:jc w:val="both"/>
              <w:rPr>
                <w:rFonts w:ascii="Times New Roman" w:hAnsi="Times New Roman"/>
                <w:noProof/>
                <w:sz w:val="24"/>
              </w:rPr>
            </w:pPr>
            <w:r>
              <w:rPr>
                <w:rFonts w:ascii="Times New Roman" w:hAnsi="Times New Roman"/>
                <w:noProof/>
                <w:sz w:val="24"/>
              </w:rPr>
              <w:t>Jebkurā brīdī nenomaksātā pamatsumma ir vienāda ar atlikušo gada maksu pašreizējo vērtību, aizdevuma līguma procentu likmi joprojām izmantojot kā diskonta likmi (sk. 2. formulu ierāmējumā attiecībā uz gadījumu, kad visas iepriekšējās gada maksas ir izmaksātas).</w:t>
            </w:r>
          </w:p>
          <w:p w:rsidR="00506AA9" w:rsidRDefault="00506AA9" w:rsidP="00506AA9">
            <w:pPr>
              <w:numPr>
                <w:ilvl w:val="0"/>
                <w:numId w:val="121"/>
              </w:numPr>
              <w:tabs>
                <w:tab w:val="left" w:pos="1125"/>
              </w:tabs>
              <w:ind w:left="709" w:hanging="709"/>
              <w:jc w:val="both"/>
              <w:rPr>
                <w:rFonts w:ascii="Times New Roman" w:hAnsi="Times New Roman"/>
                <w:noProof/>
                <w:sz w:val="24"/>
              </w:rPr>
            </w:pPr>
            <w:r>
              <w:rPr>
                <w:rFonts w:ascii="Times New Roman" w:hAnsi="Times New Roman"/>
                <w:noProof/>
                <w:sz w:val="24"/>
              </w:rPr>
              <w:t>Aizdevuma amortizācijas tabulu var attēlot šādi:</w:t>
            </w:r>
          </w:p>
          <w:p w:rsidR="00506AA9" w:rsidRPr="001973D0" w:rsidRDefault="00506AA9" w:rsidP="005A7579">
            <w:pPr>
              <w:ind w:left="1134"/>
              <w:jc w:val="both"/>
              <w:rPr>
                <w:rFonts w:ascii="Times New Roman" w:eastAsia="Arial" w:hAnsi="Times New Roman" w:cs="Arial"/>
                <w:noProof/>
                <w:sz w:val="24"/>
                <w:szCs w:val="20"/>
              </w:rPr>
            </w:pPr>
            <w:r>
              <w:rPr>
                <w:rFonts w:ascii="Times New Roman" w:hAnsi="Times New Roman"/>
                <w:b/>
                <w:noProof/>
                <w:sz w:val="24"/>
              </w:rPr>
              <w:t>-</w:t>
            </w:r>
            <w:r>
              <w:rPr>
                <w:rFonts w:ascii="Times New Roman" w:hAnsi="Times New Roman"/>
                <w:noProof/>
                <w:sz w:val="24"/>
              </w:rPr>
              <w:t xml:space="preserve"> </w:t>
            </w:r>
            <w:r>
              <w:rPr>
                <w:rFonts w:ascii="Times New Roman" w:hAnsi="Times New Roman"/>
                <w:i/>
                <w:noProof/>
                <w:sz w:val="24"/>
              </w:rPr>
              <w:t>V</w:t>
            </w:r>
            <w:r>
              <w:rPr>
                <w:rFonts w:ascii="Times New Roman" w:hAnsi="Times New Roman"/>
                <w:i/>
                <w:noProof/>
                <w:sz w:val="24"/>
                <w:vertAlign w:val="subscript"/>
              </w:rPr>
              <w:t>0</w:t>
            </w:r>
            <w:r>
              <w:rPr>
                <w:rFonts w:ascii="Times New Roman" w:hAnsi="Times New Roman"/>
                <w:i/>
                <w:noProof/>
                <w:sz w:val="24"/>
              </w:rPr>
              <w:t xml:space="preserve"> </w:t>
            </w:r>
            <w:r>
              <w:rPr>
                <w:rFonts w:ascii="Times New Roman" w:hAnsi="Times New Roman"/>
                <w:noProof/>
                <w:sz w:val="24"/>
              </w:rPr>
              <w:t>ir aizdevuma summa sākumā;</w:t>
            </w:r>
          </w:p>
          <w:p w:rsidR="00506AA9" w:rsidRPr="001973D0" w:rsidRDefault="00506AA9" w:rsidP="005A7579">
            <w:pPr>
              <w:tabs>
                <w:tab w:val="left" w:pos="1665"/>
              </w:tabs>
              <w:ind w:left="1134"/>
              <w:jc w:val="both"/>
              <w:rPr>
                <w:rFonts w:ascii="Times New Roman" w:eastAsia="Arial" w:hAnsi="Times New Roman" w:cs="Arial"/>
                <w:noProof/>
                <w:sz w:val="24"/>
                <w:szCs w:val="20"/>
              </w:rPr>
            </w:pPr>
            <w:r>
              <w:rPr>
                <w:rFonts w:ascii="Times New Roman" w:hAnsi="Times New Roman"/>
                <w:i/>
                <w:noProof/>
                <w:sz w:val="24"/>
              </w:rPr>
              <w:t xml:space="preserve">- r </w:t>
            </w:r>
            <w:r>
              <w:rPr>
                <w:rFonts w:ascii="Times New Roman" w:hAnsi="Times New Roman"/>
                <w:noProof/>
                <w:sz w:val="24"/>
              </w:rPr>
              <w:t>ir līguma procentu likme;</w:t>
            </w:r>
          </w:p>
          <w:p w:rsidR="00506AA9" w:rsidRPr="00663A64" w:rsidRDefault="00506AA9" w:rsidP="005A7579">
            <w:pPr>
              <w:tabs>
                <w:tab w:val="left" w:pos="1665"/>
              </w:tabs>
              <w:ind w:left="1134"/>
              <w:jc w:val="both"/>
              <w:rPr>
                <w:rFonts w:ascii="Times New Roman" w:eastAsia="Arial" w:hAnsi="Times New Roman" w:cs="Arial"/>
                <w:noProof/>
                <w:sz w:val="24"/>
                <w:szCs w:val="20"/>
              </w:rPr>
            </w:pPr>
            <w:r>
              <w:rPr>
                <w:rFonts w:ascii="Times New Roman" w:hAnsi="Times New Roman"/>
                <w:i/>
                <w:noProof/>
                <w:sz w:val="24"/>
              </w:rPr>
              <w:t>- n</w:t>
            </w:r>
            <w:r>
              <w:t xml:space="preserve"> </w:t>
            </w:r>
            <w:r>
              <w:rPr>
                <w:rFonts w:ascii="Times New Roman" w:hAnsi="Times New Roman"/>
                <w:noProof/>
                <w:sz w:val="24"/>
              </w:rPr>
              <w:t>ir aizdevuma termiņš.</w:t>
            </w:r>
          </w:p>
        </w:tc>
      </w:tr>
      <w:tr w:rsidR="00902321" w:rsidTr="00902321">
        <w:tc>
          <w:tcPr>
            <w:tcW w:w="421" w:type="dxa"/>
            <w:tcBorders>
              <w:top w:val="nil"/>
              <w:bottom w:val="nil"/>
            </w:tcBorders>
          </w:tcPr>
          <w:p w:rsidR="00506AA9" w:rsidRDefault="00506AA9" w:rsidP="005A7579">
            <w:pPr>
              <w:jc w:val="both"/>
              <w:rPr>
                <w:rFonts w:ascii="Times New Roman" w:eastAsia="Arial" w:hAnsi="Times New Roman" w:cs="Arial"/>
                <w:noProof/>
                <w:sz w:val="24"/>
                <w:szCs w:val="16"/>
              </w:rPr>
            </w:pPr>
          </w:p>
        </w:tc>
        <w:tc>
          <w:tcPr>
            <w:tcW w:w="1475" w:type="dxa"/>
            <w:tcBorders>
              <w:top w:val="single" w:sz="4" w:space="0" w:color="auto"/>
            </w:tcBorders>
            <w:vAlign w:val="center"/>
          </w:tcPr>
          <w:p w:rsidR="00506AA9" w:rsidRPr="00902321" w:rsidRDefault="00506AA9" w:rsidP="00902321">
            <w:pPr>
              <w:jc w:val="center"/>
              <w:rPr>
                <w:rFonts w:ascii="Times New Roman" w:eastAsia="Arial" w:hAnsi="Times New Roman" w:cs="Arial"/>
                <w:noProof/>
                <w:sz w:val="20"/>
                <w:szCs w:val="20"/>
              </w:rPr>
            </w:pPr>
            <w:r w:rsidRPr="00902321">
              <w:rPr>
                <w:rFonts w:ascii="Times New Roman" w:hAnsi="Times New Roman"/>
                <w:noProof/>
                <w:sz w:val="20"/>
                <w:szCs w:val="20"/>
              </w:rPr>
              <w:t>Periods</w:t>
            </w:r>
          </w:p>
        </w:tc>
        <w:tc>
          <w:tcPr>
            <w:tcW w:w="1769" w:type="dxa"/>
            <w:tcBorders>
              <w:top w:val="single" w:sz="4" w:space="0" w:color="auto"/>
            </w:tcBorders>
            <w:vAlign w:val="center"/>
          </w:tcPr>
          <w:p w:rsidR="00506AA9" w:rsidRPr="00902321" w:rsidRDefault="00506AA9" w:rsidP="00902321">
            <w:pPr>
              <w:jc w:val="center"/>
              <w:rPr>
                <w:rFonts w:ascii="Times New Roman" w:eastAsia="Arial" w:hAnsi="Times New Roman" w:cs="Arial"/>
                <w:noProof/>
                <w:sz w:val="20"/>
                <w:szCs w:val="20"/>
              </w:rPr>
            </w:pPr>
            <w:r w:rsidRPr="00902321">
              <w:rPr>
                <w:rFonts w:ascii="Times New Roman" w:hAnsi="Times New Roman"/>
                <w:noProof/>
                <w:sz w:val="20"/>
                <w:szCs w:val="20"/>
              </w:rPr>
              <w:t>Pamatsumma perioda sākumā</w:t>
            </w:r>
          </w:p>
        </w:tc>
        <w:tc>
          <w:tcPr>
            <w:tcW w:w="1522" w:type="dxa"/>
            <w:tcBorders>
              <w:top w:val="single" w:sz="4" w:space="0" w:color="auto"/>
            </w:tcBorders>
            <w:vAlign w:val="center"/>
          </w:tcPr>
          <w:p w:rsidR="00506AA9" w:rsidRPr="00902321" w:rsidRDefault="00506AA9" w:rsidP="00902321">
            <w:pPr>
              <w:jc w:val="center"/>
              <w:rPr>
                <w:rFonts w:ascii="Times New Roman" w:eastAsia="Arial" w:hAnsi="Times New Roman" w:cs="Arial"/>
                <w:noProof/>
                <w:sz w:val="20"/>
                <w:szCs w:val="20"/>
              </w:rPr>
            </w:pPr>
            <w:r w:rsidRPr="00902321">
              <w:rPr>
                <w:rFonts w:ascii="Times New Roman" w:hAnsi="Times New Roman"/>
                <w:noProof/>
                <w:sz w:val="20"/>
                <w:szCs w:val="20"/>
              </w:rPr>
              <w:t>Perioda procenti</w:t>
            </w:r>
          </w:p>
        </w:tc>
        <w:tc>
          <w:tcPr>
            <w:tcW w:w="1703" w:type="dxa"/>
            <w:tcBorders>
              <w:top w:val="single" w:sz="4" w:space="0" w:color="auto"/>
            </w:tcBorders>
            <w:vAlign w:val="center"/>
          </w:tcPr>
          <w:p w:rsidR="00506AA9" w:rsidRPr="00902321" w:rsidRDefault="00506AA9" w:rsidP="00902321">
            <w:pPr>
              <w:jc w:val="center"/>
              <w:rPr>
                <w:rFonts w:ascii="Times New Roman" w:eastAsia="Arial" w:hAnsi="Times New Roman" w:cs="Arial"/>
                <w:noProof/>
                <w:sz w:val="20"/>
                <w:szCs w:val="20"/>
              </w:rPr>
            </w:pPr>
            <w:r w:rsidRPr="00902321">
              <w:rPr>
                <w:rFonts w:ascii="Times New Roman" w:hAnsi="Times New Roman"/>
                <w:noProof/>
                <w:sz w:val="20"/>
                <w:szCs w:val="20"/>
              </w:rPr>
              <w:t>Amortizācijas periods</w:t>
            </w:r>
          </w:p>
        </w:tc>
        <w:tc>
          <w:tcPr>
            <w:tcW w:w="1620" w:type="dxa"/>
            <w:tcBorders>
              <w:top w:val="single" w:sz="4" w:space="0" w:color="auto"/>
            </w:tcBorders>
            <w:vAlign w:val="center"/>
          </w:tcPr>
          <w:p w:rsidR="00506AA9" w:rsidRPr="00902321" w:rsidRDefault="00506AA9" w:rsidP="00902321">
            <w:pPr>
              <w:jc w:val="center"/>
              <w:rPr>
                <w:rFonts w:ascii="Times New Roman" w:eastAsia="Arial" w:hAnsi="Times New Roman" w:cs="Arial"/>
                <w:noProof/>
                <w:sz w:val="20"/>
                <w:szCs w:val="20"/>
              </w:rPr>
            </w:pPr>
            <w:r w:rsidRPr="00902321">
              <w:rPr>
                <w:rFonts w:ascii="Times New Roman" w:hAnsi="Times New Roman"/>
                <w:noProof/>
                <w:sz w:val="20"/>
                <w:szCs w:val="20"/>
              </w:rPr>
              <w:t>Gada maksa (kopējais gada maksājums)</w:t>
            </w:r>
          </w:p>
        </w:tc>
        <w:tc>
          <w:tcPr>
            <w:tcW w:w="551" w:type="dxa"/>
            <w:tcBorders>
              <w:top w:val="nil"/>
              <w:bottom w:val="nil"/>
            </w:tcBorders>
          </w:tcPr>
          <w:p w:rsidR="00506AA9" w:rsidRDefault="00506AA9" w:rsidP="005A7579">
            <w:pPr>
              <w:jc w:val="both"/>
              <w:rPr>
                <w:rFonts w:ascii="Times New Roman" w:eastAsia="Arial" w:hAnsi="Times New Roman" w:cs="Arial"/>
                <w:noProof/>
                <w:sz w:val="24"/>
                <w:szCs w:val="16"/>
              </w:rPr>
            </w:pPr>
          </w:p>
        </w:tc>
      </w:tr>
      <w:tr w:rsidR="00506AA9" w:rsidTr="00902321">
        <w:tc>
          <w:tcPr>
            <w:tcW w:w="421" w:type="dxa"/>
            <w:tcBorders>
              <w:top w:val="nil"/>
              <w:bottom w:val="nil"/>
            </w:tcBorders>
          </w:tcPr>
          <w:p w:rsidR="00506AA9" w:rsidRDefault="00506AA9" w:rsidP="005A7579">
            <w:pPr>
              <w:jc w:val="both"/>
              <w:rPr>
                <w:rFonts w:ascii="Times New Roman" w:eastAsia="Arial" w:hAnsi="Times New Roman" w:cs="Arial"/>
                <w:noProof/>
                <w:sz w:val="24"/>
                <w:szCs w:val="16"/>
              </w:rPr>
            </w:pPr>
          </w:p>
        </w:tc>
        <w:tc>
          <w:tcPr>
            <w:tcW w:w="1475" w:type="dxa"/>
            <w:tcBorders>
              <w:bottom w:val="single" w:sz="4" w:space="0" w:color="auto"/>
            </w:tcBorders>
          </w:tcPr>
          <w:p w:rsidR="00506AA9" w:rsidRDefault="00506AA9" w:rsidP="00902321">
            <w:pPr>
              <w:jc w:val="center"/>
              <w:rPr>
                <w:rFonts w:ascii="Times New Roman" w:hAnsi="Times New Roman"/>
                <w:noProof/>
                <w:sz w:val="24"/>
              </w:rPr>
            </w:pPr>
            <w:r>
              <w:rPr>
                <w:rFonts w:ascii="Times New Roman" w:hAnsi="Times New Roman"/>
                <w:noProof/>
                <w:sz w:val="24"/>
              </w:rPr>
              <w:t>1</w:t>
            </w:r>
          </w:p>
          <w:p w:rsidR="00902321" w:rsidRDefault="00902321" w:rsidP="00902321">
            <w:pPr>
              <w:jc w:val="center"/>
              <w:rPr>
                <w:rFonts w:ascii="Times New Roman" w:eastAsia="Arial" w:hAnsi="Times New Roman" w:cs="Arial"/>
                <w:noProof/>
                <w:sz w:val="24"/>
                <w:szCs w:val="16"/>
              </w:rPr>
            </w:pPr>
            <w:r>
              <w:rPr>
                <w:rFonts w:ascii="Times New Roman" w:hAnsi="Times New Roman"/>
                <w:noProof/>
                <w:sz w:val="24"/>
              </w:rPr>
              <w:t>…</w:t>
            </w:r>
          </w:p>
          <w:p w:rsidR="00506AA9" w:rsidRDefault="00902321" w:rsidP="00902321">
            <w:pPr>
              <w:jc w:val="center"/>
              <w:rPr>
                <w:rFonts w:ascii="Times New Roman" w:hAnsi="Times New Roman"/>
                <w:i/>
                <w:noProof/>
                <w:sz w:val="24"/>
              </w:rPr>
            </w:pPr>
            <w:r>
              <w:rPr>
                <w:rFonts w:ascii="Times New Roman" w:hAnsi="Times New Roman"/>
                <w:i/>
                <w:noProof/>
                <w:sz w:val="24"/>
              </w:rPr>
              <w:t>P</w:t>
            </w:r>
          </w:p>
          <w:p w:rsidR="00902321" w:rsidRPr="00663A64" w:rsidRDefault="00902321" w:rsidP="00902321">
            <w:pPr>
              <w:jc w:val="center"/>
              <w:rPr>
                <w:rFonts w:ascii="Times New Roman" w:eastAsia="Arial" w:hAnsi="Times New Roman" w:cs="Arial"/>
                <w:i/>
                <w:noProof/>
                <w:sz w:val="24"/>
                <w:szCs w:val="16"/>
              </w:rPr>
            </w:pPr>
            <w:r>
              <w:rPr>
                <w:rFonts w:ascii="Times New Roman" w:hAnsi="Times New Roman"/>
                <w:i/>
                <w:noProof/>
                <w:sz w:val="24"/>
              </w:rPr>
              <w:t>…</w:t>
            </w:r>
          </w:p>
          <w:p w:rsidR="00506AA9" w:rsidRDefault="00506AA9" w:rsidP="00902321">
            <w:pPr>
              <w:jc w:val="center"/>
              <w:rPr>
                <w:rFonts w:ascii="Times New Roman" w:eastAsia="Arial" w:hAnsi="Times New Roman" w:cs="Arial"/>
                <w:noProof/>
                <w:sz w:val="24"/>
                <w:szCs w:val="16"/>
              </w:rPr>
            </w:pPr>
            <w:r>
              <w:rPr>
                <w:rFonts w:ascii="Times New Roman" w:hAnsi="Times New Roman"/>
                <w:i/>
                <w:noProof/>
                <w:sz w:val="24"/>
              </w:rPr>
              <w:t>n</w:t>
            </w:r>
          </w:p>
        </w:tc>
        <w:tc>
          <w:tcPr>
            <w:tcW w:w="1769" w:type="dxa"/>
            <w:tcBorders>
              <w:bottom w:val="single" w:sz="4" w:space="0" w:color="auto"/>
            </w:tcBorders>
          </w:tcPr>
          <w:p w:rsidR="00506AA9" w:rsidRDefault="00506AA9" w:rsidP="00902321">
            <w:pPr>
              <w:jc w:val="center"/>
              <w:rPr>
                <w:rFonts w:ascii="Times New Roman" w:hAnsi="Times New Roman"/>
                <w:noProof/>
                <w:sz w:val="24"/>
                <w:vertAlign w:val="subscript"/>
              </w:rPr>
            </w:pPr>
            <w:r>
              <w:rPr>
                <w:rFonts w:ascii="Times New Roman" w:hAnsi="Times New Roman"/>
                <w:noProof/>
                <w:sz w:val="24"/>
              </w:rPr>
              <w:t>V</w:t>
            </w:r>
            <w:r>
              <w:rPr>
                <w:rFonts w:ascii="Times New Roman" w:hAnsi="Times New Roman"/>
                <w:noProof/>
                <w:sz w:val="24"/>
                <w:vertAlign w:val="subscript"/>
              </w:rPr>
              <w:t>0</w:t>
            </w:r>
          </w:p>
          <w:p w:rsidR="00902321" w:rsidRDefault="00902321" w:rsidP="00902321">
            <w:pPr>
              <w:jc w:val="center"/>
              <w:rPr>
                <w:rFonts w:ascii="Times New Roman" w:eastAsia="Arial" w:hAnsi="Times New Roman" w:cs="Arial"/>
                <w:noProof/>
                <w:sz w:val="24"/>
                <w:szCs w:val="16"/>
              </w:rPr>
            </w:pPr>
            <w:r>
              <w:rPr>
                <w:rFonts w:ascii="Times New Roman" w:hAnsi="Times New Roman"/>
                <w:noProof/>
                <w:sz w:val="24"/>
                <w:vertAlign w:val="subscript"/>
              </w:rPr>
              <w:t>…</w:t>
            </w:r>
          </w:p>
          <w:p w:rsidR="00506AA9" w:rsidRPr="00663A64" w:rsidRDefault="00506AA9" w:rsidP="00902321">
            <w:pPr>
              <w:jc w:val="center"/>
              <w:rPr>
                <w:rFonts w:ascii="Times New Roman" w:eastAsia="Arial" w:hAnsi="Times New Roman" w:cs="Arial"/>
                <w:noProof/>
                <w:sz w:val="24"/>
                <w:szCs w:val="16"/>
                <w:vertAlign w:val="subscript"/>
              </w:rPr>
            </w:pPr>
            <w:r>
              <w:rPr>
                <w:rFonts w:ascii="Times New Roman" w:hAnsi="Times New Roman"/>
                <w:i/>
                <w:noProof/>
                <w:sz w:val="24"/>
              </w:rPr>
              <w:t>V</w:t>
            </w:r>
            <w:r>
              <w:rPr>
                <w:rFonts w:ascii="Times New Roman" w:hAnsi="Times New Roman"/>
                <w:i/>
                <w:noProof/>
                <w:sz w:val="24"/>
                <w:vertAlign w:val="subscript"/>
              </w:rPr>
              <w:t>p</w:t>
            </w:r>
            <w:r>
              <w:rPr>
                <w:rFonts w:ascii="Times New Roman" w:hAnsi="Times New Roman"/>
                <w:noProof/>
                <w:sz w:val="24"/>
                <w:vertAlign w:val="subscript"/>
              </w:rPr>
              <w:t>-1</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Default="00506AA9" w:rsidP="00902321">
            <w:pPr>
              <w:jc w:val="center"/>
              <w:rPr>
                <w:rFonts w:ascii="Times New Roman" w:eastAsia="Arial" w:hAnsi="Times New Roman" w:cs="Arial"/>
                <w:noProof/>
                <w:sz w:val="24"/>
                <w:szCs w:val="16"/>
              </w:rPr>
            </w:pPr>
            <w:r>
              <w:rPr>
                <w:rFonts w:ascii="Times New Roman" w:hAnsi="Times New Roman"/>
                <w:i/>
                <w:noProof/>
                <w:sz w:val="24"/>
              </w:rPr>
              <w:t>V</w:t>
            </w:r>
            <w:r>
              <w:rPr>
                <w:rFonts w:ascii="Times New Roman" w:hAnsi="Times New Roman"/>
                <w:i/>
                <w:noProof/>
                <w:sz w:val="24"/>
                <w:vertAlign w:val="subscript"/>
              </w:rPr>
              <w:t>n</w:t>
            </w:r>
            <w:r>
              <w:rPr>
                <w:rFonts w:ascii="Times New Roman" w:hAnsi="Times New Roman"/>
                <w:noProof/>
                <w:sz w:val="24"/>
                <w:vertAlign w:val="subscript"/>
              </w:rPr>
              <w:t>-1</w:t>
            </w:r>
          </w:p>
        </w:tc>
        <w:tc>
          <w:tcPr>
            <w:tcW w:w="1522" w:type="dxa"/>
            <w:tcBorders>
              <w:bottom w:val="single" w:sz="4" w:space="0" w:color="auto"/>
            </w:tcBorders>
          </w:tcPr>
          <w:p w:rsidR="00506AA9" w:rsidRDefault="00506AA9" w:rsidP="00902321">
            <w:pPr>
              <w:jc w:val="center"/>
              <w:rPr>
                <w:rFonts w:ascii="Times New Roman" w:eastAsia="Arial" w:hAnsi="Times New Roman" w:cs="Arial"/>
                <w:noProof/>
                <w:sz w:val="24"/>
                <w:szCs w:val="16"/>
                <w:vertAlign w:val="subscript"/>
              </w:rPr>
            </w:pPr>
            <w:r>
              <w:rPr>
                <w:rFonts w:ascii="Times New Roman" w:hAnsi="Times New Roman"/>
                <w:i/>
                <w:noProof/>
                <w:sz w:val="24"/>
              </w:rPr>
              <w:t>F</w:t>
            </w:r>
            <w:r>
              <w:rPr>
                <w:rFonts w:ascii="Times New Roman" w:hAnsi="Times New Roman"/>
                <w:noProof/>
                <w:sz w:val="24"/>
                <w:vertAlign w:val="subscript"/>
              </w:rPr>
              <w:t>1</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Pr="00663A64" w:rsidRDefault="00506AA9" w:rsidP="00902321">
            <w:pPr>
              <w:jc w:val="center"/>
              <w:rPr>
                <w:rFonts w:ascii="Times New Roman" w:eastAsia="Arial" w:hAnsi="Times New Roman" w:cs="Arial"/>
                <w:i/>
                <w:noProof/>
                <w:sz w:val="24"/>
                <w:szCs w:val="16"/>
              </w:rPr>
            </w:pPr>
            <w:r>
              <w:rPr>
                <w:rFonts w:ascii="Times New Roman" w:hAnsi="Times New Roman"/>
                <w:i/>
                <w:noProof/>
                <w:sz w:val="24"/>
              </w:rPr>
              <w:t>F</w:t>
            </w:r>
            <w:r>
              <w:rPr>
                <w:rFonts w:ascii="Times New Roman" w:hAnsi="Times New Roman"/>
                <w:i/>
                <w:noProof/>
                <w:sz w:val="24"/>
                <w:vertAlign w:val="subscript"/>
              </w:rPr>
              <w:t>p</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Pr="00663A64" w:rsidRDefault="00506AA9" w:rsidP="00902321">
            <w:pPr>
              <w:jc w:val="center"/>
              <w:rPr>
                <w:rFonts w:ascii="Times New Roman" w:eastAsia="Arial" w:hAnsi="Times New Roman" w:cs="Arial"/>
                <w:noProof/>
                <w:sz w:val="24"/>
                <w:szCs w:val="16"/>
              </w:rPr>
            </w:pPr>
            <w:r>
              <w:rPr>
                <w:rFonts w:ascii="Times New Roman" w:hAnsi="Times New Roman"/>
                <w:i/>
                <w:noProof/>
                <w:sz w:val="24"/>
              </w:rPr>
              <w:t>F</w:t>
            </w:r>
            <w:r>
              <w:rPr>
                <w:rFonts w:ascii="Times New Roman" w:hAnsi="Times New Roman"/>
                <w:i/>
                <w:noProof/>
                <w:sz w:val="24"/>
                <w:vertAlign w:val="subscript"/>
              </w:rPr>
              <w:t>n</w:t>
            </w:r>
          </w:p>
        </w:tc>
        <w:tc>
          <w:tcPr>
            <w:tcW w:w="1703" w:type="dxa"/>
            <w:tcBorders>
              <w:bottom w:val="single" w:sz="4" w:space="0" w:color="auto"/>
            </w:tcBorders>
          </w:tcPr>
          <w:p w:rsidR="00506AA9" w:rsidRDefault="00506AA9" w:rsidP="00902321">
            <w:pPr>
              <w:jc w:val="center"/>
              <w:rPr>
                <w:rFonts w:ascii="Times New Roman" w:eastAsia="Arial" w:hAnsi="Times New Roman" w:cs="Arial"/>
                <w:noProof/>
                <w:sz w:val="24"/>
                <w:szCs w:val="16"/>
              </w:rPr>
            </w:pPr>
            <w:r>
              <w:rPr>
                <w:rFonts w:ascii="Times New Roman" w:hAnsi="Times New Roman"/>
                <w:noProof/>
                <w:sz w:val="24"/>
              </w:rPr>
              <w:t>D</w:t>
            </w:r>
            <w:r>
              <w:rPr>
                <w:rFonts w:ascii="Times New Roman" w:hAnsi="Times New Roman"/>
                <w:noProof/>
                <w:sz w:val="24"/>
                <w:vertAlign w:val="subscript"/>
              </w:rPr>
              <w:t>1</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Pr="00663A64" w:rsidRDefault="00506AA9" w:rsidP="00902321">
            <w:pPr>
              <w:jc w:val="center"/>
              <w:rPr>
                <w:rFonts w:ascii="Times New Roman" w:eastAsia="Arial" w:hAnsi="Times New Roman" w:cs="Arial"/>
                <w:i/>
                <w:noProof/>
                <w:sz w:val="24"/>
                <w:szCs w:val="16"/>
              </w:rPr>
            </w:pPr>
            <w:r>
              <w:rPr>
                <w:rFonts w:ascii="Times New Roman" w:hAnsi="Times New Roman"/>
                <w:i/>
                <w:noProof/>
                <w:sz w:val="24"/>
              </w:rPr>
              <w:t>D</w:t>
            </w:r>
            <w:r>
              <w:rPr>
                <w:rFonts w:ascii="Times New Roman" w:hAnsi="Times New Roman"/>
                <w:i/>
                <w:noProof/>
                <w:sz w:val="24"/>
                <w:vertAlign w:val="subscript"/>
              </w:rPr>
              <w:t>p</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Default="00506AA9" w:rsidP="00902321">
            <w:pPr>
              <w:jc w:val="center"/>
              <w:rPr>
                <w:rFonts w:ascii="Times New Roman" w:eastAsia="Arial" w:hAnsi="Times New Roman" w:cs="Arial"/>
                <w:noProof/>
                <w:sz w:val="24"/>
                <w:szCs w:val="16"/>
              </w:rPr>
            </w:pPr>
            <w:r>
              <w:rPr>
                <w:rFonts w:ascii="Times New Roman" w:hAnsi="Times New Roman"/>
                <w:i/>
                <w:noProof/>
                <w:sz w:val="24"/>
              </w:rPr>
              <w:t>D</w:t>
            </w:r>
            <w:r>
              <w:rPr>
                <w:rFonts w:ascii="Times New Roman" w:hAnsi="Times New Roman"/>
                <w:i/>
                <w:noProof/>
                <w:sz w:val="24"/>
                <w:vertAlign w:val="subscript"/>
              </w:rPr>
              <w:t>n</w:t>
            </w:r>
          </w:p>
        </w:tc>
        <w:tc>
          <w:tcPr>
            <w:tcW w:w="1620" w:type="dxa"/>
            <w:tcBorders>
              <w:bottom w:val="single" w:sz="4" w:space="0" w:color="auto"/>
            </w:tcBorders>
          </w:tcPr>
          <w:p w:rsidR="00506AA9" w:rsidRDefault="00506AA9" w:rsidP="00902321">
            <w:pPr>
              <w:jc w:val="center"/>
              <w:rPr>
                <w:rFonts w:ascii="Times New Roman" w:eastAsia="Arial" w:hAnsi="Times New Roman" w:cs="Arial"/>
                <w:noProof/>
                <w:sz w:val="24"/>
                <w:szCs w:val="16"/>
              </w:rPr>
            </w:pPr>
            <w:r>
              <w:rPr>
                <w:rFonts w:ascii="Times New Roman" w:hAnsi="Times New Roman"/>
                <w:noProof/>
                <w:sz w:val="24"/>
              </w:rPr>
              <w:t>A</w:t>
            </w:r>
            <w:r>
              <w:rPr>
                <w:rFonts w:ascii="Times New Roman" w:hAnsi="Times New Roman"/>
                <w:noProof/>
                <w:sz w:val="24"/>
                <w:vertAlign w:val="subscript"/>
              </w:rPr>
              <w:t>1</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Pr="00663A64" w:rsidRDefault="00506AA9" w:rsidP="00902321">
            <w:pPr>
              <w:jc w:val="center"/>
              <w:rPr>
                <w:rFonts w:ascii="Times New Roman" w:eastAsia="Arial" w:hAnsi="Times New Roman" w:cs="Arial"/>
                <w:i/>
                <w:noProof/>
                <w:sz w:val="24"/>
                <w:szCs w:val="16"/>
              </w:rPr>
            </w:pPr>
            <w:r>
              <w:rPr>
                <w:rFonts w:ascii="Times New Roman" w:hAnsi="Times New Roman"/>
                <w:i/>
                <w:noProof/>
                <w:sz w:val="24"/>
              </w:rPr>
              <w:t>A</w:t>
            </w:r>
            <w:r>
              <w:rPr>
                <w:rFonts w:ascii="Times New Roman" w:hAnsi="Times New Roman"/>
                <w:i/>
                <w:noProof/>
                <w:sz w:val="24"/>
                <w:vertAlign w:val="subscript"/>
              </w:rPr>
              <w:t>p</w:t>
            </w:r>
          </w:p>
          <w:p w:rsidR="00902321" w:rsidRDefault="00902321" w:rsidP="00902321">
            <w:pPr>
              <w:jc w:val="center"/>
              <w:rPr>
                <w:rFonts w:ascii="Times New Roman" w:hAnsi="Times New Roman"/>
                <w:i/>
                <w:noProof/>
                <w:sz w:val="24"/>
              </w:rPr>
            </w:pPr>
            <w:r>
              <w:rPr>
                <w:rFonts w:ascii="Times New Roman" w:hAnsi="Times New Roman"/>
                <w:i/>
                <w:noProof/>
                <w:sz w:val="24"/>
              </w:rPr>
              <w:t>…</w:t>
            </w:r>
          </w:p>
          <w:p w:rsidR="00506AA9" w:rsidRDefault="00506AA9" w:rsidP="00902321">
            <w:pPr>
              <w:jc w:val="center"/>
              <w:rPr>
                <w:rFonts w:ascii="Times New Roman" w:eastAsia="Arial" w:hAnsi="Times New Roman" w:cs="Arial"/>
                <w:noProof/>
                <w:sz w:val="24"/>
                <w:szCs w:val="16"/>
              </w:rPr>
            </w:pPr>
            <w:r>
              <w:rPr>
                <w:rFonts w:ascii="Times New Roman" w:hAnsi="Times New Roman"/>
                <w:i/>
                <w:noProof/>
                <w:sz w:val="24"/>
              </w:rPr>
              <w:t>A</w:t>
            </w:r>
            <w:r>
              <w:rPr>
                <w:rFonts w:ascii="Times New Roman" w:hAnsi="Times New Roman"/>
                <w:i/>
                <w:noProof/>
                <w:sz w:val="24"/>
                <w:vertAlign w:val="subscript"/>
              </w:rPr>
              <w:t>n</w:t>
            </w:r>
          </w:p>
        </w:tc>
        <w:tc>
          <w:tcPr>
            <w:tcW w:w="551" w:type="dxa"/>
            <w:tcBorders>
              <w:top w:val="nil"/>
              <w:bottom w:val="nil"/>
            </w:tcBorders>
          </w:tcPr>
          <w:p w:rsidR="00506AA9" w:rsidRDefault="00506AA9" w:rsidP="005A7579">
            <w:pPr>
              <w:jc w:val="both"/>
              <w:rPr>
                <w:rFonts w:ascii="Times New Roman" w:eastAsia="Arial" w:hAnsi="Times New Roman" w:cs="Arial"/>
                <w:noProof/>
                <w:sz w:val="24"/>
                <w:szCs w:val="16"/>
              </w:rPr>
            </w:pPr>
          </w:p>
        </w:tc>
      </w:tr>
      <w:tr w:rsidR="00506AA9" w:rsidTr="00902321">
        <w:tc>
          <w:tcPr>
            <w:tcW w:w="9061" w:type="dxa"/>
            <w:gridSpan w:val="7"/>
            <w:tcBorders>
              <w:top w:val="nil"/>
            </w:tcBorders>
          </w:tcPr>
          <w:p w:rsidR="00506AA9" w:rsidRDefault="00506AA9" w:rsidP="005A7579">
            <w:pPr>
              <w:jc w:val="both"/>
              <w:rPr>
                <w:rFonts w:ascii="Times New Roman" w:eastAsia="Arial" w:hAnsi="Times New Roman" w:cs="Arial"/>
                <w:noProof/>
                <w:sz w:val="24"/>
                <w:szCs w:val="16"/>
              </w:rPr>
            </w:pPr>
            <w:r>
              <w:rPr>
                <w:rFonts w:ascii="Times New Roman" w:hAnsi="Times New Roman"/>
                <w:noProof/>
                <w:sz w:val="24"/>
              </w:rPr>
              <w:t xml:space="preserve">Konkrētajā periodā </w:t>
            </w:r>
            <w:r>
              <w:rPr>
                <w:rFonts w:ascii="Times New Roman" w:hAnsi="Times New Roman"/>
                <w:i/>
                <w:noProof/>
                <w:sz w:val="24"/>
              </w:rPr>
              <w:t>p</w:t>
            </w:r>
            <w:r>
              <w:rPr>
                <w:rFonts w:ascii="Times New Roman" w:hAnsi="Times New Roman"/>
                <w:noProof/>
                <w:sz w:val="24"/>
              </w:rPr>
              <w:t xml:space="preserve"> var novērot šādas skaitliskās attiecības:</w:t>
            </w:r>
          </w:p>
          <w:p w:rsidR="00506AA9" w:rsidRDefault="00506AA9" w:rsidP="005A7579">
            <w:pPr>
              <w:jc w:val="both"/>
              <w:rPr>
                <w:rFonts w:ascii="Times New Roman" w:eastAsia="Arial" w:hAnsi="Times New Roman" w:cs="Arial"/>
                <w:noProof/>
                <w:sz w:val="24"/>
                <w:szCs w:val="16"/>
              </w:rPr>
            </w:pPr>
          </w:p>
          <w:p w:rsidR="00506AA9" w:rsidRDefault="00506AA9" w:rsidP="005A7579">
            <w:pPr>
              <w:ind w:left="709"/>
              <w:jc w:val="both"/>
              <w:rPr>
                <w:rFonts w:ascii="Times New Roman" w:eastAsia="Arial" w:hAnsi="Times New Roman" w:cs="Arial"/>
                <w:i/>
                <w:noProof/>
                <w:sz w:val="24"/>
                <w:szCs w:val="16"/>
              </w:rPr>
            </w:pPr>
            <w:r>
              <w:rPr>
                <w:rFonts w:ascii="Times New Roman" w:hAnsi="Times New Roman"/>
                <w:i/>
                <w:noProof/>
                <w:sz w:val="24"/>
              </w:rPr>
              <w:t>A</w:t>
            </w:r>
            <w:r>
              <w:rPr>
                <w:rFonts w:ascii="Times New Roman" w:hAnsi="Times New Roman"/>
                <w:i/>
                <w:noProof/>
                <w:sz w:val="24"/>
                <w:vertAlign w:val="subscript"/>
              </w:rPr>
              <w:t xml:space="preserve">p </w:t>
            </w:r>
            <w:r>
              <w:rPr>
                <w:rFonts w:ascii="Times New Roman" w:hAnsi="Times New Roman"/>
                <w:i/>
                <w:noProof/>
                <w:sz w:val="24"/>
              </w:rPr>
              <w:t>= D</w:t>
            </w:r>
            <w:r>
              <w:rPr>
                <w:rFonts w:ascii="Times New Roman" w:hAnsi="Times New Roman"/>
                <w:i/>
                <w:noProof/>
                <w:sz w:val="24"/>
                <w:vertAlign w:val="subscript"/>
              </w:rPr>
              <w:t>p</w:t>
            </w:r>
            <w:r>
              <w:rPr>
                <w:rFonts w:ascii="Times New Roman" w:hAnsi="Times New Roman"/>
                <w:i/>
                <w:noProof/>
                <w:sz w:val="24"/>
              </w:rPr>
              <w:t xml:space="preserve"> + F</w:t>
            </w:r>
            <w:r>
              <w:rPr>
                <w:rFonts w:ascii="Times New Roman" w:hAnsi="Times New Roman"/>
                <w:i/>
                <w:noProof/>
                <w:sz w:val="24"/>
                <w:vertAlign w:val="subscript"/>
              </w:rPr>
              <w:t>p</w:t>
            </w:r>
          </w:p>
          <w:p w:rsidR="00506AA9" w:rsidRPr="00663A64" w:rsidRDefault="00506AA9" w:rsidP="005A7579">
            <w:pPr>
              <w:ind w:left="709"/>
              <w:jc w:val="both"/>
              <w:rPr>
                <w:rFonts w:ascii="Times New Roman" w:eastAsia="Arial" w:hAnsi="Times New Roman" w:cs="Arial"/>
                <w:noProof/>
                <w:sz w:val="24"/>
                <w:szCs w:val="16"/>
                <w:vertAlign w:val="subscript"/>
              </w:rPr>
            </w:pPr>
            <w:r>
              <w:rPr>
                <w:rFonts w:ascii="Times New Roman" w:hAnsi="Times New Roman"/>
                <w:i/>
                <w:noProof/>
                <w:sz w:val="24"/>
              </w:rPr>
              <w:t>F</w:t>
            </w:r>
            <w:r>
              <w:rPr>
                <w:rFonts w:ascii="Times New Roman" w:hAnsi="Times New Roman"/>
                <w:i/>
                <w:noProof/>
                <w:sz w:val="24"/>
                <w:vertAlign w:val="subscript"/>
              </w:rPr>
              <w:t>p</w:t>
            </w:r>
            <w:r>
              <w:rPr>
                <w:rFonts w:ascii="Times New Roman" w:hAnsi="Times New Roman"/>
                <w:i/>
                <w:noProof/>
                <w:sz w:val="24"/>
              </w:rPr>
              <w:t xml:space="preserve"> = r V</w:t>
            </w:r>
            <w:r>
              <w:rPr>
                <w:rFonts w:ascii="Times New Roman" w:hAnsi="Times New Roman"/>
                <w:i/>
                <w:noProof/>
                <w:sz w:val="24"/>
                <w:vertAlign w:val="subscript"/>
              </w:rPr>
              <w:t>p-1</w:t>
            </w:r>
          </w:p>
          <w:p w:rsidR="00506AA9" w:rsidRDefault="00506AA9" w:rsidP="005A7579">
            <w:pPr>
              <w:ind w:left="709"/>
              <w:jc w:val="both"/>
              <w:rPr>
                <w:rFonts w:ascii="Times New Roman" w:eastAsia="Arial" w:hAnsi="Times New Roman" w:cs="Arial"/>
                <w:i/>
                <w:noProof/>
                <w:sz w:val="24"/>
                <w:szCs w:val="16"/>
                <w:vertAlign w:val="subscript"/>
              </w:rPr>
            </w:pPr>
            <w:r>
              <w:rPr>
                <w:rFonts w:ascii="Times New Roman" w:hAnsi="Times New Roman"/>
                <w:i/>
                <w:noProof/>
                <w:sz w:val="24"/>
              </w:rPr>
              <w:t>D</w:t>
            </w:r>
            <w:r>
              <w:rPr>
                <w:rFonts w:ascii="Times New Roman" w:hAnsi="Times New Roman"/>
                <w:i/>
                <w:noProof/>
                <w:sz w:val="24"/>
                <w:vertAlign w:val="subscript"/>
              </w:rPr>
              <w:t>p</w:t>
            </w:r>
            <w:r>
              <w:rPr>
                <w:rFonts w:ascii="Times New Roman" w:hAnsi="Times New Roman"/>
                <w:i/>
                <w:noProof/>
                <w:sz w:val="24"/>
              </w:rPr>
              <w:t xml:space="preserve"> = V</w:t>
            </w:r>
            <w:r>
              <w:rPr>
                <w:rFonts w:ascii="Times New Roman" w:hAnsi="Times New Roman"/>
                <w:i/>
                <w:noProof/>
                <w:sz w:val="24"/>
                <w:vertAlign w:val="subscript"/>
              </w:rPr>
              <w:t>p-1</w:t>
            </w:r>
            <w:r>
              <w:rPr>
                <w:rFonts w:ascii="Times New Roman" w:hAnsi="Times New Roman"/>
                <w:i/>
                <w:noProof/>
                <w:sz w:val="24"/>
              </w:rPr>
              <w:t xml:space="preserve"> - V</w:t>
            </w:r>
            <w:r>
              <w:rPr>
                <w:rFonts w:ascii="Times New Roman" w:hAnsi="Times New Roman"/>
                <w:i/>
                <w:noProof/>
                <w:sz w:val="24"/>
                <w:vertAlign w:val="subscript"/>
              </w:rPr>
              <w:t>p</w:t>
            </w:r>
          </w:p>
          <w:p w:rsidR="00506AA9" w:rsidRDefault="00506AA9" w:rsidP="005A7579">
            <w:pPr>
              <w:ind w:left="709"/>
              <w:jc w:val="both"/>
              <w:rPr>
                <w:rFonts w:ascii="Times New Roman" w:eastAsia="Arial" w:hAnsi="Times New Roman" w:cs="Arial"/>
                <w:noProof/>
                <w:sz w:val="24"/>
                <w:szCs w:val="16"/>
              </w:rPr>
            </w:pPr>
            <w:r>
              <w:rPr>
                <w:rFonts w:ascii="Times New Roman" w:hAnsi="Times New Roman"/>
                <w:i/>
                <w:noProof/>
                <w:sz w:val="24"/>
              </w:rPr>
              <w:t>V</w:t>
            </w:r>
            <w:r>
              <w:rPr>
                <w:rFonts w:ascii="Times New Roman" w:hAnsi="Times New Roman"/>
                <w:i/>
                <w:noProof/>
                <w:sz w:val="24"/>
                <w:vertAlign w:val="subscript"/>
              </w:rPr>
              <w:t>n</w:t>
            </w:r>
            <w:r>
              <w:rPr>
                <w:rFonts w:ascii="Times New Roman" w:hAnsi="Times New Roman"/>
                <w:i/>
                <w:noProof/>
                <w:sz w:val="24"/>
              </w:rPr>
              <w:t xml:space="preserve"> = </w:t>
            </w:r>
            <w:r>
              <w:rPr>
                <w:rFonts w:ascii="Times New Roman" w:hAnsi="Times New Roman"/>
                <w:noProof/>
                <w:sz w:val="24"/>
              </w:rPr>
              <w:t>0</w:t>
            </w:r>
          </w:p>
          <w:p w:rsidR="00506AA9" w:rsidRDefault="00506AA9" w:rsidP="005A7579">
            <w:pPr>
              <w:jc w:val="both"/>
              <w:rPr>
                <w:rFonts w:ascii="Times New Roman" w:eastAsia="Arial" w:hAnsi="Times New Roman" w:cs="Arial"/>
                <w:noProof/>
                <w:sz w:val="24"/>
                <w:szCs w:val="16"/>
              </w:rPr>
            </w:pPr>
          </w:p>
          <w:p w:rsidR="00506AA9" w:rsidRDefault="00506AA9" w:rsidP="00506AA9">
            <w:pPr>
              <w:numPr>
                <w:ilvl w:val="0"/>
                <w:numId w:val="121"/>
              </w:numPr>
              <w:tabs>
                <w:tab w:val="left" w:pos="1125"/>
              </w:tabs>
              <w:ind w:left="709" w:hanging="709"/>
              <w:jc w:val="both"/>
              <w:rPr>
                <w:rFonts w:ascii="Times New Roman" w:eastAsia="Arial" w:hAnsi="Times New Roman" w:cs="Arial"/>
                <w:noProof/>
                <w:sz w:val="24"/>
                <w:szCs w:val="16"/>
              </w:rPr>
            </w:pPr>
            <w:r>
              <w:rPr>
                <w:rFonts w:ascii="Times New Roman" w:hAnsi="Times New Roman"/>
                <w:noProof/>
                <w:sz w:val="24"/>
              </w:rPr>
              <w:t>Praksē, piemēram, pastāv trīs galvenie parastu aizdevumu veidi – izņemot indeksētos aizdevumus.</w:t>
            </w:r>
          </w:p>
          <w:p w:rsidR="00506AA9" w:rsidRDefault="00506AA9" w:rsidP="005A7579">
            <w:pPr>
              <w:jc w:val="both"/>
              <w:rPr>
                <w:rFonts w:ascii="Times New Roman" w:eastAsia="Arial" w:hAnsi="Times New Roman" w:cs="Arial"/>
                <w:noProof/>
                <w:sz w:val="24"/>
                <w:szCs w:val="16"/>
              </w:rPr>
            </w:pPr>
          </w:p>
          <w:p w:rsidR="00506AA9" w:rsidRPr="001973D0" w:rsidRDefault="00506AA9" w:rsidP="005A7579">
            <w:pPr>
              <w:tabs>
                <w:tab w:val="left" w:pos="1777"/>
              </w:tabs>
              <w:ind w:left="709"/>
              <w:jc w:val="both"/>
              <w:rPr>
                <w:rFonts w:ascii="Times New Roman" w:hAnsi="Times New Roman"/>
                <w:noProof/>
                <w:sz w:val="24"/>
              </w:rPr>
            </w:pPr>
            <w:r>
              <w:rPr>
                <w:rFonts w:ascii="Times New Roman" w:hAnsi="Times New Roman"/>
                <w:noProof/>
                <w:sz w:val="24"/>
              </w:rPr>
              <w:t>a) Aizdevumi ar beigu atmaksu:</w:t>
            </w:r>
          </w:p>
          <w:p w:rsidR="00506AA9" w:rsidRDefault="00506AA9" w:rsidP="005A7579">
            <w:pPr>
              <w:ind w:left="709"/>
              <w:jc w:val="both"/>
              <w:rPr>
                <w:rFonts w:ascii="Times New Roman" w:eastAsia="Arial" w:hAnsi="Times New Roman" w:cs="Arial"/>
                <w:noProof/>
                <w:sz w:val="24"/>
                <w:szCs w:val="16"/>
              </w:rPr>
            </w:pPr>
          </w:p>
          <w:p w:rsidR="00506AA9" w:rsidRPr="00D91E22" w:rsidRDefault="00506AA9" w:rsidP="005A7579">
            <w:pPr>
              <w:ind w:left="709"/>
              <w:jc w:val="both"/>
              <w:rPr>
                <w:rFonts w:ascii="Times New Roman" w:eastAsia="Arial" w:hAnsi="Times New Roman" w:cs="Arial"/>
                <w:noProof/>
                <w:sz w:val="24"/>
                <w:szCs w:val="16"/>
              </w:rPr>
            </w:pPr>
            <w:r>
              <w:rPr>
                <w:rFonts w:ascii="Times New Roman" w:hAnsi="Times New Roman"/>
                <w:i/>
                <w:noProof/>
                <w:sz w:val="24"/>
              </w:rPr>
              <w:t>D</w:t>
            </w:r>
            <w:r>
              <w:rPr>
                <w:rFonts w:ascii="Times New Roman" w:hAnsi="Times New Roman"/>
                <w:i/>
                <w:noProof/>
                <w:sz w:val="24"/>
                <w:vertAlign w:val="subscript"/>
              </w:rPr>
              <w:t>p</w:t>
            </w:r>
            <w:r>
              <w:rPr>
                <w:rFonts w:ascii="Times New Roman" w:hAnsi="Times New Roman"/>
                <w:i/>
                <w:noProof/>
                <w:sz w:val="24"/>
              </w:rPr>
              <w:t xml:space="preserve"> = </w:t>
            </w:r>
            <w:r>
              <w:rPr>
                <w:rFonts w:ascii="Times New Roman" w:hAnsi="Times New Roman"/>
                <w:noProof/>
                <w:sz w:val="24"/>
              </w:rPr>
              <w:t xml:space="preserve">0, </w:t>
            </w:r>
            <w:r>
              <w:rPr>
                <w:rFonts w:ascii="Times New Roman" w:eastAsia="Arial" w:hAnsi="Times New Roman" w:cs="Arial"/>
                <w:noProof/>
                <w:sz w:val="24"/>
                <w:szCs w:val="16"/>
              </w:rPr>
              <w:sym w:font="Symbol" w:char="F022"/>
            </w:r>
            <w:r>
              <w:rPr>
                <w:rFonts w:ascii="Times New Roman" w:hAnsi="Times New Roman"/>
                <w:i/>
                <w:noProof/>
                <w:sz w:val="24"/>
              </w:rPr>
              <w:t xml:space="preserve">p </w:t>
            </w:r>
            <w:r>
              <w:rPr>
                <w:rFonts w:ascii="Times New Roman" w:eastAsia="Arial" w:hAnsi="Times New Roman" w:cs="Arial"/>
                <w:noProof/>
                <w:sz w:val="24"/>
                <w:szCs w:val="16"/>
              </w:rPr>
              <w:sym w:font="Symbol" w:char="F0B9"/>
            </w:r>
            <w:r>
              <w:rPr>
                <w:rFonts w:ascii="Times New Roman" w:hAnsi="Times New Roman"/>
                <w:noProof/>
                <w:sz w:val="24"/>
              </w:rPr>
              <w:t xml:space="preserve"> </w:t>
            </w:r>
            <w:r>
              <w:rPr>
                <w:rFonts w:ascii="Times New Roman" w:hAnsi="Times New Roman"/>
                <w:i/>
                <w:noProof/>
                <w:sz w:val="24"/>
              </w:rPr>
              <w:t>n</w:t>
            </w:r>
          </w:p>
          <w:p w:rsidR="00506AA9" w:rsidRDefault="00506AA9" w:rsidP="005A7579">
            <w:pPr>
              <w:ind w:left="709"/>
              <w:jc w:val="both"/>
              <w:rPr>
                <w:rFonts w:ascii="Times New Roman" w:eastAsia="Arial" w:hAnsi="Times New Roman" w:cs="Arial"/>
                <w:noProof/>
                <w:sz w:val="24"/>
                <w:szCs w:val="16"/>
              </w:rPr>
            </w:pPr>
            <w:r>
              <w:rPr>
                <w:rFonts w:ascii="Times New Roman" w:hAnsi="Times New Roman"/>
                <w:i/>
                <w:noProof/>
                <w:sz w:val="24"/>
              </w:rPr>
              <w:t>D</w:t>
            </w:r>
            <w:r>
              <w:rPr>
                <w:rFonts w:ascii="Times New Roman" w:hAnsi="Times New Roman"/>
                <w:i/>
                <w:noProof/>
                <w:sz w:val="24"/>
                <w:vertAlign w:val="subscript"/>
              </w:rPr>
              <w:t xml:space="preserve">n </w:t>
            </w:r>
            <w:r>
              <w:rPr>
                <w:rFonts w:ascii="Times New Roman" w:hAnsi="Times New Roman"/>
                <w:i/>
                <w:noProof/>
                <w:sz w:val="24"/>
              </w:rPr>
              <w:t xml:space="preserve">= </w:t>
            </w:r>
            <w:r>
              <w:rPr>
                <w:rFonts w:ascii="Times New Roman" w:hAnsi="Times New Roman"/>
                <w:noProof/>
                <w:sz w:val="24"/>
              </w:rPr>
              <w:t>V</w:t>
            </w:r>
            <w:r>
              <w:rPr>
                <w:rFonts w:ascii="Times New Roman" w:hAnsi="Times New Roman"/>
                <w:noProof/>
                <w:sz w:val="24"/>
                <w:vertAlign w:val="subscript"/>
              </w:rPr>
              <w:t>0</w:t>
            </w:r>
          </w:p>
          <w:p w:rsidR="00506AA9" w:rsidRPr="00D91E22" w:rsidRDefault="00506AA9" w:rsidP="005A7579">
            <w:pPr>
              <w:ind w:left="709"/>
              <w:jc w:val="both"/>
              <w:rPr>
                <w:rFonts w:ascii="Times New Roman" w:eastAsia="Arial" w:hAnsi="Times New Roman" w:cs="Arial"/>
                <w:noProof/>
                <w:sz w:val="24"/>
                <w:szCs w:val="16"/>
              </w:rPr>
            </w:pPr>
            <w:r>
              <w:rPr>
                <w:rFonts w:ascii="Times New Roman" w:hAnsi="Times New Roman"/>
                <w:i/>
                <w:noProof/>
                <w:sz w:val="24"/>
              </w:rPr>
              <w:t>F</w:t>
            </w:r>
            <w:r>
              <w:rPr>
                <w:rFonts w:ascii="Times New Roman" w:hAnsi="Times New Roman"/>
                <w:i/>
                <w:noProof/>
                <w:sz w:val="24"/>
                <w:vertAlign w:val="subscript"/>
              </w:rPr>
              <w:t>p</w:t>
            </w:r>
            <w:r>
              <w:rPr>
                <w:rFonts w:ascii="Times New Roman" w:hAnsi="Times New Roman"/>
                <w:i/>
                <w:noProof/>
                <w:sz w:val="24"/>
              </w:rPr>
              <w:t xml:space="preserve"> = F </w:t>
            </w:r>
            <w:r>
              <w:rPr>
                <w:rFonts w:ascii="Times New Roman" w:hAnsi="Times New Roman"/>
                <w:noProof/>
                <w:sz w:val="24"/>
              </w:rPr>
              <w:t xml:space="preserve">= </w:t>
            </w:r>
            <w:r>
              <w:rPr>
                <w:rFonts w:ascii="Times New Roman" w:hAnsi="Times New Roman"/>
                <w:i/>
                <w:noProof/>
                <w:sz w:val="24"/>
              </w:rPr>
              <w:t>r</w:t>
            </w:r>
            <w:r>
              <w:rPr>
                <w:rFonts w:ascii="Times New Roman" w:hAnsi="Times New Roman"/>
                <w:noProof/>
                <w:sz w:val="24"/>
              </w:rPr>
              <w:t xml:space="preserve"> V</w:t>
            </w:r>
            <w:r>
              <w:rPr>
                <w:rFonts w:ascii="Times New Roman" w:hAnsi="Times New Roman"/>
                <w:noProof/>
                <w:sz w:val="24"/>
                <w:vertAlign w:val="subscript"/>
              </w:rPr>
              <w:t>0</w:t>
            </w:r>
            <w:r>
              <w:rPr>
                <w:rFonts w:ascii="Times New Roman" w:hAnsi="Times New Roman"/>
                <w:noProof/>
                <w:sz w:val="24"/>
              </w:rPr>
              <w:t xml:space="preserve">, </w:t>
            </w:r>
            <w:r>
              <w:rPr>
                <w:rFonts w:ascii="Times New Roman" w:eastAsia="Arial" w:hAnsi="Times New Roman" w:cs="Arial"/>
                <w:noProof/>
                <w:sz w:val="24"/>
                <w:szCs w:val="16"/>
              </w:rPr>
              <w:sym w:font="Symbol" w:char="F022"/>
            </w:r>
            <w:r>
              <w:rPr>
                <w:rFonts w:ascii="Times New Roman" w:hAnsi="Times New Roman"/>
                <w:i/>
                <w:noProof/>
                <w:sz w:val="24"/>
              </w:rPr>
              <w:t>p</w:t>
            </w:r>
          </w:p>
          <w:p w:rsidR="00506AA9" w:rsidRDefault="00506AA9" w:rsidP="005A7579">
            <w:pPr>
              <w:ind w:left="709"/>
              <w:jc w:val="both"/>
              <w:rPr>
                <w:rFonts w:ascii="Times New Roman" w:eastAsia="Arial" w:hAnsi="Times New Roman" w:cs="Arial"/>
                <w:noProof/>
                <w:sz w:val="24"/>
                <w:szCs w:val="16"/>
              </w:rPr>
            </w:pPr>
          </w:p>
          <w:p w:rsidR="00506AA9" w:rsidRPr="001973D0" w:rsidRDefault="00506AA9" w:rsidP="005A7579">
            <w:pPr>
              <w:tabs>
                <w:tab w:val="left" w:pos="1777"/>
              </w:tabs>
              <w:ind w:left="709"/>
              <w:jc w:val="both"/>
              <w:rPr>
                <w:rFonts w:ascii="Times New Roman" w:hAnsi="Times New Roman"/>
                <w:noProof/>
                <w:sz w:val="24"/>
              </w:rPr>
            </w:pPr>
            <w:r>
              <w:rPr>
                <w:rFonts w:ascii="Times New Roman" w:hAnsi="Times New Roman"/>
                <w:noProof/>
                <w:sz w:val="24"/>
              </w:rPr>
              <w:t>b) Aizdevumi ar nemainīgu amortizāciju:</w:t>
            </w:r>
          </w:p>
          <w:p w:rsidR="00506AA9" w:rsidRDefault="00506AA9" w:rsidP="005A7579">
            <w:pPr>
              <w:tabs>
                <w:tab w:val="left" w:pos="1766"/>
              </w:tabs>
              <w:ind w:left="709"/>
              <w:jc w:val="both"/>
              <w:rPr>
                <w:rFonts w:ascii="Times New Roman" w:hAnsi="Times New Roman"/>
                <w:noProof/>
                <w:sz w:val="24"/>
              </w:rPr>
            </w:pPr>
          </w:p>
          <w:p w:rsidR="00506AA9" w:rsidRPr="00D91E22" w:rsidRDefault="00506AA9" w:rsidP="005A7579">
            <w:pPr>
              <w:tabs>
                <w:tab w:val="left" w:pos="1766"/>
              </w:tabs>
              <w:ind w:left="709"/>
              <w:jc w:val="both"/>
              <w:rPr>
                <w:rFonts w:ascii="Times New Roman" w:hAnsi="Times New Roman"/>
                <w:noProof/>
                <w:sz w:val="24"/>
              </w:rPr>
            </w:pPr>
            <w:r>
              <w:rPr>
                <w:rFonts w:ascii="Times New Roman" w:hAnsi="Times New Roman"/>
                <w:i/>
                <w:noProof/>
                <w:sz w:val="24"/>
              </w:rPr>
              <w:t>D</w:t>
            </w:r>
            <w:r>
              <w:rPr>
                <w:rFonts w:ascii="Times New Roman" w:hAnsi="Times New Roman"/>
                <w:i/>
                <w:noProof/>
                <w:sz w:val="24"/>
                <w:vertAlign w:val="subscript"/>
              </w:rPr>
              <w:t>p</w:t>
            </w:r>
            <w:r>
              <w:rPr>
                <w:rFonts w:ascii="Times New Roman" w:hAnsi="Times New Roman"/>
                <w:i/>
                <w:noProof/>
                <w:sz w:val="24"/>
              </w:rPr>
              <w:t xml:space="preserve"> = D = </w:t>
            </w:r>
            <m:oMath>
              <m:f>
                <m:fPr>
                  <m:ctrlPr>
                    <w:rPr>
                      <w:rFonts w:ascii="Cambria Math" w:eastAsia="Arial" w:hAnsi="Cambria Math" w:cs="Times New Roman"/>
                      <w:i/>
                      <w:noProof/>
                      <w:sz w:val="24"/>
                      <w:szCs w:val="16"/>
                    </w:rPr>
                  </m:ctrlPr>
                </m:fPr>
                <m:num>
                  <m:r>
                    <w:rPr>
                      <w:rFonts w:ascii="Cambria Math" w:eastAsia="Arial" w:hAnsi="Cambria Math" w:cs="Times New Roman"/>
                      <w:noProof/>
                      <w:sz w:val="24"/>
                      <w:szCs w:val="16"/>
                    </w:rPr>
                    <m:t>1</m:t>
                  </m:r>
                </m:num>
                <m:den>
                  <m:r>
                    <w:rPr>
                      <w:rFonts w:ascii="Cambria Math" w:eastAsia="Arial" w:hAnsi="Cambria Math" w:cs="Times New Roman"/>
                      <w:noProof/>
                      <w:sz w:val="24"/>
                      <w:szCs w:val="16"/>
                    </w:rPr>
                    <m:t>n</m:t>
                  </m:r>
                </m:den>
              </m:f>
            </m:oMath>
            <w:r>
              <w:rPr>
                <w:rFonts w:ascii="Times New Roman" w:hAnsi="Times New Roman"/>
                <w:i/>
                <w:noProof/>
                <w:sz w:val="24"/>
              </w:rPr>
              <w:t xml:space="preserve"> </w:t>
            </w:r>
            <w:r>
              <w:rPr>
                <w:rFonts w:ascii="Times New Roman" w:hAnsi="Times New Roman"/>
                <w:noProof/>
                <w:sz w:val="24"/>
              </w:rPr>
              <w:t>V</w:t>
            </w:r>
            <w:r>
              <w:rPr>
                <w:rFonts w:ascii="Times New Roman" w:hAnsi="Times New Roman"/>
                <w:noProof/>
                <w:sz w:val="24"/>
                <w:vertAlign w:val="subscript"/>
              </w:rPr>
              <w:t>0</w:t>
            </w:r>
            <w:r>
              <w:rPr>
                <w:rFonts w:ascii="Times New Roman" w:hAnsi="Times New Roman"/>
                <w:noProof/>
                <w:sz w:val="24"/>
              </w:rPr>
              <w:t xml:space="preserve">, </w:t>
            </w:r>
            <w:r>
              <w:rPr>
                <w:rFonts w:ascii="Times New Roman" w:eastAsia="Arial" w:hAnsi="Times New Roman" w:cs="Arial"/>
                <w:noProof/>
                <w:sz w:val="24"/>
                <w:szCs w:val="16"/>
              </w:rPr>
              <w:sym w:font="Symbol" w:char="F022"/>
            </w:r>
            <w:r>
              <w:rPr>
                <w:rFonts w:ascii="Times New Roman" w:hAnsi="Times New Roman"/>
                <w:i/>
                <w:noProof/>
                <w:sz w:val="24"/>
              </w:rPr>
              <w:t>p</w:t>
            </w:r>
          </w:p>
          <w:p w:rsidR="00506AA9" w:rsidRDefault="00506AA9" w:rsidP="005A7579">
            <w:pPr>
              <w:tabs>
                <w:tab w:val="left" w:pos="1766"/>
              </w:tabs>
              <w:ind w:left="709"/>
              <w:jc w:val="both"/>
              <w:rPr>
                <w:rFonts w:ascii="Times New Roman" w:hAnsi="Times New Roman"/>
                <w:noProof/>
                <w:sz w:val="24"/>
              </w:rPr>
            </w:pPr>
          </w:p>
          <w:p w:rsidR="00506AA9" w:rsidRPr="001973D0" w:rsidRDefault="00506AA9" w:rsidP="005A7579">
            <w:pPr>
              <w:tabs>
                <w:tab w:val="left" w:pos="1766"/>
              </w:tabs>
              <w:ind w:left="709"/>
              <w:jc w:val="both"/>
              <w:rPr>
                <w:rFonts w:ascii="Times New Roman" w:hAnsi="Times New Roman"/>
                <w:noProof/>
                <w:sz w:val="24"/>
              </w:rPr>
            </w:pPr>
            <w:r>
              <w:rPr>
                <w:rFonts w:ascii="Times New Roman" w:hAnsi="Times New Roman"/>
                <w:noProof/>
                <w:sz w:val="24"/>
              </w:rPr>
              <w:t>c) Aizdevumi ar nemainīgu gada maksu:</w:t>
            </w:r>
          </w:p>
          <w:p w:rsidR="00506AA9" w:rsidRDefault="00506AA9" w:rsidP="005A7579">
            <w:pPr>
              <w:ind w:left="709"/>
              <w:jc w:val="both"/>
              <w:rPr>
                <w:rFonts w:ascii="Times New Roman" w:eastAsia="Arial" w:hAnsi="Times New Roman" w:cs="Arial"/>
                <w:noProof/>
                <w:sz w:val="24"/>
                <w:szCs w:val="16"/>
              </w:rPr>
            </w:pPr>
          </w:p>
          <w:p w:rsidR="00506AA9" w:rsidRDefault="00506AA9" w:rsidP="005A7579">
            <w:pPr>
              <w:ind w:left="709"/>
              <w:jc w:val="both"/>
              <w:rPr>
                <w:rFonts w:ascii="Times New Roman" w:eastAsia="Arial" w:hAnsi="Times New Roman" w:cs="Arial"/>
                <w:noProof/>
                <w:sz w:val="24"/>
                <w:szCs w:val="16"/>
              </w:rPr>
            </w:pPr>
            <w:r>
              <w:rPr>
                <w:rFonts w:ascii="Times New Roman" w:hAnsi="Times New Roman"/>
                <w:i/>
                <w:noProof/>
                <w:sz w:val="24"/>
              </w:rPr>
              <w:t>A</w:t>
            </w:r>
            <w:r>
              <w:rPr>
                <w:rFonts w:ascii="Times New Roman" w:hAnsi="Times New Roman"/>
                <w:i/>
                <w:noProof/>
                <w:sz w:val="24"/>
                <w:vertAlign w:val="subscript"/>
              </w:rPr>
              <w:t>p</w:t>
            </w:r>
            <w:r>
              <w:rPr>
                <w:rFonts w:ascii="Times New Roman" w:hAnsi="Times New Roman"/>
                <w:i/>
                <w:noProof/>
                <w:sz w:val="24"/>
              </w:rPr>
              <w:t xml:space="preserve"> = A</w:t>
            </w:r>
            <w:r>
              <w:rPr>
                <w:rFonts w:ascii="Times New Roman" w:hAnsi="Times New Roman"/>
                <w:noProof/>
                <w:sz w:val="24"/>
              </w:rPr>
              <w:t xml:space="preserve">, </w:t>
            </w:r>
            <w:r>
              <w:rPr>
                <w:rFonts w:ascii="Times New Roman" w:eastAsia="Arial" w:hAnsi="Times New Roman" w:cs="Arial"/>
                <w:noProof/>
                <w:sz w:val="24"/>
                <w:szCs w:val="16"/>
              </w:rPr>
              <w:sym w:font="Symbol" w:char="F022"/>
            </w:r>
            <w:r>
              <w:rPr>
                <w:rFonts w:ascii="Times New Roman" w:hAnsi="Times New Roman"/>
                <w:i/>
                <w:noProof/>
                <w:sz w:val="24"/>
              </w:rPr>
              <w:t>p</w:t>
            </w:r>
            <w:r>
              <w:rPr>
                <w:rFonts w:ascii="Times New Roman" w:hAnsi="Times New Roman"/>
                <w:noProof/>
                <w:sz w:val="24"/>
              </w:rPr>
              <w:t xml:space="preserve"> , A aprēķina, izmantojot šādu formulu.</w:t>
            </w:r>
          </w:p>
          <w:p w:rsidR="00506AA9" w:rsidRDefault="00506AA9" w:rsidP="005A7579">
            <w:pPr>
              <w:jc w:val="both"/>
              <w:rPr>
                <w:rFonts w:ascii="Times New Roman" w:eastAsia="Arial" w:hAnsi="Times New Roman" w:cs="Arial"/>
                <w:noProof/>
                <w:sz w:val="24"/>
                <w:szCs w:val="16"/>
              </w:rPr>
            </w:pPr>
          </w:p>
          <w:p w:rsidR="00506AA9" w:rsidRDefault="00506AA9" w:rsidP="005A7579">
            <w:pPr>
              <w:jc w:val="both"/>
              <w:rPr>
                <w:rFonts w:ascii="Times New Roman" w:eastAsia="Arial" w:hAnsi="Times New Roman" w:cs="Arial"/>
                <w:noProof/>
                <w:sz w:val="24"/>
                <w:szCs w:val="16"/>
              </w:rPr>
            </w:pPr>
            <w:r>
              <w:rPr>
                <w:rFonts w:ascii="Times New Roman" w:hAnsi="Times New Roman"/>
                <w:noProof/>
                <w:sz w:val="24"/>
              </w:rPr>
              <w:t>Pamatformulas.</w:t>
            </w:r>
          </w:p>
          <w:p w:rsidR="00506AA9" w:rsidRDefault="00506AA9" w:rsidP="005A7579">
            <w:pPr>
              <w:jc w:val="both"/>
              <w:rPr>
                <w:rFonts w:ascii="Times New Roman" w:eastAsia="Arial" w:hAnsi="Times New Roman" w:cs="Arial"/>
                <w:noProof/>
                <w:sz w:val="24"/>
                <w:szCs w:val="16"/>
              </w:rPr>
            </w:pPr>
          </w:p>
          <w:p w:rsidR="00506AA9" w:rsidRDefault="00506AA9" w:rsidP="00506AA9">
            <w:pPr>
              <w:numPr>
                <w:ilvl w:val="0"/>
                <w:numId w:val="121"/>
              </w:numPr>
              <w:tabs>
                <w:tab w:val="left" w:pos="1125"/>
              </w:tabs>
              <w:ind w:left="709" w:hanging="709"/>
              <w:jc w:val="both"/>
              <w:rPr>
                <w:rFonts w:ascii="Times New Roman" w:eastAsia="Arial" w:hAnsi="Times New Roman" w:cs="Arial"/>
                <w:noProof/>
                <w:sz w:val="24"/>
                <w:szCs w:val="16"/>
              </w:rPr>
            </w:pPr>
            <w:r>
              <w:rPr>
                <w:rFonts w:ascii="Times New Roman" w:hAnsi="Times New Roman"/>
                <w:noProof/>
                <w:sz w:val="24"/>
              </w:rPr>
              <w:t xml:space="preserve">Neatkarīgi no aizdevuma veida dažādos elementus var aprēķināt, izmantojot šādu </w:t>
            </w:r>
            <w:r>
              <w:rPr>
                <w:rFonts w:ascii="Times New Roman" w:hAnsi="Times New Roman"/>
                <w:noProof/>
                <w:sz w:val="24"/>
              </w:rPr>
              <w:lastRenderedPageBreak/>
              <w:t>pamatformulu (</w:t>
            </w:r>
            <w:r>
              <w:rPr>
                <w:rFonts w:ascii="Times New Roman" w:hAnsi="Times New Roman"/>
                <w:i/>
                <w:noProof/>
                <w:sz w:val="24"/>
              </w:rPr>
              <w:t>V</w:t>
            </w:r>
            <w:r>
              <w:rPr>
                <w:rFonts w:ascii="Times New Roman" w:hAnsi="Times New Roman"/>
                <w:i/>
                <w:noProof/>
                <w:sz w:val="24"/>
                <w:vertAlign w:val="subscript"/>
              </w:rPr>
              <w:t>0</w:t>
            </w:r>
            <w:r>
              <w:rPr>
                <w:rFonts w:ascii="Times New Roman" w:hAnsi="Times New Roman"/>
                <w:noProof/>
                <w:sz w:val="24"/>
              </w:rPr>
              <w:t xml:space="preserve">, n, un </w:t>
            </w:r>
            <w:r>
              <w:rPr>
                <w:rFonts w:ascii="Times New Roman" w:hAnsi="Times New Roman"/>
                <w:i/>
                <w:noProof/>
                <w:sz w:val="24"/>
              </w:rPr>
              <w:t>r</w:t>
            </w:r>
            <w:r>
              <w:rPr>
                <w:rFonts w:ascii="Times New Roman" w:hAnsi="Times New Roman"/>
                <w:noProof/>
                <w:sz w:val="24"/>
              </w:rPr>
              <w:t xml:space="preserve"> ir doti).</w:t>
            </w:r>
          </w:p>
          <w:p w:rsidR="00506AA9" w:rsidRDefault="00506AA9" w:rsidP="005A7579">
            <w:pPr>
              <w:jc w:val="both"/>
              <w:rPr>
                <w:rFonts w:ascii="Times New Roman" w:eastAsia="Arial" w:hAnsi="Times New Roman" w:cs="Arial"/>
                <w:noProof/>
                <w:sz w:val="24"/>
                <w:szCs w:val="16"/>
              </w:rPr>
            </w:pPr>
          </w:p>
          <w:p w:rsidR="00506AA9" w:rsidRDefault="00506AA9" w:rsidP="005A7579">
            <w:pPr>
              <w:ind w:left="709"/>
              <w:jc w:val="both"/>
              <w:rPr>
                <w:rFonts w:ascii="Times New Roman" w:eastAsia="Arial" w:hAnsi="Times New Roman" w:cs="Arial"/>
                <w:noProof/>
                <w:sz w:val="24"/>
                <w:szCs w:val="16"/>
              </w:rPr>
            </w:pPr>
            <w:r>
              <w:rPr>
                <w:rFonts w:ascii="Times New Roman" w:eastAsia="Arial" w:hAnsi="Times New Roman" w:cs="Arial"/>
                <w:noProof/>
                <w:sz w:val="24"/>
                <w:szCs w:val="16"/>
                <w:lang w:bidi="ar-SA"/>
              </w:rPr>
              <w:drawing>
                <wp:inline distT="0" distB="0" distL="0" distR="0" wp14:anchorId="089E4B17" wp14:editId="3BB363A2">
                  <wp:extent cx="2415396" cy="522391"/>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47936" cy="529429"/>
                          </a:xfrm>
                          <a:prstGeom prst="rect">
                            <a:avLst/>
                          </a:prstGeom>
                          <a:noFill/>
                          <a:ln>
                            <a:noFill/>
                          </a:ln>
                        </pic:spPr>
                      </pic:pic>
                    </a:graphicData>
                  </a:graphic>
                </wp:inline>
              </w:drawing>
            </w:r>
          </w:p>
          <w:p w:rsidR="00506AA9" w:rsidRDefault="00506AA9" w:rsidP="005A7579">
            <w:pPr>
              <w:jc w:val="both"/>
              <w:rPr>
                <w:rFonts w:ascii="Times New Roman" w:eastAsia="Arial" w:hAnsi="Times New Roman" w:cs="Arial"/>
                <w:noProof/>
                <w:sz w:val="24"/>
                <w:szCs w:val="16"/>
              </w:rPr>
            </w:pPr>
          </w:p>
          <w:p w:rsidR="00506AA9" w:rsidRDefault="00506AA9" w:rsidP="005A7579">
            <w:pPr>
              <w:jc w:val="both"/>
              <w:rPr>
                <w:rFonts w:ascii="Times New Roman" w:eastAsia="Arial" w:hAnsi="Times New Roman" w:cs="Arial"/>
                <w:noProof/>
                <w:sz w:val="24"/>
                <w:szCs w:val="16"/>
              </w:rPr>
            </w:pPr>
            <w:r>
              <w:rPr>
                <w:rFonts w:ascii="Times New Roman" w:hAnsi="Times New Roman"/>
                <w:noProof/>
                <w:sz w:val="24"/>
              </w:rPr>
              <w:t>Tas nozīmē, ka pašreizējā vērtība visām gada maksām (aizdevuma līguma procentu likmi izmantojot kā diskonta likmi) ir vienāda ar aizdoto summu neatkarīgi no tā, kādas ir šīs gada maksas.</w:t>
            </w:r>
          </w:p>
          <w:p w:rsidR="00506AA9" w:rsidRDefault="00506AA9" w:rsidP="005A7579">
            <w:pPr>
              <w:jc w:val="both"/>
              <w:rPr>
                <w:rFonts w:ascii="Times New Roman" w:eastAsia="Arial" w:hAnsi="Times New Roman" w:cs="Arial"/>
                <w:noProof/>
                <w:sz w:val="24"/>
                <w:szCs w:val="16"/>
              </w:rPr>
            </w:pPr>
          </w:p>
          <w:p w:rsidR="00506AA9" w:rsidRDefault="00506AA9" w:rsidP="00506AA9">
            <w:pPr>
              <w:numPr>
                <w:ilvl w:val="0"/>
                <w:numId w:val="121"/>
              </w:numPr>
              <w:tabs>
                <w:tab w:val="left" w:pos="1125"/>
              </w:tabs>
              <w:ind w:left="709" w:hanging="709"/>
              <w:jc w:val="both"/>
              <w:rPr>
                <w:rFonts w:ascii="Times New Roman" w:eastAsia="Arial" w:hAnsi="Times New Roman" w:cs="Arial"/>
                <w:noProof/>
                <w:sz w:val="24"/>
                <w:szCs w:val="16"/>
              </w:rPr>
            </w:pPr>
            <w:r>
              <w:rPr>
                <w:rFonts w:ascii="Times New Roman" w:hAnsi="Times New Roman"/>
                <w:noProof/>
                <w:sz w:val="24"/>
              </w:rPr>
              <w:t xml:space="preserve">Turklāt jebkurā brīdī pamatsummas nenomaksātais apjoms ir vienāds ar atlikušo gada maksu pašreizējo vērtību. Tādējādi pēc tam, kad ir nomaksātas </w:t>
            </w:r>
            <w:r>
              <w:rPr>
                <w:rFonts w:ascii="Times New Roman" w:hAnsi="Times New Roman"/>
                <w:i/>
                <w:noProof/>
                <w:sz w:val="24"/>
              </w:rPr>
              <w:t>p-1</w:t>
            </w:r>
            <w:r>
              <w:rPr>
                <w:rFonts w:ascii="Times New Roman" w:hAnsi="Times New Roman"/>
                <w:noProof/>
                <w:sz w:val="24"/>
              </w:rPr>
              <w:t> gada maksas, spēkā ir šāda formula.</w:t>
            </w:r>
          </w:p>
          <w:p w:rsidR="00506AA9" w:rsidRDefault="00506AA9" w:rsidP="005A7579">
            <w:pPr>
              <w:jc w:val="both"/>
              <w:rPr>
                <w:rFonts w:ascii="Times New Roman" w:eastAsia="Arial" w:hAnsi="Times New Roman" w:cs="Arial"/>
                <w:noProof/>
                <w:sz w:val="24"/>
                <w:szCs w:val="16"/>
              </w:rPr>
            </w:pPr>
          </w:p>
          <w:p w:rsidR="00506AA9" w:rsidRDefault="00506AA9" w:rsidP="005A7579">
            <w:pPr>
              <w:ind w:left="709"/>
              <w:jc w:val="both"/>
              <w:rPr>
                <w:rFonts w:ascii="Times New Roman" w:eastAsia="Arial" w:hAnsi="Times New Roman" w:cs="Arial"/>
                <w:noProof/>
                <w:sz w:val="24"/>
                <w:szCs w:val="16"/>
              </w:rPr>
            </w:pPr>
            <w:r>
              <w:rPr>
                <w:rFonts w:ascii="Times New Roman" w:eastAsia="Arial" w:hAnsi="Times New Roman" w:cs="Arial"/>
                <w:noProof/>
                <w:sz w:val="24"/>
                <w:szCs w:val="16"/>
                <w:lang w:bidi="ar-SA"/>
              </w:rPr>
              <w:drawing>
                <wp:inline distT="0" distB="0" distL="0" distR="0" wp14:anchorId="6C02131E" wp14:editId="26A45ADD">
                  <wp:extent cx="2501660" cy="554529"/>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22310" cy="559106"/>
                          </a:xfrm>
                          <a:prstGeom prst="rect">
                            <a:avLst/>
                          </a:prstGeom>
                          <a:noFill/>
                          <a:ln>
                            <a:noFill/>
                          </a:ln>
                        </pic:spPr>
                      </pic:pic>
                    </a:graphicData>
                  </a:graphic>
                </wp:inline>
              </w:drawing>
            </w:r>
          </w:p>
          <w:p w:rsidR="00506AA9" w:rsidRDefault="00506AA9" w:rsidP="005A7579">
            <w:pPr>
              <w:jc w:val="both"/>
              <w:rPr>
                <w:rFonts w:ascii="Times New Roman" w:eastAsia="Arial" w:hAnsi="Times New Roman" w:cs="Arial"/>
                <w:noProof/>
                <w:sz w:val="24"/>
                <w:szCs w:val="16"/>
              </w:rPr>
            </w:pPr>
          </w:p>
          <w:p w:rsidR="00506AA9" w:rsidRDefault="00506AA9" w:rsidP="005A7579">
            <w:pPr>
              <w:jc w:val="both"/>
              <w:rPr>
                <w:rFonts w:ascii="Times New Roman" w:eastAsia="Arial" w:hAnsi="Times New Roman" w:cs="Arial"/>
                <w:noProof/>
                <w:sz w:val="24"/>
                <w:szCs w:val="16"/>
              </w:rPr>
            </w:pPr>
            <w:r>
              <w:rPr>
                <w:rFonts w:ascii="Times New Roman" w:hAnsi="Times New Roman"/>
                <w:noProof/>
                <w:sz w:val="24"/>
              </w:rPr>
              <w:t xml:space="preserve">Ja no sākuma līdz </w:t>
            </w:r>
            <w:r>
              <w:rPr>
                <w:rFonts w:ascii="Times New Roman" w:hAnsi="Times New Roman"/>
                <w:i/>
                <w:noProof/>
                <w:sz w:val="24"/>
              </w:rPr>
              <w:t>p</w:t>
            </w:r>
            <w:r>
              <w:rPr>
                <w:rFonts w:ascii="Times New Roman" w:hAnsi="Times New Roman"/>
                <w:noProof/>
                <w:sz w:val="24"/>
              </w:rPr>
              <w:t xml:space="preserve">, to ieskaitot, nenotiek nekādi maksājumi, tad </w:t>
            </w:r>
            <w:r>
              <w:rPr>
                <w:rFonts w:ascii="Times New Roman" w:hAnsi="Times New Roman"/>
                <w:i/>
                <w:noProof/>
                <w:sz w:val="24"/>
              </w:rPr>
              <w:t>p</w:t>
            </w:r>
            <w:r>
              <w:rPr>
                <w:rFonts w:ascii="Times New Roman" w:hAnsi="Times New Roman"/>
                <w:noProof/>
                <w:sz w:val="24"/>
              </w:rPr>
              <w:t xml:space="preserve"> intervāla beigās </w:t>
            </w:r>
            <w:r>
              <w:rPr>
                <w:rFonts w:ascii="Times New Roman" w:hAnsi="Times New Roman"/>
                <w:i/>
                <w:noProof/>
                <w:sz w:val="24"/>
              </w:rPr>
              <w:t>V</w:t>
            </w:r>
            <w:r>
              <w:rPr>
                <w:rFonts w:ascii="Times New Roman" w:hAnsi="Times New Roman"/>
                <w:i/>
                <w:noProof/>
                <w:sz w:val="24"/>
                <w:vertAlign w:val="subscript"/>
              </w:rPr>
              <w:t>0</w:t>
            </w:r>
            <w:r>
              <w:rPr>
                <w:rFonts w:ascii="Times New Roman" w:hAnsi="Times New Roman"/>
                <w:noProof/>
                <w:sz w:val="24"/>
              </w:rPr>
              <w:t xml:space="preserve"> </w:t>
            </w:r>
            <w:r w:rsidR="0057710B">
              <w:rPr>
                <w:rFonts w:ascii="Times New Roman" w:hAnsi="Times New Roman"/>
                <w:noProof/>
                <w:sz w:val="24"/>
              </w:rPr>
              <w:t>ieraksta</w:t>
            </w:r>
            <w:r>
              <w:rPr>
                <w:rFonts w:ascii="Times New Roman" w:hAnsi="Times New Roman"/>
                <w:noProof/>
                <w:sz w:val="24"/>
              </w:rPr>
              <w:t xml:space="preserve"> pozīcijā AF.4. Turklāt pastāv saistības atbilstoši nenomaksātajai procentu summai.</w:t>
            </w:r>
          </w:p>
          <w:p w:rsidR="00506AA9" w:rsidRDefault="00506AA9" w:rsidP="005A7579">
            <w:pPr>
              <w:jc w:val="both"/>
              <w:rPr>
                <w:rFonts w:ascii="Times New Roman" w:eastAsia="Arial" w:hAnsi="Times New Roman" w:cs="Arial"/>
                <w:noProof/>
                <w:sz w:val="24"/>
                <w:szCs w:val="16"/>
              </w:rPr>
            </w:pPr>
          </w:p>
          <w:p w:rsidR="00506AA9" w:rsidRDefault="00506AA9" w:rsidP="005A7579">
            <w:pPr>
              <w:ind w:left="709"/>
              <w:jc w:val="both"/>
              <w:rPr>
                <w:rFonts w:ascii="Times New Roman" w:eastAsia="Arial" w:hAnsi="Times New Roman" w:cs="Arial"/>
                <w:noProof/>
                <w:sz w:val="24"/>
                <w:szCs w:val="16"/>
              </w:rPr>
            </w:pPr>
            <w:r>
              <w:rPr>
                <w:rFonts w:ascii="Times New Roman" w:eastAsia="Arial" w:hAnsi="Times New Roman" w:cs="Arial"/>
                <w:noProof/>
                <w:sz w:val="24"/>
                <w:szCs w:val="16"/>
                <w:lang w:bidi="ar-SA"/>
              </w:rPr>
              <w:drawing>
                <wp:inline distT="0" distB="0" distL="0" distR="0" wp14:anchorId="0A3E9898" wp14:editId="1E70BD90">
                  <wp:extent cx="1000664" cy="471922"/>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012531" cy="477519"/>
                          </a:xfrm>
                          <a:prstGeom prst="rect">
                            <a:avLst/>
                          </a:prstGeom>
                          <a:noFill/>
                          <a:ln>
                            <a:noFill/>
                          </a:ln>
                        </pic:spPr>
                      </pic:pic>
                    </a:graphicData>
                  </a:graphic>
                </wp:inline>
              </w:drawing>
            </w:r>
          </w:p>
          <w:p w:rsidR="00506AA9" w:rsidRPr="00663A64" w:rsidRDefault="00506AA9" w:rsidP="005A7579">
            <w:pPr>
              <w:jc w:val="both"/>
              <w:rPr>
                <w:rFonts w:ascii="Times New Roman" w:eastAsia="Arial" w:hAnsi="Times New Roman" w:cs="Arial"/>
                <w:noProof/>
                <w:sz w:val="24"/>
                <w:szCs w:val="16"/>
              </w:rPr>
            </w:pPr>
          </w:p>
        </w:tc>
      </w:tr>
    </w:tbl>
    <w:p w:rsidR="00506AA9" w:rsidRDefault="00506AA9" w:rsidP="00506AA9">
      <w:pPr>
        <w:pStyle w:val="Heading4"/>
        <w:tabs>
          <w:tab w:val="left" w:pos="1593"/>
        </w:tabs>
        <w:ind w:left="0" w:firstLine="0"/>
        <w:jc w:val="both"/>
        <w:rPr>
          <w:rFonts w:ascii="Times New Roman" w:hAnsi="Times New Roman" w:cs="Arial"/>
          <w:b w:val="0"/>
          <w:bCs w:val="0"/>
          <w:noProof/>
          <w:szCs w:val="21"/>
          <w:u w:val="none"/>
        </w:rPr>
      </w:pPr>
      <w:bookmarkStart w:id="534" w:name="VII.3.3_Rationale_of_the_treatment"/>
      <w:bookmarkEnd w:id="534"/>
    </w:p>
    <w:p w:rsidR="00902321" w:rsidRDefault="00902321" w:rsidP="00506AA9">
      <w:pPr>
        <w:pStyle w:val="Heading4"/>
        <w:tabs>
          <w:tab w:val="left" w:pos="1593"/>
        </w:tabs>
        <w:ind w:left="0" w:firstLine="0"/>
        <w:jc w:val="both"/>
        <w:rPr>
          <w:rFonts w:ascii="Times New Roman" w:hAnsi="Times New Roman" w:cs="Arial"/>
          <w:b w:val="0"/>
          <w:bCs w:val="0"/>
          <w:noProof/>
          <w:szCs w:val="21"/>
          <w:u w:val="none"/>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r>
        <w:rPr>
          <w:rFonts w:ascii="Times New Roman" w:hAnsi="Times New Roman"/>
          <w:noProof/>
          <w:u w:val="none"/>
        </w:rPr>
        <w:t>VII.3.3. </w:t>
      </w:r>
      <w:r>
        <w:rPr>
          <w:rFonts w:ascii="Times New Roman" w:hAnsi="Times New Roman"/>
          <w:noProof/>
          <w:u w:val="thick" w:color="000000"/>
        </w:rPr>
        <w:t>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76"/>
        </w:tabs>
        <w:jc w:val="both"/>
        <w:rPr>
          <w:rFonts w:ascii="Times New Roman" w:hAnsi="Times New Roman"/>
          <w:noProof/>
          <w:sz w:val="24"/>
        </w:rPr>
      </w:pPr>
      <w:bookmarkStart w:id="535" w:name="VII.3.3.1_Recording_of_a_loan"/>
      <w:bookmarkEnd w:id="535"/>
      <w:r>
        <w:rPr>
          <w:rFonts w:ascii="Times New Roman" w:hAnsi="Times New Roman"/>
          <w:noProof/>
          <w:sz w:val="24"/>
        </w:rPr>
        <w:t>V</w:t>
      </w:r>
      <w:r w:rsidR="0057710B">
        <w:rPr>
          <w:rFonts w:ascii="Times New Roman" w:hAnsi="Times New Roman"/>
          <w:noProof/>
          <w:sz w:val="24"/>
        </w:rPr>
        <w:t>II.3.3.1. Aizdevuma ierakstīšana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19"/>
        </w:numPr>
        <w:tabs>
          <w:tab w:val="left" w:pos="1102"/>
        </w:tabs>
        <w:spacing w:before="0"/>
        <w:ind w:left="709" w:hanging="709"/>
        <w:jc w:val="both"/>
        <w:rPr>
          <w:rFonts w:ascii="Times New Roman" w:hAnsi="Times New Roman"/>
          <w:noProof/>
          <w:sz w:val="24"/>
        </w:rPr>
      </w:pPr>
      <w:r>
        <w:rPr>
          <w:rFonts w:ascii="Times New Roman" w:hAnsi="Times New Roman"/>
          <w:noProof/>
          <w:sz w:val="24"/>
        </w:rPr>
        <w:t>Vērtības, kas pozīcijā AF.4 jāieraksta gan kreditoru, gan debitoru bilancē, ir pamatsummas, kuras debitoriem saskaņā ar līgumu jāatmaksā kreditoriem pat tādos gadījumos, kad aizdevums ticis tirgots ar diskontu vai prēmiju (EKS 2010 7.70. punkts).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36" w:name="VII.3.3.2_Rescheduling_of_a_loan"/>
      <w:bookmarkEnd w:id="536"/>
      <w:r>
        <w:rPr>
          <w:rFonts w:ascii="Times New Roman" w:hAnsi="Times New Roman"/>
          <w:noProof/>
          <w:sz w:val="24"/>
        </w:rPr>
        <w:t>VII.3.3.2. Aizdevuma atmaksāšanas grafika pārskatīšana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19"/>
        </w:numPr>
        <w:tabs>
          <w:tab w:val="left" w:pos="1102"/>
        </w:tabs>
        <w:spacing w:before="0"/>
        <w:ind w:left="709" w:hanging="709"/>
        <w:jc w:val="both"/>
        <w:rPr>
          <w:rFonts w:ascii="Times New Roman" w:hAnsi="Times New Roman"/>
          <w:noProof/>
          <w:sz w:val="24"/>
        </w:rPr>
      </w:pPr>
      <w:r>
        <w:rPr>
          <w:rFonts w:ascii="Times New Roman" w:hAnsi="Times New Roman"/>
          <w:noProof/>
          <w:sz w:val="24"/>
        </w:rPr>
        <w:t>EKS 2010 nav sniegti norādījumi attiecībā uz šāda gadījuma traktējumu. EKS 2010 20.236. punktā pieminēta vienīgi parāda pārstrukturēšana, norādot, ka tas pats princips attiecas uz vērtības atšķirību (nenorādot, ka tas domāts nominālā izteiksmē). Tas ir norādīts NKS 2008, taču visnotaļ vispārīgā veidā, 20.107. punkta b) apakšpunktā norādot vienīgi to, ka “tā rezultātā var samazināties pašreizējā vērtība”, un nepieminot iespējamo kapitāla pārvedumu. Tāpēc šajā rokasgrāmatā sniegts nepieciešamais skaidrojums un praktiski norādījumi nacionālo kontu speciālistiem.</w:t>
      </w:r>
    </w:p>
    <w:p w:rsidR="00506AA9" w:rsidRPr="001973D0" w:rsidRDefault="00506AA9" w:rsidP="00506AA9">
      <w:pPr>
        <w:pStyle w:val="BodyText"/>
        <w:numPr>
          <w:ilvl w:val="0"/>
          <w:numId w:val="119"/>
        </w:numPr>
        <w:tabs>
          <w:tab w:val="left" w:pos="1102"/>
        </w:tabs>
        <w:spacing w:before="0"/>
        <w:ind w:left="709" w:hanging="709"/>
        <w:jc w:val="both"/>
        <w:rPr>
          <w:rFonts w:ascii="Times New Roman" w:hAnsi="Times New Roman"/>
          <w:noProof/>
          <w:sz w:val="24"/>
        </w:rPr>
      </w:pPr>
      <w:r>
        <w:rPr>
          <w:rFonts w:ascii="Times New Roman" w:hAnsi="Times New Roman"/>
          <w:noProof/>
          <w:sz w:val="24"/>
        </w:rPr>
        <w:t>Pats galvenais ir tas, ka aizdevums ir līgumisks pasākums. Sadalījumu starp pamatsummas atmaksājumu un procentu maksājumu nosaka aizdevuma līgumā, tostarp attiecībā uz aizdevumiem ar mainīgām likmēm, un to var mainīt vienīgi saskaņā ar līgumu.</w:t>
      </w:r>
    </w:p>
    <w:p w:rsidR="00506AA9" w:rsidRPr="001973D0" w:rsidRDefault="00506AA9" w:rsidP="00506AA9">
      <w:pPr>
        <w:pStyle w:val="BodyText"/>
        <w:numPr>
          <w:ilvl w:val="0"/>
          <w:numId w:val="119"/>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Īpaši jānorāda, ka aizdevumam nav tirgus vērtības (sk. EKS 2010 6.581. punktu). Līdz ar to izmaiņas, kas finanšu tirgos var notikt attiecībā uz līdzīgu aizdevumu procentu </w:t>
      </w:r>
      <w:r>
        <w:rPr>
          <w:rFonts w:ascii="Times New Roman" w:hAnsi="Times New Roman"/>
          <w:noProof/>
          <w:sz w:val="24"/>
        </w:rPr>
        <w:lastRenderedPageBreak/>
        <w:t>likmēm, tieši neietekmē esošu aizdevumu nenomaksāto pamatsummu. Turklāt šādām izmaiņām var nebūt ietekmes uz turpmākajām procentu summām, un līdz ar to tās neietekmē sadalījumu starp pamatsummu un procentiem.</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956"/>
        </w:tabs>
        <w:jc w:val="both"/>
        <w:rPr>
          <w:rFonts w:ascii="Times New Roman" w:hAnsi="Times New Roman"/>
          <w:noProof/>
          <w:sz w:val="24"/>
        </w:rPr>
      </w:pPr>
      <w:bookmarkStart w:id="537" w:name="VII.3.3.3_Debt_cancellation"/>
      <w:bookmarkEnd w:id="537"/>
      <w:r>
        <w:rPr>
          <w:rFonts w:ascii="Times New Roman" w:hAnsi="Times New Roman"/>
          <w:noProof/>
          <w:sz w:val="24"/>
        </w:rPr>
        <w:t>VII.3.3.3. Parāda anulēšana</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19"/>
        </w:numPr>
        <w:tabs>
          <w:tab w:val="left" w:pos="1182"/>
        </w:tabs>
        <w:spacing w:before="0"/>
        <w:ind w:left="709" w:hanging="709"/>
        <w:jc w:val="both"/>
        <w:rPr>
          <w:rFonts w:ascii="Times New Roman" w:hAnsi="Times New Roman"/>
          <w:noProof/>
          <w:sz w:val="24"/>
        </w:rPr>
      </w:pPr>
      <w:r>
        <w:rPr>
          <w:rFonts w:ascii="Times New Roman" w:hAnsi="Times New Roman"/>
          <w:noProof/>
          <w:sz w:val="24"/>
        </w:rPr>
        <w:t>Šo jautājumu sk. II.4</w:t>
      </w:r>
      <w:r w:rsidR="0057710B">
        <w:rPr>
          <w:rFonts w:ascii="Times New Roman" w:hAnsi="Times New Roman"/>
          <w:noProof/>
          <w:sz w:val="24"/>
        </w:rPr>
        <w:t>. nodaļas “Procentu ierakstīšana</w:t>
      </w:r>
      <w:r>
        <w:rPr>
          <w:rFonts w:ascii="Times New Roman" w:hAnsi="Times New Roman"/>
          <w:noProof/>
          <w:sz w:val="24"/>
        </w:rPr>
        <w:t>” II.4.1. iedaļā “Vispārēja informācija”.</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956"/>
        </w:tabs>
        <w:jc w:val="both"/>
        <w:rPr>
          <w:rFonts w:ascii="Times New Roman" w:hAnsi="Times New Roman"/>
          <w:noProof/>
          <w:sz w:val="24"/>
        </w:rPr>
      </w:pPr>
      <w:bookmarkStart w:id="538" w:name="VII.3.3.4_Sale_of_a_loan"/>
      <w:bookmarkEnd w:id="538"/>
      <w:r>
        <w:rPr>
          <w:rFonts w:ascii="Times New Roman" w:hAnsi="Times New Roman"/>
          <w:noProof/>
          <w:sz w:val="24"/>
        </w:rPr>
        <w:t>VII.3.3.4. Aizdevuma pārdošana</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19"/>
        </w:numPr>
        <w:tabs>
          <w:tab w:val="left" w:pos="1182"/>
        </w:tabs>
        <w:spacing w:before="0"/>
        <w:ind w:left="709" w:hanging="709"/>
        <w:jc w:val="both"/>
        <w:rPr>
          <w:rFonts w:ascii="Times New Roman" w:hAnsi="Times New Roman"/>
          <w:noProof/>
          <w:sz w:val="24"/>
        </w:rPr>
      </w:pPr>
      <w:r>
        <w:rPr>
          <w:rFonts w:ascii="Times New Roman" w:hAnsi="Times New Roman"/>
          <w:noProof/>
          <w:sz w:val="24"/>
        </w:rPr>
        <w:t>EKS 2010 ir apspriests gadījums, kad aizdevums tiek pārdots (EKS 2010 5.122. punkts). Šajā gadījumā starpību starp “izpirkuma c</w:t>
      </w:r>
      <w:r w:rsidR="0057710B">
        <w:rPr>
          <w:rFonts w:ascii="Times New Roman" w:hAnsi="Times New Roman"/>
          <w:noProof/>
          <w:sz w:val="24"/>
        </w:rPr>
        <w:t>enu” un “darījuma cenu” ieraksta</w:t>
      </w:r>
      <w:r>
        <w:rPr>
          <w:rFonts w:ascii="Times New Roman" w:hAnsi="Times New Roman"/>
          <w:noProof/>
          <w:sz w:val="24"/>
        </w:rPr>
        <w:t xml:space="preserve"> pārvērtēšanas kontā (EKS 2010 6.58. punkts).</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ind w:left="0" w:firstLine="0"/>
        <w:jc w:val="both"/>
        <w:rPr>
          <w:rFonts w:ascii="Times New Roman" w:hAnsi="Times New Roman"/>
          <w:b w:val="0"/>
          <w:bCs w:val="0"/>
          <w:noProof/>
          <w:u w:val="none"/>
        </w:rPr>
      </w:pPr>
      <w:bookmarkStart w:id="539" w:name="VII.3.4_Accounting_examples"/>
      <w:bookmarkEnd w:id="539"/>
      <w:r>
        <w:rPr>
          <w:rFonts w:ascii="Times New Roman" w:hAnsi="Times New Roman"/>
          <w:noProof/>
          <w:u w:val="none"/>
        </w:rPr>
        <w:t>VII.3.4. </w:t>
      </w:r>
      <w:r>
        <w:rPr>
          <w:rFonts w:ascii="Times New Roman" w:hAnsi="Times New Roman"/>
          <w:noProof/>
          <w:u w:val="thick" w:color="000000"/>
        </w:rPr>
        <w:t>Uzskaites piemēri</w:t>
      </w:r>
    </w:p>
    <w:p w:rsidR="00506AA9" w:rsidRDefault="00506AA9" w:rsidP="00506AA9">
      <w:pPr>
        <w:pStyle w:val="Heading6"/>
        <w:jc w:val="both"/>
        <w:rPr>
          <w:rFonts w:ascii="Times New Roman" w:hAnsi="Times New Roman"/>
          <w:noProof/>
          <w:sz w:val="24"/>
        </w:rPr>
      </w:pPr>
      <w:bookmarkStart w:id="540" w:name="Common_features"/>
      <w:bookmarkEnd w:id="540"/>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Kopīgas iezīmes</w:t>
      </w:r>
    </w:p>
    <w:p w:rsidR="00506AA9" w:rsidRDefault="00506AA9" w:rsidP="00506AA9">
      <w:pPr>
        <w:pStyle w:val="Heading6"/>
        <w:jc w:val="both"/>
        <w:rPr>
          <w:rFonts w:ascii="Times New Roman" w:hAnsi="Times New Roman"/>
          <w:noProof/>
          <w:sz w:val="24"/>
        </w:rPr>
      </w:pPr>
    </w:p>
    <w:p w:rsidR="00506AA9" w:rsidRPr="001973D0" w:rsidRDefault="0057710B" w:rsidP="00506AA9">
      <w:pPr>
        <w:pStyle w:val="Heading6"/>
        <w:jc w:val="both"/>
        <w:rPr>
          <w:rFonts w:ascii="Times New Roman" w:hAnsi="Times New Roman"/>
          <w:noProof/>
          <w:sz w:val="24"/>
        </w:rPr>
      </w:pPr>
      <w:r>
        <w:rPr>
          <w:rFonts w:ascii="Times New Roman" w:hAnsi="Times New Roman"/>
          <w:noProof/>
          <w:sz w:val="24"/>
        </w:rPr>
        <w:t>Gadījums A: parāda ierakstīšana</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summa = 10 000, termiņš = pieci gadi, procentu likme = 6 %.</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18"/>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beigu atmaksu</w:t>
      </w:r>
    </w:p>
    <w:p w:rsidR="00506AA9" w:rsidRPr="001973D0" w:rsidRDefault="00506AA9" w:rsidP="00506AA9">
      <w:pPr>
        <w:jc w:val="both"/>
        <w:rPr>
          <w:rFonts w:ascii="Times New Roman" w:eastAsia="Arial" w:hAnsi="Times New Roman" w:cs="Arial"/>
          <w:noProof/>
          <w:sz w:val="24"/>
          <w:szCs w:val="5"/>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A21008" w:rsidTr="00902321">
        <w:trPr>
          <w:trHeight w:hRule="exact" w:val="906"/>
          <w:jc w:val="center"/>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A21008" w:rsidTr="00902321">
        <w:trPr>
          <w:trHeight w:hRule="exact" w:val="252"/>
          <w:jc w:val="center"/>
        </w:trPr>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r>
      <w:tr w:rsidR="00506AA9" w:rsidRPr="00A21008" w:rsidTr="00902321">
        <w:trPr>
          <w:trHeight w:hRule="exact" w:val="220"/>
          <w:jc w:val="center"/>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r>
      <w:tr w:rsidR="00506AA9" w:rsidRPr="00A21008" w:rsidTr="00902321">
        <w:trPr>
          <w:trHeight w:hRule="exact" w:val="220"/>
          <w:jc w:val="center"/>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r>
      <w:tr w:rsidR="00506AA9" w:rsidRPr="00A21008" w:rsidTr="00902321">
        <w:trPr>
          <w:trHeight w:hRule="exact" w:val="220"/>
          <w:jc w:val="center"/>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r>
      <w:tr w:rsidR="00506AA9" w:rsidRPr="00A21008" w:rsidTr="00902321">
        <w:trPr>
          <w:trHeight w:hRule="exact" w:val="271"/>
          <w:jc w:val="center"/>
        </w:trPr>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10 600</w:t>
            </w:r>
          </w:p>
        </w:tc>
      </w:tr>
      <w:tr w:rsidR="00506AA9" w:rsidRPr="00A21008" w:rsidTr="00902321">
        <w:trPr>
          <w:trHeight w:hRule="exact" w:val="354"/>
          <w:jc w:val="center"/>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3 000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13 000</w:t>
            </w:r>
          </w:p>
        </w:tc>
      </w:tr>
    </w:tbl>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BodyText"/>
        <w:numPr>
          <w:ilvl w:val="0"/>
          <w:numId w:val="118"/>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amortizāciju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A21008" w:rsidTr="00902321">
        <w:trPr>
          <w:trHeight w:hRule="exact" w:val="82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A21008" w:rsidTr="005A7579">
        <w:trPr>
          <w:trHeight w:hRule="exact" w:val="258"/>
        </w:trPr>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single" w:sz="7" w:space="0" w:color="000000"/>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2 600</w:t>
            </w:r>
          </w:p>
        </w:tc>
      </w:tr>
      <w:tr w:rsidR="00506AA9" w:rsidRPr="00A21008" w:rsidTr="005A7579">
        <w:trPr>
          <w:trHeight w:hRule="exact" w:val="220"/>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8 000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480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2 480</w:t>
            </w:r>
          </w:p>
        </w:tc>
      </w:tr>
      <w:tr w:rsidR="00506AA9" w:rsidRPr="00A21008" w:rsidTr="005A7579">
        <w:trPr>
          <w:trHeight w:hRule="exact" w:val="220"/>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6 000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360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2 360</w:t>
            </w:r>
          </w:p>
        </w:tc>
      </w:tr>
      <w:tr w:rsidR="00506AA9" w:rsidRPr="00A21008" w:rsidTr="005A7579">
        <w:trPr>
          <w:trHeight w:hRule="exact" w:val="220"/>
        </w:trPr>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4 000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240</w:t>
            </w:r>
          </w:p>
        </w:tc>
        <w:tc>
          <w:tcPr>
            <w:tcW w:w="1001"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2 240</w:t>
            </w:r>
          </w:p>
        </w:tc>
      </w:tr>
      <w:tr w:rsidR="00506AA9" w:rsidRPr="00A21008" w:rsidTr="005A7579">
        <w:trPr>
          <w:trHeight w:hRule="exact" w:val="271"/>
        </w:trPr>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120</w:t>
            </w:r>
          </w:p>
        </w:tc>
        <w:tc>
          <w:tcPr>
            <w:tcW w:w="1001"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single" w:sz="7" w:space="0" w:color="000000"/>
              <w:right w:val="single" w:sz="7" w:space="0" w:color="000000"/>
            </w:tcBorders>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2 120</w:t>
            </w:r>
          </w:p>
        </w:tc>
      </w:tr>
      <w:tr w:rsidR="00506AA9" w:rsidRPr="00A21008" w:rsidTr="00902321">
        <w:trPr>
          <w:trHeight w:hRule="exact" w:val="353"/>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1 800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A21008" w:rsidRDefault="00506AA9" w:rsidP="00902321">
            <w:pPr>
              <w:pStyle w:val="TableParagraph"/>
              <w:jc w:val="center"/>
              <w:rPr>
                <w:rFonts w:ascii="Times New Roman" w:hAnsi="Times New Roman"/>
                <w:noProof/>
                <w:sz w:val="20"/>
                <w:szCs w:val="20"/>
              </w:rPr>
            </w:pPr>
            <w:r>
              <w:rPr>
                <w:rFonts w:ascii="Times New Roman" w:hAnsi="Times New Roman"/>
                <w:noProof/>
                <w:sz w:val="20"/>
              </w:rPr>
              <w:t>11 800</w:t>
            </w:r>
          </w:p>
        </w:tc>
      </w:tr>
    </w:tbl>
    <w:p w:rsidR="00902321" w:rsidRDefault="00902321" w:rsidP="00506AA9">
      <w:pPr>
        <w:jc w:val="both"/>
        <w:rPr>
          <w:rFonts w:ascii="Times New Roman" w:eastAsia="Arial" w:hAnsi="Times New Roman" w:cs="Arial"/>
          <w:noProof/>
          <w:sz w:val="24"/>
          <w:szCs w:val="26"/>
        </w:rPr>
      </w:pPr>
    </w:p>
    <w:p w:rsidR="00902321" w:rsidRDefault="00902321">
      <w:pPr>
        <w:widowControl/>
        <w:spacing w:after="160" w:line="259" w:lineRule="auto"/>
        <w:rPr>
          <w:rFonts w:ascii="Times New Roman" w:eastAsia="Arial" w:hAnsi="Times New Roman" w:cs="Arial"/>
          <w:noProof/>
          <w:sz w:val="24"/>
          <w:szCs w:val="26"/>
        </w:rPr>
      </w:pPr>
      <w:r>
        <w:rPr>
          <w:rFonts w:ascii="Times New Roman" w:eastAsia="Arial" w:hAnsi="Times New Roman" w:cs="Arial"/>
          <w:noProof/>
          <w:sz w:val="24"/>
          <w:szCs w:val="26"/>
        </w:rPr>
        <w:br w:type="page"/>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BodyText"/>
        <w:numPr>
          <w:ilvl w:val="0"/>
          <w:numId w:val="118"/>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gada 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3B7D01" w:rsidTr="00902321">
        <w:trPr>
          <w:trHeight w:hRule="exact" w:val="850"/>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3B7D01" w:rsidTr="005A7579">
        <w:trPr>
          <w:trHeight w:hRule="exact" w:val="267"/>
        </w:trPr>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1 774</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2 374</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8 226</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494</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1 880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2 374</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6 346</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381</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1 993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2 374</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4 353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261</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2 113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2 374</w:t>
            </w:r>
          </w:p>
        </w:tc>
      </w:tr>
      <w:tr w:rsidR="00506AA9" w:rsidRPr="003B7D01" w:rsidTr="005A7579">
        <w:trPr>
          <w:trHeight w:hRule="exact" w:val="271"/>
        </w:trPr>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2 240</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134</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2 240</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2 374</w:t>
            </w:r>
          </w:p>
        </w:tc>
      </w:tr>
      <w:tr w:rsidR="00506AA9" w:rsidRPr="003B7D01" w:rsidTr="00902321">
        <w:trPr>
          <w:trHeight w:hRule="exact" w:val="353"/>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1 870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noProof/>
                <w:sz w:val="20"/>
                <w:szCs w:val="20"/>
              </w:rPr>
            </w:pPr>
            <w:r>
              <w:rPr>
                <w:rFonts w:ascii="Times New Roman" w:hAnsi="Times New Roman"/>
                <w:noProof/>
                <w:sz w:val="20"/>
              </w:rPr>
              <w:t>11 870</w:t>
            </w:r>
          </w:p>
        </w:tc>
      </w:tr>
    </w:tbl>
    <w:p w:rsidR="00506AA9" w:rsidRPr="001973D0" w:rsidRDefault="00506AA9" w:rsidP="00506AA9">
      <w:pPr>
        <w:jc w:val="both"/>
        <w:rPr>
          <w:rFonts w:ascii="Times New Roman" w:eastAsia="Arial" w:hAnsi="Times New Roman" w:cs="Arial"/>
          <w:noProof/>
          <w:sz w:val="24"/>
          <w:szCs w:val="25"/>
        </w:rPr>
      </w:pPr>
    </w:p>
    <w:p w:rsidR="00506AA9" w:rsidRDefault="00506AA9" w:rsidP="00506AA9">
      <w:pPr>
        <w:pStyle w:val="Heading6"/>
        <w:jc w:val="both"/>
        <w:rPr>
          <w:rFonts w:ascii="Times New Roman" w:hAnsi="Times New Roman"/>
          <w:noProof/>
          <w:sz w:val="24"/>
        </w:rPr>
      </w:pPr>
      <w:bookmarkStart w:id="541" w:name="Numerical_example_of_rescheduling"/>
      <w:bookmarkEnd w:id="541"/>
      <w:r>
        <w:rPr>
          <w:rFonts w:ascii="Times New Roman" w:hAnsi="Times New Roman"/>
          <w:noProof/>
          <w:sz w:val="24"/>
        </w:rPr>
        <w:t>Grafika pārskatīšanas skaitlisks piemērs</w:t>
      </w:r>
    </w:p>
    <w:p w:rsidR="00506AA9" w:rsidRDefault="00506AA9" w:rsidP="00506AA9">
      <w:pPr>
        <w:pStyle w:val="Heading6"/>
        <w:jc w:val="both"/>
        <w:rPr>
          <w:rFonts w:ascii="Times New Roman" w:hAnsi="Times New Roman"/>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Gadījums B1 – tiek pagarināts atmaksas termiņš</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Aizdevums uz 5 gadiem tiek pārveidots par aizdevumu uz 8 gadiem; procentu likme</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nav mainīta.</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17"/>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beigu atmaksu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8"/>
        <w:gridCol w:w="1805"/>
        <w:gridCol w:w="1809"/>
        <w:gridCol w:w="1812"/>
        <w:gridCol w:w="1809"/>
      </w:tblGrid>
      <w:tr w:rsidR="00506AA9" w:rsidRPr="003B7D01" w:rsidTr="00902321">
        <w:trPr>
          <w:trHeight w:hRule="exact" w:val="730"/>
        </w:trPr>
        <w:tc>
          <w:tcPr>
            <w:tcW w:w="1004" w:type="pct"/>
            <w:tcBorders>
              <w:top w:val="single" w:sz="7" w:space="0" w:color="000000"/>
              <w:left w:val="single" w:sz="7" w:space="0" w:color="000000"/>
              <w:bottom w:val="single" w:sz="7" w:space="0" w:color="000000"/>
              <w:right w:val="single" w:sz="12"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997" w:type="pct"/>
            <w:tcBorders>
              <w:top w:val="single" w:sz="7" w:space="0" w:color="000000"/>
              <w:left w:val="single" w:sz="12"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999"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999"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3B7D01" w:rsidTr="005A7579">
        <w:trPr>
          <w:trHeight w:hRule="exact" w:val="244"/>
        </w:trPr>
        <w:tc>
          <w:tcPr>
            <w:tcW w:w="1004" w:type="pct"/>
            <w:tcBorders>
              <w:top w:val="single" w:sz="7" w:space="0" w:color="000000"/>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997" w:type="pct"/>
            <w:tcBorders>
              <w:top w:val="single" w:sz="7" w:space="0" w:color="000000"/>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20"/>
        </w:trPr>
        <w:tc>
          <w:tcPr>
            <w:tcW w:w="1004" w:type="pct"/>
            <w:tcBorders>
              <w:top w:val="nil"/>
              <w:left w:val="single" w:sz="7" w:space="0" w:color="000000"/>
              <w:bottom w:val="nil"/>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997" w:type="pct"/>
            <w:tcBorders>
              <w:top w:val="nil"/>
              <w:left w:val="single" w:sz="12"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999"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r>
      <w:tr w:rsidR="00506AA9" w:rsidRPr="003B7D01" w:rsidTr="005A7579">
        <w:trPr>
          <w:trHeight w:hRule="exact" w:val="212"/>
        </w:trPr>
        <w:tc>
          <w:tcPr>
            <w:tcW w:w="1004" w:type="pct"/>
            <w:tcBorders>
              <w:top w:val="nil"/>
              <w:left w:val="single" w:sz="7" w:space="0" w:color="000000"/>
              <w:bottom w:val="single" w:sz="7" w:space="0" w:color="000000"/>
              <w:right w:val="single" w:sz="12"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997" w:type="pct"/>
            <w:tcBorders>
              <w:top w:val="nil"/>
              <w:left w:val="single" w:sz="12"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10 600</w:t>
            </w:r>
          </w:p>
        </w:tc>
      </w:tr>
      <w:tr w:rsidR="00506AA9" w:rsidRPr="003B7D01" w:rsidTr="00902321">
        <w:trPr>
          <w:trHeight w:hRule="exact" w:val="361"/>
        </w:trPr>
        <w:tc>
          <w:tcPr>
            <w:tcW w:w="1004"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997"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jc w:val="center"/>
              <w:rPr>
                <w:rFonts w:ascii="Times New Roman" w:hAnsi="Times New Roman" w:cs="Times New Roman"/>
                <w:noProof/>
                <w:sz w:val="20"/>
                <w:szCs w:val="20"/>
              </w:rPr>
            </w:pPr>
          </w:p>
        </w:tc>
        <w:tc>
          <w:tcPr>
            <w:tcW w:w="999"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4 800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999"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14 800</w:t>
            </w:r>
          </w:p>
        </w:tc>
      </w:tr>
    </w:tbl>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0"/>
          <w:numId w:val="117"/>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nemainīgu amortizāciju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3B7D01" w:rsidTr="00902321">
        <w:trPr>
          <w:trHeight w:hRule="exact" w:val="844"/>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3B7D01"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1 850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8 750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525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1 775</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7 500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450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1 700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375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1 625</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5 000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300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1 550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3 750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225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1 475</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2 500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150</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1 400</w:t>
            </w:r>
          </w:p>
        </w:tc>
      </w:tr>
      <w:tr w:rsidR="00506AA9" w:rsidRPr="003B7D01"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75</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1 250</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1 325</w:t>
            </w:r>
          </w:p>
        </w:tc>
      </w:tr>
      <w:tr w:rsidR="00506AA9" w:rsidRPr="003B7D01" w:rsidTr="00902321">
        <w:trPr>
          <w:trHeight w:hRule="exact" w:val="326"/>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jc w:val="center"/>
              <w:rPr>
                <w:rFonts w:ascii="Times New Roman" w:hAnsi="Times New Roman" w:cs="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2 700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12 700</w:t>
            </w:r>
          </w:p>
        </w:tc>
      </w:tr>
    </w:tbl>
    <w:p w:rsidR="00902321" w:rsidRDefault="00902321" w:rsidP="00506AA9">
      <w:pPr>
        <w:jc w:val="both"/>
        <w:rPr>
          <w:rFonts w:ascii="Times New Roman" w:eastAsia="Arial" w:hAnsi="Times New Roman" w:cs="Arial"/>
          <w:noProof/>
          <w:sz w:val="24"/>
          <w:szCs w:val="20"/>
        </w:rPr>
      </w:pPr>
    </w:p>
    <w:p w:rsidR="00902321" w:rsidRDefault="00902321">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0"/>
          <w:numId w:val="117"/>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nemainīgu gada 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3B7D01" w:rsidTr="00902321">
        <w:trPr>
          <w:trHeight w:hRule="exact" w:val="830"/>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3B7D01"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1 010</w:t>
            </w:r>
          </w:p>
        </w:tc>
        <w:tc>
          <w:tcPr>
            <w:tcW w:w="1000" w:type="pct"/>
            <w:tcBorders>
              <w:top w:val="single" w:sz="7" w:space="0" w:color="000000"/>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8 990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539</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1 071</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7 919</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475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1 135</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6 783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407</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1 203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5 580</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335</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1 276</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4 305</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258</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1 352</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20"/>
        </w:trPr>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2 952</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177</w:t>
            </w:r>
          </w:p>
        </w:tc>
        <w:tc>
          <w:tcPr>
            <w:tcW w:w="1001"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1 433</w:t>
            </w:r>
          </w:p>
        </w:tc>
        <w:tc>
          <w:tcPr>
            <w:tcW w:w="1000" w:type="pct"/>
            <w:tcBorders>
              <w:top w:val="nil"/>
              <w:left w:val="single" w:sz="7" w:space="0" w:color="000000"/>
              <w:bottom w:val="nil"/>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1 519</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91</w:t>
            </w:r>
          </w:p>
        </w:tc>
        <w:tc>
          <w:tcPr>
            <w:tcW w:w="1001"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1 519</w:t>
            </w:r>
          </w:p>
        </w:tc>
        <w:tc>
          <w:tcPr>
            <w:tcW w:w="1000" w:type="pct"/>
            <w:tcBorders>
              <w:top w:val="nil"/>
              <w:left w:val="single" w:sz="7" w:space="0" w:color="000000"/>
              <w:bottom w:val="single" w:sz="7" w:space="0" w:color="000000"/>
              <w:right w:val="single" w:sz="7" w:space="0" w:color="000000"/>
            </w:tcBorders>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1 610</w:t>
            </w:r>
          </w:p>
        </w:tc>
      </w:tr>
      <w:tr w:rsidR="00506AA9" w:rsidRPr="003B7D01" w:rsidTr="00902321">
        <w:trPr>
          <w:trHeight w:hRule="exact" w:val="352"/>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jc w:val="center"/>
              <w:rPr>
                <w:rFonts w:ascii="Times New Roman" w:hAnsi="Times New Roman" w:cs="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2 883</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3B7D01" w:rsidRDefault="00506AA9" w:rsidP="00902321">
            <w:pPr>
              <w:pStyle w:val="TableParagraph"/>
              <w:jc w:val="center"/>
              <w:rPr>
                <w:rFonts w:ascii="Times New Roman" w:hAnsi="Times New Roman" w:cs="Times New Roman"/>
                <w:noProof/>
                <w:sz w:val="20"/>
                <w:szCs w:val="20"/>
              </w:rPr>
            </w:pPr>
            <w:r>
              <w:rPr>
                <w:rFonts w:ascii="Times New Roman" w:hAnsi="Times New Roman"/>
                <w:noProof/>
                <w:sz w:val="20"/>
              </w:rPr>
              <w:t>12 883</w:t>
            </w:r>
          </w:p>
        </w:tc>
      </w:tr>
    </w:tbl>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Gadījums B2 – procentu likmes maiņa</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Aizdevums, kura procentu likme ir 6 %, tiek pārveidots par aizdevumu, kura procentu likme ir 4 %.</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1"/>
          <w:numId w:val="117"/>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beigu atmaksu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902321">
        <w:trPr>
          <w:trHeight w:hRule="exact" w:val="789"/>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r>
      <w:tr w:rsidR="00506AA9" w:rsidRPr="00D46EED"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10 400</w:t>
            </w:r>
          </w:p>
        </w:tc>
      </w:tr>
      <w:tr w:rsidR="00506AA9" w:rsidRPr="00D46EED" w:rsidTr="00902321">
        <w:trPr>
          <w:trHeight w:hRule="exact" w:val="315"/>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12 000</w:t>
            </w:r>
          </w:p>
        </w:tc>
      </w:tr>
    </w:tbl>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1"/>
          <w:numId w:val="117"/>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amortizāciju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902321">
        <w:trPr>
          <w:trHeight w:hRule="exact" w:val="750"/>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2 400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8 000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320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2 320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6 000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240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2 240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4 000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160</w:t>
            </w:r>
          </w:p>
        </w:tc>
        <w:tc>
          <w:tcPr>
            <w:tcW w:w="1001"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nil"/>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2 160</w:t>
            </w:r>
          </w:p>
        </w:tc>
      </w:tr>
      <w:tr w:rsidR="00506AA9" w:rsidRPr="00D46EED"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80</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2 080</w:t>
            </w:r>
          </w:p>
        </w:tc>
      </w:tr>
      <w:tr w:rsidR="00506AA9" w:rsidRPr="00D46EED" w:rsidTr="00902321">
        <w:trPr>
          <w:trHeight w:hRule="exact" w:val="28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1 200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902321">
            <w:pPr>
              <w:pStyle w:val="TableParagraph"/>
              <w:jc w:val="center"/>
              <w:rPr>
                <w:rFonts w:ascii="Times New Roman" w:hAnsi="Times New Roman"/>
                <w:noProof/>
                <w:sz w:val="20"/>
                <w:szCs w:val="20"/>
              </w:rPr>
            </w:pPr>
            <w:r>
              <w:rPr>
                <w:rFonts w:ascii="Times New Roman" w:hAnsi="Times New Roman"/>
                <w:noProof/>
                <w:sz w:val="20"/>
              </w:rPr>
              <w:t>11 200</w:t>
            </w:r>
          </w:p>
        </w:tc>
      </w:tr>
    </w:tbl>
    <w:p w:rsidR="00902321" w:rsidRDefault="00902321" w:rsidP="00506AA9">
      <w:pPr>
        <w:jc w:val="both"/>
        <w:rPr>
          <w:rFonts w:ascii="Times New Roman" w:eastAsia="Arial" w:hAnsi="Times New Roman" w:cs="Arial"/>
          <w:noProof/>
          <w:sz w:val="24"/>
          <w:szCs w:val="20"/>
        </w:rPr>
      </w:pPr>
    </w:p>
    <w:p w:rsidR="00902321" w:rsidRDefault="00902321">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1"/>
          <w:numId w:val="117"/>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gada maksu</w:t>
      </w:r>
    </w:p>
    <w:p w:rsidR="00506AA9" w:rsidRPr="001973D0" w:rsidRDefault="00506AA9" w:rsidP="00506AA9">
      <w:pPr>
        <w:jc w:val="both"/>
        <w:rPr>
          <w:rFonts w:ascii="Times New Roman" w:eastAsia="Arial" w:hAnsi="Times New Roman" w:cs="Arial"/>
          <w:noProof/>
          <w:sz w:val="24"/>
          <w:szCs w:val="5"/>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710"/>
          <w:jc w:val="center"/>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794CD4">
        <w:trPr>
          <w:trHeight w:hRule="exact" w:val="244"/>
          <w:jc w:val="center"/>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1 846</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2 246</w:t>
            </w:r>
          </w:p>
        </w:tc>
      </w:tr>
      <w:tr w:rsidR="00506AA9" w:rsidRPr="00D46EED" w:rsidTr="00794CD4">
        <w:trPr>
          <w:trHeight w:hRule="exact" w:val="220"/>
          <w:jc w:val="center"/>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8 154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326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1 920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2 246</w:t>
            </w:r>
          </w:p>
        </w:tc>
      </w:tr>
      <w:tr w:rsidR="00506AA9" w:rsidRPr="00D46EED" w:rsidTr="00794CD4">
        <w:trPr>
          <w:trHeight w:hRule="exact" w:val="220"/>
          <w:jc w:val="center"/>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6 234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249</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1 997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2 246</w:t>
            </w:r>
          </w:p>
        </w:tc>
      </w:tr>
      <w:tr w:rsidR="00506AA9" w:rsidRPr="00D46EED" w:rsidTr="00794CD4">
        <w:trPr>
          <w:trHeight w:hRule="exact" w:val="220"/>
          <w:jc w:val="center"/>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4 237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169</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2 077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2 246</w:t>
            </w:r>
          </w:p>
        </w:tc>
      </w:tr>
      <w:tr w:rsidR="00506AA9" w:rsidRPr="00D46EED" w:rsidTr="00794CD4">
        <w:trPr>
          <w:trHeight w:hRule="exact" w:val="358"/>
          <w:jc w:val="center"/>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2 160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86</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2 160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2 246</w:t>
            </w:r>
          </w:p>
        </w:tc>
      </w:tr>
      <w:tr w:rsidR="00506AA9" w:rsidRPr="00D46EED" w:rsidTr="00794CD4">
        <w:trPr>
          <w:trHeight w:hRule="exact" w:val="356"/>
          <w:jc w:val="center"/>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1 231</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11 231</w:t>
            </w:r>
          </w:p>
        </w:tc>
      </w:tr>
    </w:tbl>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Gadījums B3 – atvieglojumu periods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Attiecībā uz pamatsummu tiek panākta vienošanās par trīs gadu termiņa pagarinājumu (procenti tiek pārvērsti kapitālā).</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16"/>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beigu atmaksu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752"/>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D46EED"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10 600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(636)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11 236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(674)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r>
      <w:tr w:rsidR="00506AA9" w:rsidRPr="00D46EED" w:rsidTr="00794CD4">
        <w:trPr>
          <w:trHeight w:hRule="exact" w:val="296"/>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714</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12 624</w:t>
            </w:r>
          </w:p>
        </w:tc>
      </w:tr>
      <w:tr w:rsidR="00506AA9" w:rsidRPr="00D46EED" w:rsidTr="00794CD4">
        <w:trPr>
          <w:trHeight w:hRule="exact" w:val="260"/>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cs="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3 570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15 480</w:t>
            </w:r>
          </w:p>
        </w:tc>
      </w:tr>
    </w:tbl>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0"/>
          <w:numId w:val="116"/>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nemainīgu amortizāciju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82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D46EED"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10 600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636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11 236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674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715</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3 097</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9 528</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572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2 954</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7 146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429</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2 811</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4 764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286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2 668</w:t>
            </w:r>
          </w:p>
        </w:tc>
      </w:tr>
      <w:tr w:rsidR="00506AA9" w:rsidRPr="00D46EED" w:rsidTr="005A7579">
        <w:trPr>
          <w:trHeight w:hRule="exact" w:val="430"/>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143</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2 382</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2 525</w:t>
            </w:r>
          </w:p>
        </w:tc>
      </w:tr>
      <w:tr w:rsidR="00506AA9" w:rsidRPr="00D46EED" w:rsidTr="00794CD4">
        <w:trPr>
          <w:trHeight w:hRule="exact" w:val="307"/>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cs="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2 144</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14 054</w:t>
            </w:r>
          </w:p>
        </w:tc>
      </w:tr>
    </w:tbl>
    <w:p w:rsidR="00794CD4" w:rsidRDefault="00794CD4" w:rsidP="00506AA9">
      <w:pPr>
        <w:jc w:val="both"/>
        <w:rPr>
          <w:rFonts w:ascii="Times New Roman" w:eastAsia="Arial" w:hAnsi="Times New Roman" w:cs="Arial"/>
          <w:noProof/>
          <w:sz w:val="24"/>
          <w:szCs w:val="20"/>
        </w:rPr>
      </w:pPr>
    </w:p>
    <w:p w:rsidR="00794CD4" w:rsidRDefault="00794CD4">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BodyText"/>
        <w:numPr>
          <w:ilvl w:val="0"/>
          <w:numId w:val="116"/>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nemainīgu gada maksu</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746"/>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(gada kopējais maksājums)</w:t>
            </w:r>
          </w:p>
        </w:tc>
      </w:tr>
      <w:tr w:rsidR="00506AA9" w:rsidRPr="00D46EED"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10 000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10 636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636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11 236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i/>
                <w:noProof/>
                <w:sz w:val="20"/>
                <w:szCs w:val="20"/>
              </w:rPr>
            </w:pPr>
            <w:r>
              <w:rPr>
                <w:rFonts w:ascii="Times New Roman" w:hAnsi="Times New Roman"/>
                <w:i/>
                <w:noProof/>
                <w:sz w:val="20"/>
              </w:rPr>
              <w:t>674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715</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2 113</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2 827</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9 797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588</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2 240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2 827</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7 558</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453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2 374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2 827</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7</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5 184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311</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2 516</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2 827</w:t>
            </w:r>
          </w:p>
        </w:tc>
      </w:tr>
      <w:tr w:rsidR="00506AA9" w:rsidRPr="00D46EED" w:rsidTr="005A7579">
        <w:trPr>
          <w:trHeight w:hRule="exact" w:val="430"/>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8</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2 667</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160</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2 667</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2 827</w:t>
            </w:r>
          </w:p>
        </w:tc>
      </w:tr>
      <w:tr w:rsidR="00506AA9" w:rsidRPr="00D46EED" w:rsidTr="00794CD4">
        <w:trPr>
          <w:trHeight w:hRule="exact" w:val="36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cs="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2 227</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11 910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cs="Times New Roman"/>
                <w:noProof/>
                <w:sz w:val="20"/>
                <w:szCs w:val="20"/>
              </w:rPr>
            </w:pPr>
            <w:r>
              <w:rPr>
                <w:rFonts w:ascii="Times New Roman" w:hAnsi="Times New Roman"/>
                <w:noProof/>
                <w:sz w:val="20"/>
              </w:rPr>
              <w:t>14 137</w:t>
            </w:r>
          </w:p>
        </w:tc>
      </w:tr>
    </w:tbl>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Gadījums C1</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Jaunā procentu likme ir 4 %. Pieejams jaunais gada maksu grafiks. Mēs nosakām jauno pamatsummu, kas nav zināma.</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15"/>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beigu atmaksu (četras pirmās gada maksas = 300)</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805"/>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r>
      <w:tr w:rsidR="00506AA9" w:rsidRPr="00D46EED"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300</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7 800</w:t>
            </w:r>
          </w:p>
        </w:tc>
      </w:tr>
      <w:tr w:rsidR="00506AA9" w:rsidRPr="00D46EED" w:rsidTr="00794CD4">
        <w:trPr>
          <w:trHeight w:hRule="exact" w:val="31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1 500</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7 500</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left="709"/>
        <w:jc w:val="both"/>
        <w:rPr>
          <w:rFonts w:ascii="Times New Roman" w:hAnsi="Times New Roman"/>
          <w:noProof/>
          <w:sz w:val="24"/>
        </w:rPr>
      </w:pPr>
      <w:r>
        <w:rPr>
          <w:rFonts w:ascii="Times New Roman" w:hAnsi="Times New Roman"/>
          <w:noProof/>
          <w:sz w:val="24"/>
        </w:rPr>
        <w:t>Ka</w:t>
      </w:r>
      <w:r w:rsidR="0057710B">
        <w:rPr>
          <w:rFonts w:ascii="Times New Roman" w:hAnsi="Times New Roman"/>
          <w:noProof/>
          <w:sz w:val="24"/>
        </w:rPr>
        <w:t>pitāla pārvedums, kas ierakstīts</w:t>
      </w:r>
      <w:r>
        <w:rPr>
          <w:rFonts w:ascii="Times New Roman" w:hAnsi="Times New Roman"/>
          <w:noProof/>
          <w:sz w:val="24"/>
        </w:rPr>
        <w:t xml:space="preserve"> jaunā līguma darbības laikā: 2 500</w:t>
      </w:r>
    </w:p>
    <w:p w:rsidR="00506AA9" w:rsidRPr="001973D0" w:rsidRDefault="00506AA9" w:rsidP="00506AA9">
      <w:pPr>
        <w:jc w:val="both"/>
        <w:rPr>
          <w:rFonts w:ascii="Times New Roman" w:eastAsia="Arial" w:hAnsi="Times New Roman" w:cs="Arial"/>
          <w:noProof/>
          <w:sz w:val="24"/>
          <w:szCs w:val="23"/>
        </w:rPr>
      </w:pPr>
    </w:p>
    <w:p w:rsidR="00506AA9" w:rsidRPr="001973D0" w:rsidRDefault="00506AA9" w:rsidP="00506AA9">
      <w:pPr>
        <w:pStyle w:val="BodyText"/>
        <w:numPr>
          <w:ilvl w:val="0"/>
          <w:numId w:val="115"/>
        </w:numPr>
        <w:tabs>
          <w:tab w:val="left" w:pos="1102"/>
        </w:tabs>
        <w:spacing w:before="0"/>
        <w:ind w:left="709" w:hanging="709"/>
        <w:jc w:val="both"/>
        <w:rPr>
          <w:rFonts w:ascii="Times New Roman" w:hAnsi="Times New Roman"/>
          <w:noProof/>
          <w:sz w:val="24"/>
        </w:rPr>
      </w:pPr>
      <w:r>
        <w:rPr>
          <w:rFonts w:ascii="Times New Roman" w:hAnsi="Times New Roman"/>
          <w:noProof/>
          <w:sz w:val="24"/>
        </w:rPr>
        <w:t>Aizdevums ar nemainīgu amortizāciju (kopā gada maksas = 9000).</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753"/>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8 036</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321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1 929</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6 429</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257</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1 864</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4 822</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193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3 214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129</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1 736</w:t>
            </w:r>
          </w:p>
        </w:tc>
      </w:tr>
      <w:tr w:rsidR="00506AA9" w:rsidRPr="00D46EED"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64</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1 607</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1 671</w:t>
            </w:r>
          </w:p>
        </w:tc>
      </w:tr>
      <w:tr w:rsidR="00506AA9" w:rsidRPr="00D46EED" w:rsidTr="00794CD4">
        <w:trPr>
          <w:trHeight w:hRule="exact" w:val="354"/>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964</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8 036</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left="709"/>
        <w:jc w:val="both"/>
        <w:rPr>
          <w:rFonts w:ascii="Times New Roman" w:hAnsi="Times New Roman"/>
          <w:noProof/>
          <w:sz w:val="24"/>
        </w:rPr>
      </w:pPr>
      <w:r>
        <w:rPr>
          <w:rFonts w:ascii="Times New Roman" w:hAnsi="Times New Roman"/>
          <w:noProof/>
          <w:sz w:val="24"/>
        </w:rPr>
        <w:t>Ka</w:t>
      </w:r>
      <w:r w:rsidR="0057710B">
        <w:rPr>
          <w:rFonts w:ascii="Times New Roman" w:hAnsi="Times New Roman"/>
          <w:noProof/>
          <w:sz w:val="24"/>
        </w:rPr>
        <w:t>pitāla pārvedums, kas ierakstīts</w:t>
      </w:r>
      <w:r>
        <w:rPr>
          <w:rFonts w:ascii="Times New Roman" w:hAnsi="Times New Roman"/>
          <w:noProof/>
          <w:sz w:val="24"/>
        </w:rPr>
        <w:t xml:space="preserve"> jaunā līguma darbības laikā: 1 964</w:t>
      </w:r>
    </w:p>
    <w:p w:rsidR="00506AA9" w:rsidRPr="001973D0" w:rsidRDefault="00506AA9" w:rsidP="00506AA9">
      <w:pPr>
        <w:jc w:val="both"/>
        <w:rPr>
          <w:rFonts w:ascii="Times New Roman" w:eastAsia="Arial" w:hAnsi="Times New Roman" w:cs="Arial"/>
          <w:noProof/>
          <w:sz w:val="24"/>
          <w:szCs w:val="19"/>
        </w:rPr>
      </w:pPr>
    </w:p>
    <w:p w:rsidR="00794CD4" w:rsidRDefault="00794CD4">
      <w:pPr>
        <w:widowControl/>
        <w:spacing w:after="160" w:line="259" w:lineRule="auto"/>
        <w:rPr>
          <w:rFonts w:ascii="Times New Roman" w:eastAsia="Arial" w:hAnsi="Times New Roman"/>
          <w:noProof/>
          <w:sz w:val="24"/>
        </w:rPr>
      </w:pPr>
      <w:r>
        <w:rPr>
          <w:rFonts w:ascii="Times New Roman" w:hAnsi="Times New Roman"/>
          <w:noProof/>
          <w:sz w:val="24"/>
        </w:rPr>
        <w:br w:type="page"/>
      </w:r>
    </w:p>
    <w:p w:rsidR="00506AA9" w:rsidRPr="001973D0" w:rsidRDefault="00506AA9" w:rsidP="00506AA9">
      <w:pPr>
        <w:pStyle w:val="BodyText"/>
        <w:numPr>
          <w:ilvl w:val="0"/>
          <w:numId w:val="115"/>
        </w:numPr>
        <w:tabs>
          <w:tab w:val="left" w:pos="1182"/>
        </w:tabs>
        <w:spacing w:before="0"/>
        <w:ind w:left="709" w:hanging="709"/>
        <w:jc w:val="both"/>
        <w:rPr>
          <w:rFonts w:ascii="Times New Roman" w:hAnsi="Times New Roman"/>
          <w:noProof/>
          <w:sz w:val="24"/>
        </w:rPr>
      </w:pPr>
      <w:r>
        <w:rPr>
          <w:rFonts w:ascii="Times New Roman" w:hAnsi="Times New Roman"/>
          <w:noProof/>
          <w:sz w:val="24"/>
        </w:rPr>
        <w:lastRenderedPageBreak/>
        <w:t>Aizdevums ar nemainīgu gada maksu (gada maksas kopā = 9 000)</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D46EED" w:rsidTr="00794CD4">
        <w:trPr>
          <w:trHeight w:hRule="exact" w:val="730"/>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D46EED"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8 013</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321</w:t>
            </w:r>
          </w:p>
        </w:tc>
        <w:tc>
          <w:tcPr>
            <w:tcW w:w="1001"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1 479</w:t>
            </w:r>
          </w:p>
        </w:tc>
        <w:tc>
          <w:tcPr>
            <w:tcW w:w="1000" w:type="pct"/>
            <w:tcBorders>
              <w:top w:val="single" w:sz="7" w:space="0" w:color="000000"/>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6 534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261</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1 539</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4 995</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200</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1 600</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5A7579">
        <w:trPr>
          <w:trHeight w:hRule="exact" w:val="220"/>
        </w:trPr>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3 395</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136</w:t>
            </w:r>
          </w:p>
        </w:tc>
        <w:tc>
          <w:tcPr>
            <w:tcW w:w="1001"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1 664</w:t>
            </w:r>
          </w:p>
        </w:tc>
        <w:tc>
          <w:tcPr>
            <w:tcW w:w="1000" w:type="pct"/>
            <w:tcBorders>
              <w:top w:val="nil"/>
              <w:left w:val="single" w:sz="7" w:space="0" w:color="000000"/>
              <w:bottom w:val="nil"/>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1 731</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69</w:t>
            </w:r>
          </w:p>
        </w:tc>
        <w:tc>
          <w:tcPr>
            <w:tcW w:w="1001"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1 731</w:t>
            </w:r>
          </w:p>
        </w:tc>
        <w:tc>
          <w:tcPr>
            <w:tcW w:w="1000" w:type="pct"/>
            <w:tcBorders>
              <w:top w:val="nil"/>
              <w:left w:val="single" w:sz="7" w:space="0" w:color="000000"/>
              <w:bottom w:val="single" w:sz="7" w:space="0" w:color="000000"/>
              <w:right w:val="single" w:sz="7" w:space="0" w:color="000000"/>
            </w:tcBorders>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D46EED" w:rsidTr="00794CD4">
        <w:trPr>
          <w:trHeight w:hRule="exact" w:val="336"/>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987</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8 013</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D46EED"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firstLine="720"/>
        <w:jc w:val="both"/>
        <w:rPr>
          <w:rFonts w:ascii="Times New Roman" w:hAnsi="Times New Roman"/>
          <w:noProof/>
          <w:sz w:val="24"/>
        </w:rPr>
      </w:pPr>
      <w:r>
        <w:rPr>
          <w:rFonts w:ascii="Times New Roman" w:hAnsi="Times New Roman"/>
          <w:noProof/>
          <w:sz w:val="24"/>
        </w:rPr>
        <w:t>Ka</w:t>
      </w:r>
      <w:r w:rsidR="0057710B">
        <w:rPr>
          <w:rFonts w:ascii="Times New Roman" w:hAnsi="Times New Roman"/>
          <w:noProof/>
          <w:sz w:val="24"/>
        </w:rPr>
        <w:t>pitāla pārvedums, kas ierakstīts</w:t>
      </w:r>
      <w:r>
        <w:rPr>
          <w:rFonts w:ascii="Times New Roman" w:hAnsi="Times New Roman"/>
          <w:noProof/>
          <w:sz w:val="24"/>
        </w:rPr>
        <w:t xml:space="preserve"> jaunā līguma darbības laikā: 1 987</w:t>
      </w:r>
    </w:p>
    <w:p w:rsidR="00506AA9" w:rsidRPr="001973D0" w:rsidRDefault="00506AA9" w:rsidP="00506AA9">
      <w:pPr>
        <w:jc w:val="both"/>
        <w:rPr>
          <w:rFonts w:ascii="Times New Roman" w:eastAsia="Arial" w:hAnsi="Times New Roman" w:cs="Arial"/>
          <w:noProof/>
          <w:sz w:val="24"/>
          <w:szCs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Gadījums C2 – jaunā procentu likme nav zināma</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Jaunā procentu likme nav zināma. Pieejams jaunais gada maksu grafiks. Mēs nosakām jauno pamatsummu, kas nav zināma, izmantojot sākotnējo likmi – 6 %.</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14"/>
        </w:numPr>
        <w:tabs>
          <w:tab w:val="left" w:pos="426"/>
          <w:tab w:val="left" w:pos="1182"/>
        </w:tabs>
        <w:spacing w:before="0"/>
        <w:ind w:left="709" w:hanging="709"/>
        <w:jc w:val="both"/>
        <w:rPr>
          <w:rFonts w:ascii="Times New Roman" w:hAnsi="Times New Roman"/>
          <w:noProof/>
          <w:sz w:val="24"/>
        </w:rPr>
      </w:pPr>
      <w:r>
        <w:rPr>
          <w:rFonts w:ascii="Times New Roman" w:hAnsi="Times New Roman"/>
          <w:noProof/>
          <w:sz w:val="24"/>
        </w:rPr>
        <w:t>Aizdevums ar beigu atmaksu (četras pirmās gada maksas = 415)</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FA0D1F" w:rsidTr="00794CD4">
        <w:trPr>
          <w:trHeight w:hRule="exact" w:val="765"/>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ind w:firstLine="17"/>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FA0D1F"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single" w:sz="7" w:space="0" w:color="000000"/>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c>
          <w:tcPr>
            <w:tcW w:w="1001" w:type="pct"/>
            <w:tcBorders>
              <w:top w:val="single" w:sz="7" w:space="0" w:color="000000"/>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single" w:sz="7" w:space="0" w:color="000000"/>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r>
      <w:tr w:rsidR="00506AA9" w:rsidRPr="00FA0D1F" w:rsidTr="005A7579">
        <w:trPr>
          <w:trHeight w:hRule="exact" w:val="220"/>
        </w:trPr>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r>
      <w:tr w:rsidR="00506AA9" w:rsidRPr="00FA0D1F" w:rsidTr="00794CD4">
        <w:trPr>
          <w:trHeight w:hRule="exact" w:val="389"/>
        </w:trPr>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r>
      <w:tr w:rsidR="00506AA9" w:rsidRPr="00FA0D1F" w:rsidTr="005A7579">
        <w:trPr>
          <w:trHeight w:hRule="exact" w:val="220"/>
        </w:trPr>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c>
          <w:tcPr>
            <w:tcW w:w="1001"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0</w:t>
            </w:r>
          </w:p>
        </w:tc>
        <w:tc>
          <w:tcPr>
            <w:tcW w:w="1000" w:type="pct"/>
            <w:tcBorders>
              <w:top w:val="nil"/>
              <w:left w:val="single" w:sz="7" w:space="0" w:color="000000"/>
              <w:bottom w:val="nil"/>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r>
      <w:tr w:rsidR="00506AA9" w:rsidRPr="00FA0D1F"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nil"/>
              <w:left w:val="single" w:sz="7" w:space="0" w:color="000000"/>
              <w:bottom w:val="single" w:sz="7" w:space="0" w:color="000000"/>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415</w:t>
            </w:r>
          </w:p>
        </w:tc>
        <w:tc>
          <w:tcPr>
            <w:tcW w:w="1001" w:type="pct"/>
            <w:tcBorders>
              <w:top w:val="nil"/>
              <w:left w:val="single" w:sz="7" w:space="0" w:color="000000"/>
              <w:bottom w:val="single" w:sz="7" w:space="0" w:color="000000"/>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nil"/>
              <w:left w:val="single" w:sz="7" w:space="0" w:color="000000"/>
              <w:bottom w:val="single" w:sz="7" w:space="0" w:color="000000"/>
              <w:right w:val="single" w:sz="7" w:space="0" w:color="000000"/>
            </w:tcBorders>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7 338</w:t>
            </w:r>
          </w:p>
        </w:tc>
      </w:tr>
      <w:tr w:rsidR="00506AA9" w:rsidRPr="00FA0D1F" w:rsidTr="00794CD4">
        <w:trPr>
          <w:trHeight w:hRule="exact" w:val="374"/>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2 077</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6 923</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FA0D1F"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left="709"/>
        <w:jc w:val="both"/>
        <w:rPr>
          <w:rFonts w:ascii="Times New Roman" w:hAnsi="Times New Roman"/>
          <w:noProof/>
          <w:sz w:val="24"/>
        </w:rPr>
      </w:pPr>
      <w:r>
        <w:rPr>
          <w:rFonts w:ascii="Times New Roman" w:hAnsi="Times New Roman"/>
          <w:noProof/>
          <w:sz w:val="24"/>
        </w:rPr>
        <w:t>Ka</w:t>
      </w:r>
      <w:r w:rsidR="0057710B">
        <w:rPr>
          <w:rFonts w:ascii="Times New Roman" w:hAnsi="Times New Roman"/>
          <w:noProof/>
          <w:sz w:val="24"/>
        </w:rPr>
        <w:t>pitāla pārvedums, kas ierakstīts</w:t>
      </w:r>
      <w:r>
        <w:rPr>
          <w:rFonts w:ascii="Times New Roman" w:hAnsi="Times New Roman"/>
          <w:noProof/>
          <w:sz w:val="24"/>
        </w:rPr>
        <w:t xml:space="preserve"> jaunā līguma darbības laikā: 3 067</w:t>
      </w:r>
    </w:p>
    <w:p w:rsidR="00506AA9" w:rsidRPr="001973D0" w:rsidRDefault="00506AA9" w:rsidP="00506AA9">
      <w:pPr>
        <w:jc w:val="both"/>
        <w:rPr>
          <w:rFonts w:ascii="Times New Roman" w:eastAsia="Arial" w:hAnsi="Times New Roman" w:cs="Arial"/>
          <w:noProof/>
          <w:sz w:val="24"/>
          <w:szCs w:val="18"/>
        </w:rPr>
      </w:pPr>
    </w:p>
    <w:p w:rsidR="00506AA9" w:rsidRPr="001973D0" w:rsidRDefault="00506AA9" w:rsidP="00506AA9">
      <w:pPr>
        <w:pStyle w:val="BodyText"/>
        <w:numPr>
          <w:ilvl w:val="0"/>
          <w:numId w:val="114"/>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amortizāciju (kopā gada maksas = 9 000).</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2C3386" w:rsidTr="00794CD4">
        <w:trPr>
          <w:trHeight w:hRule="exact" w:val="75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2C3386" w:rsidTr="005A7579">
        <w:trPr>
          <w:trHeight w:hRule="exact" w:val="243"/>
        </w:trPr>
        <w:tc>
          <w:tcPr>
            <w:tcW w:w="1000" w:type="pct"/>
            <w:tcBorders>
              <w:top w:val="single" w:sz="7" w:space="0" w:color="000000"/>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b/>
                <w:noProof/>
                <w:sz w:val="20"/>
                <w:szCs w:val="20"/>
              </w:rPr>
            </w:pPr>
            <w:r>
              <w:rPr>
                <w:rFonts w:ascii="Times New Roman" w:hAnsi="Times New Roman"/>
                <w:b/>
                <w:noProof/>
                <w:sz w:val="20"/>
              </w:rPr>
              <w:t>7 627</w:t>
            </w:r>
          </w:p>
        </w:tc>
        <w:tc>
          <w:tcPr>
            <w:tcW w:w="1000" w:type="pct"/>
            <w:tcBorders>
              <w:top w:val="single" w:sz="7" w:space="0" w:color="000000"/>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458</w:t>
            </w:r>
          </w:p>
        </w:tc>
        <w:tc>
          <w:tcPr>
            <w:tcW w:w="1001" w:type="pct"/>
            <w:tcBorders>
              <w:top w:val="single" w:sz="7" w:space="0" w:color="000000"/>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single" w:sz="7" w:space="0" w:color="000000"/>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1 983</w:t>
            </w:r>
          </w:p>
        </w:tc>
      </w:tr>
      <w:tr w:rsidR="00506AA9" w:rsidRPr="002C3386" w:rsidTr="005A7579">
        <w:trPr>
          <w:trHeight w:hRule="exact" w:val="220"/>
        </w:trPr>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6 102</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366</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1 891</w:t>
            </w:r>
          </w:p>
        </w:tc>
      </w:tr>
      <w:tr w:rsidR="00506AA9" w:rsidRPr="002C3386" w:rsidTr="005A7579">
        <w:trPr>
          <w:trHeight w:hRule="exact" w:val="220"/>
        </w:trPr>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4 576</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275</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2C3386" w:rsidTr="005A7579">
        <w:trPr>
          <w:trHeight w:hRule="exact" w:val="220"/>
        </w:trPr>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3 051</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183</w:t>
            </w:r>
          </w:p>
        </w:tc>
        <w:tc>
          <w:tcPr>
            <w:tcW w:w="1001"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nil"/>
              <w:left w:val="single" w:sz="7" w:space="0" w:color="000000"/>
              <w:bottom w:val="nil"/>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1 708</w:t>
            </w:r>
          </w:p>
        </w:tc>
      </w:tr>
      <w:tr w:rsidR="00506AA9" w:rsidRPr="002C3386" w:rsidTr="005A7579">
        <w:trPr>
          <w:trHeight w:hRule="exact" w:val="211"/>
        </w:trPr>
        <w:tc>
          <w:tcPr>
            <w:tcW w:w="1000" w:type="pct"/>
            <w:tcBorders>
              <w:top w:val="nil"/>
              <w:left w:val="single" w:sz="7" w:space="0" w:color="000000"/>
              <w:bottom w:val="single" w:sz="7" w:space="0" w:color="000000"/>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nil"/>
              <w:left w:val="single" w:sz="7" w:space="0" w:color="000000"/>
              <w:bottom w:val="single" w:sz="7" w:space="0" w:color="000000"/>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92</w:t>
            </w:r>
          </w:p>
        </w:tc>
        <w:tc>
          <w:tcPr>
            <w:tcW w:w="1001" w:type="pct"/>
            <w:tcBorders>
              <w:top w:val="nil"/>
              <w:left w:val="single" w:sz="7" w:space="0" w:color="000000"/>
              <w:bottom w:val="single" w:sz="7" w:space="0" w:color="000000"/>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1 525</w:t>
            </w:r>
          </w:p>
        </w:tc>
        <w:tc>
          <w:tcPr>
            <w:tcW w:w="1000" w:type="pct"/>
            <w:tcBorders>
              <w:top w:val="nil"/>
              <w:left w:val="single" w:sz="7" w:space="0" w:color="000000"/>
              <w:bottom w:val="single" w:sz="7" w:space="0" w:color="000000"/>
              <w:right w:val="single" w:sz="7" w:space="0" w:color="000000"/>
            </w:tcBorders>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1 617</w:t>
            </w:r>
          </w:p>
        </w:tc>
      </w:tr>
      <w:tr w:rsidR="00506AA9" w:rsidRPr="002C3386" w:rsidTr="00794CD4">
        <w:trPr>
          <w:trHeight w:hRule="exact" w:val="328"/>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1 373</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7 627</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2C3386"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left="709"/>
        <w:jc w:val="both"/>
        <w:rPr>
          <w:rFonts w:ascii="Times New Roman" w:hAnsi="Times New Roman"/>
          <w:noProof/>
          <w:sz w:val="24"/>
        </w:rPr>
      </w:pPr>
      <w:r>
        <w:rPr>
          <w:rFonts w:ascii="Times New Roman" w:hAnsi="Times New Roman"/>
          <w:noProof/>
          <w:sz w:val="24"/>
        </w:rPr>
        <w:t>Kapitāla pārv</w:t>
      </w:r>
      <w:r w:rsidR="0057710B">
        <w:rPr>
          <w:rFonts w:ascii="Times New Roman" w:hAnsi="Times New Roman"/>
          <w:noProof/>
          <w:sz w:val="24"/>
        </w:rPr>
        <w:t>edums, kas ierakstīts</w:t>
      </w:r>
      <w:r>
        <w:rPr>
          <w:rFonts w:ascii="Times New Roman" w:hAnsi="Times New Roman"/>
          <w:noProof/>
          <w:sz w:val="24"/>
        </w:rPr>
        <w:t xml:space="preserve"> jaunā līguma darbības laikā: 2 363</w:t>
      </w:r>
    </w:p>
    <w:p w:rsidR="00794CD4" w:rsidRDefault="00794CD4">
      <w:pPr>
        <w:widowControl/>
        <w:spacing w:after="160" w:line="259" w:lineRule="auto"/>
        <w:rPr>
          <w:rFonts w:ascii="Times New Roman" w:eastAsia="Arial" w:hAnsi="Times New Roman" w:cs="Arial"/>
          <w:noProof/>
          <w:sz w:val="24"/>
          <w:szCs w:val="18"/>
        </w:rPr>
      </w:pPr>
      <w:r>
        <w:rPr>
          <w:rFonts w:ascii="Times New Roman" w:eastAsia="Arial" w:hAnsi="Times New Roman" w:cs="Arial"/>
          <w:noProof/>
          <w:sz w:val="24"/>
          <w:szCs w:val="18"/>
        </w:rPr>
        <w:br w:type="page"/>
      </w:r>
    </w:p>
    <w:p w:rsidR="00506AA9" w:rsidRPr="001973D0" w:rsidRDefault="00506AA9" w:rsidP="00506AA9">
      <w:pPr>
        <w:jc w:val="both"/>
        <w:rPr>
          <w:rFonts w:ascii="Times New Roman" w:eastAsia="Arial" w:hAnsi="Times New Roman" w:cs="Arial"/>
          <w:noProof/>
          <w:sz w:val="24"/>
          <w:szCs w:val="18"/>
        </w:rPr>
      </w:pPr>
    </w:p>
    <w:p w:rsidR="00506AA9" w:rsidRPr="001973D0" w:rsidRDefault="00506AA9" w:rsidP="00506AA9">
      <w:pPr>
        <w:pStyle w:val="BodyText"/>
        <w:numPr>
          <w:ilvl w:val="0"/>
          <w:numId w:val="114"/>
        </w:numPr>
        <w:tabs>
          <w:tab w:val="left" w:pos="1182"/>
        </w:tabs>
        <w:spacing w:before="0"/>
        <w:ind w:left="709" w:hanging="709"/>
        <w:jc w:val="both"/>
        <w:rPr>
          <w:rFonts w:ascii="Times New Roman" w:hAnsi="Times New Roman"/>
          <w:noProof/>
          <w:sz w:val="24"/>
        </w:rPr>
      </w:pPr>
      <w:r>
        <w:rPr>
          <w:rFonts w:ascii="Times New Roman" w:hAnsi="Times New Roman"/>
          <w:noProof/>
          <w:sz w:val="24"/>
        </w:rPr>
        <w:t>Aizdevums ar nemainīgu gada maksu (gada maksas kopā = 9 000)</w:t>
      </w:r>
    </w:p>
    <w:p w:rsidR="00506AA9" w:rsidRPr="001973D0" w:rsidRDefault="00506AA9" w:rsidP="00506AA9">
      <w:pPr>
        <w:jc w:val="both"/>
        <w:rPr>
          <w:rFonts w:ascii="Times New Roman" w:eastAsia="Arial" w:hAnsi="Times New Roman" w:cs="Arial"/>
          <w:noProof/>
          <w:sz w:val="24"/>
          <w:szCs w:val="5"/>
        </w:rPr>
      </w:pPr>
    </w:p>
    <w:tbl>
      <w:tblPr>
        <w:tblW w:w="5000" w:type="pct"/>
        <w:tblCellMar>
          <w:top w:w="28" w:type="dxa"/>
          <w:left w:w="28" w:type="dxa"/>
          <w:bottom w:w="28" w:type="dxa"/>
          <w:right w:w="28" w:type="dxa"/>
        </w:tblCellMar>
        <w:tblLook w:val="01E0" w:firstRow="1" w:lastRow="1" w:firstColumn="1" w:lastColumn="1" w:noHBand="0" w:noVBand="0"/>
      </w:tblPr>
      <w:tblGrid>
        <w:gridCol w:w="1811"/>
        <w:gridCol w:w="1812"/>
        <w:gridCol w:w="1811"/>
        <w:gridCol w:w="1812"/>
        <w:gridCol w:w="1807"/>
      </w:tblGrid>
      <w:tr w:rsidR="00506AA9" w:rsidRPr="006D19D6" w:rsidTr="00794CD4">
        <w:trPr>
          <w:trHeight w:hRule="exact" w:val="771"/>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Periods</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Pamatsumma perioda sākumā</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Perioda procenti</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ind w:hanging="477"/>
              <w:jc w:val="center"/>
              <w:rPr>
                <w:rFonts w:ascii="Times New Roman" w:hAnsi="Times New Roman"/>
                <w:noProof/>
                <w:sz w:val="20"/>
                <w:szCs w:val="20"/>
              </w:rPr>
            </w:pPr>
            <w:r>
              <w:rPr>
                <w:rFonts w:ascii="Times New Roman" w:hAnsi="Times New Roman"/>
                <w:noProof/>
                <w:sz w:val="20"/>
              </w:rPr>
              <w:t>Perioda amortizācija</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Gada maksa</w:t>
            </w:r>
          </w:p>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(gada kopējais maksājums)</w:t>
            </w:r>
          </w:p>
        </w:tc>
      </w:tr>
      <w:tr w:rsidR="00506AA9" w:rsidRPr="006D19D6" w:rsidTr="005A7579">
        <w:trPr>
          <w:trHeight w:hRule="exact" w:val="244"/>
        </w:trPr>
        <w:tc>
          <w:tcPr>
            <w:tcW w:w="1000" w:type="pct"/>
            <w:tcBorders>
              <w:top w:val="single" w:sz="7" w:space="0" w:color="000000"/>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w:t>
            </w:r>
          </w:p>
        </w:tc>
        <w:tc>
          <w:tcPr>
            <w:tcW w:w="1001" w:type="pct"/>
            <w:tcBorders>
              <w:top w:val="single" w:sz="7" w:space="0" w:color="000000"/>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b/>
                <w:noProof/>
                <w:sz w:val="20"/>
                <w:szCs w:val="20"/>
              </w:rPr>
            </w:pPr>
            <w:r>
              <w:rPr>
                <w:rFonts w:ascii="Times New Roman" w:hAnsi="Times New Roman"/>
                <w:b/>
                <w:noProof/>
                <w:sz w:val="20"/>
              </w:rPr>
              <w:t>7 582</w:t>
            </w:r>
          </w:p>
        </w:tc>
        <w:tc>
          <w:tcPr>
            <w:tcW w:w="1000" w:type="pct"/>
            <w:tcBorders>
              <w:top w:val="single" w:sz="7" w:space="0" w:color="000000"/>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455</w:t>
            </w:r>
          </w:p>
        </w:tc>
        <w:tc>
          <w:tcPr>
            <w:tcW w:w="1001" w:type="pct"/>
            <w:tcBorders>
              <w:top w:val="single" w:sz="7" w:space="0" w:color="000000"/>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1 345</w:t>
            </w:r>
          </w:p>
        </w:tc>
        <w:tc>
          <w:tcPr>
            <w:tcW w:w="1000" w:type="pct"/>
            <w:tcBorders>
              <w:top w:val="single" w:sz="7" w:space="0" w:color="000000"/>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6D19D6" w:rsidTr="005A7579">
        <w:trPr>
          <w:trHeight w:hRule="exact" w:val="220"/>
        </w:trPr>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2</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6 237</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374</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1 426</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6D19D6" w:rsidTr="005A7579">
        <w:trPr>
          <w:trHeight w:hRule="exact" w:val="220"/>
        </w:trPr>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3</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4 811</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289</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1 511</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6D19D6" w:rsidTr="005A7579">
        <w:trPr>
          <w:trHeight w:hRule="exact" w:val="220"/>
        </w:trPr>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4</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3 300</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198</w:t>
            </w:r>
          </w:p>
        </w:tc>
        <w:tc>
          <w:tcPr>
            <w:tcW w:w="1001"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1 602</w:t>
            </w:r>
          </w:p>
        </w:tc>
        <w:tc>
          <w:tcPr>
            <w:tcW w:w="1000" w:type="pct"/>
            <w:tcBorders>
              <w:top w:val="nil"/>
              <w:left w:val="single" w:sz="7" w:space="0" w:color="000000"/>
              <w:bottom w:val="nil"/>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6D19D6" w:rsidTr="00794CD4">
        <w:trPr>
          <w:trHeight w:hRule="exact" w:val="377"/>
        </w:trPr>
        <w:tc>
          <w:tcPr>
            <w:tcW w:w="1000" w:type="pct"/>
            <w:tcBorders>
              <w:top w:val="nil"/>
              <w:left w:val="single" w:sz="7" w:space="0" w:color="000000"/>
              <w:bottom w:val="single" w:sz="7" w:space="0" w:color="000000"/>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5</w:t>
            </w:r>
          </w:p>
        </w:tc>
        <w:tc>
          <w:tcPr>
            <w:tcW w:w="1001" w:type="pct"/>
            <w:tcBorders>
              <w:top w:val="nil"/>
              <w:left w:val="single" w:sz="7" w:space="0" w:color="000000"/>
              <w:bottom w:val="single" w:sz="7" w:space="0" w:color="000000"/>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1 698</w:t>
            </w:r>
          </w:p>
        </w:tc>
        <w:tc>
          <w:tcPr>
            <w:tcW w:w="1000" w:type="pct"/>
            <w:tcBorders>
              <w:top w:val="nil"/>
              <w:left w:val="single" w:sz="7" w:space="0" w:color="000000"/>
              <w:bottom w:val="single" w:sz="7" w:space="0" w:color="000000"/>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102</w:t>
            </w:r>
          </w:p>
        </w:tc>
        <w:tc>
          <w:tcPr>
            <w:tcW w:w="1001" w:type="pct"/>
            <w:tcBorders>
              <w:top w:val="nil"/>
              <w:left w:val="single" w:sz="7" w:space="0" w:color="000000"/>
              <w:bottom w:val="single" w:sz="7" w:space="0" w:color="000000"/>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1 698</w:t>
            </w:r>
          </w:p>
        </w:tc>
        <w:tc>
          <w:tcPr>
            <w:tcW w:w="1000" w:type="pct"/>
            <w:tcBorders>
              <w:top w:val="nil"/>
              <w:left w:val="single" w:sz="7" w:space="0" w:color="000000"/>
              <w:bottom w:val="single" w:sz="7" w:space="0" w:color="000000"/>
              <w:right w:val="single" w:sz="7" w:space="0" w:color="000000"/>
            </w:tcBorders>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1 800</w:t>
            </w:r>
          </w:p>
        </w:tc>
      </w:tr>
      <w:tr w:rsidR="00506AA9" w:rsidRPr="006D19D6" w:rsidTr="00794CD4">
        <w:trPr>
          <w:trHeight w:hRule="exact" w:val="299"/>
        </w:trPr>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Kopā</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jc w:val="center"/>
              <w:rPr>
                <w:rFonts w:ascii="Times New Roman" w:hAnsi="Times New Roman"/>
                <w:noProof/>
                <w:sz w:val="20"/>
                <w:szCs w:val="20"/>
              </w:rPr>
            </w:pP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1 418</w:t>
            </w:r>
          </w:p>
        </w:tc>
        <w:tc>
          <w:tcPr>
            <w:tcW w:w="1001"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7 582</w:t>
            </w:r>
          </w:p>
        </w:tc>
        <w:tc>
          <w:tcPr>
            <w:tcW w:w="1000" w:type="pct"/>
            <w:tcBorders>
              <w:top w:val="single" w:sz="7" w:space="0" w:color="000000"/>
              <w:left w:val="single" w:sz="7" w:space="0" w:color="000000"/>
              <w:bottom w:val="single" w:sz="7" w:space="0" w:color="000000"/>
              <w:right w:val="single" w:sz="7" w:space="0" w:color="000000"/>
            </w:tcBorders>
            <w:vAlign w:val="center"/>
          </w:tcPr>
          <w:p w:rsidR="00506AA9" w:rsidRPr="006D19D6" w:rsidRDefault="00506AA9" w:rsidP="00794CD4">
            <w:pPr>
              <w:pStyle w:val="TableParagraph"/>
              <w:jc w:val="center"/>
              <w:rPr>
                <w:rFonts w:ascii="Times New Roman" w:hAnsi="Times New Roman"/>
                <w:noProof/>
                <w:sz w:val="20"/>
                <w:szCs w:val="20"/>
              </w:rPr>
            </w:pPr>
            <w:r>
              <w:rPr>
                <w:rFonts w:ascii="Times New Roman" w:hAnsi="Times New Roman"/>
                <w:noProof/>
                <w:sz w:val="20"/>
              </w:rPr>
              <w:t>9 000</w:t>
            </w:r>
          </w:p>
        </w:tc>
      </w:tr>
    </w:tbl>
    <w:p w:rsidR="00506AA9" w:rsidRPr="001973D0" w:rsidRDefault="00506AA9" w:rsidP="00506AA9">
      <w:pPr>
        <w:ind w:left="709"/>
        <w:jc w:val="both"/>
        <w:rPr>
          <w:rFonts w:ascii="Times New Roman" w:hAnsi="Times New Roman"/>
          <w:noProof/>
          <w:sz w:val="24"/>
        </w:rPr>
      </w:pPr>
      <w:r>
        <w:rPr>
          <w:rFonts w:ascii="Times New Roman" w:hAnsi="Times New Roman"/>
          <w:noProof/>
          <w:sz w:val="24"/>
        </w:rPr>
        <w:t>Ka</w:t>
      </w:r>
      <w:r w:rsidR="0057710B">
        <w:rPr>
          <w:rFonts w:ascii="Times New Roman" w:hAnsi="Times New Roman"/>
          <w:noProof/>
          <w:sz w:val="24"/>
        </w:rPr>
        <w:t>pitāla pārvedums, kas ierakstīts</w:t>
      </w:r>
      <w:r>
        <w:rPr>
          <w:rFonts w:ascii="Times New Roman" w:hAnsi="Times New Roman"/>
          <w:noProof/>
          <w:sz w:val="24"/>
        </w:rPr>
        <w:t xml:space="preserve"> jaunā līguma darbības laikā: 2 418</w:t>
      </w:r>
    </w:p>
    <w:p w:rsidR="00506AA9" w:rsidRDefault="00506AA9" w:rsidP="00506AA9">
      <w:pPr>
        <w:rPr>
          <w:rFonts w:ascii="Times New Roman" w:eastAsia="Arial" w:hAnsi="Times New Roman" w:cs="Arial"/>
          <w:noProof/>
          <w:sz w:val="24"/>
          <w:szCs w:val="20"/>
        </w:rPr>
      </w:pPr>
      <w:r>
        <w:br w:type="page"/>
      </w:r>
    </w:p>
    <w:p w:rsidR="00506AA9" w:rsidRDefault="00506AA9" w:rsidP="00794CD4">
      <w:pPr>
        <w:pStyle w:val="Heading2"/>
        <w:rPr>
          <w:noProof/>
        </w:rPr>
      </w:pPr>
      <w:bookmarkStart w:id="542" w:name="VII.4__Government_guarantees"/>
      <w:bookmarkStart w:id="543" w:name="_bookmark57"/>
      <w:bookmarkStart w:id="544" w:name="_Toc471135923"/>
      <w:bookmarkEnd w:id="542"/>
      <w:bookmarkEnd w:id="543"/>
      <w:r>
        <w:rPr>
          <w:noProof/>
        </w:rPr>
        <w:lastRenderedPageBreak/>
        <w:t>VII.4. Valdības garantijas</w:t>
      </w:r>
      <w:bookmarkEnd w:id="544"/>
    </w:p>
    <w:p w:rsidR="00506AA9" w:rsidRPr="001973D0" w:rsidRDefault="00506AA9" w:rsidP="00506AA9">
      <w:pPr>
        <w:tabs>
          <w:tab w:val="left" w:pos="1462"/>
        </w:tabs>
        <w:jc w:val="both"/>
        <w:rPr>
          <w:rFonts w:ascii="Times New Roman" w:hAnsi="Times New Roman"/>
          <w:b/>
          <w:noProof/>
          <w:sz w:val="24"/>
        </w:rPr>
      </w:pPr>
    </w:p>
    <w:p w:rsidR="00506AA9" w:rsidRDefault="00506AA9" w:rsidP="00506AA9">
      <w:pPr>
        <w:pStyle w:val="Heading4"/>
        <w:tabs>
          <w:tab w:val="left" w:pos="1437"/>
        </w:tabs>
        <w:ind w:left="0" w:firstLine="0"/>
        <w:jc w:val="both"/>
        <w:rPr>
          <w:rFonts w:ascii="Times New Roman" w:hAnsi="Times New Roman"/>
          <w:noProof/>
          <w:u w:val="thick" w:color="000000"/>
        </w:rPr>
      </w:pPr>
      <w:bookmarkStart w:id="545" w:name="VII.4.1_Background"/>
      <w:bookmarkEnd w:id="545"/>
      <w:r>
        <w:rPr>
          <w:rFonts w:ascii="Times New Roman" w:hAnsi="Times New Roman"/>
          <w:noProof/>
          <w:u w:val="none"/>
        </w:rPr>
        <w:t>VII.4.1. </w:t>
      </w:r>
      <w:r>
        <w:rPr>
          <w:rFonts w:ascii="Times New Roman" w:hAnsi="Times New Roman"/>
          <w:noProof/>
          <w:u w:val="thick" w:color="000000"/>
        </w:rPr>
        <w:t>Vispārēja informācija</w:t>
      </w:r>
    </w:p>
    <w:p w:rsidR="00506AA9" w:rsidRPr="001973D0" w:rsidRDefault="00506AA9" w:rsidP="00506AA9">
      <w:pPr>
        <w:pStyle w:val="Heading4"/>
        <w:tabs>
          <w:tab w:val="left" w:pos="1437"/>
        </w:tabs>
        <w:ind w:left="0" w:firstLine="0"/>
        <w:jc w:val="both"/>
        <w:rPr>
          <w:rFonts w:ascii="Times New Roman" w:hAnsi="Times New Roman"/>
          <w:noProof/>
          <w:u w:val="thick" w:color="000000"/>
        </w:rPr>
      </w:pPr>
    </w:p>
    <w:p w:rsidR="00506AA9" w:rsidRPr="001973D0" w:rsidRDefault="00506AA9" w:rsidP="00506AA9">
      <w:pPr>
        <w:pStyle w:val="BodyText"/>
        <w:numPr>
          <w:ilvl w:val="0"/>
          <w:numId w:val="113"/>
        </w:numPr>
        <w:tabs>
          <w:tab w:val="left" w:pos="1027"/>
        </w:tabs>
        <w:spacing w:before="0"/>
        <w:ind w:left="709" w:hanging="709"/>
        <w:jc w:val="both"/>
        <w:rPr>
          <w:rFonts w:ascii="Times New Roman" w:hAnsi="Times New Roman"/>
          <w:noProof/>
          <w:sz w:val="24"/>
        </w:rPr>
      </w:pPr>
      <w:r>
        <w:rPr>
          <w:rFonts w:ascii="Times New Roman" w:hAnsi="Times New Roman"/>
          <w:noProof/>
          <w:sz w:val="24"/>
        </w:rPr>
        <w:t>Daudzās ES dalībvalstīs valdība (parasti centrālajā līmenī, bet dažkārt arī pavalsts līmeņa valdība vai vietējā pašvaldība) sniedz garantijas attiecībā uz noteiktu publiskā un privātā sektora sabiedrību un citu subjektu aizņēmumiem. Garantija var būt gan beznosacījuma, gan nosacījuma, un valdība var rīkoties atsevišķi vai kopā ar citām vienībām. Šādi saņēmējai vienībai parasti tiek nodrošināta iespēja saņemt aizdevumu ar zemāku procentu likmi</w:t>
      </w:r>
      <w:r>
        <w:rPr>
          <w:rStyle w:val="FootnoteReference"/>
          <w:rFonts w:ascii="Times New Roman" w:hAnsi="Times New Roman"/>
          <w:noProof/>
          <w:sz w:val="24"/>
        </w:rPr>
        <w:footnoteReference w:id="257"/>
      </w:r>
      <w:r>
        <w:rPr>
          <w:rFonts w:ascii="Times New Roman" w:hAnsi="Times New Roman"/>
          <w:noProof/>
          <w:sz w:val="24"/>
        </w:rPr>
        <w:t>, bet dažos gadījumos šāds atbalsts ir nepieciešams pat tam, lai vienība varētu piekļūt aizdevumu tirgiem. Garantiju iespējams izmantot (t. i., realizēt galvotāja saistības) dažādos veidos. Visbiežāk garantijas izmantošanas pieprasījumu aktivē aizdevēja vienība (kreditors, piemēram, banka), un bieži vien tas notiek pēc pirmā pieprasījuma. Parasti šādos pieprasījumos ir iesaistītas trīs puses – vienība, kas saņēmusi aizdevumu (debitors, piemēram, publiska sabiedrība), vienība, kas izsniegusi aizdevumu (kreditors, piemēram, banka), un galvotājs (šajā nodaļā – valdības vienība).</w:t>
      </w:r>
    </w:p>
    <w:p w:rsidR="00506AA9" w:rsidRPr="001973D0" w:rsidRDefault="00506AA9" w:rsidP="00506AA9">
      <w:pPr>
        <w:pStyle w:val="BodyText"/>
        <w:numPr>
          <w:ilvl w:val="0"/>
          <w:numId w:val="113"/>
        </w:numPr>
        <w:tabs>
          <w:tab w:val="left" w:pos="1027"/>
        </w:tabs>
        <w:spacing w:before="0"/>
        <w:ind w:left="709" w:hanging="709"/>
        <w:jc w:val="both"/>
        <w:rPr>
          <w:rFonts w:ascii="Times New Roman" w:hAnsi="Times New Roman"/>
          <w:noProof/>
          <w:sz w:val="24"/>
        </w:rPr>
      </w:pPr>
      <w:r>
        <w:rPr>
          <w:rFonts w:ascii="Times New Roman" w:hAnsi="Times New Roman"/>
          <w:noProof/>
          <w:sz w:val="24"/>
        </w:rPr>
        <w:t>Garantiju izsniegšana attiecībā uz dažu subjektu turētiem aktīviem var ietilpt valdības ierastajā praksē, vai tā var šādi rīkoties, īstenodama valdības politiku. Šādā gadījumā valdība apņemas segt zaudējumus, kas saistīti ar aktīvu vērtības samazināšanos vai neatgūtajiem līdzekļiem, un pastāv vairāki veidi, kā aktivizēt galvotāja saistības. Jautājumu par garantijām, kas attiecas uz nozīmīgiem problemātiskiem aktīviem, sk. IV.5. nodaļā “Finanšu sanācija”.</w:t>
      </w:r>
    </w:p>
    <w:p w:rsidR="00506AA9" w:rsidRDefault="00506AA9" w:rsidP="00506AA9">
      <w:pPr>
        <w:pStyle w:val="BodyText"/>
        <w:numPr>
          <w:ilvl w:val="0"/>
          <w:numId w:val="113"/>
        </w:numPr>
        <w:tabs>
          <w:tab w:val="left" w:pos="1027"/>
        </w:tabs>
        <w:spacing w:before="0"/>
        <w:ind w:left="709" w:hanging="709"/>
        <w:jc w:val="both"/>
        <w:rPr>
          <w:rFonts w:ascii="Times New Roman" w:hAnsi="Times New Roman"/>
          <w:noProof/>
          <w:sz w:val="24"/>
        </w:rPr>
      </w:pPr>
      <w:r>
        <w:rPr>
          <w:rFonts w:ascii="Times New Roman" w:hAnsi="Times New Roman"/>
          <w:noProof/>
          <w:sz w:val="24"/>
        </w:rPr>
        <w:t>Šajā nodaļā netiek skatīti turpmāk minētie gadījumi.</w:t>
      </w:r>
    </w:p>
    <w:p w:rsidR="00506AA9" w:rsidRPr="001973D0" w:rsidRDefault="00506AA9" w:rsidP="00506AA9">
      <w:pPr>
        <w:pStyle w:val="BodyText"/>
        <w:tabs>
          <w:tab w:val="left" w:pos="1027"/>
        </w:tabs>
        <w:spacing w:before="0"/>
        <w:ind w:left="0" w:firstLine="0"/>
        <w:rPr>
          <w:rFonts w:ascii="Times New Roman" w:hAnsi="Times New Roman"/>
          <w:noProof/>
          <w:sz w:val="24"/>
        </w:rPr>
      </w:pPr>
    </w:p>
    <w:p w:rsidR="00506AA9" w:rsidRPr="001973D0" w:rsidRDefault="00506AA9" w:rsidP="00506AA9">
      <w:pPr>
        <w:pStyle w:val="BodyText"/>
        <w:numPr>
          <w:ilvl w:val="1"/>
          <w:numId w:val="113"/>
        </w:numPr>
        <w:tabs>
          <w:tab w:val="left" w:pos="1462"/>
        </w:tabs>
        <w:spacing w:before="0"/>
        <w:ind w:left="1134" w:hanging="425"/>
        <w:jc w:val="both"/>
        <w:rPr>
          <w:rFonts w:ascii="Times New Roman" w:hAnsi="Times New Roman"/>
          <w:noProof/>
          <w:sz w:val="24"/>
        </w:rPr>
      </w:pPr>
      <w:r>
        <w:rPr>
          <w:rFonts w:ascii="Times New Roman" w:hAnsi="Times New Roman"/>
          <w:noProof/>
          <w:sz w:val="24"/>
        </w:rPr>
        <w:t>Valdības netiešās garantijas pretstatā oficiālajām garantijām, kuras parasti ir noteiktas līgumos (piemēram, garantēta vērtspapīru emisijas gadījumā). Netiešās garantijas var izrietēt no akcionāra pienākumiem, kurus valdība uzņēmusies, vai vienību kontroles pienākumiem, kad tiek paredzēts, ka valdība iejauksies visos gadījumos, kad tiks konstatētas problēmas. Netiešās garantijas var būt saistītas arī ar saimniecisko darbību, kas tiek uzskatīta par neatņemamu tautsaimniecības daļu, pieņemot, ka valdība iejauksies, lai novērstu neveiksmi.</w:t>
      </w:r>
    </w:p>
    <w:p w:rsidR="00506AA9" w:rsidRDefault="00506AA9" w:rsidP="00506AA9">
      <w:pPr>
        <w:pStyle w:val="BodyText"/>
        <w:numPr>
          <w:ilvl w:val="1"/>
          <w:numId w:val="113"/>
        </w:numPr>
        <w:tabs>
          <w:tab w:val="left" w:pos="1462"/>
        </w:tabs>
        <w:spacing w:before="0"/>
        <w:ind w:left="1134" w:hanging="425"/>
        <w:jc w:val="both"/>
        <w:rPr>
          <w:rFonts w:ascii="Times New Roman" w:hAnsi="Times New Roman"/>
          <w:noProof/>
          <w:sz w:val="24"/>
        </w:rPr>
      </w:pPr>
      <w:r>
        <w:rPr>
          <w:rFonts w:ascii="Times New Roman" w:hAnsi="Times New Roman"/>
          <w:noProof/>
          <w:sz w:val="24"/>
        </w:rPr>
        <w:t>Formālās garantiju saistības, kas ir samērā līdzīgas apdrošināšanas shēmām. Piemēram, valdība var “garantēt”, ka mājsaimniecības veiks noteiktus maksājumus (piemēra, mājokļa īres maksu) vai izdot garantiju attiecībā uz īpašiem notikumiem (piemēram, mākslas izstādēm).</w:t>
      </w:r>
    </w:p>
    <w:p w:rsidR="00506AA9" w:rsidRPr="001973D0" w:rsidRDefault="00506AA9" w:rsidP="00506AA9">
      <w:pPr>
        <w:pStyle w:val="BodyText"/>
        <w:tabs>
          <w:tab w:val="left" w:pos="1462"/>
        </w:tabs>
        <w:spacing w:before="0"/>
        <w:ind w:left="0" w:firstLine="0"/>
        <w:rPr>
          <w:rFonts w:ascii="Times New Roman" w:hAnsi="Times New Roman"/>
          <w:noProof/>
          <w:sz w:val="24"/>
        </w:rPr>
      </w:pPr>
    </w:p>
    <w:p w:rsidR="00506AA9" w:rsidRDefault="00506AA9" w:rsidP="00506AA9">
      <w:pPr>
        <w:pStyle w:val="BodyText"/>
        <w:numPr>
          <w:ilvl w:val="0"/>
          <w:numId w:val="113"/>
        </w:numPr>
        <w:tabs>
          <w:tab w:val="left" w:pos="1027"/>
        </w:tabs>
        <w:spacing w:before="0"/>
        <w:ind w:left="709" w:hanging="709"/>
        <w:jc w:val="both"/>
        <w:rPr>
          <w:rFonts w:ascii="Times New Roman" w:hAnsi="Times New Roman"/>
          <w:noProof/>
          <w:sz w:val="24"/>
        </w:rPr>
      </w:pPr>
      <w:r>
        <w:rPr>
          <w:rFonts w:ascii="Times New Roman" w:hAnsi="Times New Roman"/>
          <w:noProof/>
          <w:sz w:val="24"/>
        </w:rPr>
        <w:t>Valdība var izsniegt trīs veidu garantijas:</w:t>
      </w:r>
    </w:p>
    <w:p w:rsidR="00506AA9" w:rsidRPr="001973D0" w:rsidRDefault="00506AA9" w:rsidP="00506AA9">
      <w:pPr>
        <w:pStyle w:val="BodyText"/>
        <w:tabs>
          <w:tab w:val="left" w:pos="1027"/>
        </w:tabs>
        <w:spacing w:before="0"/>
        <w:ind w:left="0" w:firstLine="0"/>
        <w:rPr>
          <w:rFonts w:ascii="Times New Roman" w:hAnsi="Times New Roman"/>
          <w:noProof/>
          <w:sz w:val="24"/>
        </w:rPr>
      </w:pPr>
    </w:p>
    <w:p w:rsidR="00506AA9" w:rsidRPr="001973D0" w:rsidRDefault="00506AA9" w:rsidP="00506AA9">
      <w:pPr>
        <w:pStyle w:val="BodyText"/>
        <w:numPr>
          <w:ilvl w:val="1"/>
          <w:numId w:val="113"/>
        </w:numPr>
        <w:tabs>
          <w:tab w:val="left" w:pos="1462"/>
        </w:tabs>
        <w:spacing w:before="0"/>
        <w:ind w:left="1134" w:hanging="425"/>
        <w:jc w:val="both"/>
        <w:rPr>
          <w:rFonts w:ascii="Times New Roman" w:hAnsi="Times New Roman"/>
          <w:noProof/>
          <w:sz w:val="24"/>
        </w:rPr>
      </w:pPr>
      <w:r>
        <w:rPr>
          <w:rFonts w:ascii="Times New Roman" w:hAnsi="Times New Roman"/>
          <w:noProof/>
          <w:sz w:val="24"/>
        </w:rPr>
        <w:t>atvasināta instrumenta formā (piemēram, kredīta atvasinātos mijmaiņas darījumus), kas tiek traktēti atbilstīgi tam, kā parasti traktē atvasinātos instrumentus, un kam nav nepieciešami atsevišķi noteikumi attiecībā uz valdības darījumiem šajā tirgū;</w:t>
      </w:r>
    </w:p>
    <w:p w:rsidR="00506AA9" w:rsidRPr="001973D0" w:rsidRDefault="00506AA9" w:rsidP="00506AA9">
      <w:pPr>
        <w:pStyle w:val="BodyText"/>
        <w:numPr>
          <w:ilvl w:val="1"/>
          <w:numId w:val="113"/>
        </w:numPr>
        <w:tabs>
          <w:tab w:val="left" w:pos="1462"/>
        </w:tabs>
        <w:spacing w:before="0"/>
        <w:ind w:left="1134" w:hanging="425"/>
        <w:jc w:val="both"/>
        <w:rPr>
          <w:rFonts w:ascii="Times New Roman" w:hAnsi="Times New Roman"/>
          <w:noProof/>
          <w:sz w:val="24"/>
        </w:rPr>
      </w:pPr>
      <w:r>
        <w:rPr>
          <w:rFonts w:ascii="Times New Roman" w:hAnsi="Times New Roman"/>
          <w:noProof/>
          <w:sz w:val="24"/>
        </w:rPr>
        <w:t>standartizētu garantiju formā (ieviestas NKS 2008 un EKS 2010), sk. šīs rokasgrāmatas VII.4.4. nodaļu;</w:t>
      </w:r>
    </w:p>
    <w:p w:rsidR="00506AA9" w:rsidRPr="001973D0" w:rsidRDefault="00506AA9" w:rsidP="00506AA9">
      <w:pPr>
        <w:pStyle w:val="BodyText"/>
        <w:numPr>
          <w:ilvl w:val="1"/>
          <w:numId w:val="113"/>
        </w:numPr>
        <w:tabs>
          <w:tab w:val="left" w:pos="1462"/>
        </w:tabs>
        <w:spacing w:before="0"/>
        <w:ind w:left="1134" w:hanging="425"/>
        <w:jc w:val="both"/>
        <w:rPr>
          <w:rFonts w:ascii="Times New Roman" w:hAnsi="Times New Roman"/>
          <w:noProof/>
          <w:sz w:val="24"/>
        </w:rPr>
      </w:pPr>
      <w:r>
        <w:rPr>
          <w:rFonts w:ascii="Times New Roman" w:hAnsi="Times New Roman"/>
          <w:noProof/>
          <w:sz w:val="24"/>
        </w:rPr>
        <w:t>“vienreizēju” garantiju formā (sk. VII.4.2. nodaļu).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numPr>
          <w:ilvl w:val="0"/>
          <w:numId w:val="113"/>
        </w:numPr>
        <w:tabs>
          <w:tab w:val="left" w:pos="1107"/>
        </w:tabs>
        <w:ind w:left="709" w:hanging="709"/>
        <w:jc w:val="both"/>
        <w:rPr>
          <w:rFonts w:ascii="Times New Roman" w:eastAsia="Arial" w:hAnsi="Times New Roman" w:cs="Arial"/>
          <w:noProof/>
          <w:sz w:val="24"/>
        </w:rPr>
      </w:pPr>
      <w:r>
        <w:rPr>
          <w:rFonts w:ascii="Times New Roman" w:hAnsi="Times New Roman"/>
          <w:noProof/>
          <w:sz w:val="24"/>
        </w:rPr>
        <w:t xml:space="preserve">EKS 2010 5.190. punktā sniegta standartizētu garantiju definīcija, proti, tās ir garantijas, kuras </w:t>
      </w:r>
      <w:r>
        <w:rPr>
          <w:rFonts w:ascii="Times New Roman" w:hAnsi="Times New Roman"/>
          <w:i/>
          <w:noProof/>
          <w:sz w:val="24"/>
        </w:rPr>
        <w:t>tiek emitētas lielā skaitā, parasti par salīdzinoši mazām summām, saskaņā ar identiskiem noteikumiem</w:t>
      </w:r>
      <w:r>
        <w:rPr>
          <w:rFonts w:ascii="Times New Roman" w:hAnsi="Times New Roman"/>
          <w:noProof/>
          <w:sz w:val="24"/>
        </w:rPr>
        <w:t>. To galvenās pazīmes ir šādas:</w:t>
      </w:r>
    </w:p>
    <w:p w:rsidR="00506AA9" w:rsidRPr="001973D0" w:rsidRDefault="00506AA9" w:rsidP="00506AA9">
      <w:pPr>
        <w:tabs>
          <w:tab w:val="left" w:pos="1107"/>
        </w:tabs>
        <w:rPr>
          <w:rFonts w:ascii="Times New Roman" w:eastAsia="Arial" w:hAnsi="Times New Roman" w:cs="Arial"/>
          <w:noProof/>
          <w:sz w:val="24"/>
        </w:rPr>
      </w:pPr>
    </w:p>
    <w:p w:rsidR="00506AA9" w:rsidRPr="001973D0" w:rsidRDefault="00506AA9" w:rsidP="00506AA9">
      <w:pPr>
        <w:pStyle w:val="BodyText"/>
        <w:numPr>
          <w:ilvl w:val="1"/>
          <w:numId w:val="113"/>
        </w:numPr>
        <w:tabs>
          <w:tab w:val="left" w:pos="1542"/>
        </w:tabs>
        <w:spacing w:before="0"/>
        <w:ind w:left="1134" w:hanging="425"/>
        <w:jc w:val="both"/>
        <w:rPr>
          <w:rFonts w:ascii="Times New Roman" w:hAnsi="Times New Roman"/>
          <w:noProof/>
          <w:sz w:val="24"/>
        </w:rPr>
      </w:pPr>
      <w:r>
        <w:rPr>
          <w:rFonts w:ascii="Times New Roman" w:hAnsi="Times New Roman"/>
          <w:noProof/>
          <w:sz w:val="24"/>
        </w:rPr>
        <w:t>tās tiek izdotas vairāku tādu finanšu iestāžu vajadzībām, kuras izsniedz kredītus precīzam mērķim paredzētā programmā,</w:t>
      </w:r>
    </w:p>
    <w:p w:rsidR="00506AA9" w:rsidRPr="001973D0" w:rsidRDefault="00506AA9" w:rsidP="00506AA9">
      <w:pPr>
        <w:pStyle w:val="BodyText"/>
        <w:numPr>
          <w:ilvl w:val="1"/>
          <w:numId w:val="113"/>
        </w:numPr>
        <w:tabs>
          <w:tab w:val="left" w:pos="1542"/>
        </w:tabs>
        <w:spacing w:before="0"/>
        <w:ind w:left="1134" w:hanging="425"/>
        <w:jc w:val="both"/>
        <w:rPr>
          <w:rFonts w:ascii="Times New Roman" w:hAnsi="Times New Roman"/>
          <w:noProof/>
          <w:sz w:val="24"/>
        </w:rPr>
      </w:pPr>
      <w:r>
        <w:rPr>
          <w:rFonts w:ascii="Times New Roman" w:hAnsi="Times New Roman"/>
          <w:noProof/>
          <w:sz w:val="24"/>
        </w:rPr>
        <w:t>attiecas uz šo finanšu iestāžu aktīviem (garantija netiek attiecināta uz gadījumiem, kad aizdevēja vienība nespēj izpildīt savas parādsaistības),</w:t>
      </w:r>
    </w:p>
    <w:p w:rsidR="00506AA9" w:rsidRPr="001973D0" w:rsidRDefault="00506AA9" w:rsidP="00506AA9">
      <w:pPr>
        <w:pStyle w:val="BodyText"/>
        <w:numPr>
          <w:ilvl w:val="1"/>
          <w:numId w:val="113"/>
        </w:numPr>
        <w:tabs>
          <w:tab w:val="left" w:pos="1542"/>
        </w:tabs>
        <w:spacing w:before="0"/>
        <w:ind w:left="1134" w:hanging="425"/>
        <w:jc w:val="both"/>
        <w:rPr>
          <w:rFonts w:ascii="Times New Roman" w:hAnsi="Times New Roman"/>
          <w:noProof/>
          <w:sz w:val="24"/>
        </w:rPr>
      </w:pPr>
      <w:r>
        <w:rPr>
          <w:rFonts w:ascii="Times New Roman" w:hAnsi="Times New Roman"/>
          <w:noProof/>
          <w:sz w:val="24"/>
        </w:rPr>
        <w:t>piešķirtas saistībā ar sabiedrības interesēm atbilstošu politiku.</w:t>
      </w:r>
    </w:p>
    <w:p w:rsidR="00506AA9" w:rsidRPr="001973D0" w:rsidRDefault="00506AA9" w:rsidP="00506AA9">
      <w:pPr>
        <w:jc w:val="both"/>
        <w:rPr>
          <w:rFonts w:ascii="Times New Roman" w:eastAsia="Arial" w:hAnsi="Times New Roman" w:cs="Arial"/>
          <w:noProof/>
          <w:sz w:val="24"/>
        </w:rPr>
      </w:pPr>
    </w:p>
    <w:p w:rsidR="00506AA9"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Standartizētās garantijas ir, piemēram, aizdevumi studentiem (jo īpaši augstas studiju maksas gadījumos), hipotekārie kredīti mājsaimniecībām (parasti aizdevumu ņēmējiem ar zemiem ienākumiem) un eksporta kredīti.</w:t>
      </w:r>
      <w:r>
        <w:rPr>
          <w:rStyle w:val="FootnoteReference"/>
          <w:rFonts w:ascii="Times New Roman" w:hAnsi="Times New Roman"/>
          <w:noProof/>
          <w:sz w:val="24"/>
        </w:rPr>
        <w:footnoteReference w:id="258"/>
      </w:r>
    </w:p>
    <w:p w:rsidR="00506AA9" w:rsidRPr="001973D0" w:rsidRDefault="00506AA9" w:rsidP="00506AA9">
      <w:pPr>
        <w:pStyle w:val="BodyText"/>
        <w:spacing w:before="0"/>
        <w:ind w:left="0" w:firstLine="0"/>
        <w:jc w:val="both"/>
        <w:rPr>
          <w:rFonts w:ascii="Times New Roman" w:hAnsi="Times New Roman"/>
          <w:noProof/>
          <w:sz w:val="24"/>
          <w:szCs w:val="14"/>
        </w:rPr>
      </w:pPr>
    </w:p>
    <w:p w:rsidR="00506AA9" w:rsidRPr="001973D0" w:rsidRDefault="00506AA9" w:rsidP="00506AA9">
      <w:pPr>
        <w:pStyle w:val="BodyText"/>
        <w:numPr>
          <w:ilvl w:val="0"/>
          <w:numId w:val="113"/>
        </w:numPr>
        <w:tabs>
          <w:tab w:val="left" w:pos="1107"/>
        </w:tabs>
        <w:spacing w:before="0"/>
        <w:ind w:left="709" w:hanging="709"/>
        <w:jc w:val="both"/>
        <w:rPr>
          <w:rFonts w:ascii="Times New Roman" w:hAnsi="Times New Roman"/>
          <w:noProof/>
          <w:sz w:val="24"/>
        </w:rPr>
      </w:pPr>
      <w:r>
        <w:rPr>
          <w:rFonts w:ascii="Times New Roman" w:hAnsi="Times New Roman"/>
          <w:noProof/>
          <w:sz w:val="24"/>
        </w:rPr>
        <w:t>Atšķirībā no standartizētajām garantijām vienreizējās garantijas tiek izsniegtas, pamatojoties uz katra gadījuma atsevišķu novērtējumu, parasti – par samērā ievērojamām summām un saskaņā ar individuāliem līgumiem. Tās netiek izsniegtas vispārējā satvarā un paredz ciešu valdības uzraudzību individuālajā līmenī. Turklāt attiecībā uz to ietekmi bieži vien tiek piemērotas konkurences iestāžu pārbaudes.</w:t>
      </w:r>
    </w:p>
    <w:p w:rsidR="00506AA9" w:rsidRPr="001973D0" w:rsidRDefault="00506AA9" w:rsidP="00506AA9">
      <w:pPr>
        <w:pStyle w:val="BodyText"/>
        <w:numPr>
          <w:ilvl w:val="0"/>
          <w:numId w:val="113"/>
        </w:numPr>
        <w:tabs>
          <w:tab w:val="left" w:pos="1107"/>
        </w:tabs>
        <w:spacing w:before="0"/>
        <w:ind w:left="709" w:hanging="709"/>
        <w:jc w:val="both"/>
        <w:rPr>
          <w:rFonts w:ascii="Times New Roman" w:hAnsi="Times New Roman"/>
          <w:noProof/>
          <w:sz w:val="24"/>
        </w:rPr>
      </w:pPr>
      <w:r>
        <w:rPr>
          <w:rFonts w:ascii="Times New Roman" w:hAnsi="Times New Roman"/>
          <w:noProof/>
          <w:sz w:val="24"/>
        </w:rPr>
        <w:t>EKS 2010 ir norādīta vēl viena atšķirība starp standartizētām garantijām un vienreizējām garantijām. Pirmajā gadījumā galvotājiem, piedāvājot standartizēto garantiju, jāspēj aprēķināt vidējos zaudējumus, pamatojoties uz pieejamajiem statistikas datiem un izmantojot “prognozēto garantijas izmantošanas risku”. Vienreizēju garantiju gadījumā galvotāji parasti sākumā nespēs ticami novērtēt garantijas izmantošanas risku, jo to praktiski nav iespējams prognozēt.</w:t>
      </w:r>
    </w:p>
    <w:p w:rsidR="00506AA9" w:rsidRPr="001973D0" w:rsidRDefault="00506AA9" w:rsidP="00506AA9">
      <w:pPr>
        <w:pStyle w:val="BodyText"/>
        <w:numPr>
          <w:ilvl w:val="0"/>
          <w:numId w:val="113"/>
        </w:numPr>
        <w:tabs>
          <w:tab w:val="left" w:pos="1107"/>
        </w:tabs>
        <w:spacing w:before="0"/>
        <w:ind w:left="709" w:hanging="709"/>
        <w:jc w:val="both"/>
        <w:rPr>
          <w:rFonts w:ascii="Times New Roman" w:hAnsi="Times New Roman"/>
          <w:noProof/>
          <w:sz w:val="24"/>
        </w:rPr>
      </w:pPr>
      <w:r>
        <w:rPr>
          <w:rFonts w:ascii="Times New Roman" w:hAnsi="Times New Roman"/>
          <w:noProof/>
          <w:sz w:val="24"/>
        </w:rPr>
        <w:t>Kas attiecas uz maksu par garantiju, tad principā maksu par vienreizējo garantiju, ko valdība saņem kā galvotāja, klasificē kā maksu par pakalpojumu, t. i., kā maksājumu par ārpustirgus produkciju (P.131). Atbilstīgi uzkrāšanas principam šie ieņēmumi ir jāsadala pa visu garantijas derīguma termiņu. Maksas, ko valdība saņem saistībā ar standartizētajām garantijām, ir līdzvērtīgas apdrošināšanas prēmijām, jo īpaši eksporta kredīta shēmu gadījumā, un tāpēc tās ir jātraktē saskaņā ar EKS 2010 noteikumiem par nedzīvības apdrošināšanu (sk. EKS 2010 16. nodaļu).</w:t>
      </w:r>
    </w:p>
    <w:p w:rsidR="00506AA9" w:rsidRPr="001973D0" w:rsidRDefault="00506AA9" w:rsidP="00506AA9">
      <w:pPr>
        <w:pStyle w:val="BodyText"/>
        <w:numPr>
          <w:ilvl w:val="0"/>
          <w:numId w:val="113"/>
        </w:numPr>
        <w:tabs>
          <w:tab w:val="left" w:pos="1107"/>
        </w:tabs>
        <w:spacing w:before="0"/>
        <w:ind w:left="709" w:hanging="709"/>
        <w:jc w:val="both"/>
        <w:rPr>
          <w:rFonts w:ascii="Times New Roman" w:hAnsi="Times New Roman"/>
          <w:noProof/>
          <w:sz w:val="24"/>
        </w:rPr>
      </w:pPr>
      <w:r>
        <w:rPr>
          <w:rFonts w:ascii="Times New Roman" w:hAnsi="Times New Roman"/>
          <w:noProof/>
          <w:sz w:val="24"/>
        </w:rPr>
        <w:t>Tomēr konkrētu vienreizēju garantiju gadījumā veikto maksājumu summa valdībai varētu būt ievērojami neproporcionāla ar garantijas nodrošināšanu saistītajām ražošanas izmaksām. Šādā gadījumā maksa (kas ir neproporcionāla) pēc būtības ir obligāts maksājums, un tā turklāt ir uzskatāma par neatlīdzināmu. Tas nozīmē, ka šādos gadījumos</w:t>
      </w:r>
      <w:r w:rsidR="0057710B">
        <w:rPr>
          <w:rFonts w:ascii="Times New Roman" w:hAnsi="Times New Roman"/>
          <w:noProof/>
          <w:sz w:val="24"/>
        </w:rPr>
        <w:t xml:space="preserve"> nodoklis (D.29) būtu ierakstāms</w:t>
      </w:r>
      <w:r>
        <w:rPr>
          <w:rFonts w:ascii="Times New Roman" w:hAnsi="Times New Roman"/>
          <w:noProof/>
          <w:sz w:val="24"/>
        </w:rPr>
        <w:t xml:space="preserve"> saskaņā ar EKS 2010 4.23. punktu.</w:t>
      </w:r>
    </w:p>
    <w:p w:rsidR="00506AA9" w:rsidRDefault="00506AA9" w:rsidP="00506AA9">
      <w:pPr>
        <w:rPr>
          <w:rFonts w:ascii="Times New Roman" w:eastAsia="Arial" w:hAnsi="Times New Roman" w:cs="Arial"/>
          <w:noProof/>
          <w:sz w:val="24"/>
          <w:szCs w:val="16"/>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bookmarkStart w:id="546" w:name="VII.4.2_One-off_guarantees"/>
      <w:bookmarkEnd w:id="546"/>
      <w:r>
        <w:rPr>
          <w:rFonts w:ascii="Times New Roman" w:hAnsi="Times New Roman"/>
          <w:noProof/>
          <w:u w:val="none"/>
        </w:rPr>
        <w:t>VII.4.2. </w:t>
      </w:r>
      <w:r>
        <w:rPr>
          <w:rFonts w:ascii="Times New Roman" w:hAnsi="Times New Roman"/>
          <w:noProof/>
          <w:u w:val="thick" w:color="000000"/>
        </w:rPr>
        <w:t>Vienreizējas garantijas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623"/>
        </w:tabs>
        <w:jc w:val="both"/>
        <w:rPr>
          <w:rFonts w:ascii="Times New Roman" w:hAnsi="Times New Roman"/>
          <w:noProof/>
          <w:sz w:val="24"/>
        </w:rPr>
      </w:pPr>
      <w:bookmarkStart w:id="547" w:name="VII.4.2.1_Treatment_in_national_accounts"/>
      <w:bookmarkEnd w:id="547"/>
      <w:r>
        <w:rPr>
          <w:rFonts w:ascii="Times New Roman" w:hAnsi="Times New Roman"/>
          <w:noProof/>
          <w:sz w:val="24"/>
        </w:rPr>
        <w:t>VII.4.2.1. Traktējums nacionālajos kontos</w:t>
      </w:r>
      <w:bookmarkStart w:id="548" w:name="VII.4.2.1.1_General_case"/>
      <w:bookmarkEnd w:id="548"/>
    </w:p>
    <w:p w:rsidR="00506AA9" w:rsidRDefault="00506AA9" w:rsidP="00506AA9">
      <w:pPr>
        <w:pStyle w:val="Heading6"/>
        <w:tabs>
          <w:tab w:val="left" w:pos="1623"/>
        </w:tabs>
        <w:jc w:val="both"/>
        <w:rPr>
          <w:rFonts w:ascii="Times New Roman" w:hAnsi="Times New Roman"/>
          <w:noProof/>
          <w:sz w:val="24"/>
        </w:rPr>
      </w:pPr>
    </w:p>
    <w:p w:rsidR="00506AA9" w:rsidRDefault="00506AA9" w:rsidP="00506AA9">
      <w:pPr>
        <w:pStyle w:val="Heading6"/>
        <w:tabs>
          <w:tab w:val="left" w:pos="1623"/>
        </w:tabs>
        <w:jc w:val="both"/>
        <w:rPr>
          <w:rFonts w:ascii="Times New Roman" w:hAnsi="Times New Roman"/>
          <w:noProof/>
          <w:sz w:val="24"/>
        </w:rPr>
      </w:pPr>
      <w:r>
        <w:rPr>
          <w:rFonts w:ascii="Times New Roman" w:hAnsi="Times New Roman"/>
          <w:noProof/>
          <w:sz w:val="24"/>
        </w:rPr>
        <w:t>VII.4.2.1.1. Vispārējs gadījums</w:t>
      </w:r>
    </w:p>
    <w:p w:rsidR="00506AA9" w:rsidRPr="001973D0" w:rsidRDefault="00506AA9" w:rsidP="00506AA9">
      <w:pPr>
        <w:pStyle w:val="Heading6"/>
        <w:tabs>
          <w:tab w:val="left" w:pos="1623"/>
        </w:tabs>
        <w:jc w:val="both"/>
        <w:rPr>
          <w:rFonts w:ascii="Times New Roman" w:hAnsi="Times New Roman"/>
          <w:noProof/>
          <w:sz w:val="24"/>
        </w:rPr>
      </w:pPr>
    </w:p>
    <w:p w:rsidR="00506AA9" w:rsidRPr="006D19D6"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Parasti va</w:t>
      </w:r>
      <w:r w:rsidR="0057710B">
        <w:rPr>
          <w:rFonts w:ascii="Times New Roman" w:hAnsi="Times New Roman"/>
          <w:noProof/>
          <w:sz w:val="24"/>
        </w:rPr>
        <w:t>ldības garantētu parādu ieraksta</w:t>
      </w:r>
      <w:r>
        <w:rPr>
          <w:rFonts w:ascii="Times New Roman" w:hAnsi="Times New Roman"/>
          <w:noProof/>
          <w:sz w:val="24"/>
        </w:rPr>
        <w:t xml:space="preserve"> vienīgi kā aizdevuma ņēmēja aizņēmumu un aizdevēja aktīvu neatkarīgi no tā, vai garantija attiecas uz konkrētiem aizņēmumiem (piemēram, uz vienu konkrētu aizdevumu) vai uz visu uzņēmuma parādu. Valdībai tās </w:t>
      </w:r>
      <w:r>
        <w:rPr>
          <w:rFonts w:ascii="Times New Roman" w:hAnsi="Times New Roman"/>
          <w:noProof/>
          <w:sz w:val="24"/>
        </w:rPr>
        <w:lastRenderedPageBreak/>
        <w:t>ir iespējamās s</w:t>
      </w:r>
      <w:r w:rsidR="0057710B">
        <w:rPr>
          <w:rFonts w:ascii="Times New Roman" w:hAnsi="Times New Roman"/>
          <w:noProof/>
          <w:sz w:val="24"/>
        </w:rPr>
        <w:t>aistības, kas netiek ierakstītas</w:t>
      </w:r>
      <w:r>
        <w:rPr>
          <w:rFonts w:ascii="Times New Roman" w:hAnsi="Times New Roman"/>
          <w:noProof/>
          <w:sz w:val="24"/>
        </w:rPr>
        <w:t xml:space="preserve"> EKS bilancē (bet var būt norādītas kā ārpusbilances postenis vai piezīme).</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Ja tiek pieprasīts izmaksāt garantiju vai tā daļu, valdība pārņem aizņēmēja parādu, uzņemo</w:t>
      </w:r>
      <w:r w:rsidR="0057710B">
        <w:rPr>
          <w:rFonts w:ascii="Times New Roman" w:hAnsi="Times New Roman"/>
          <w:noProof/>
          <w:sz w:val="24"/>
        </w:rPr>
        <w:t>ties šādu parādu, un to ieraksta</w:t>
      </w:r>
      <w:r>
        <w:rPr>
          <w:rFonts w:ascii="Times New Roman" w:hAnsi="Times New Roman"/>
          <w:noProof/>
          <w:sz w:val="24"/>
        </w:rPr>
        <w:t xml:space="preserve"> kā valdības cita kapitāla pārvedumu (D.99) aizņēmējam par pieprasīto garantijas summu. Tas ietekmē valdības neto aizdevumu/aizņēmumu (B.9). Kapitāla pārvedumu saskaņo ar finanšu darījumu, pārceļot finanšu saistības valdībai no aizņēmēja. Valdība var nekavējoties vai sekojoši veikt atsevišķu finanšu darījumu, kad tā atmaksā aizdevējam nenomaksāto parāda summu. Tas neietekmē valdības neto aizdevumu/aizņēmumu (B.9). Maksājumā var tikt iekļauti arī uzkrātie procenti, kas nav samaksāti pārņemšanas brīdī un kurus parasti pievieno instrumentam.</w:t>
      </w:r>
    </w:p>
    <w:p w:rsidR="00506AA9" w:rsidRPr="001973D0" w:rsidRDefault="0057710B"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Garantēto parādu neieraksta</w:t>
      </w:r>
      <w:r w:rsidR="00506AA9">
        <w:rPr>
          <w:rFonts w:ascii="Times New Roman" w:hAnsi="Times New Roman"/>
          <w:noProof/>
          <w:sz w:val="24"/>
        </w:rPr>
        <w:t xml:space="preserve"> publisko pārskatu bilancē, kamēr netiek sākta (aktivēta) garantijas izmantošana. Tomēr tiek gaidīts, ka informācija par valdības garantijām ir publiski pieejama. Turklāt parasti parlamentam ir jāapstiprina tās garantijas summas augstākā robeža, kuru valdībai ir tiesības izsniegt attiecīgajā fiskālajā gadā.</w:t>
      </w:r>
    </w:p>
    <w:p w:rsidR="00506AA9" w:rsidRDefault="00506AA9" w:rsidP="00506AA9">
      <w:pPr>
        <w:pStyle w:val="Heading7"/>
        <w:spacing w:before="0"/>
        <w:ind w:left="0"/>
        <w:jc w:val="both"/>
        <w:rPr>
          <w:rFonts w:ascii="Times New Roman" w:hAnsi="Times New Roman"/>
          <w:noProof/>
          <w:sz w:val="24"/>
        </w:rPr>
      </w:pPr>
    </w:p>
    <w:p w:rsidR="00506AA9" w:rsidRDefault="00506AA9" w:rsidP="00506AA9">
      <w:pPr>
        <w:pStyle w:val="Heading7"/>
        <w:spacing w:before="0"/>
        <w:ind w:left="0"/>
        <w:jc w:val="both"/>
        <w:rPr>
          <w:rFonts w:ascii="Times New Roman" w:hAnsi="Times New Roman"/>
          <w:noProof/>
          <w:sz w:val="24"/>
        </w:rPr>
      </w:pPr>
      <w:r>
        <w:rPr>
          <w:rFonts w:ascii="Times New Roman" w:hAnsi="Times New Roman"/>
          <w:noProof/>
          <w:sz w:val="24"/>
        </w:rPr>
        <w:t>Pieprasījumi par garantijas daļēju izmaksāšanu</w:t>
      </w:r>
    </w:p>
    <w:p w:rsidR="00506AA9" w:rsidRPr="001973D0" w:rsidRDefault="00506AA9" w:rsidP="00506AA9">
      <w:pPr>
        <w:pStyle w:val="Heading7"/>
        <w:spacing w:before="0"/>
        <w:ind w:left="0"/>
        <w:jc w:val="both"/>
        <w:rPr>
          <w:rFonts w:ascii="Times New Roman" w:hAnsi="Times New Roman"/>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Pieprasījums par garantijas daļēju izmaksu (dažkārt dēvēts par “skaidras naudas pieprasījumu”) pastāv gadījumos, kad valdība veic vienu maksājumu. Vald</w:t>
      </w:r>
      <w:r w:rsidR="0057710B">
        <w:rPr>
          <w:rFonts w:ascii="Times New Roman" w:hAnsi="Times New Roman"/>
          <w:noProof/>
          <w:sz w:val="24"/>
        </w:rPr>
        <w:t>ības faktisko maksājumu ieraksta</w:t>
      </w:r>
      <w:r>
        <w:rPr>
          <w:rFonts w:ascii="Times New Roman" w:hAnsi="Times New Roman"/>
          <w:noProof/>
          <w:sz w:val="24"/>
        </w:rPr>
        <w:t xml:space="preserve"> kā kapitāla pārveduma (D.99) izdevumus, ko līdzsvaro ar valūtas un noguldījuma (F.2) samazinājumu (sk. lēmuma pieņemšanas shēmu šīs nodaļas beigās). Konceptuāli tas jāanalizē tā, it kā būtu veikta finanšu saistību nodošana valdībai, kam seko šīs summas tūlītēja izmaksāšana, lai dzēstu šīs saistības. Tomēr valdībai var arī būt juridisks pienākums automātiski pārņemt visu atlikušo parādu (garantijas pēc pirmā pieprasījuma) sākotnējā gadījuma rezultātā. “Atkārtoti garantijas izmaksāšanas pieprasījumi” ir apskatīti šīs rokasgrāmatas VII.4.2.1.3. apakšiedaļā.</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20"/>
        </w:tabs>
        <w:jc w:val="both"/>
        <w:rPr>
          <w:rFonts w:ascii="Times New Roman" w:hAnsi="Times New Roman"/>
          <w:noProof/>
          <w:sz w:val="24"/>
        </w:rPr>
      </w:pPr>
      <w:bookmarkStart w:id="549" w:name="VII.4.2.1.2_Case_where_government_will_r"/>
      <w:bookmarkEnd w:id="549"/>
      <w:r>
        <w:rPr>
          <w:rFonts w:ascii="Times New Roman" w:hAnsi="Times New Roman"/>
          <w:noProof/>
          <w:sz w:val="24"/>
        </w:rPr>
        <w:t>II.4.2.1.2. Gadījums, kad ir zināms, ka parādu atmaksās valdība</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Dažos gadījumos ir skaidri zināms, ka aizņēmumu atmaksās valdība, lai gan juridiski aizņēmumu ir saņēmusi sabiedrība. Šāda situācija var rasties tikko iegūta parāda vai esošo parāda gadījumā, kad valdība ir sākusi garantijas piešķiršanu.</w:t>
      </w:r>
    </w:p>
    <w:p w:rsidR="00506AA9" w:rsidRPr="006D19D6"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Vienkāršos gadījumos to apliecina ar juridiskiem dokumentiem vai arī valdības saistības tiek atzītas publiskajos pārskatos vai līdzīgos dokumentos, piemēram, budžeta dokumentācijā. Šādos gadījumos uzskata, ka sabiedrība vispirms ir nodevusi parādu un pēc tam to ir pārņēmusi valdība. Šāda pārņemšana var notikt nekavējoties, piemēram, gadījumā, kad jau pašā sākumā ir skaidrs, ka vadība pārņems parād</w:t>
      </w:r>
      <w:r w:rsidR="0057710B">
        <w:rPr>
          <w:rFonts w:ascii="Times New Roman" w:hAnsi="Times New Roman"/>
          <w:noProof/>
          <w:sz w:val="24"/>
        </w:rPr>
        <w:t>u, parādu var vispār neierakstīt</w:t>
      </w:r>
      <w:r>
        <w:rPr>
          <w:rFonts w:ascii="Times New Roman" w:hAnsi="Times New Roman"/>
          <w:noProof/>
          <w:sz w:val="24"/>
        </w:rPr>
        <w:t xml:space="preserve"> sabiedrības nacionālo kontu bilancē nevienā pārskata periodā (t. i., nacionālajos kontos tas tiks jau no paša sākuma attiecināts uz valdību).</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900"/>
        </w:tabs>
        <w:jc w:val="both"/>
        <w:rPr>
          <w:rFonts w:ascii="Times New Roman" w:hAnsi="Times New Roman"/>
          <w:noProof/>
          <w:sz w:val="24"/>
        </w:rPr>
      </w:pPr>
      <w:bookmarkStart w:id="550" w:name="VII.4.2.1.3_Case_where_it_is_judged_that"/>
      <w:bookmarkEnd w:id="550"/>
      <w:r>
        <w:rPr>
          <w:rFonts w:ascii="Times New Roman" w:hAnsi="Times New Roman"/>
          <w:noProof/>
          <w:sz w:val="24"/>
        </w:rPr>
        <w:t>VII.4.2.1.3. Gadījums, kad konstatē, ka valdība atmaksā vai atmaksās parādu</w:t>
      </w:r>
    </w:p>
    <w:p w:rsidR="00506AA9" w:rsidRPr="001973D0" w:rsidRDefault="00506AA9" w:rsidP="00506AA9">
      <w:pPr>
        <w:pStyle w:val="Heading6"/>
        <w:tabs>
          <w:tab w:val="left" w:pos="1900"/>
        </w:tabs>
        <w:jc w:val="both"/>
        <w:rPr>
          <w:rFonts w:ascii="Times New Roman" w:hAnsi="Times New Roman"/>
          <w:noProof/>
          <w:sz w:val="24"/>
        </w:rPr>
      </w:pPr>
    </w:p>
    <w:p w:rsidR="00506AA9"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Citos gadījumos var nebūt pieejami dokumentēti pierādījumi, kas apliecinātu, ka valdība ir juridiski pārņēmusi parādu, taču var būt citas pazīmes, kas liecina, ka valdība faktiski ir pārņēmusi parādu. Turpmāk norādīti pierādījumi, kas par to var liecināt.</w:t>
      </w:r>
    </w:p>
    <w:p w:rsidR="00506AA9" w:rsidRPr="001973D0" w:rsidRDefault="00506AA9" w:rsidP="00506AA9">
      <w:pPr>
        <w:pStyle w:val="BodyText"/>
        <w:tabs>
          <w:tab w:val="left" w:pos="1248"/>
        </w:tabs>
        <w:spacing w:before="0"/>
        <w:ind w:left="0" w:firstLine="0"/>
        <w:rPr>
          <w:rFonts w:ascii="Times New Roman" w:hAnsi="Times New Roman"/>
          <w:noProof/>
          <w:sz w:val="24"/>
        </w:rPr>
      </w:pPr>
    </w:p>
    <w:p w:rsidR="00506AA9" w:rsidRPr="001973D0" w:rsidRDefault="00506AA9" w:rsidP="00506AA9">
      <w:pPr>
        <w:pStyle w:val="BodyText"/>
        <w:numPr>
          <w:ilvl w:val="0"/>
          <w:numId w:val="112"/>
        </w:numPr>
        <w:tabs>
          <w:tab w:val="left" w:pos="1542"/>
        </w:tabs>
        <w:spacing w:before="0"/>
        <w:ind w:left="1134" w:hanging="425"/>
        <w:jc w:val="both"/>
        <w:rPr>
          <w:rFonts w:ascii="Times New Roman" w:hAnsi="Times New Roman"/>
          <w:noProof/>
          <w:sz w:val="24"/>
        </w:rPr>
      </w:pPr>
      <w:r>
        <w:rPr>
          <w:rFonts w:ascii="Times New Roman" w:hAnsi="Times New Roman"/>
          <w:noProof/>
          <w:sz w:val="24"/>
        </w:rPr>
        <w:t>Atkārtoti garantijas izmantošanas pieprasījumi – ir konstatēts, ka valdība veic parāda atmaksu katru gadu</w:t>
      </w:r>
      <w:r>
        <w:rPr>
          <w:rStyle w:val="FootnoteReference"/>
          <w:rFonts w:ascii="Times New Roman" w:hAnsi="Times New Roman"/>
          <w:noProof/>
          <w:sz w:val="24"/>
        </w:rPr>
        <w:footnoteReference w:id="259"/>
      </w:r>
      <w:r>
        <w:rPr>
          <w:rFonts w:ascii="Times New Roman" w:hAnsi="Times New Roman"/>
          <w:noProof/>
          <w:sz w:val="24"/>
        </w:rPr>
        <w:t xml:space="preserve"> tieši (pieprasījuma iesniedzējam, sk. turpmāk) vai </w:t>
      </w:r>
      <w:r>
        <w:rPr>
          <w:rFonts w:ascii="Times New Roman" w:hAnsi="Times New Roman"/>
          <w:noProof/>
          <w:sz w:val="24"/>
        </w:rPr>
        <w:lastRenderedPageBreak/>
        <w:t>netieši, veicot regulārus maksājumus aizdevuma ņēmējam, kas ļauj sabiedrībai atmaksāt visas parādsaistības vai to daļu. Ar šādiem maksājumiem</w:t>
      </w:r>
      <w:r>
        <w:rPr>
          <w:rStyle w:val="FootnoteReference"/>
          <w:rFonts w:ascii="Times New Roman" w:hAnsi="Times New Roman"/>
          <w:noProof/>
          <w:sz w:val="24"/>
        </w:rPr>
        <w:footnoteReference w:id="260"/>
      </w:r>
      <w:r>
        <w:rPr>
          <w:rFonts w:ascii="Times New Roman" w:hAnsi="Times New Roman"/>
          <w:noProof/>
          <w:sz w:val="24"/>
        </w:rPr>
        <w:t xml:space="preserve"> vienībai tiek sniegti līdzekļi, kas tai nepieciešami, lai atmaksātu kreditoriem aizdevumu, oficiāli neierosinot garantijas izmantošanu vai negrozot parāda noteikumus (tostarp ar valdības piešķirtu finansiālo avansu). Ja šāds atbalsts kļūst regulārs</w:t>
      </w:r>
      <w:r>
        <w:rPr>
          <w:rStyle w:val="FootnoteReference"/>
          <w:rFonts w:ascii="Times New Roman" w:hAnsi="Times New Roman"/>
          <w:noProof/>
          <w:sz w:val="24"/>
        </w:rPr>
        <w:footnoteReference w:id="261"/>
      </w:r>
      <w:r>
        <w:rPr>
          <w:rFonts w:ascii="Times New Roman" w:hAnsi="Times New Roman"/>
          <w:noProof/>
          <w:sz w:val="24"/>
        </w:rPr>
        <w:t>, to uzskata par “slēptu vai netiešu garantijas izmantošanas pieprasījumu”</w:t>
      </w:r>
      <w:r>
        <w:rPr>
          <w:rStyle w:val="FootnoteReference"/>
          <w:rFonts w:ascii="Times New Roman" w:hAnsi="Times New Roman"/>
          <w:noProof/>
          <w:sz w:val="24"/>
        </w:rPr>
        <w:footnoteReference w:id="262"/>
      </w:r>
      <w:r>
        <w:rPr>
          <w:rFonts w:ascii="Times New Roman" w:hAnsi="Times New Roman"/>
          <w:noProof/>
          <w:sz w:val="24"/>
        </w:rPr>
        <w:t>, kura dēļ parāds ir jāpārklasificē par valdības parādu.</w:t>
      </w:r>
    </w:p>
    <w:p w:rsidR="00506AA9" w:rsidRDefault="00506AA9" w:rsidP="00506AA9">
      <w:pPr>
        <w:pStyle w:val="BodyText"/>
        <w:numPr>
          <w:ilvl w:val="0"/>
          <w:numId w:val="112"/>
        </w:numPr>
        <w:tabs>
          <w:tab w:val="left" w:pos="1542"/>
        </w:tabs>
        <w:spacing w:before="0"/>
        <w:ind w:left="1134" w:hanging="425"/>
        <w:jc w:val="both"/>
        <w:rPr>
          <w:rFonts w:ascii="Times New Roman" w:hAnsi="Times New Roman"/>
          <w:noProof/>
          <w:sz w:val="24"/>
        </w:rPr>
      </w:pPr>
      <w:r>
        <w:rPr>
          <w:rFonts w:ascii="Times New Roman" w:hAnsi="Times New Roman"/>
          <w:noProof/>
          <w:sz w:val="24"/>
        </w:rPr>
        <w:t>Publiskajos pārskatos vai l</w:t>
      </w:r>
      <w:r w:rsidR="0057710B">
        <w:rPr>
          <w:rFonts w:ascii="Times New Roman" w:hAnsi="Times New Roman"/>
          <w:noProof/>
          <w:sz w:val="24"/>
        </w:rPr>
        <w:t>īdzīgos dokumentos ir ierakstīts</w:t>
      </w:r>
      <w:r>
        <w:rPr>
          <w:rFonts w:ascii="Times New Roman" w:hAnsi="Times New Roman"/>
          <w:noProof/>
          <w:sz w:val="24"/>
        </w:rPr>
        <w:t xml:space="preserve"> nodrošinājums, kas liecina par ļoti augstu varbūtību, ka valdība atmaksās parādu un ka valdība to jau ir atzinusi, atkāpjoties no savas parastās piesardzības prakses.</w:t>
      </w:r>
    </w:p>
    <w:p w:rsidR="00506AA9" w:rsidRPr="001973D0" w:rsidRDefault="00506AA9" w:rsidP="00506AA9">
      <w:pPr>
        <w:pStyle w:val="BodyText"/>
        <w:tabs>
          <w:tab w:val="left" w:pos="154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Šajos gadījumos valdība pārņem nenomaksātā parāda summu vai attiecīgo parāda daļu, kas tiek traktēta nacionālajos kontos, laika posmā, attiecībā uz kuru tiek uzskatīts, ka tad tā ir to faktiski pārņēmusi.</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Piemēram, konkrēti gadījumi ir atkārtoti garantijas izmaksāšanas pieprasījumi (vai arī, ja aizņēmējam veic ekvivalentus maksājumus, līdzīgi kā atkārtotas kapitāla iepludināšanas gadījumā, lai novērstu nepieciešamību iesniegt garantijas izmaksāšanas pieprasījumus). Otrajā gadījumā valdība faktiski atmaksā parādu, lai arī juridiski tai nav pienākuma to </w:t>
      </w:r>
      <w:r w:rsidR="0057710B">
        <w:rPr>
          <w:rFonts w:ascii="Times New Roman" w:hAnsi="Times New Roman"/>
          <w:noProof/>
          <w:sz w:val="24"/>
        </w:rPr>
        <w:t>darīt, un oficiāli to neieraksta</w:t>
      </w:r>
      <w:r>
        <w:rPr>
          <w:rFonts w:ascii="Times New Roman" w:hAnsi="Times New Roman"/>
          <w:noProof/>
          <w:sz w:val="24"/>
        </w:rPr>
        <w:t xml:space="preserve"> kā parāda atmaksu publiskajos pārskatos. Katrs šāds gadījums jāanalizē atsevišķi.</w:t>
      </w:r>
    </w:p>
    <w:p w:rsidR="00506AA9" w:rsidRPr="006D19D6"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Praktisks norādījums, ja valdība veic parāda atmaksāšanu trīs gadus (to dēvē par “trīs pieprasījumu principu”), veicot īstus vai faktiskus maksājumus (sk. iepriekš par netiešajiem pieprasījumiem), tad uzskata, ka valdība ir automātiski pārņēmusi parādu. Parasti tiks pārņemts viss parāds (lai arī to var samazināt tikai līdz tai daļai, attiecībā uz kuru var paredzēt, ka valdība to atmaksās, ja tam ir apliecinājum</w:t>
      </w:r>
      <w:r w:rsidR="0057710B">
        <w:rPr>
          <w:rFonts w:ascii="Times New Roman" w:hAnsi="Times New Roman"/>
          <w:noProof/>
          <w:sz w:val="24"/>
        </w:rPr>
        <w:t>s). Parāda pārņemšana jāieraksta</w:t>
      </w:r>
      <w:r>
        <w:rPr>
          <w:rFonts w:ascii="Times New Roman" w:hAnsi="Times New Roman"/>
          <w:noProof/>
          <w:sz w:val="24"/>
        </w:rPr>
        <w:t xml:space="preserve"> laikā, kad radās notikums, kas ir pamatā ekonomiskam secinājumam par parāda pārņemšanu, piemēram, laikā, kad veikts trešais ikgadējais maksā</w:t>
      </w:r>
      <w:r w:rsidR="0057710B">
        <w:rPr>
          <w:rFonts w:ascii="Times New Roman" w:hAnsi="Times New Roman"/>
          <w:noProof/>
          <w:sz w:val="24"/>
        </w:rPr>
        <w:t>jums. Parāda pārņemšanu ieraksta</w:t>
      </w:r>
      <w:r>
        <w:rPr>
          <w:rFonts w:ascii="Times New Roman" w:hAnsi="Times New Roman"/>
          <w:noProof/>
          <w:sz w:val="24"/>
        </w:rPr>
        <w:t xml:space="preserve"> atbilstoši VII.4.2.1.1. punktam. Ja valdība izsniegusi garantiju attiecībā uz vairākiem viena subjekta emitētiem parāda instrumentiem, minēto noteikumu piemēro, pamatojoties uz jebkuru no pieprasījumiem attiecībā uz garantētajām saistībām vienā gadā (ko šajā gadījumā uzskaita kā vienu pieprasījumu). Līdz ar to gadījumā, ja tiek nospriests, ka tiks pārņemts viss parāds, tad viss šā subjekta valdības garantētais parāds tiek pārņemts vienlaikus.</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Izņēmums ir gadījums, kad pastāv skaidras pazīmes, kas liecina par to, ka situācija neturpināsies. Tas varētu nozīmēt, ka ir nolemts fundamentāli pārstrukturēt aizņēmumu paņēmušo vienību, kurai izsniegta garantija (turpmāk saukta par aizņēmēju), un uzņēmējdarbības plānā jābūt atzītam, ka subjekts turpmāk spēs izpildīt savas parādsaistības.</w:t>
      </w:r>
    </w:p>
    <w:p w:rsidR="00794CD4" w:rsidRDefault="00794CD4">
      <w:pPr>
        <w:widowControl/>
        <w:spacing w:after="160" w:line="259" w:lineRule="auto"/>
        <w:rPr>
          <w:rFonts w:ascii="Times New Roman" w:eastAsia="Arial" w:hAnsi="Times New Roman" w:cs="Arial"/>
          <w:noProof/>
          <w:sz w:val="24"/>
          <w:szCs w:val="18"/>
        </w:rPr>
      </w:pPr>
      <w:r>
        <w:rPr>
          <w:rFonts w:ascii="Times New Roman" w:eastAsia="Arial" w:hAnsi="Times New Roman" w:cs="Arial"/>
          <w:noProof/>
          <w:sz w:val="24"/>
          <w:szCs w:val="18"/>
        </w:rPr>
        <w:br w:type="page"/>
      </w:r>
    </w:p>
    <w:p w:rsidR="00506AA9" w:rsidRPr="001973D0" w:rsidRDefault="00506AA9" w:rsidP="00506AA9">
      <w:pPr>
        <w:jc w:val="both"/>
        <w:rPr>
          <w:rFonts w:ascii="Times New Roman" w:eastAsia="Arial" w:hAnsi="Times New Roman" w:cs="Arial"/>
          <w:noProof/>
          <w:sz w:val="24"/>
          <w:szCs w:val="18"/>
        </w:rPr>
      </w:pPr>
    </w:p>
    <w:p w:rsidR="00506AA9" w:rsidRDefault="00506AA9" w:rsidP="00506AA9">
      <w:pPr>
        <w:pStyle w:val="Heading6"/>
        <w:tabs>
          <w:tab w:val="left" w:pos="1820"/>
        </w:tabs>
        <w:jc w:val="both"/>
        <w:rPr>
          <w:rFonts w:ascii="Times New Roman" w:hAnsi="Times New Roman"/>
          <w:noProof/>
          <w:sz w:val="24"/>
        </w:rPr>
      </w:pPr>
      <w:bookmarkStart w:id="551" w:name="VII.4.2.1.4_Case_where_a_claim_on_a_thir"/>
      <w:bookmarkEnd w:id="551"/>
      <w:r>
        <w:rPr>
          <w:rFonts w:ascii="Times New Roman" w:hAnsi="Times New Roman"/>
          <w:noProof/>
          <w:sz w:val="24"/>
        </w:rPr>
        <w:t>VII.4.2.1.4. Gadījums, kad saistību pārņemšana ietver prasījumu attiecībā uz trešās puses finanšu aktīvu</w:t>
      </w:r>
      <w:r>
        <w:rPr>
          <w:rStyle w:val="FootnoteReference"/>
          <w:rFonts w:ascii="Times New Roman" w:hAnsi="Times New Roman"/>
          <w:noProof/>
          <w:sz w:val="24"/>
        </w:rPr>
        <w:footnoteReference w:id="263"/>
      </w:r>
    </w:p>
    <w:p w:rsidR="00506AA9" w:rsidRPr="001973D0" w:rsidRDefault="00506AA9" w:rsidP="00506AA9">
      <w:pPr>
        <w:pStyle w:val="Heading6"/>
        <w:tabs>
          <w:tab w:val="left" w:pos="1820"/>
        </w:tabs>
        <w:jc w:val="both"/>
        <w:rPr>
          <w:rFonts w:ascii="Times New Roman" w:hAnsi="Times New Roman"/>
          <w:b w:val="0"/>
          <w:bCs w:val="0"/>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Garantija attiecībā uz saistībām var būt izmaksāta (iespējams, pēc kreditoru ierosmes), ja garantiju saņēmusī vienība (aizņēmējs) nespēj izpildīt savas parādsaistības noteiktajā termiņā, nevis tāpēc, ka tai radušās maksātspējas problēmas. Piemērs var būt pārejošas likviditātes grūtības. Dažos gadījumos, piemēram, saistībā ar eksporta kredīta garantijām, parāda pārņemšana var nozīmēt prasījuma attiecībā uz trešās puses aktīvu automātisku nodošanu</w:t>
      </w:r>
      <w:r>
        <w:rPr>
          <w:rStyle w:val="FootnoteReference"/>
          <w:rFonts w:ascii="Times New Roman" w:hAnsi="Times New Roman"/>
          <w:noProof/>
          <w:sz w:val="24"/>
        </w:rPr>
        <w:footnoteReference w:id="264"/>
      </w:r>
      <w:r>
        <w:rPr>
          <w:rFonts w:ascii="Times New Roman" w:hAnsi="Times New Roman"/>
          <w:noProof/>
          <w:sz w:val="24"/>
        </w:rPr>
        <w:t>. Tas var būt arī gadījumā, kad garantētais aizņēmums ir nodrošināts ar konkrētiem aktīviem (piemēram, ķīlas zīmēm</w:t>
      </w:r>
      <w:r>
        <w:rPr>
          <w:rStyle w:val="FootnoteReference"/>
          <w:rFonts w:ascii="Times New Roman" w:hAnsi="Times New Roman"/>
          <w:noProof/>
          <w:sz w:val="24"/>
        </w:rPr>
        <w:footnoteReference w:id="265"/>
      </w:r>
      <w:r>
        <w:rPr>
          <w:rFonts w:ascii="Times New Roman" w:hAnsi="Times New Roman"/>
          <w:noProof/>
          <w:sz w:val="24"/>
        </w:rPr>
        <w:t>). Šajā gadījumā no kapitāla pārveduma jāatskaita tā aktīva tirgus vērtība, kuru varētu nodot valdībai (ja tas ir paredzēts garantijas līgumā)</w:t>
      </w:r>
      <w:r>
        <w:rPr>
          <w:rStyle w:val="FootnoteReference"/>
          <w:rFonts w:ascii="Times New Roman" w:hAnsi="Times New Roman"/>
          <w:noProof/>
          <w:sz w:val="24"/>
        </w:rPr>
        <w:footnoteReference w:id="266"/>
      </w:r>
      <w:r>
        <w:rPr>
          <w:rFonts w:ascii="Times New Roman" w:hAnsi="Times New Roman"/>
          <w:noProof/>
          <w:sz w:val="24"/>
        </w:rPr>
        <w:t>, ja vien pastāv augsta varbūtība, ka valdība spēs realizēt šā aktīva vērtību samērā īsā laika posmā. Ja tirgus vērtība nav pieejama, var aprēķināt patieso vērtību, pamatojoties uz parastajiem uzņēmējdarbības aprēķināšanas paņēmieniem/modeļiem, ko veic neatkarīga struktūra. Tā daļa, kas tiek atzīta par prasījumu, ir traktējama saskaņā ar nākamajā punktā sniegto skaidrojumu.</w:t>
      </w:r>
    </w:p>
    <w:p w:rsidR="00506AA9" w:rsidRPr="00E972ED" w:rsidRDefault="00506AA9" w:rsidP="00506AA9">
      <w:pPr>
        <w:pStyle w:val="BodyText"/>
        <w:numPr>
          <w:ilvl w:val="0"/>
          <w:numId w:val="113"/>
        </w:numPr>
        <w:tabs>
          <w:tab w:val="left" w:pos="1168"/>
        </w:tabs>
        <w:spacing w:before="0"/>
        <w:ind w:left="709" w:hanging="709"/>
        <w:jc w:val="both"/>
        <w:rPr>
          <w:rFonts w:ascii="Times New Roman" w:hAnsi="Times New Roman"/>
          <w:noProof/>
          <w:sz w:val="24"/>
          <w:szCs w:val="14"/>
        </w:rPr>
      </w:pPr>
      <w:r>
        <w:rPr>
          <w:rFonts w:ascii="Times New Roman" w:hAnsi="Times New Roman"/>
          <w:noProof/>
          <w:sz w:val="24"/>
        </w:rPr>
        <w:t>Ja garantija tiek izsniegta par finanšu aktīviem,</w:t>
      </w:r>
      <w:r w:rsidR="00147672">
        <w:rPr>
          <w:rFonts w:ascii="Times New Roman" w:hAnsi="Times New Roman"/>
          <w:noProof/>
          <w:sz w:val="24"/>
        </w:rPr>
        <w:t xml:space="preserve"> jebkurš prasījums ir jāieraksta</w:t>
      </w:r>
      <w:r>
        <w:rPr>
          <w:rFonts w:ascii="Times New Roman" w:hAnsi="Times New Roman"/>
          <w:noProof/>
          <w:sz w:val="24"/>
        </w:rPr>
        <w:t xml:space="preserve"> arī kā kapitāla pārvedums no valdības. Var gadīties, ka vienošanās, kas noslēgta starp vienību, kurai izsniegta garantija, un valdību, paredz, ka noteiktos apstākļos garantētos aktīvu var </w:t>
      </w:r>
      <w:r w:rsidR="00147672">
        <w:rPr>
          <w:rFonts w:ascii="Times New Roman" w:hAnsi="Times New Roman"/>
          <w:noProof/>
          <w:sz w:val="24"/>
        </w:rPr>
        <w:t>pārskaitīt valdībai. To ieraksta</w:t>
      </w:r>
      <w:r>
        <w:rPr>
          <w:rFonts w:ascii="Times New Roman" w:hAnsi="Times New Roman"/>
          <w:noProof/>
          <w:sz w:val="24"/>
        </w:rPr>
        <w:t xml:space="preserve"> pārskaitījuma brīdī valdības kontos kā maksājamo kapitāla pārvedumu pilnas pārskaitītā aktīva summas apmērā. Ja nav gaidāms atgūt summas, prasījumu neievada valdības bilancē un visas neg</w:t>
      </w:r>
      <w:r w:rsidR="00147672">
        <w:rPr>
          <w:rFonts w:ascii="Times New Roman" w:hAnsi="Times New Roman"/>
          <w:noProof/>
          <w:sz w:val="24"/>
        </w:rPr>
        <w:t>aidīti atgūtās vērtības ieraksta</w:t>
      </w:r>
      <w:r>
        <w:rPr>
          <w:rFonts w:ascii="Times New Roman" w:hAnsi="Times New Roman"/>
          <w:noProof/>
          <w:sz w:val="24"/>
        </w:rPr>
        <w:t xml:space="preserve"> kā apgriezto kapitāla pārvedumu valdībai (ieņēmumu). Taču, ja neatkarīga struktūra, izmantojot parastās uzņēmējdarbības vērtēšanas metodes, sniedz ticamas aplēses par atgūstamajām summām, tās ir jāatskaita no kapitāla pārveduma un jātraktē kā finanšu darījums (finanšu aktīva iegāde). Šādu atgūšanas prognožu gadījumā prasījumu ieraksta valdības bilancē un debitora atmaksājumus valdībai traktē kā finanšu darījumu.</w:t>
      </w:r>
      <w:r>
        <w:rPr>
          <w:rStyle w:val="FootnoteReference"/>
          <w:rFonts w:ascii="Times New Roman" w:hAnsi="Times New Roman"/>
          <w:noProof/>
          <w:sz w:val="24"/>
        </w:rPr>
        <w:footnoteReference w:id="267"/>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Cita iespēja paredz, ka valdības iegūtais aktīvs ir nefinanšu aktīvs, nevis finanšu prasījums, piemēram, nekustamais īpašums. Šeit saistību neizpildes gadījumā valdība pārņem garantēto aizņēmēja parādu un arī īpašumtiesības uz attiecīgo īp</w:t>
      </w:r>
      <w:r w:rsidR="00147672">
        <w:rPr>
          <w:rFonts w:ascii="Times New Roman" w:hAnsi="Times New Roman"/>
          <w:noProof/>
          <w:sz w:val="24"/>
        </w:rPr>
        <w:t>ašumu. Šis gadījums ierakstāms</w:t>
      </w:r>
      <w:r>
        <w:rPr>
          <w:rFonts w:ascii="Times New Roman" w:hAnsi="Times New Roman"/>
          <w:noProof/>
          <w:sz w:val="24"/>
        </w:rPr>
        <w:t xml:space="preserve"> līdzīgi 21. rindkopā minētajam gadījumam, un nodotā aktīva vērtība ir jāatskaita no kapitāla pārveduma, un tai pilnīgi jākompensē šis pārvedums, ja aktīva vērtība ir vienāda ar pārņemtā parāda vērtību. Tā kā kompensējošais darījums ir nefinanšu darījums, pastāv ietekme uz valdības neto aizdevumu/aizņēmumu (B.9), jo pieaug aktīvi. Ja valdība nekavējoties realizē aktīvu tā tirgus vērtībā, lai iegūtu naudu saistību segšanai, galīgā ietekme uz valdības neto aizdevumu/aizņēmumu (B.9) būs neitrāla, ja valdība pārdos aktīvu tālāk par cenu, kas atbilst parāda pārņemšanas brīdī </w:t>
      </w:r>
      <w:r w:rsidR="00147672">
        <w:rPr>
          <w:rFonts w:ascii="Times New Roman" w:hAnsi="Times New Roman"/>
          <w:noProof/>
          <w:sz w:val="24"/>
        </w:rPr>
        <w:lastRenderedPageBreak/>
        <w:t>ierakstītajai</w:t>
      </w:r>
      <w:r>
        <w:rPr>
          <w:rFonts w:ascii="Times New Roman" w:hAnsi="Times New Roman"/>
          <w:noProof/>
          <w:sz w:val="24"/>
        </w:rPr>
        <w:t xml:space="preserve"> vērtībai.</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00"/>
        </w:tabs>
        <w:jc w:val="both"/>
        <w:rPr>
          <w:rFonts w:ascii="Times New Roman" w:hAnsi="Times New Roman"/>
          <w:noProof/>
          <w:sz w:val="24"/>
        </w:rPr>
      </w:pPr>
      <w:bookmarkStart w:id="552" w:name="VII.4.2.1.5_Case_where_the_assumption_of"/>
      <w:bookmarkEnd w:id="552"/>
      <w:r>
        <w:rPr>
          <w:rFonts w:ascii="Times New Roman" w:hAnsi="Times New Roman"/>
          <w:noProof/>
          <w:sz w:val="24"/>
        </w:rPr>
        <w:t>VII.4.2.1.5. Gadījums, kad saistību pārņemšana ietver prasījumu pret vienību, kurai izsniegta garantija</w:t>
      </w:r>
    </w:p>
    <w:p w:rsidR="00506AA9" w:rsidRPr="001973D0" w:rsidRDefault="00506AA9" w:rsidP="00506AA9">
      <w:pPr>
        <w:pStyle w:val="Heading6"/>
        <w:tabs>
          <w:tab w:val="left" w:pos="1900"/>
        </w:tabs>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valdība pārņem parādu, pamatojoties uz garantijas izmantošanas pieprasījumu, tā vienlaikus var iegūt finanšu aktīvu, kas ir tās sabiedrības saistības, kurai izsniegta garantija, piemēram, prasījumu (kas parasti tiek atzīts publiskajos pārskatos) attiecībā uz visiem atgūtajiem līdzekļiem, ko tā vēlāk var saņemt.</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Parasti gadījumos, kad tiek konstatēts, ka valdība pārņēmusi parādu no publiskas sabiedrības, kura saskaras ar grūtībām, tiek uzskatīts, ka jaunajam valdības prasījumam attiecībā uz sabiedrīb</w:t>
      </w:r>
      <w:r w:rsidR="00147672">
        <w:rPr>
          <w:rFonts w:ascii="Times New Roman" w:hAnsi="Times New Roman"/>
          <w:noProof/>
          <w:sz w:val="24"/>
        </w:rPr>
        <w:t>u (kas, iespējams, ir ierakstīts</w:t>
      </w:r>
      <w:r>
        <w:rPr>
          <w:rFonts w:ascii="Times New Roman" w:hAnsi="Times New Roman"/>
          <w:noProof/>
          <w:sz w:val="24"/>
        </w:rPr>
        <w:t xml:space="preserve"> publiskajos pārskatos) ir ļoti nenoteikta vērtība. Šajā gadījumā </w:t>
      </w:r>
      <w:r w:rsidR="00147672">
        <w:rPr>
          <w:rFonts w:ascii="Times New Roman" w:hAnsi="Times New Roman"/>
          <w:noProof/>
          <w:sz w:val="24"/>
        </w:rPr>
        <w:t>šāds prasījums nebūtu jāieraksta</w:t>
      </w:r>
      <w:r>
        <w:rPr>
          <w:rFonts w:ascii="Times New Roman" w:hAnsi="Times New Roman"/>
          <w:noProof/>
          <w:sz w:val="24"/>
        </w:rPr>
        <w:t>. Ja sabiedrība</w:t>
      </w:r>
      <w:r w:rsidR="00147672">
        <w:rPr>
          <w:rFonts w:ascii="Times New Roman" w:hAnsi="Times New Roman"/>
          <w:noProof/>
          <w:sz w:val="24"/>
        </w:rPr>
        <w:t xml:space="preserve"> vēlāk veic atmaksu, to ieraksta</w:t>
      </w:r>
      <w:r>
        <w:rPr>
          <w:rFonts w:ascii="Times New Roman" w:hAnsi="Times New Roman"/>
          <w:noProof/>
          <w:sz w:val="24"/>
        </w:rPr>
        <w:t xml:space="preserve"> kā valdības kapitāla pārveduma ieņēmumus (sk. arī turpmāk VII.4.2.1.6. punktu). Ja aizņēmējs ir pilnībā privāts subjekts, būtu uzskatāms, ka valdība tur prasījumu. Tomēr gadījumā, ja aizņēmējs uzrāda uzkrātus zaudējumus un jo īpaši negatīvu neto pašu kapitālu</w:t>
      </w:r>
      <w:r w:rsidR="00147672">
        <w:rPr>
          <w:rFonts w:ascii="Times New Roman" w:hAnsi="Times New Roman"/>
          <w:noProof/>
          <w:sz w:val="24"/>
        </w:rPr>
        <w:t>, nacionālajos kontos neieraksta</w:t>
      </w:r>
      <w:r>
        <w:rPr>
          <w:rFonts w:ascii="Times New Roman" w:hAnsi="Times New Roman"/>
          <w:noProof/>
          <w:sz w:val="24"/>
        </w:rPr>
        <w:t xml:space="preserve"> prasījumu attiecībā uz šo vienību.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00"/>
        </w:tabs>
        <w:jc w:val="both"/>
        <w:rPr>
          <w:rFonts w:ascii="Times New Roman" w:hAnsi="Times New Roman"/>
          <w:noProof/>
          <w:sz w:val="24"/>
        </w:rPr>
      </w:pPr>
      <w:bookmarkStart w:id="553" w:name="VII.4.2.1.6_Change_of_circumstances_afte"/>
      <w:bookmarkEnd w:id="553"/>
      <w:r>
        <w:rPr>
          <w:rFonts w:ascii="Times New Roman" w:hAnsi="Times New Roman"/>
          <w:noProof/>
          <w:sz w:val="24"/>
        </w:rPr>
        <w:t>VII.4.2.1.6. Apstākļu maiņa pēc parāda pārņemšanas</w:t>
      </w:r>
    </w:p>
    <w:p w:rsidR="00506AA9" w:rsidRPr="001973D0" w:rsidRDefault="00506AA9" w:rsidP="00506AA9">
      <w:pPr>
        <w:pStyle w:val="Heading6"/>
        <w:tabs>
          <w:tab w:val="left" w:pos="1900"/>
        </w:tabs>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Pēc tam, kad secināts, ka valdība ir ekonomiski pārņēmusi tās garantēto parādu (sk. VII.4.2.1.3. punktu), var rasties situācija, kurā uzņēmuma finanšu darbības rādītāji uzlabojas tiktāl, ka tas sāk atmaksāt parādu un var pārņemt atpakaļ savu juridisko pienākumu attiecībā uz saistībām. Šajā ziņā iepriekšējais ekonomiskais novērtējums kļūst novecojis, un tiek uzskatīts, ka sabiedrība pārņem parādu </w:t>
      </w:r>
      <w:r w:rsidR="00147672">
        <w:rPr>
          <w:rFonts w:ascii="Times New Roman" w:hAnsi="Times New Roman"/>
          <w:noProof/>
          <w:sz w:val="24"/>
        </w:rPr>
        <w:t>atpakaļ no valdības. To ieraksta</w:t>
      </w:r>
      <w:r>
        <w:rPr>
          <w:rFonts w:ascii="Times New Roman" w:hAnsi="Times New Roman"/>
          <w:noProof/>
          <w:sz w:val="24"/>
        </w:rPr>
        <w:t xml:space="preserve"> kā sabiedrības kapitāla pārvedumu valdībai, ko kompensē ar finanšu darījumu, kurā valdība nodod saistības sabiedrībai</w:t>
      </w:r>
      <w:r>
        <w:rPr>
          <w:rStyle w:val="FootnoteReference"/>
          <w:rFonts w:ascii="Times New Roman" w:hAnsi="Times New Roman"/>
          <w:noProof/>
          <w:sz w:val="24"/>
        </w:rPr>
        <w:footnoteReference w:id="268"/>
      </w:r>
      <w:r>
        <w:rPr>
          <w:rFonts w:ascii="Times New Roman" w:hAnsi="Times New Roman"/>
          <w:noProof/>
          <w:sz w:val="24"/>
        </w:rPr>
        <w:t>.</w:t>
      </w:r>
    </w:p>
    <w:p w:rsidR="00506AA9" w:rsidRPr="00E972ED"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atguvējs subjekts ir publiska sabiedrība, tad attie</w:t>
      </w:r>
      <w:r w:rsidR="00147672">
        <w:rPr>
          <w:rFonts w:ascii="Times New Roman" w:hAnsi="Times New Roman"/>
          <w:noProof/>
          <w:sz w:val="24"/>
        </w:rPr>
        <w:t>cībā uz darījumu, kas ierakstīts</w:t>
      </w:r>
      <w:r>
        <w:rPr>
          <w:rFonts w:ascii="Times New Roman" w:hAnsi="Times New Roman"/>
          <w:noProof/>
          <w:sz w:val="24"/>
        </w:rPr>
        <w:t xml:space="preserve"> par labu valdībai, jāpiemēro superdividenžu tests, daļu no maksājuma, iespējams, sadalot kā pašu kapitāla atskaitījumus (F.5).</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Lai nepieļautu nestabilitāti valdības parāda statistiskā, valdības nosacītais parāds jāsaglabā kā valdības saistības līdz brīdim, kad subjekts faktiski veic maksājumus valdībai vai kreditoram un ir pierādījumi, kas liecina, ka šādi maksājumi tiks veikti arī turpmāk. Citiem vārdiem sakot, subjekta finanšu situācijas uzlabojums jānovērtē kā pastāvīgs un tāds, kas nav atkarīgs no pagaidu faktoriem.</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20"/>
        </w:tabs>
        <w:jc w:val="both"/>
        <w:rPr>
          <w:rFonts w:ascii="Times New Roman" w:hAnsi="Times New Roman"/>
          <w:noProof/>
          <w:sz w:val="24"/>
        </w:rPr>
      </w:pPr>
      <w:bookmarkStart w:id="554" w:name="VII.4.2.1.7_On-lending"/>
      <w:bookmarkEnd w:id="554"/>
      <w:r>
        <w:rPr>
          <w:rFonts w:ascii="Times New Roman" w:hAnsi="Times New Roman"/>
          <w:noProof/>
          <w:sz w:val="24"/>
        </w:rPr>
        <w:t>VII.4.2.1.7. Turpmākie aizdevumi</w:t>
      </w:r>
    </w:p>
    <w:p w:rsidR="00506AA9" w:rsidRPr="001973D0" w:rsidRDefault="00506AA9" w:rsidP="00506AA9">
      <w:pPr>
        <w:pStyle w:val="Heading6"/>
        <w:tabs>
          <w:tab w:val="left" w:pos="1820"/>
        </w:tabs>
        <w:jc w:val="both"/>
        <w:rPr>
          <w:rFonts w:ascii="Times New Roman" w:hAnsi="Times New Roman"/>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Ja valdība aizņemas tirgū savā vārdā ar mērķi piešķirt līdzekļus sabiedrībām, kurām ir līgumā noteikts pienākums atmaksāt valdībai gan pamatsummu</w:t>
      </w:r>
      <w:r w:rsidR="00147672">
        <w:rPr>
          <w:rFonts w:ascii="Times New Roman" w:hAnsi="Times New Roman"/>
          <w:noProof/>
          <w:sz w:val="24"/>
        </w:rPr>
        <w:t>, gan procentus, parādu ieraksta</w:t>
      </w:r>
      <w:r>
        <w:rPr>
          <w:rFonts w:ascii="Times New Roman" w:hAnsi="Times New Roman"/>
          <w:noProof/>
          <w:sz w:val="24"/>
        </w:rPr>
        <w:t xml:space="preserve"> kā valdības parādu izsniegšanas brīdī </w:t>
      </w:r>
      <w:r w:rsidR="00147672">
        <w:rPr>
          <w:rFonts w:ascii="Times New Roman" w:hAnsi="Times New Roman"/>
          <w:noProof/>
          <w:sz w:val="24"/>
        </w:rPr>
        <w:t>un atbilstīgo aizdevumu ieraksta</w:t>
      </w:r>
      <w:r>
        <w:rPr>
          <w:rFonts w:ascii="Times New Roman" w:hAnsi="Times New Roman"/>
          <w:noProof/>
          <w:sz w:val="24"/>
        </w:rPr>
        <w:t xml:space="preserve"> attiecībā uz sabiedrībām. Aizdevumu analizē saskaņā ar noteikumiem par kapitāla iepludināšanu publiskās sabiedrībās (sk. III.2. nodaļu “Kapitāla iepludināšana publiskās sabiedrībās”). Tādējādi tas saskaņā ar kapitāla iepludināšanas testu var gan ietekmēt, gan neietekmēt valdības neto aizdevumu/aizņēmumu (B.9).</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 xml:space="preserve">Valdība var izsniegt garantiju subjektam par aizņēmumu tirgū, kurš tad saskaņā ar </w:t>
      </w:r>
      <w:r>
        <w:rPr>
          <w:rFonts w:ascii="Times New Roman" w:hAnsi="Times New Roman"/>
          <w:noProof/>
          <w:sz w:val="24"/>
        </w:rPr>
        <w:lastRenderedPageBreak/>
        <w:t>valdības norādījumiem finansē sabiedrības, kuras iesaistītas lielos publiskā sektora infrastruktūras projektos vai citos projektos. Ja šis subjekts ir atzīts par atsevišķu institucionālu vienību (sk. EKS 2010 2.12. punktu), aizņēmumu pārvirza tādā veidā, lai valdība aizņemtos līdzekļus un aizdotu tos šai vienībai. Tomēr parasti subjekts netiek atzīts kā institucionāla vienība (piemēram, ja izrādās, ka tas veic vienīgi “starpnieka” funkcij</w:t>
      </w:r>
      <w:r w:rsidR="00147672">
        <w:rPr>
          <w:rFonts w:ascii="Times New Roman" w:hAnsi="Times New Roman"/>
          <w:noProof/>
          <w:sz w:val="24"/>
        </w:rPr>
        <w:t>u), un aizņēmums tiek ierakstīts</w:t>
      </w:r>
      <w:r>
        <w:rPr>
          <w:rFonts w:ascii="Times New Roman" w:hAnsi="Times New Roman"/>
          <w:noProof/>
          <w:sz w:val="24"/>
        </w:rPr>
        <w:t xml:space="preserve"> nacionālajos kontos kā tiešs valdības aizņēmums, no kura līdzekļi tiek aizdoti infrastruktūras projektos vai citos publiskos projektos iesaistītām sabiedrībām.</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2182"/>
        </w:tabs>
        <w:jc w:val="both"/>
        <w:rPr>
          <w:rFonts w:ascii="Times New Roman" w:hAnsi="Times New Roman"/>
          <w:noProof/>
          <w:sz w:val="24"/>
        </w:rPr>
      </w:pPr>
      <w:bookmarkStart w:id="555" w:name="VII.4.2.2_Rationale_of_the_treatment"/>
      <w:bookmarkEnd w:id="555"/>
      <w:r>
        <w:rPr>
          <w:rFonts w:ascii="Times New Roman" w:hAnsi="Times New Roman"/>
          <w:noProof/>
          <w:sz w:val="24"/>
        </w:rPr>
        <w:t>VII.4.2.2. Traktējuma pamatojums</w:t>
      </w:r>
      <w:bookmarkStart w:id="556" w:name="VII.4.2.2.1_General_case"/>
      <w:bookmarkEnd w:id="556"/>
    </w:p>
    <w:p w:rsidR="00506AA9" w:rsidRDefault="00506AA9" w:rsidP="00506AA9">
      <w:pPr>
        <w:pStyle w:val="Heading6"/>
        <w:tabs>
          <w:tab w:val="left" w:pos="2182"/>
        </w:tabs>
        <w:jc w:val="both"/>
        <w:rPr>
          <w:rFonts w:ascii="Times New Roman" w:hAnsi="Times New Roman"/>
          <w:noProof/>
          <w:sz w:val="24"/>
        </w:rPr>
      </w:pPr>
    </w:p>
    <w:p w:rsidR="00506AA9" w:rsidRDefault="00506AA9" w:rsidP="00506AA9">
      <w:pPr>
        <w:pStyle w:val="Heading6"/>
        <w:tabs>
          <w:tab w:val="left" w:pos="2182"/>
        </w:tabs>
        <w:jc w:val="both"/>
        <w:rPr>
          <w:rFonts w:ascii="Times New Roman" w:hAnsi="Times New Roman"/>
          <w:noProof/>
          <w:sz w:val="24"/>
        </w:rPr>
      </w:pPr>
      <w:r>
        <w:rPr>
          <w:rFonts w:ascii="Times New Roman" w:hAnsi="Times New Roman"/>
          <w:noProof/>
          <w:sz w:val="24"/>
        </w:rPr>
        <w:t>VII.4.2.2.1. Vispārējs gadījums</w:t>
      </w:r>
    </w:p>
    <w:p w:rsidR="00506AA9" w:rsidRPr="001973D0" w:rsidRDefault="00506AA9" w:rsidP="00506AA9">
      <w:pPr>
        <w:pStyle w:val="Heading6"/>
        <w:tabs>
          <w:tab w:val="left" w:pos="2182"/>
        </w:tabs>
        <w:jc w:val="both"/>
        <w:rPr>
          <w:rFonts w:ascii="Times New Roman" w:hAnsi="Times New Roman"/>
          <w:noProof/>
          <w:sz w:val="24"/>
        </w:rPr>
      </w:pPr>
    </w:p>
    <w:p w:rsidR="00506AA9" w:rsidRPr="00E972ED"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Saskaņā ar vispārēju principu šādas trešo pušu piešķirtas maksājumu garantijas uzskata par iespējamajiem aktīviem/saistībām.</w:t>
      </w:r>
    </w:p>
    <w:p w:rsidR="00506AA9" w:rsidRPr="001973D0" w:rsidRDefault="00506AA9" w:rsidP="00506AA9">
      <w:pPr>
        <w:numPr>
          <w:ilvl w:val="0"/>
          <w:numId w:val="113"/>
        </w:numPr>
        <w:tabs>
          <w:tab w:val="left" w:pos="1168"/>
        </w:tabs>
        <w:ind w:left="709" w:hanging="709"/>
        <w:jc w:val="both"/>
        <w:rPr>
          <w:rFonts w:ascii="Times New Roman" w:eastAsia="Arial" w:hAnsi="Times New Roman" w:cs="Arial"/>
          <w:noProof/>
          <w:sz w:val="24"/>
        </w:rPr>
      </w:pPr>
      <w:r>
        <w:rPr>
          <w:rFonts w:ascii="Times New Roman" w:hAnsi="Times New Roman"/>
          <w:noProof/>
          <w:sz w:val="24"/>
        </w:rPr>
        <w:t xml:space="preserve">EKS 2010 5.08. punktā norādīts, ka </w:t>
      </w:r>
      <w:r>
        <w:rPr>
          <w:rFonts w:ascii="Times New Roman" w:hAnsi="Times New Roman"/>
          <w:i/>
          <w:noProof/>
          <w:sz w:val="24"/>
        </w:rPr>
        <w:t>tā kā tie nerada beznosacījuma pienākumus, iespējamos aktīvus un iespējamās saistības neuzskata par finanšu aktīviem un saistībām</w:t>
      </w:r>
      <w:r>
        <w:rPr>
          <w:rFonts w:ascii="Times New Roman" w:hAnsi="Times New Roman"/>
          <w:noProof/>
          <w:sz w:val="24"/>
        </w:rPr>
        <w:t>.</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Līdz ar to iespējamās saistība</w:t>
      </w:r>
      <w:r w:rsidR="00147672">
        <w:rPr>
          <w:rFonts w:ascii="Times New Roman" w:hAnsi="Times New Roman"/>
          <w:noProof/>
          <w:sz w:val="24"/>
        </w:rPr>
        <w:t>s neieraksta</w:t>
      </w:r>
      <w:r>
        <w:rPr>
          <w:rFonts w:ascii="Times New Roman" w:hAnsi="Times New Roman"/>
          <w:noProof/>
          <w:sz w:val="24"/>
        </w:rPr>
        <w:t xml:space="preserve"> EKS bilancē un izslēdz no valdības parāda. Līdzīgi arī garantiju piešķiršanu neuzskata par darījumu nacionālajos kontos. Vispārējā gadījumā garantijas piešķiršanas darbībai seko</w:t>
      </w:r>
      <w:r w:rsidR="00147672">
        <w:rPr>
          <w:rFonts w:ascii="Times New Roman" w:hAnsi="Times New Roman"/>
          <w:noProof/>
          <w:sz w:val="24"/>
        </w:rPr>
        <w:t>tu vienīgi darījumu ierakstīšana</w:t>
      </w:r>
      <w:r>
        <w:rPr>
          <w:rFonts w:ascii="Times New Roman" w:hAnsi="Times New Roman"/>
          <w:noProof/>
          <w:sz w:val="24"/>
        </w:rPr>
        <w:t xml:space="preserve"> saistībā ar maksājumiem, kad tiek aktivēta garantija, proti, kad galvotājs aizstāj sākotnējo aizņēmēju (vai dažos gadījumos izmaksā kompensāciju noteiktu identificētu aktīvu turētājam), jo tas nespēj izpildīt savas saistības un tāpēc ir ierosināts izmantot garantiju. Dažos gadījumos ir jāizdara secinājums, ka garantija ir faktiski izmantota, lai arī juridiski tā nav pilnīgi aktivizēta. Garantijas izmantošana nozīmē to, ka tiek pārņemts parāds, bet atsevišķos gadījumos – “tīru” kapitāla pārvedumu. Ja p</w:t>
      </w:r>
      <w:r w:rsidR="00147672">
        <w:rPr>
          <w:rFonts w:ascii="Times New Roman" w:hAnsi="Times New Roman"/>
          <w:noProof/>
          <w:sz w:val="24"/>
        </w:rPr>
        <w:t>arāds tiek pārņemts, ierakstītās</w:t>
      </w:r>
      <w:r>
        <w:rPr>
          <w:rFonts w:ascii="Times New Roman" w:hAnsi="Times New Roman"/>
          <w:noProof/>
          <w:sz w:val="24"/>
        </w:rPr>
        <w:t xml:space="preserve"> summas ir maksājumu saistības, kuras galvotājs uzņēmies attiecībā uz sākotnējo aizņēmēju.</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Līdz ar to ikviens pieprasījums par garantijas pilnīgu vai daļēju izmaksāšanu ir līdzvērtīgs valdības īstenotai parāda pārņemšanai.</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956"/>
        </w:tabs>
        <w:jc w:val="both"/>
        <w:rPr>
          <w:rFonts w:ascii="Times New Roman" w:hAnsi="Times New Roman"/>
          <w:noProof/>
          <w:sz w:val="24"/>
        </w:rPr>
      </w:pPr>
      <w:bookmarkStart w:id="557" w:name="VII.4.2.2.2_Case_where_government_will_r"/>
      <w:bookmarkEnd w:id="557"/>
      <w:r>
        <w:rPr>
          <w:rFonts w:ascii="Times New Roman" w:hAnsi="Times New Roman"/>
          <w:noProof/>
          <w:sz w:val="24"/>
        </w:rPr>
        <w:t>VII.4.2.2.2. Gadījums, kad ir zināms, ka valdība atmaksās parādu</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jauna garantētā parāda gadījumā ir zināms, ka valdība kā galvotājs to atmaksās, tas ir ekonomisks ekvivalents tiešam valdības aizņēmumam no kreditora, kas tādējādi nozīmē arī parāda apkalpošanas pienākuma uzņemšanos. Ja valdības aizņēmuma līdzekļus pēc tam izmanto sabiedrības finansēšanai un valdība neplāno neko saņemt pretī no aizdevumu saņēmušās sabiedrības, šāds darīj</w:t>
      </w:r>
      <w:r w:rsidR="006F4F9B">
        <w:rPr>
          <w:rFonts w:ascii="Times New Roman" w:hAnsi="Times New Roman"/>
          <w:noProof/>
          <w:sz w:val="24"/>
        </w:rPr>
        <w:t>ums nav aizdevums un to ieraksta</w:t>
      </w:r>
      <w:r>
        <w:rPr>
          <w:rFonts w:ascii="Times New Roman" w:hAnsi="Times New Roman"/>
          <w:noProof/>
          <w:sz w:val="24"/>
        </w:rPr>
        <w:t xml:space="preserve"> kā sadales darījumu, piemēram, kā kapitāla pārvedumu, kas ietekmē valdības neto aizdevumu/aizņēmumu (B.9).</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valdība izsniedz garantiju jau attiecībā uz pastāvošu parādu un ir skaidri zināms, ka valdība to atmaksās, tas līdzinās parāda pārņemšanai no garantiju saņēmušās vienības.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56"/>
        </w:tabs>
        <w:jc w:val="both"/>
        <w:rPr>
          <w:rFonts w:ascii="Times New Roman" w:hAnsi="Times New Roman"/>
          <w:noProof/>
          <w:sz w:val="24"/>
        </w:rPr>
      </w:pPr>
      <w:bookmarkStart w:id="558" w:name="VII.4.2.2.3_Case_where_it_is_judged_that"/>
      <w:bookmarkEnd w:id="558"/>
      <w:r>
        <w:rPr>
          <w:rFonts w:ascii="Times New Roman" w:hAnsi="Times New Roman"/>
          <w:noProof/>
          <w:sz w:val="24"/>
        </w:rPr>
        <w:t>VII.4.2.2.3. Gadījums, kad konstatē, ka valdība atmaksā vai atmaksās parādu</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Šis gadījums ir līdzvērtīgs neoficiālam pieprasījumam </w:t>
      </w:r>
      <w:r w:rsidR="006F4F9B">
        <w:rPr>
          <w:rFonts w:ascii="Times New Roman" w:hAnsi="Times New Roman"/>
          <w:noProof/>
          <w:sz w:val="24"/>
        </w:rPr>
        <w:t>izmantot garantiju. Ierakstīšana</w:t>
      </w:r>
      <w:r>
        <w:rPr>
          <w:rFonts w:ascii="Times New Roman" w:hAnsi="Times New Roman"/>
          <w:noProof/>
          <w:sz w:val="24"/>
        </w:rPr>
        <w:t xml:space="preserve"> atspoguļo ekonomisko būtību, nevis juridisko formu vai administratīvo formu (sk. EKS 2010 1.25. punktu). Šādos gadījumos uzskata, ka valdība ir pārņēmusi parādu no sabiedrības.</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Ir konstatēti gadījumi, kad valdība katru gadu veic parāda atmaksāšanu sabiedrības vietā </w:t>
      </w:r>
      <w:r>
        <w:rPr>
          <w:rFonts w:ascii="Times New Roman" w:hAnsi="Times New Roman"/>
          <w:noProof/>
          <w:sz w:val="24"/>
        </w:rPr>
        <w:lastRenderedPageBreak/>
        <w:t>bez oficiāla pieprasījuma izmantot garantiju; šādi gadījumi ir rūpīgi jāanalizē, lai noteiktu, vai ir faktiski pieprasīts izmantot garantiju. Šie maksājumi liecina par to, ka praksē tiek paredzēts, ka valdība pārņems pa</w:t>
      </w:r>
      <w:r w:rsidR="006F4F9B">
        <w:rPr>
          <w:rFonts w:ascii="Times New Roman" w:hAnsi="Times New Roman"/>
          <w:noProof/>
          <w:sz w:val="24"/>
        </w:rPr>
        <w:t>rādu. Saistības tiek ierakstītas</w:t>
      </w:r>
      <w:r>
        <w:rPr>
          <w:rFonts w:ascii="Times New Roman" w:hAnsi="Times New Roman"/>
          <w:noProof/>
          <w:sz w:val="24"/>
        </w:rPr>
        <w:t xml:space="preserve"> kā valdības parāds, pamatojoties uz spriedumu par ekonomisko realitāti, proti, par to, ka valdība turpinās regulāri izpildīt saistības, šajā gadījumā uzskatot, ka šīs saistības ekonomiski pieder valdībai (un tādējādi tiek pārvirzītas).</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Saistībā ar nacionālajiem kontiem ekonomiskā realitāte vienmēr dominē pār juridisko formu. Ir jāizvairās no neskaidrām situācijām, kurās turpmāk varētu nākties veikt parāda pārklasifikāciju.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56"/>
        </w:tabs>
        <w:jc w:val="both"/>
        <w:rPr>
          <w:rFonts w:ascii="Times New Roman" w:hAnsi="Times New Roman"/>
          <w:noProof/>
          <w:sz w:val="24"/>
        </w:rPr>
      </w:pPr>
      <w:bookmarkStart w:id="559" w:name="VII.4.2.2.4_Case_where_a_claim_on_a_thir"/>
      <w:bookmarkEnd w:id="559"/>
      <w:r>
        <w:rPr>
          <w:rFonts w:ascii="Times New Roman" w:hAnsi="Times New Roman"/>
          <w:noProof/>
          <w:sz w:val="24"/>
        </w:rPr>
        <w:t>VII.4.2.2.4. Gadījums, kad saistību pārņemšana ietver prasījumu attiecībā uz trešās puses finanšu aktīvu</w:t>
      </w:r>
    </w:p>
    <w:p w:rsidR="00506AA9" w:rsidRPr="001973D0" w:rsidRDefault="00506AA9" w:rsidP="00506AA9">
      <w:pPr>
        <w:pStyle w:val="Heading6"/>
        <w:tabs>
          <w:tab w:val="left" w:pos="1956"/>
        </w:tabs>
        <w:jc w:val="both"/>
        <w:rPr>
          <w:rFonts w:ascii="Times New Roman" w:hAnsi="Times New Roman"/>
          <w:noProof/>
          <w:sz w:val="24"/>
        </w:rPr>
      </w:pP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tiek pieprasīts izmantot garantiju, valdība var saņemt no garantiju saņēmušās vienības aktīvu, piemēram, pašu kapitāla vai aizdevuma formā. Ir jānovērtē, vai šo pieprasījumu varētu atzīt nacionālajos kontos.</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Piemēram, ja valdība saņem prasījumu attiecībā uz zaudējumus nesošu publisku sabiedrību, tam, ko valdība saņem, varētu nebūt nekādas vērtības, un nacionālajos</w:t>
      </w:r>
      <w:r w:rsidR="006F4F9B">
        <w:rPr>
          <w:rFonts w:ascii="Times New Roman" w:hAnsi="Times New Roman"/>
          <w:noProof/>
          <w:sz w:val="24"/>
        </w:rPr>
        <w:t xml:space="preserve"> kontos prasījumu neieraksta</w:t>
      </w:r>
      <w:r>
        <w:rPr>
          <w:rFonts w:ascii="Times New Roman" w:hAnsi="Times New Roman"/>
          <w:noProof/>
          <w:sz w:val="24"/>
        </w:rPr>
        <w:t>.</w:t>
      </w:r>
    </w:p>
    <w:p w:rsidR="00506AA9" w:rsidRPr="00E972ED"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Ja prasījums (ko</w:t>
      </w:r>
      <w:r w:rsidR="006F4F9B">
        <w:rPr>
          <w:rFonts w:ascii="Times New Roman" w:hAnsi="Times New Roman"/>
          <w:noProof/>
          <w:sz w:val="24"/>
        </w:rPr>
        <w:t xml:space="preserve"> saņēmusi valdība) ir ierakstīts</w:t>
      </w:r>
      <w:r>
        <w:rPr>
          <w:rFonts w:ascii="Times New Roman" w:hAnsi="Times New Roman"/>
          <w:noProof/>
          <w:sz w:val="24"/>
        </w:rPr>
        <w:t xml:space="preserve"> publiskajos kontos kā aizdevums privātai sabiedrībai</w:t>
      </w:r>
      <w:r>
        <w:rPr>
          <w:rStyle w:val="FootnoteReference"/>
          <w:rFonts w:ascii="Times New Roman" w:hAnsi="Times New Roman"/>
          <w:noProof/>
          <w:sz w:val="24"/>
        </w:rPr>
        <w:footnoteReference w:id="269"/>
      </w:r>
      <w:r>
        <w:rPr>
          <w:rFonts w:ascii="Times New Roman" w:hAnsi="Times New Roman"/>
          <w:noProof/>
          <w:sz w:val="24"/>
        </w:rPr>
        <w:t>, šāds gadījums ir jāanalizē. Ja privātai sabiedrībai rodas tādas finanšu grūtības (uzkrātie zaudējumi, negatīvs pašu kapitāls, nav piekļuves tirgum), ka tās patiesā vērtība ir nulle vai tuvu nullei, šādu prasījumu nacionālajos kontos neatzīst. Šajā gadī</w:t>
      </w:r>
      <w:r w:rsidR="00027D9B">
        <w:rPr>
          <w:rFonts w:ascii="Times New Roman" w:hAnsi="Times New Roman"/>
          <w:noProof/>
          <w:sz w:val="24"/>
        </w:rPr>
        <w:t>jumā būtu neatbilstoši ierakstīt</w:t>
      </w:r>
      <w:r>
        <w:rPr>
          <w:rFonts w:ascii="Times New Roman" w:hAnsi="Times New Roman"/>
          <w:noProof/>
          <w:sz w:val="24"/>
        </w:rPr>
        <w:t xml:space="preserve"> pašu kapitāla iepludināšanu (F.5) no valdības</w:t>
      </w:r>
      <w:r>
        <w:rPr>
          <w:rStyle w:val="FootnoteReference"/>
          <w:rFonts w:ascii="Times New Roman" w:hAnsi="Times New Roman"/>
          <w:noProof/>
          <w:sz w:val="24"/>
        </w:rPr>
        <w:footnoteReference w:id="270"/>
      </w:r>
      <w:r>
        <w:rPr>
          <w:rFonts w:ascii="Times New Roman" w:hAnsi="Times New Roman"/>
          <w:noProof/>
          <w:sz w:val="24"/>
        </w:rPr>
        <w:t>, kamēr prasījums netiek atzīts, un ar garantijas aktivēšanu sai</w:t>
      </w:r>
      <w:r w:rsidR="00027D9B">
        <w:rPr>
          <w:rFonts w:ascii="Times New Roman" w:hAnsi="Times New Roman"/>
          <w:noProof/>
          <w:sz w:val="24"/>
        </w:rPr>
        <w:t>stītais darījums būtu jāieraksta</w:t>
      </w:r>
      <w:r>
        <w:rPr>
          <w:rFonts w:ascii="Times New Roman" w:hAnsi="Times New Roman"/>
          <w:noProof/>
          <w:sz w:val="24"/>
        </w:rPr>
        <w:t xml:space="preserve"> kā kapitāla pārvedums.</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876"/>
        </w:tabs>
        <w:jc w:val="both"/>
        <w:rPr>
          <w:rFonts w:ascii="Times New Roman" w:hAnsi="Times New Roman"/>
          <w:noProof/>
          <w:sz w:val="24"/>
        </w:rPr>
      </w:pPr>
      <w:bookmarkStart w:id="560" w:name="VII.4.2.2.5_Case_where_an_assumption_of_"/>
      <w:bookmarkEnd w:id="560"/>
      <w:r>
        <w:rPr>
          <w:rFonts w:ascii="Times New Roman" w:hAnsi="Times New Roman"/>
          <w:noProof/>
          <w:sz w:val="24"/>
        </w:rPr>
        <w:t>VII.4.2.2.5. Gadījums, kad saistību pārņemšana ietver prasījumu pret vienību, kurai izsniegta garantija</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 xml:space="preserve">Jautājums rodas arī gadījumā, kad tiek pieprasīts izmantot valdības garantiju un, </w:t>
      </w:r>
      <w:r w:rsidR="00027D9B">
        <w:rPr>
          <w:rFonts w:ascii="Times New Roman" w:hAnsi="Times New Roman"/>
          <w:noProof/>
          <w:sz w:val="24"/>
        </w:rPr>
        <w:t>reaģējot uz to, valdība ieraksta</w:t>
      </w:r>
      <w:r>
        <w:rPr>
          <w:rFonts w:ascii="Times New Roman" w:hAnsi="Times New Roman"/>
          <w:noProof/>
          <w:sz w:val="24"/>
        </w:rPr>
        <w:t xml:space="preserve"> prasījumu pret garantiju saņēmušo vi</w:t>
      </w:r>
      <w:r w:rsidR="00027D9B">
        <w:rPr>
          <w:rFonts w:ascii="Times New Roman" w:hAnsi="Times New Roman"/>
          <w:noProof/>
          <w:sz w:val="24"/>
        </w:rPr>
        <w:t>enību. Šāds prasījums jāieraksta</w:t>
      </w:r>
      <w:r>
        <w:rPr>
          <w:rFonts w:ascii="Times New Roman" w:hAnsi="Times New Roman"/>
          <w:noProof/>
          <w:sz w:val="24"/>
        </w:rPr>
        <w:t xml:space="preserve"> nacionālajos kontos, ar to kompensējot kapitāla pārveduma summu, ja vien tam ir pozitīva un noteikta vērtība, t. i., ja to var patiešām atzīt kā prasījumu nacionālajos kontos. Jēdziens “atzīts prasījums” ir minēts vairākos saimnieciskās darbības grāmatvedības uzskaitei veltītos dokumentos (jo īpaši </w:t>
      </w:r>
      <w:r>
        <w:rPr>
          <w:rFonts w:ascii="Times New Roman" w:hAnsi="Times New Roman"/>
          <w:i/>
          <w:noProof/>
          <w:sz w:val="24"/>
        </w:rPr>
        <w:t>IPSAS</w:t>
      </w:r>
      <w:r>
        <w:rPr>
          <w:rFonts w:ascii="Times New Roman" w:hAnsi="Times New Roman"/>
          <w:noProof/>
          <w:sz w:val="24"/>
        </w:rPr>
        <w:t> 19). Ja prasījuma vērtība ir nenoteikta un tiek vērsta pret sabiedrību, kas ir finanšu grūtībās vai</w:t>
      </w:r>
      <w:r w:rsidR="00027D9B">
        <w:rPr>
          <w:rFonts w:ascii="Times New Roman" w:hAnsi="Times New Roman"/>
          <w:noProof/>
          <w:sz w:val="24"/>
        </w:rPr>
        <w:t xml:space="preserve"> cieš zaudējumus, ir jāieraksta</w:t>
      </w:r>
      <w:r>
        <w:rPr>
          <w:rFonts w:ascii="Times New Roman" w:hAnsi="Times New Roman"/>
          <w:noProof/>
          <w:sz w:val="24"/>
        </w:rPr>
        <w:t xml:space="preserve"> kapitāla pārvedums pilnas prasītās summas apmērā. Visas summas, ko garantiju saņēmusī vienība</w:t>
      </w:r>
      <w:r w:rsidR="00027D9B">
        <w:rPr>
          <w:rFonts w:ascii="Times New Roman" w:hAnsi="Times New Roman"/>
          <w:noProof/>
          <w:sz w:val="24"/>
        </w:rPr>
        <w:t xml:space="preserve"> vēlāk atmaksā, tiks ierakstītas</w:t>
      </w:r>
      <w:r>
        <w:rPr>
          <w:rFonts w:ascii="Times New Roman" w:hAnsi="Times New Roman"/>
          <w:noProof/>
          <w:sz w:val="24"/>
        </w:rPr>
        <w:t xml:space="preserve"> kā kapitāla pārvedums valdībai to atmaksas brīdī.</w:t>
      </w:r>
    </w:p>
    <w:p w:rsidR="00794CD4" w:rsidRDefault="00794CD4">
      <w:pPr>
        <w:widowControl/>
        <w:spacing w:after="160" w:line="259" w:lineRule="auto"/>
        <w:rPr>
          <w:rFonts w:ascii="Times New Roman" w:eastAsia="Arial" w:hAnsi="Times New Roman" w:cs="Arial"/>
          <w:noProof/>
          <w:sz w:val="24"/>
          <w:szCs w:val="14"/>
        </w:rPr>
      </w:pPr>
      <w:r>
        <w:rPr>
          <w:rFonts w:ascii="Times New Roman" w:eastAsia="Arial" w:hAnsi="Times New Roman" w:cs="Arial"/>
          <w:noProof/>
          <w:sz w:val="24"/>
          <w:szCs w:val="14"/>
        </w:rPr>
        <w:br w:type="page"/>
      </w:r>
    </w:p>
    <w:p w:rsidR="00506AA9" w:rsidRPr="001973D0" w:rsidRDefault="00506AA9" w:rsidP="00506AA9">
      <w:pPr>
        <w:jc w:val="both"/>
        <w:rPr>
          <w:rFonts w:ascii="Times New Roman" w:eastAsia="Arial" w:hAnsi="Times New Roman" w:cs="Arial"/>
          <w:noProof/>
          <w:sz w:val="24"/>
          <w:szCs w:val="14"/>
        </w:rPr>
      </w:pPr>
    </w:p>
    <w:p w:rsidR="00506AA9" w:rsidRPr="00E972ED" w:rsidRDefault="00506AA9" w:rsidP="00506AA9">
      <w:pPr>
        <w:jc w:val="both"/>
        <w:rPr>
          <w:rFonts w:ascii="Times New Roman" w:eastAsia="Arial" w:hAnsi="Times New Roman" w:cs="Arial"/>
          <w:b/>
          <w:noProof/>
          <w:sz w:val="24"/>
          <w:szCs w:val="20"/>
        </w:rPr>
      </w:pPr>
      <w:r>
        <w:rPr>
          <w:rFonts w:ascii="Times New Roman" w:hAnsi="Times New Roman"/>
          <w:b/>
          <w:noProof/>
          <w:sz w:val="24"/>
        </w:rPr>
        <w:t>Lēmuma par pieprasījumu izmaksāt garantēto naudu pieņemšanas shēma</w:t>
      </w:r>
    </w:p>
    <w:p w:rsidR="00506AA9" w:rsidRPr="001973D0" w:rsidRDefault="00506AA9" w:rsidP="00506AA9">
      <w:pPr>
        <w:jc w:val="both"/>
        <w:rPr>
          <w:rFonts w:ascii="Times New Roman" w:eastAsia="Arial" w:hAnsi="Times New Roman" w:cs="Arial"/>
          <w:noProof/>
          <w:sz w:val="24"/>
          <w:szCs w:val="21"/>
        </w:rPr>
      </w:pPr>
    </w:p>
    <w:p w:rsidR="00506AA9" w:rsidRPr="001973D0" w:rsidRDefault="00D82FF7" w:rsidP="00506AA9">
      <w:pPr>
        <w:jc w:val="both"/>
        <w:rPr>
          <w:rFonts w:ascii="Times New Roman" w:eastAsia="Arial" w:hAnsi="Times New Roman" w:cs="Arial"/>
          <w:noProof/>
          <w:sz w:val="24"/>
          <w:szCs w:val="20"/>
        </w:rPr>
      </w:pPr>
      <w:r w:rsidRPr="00D82FF7">
        <w:rPr>
          <w:rFonts w:ascii="Times New Roman" w:eastAsia="Arial" w:hAnsi="Times New Roman" w:cs="Arial"/>
          <w:noProof/>
          <w:sz w:val="24"/>
          <w:szCs w:val="20"/>
          <w:lang w:bidi="ar-SA"/>
        </w:rPr>
        <w:drawing>
          <wp:inline distT="0" distB="0" distL="0" distR="0">
            <wp:extent cx="5760085" cy="3544668"/>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60085" cy="3544668"/>
                    </a:xfrm>
                    <a:prstGeom prst="rect">
                      <a:avLst/>
                    </a:prstGeom>
                    <a:noFill/>
                    <a:ln>
                      <a:noFill/>
                    </a:ln>
                  </pic:spPr>
                </pic:pic>
              </a:graphicData>
            </a:graphic>
          </wp:inline>
        </w:drawing>
      </w:r>
    </w:p>
    <w:p w:rsidR="00506AA9" w:rsidRDefault="00506AA9" w:rsidP="00506AA9">
      <w:pPr>
        <w:rPr>
          <w:rFonts w:ascii="Times New Roman" w:eastAsia="Arial" w:hAnsi="Times New Roman" w:cs="Arial"/>
          <w:noProof/>
          <w:sz w:val="24"/>
          <w:szCs w:val="20"/>
        </w:rPr>
      </w:pPr>
    </w:p>
    <w:p w:rsidR="00506AA9" w:rsidRPr="001973D0" w:rsidRDefault="00506AA9" w:rsidP="00506AA9">
      <w:pPr>
        <w:pStyle w:val="Heading4"/>
        <w:tabs>
          <w:tab w:val="left" w:pos="1673"/>
        </w:tabs>
        <w:ind w:left="0" w:firstLine="0"/>
        <w:jc w:val="both"/>
        <w:rPr>
          <w:rFonts w:ascii="Times New Roman" w:hAnsi="Times New Roman"/>
          <w:noProof/>
          <w:u w:val="thick" w:color="000000"/>
        </w:rPr>
      </w:pPr>
      <w:bookmarkStart w:id="561" w:name="VII.4.3_Standardised_guarantees"/>
      <w:bookmarkEnd w:id="561"/>
      <w:r>
        <w:rPr>
          <w:rFonts w:ascii="Times New Roman" w:hAnsi="Times New Roman"/>
          <w:noProof/>
          <w:u w:val="none"/>
        </w:rPr>
        <w:t>VII.4.3. </w:t>
      </w:r>
      <w:r>
        <w:rPr>
          <w:rFonts w:ascii="Times New Roman" w:hAnsi="Times New Roman"/>
          <w:noProof/>
          <w:u w:val="thick" w:color="000000"/>
        </w:rPr>
        <w:t>Standartizētas garantijas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956"/>
        </w:tabs>
        <w:jc w:val="both"/>
        <w:rPr>
          <w:rFonts w:ascii="Times New Roman" w:hAnsi="Times New Roman"/>
          <w:noProof/>
          <w:sz w:val="24"/>
        </w:rPr>
      </w:pPr>
      <w:bookmarkStart w:id="562" w:name="VII.4.3.1_Treatment_in_national_accounts"/>
      <w:bookmarkEnd w:id="562"/>
      <w:r>
        <w:rPr>
          <w:rFonts w:ascii="Times New Roman" w:hAnsi="Times New Roman"/>
          <w:noProof/>
          <w:sz w:val="24"/>
        </w:rPr>
        <w:t>VII.4.3.1. Traktējums nacionālajos kontos</w:t>
      </w:r>
      <w:bookmarkStart w:id="563" w:name="VII.4.3.1.1_General_principle"/>
      <w:bookmarkEnd w:id="563"/>
    </w:p>
    <w:p w:rsidR="00506AA9" w:rsidRDefault="00506AA9" w:rsidP="00506AA9">
      <w:pPr>
        <w:pStyle w:val="Heading6"/>
        <w:tabs>
          <w:tab w:val="left" w:pos="1956"/>
        </w:tabs>
        <w:jc w:val="both"/>
        <w:rPr>
          <w:rFonts w:ascii="Times New Roman" w:hAnsi="Times New Roman"/>
          <w:noProof/>
          <w:sz w:val="24"/>
        </w:rPr>
      </w:pPr>
    </w:p>
    <w:p w:rsidR="00506AA9" w:rsidRDefault="00506AA9" w:rsidP="00506AA9">
      <w:pPr>
        <w:pStyle w:val="Heading6"/>
        <w:tabs>
          <w:tab w:val="left" w:pos="1956"/>
        </w:tabs>
        <w:jc w:val="both"/>
        <w:rPr>
          <w:rFonts w:ascii="Times New Roman" w:hAnsi="Times New Roman"/>
          <w:noProof/>
          <w:sz w:val="24"/>
        </w:rPr>
      </w:pPr>
      <w:r>
        <w:rPr>
          <w:rFonts w:ascii="Times New Roman" w:hAnsi="Times New Roman"/>
          <w:noProof/>
          <w:sz w:val="24"/>
        </w:rPr>
        <w:t>VII.4.3.1.1. Vispārējs princips</w:t>
      </w:r>
    </w:p>
    <w:p w:rsidR="00506AA9" w:rsidRPr="001973D0" w:rsidRDefault="00506AA9" w:rsidP="00506AA9">
      <w:pPr>
        <w:pStyle w:val="Heading6"/>
        <w:tabs>
          <w:tab w:val="left" w:pos="1956"/>
        </w:tabs>
        <w:jc w:val="both"/>
        <w:rPr>
          <w:rFonts w:ascii="Times New Roman" w:hAnsi="Times New Roman"/>
          <w:noProof/>
          <w:sz w:val="24"/>
        </w:rPr>
      </w:pPr>
    </w:p>
    <w:p w:rsidR="00506AA9" w:rsidRPr="00727547"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Vispārējais princips, saskaņā ar kuru nacionālajos kontos tiek traktētas standartizētas garantijas, ir noteikts, pamatojoties uz analoģiju ar nedzīvības apdrošināšanu. Traktējums ir aprakstīts EKS 2010 16. nodaļā “Apdrošināšana” (un NKS 2008 17. nodaļā “Transversālas tēmas un citi īpaši jautājumi”).</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Nedzīvības apdrošināšanas traktējums nacionālajos kontos ir noteikts, pamatojoties uz pieņēmumu, ka vienība, kurai ir izsniegtas šādas standartizētas garantijas, rīkosies saskaņā ar komerciālām interesēm, t. i., ar mērķi gūt peļņu un jebkurā gadījumā tā, lai darbība neradītu zaudējumus. Tomēr iespējams, ka prēmijas un/vai ieguldījuma ienākumu apmērs nesedz prasījumus gadījumā, ja rodas ārkārtēji zaudējumi. Lai novērstu šādas situācijas, Eiropas Savienībā uzraudzības iestādes stingri regulē apdrošināšanas darbības</w:t>
      </w:r>
      <w:r>
        <w:rPr>
          <w:rStyle w:val="FootnoteReference"/>
          <w:rFonts w:ascii="Times New Roman" w:hAnsi="Times New Roman"/>
          <w:noProof/>
          <w:sz w:val="24"/>
        </w:rPr>
        <w:footnoteReference w:id="271"/>
      </w:r>
      <w:r>
        <w:rPr>
          <w:rFonts w:ascii="Times New Roman" w:hAnsi="Times New Roman"/>
          <w:noProof/>
          <w:sz w:val="24"/>
        </w:rPr>
        <w:t>. Tomēr standartizētu garantiju izsniegšana pati par sevi netiek uzskatīta par apdrošināšanas pamatdarbību, attiecībā uz kuru tiek piemērota ES regulācija un uzraudzība.</w:t>
      </w:r>
    </w:p>
    <w:p w:rsidR="00506AA9" w:rsidRPr="00727547"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Tāpēc iespējams, ka ES valdība piešķir standartizētu garantiju komerciālu mērķu sasniegšanai, pat ja maz ticams, ka tā šajā jomā konkurēs ar valdības sektoram nepiederošu vienību. Principā, ja šāda garantijas darbība var būt ienesīga, to visticamāk īstenotu vienīgi valdības sektoram nepiederošas vienības. Tomēr no teorētiskā viedokļa, ja tiktu konstatēta šāda situācija, t. i., ja valdība iekasētu maksājumus, kuri uzskatāmi </w:t>
      </w:r>
      <w:r>
        <w:rPr>
          <w:rFonts w:ascii="Times New Roman" w:hAnsi="Times New Roman"/>
          <w:noProof/>
          <w:sz w:val="24"/>
        </w:rPr>
        <w:lastRenderedPageBreak/>
        <w:t>par “ekonomiski nozīmīgiem” maksājumiem un kuri sedz lielāko daļu no paredzamajiem prasījumiem un administratīvās izmaksas</w:t>
      </w:r>
      <w:r>
        <w:rPr>
          <w:rStyle w:val="FootnoteReference"/>
          <w:rFonts w:ascii="Times New Roman" w:hAnsi="Times New Roman"/>
          <w:noProof/>
          <w:sz w:val="24"/>
        </w:rPr>
        <w:footnoteReference w:id="272"/>
      </w:r>
      <w:r>
        <w:rPr>
          <w:rFonts w:ascii="Times New Roman" w:hAnsi="Times New Roman"/>
          <w:noProof/>
          <w:sz w:val="24"/>
        </w:rPr>
        <w:t>, nacionā</w:t>
      </w:r>
      <w:r w:rsidR="00027D9B">
        <w:rPr>
          <w:rFonts w:ascii="Times New Roman" w:hAnsi="Times New Roman"/>
          <w:noProof/>
          <w:sz w:val="24"/>
        </w:rPr>
        <w:t>lajos kontos tas būtu jātraktē</w:t>
      </w:r>
      <w:r>
        <w:rPr>
          <w:rFonts w:ascii="Times New Roman" w:hAnsi="Times New Roman"/>
          <w:noProof/>
          <w:sz w:val="24"/>
        </w:rPr>
        <w:t xml:space="preserve"> līdzīgi iepriekš minētajai nedzīvības apdrošināšanai.</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Vispārējs princips paredz, ka gadījumā, kad valdība organizē standartizētas garanti</w:t>
      </w:r>
      <w:r w:rsidR="00027D9B">
        <w:rPr>
          <w:rFonts w:ascii="Times New Roman" w:hAnsi="Times New Roman"/>
          <w:noProof/>
          <w:sz w:val="24"/>
        </w:rPr>
        <w:t>jas, valdības bilancē jāieraksta</w:t>
      </w:r>
      <w:r>
        <w:rPr>
          <w:rFonts w:ascii="Times New Roman" w:hAnsi="Times New Roman"/>
          <w:noProof/>
          <w:sz w:val="24"/>
        </w:rPr>
        <w:t xml:space="preserve"> saistības, kas saskaņā ar EKS 2010 jāklasificē kā AF.66. Būtībā tās ir vienādas ar paredzamo garantijas izmantošanas pieprasījumu pašreizējo vērtību, jebkuru atgūto līdzekļu neto vērtību, ko galvotājs var paredzēt no aizņēmējiem, kuri nepilda saistības</w:t>
      </w:r>
      <w:r>
        <w:rPr>
          <w:rStyle w:val="FootnoteReference"/>
          <w:rFonts w:ascii="Times New Roman" w:hAnsi="Times New Roman"/>
          <w:noProof/>
          <w:sz w:val="24"/>
        </w:rPr>
        <w:footnoteReference w:id="273"/>
      </w:r>
      <w:r>
        <w:rPr>
          <w:rFonts w:ascii="Times New Roman" w:hAnsi="Times New Roman"/>
          <w:noProof/>
          <w:sz w:val="24"/>
        </w:rPr>
        <w:t>. Kad tiek izveidotas šādas saistības, ievēro noteiktu ana</w:t>
      </w:r>
      <w:r w:rsidR="00027D9B">
        <w:rPr>
          <w:rFonts w:ascii="Times New Roman" w:hAnsi="Times New Roman"/>
          <w:noProof/>
          <w:sz w:val="24"/>
        </w:rPr>
        <w:t>loģiju ar uzkrājumu ierakstīšanu</w:t>
      </w:r>
      <w:r>
        <w:rPr>
          <w:rFonts w:ascii="Times New Roman" w:hAnsi="Times New Roman"/>
          <w:noProof/>
          <w:sz w:val="24"/>
        </w:rPr>
        <w:t xml:space="preserve"> uzņēmuma grāmatvedības sistēmā (tostarp </w:t>
      </w:r>
      <w:r>
        <w:rPr>
          <w:rFonts w:ascii="Times New Roman" w:hAnsi="Times New Roman"/>
          <w:i/>
          <w:noProof/>
          <w:sz w:val="24"/>
        </w:rPr>
        <w:t>IPSAS</w:t>
      </w:r>
      <w:r>
        <w:rPr>
          <w:rFonts w:ascii="Times New Roman" w:hAnsi="Times New Roman"/>
          <w:noProof/>
          <w:sz w:val="24"/>
        </w:rPr>
        <w:t>), kura paredz, ka jāveic uzticami, taču piesardzīgi aprēķini, pamatojoties uz noteiktiem pierādījumiem (iepriekšējā pieredze, prognozes jaunas darbības gadījumā).</w:t>
      </w:r>
      <w:r>
        <w:rPr>
          <w:rStyle w:val="FootnoteReference"/>
          <w:rFonts w:ascii="Times New Roman" w:hAnsi="Times New Roman"/>
          <w:noProof/>
          <w:sz w:val="24"/>
        </w:rPr>
        <w:footnoteReference w:id="274"/>
      </w:r>
      <w:r>
        <w:rPr>
          <w:rFonts w:ascii="Times New Roman" w:hAnsi="Times New Roman"/>
          <w:noProof/>
          <w:sz w:val="24"/>
        </w:rPr>
        <w:t xml:space="preserve"> Šīs prognozes nav saistītas ar šī īpašā garantijas pasākuma tirgus (ienesīgums) vai ārpustirgus būtību.</w:t>
      </w:r>
    </w:p>
    <w:p w:rsidR="00506AA9" w:rsidRPr="0009182C"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Ja valdība iekasē maksājumus atbilstīgi nosacījumiem, kas minēti iepriekšējā rindkopā (lielāko daļu izmaksu “samaksā” garantijas saņēmēji), finanšu kontos tiks veikts ieraksts atbilstīgi saņemto maksājumu summai, no kuras atskaitīti izsniegto garantiju izmantošanas prasījumi. Tāpēc saistību pretvērtības darījums ir naudas maksājums (daļa no iekasētās maksas, kas paturēta rezervju izveidošanai, un daļa no ieguldījumu līdzekļiem, ko neizmanto prasījumu apmaksāšanai).</w:t>
      </w:r>
      <w:r>
        <w:rPr>
          <w:rStyle w:val="FootnoteReference"/>
          <w:rFonts w:ascii="Times New Roman" w:hAnsi="Times New Roman"/>
          <w:noProof/>
          <w:sz w:val="24"/>
        </w:rPr>
        <w:footnoteReference w:id="275"/>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Ja valdība neiekasē maksu (vai iekasē to tādā apmērā, kas ir ievērojami zemāks par izmaksām, kas valdībai rodas saistībā ar shēmu</w:t>
      </w:r>
      <w:r>
        <w:rPr>
          <w:rStyle w:val="FootnoteReference"/>
          <w:rFonts w:ascii="Times New Roman" w:hAnsi="Times New Roman"/>
          <w:noProof/>
          <w:sz w:val="24"/>
        </w:rPr>
        <w:footnoteReference w:id="276"/>
      </w:r>
      <w:r>
        <w:rPr>
          <w:rFonts w:ascii="Times New Roman" w:hAnsi="Times New Roman"/>
          <w:noProof/>
          <w:sz w:val="24"/>
        </w:rPr>
        <w:t>), šo saistību parādīšanās pretvērtības darījums nav naudas plūsma, bet gan finanšu darījums, t. i., pārvedums no valdības.</w:t>
      </w:r>
    </w:p>
    <w:p w:rsidR="00506AA9" w:rsidRPr="001973D0" w:rsidRDefault="00506AA9" w:rsidP="00506AA9">
      <w:pPr>
        <w:jc w:val="both"/>
        <w:rPr>
          <w:rFonts w:ascii="Times New Roman" w:hAnsi="Times New Roman"/>
          <w:noProof/>
          <w:sz w:val="24"/>
        </w:rPr>
      </w:pPr>
    </w:p>
    <w:p w:rsidR="00506AA9" w:rsidRDefault="00506AA9" w:rsidP="00506AA9">
      <w:pPr>
        <w:pStyle w:val="Heading6"/>
        <w:tabs>
          <w:tab w:val="left" w:pos="1876"/>
        </w:tabs>
        <w:jc w:val="both"/>
        <w:rPr>
          <w:rFonts w:ascii="Times New Roman" w:hAnsi="Times New Roman"/>
          <w:noProof/>
          <w:sz w:val="24"/>
        </w:rPr>
      </w:pPr>
      <w:bookmarkStart w:id="564" w:name="VII.4.3.1.2_Recording_a_special_liabilit"/>
      <w:bookmarkEnd w:id="564"/>
      <w:r>
        <w:rPr>
          <w:rFonts w:ascii="Times New Roman" w:hAnsi="Times New Roman"/>
          <w:noProof/>
          <w:sz w:val="24"/>
        </w:rPr>
        <w:t>VII.4.3.</w:t>
      </w:r>
      <w:r w:rsidR="00027D9B">
        <w:rPr>
          <w:rFonts w:ascii="Times New Roman" w:hAnsi="Times New Roman"/>
          <w:noProof/>
          <w:sz w:val="24"/>
        </w:rPr>
        <w:t>1.2. Īpašu saistību ierakstīšana</w:t>
      </w:r>
      <w:r>
        <w:rPr>
          <w:rFonts w:ascii="Times New Roman" w:hAnsi="Times New Roman"/>
          <w:noProof/>
          <w:sz w:val="24"/>
        </w:rPr>
        <w:t xml:space="preserve"> nekomerciālas darbības gadījumā</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 xml:space="preserve">No praktiskā viedokļa raugoties, katru reizi, kad valdības standartizētajās garantiju shēmās attiecīgajā laika posmā tiek piešķirta aizdevumu pamatsumma (vairākiem debitoriem), noteikta </w:t>
      </w:r>
      <w:r w:rsidR="00B244CD">
        <w:rPr>
          <w:rFonts w:ascii="Times New Roman" w:hAnsi="Times New Roman"/>
          <w:noProof/>
          <w:sz w:val="24"/>
        </w:rPr>
        <w:t>procentu summa būtu ierakstāma</w:t>
      </w:r>
      <w:r>
        <w:rPr>
          <w:rFonts w:ascii="Times New Roman" w:hAnsi="Times New Roman"/>
          <w:noProof/>
          <w:sz w:val="24"/>
        </w:rPr>
        <w:t xml:space="preserve"> valdības bilancē kā saistības AF.66 ar kapitāla pārvedumu kā pretvērtības darījumu.</w:t>
      </w:r>
      <w:r>
        <w:rPr>
          <w:rStyle w:val="FootnoteReference"/>
          <w:rFonts w:ascii="Times New Roman" w:hAnsi="Times New Roman"/>
          <w:noProof/>
          <w:sz w:val="24"/>
        </w:rPr>
        <w:footnoteReference w:id="277"/>
      </w:r>
      <w:r>
        <w:rPr>
          <w:rFonts w:ascii="Times New Roman" w:hAnsi="Times New Roman"/>
          <w:noProof/>
          <w:sz w:val="24"/>
        </w:rPr>
        <w:t xml:space="preserve"> Nacionālajos kontos šis ka</w:t>
      </w:r>
      <w:r w:rsidR="00B244CD">
        <w:rPr>
          <w:rFonts w:ascii="Times New Roman" w:hAnsi="Times New Roman"/>
          <w:noProof/>
          <w:sz w:val="24"/>
        </w:rPr>
        <w:t>pitāla pārvedums tiek ierakstīts</w:t>
      </w:r>
      <w:r>
        <w:rPr>
          <w:rFonts w:ascii="Times New Roman" w:hAnsi="Times New Roman"/>
          <w:noProof/>
          <w:sz w:val="24"/>
        </w:rPr>
        <w:t xml:space="preserve"> par labu apdrošinājuma ņēmējiem, t. i., finanšu iestādēm, kuras izsniedz aizdevumus un kurām ir līgumiskas attiecības ar galvotāju valdību, nevis par labu ekonomikas subjektiem, kuriem šīs finanšu iestādes piešķīrušas aizdevumu, lai arī, protams, tie gūst labumu no garantijas shēmas pastāvēšanas, ko tām organizējusi valdība. To var analizēt kā paredzēto faktisko pieprasījumu neto izmaksu prognozes. To iespējamības dēļ sākumā pastāv ietekme uz valdības kontiem. Pēc būtības </w:t>
      </w:r>
      <w:r>
        <w:rPr>
          <w:rFonts w:ascii="Times New Roman" w:hAnsi="Times New Roman"/>
          <w:noProof/>
          <w:sz w:val="24"/>
        </w:rPr>
        <w:lastRenderedPageBreak/>
        <w:t>atkarībā no riska pakāpes paredzams, ka valdība shēmā zaudēs naudu.</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Ja tiek faktiski izmantota uzkrāta summa, tad brīdī, kad, īstenojot garantiju, finanšu iestādei tiek pārskaitīta nauda, nav ietekmes uz valdības neto aizdevumu/aizņēmumu (B.9). Protams, ir neiespējami, ka AF.66 uzkrājums varētu būt vienāds ar pilnu aizdevuma summu (šāds 100 % riska aizdevums nekad netiktu piešķirts) un ka to varētu koriģēt, tāpēc šķi</w:t>
      </w:r>
      <w:r w:rsidR="00B244CD">
        <w:rPr>
          <w:rFonts w:ascii="Times New Roman" w:hAnsi="Times New Roman"/>
          <w:noProof/>
          <w:sz w:val="24"/>
        </w:rPr>
        <w:t>et lietderīgi ierakstīt</w:t>
      </w:r>
      <w:r>
        <w:rPr>
          <w:rFonts w:ascii="Times New Roman" w:hAnsi="Times New Roman"/>
          <w:noProof/>
          <w:sz w:val="24"/>
        </w:rPr>
        <w:t xml:space="preserve"> kopējo aizdevumu (vai citu aktīvu) summu, attiecībā uz kuriem ir izsniegta valdības standarta garantija, līdzīgi vienreizēju gar</w:t>
      </w:r>
      <w:r w:rsidR="00B244CD">
        <w:rPr>
          <w:rFonts w:ascii="Times New Roman" w:hAnsi="Times New Roman"/>
          <w:noProof/>
          <w:sz w:val="24"/>
        </w:rPr>
        <w:t>antiju gadījumam, kuras ieraksta</w:t>
      </w:r>
      <w:r>
        <w:rPr>
          <w:rFonts w:ascii="Times New Roman" w:hAnsi="Times New Roman"/>
          <w:noProof/>
          <w:sz w:val="24"/>
        </w:rPr>
        <w:t xml:space="preserve"> par pilnu tā instrumenta summu, attiecībā uz kuru izsniegta garantija, neatkarīgi no prognozēm par saistību neizpildes varbūtību.</w:t>
      </w: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szCs w:val="14"/>
        </w:rPr>
      </w:pPr>
      <w:r>
        <w:rPr>
          <w:rFonts w:ascii="Times New Roman" w:hAnsi="Times New Roman"/>
          <w:noProof/>
          <w:sz w:val="24"/>
        </w:rPr>
        <w:t>Saskaņā ar NKS 2008 17.223. pu</w:t>
      </w:r>
      <w:r w:rsidR="00B244CD">
        <w:rPr>
          <w:rFonts w:ascii="Times New Roman" w:hAnsi="Times New Roman"/>
          <w:noProof/>
          <w:sz w:val="24"/>
        </w:rPr>
        <w:t>nktu saistību AF.66 ierakstīšana</w:t>
      </w:r>
      <w:r>
        <w:rPr>
          <w:rFonts w:ascii="Times New Roman" w:hAnsi="Times New Roman"/>
          <w:noProof/>
          <w:sz w:val="24"/>
        </w:rPr>
        <w:t xml:space="preserve"> ir atkarīga no tā, vai valdības vienību pašu kontos tiek atzīts uzkrājums (pamatojoties uz uzskaites sistēmu, kas atšķiras no nacionālajiem kontiem). Parasti šādā gadījumā nacionālo kon</w:t>
      </w:r>
      <w:r w:rsidR="00B244CD">
        <w:rPr>
          <w:rFonts w:ascii="Times New Roman" w:hAnsi="Times New Roman"/>
          <w:noProof/>
          <w:sz w:val="24"/>
        </w:rPr>
        <w:t>tu speciālistiem būtu jāieraksta</w:t>
      </w:r>
      <w:r>
        <w:rPr>
          <w:rFonts w:ascii="Times New Roman" w:hAnsi="Times New Roman"/>
          <w:noProof/>
          <w:sz w:val="24"/>
        </w:rPr>
        <w:t xml:space="preserve"> šīs saistības, pamatojoties uz valdības aprēķiniem. Principā nacionālo kontu speciālisti nedrīkst atkāpties no šī aprēķina, jo maz ticams, ka viņi spētu aprēķināt paredzamos zaudējumus ar augstāku ticamības pakāpi. Jāņem vērā arī tas, ka saskaņā ar publiskās uzskaites noteikumiem, kurus pieņem arvien vairāk valdības vienību (</w:t>
      </w:r>
      <w:r>
        <w:rPr>
          <w:rFonts w:ascii="Times New Roman" w:hAnsi="Times New Roman"/>
          <w:i/>
          <w:noProof/>
          <w:sz w:val="24"/>
        </w:rPr>
        <w:t>IPSAS</w:t>
      </w:r>
      <w:r>
        <w:rPr>
          <w:rFonts w:ascii="Times New Roman" w:hAnsi="Times New Roman"/>
          <w:noProof/>
          <w:sz w:val="24"/>
        </w:rPr>
        <w:t xml:space="preserve"> vai līdzvērtīgi noteikumi), pienācīgu uzkrājumu izveide attiecībā uz kādu riskantu darbību ir stingra prasība, ja vien ir iespējams ticami aprēķināt riska ietekmi.</w:t>
      </w:r>
      <w:r>
        <w:rPr>
          <w:rStyle w:val="FootnoteReference"/>
          <w:rFonts w:ascii="Times New Roman" w:hAnsi="Times New Roman"/>
          <w:noProof/>
          <w:sz w:val="24"/>
        </w:rPr>
        <w:footnoteReference w:id="278"/>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 xml:space="preserve">Tomēr ne visas valdības savos publiskajos kontos (un tas ir īpaši svarīgi, ja tiek aplūkoti visi vispārējās valdības sektora apakšlīmeņi) izmanto uzskaites sistēmu, kura paredz uzkrājumu veidošanu attiecībā uz nākotnē gaidāmajiem riskiem. Paredzams, ka šāda sistēma tiks izmantota tajās ES dalībvalstīs, kurās centrālā valdība tieši piešķir standartizētas garantijas. Ja tas tomēr neatbilst patiesībai, tad salīdzināmības nodrošināšanas nolūkā nacionālo kontu speciālistiem jāapsver, vai tiem ir pieejami pietiekami elementi, piemēram, līdzīgas shēmas citās dalībvalstīs, lai aprēķinātu AF.66 saistības, pēc apspriešanās ar </w:t>
      </w:r>
      <w:r>
        <w:rPr>
          <w:rFonts w:ascii="Times New Roman" w:hAnsi="Times New Roman"/>
          <w:i/>
          <w:noProof/>
          <w:sz w:val="24"/>
        </w:rPr>
        <w:t>Eurostat</w:t>
      </w:r>
      <w:r>
        <w:rPr>
          <w:rFonts w:ascii="Times New Roman" w:hAnsi="Times New Roman"/>
          <w:noProof/>
          <w:sz w:val="24"/>
        </w:rPr>
        <w:t>. Tomēr noteikti sarežģījumi var rasties pilnīgi jaunas shēmas gadījumā.</w:t>
      </w:r>
    </w:p>
    <w:p w:rsidR="00506AA9" w:rsidRPr="001973D0"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Saistību vērtību var palielināt, ja tiktu novērtēts, ka turpmāk pastāv augstāks saistību neizpildes risks, un, ievērojot konsekvenci ar sākotnējo traktējumu, jauns kap</w:t>
      </w:r>
      <w:r w:rsidR="00B244CD">
        <w:rPr>
          <w:rFonts w:ascii="Times New Roman" w:hAnsi="Times New Roman"/>
          <w:noProof/>
          <w:sz w:val="24"/>
        </w:rPr>
        <w:t>itāla pārvedums tiktu ierakstīts</w:t>
      </w:r>
      <w:r>
        <w:rPr>
          <w:rFonts w:ascii="Times New Roman" w:hAnsi="Times New Roman"/>
          <w:noProof/>
          <w:sz w:val="24"/>
        </w:rPr>
        <w:t xml:space="preserve"> atbilstīgi līdzīgiem nosacījumiem, ja tiek pieņemts, ka tas tiks novērots attiecībā uz visiem pastāvošajiem aizdevumu portfeļiem, ne tikai attiecībā uz tiem jaunajiem aizdevumiem, kuri varētu uzrādīt noteiktu saistību neizpildes gadījumu īpatsvaru. Citos gadījumos risks var būt zemāks nekā paredzēts un saistību vērtība var tikt samazināta, vispirms veicot trūkstošās vērtības aprēķināšanu attiecībā uz kapitāla pārvedumu, kas saistīts ar jaunajām operācijām attiecīgajā gadā, un attiecībā uz pārsniegumu – ar apgriezto kapitāla pārvedumu.</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Tomēr</w:t>
      </w:r>
      <w:r>
        <w:rPr>
          <w:rFonts w:ascii="Times New Roman" w:hAnsi="Times New Roman"/>
          <w:i/>
          <w:noProof/>
          <w:sz w:val="24"/>
        </w:rPr>
        <w:t xml:space="preserve"> Eurostat</w:t>
      </w:r>
      <w:r>
        <w:rPr>
          <w:rFonts w:ascii="Times New Roman" w:hAnsi="Times New Roman"/>
          <w:noProof/>
          <w:sz w:val="24"/>
        </w:rPr>
        <w:t xml:space="preserve"> iesaka vērtības samazināšanas korekciju veikt vienīgi tad, ja samērā ilgā laika posmā konstatēts uzlabojums līdzekļu atgūšanas jomā un tiek uzskatīts, ka šāda tendence visticamāk ir neatgriezeniska. Iespējams, valdībai nāksies saskarties ar garantiju izmantošanas pieprasījumiem, kuru summa pārsniegs “uzkrājumus”, kas izveidoti iepriekš, proti, laikā, kad tika pie</w:t>
      </w:r>
      <w:r w:rsidR="00B244CD">
        <w:rPr>
          <w:rFonts w:ascii="Times New Roman" w:hAnsi="Times New Roman"/>
          <w:noProof/>
          <w:sz w:val="24"/>
        </w:rPr>
        <w:t>šķirti aizdevumi. Tas jāieraksta</w:t>
      </w:r>
      <w:r>
        <w:rPr>
          <w:rFonts w:ascii="Times New Roman" w:hAnsi="Times New Roman"/>
          <w:noProof/>
          <w:sz w:val="24"/>
        </w:rPr>
        <w:t xml:space="preserve"> kā jauns kapitāla pārvedums. Valdībai nāksies arī no jauna izveidot uzkrājumu attiecībā uz atlikušajiem aizdevumu portfeļiem saistībā ar jauno kapitāla pārvedumu.</w:t>
      </w:r>
    </w:p>
    <w:p w:rsidR="00577337" w:rsidRDefault="00577337">
      <w:pPr>
        <w:widowControl/>
        <w:spacing w:after="160" w:line="259" w:lineRule="auto"/>
        <w:rPr>
          <w:rFonts w:ascii="Times New Roman" w:eastAsia="Arial" w:hAnsi="Times New Roman" w:cs="Arial"/>
          <w:noProof/>
          <w:sz w:val="24"/>
          <w:szCs w:val="21"/>
        </w:rPr>
      </w:pPr>
      <w:r>
        <w:rPr>
          <w:rFonts w:ascii="Times New Roman" w:eastAsia="Arial" w:hAnsi="Times New Roman" w:cs="Arial"/>
          <w:noProof/>
          <w:sz w:val="24"/>
          <w:szCs w:val="21"/>
        </w:rPr>
        <w:br w:type="page"/>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956"/>
        </w:tabs>
        <w:jc w:val="both"/>
        <w:rPr>
          <w:rFonts w:ascii="Times New Roman" w:hAnsi="Times New Roman"/>
          <w:noProof/>
          <w:sz w:val="24"/>
        </w:rPr>
      </w:pPr>
      <w:bookmarkStart w:id="565" w:name="VII.4.3.1.3_Effect_of_the_call_of_the_gu"/>
      <w:bookmarkEnd w:id="565"/>
      <w:r>
        <w:rPr>
          <w:rFonts w:ascii="Times New Roman" w:hAnsi="Times New Roman"/>
          <w:noProof/>
          <w:sz w:val="24"/>
        </w:rPr>
        <w:t>VII.4.3.1.3. Garantijas izmantošanas pieprasījuma ietekme šajā saistībā</w:t>
      </w:r>
    </w:p>
    <w:p w:rsidR="00506AA9" w:rsidRPr="001973D0" w:rsidRDefault="00506AA9" w:rsidP="00506AA9">
      <w:pPr>
        <w:pStyle w:val="Heading6"/>
        <w:tabs>
          <w:tab w:val="left" w:pos="1956"/>
        </w:tabs>
        <w:jc w:val="both"/>
        <w:rPr>
          <w:rFonts w:ascii="Times New Roman" w:hAnsi="Times New Roman"/>
          <w:noProof/>
          <w:sz w:val="24"/>
        </w:rPr>
      </w:pPr>
    </w:p>
    <w:p w:rsidR="00506AA9" w:rsidRDefault="00506AA9" w:rsidP="00506AA9">
      <w:pPr>
        <w:pStyle w:val="BodyText"/>
        <w:numPr>
          <w:ilvl w:val="0"/>
          <w:numId w:val="113"/>
        </w:numPr>
        <w:tabs>
          <w:tab w:val="left" w:pos="1248"/>
        </w:tabs>
        <w:spacing w:before="0"/>
        <w:ind w:left="709" w:hanging="709"/>
        <w:jc w:val="both"/>
        <w:rPr>
          <w:rFonts w:ascii="Times New Roman" w:hAnsi="Times New Roman"/>
          <w:noProof/>
          <w:sz w:val="24"/>
        </w:rPr>
      </w:pPr>
      <w:r>
        <w:rPr>
          <w:rFonts w:ascii="Times New Roman" w:hAnsi="Times New Roman"/>
          <w:noProof/>
          <w:sz w:val="24"/>
        </w:rPr>
        <w:t>Attiecībā uz garantijas izmantošanas pieprasījumu jāizšķir divi gadījumi.</w:t>
      </w:r>
    </w:p>
    <w:p w:rsidR="00506AA9" w:rsidRPr="001973D0" w:rsidRDefault="00506AA9" w:rsidP="00506AA9">
      <w:pPr>
        <w:pStyle w:val="BodyText"/>
        <w:tabs>
          <w:tab w:val="left" w:pos="1248"/>
        </w:tabs>
        <w:spacing w:before="0"/>
        <w:ind w:left="0" w:firstLine="0"/>
        <w:rPr>
          <w:rFonts w:ascii="Times New Roman" w:hAnsi="Times New Roman"/>
          <w:noProof/>
          <w:sz w:val="24"/>
        </w:rPr>
      </w:pPr>
    </w:p>
    <w:p w:rsidR="00506AA9" w:rsidRPr="001973D0" w:rsidRDefault="00506AA9" w:rsidP="00506AA9">
      <w:pPr>
        <w:pStyle w:val="BodyText"/>
        <w:numPr>
          <w:ilvl w:val="0"/>
          <w:numId w:val="111"/>
        </w:numPr>
        <w:tabs>
          <w:tab w:val="left" w:pos="1532"/>
        </w:tabs>
        <w:spacing w:before="0"/>
        <w:ind w:left="1134" w:hanging="425"/>
        <w:jc w:val="both"/>
        <w:rPr>
          <w:rFonts w:ascii="Times New Roman" w:hAnsi="Times New Roman"/>
          <w:noProof/>
          <w:sz w:val="24"/>
        </w:rPr>
      </w:pPr>
      <w:r>
        <w:rPr>
          <w:rFonts w:ascii="Times New Roman" w:hAnsi="Times New Roman"/>
          <w:noProof/>
          <w:sz w:val="24"/>
        </w:rPr>
        <w:t>Pirmkārt, saistībā ar finanšu iestādei izmaksāto kompensāciju tās grāmatvedības dokumentos tiek pilnīgi norakstīts neatmaksātais aizdevums. Dažādu iemeslu dēļ viss parāds tika uzskatīts par neatgūstamu parādu, un līdz ar to pieprasījums izdots attiecībā uz visu garantiju.</w:t>
      </w:r>
    </w:p>
    <w:p w:rsidR="00506AA9" w:rsidRPr="001973D0" w:rsidRDefault="00506AA9" w:rsidP="00506AA9">
      <w:pPr>
        <w:pStyle w:val="BodyText"/>
        <w:numPr>
          <w:ilvl w:val="0"/>
          <w:numId w:val="111"/>
        </w:numPr>
        <w:tabs>
          <w:tab w:val="left" w:pos="1532"/>
        </w:tabs>
        <w:spacing w:before="0"/>
        <w:ind w:left="1134" w:hanging="425"/>
        <w:jc w:val="both"/>
        <w:rPr>
          <w:rFonts w:ascii="Times New Roman" w:hAnsi="Times New Roman"/>
          <w:noProof/>
          <w:sz w:val="24"/>
        </w:rPr>
      </w:pPr>
      <w:r>
        <w:rPr>
          <w:rFonts w:ascii="Times New Roman" w:hAnsi="Times New Roman"/>
          <w:noProof/>
          <w:sz w:val="24"/>
        </w:rPr>
        <w:t>Otrajā gadījumā tiek iesniegts pieprasījums par garantijas daļēju izmantošanu un banka savos grāmatvedības dokumentos var paturēt visu neatmaksāto aizdevuma pamatsummu: tiek uzskatīts, ka saistību neizpilde ir pārejoša. Parasti nebūtu iemesla uzskatīt, ka valdībai ir prasījums, kas liecinātu par pieprasījuma atmaksāšanu gadījumā, ja debitors sāk atmaksāt savu parādu. Šajā gadījumā “apgrieztais” kapitā</w:t>
      </w:r>
      <w:r w:rsidR="00B244CD">
        <w:rPr>
          <w:rFonts w:ascii="Times New Roman" w:hAnsi="Times New Roman"/>
          <w:noProof/>
          <w:sz w:val="24"/>
        </w:rPr>
        <w:t>la pārvedums valdībai jāieraksta</w:t>
      </w:r>
      <w:r>
        <w:rPr>
          <w:rFonts w:ascii="Times New Roman" w:hAnsi="Times New Roman"/>
          <w:noProof/>
          <w:sz w:val="24"/>
        </w:rPr>
        <w:t xml:space="preserve"> laikā, kad garantiju saņēmusī vienība faktiski veic atmaksu valdībai. Tas beidzot nodrošinātu valdībai pilnīgu shēmas faktisko neto izmaksu mērījumu.</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Banka var arī norakstīt aizdevumu atbilstoši kompensētajai daļai, ja uzskata, ka vēl pastāv noteikta iespēja, ka atlikusī aizdevuma daļa tiks atmaksāta. Tāpat kā iepriekš, valdības kontos tiek izveidots vispārējs (nevis individuālajā līmenī) “uzkrājums”. Tāpēc, ja nav iemesla mainīt sākotnējos vispārējos aprēķinus attiecībā uz paredzamajām shēmas izmaksām, šādai situācijai nedrīkst būt ietekme valdības kontos.</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876"/>
        </w:tabs>
        <w:jc w:val="both"/>
        <w:rPr>
          <w:rFonts w:ascii="Times New Roman" w:hAnsi="Times New Roman"/>
          <w:noProof/>
          <w:sz w:val="24"/>
          <w:u w:val="thick" w:color="000000"/>
        </w:rPr>
      </w:pPr>
      <w:bookmarkStart w:id="566" w:name="VII.4.3.2_Rationale_of_the_treatment"/>
      <w:bookmarkEnd w:id="566"/>
      <w:r>
        <w:rPr>
          <w:rFonts w:ascii="Times New Roman" w:hAnsi="Times New Roman"/>
          <w:noProof/>
          <w:sz w:val="24"/>
        </w:rPr>
        <w:t>VII.4.3.2. </w:t>
      </w:r>
      <w:r>
        <w:rPr>
          <w:rFonts w:ascii="Times New Roman" w:hAnsi="Times New Roman"/>
          <w:noProof/>
          <w:sz w:val="24"/>
          <w:u w:val="thick" w:color="000000"/>
        </w:rPr>
        <w:t>Traktējuma pamatojums</w:t>
      </w:r>
    </w:p>
    <w:p w:rsidR="00506AA9" w:rsidRPr="001973D0" w:rsidRDefault="00506AA9" w:rsidP="00506AA9">
      <w:pPr>
        <w:pStyle w:val="Heading6"/>
        <w:tabs>
          <w:tab w:val="left" w:pos="1876"/>
        </w:tabs>
        <w:jc w:val="both"/>
        <w:rPr>
          <w:rFonts w:ascii="Times New Roman" w:hAnsi="Times New Roman"/>
          <w:noProof/>
          <w:sz w:val="24"/>
          <w:u w:val="thick" w:color="000000"/>
        </w:rPr>
      </w:pPr>
    </w:p>
    <w:p w:rsidR="00506AA9" w:rsidRPr="001973D0" w:rsidRDefault="00506AA9" w:rsidP="00506AA9">
      <w:pPr>
        <w:pStyle w:val="BodyText"/>
        <w:numPr>
          <w:ilvl w:val="0"/>
          <w:numId w:val="113"/>
        </w:numPr>
        <w:tabs>
          <w:tab w:val="left" w:pos="1168"/>
        </w:tabs>
        <w:spacing w:before="0"/>
        <w:ind w:left="709" w:hanging="709"/>
        <w:jc w:val="both"/>
        <w:rPr>
          <w:rFonts w:ascii="Times New Roman" w:hAnsi="Times New Roman"/>
          <w:noProof/>
          <w:sz w:val="24"/>
        </w:rPr>
      </w:pPr>
      <w:r>
        <w:rPr>
          <w:rFonts w:ascii="Times New Roman" w:hAnsi="Times New Roman"/>
          <w:noProof/>
          <w:sz w:val="24"/>
        </w:rPr>
        <w:t>Iemesli, kādēļ šādas garantijas nacionālajos kontos jātraktē līdzīgi nedzīvības apdrošināšanai, ir sniegti EKS 2010 (sk. EKS 2010 5.190. punktu un turpmākos punktus) un NKS 2008 (sk. 17. nodaļas “Transversālas tēmas un citi īpaši jautājumi” 3. daļu “Standartizēto garantiju uzskaite NKS”). Svarīgi atzīmēt to, ka nelielas individuālas summas, ko sedz garantijas, un līdzīgu pazīmju daudzkārtīga atkārtošanās ir iemesls, kādēļ tā vietā, lai izmantotu traktējumu individuālajā līmenī, kuru galvotājs tieši nepārvalda, uzmanība tiek pievērsta kopējās garantētās summas vispārējam traktējumam. Šādas valdības garantijas pēc būtības ir daļa no pastāvīgās valsts interešu politikas, kas ietver lielu skaitu iespējamo saņēmēju, savukārt vienreizējās garantijas ir saistītas ar atsevišķu subjektu vai nelielu vienību grupu specifisko situāciju.</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Tomēr minētais traktējums ir jākoriģē gadījumos, kad valdība nerīkojas līdzīgi nedzīvības apdrošinātājam, proti, kad nav noteikta maksa, kas garantijas saņēmējiem jāveic, lai segtu visas vai gandrīz visas shēmas izmaksas, kā tas ir uzsvērts NKS 2008 17.223. punktā. Šajā gadījumā valdība necenšas nodrošināt neitrālu ietekmi uz tās ienākumu pārskatu, nosakot maksu tādā līmenī, lai laika ekvivalences perspektīvā segtu lielāko daļu vai pat visus no paredzamajiem saistību neizpildes gadījumiem attiecībā uz attiecīgajiem aktīviem no saviem līdzekļiem. Valdības intervence ar standartizētu garantijas shēmu starpniecību tiek īstenota kā daļa no politikas, kuras mērķis ir veicināt dažu konkrētu ekonomikas subjektu kategoriju pieeju tirgum. Šajā saistībā šādos pasākumos ir paredzams neatlīdzināms darījuma elements.</w:t>
      </w:r>
    </w:p>
    <w:p w:rsidR="00577337" w:rsidRDefault="00577337">
      <w:pPr>
        <w:widowControl/>
        <w:spacing w:after="160" w:line="259" w:lineRule="auto"/>
        <w:rPr>
          <w:rFonts w:ascii="Times New Roman" w:eastAsia="Arial" w:hAnsi="Times New Roman" w:cs="Arial"/>
          <w:noProof/>
          <w:sz w:val="24"/>
          <w:szCs w:val="20"/>
        </w:rPr>
      </w:pPr>
      <w:r>
        <w:rPr>
          <w:rFonts w:ascii="Times New Roman" w:eastAsia="Arial" w:hAnsi="Times New Roman" w:cs="Arial"/>
          <w:noProof/>
          <w:sz w:val="24"/>
          <w:szCs w:val="20"/>
        </w:rPr>
        <w:br w:type="page"/>
      </w:r>
    </w:p>
    <w:p w:rsidR="00506AA9" w:rsidRPr="001973D0" w:rsidRDefault="00506AA9" w:rsidP="00506AA9">
      <w:pPr>
        <w:pStyle w:val="Heading4"/>
        <w:ind w:left="0" w:firstLine="0"/>
        <w:jc w:val="both"/>
        <w:rPr>
          <w:rFonts w:ascii="Times New Roman" w:hAnsi="Times New Roman"/>
          <w:b w:val="0"/>
          <w:bCs w:val="0"/>
          <w:noProof/>
          <w:u w:val="none"/>
        </w:rPr>
      </w:pPr>
      <w:bookmarkStart w:id="567" w:name="VII.4.4_Accounting_examples"/>
      <w:bookmarkEnd w:id="567"/>
      <w:r>
        <w:rPr>
          <w:rFonts w:ascii="Times New Roman" w:hAnsi="Times New Roman"/>
          <w:noProof/>
          <w:u w:val="none"/>
        </w:rPr>
        <w:lastRenderedPageBreak/>
        <w:t>VII.4.4. </w:t>
      </w:r>
      <w:r>
        <w:rPr>
          <w:rFonts w:ascii="Times New Roman" w:hAnsi="Times New Roman"/>
          <w:noProof/>
          <w:u w:val="thick" w:color="000000"/>
        </w:rPr>
        <w:t>Uzskaites piemēri</w:t>
      </w:r>
    </w:p>
    <w:p w:rsidR="00506AA9" w:rsidRDefault="00506AA9" w:rsidP="00506AA9">
      <w:pPr>
        <w:pStyle w:val="Heading6"/>
        <w:jc w:val="both"/>
        <w:rPr>
          <w:rFonts w:ascii="Times New Roman" w:hAnsi="Times New Roman"/>
          <w:noProof/>
          <w:sz w:val="24"/>
        </w:rPr>
      </w:pPr>
      <w:bookmarkStart w:id="568" w:name="One-off_guarantees:_rule_of_3_successive"/>
      <w:bookmarkEnd w:id="568"/>
    </w:p>
    <w:p w:rsidR="00506AA9" w:rsidRDefault="00506AA9" w:rsidP="00506AA9">
      <w:pPr>
        <w:pStyle w:val="Heading6"/>
        <w:jc w:val="both"/>
        <w:rPr>
          <w:rFonts w:ascii="Times New Roman" w:hAnsi="Times New Roman"/>
          <w:noProof/>
          <w:sz w:val="24"/>
        </w:rPr>
      </w:pPr>
      <w:r>
        <w:rPr>
          <w:rFonts w:ascii="Times New Roman" w:hAnsi="Times New Roman"/>
          <w:noProof/>
          <w:sz w:val="24"/>
        </w:rPr>
        <w:t>Vienreizējas garantijas – 3 secīgu pieprasījumu princips</w:t>
      </w:r>
    </w:p>
    <w:p w:rsidR="00506AA9" w:rsidRPr="001973D0" w:rsidRDefault="00506AA9" w:rsidP="00506AA9">
      <w:pPr>
        <w:pStyle w:val="Heading6"/>
        <w:jc w:val="both"/>
        <w:rPr>
          <w:rFonts w:ascii="Times New Roman" w:hAnsi="Times New Roman"/>
          <w:noProof/>
          <w:sz w:val="24"/>
        </w:rPr>
      </w:pP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Valdība piešķir publiskai sabiedrībai garantiju par 100 naudas vienībām attiecībā uz tās parādu AF.4 aizdevuma formā (valdība neiekasē maksu).</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0"/>
          <w:numId w:val="110"/>
        </w:numPr>
        <w:tabs>
          <w:tab w:val="left" w:pos="1168"/>
        </w:tabs>
        <w:spacing w:before="0"/>
        <w:ind w:left="709" w:hanging="709"/>
        <w:jc w:val="both"/>
        <w:rPr>
          <w:rFonts w:ascii="Times New Roman" w:hAnsi="Times New Roman"/>
          <w:noProof/>
          <w:sz w:val="24"/>
        </w:rPr>
      </w:pPr>
      <w:r>
        <w:rPr>
          <w:rFonts w:ascii="Times New Roman" w:hAnsi="Times New Roman"/>
          <w:noProof/>
          <w:sz w:val="24"/>
        </w:rPr>
        <w:t>Sākumā nav pamata uzskatīt, ka tiks automātiski pieprasīta garantijas izmantošana. Līdz ar to valdības kontos netiek veikts ieraksts. Garantija ir iespējamais aktīvs (vienkāršošanas nolūkā piemērā nav parādīti procenti attiecībā uz aizdevumu).</w:t>
      </w:r>
    </w:p>
    <w:p w:rsidR="00506AA9" w:rsidRPr="001973D0" w:rsidRDefault="00506AA9" w:rsidP="00506AA9">
      <w:pPr>
        <w:jc w:val="both"/>
        <w:rPr>
          <w:rFonts w:ascii="Times New Roman" w:eastAsia="Calibri" w:hAnsi="Times New Roman" w:cs="Calibri"/>
          <w:noProof/>
          <w:sz w:val="24"/>
          <w:szCs w:val="20"/>
        </w:rPr>
      </w:pPr>
    </w:p>
    <w:p w:rsidR="00506AA9" w:rsidRDefault="00106B7A" w:rsidP="00506AA9">
      <w:pPr>
        <w:jc w:val="center"/>
        <w:rPr>
          <w:rFonts w:ascii="Times New Roman" w:eastAsia="Calibri" w:hAnsi="Times New Roman" w:cs="Calibri"/>
          <w:noProof/>
          <w:sz w:val="24"/>
          <w:szCs w:val="20"/>
        </w:rPr>
      </w:pPr>
      <w:r w:rsidRPr="00106B7A">
        <w:rPr>
          <w:rFonts w:ascii="Times New Roman" w:eastAsia="Calibri" w:hAnsi="Times New Roman" w:cs="Calibri"/>
          <w:noProof/>
          <w:sz w:val="24"/>
          <w:szCs w:val="20"/>
          <w:lang w:bidi="ar-SA"/>
        </w:rPr>
        <w:drawing>
          <wp:inline distT="0" distB="0" distL="0" distR="0">
            <wp:extent cx="4484595" cy="2123719"/>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512118" cy="2136753"/>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20"/>
        </w:rPr>
      </w:pPr>
    </w:p>
    <w:p w:rsidR="00506AA9" w:rsidRPr="001973D0" w:rsidRDefault="00506AA9" w:rsidP="00506AA9">
      <w:pPr>
        <w:pStyle w:val="BodyText"/>
        <w:numPr>
          <w:ilvl w:val="0"/>
          <w:numId w:val="110"/>
        </w:numPr>
        <w:tabs>
          <w:tab w:val="left" w:pos="1248"/>
        </w:tabs>
        <w:spacing w:before="0"/>
        <w:ind w:left="709" w:hanging="709"/>
        <w:jc w:val="both"/>
        <w:rPr>
          <w:rFonts w:ascii="Times New Roman" w:hAnsi="Times New Roman"/>
          <w:noProof/>
          <w:sz w:val="24"/>
        </w:rPr>
      </w:pPr>
      <w:r>
        <w:rPr>
          <w:rFonts w:ascii="Times New Roman" w:hAnsi="Times New Roman"/>
          <w:noProof/>
          <w:sz w:val="24"/>
        </w:rPr>
        <w:t>Gadā </w:t>
      </w:r>
      <w:r>
        <w:rPr>
          <w:rFonts w:ascii="Times New Roman" w:hAnsi="Times New Roman"/>
          <w:i/>
          <w:noProof/>
          <w:sz w:val="24"/>
        </w:rPr>
        <w:t>t</w:t>
      </w:r>
      <w:r>
        <w:rPr>
          <w:rFonts w:ascii="Times New Roman" w:hAnsi="Times New Roman"/>
          <w:noProof/>
          <w:sz w:val="24"/>
        </w:rPr>
        <w:t xml:space="preserve"> tiek pieprasīts izmaksāt 10 naudas vienības no garantijas. Šāds pieprasījums tiek saņemts arī gadā </w:t>
      </w:r>
      <w:r>
        <w:rPr>
          <w:rFonts w:ascii="Times New Roman" w:hAnsi="Times New Roman"/>
          <w:i/>
          <w:noProof/>
          <w:sz w:val="24"/>
        </w:rPr>
        <w:t>t+2</w:t>
      </w:r>
      <w:r>
        <w:rPr>
          <w:rStyle w:val="FootnoteReference"/>
          <w:rFonts w:ascii="Times New Roman" w:hAnsi="Times New Roman"/>
          <w:noProof/>
          <w:sz w:val="24"/>
        </w:rPr>
        <w:footnoteReference w:id="279"/>
      </w:r>
      <w:r>
        <w:rPr>
          <w:rFonts w:ascii="Times New Roman" w:hAnsi="Times New Roman"/>
          <w:noProof/>
          <w:sz w:val="24"/>
        </w:rPr>
        <w:t xml:space="preserve"> (savukārt </w:t>
      </w:r>
      <w:r>
        <w:rPr>
          <w:rFonts w:ascii="Times New Roman" w:hAnsi="Times New Roman"/>
          <w:i/>
          <w:noProof/>
          <w:sz w:val="24"/>
        </w:rPr>
        <w:t>t+1</w:t>
      </w:r>
      <w:r>
        <w:rPr>
          <w:rFonts w:ascii="Times New Roman" w:hAnsi="Times New Roman"/>
          <w:noProof/>
          <w:sz w:val="24"/>
        </w:rPr>
        <w:t> gadā garantija nav prasīta.</w:t>
      </w:r>
    </w:p>
    <w:p w:rsidR="00506AA9" w:rsidRPr="001973D0" w:rsidRDefault="00506AA9" w:rsidP="00506AA9">
      <w:pPr>
        <w:jc w:val="both"/>
        <w:rPr>
          <w:rFonts w:ascii="Times New Roman" w:eastAsia="Arial" w:hAnsi="Times New Roman" w:cs="Arial"/>
          <w:noProof/>
          <w:sz w:val="24"/>
          <w:szCs w:val="20"/>
        </w:rPr>
      </w:pPr>
    </w:p>
    <w:p w:rsidR="00506AA9"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drawing>
          <wp:inline distT="0" distB="0" distL="0" distR="0">
            <wp:extent cx="4053975" cy="3820506"/>
            <wp:effectExtent l="0" t="0" r="3810" b="889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060561" cy="3826713"/>
                    </a:xfrm>
                    <a:prstGeom prst="rect">
                      <a:avLst/>
                    </a:prstGeom>
                    <a:noFill/>
                    <a:ln>
                      <a:noFill/>
                    </a:ln>
                  </pic:spPr>
                </pic:pic>
              </a:graphicData>
            </a:graphic>
          </wp:inline>
        </w:drawing>
      </w:r>
    </w:p>
    <w:p w:rsidR="00506AA9" w:rsidRDefault="00506AA9" w:rsidP="00506AA9">
      <w:pPr>
        <w:jc w:val="both"/>
        <w:rPr>
          <w:rFonts w:ascii="Times New Roman" w:eastAsia="Calibri" w:hAnsi="Times New Roman" w:cs="Calibri"/>
          <w:noProof/>
          <w:sz w:val="24"/>
          <w:szCs w:val="20"/>
        </w:rPr>
      </w:pPr>
    </w:p>
    <w:p w:rsidR="00506AA9" w:rsidRPr="001973D0" w:rsidRDefault="00506AA9" w:rsidP="00506AA9">
      <w:pPr>
        <w:pStyle w:val="BodyText"/>
        <w:numPr>
          <w:ilvl w:val="0"/>
          <w:numId w:val="110"/>
        </w:numPr>
        <w:tabs>
          <w:tab w:val="left" w:pos="1248"/>
        </w:tabs>
        <w:spacing w:before="0"/>
        <w:ind w:left="709" w:hanging="709"/>
        <w:jc w:val="both"/>
        <w:rPr>
          <w:rFonts w:ascii="Times New Roman" w:hAnsi="Times New Roman"/>
          <w:noProof/>
          <w:sz w:val="24"/>
        </w:rPr>
      </w:pPr>
      <w:r>
        <w:rPr>
          <w:rFonts w:ascii="Times New Roman" w:hAnsi="Times New Roman"/>
          <w:noProof/>
          <w:sz w:val="24"/>
        </w:rPr>
        <w:t>Gadā </w:t>
      </w:r>
      <w:r>
        <w:rPr>
          <w:rFonts w:ascii="Times New Roman" w:hAnsi="Times New Roman"/>
          <w:i/>
          <w:noProof/>
          <w:sz w:val="24"/>
        </w:rPr>
        <w:t>t+3</w:t>
      </w:r>
      <w:r>
        <w:rPr>
          <w:rFonts w:ascii="Times New Roman" w:hAnsi="Times New Roman"/>
          <w:noProof/>
          <w:sz w:val="24"/>
        </w:rPr>
        <w:t xml:space="preserve"> ir trešais garantijas prasījums, kurā pieprasīts izmaksāt atlikušo daļu – 80 naudas vienības. Valdība izdod parāda vērtspapīrus 10 naudas vienību vērtībā un aizdevumu 70 naudas vienību vērtībā, lai segtu šo prasījumu.</w:t>
      </w:r>
    </w:p>
    <w:p w:rsidR="00506AA9" w:rsidRPr="001973D0" w:rsidRDefault="00506AA9" w:rsidP="00506AA9">
      <w:pPr>
        <w:jc w:val="both"/>
        <w:rPr>
          <w:rFonts w:ascii="Times New Roman" w:eastAsia="Arial" w:hAnsi="Times New Roman" w:cs="Arial"/>
          <w:noProof/>
          <w:sz w:val="24"/>
          <w:szCs w:val="20"/>
        </w:rPr>
      </w:pPr>
    </w:p>
    <w:p w:rsidR="00506AA9" w:rsidRDefault="008862BF" w:rsidP="00506AA9">
      <w:pPr>
        <w:jc w:val="center"/>
        <w:rPr>
          <w:rFonts w:ascii="Times New Roman" w:eastAsia="Calibri" w:hAnsi="Times New Roman" w:cs="Calibri"/>
          <w:noProof/>
          <w:sz w:val="24"/>
          <w:szCs w:val="20"/>
        </w:rPr>
      </w:pPr>
      <w:r w:rsidRPr="008862BF">
        <w:rPr>
          <w:rFonts w:ascii="Times New Roman" w:eastAsia="Calibri" w:hAnsi="Times New Roman" w:cs="Calibri"/>
          <w:noProof/>
          <w:sz w:val="24"/>
          <w:szCs w:val="20"/>
          <w:lang w:bidi="ar-SA"/>
        </w:rPr>
        <w:drawing>
          <wp:inline distT="0" distB="0" distL="0" distR="0">
            <wp:extent cx="5760085" cy="1396661"/>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0085" cy="1396661"/>
                    </a:xfrm>
                    <a:prstGeom prst="rect">
                      <a:avLst/>
                    </a:prstGeom>
                    <a:noFill/>
                    <a:ln>
                      <a:noFill/>
                    </a:ln>
                  </pic:spPr>
                </pic:pic>
              </a:graphicData>
            </a:graphic>
          </wp:inline>
        </w:drawing>
      </w:r>
    </w:p>
    <w:p w:rsidR="00506AA9" w:rsidRPr="001973D0"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drawing>
          <wp:inline distT="0" distB="0" distL="0" distR="0">
            <wp:extent cx="5760085" cy="4335839"/>
            <wp:effectExtent l="0" t="0" r="0" b="762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60085" cy="4335839"/>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19"/>
        </w:rPr>
      </w:pPr>
    </w:p>
    <w:p w:rsidR="00506AA9" w:rsidRPr="001973D0" w:rsidRDefault="00506AA9" w:rsidP="00506AA9">
      <w:pPr>
        <w:pStyle w:val="Heading6"/>
        <w:jc w:val="both"/>
        <w:rPr>
          <w:rFonts w:ascii="Times New Roman" w:hAnsi="Times New Roman"/>
          <w:noProof/>
          <w:sz w:val="24"/>
        </w:rPr>
      </w:pPr>
      <w:bookmarkStart w:id="569" w:name="Reclassification_as_government_debt_at_i"/>
      <w:bookmarkEnd w:id="569"/>
      <w:r>
        <w:rPr>
          <w:rFonts w:ascii="Times New Roman" w:hAnsi="Times New Roman"/>
          <w:noProof/>
          <w:sz w:val="24"/>
        </w:rPr>
        <w:t>Pārklasificēšana par valdības parādu sākumā</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Valdība piešķir publiskai sabiedrībai garantiju par 100 naudas vienībām attiecībā uz tās parādu izpērkamas obligācijas (AF.3) formā (valdība neiekasē maksu).</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numPr>
          <w:ilvl w:val="0"/>
          <w:numId w:val="109"/>
        </w:numPr>
        <w:tabs>
          <w:tab w:val="left" w:pos="1168"/>
        </w:tabs>
        <w:spacing w:before="0"/>
        <w:ind w:left="709" w:hanging="709"/>
        <w:jc w:val="both"/>
        <w:rPr>
          <w:rFonts w:ascii="Times New Roman" w:hAnsi="Times New Roman"/>
          <w:noProof/>
          <w:sz w:val="24"/>
        </w:rPr>
      </w:pPr>
      <w:r>
        <w:rPr>
          <w:rFonts w:ascii="Times New Roman" w:hAnsi="Times New Roman"/>
          <w:noProof/>
          <w:sz w:val="24"/>
        </w:rPr>
        <w:t>Sākumā ir pārliecinoši pierādījumi (sabiedrība ar negatīviem pašu līdzekļiem, valdība apņemas veikt atmaksāšanu u. c.) tam, ka parādu atmaksās valdība. Tādējādi sākumā parāds tiek uzskatīts par valdības parādu (vienkāršošanas nolūkā piemērā nav parādīti procenti attiecībā uz aizdevumu).</w:t>
      </w:r>
    </w:p>
    <w:p w:rsidR="00506AA9" w:rsidRPr="001973D0" w:rsidRDefault="00506AA9" w:rsidP="00506AA9">
      <w:pPr>
        <w:jc w:val="both"/>
        <w:rPr>
          <w:rFonts w:ascii="Times New Roman" w:eastAsia="Arial" w:hAnsi="Times New Roman" w:cs="Arial"/>
          <w:noProof/>
          <w:sz w:val="24"/>
          <w:szCs w:val="20"/>
        </w:rPr>
      </w:pPr>
    </w:p>
    <w:p w:rsidR="00506AA9" w:rsidRDefault="008862BF" w:rsidP="00506AA9">
      <w:pPr>
        <w:jc w:val="center"/>
        <w:rPr>
          <w:rFonts w:ascii="Times New Roman" w:eastAsia="Calibri" w:hAnsi="Times New Roman" w:cs="Calibri"/>
          <w:noProof/>
          <w:sz w:val="24"/>
          <w:szCs w:val="20"/>
        </w:rPr>
      </w:pPr>
      <w:r w:rsidRPr="008862BF">
        <w:rPr>
          <w:rFonts w:ascii="Times New Roman" w:eastAsia="Calibri" w:hAnsi="Times New Roman" w:cs="Calibri"/>
          <w:noProof/>
          <w:sz w:val="24"/>
          <w:szCs w:val="20"/>
          <w:lang w:bidi="ar-SA"/>
        </w:rPr>
        <w:lastRenderedPageBreak/>
        <w:drawing>
          <wp:inline distT="0" distB="0" distL="0" distR="0">
            <wp:extent cx="5321525" cy="141628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328154" cy="1418044"/>
                    </a:xfrm>
                    <a:prstGeom prst="rect">
                      <a:avLst/>
                    </a:prstGeom>
                    <a:noFill/>
                    <a:ln>
                      <a:noFill/>
                    </a:ln>
                  </pic:spPr>
                </pic:pic>
              </a:graphicData>
            </a:graphic>
          </wp:inline>
        </w:drawing>
      </w:r>
    </w:p>
    <w:p w:rsidR="00506AA9" w:rsidRPr="001973D0"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drawing>
          <wp:inline distT="0" distB="0" distL="0" distR="0">
            <wp:extent cx="5131880" cy="2399383"/>
            <wp:effectExtent l="0" t="0" r="0" b="127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149817" cy="2407769"/>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29"/>
        </w:rPr>
      </w:pPr>
    </w:p>
    <w:p w:rsidR="00506AA9" w:rsidRPr="001973D0" w:rsidRDefault="00506AA9" w:rsidP="00506AA9">
      <w:pPr>
        <w:pStyle w:val="BodyText"/>
        <w:numPr>
          <w:ilvl w:val="0"/>
          <w:numId w:val="109"/>
        </w:numPr>
        <w:tabs>
          <w:tab w:val="left" w:pos="1248"/>
        </w:tabs>
        <w:spacing w:before="0"/>
        <w:ind w:left="709" w:hanging="709"/>
        <w:jc w:val="both"/>
        <w:rPr>
          <w:rFonts w:ascii="Times New Roman" w:hAnsi="Times New Roman"/>
          <w:noProof/>
          <w:sz w:val="24"/>
        </w:rPr>
      </w:pPr>
      <w:r>
        <w:rPr>
          <w:rFonts w:ascii="Times New Roman" w:hAnsi="Times New Roman"/>
          <w:noProof/>
          <w:sz w:val="24"/>
        </w:rPr>
        <w:t>Parāda atmaksas termiņa beigās publiskā sabiedrība ir gatava pati atmaksāt 10 naudas vienības no pamatsummas maksājuma 100 naudas vienību apmērā.</w:t>
      </w:r>
    </w:p>
    <w:p w:rsidR="00506AA9" w:rsidRPr="001973D0" w:rsidRDefault="00506AA9" w:rsidP="00506AA9">
      <w:pPr>
        <w:jc w:val="both"/>
        <w:rPr>
          <w:rFonts w:ascii="Times New Roman" w:eastAsia="Arial" w:hAnsi="Times New Roman" w:cs="Arial"/>
          <w:noProof/>
          <w:sz w:val="24"/>
          <w:szCs w:val="20"/>
        </w:rPr>
      </w:pPr>
    </w:p>
    <w:p w:rsidR="00506AA9" w:rsidRPr="001973D0"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drawing>
          <wp:inline distT="0" distB="0" distL="0" distR="0">
            <wp:extent cx="4557813" cy="4220845"/>
            <wp:effectExtent l="0" t="0" r="0" b="825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566727" cy="4229100"/>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20"/>
        </w:rPr>
      </w:pPr>
    </w:p>
    <w:p w:rsidR="00506AA9" w:rsidRDefault="00506AA9" w:rsidP="00506AA9">
      <w:pPr>
        <w:pStyle w:val="Heading6"/>
        <w:jc w:val="both"/>
        <w:rPr>
          <w:rFonts w:ascii="Times New Roman" w:hAnsi="Times New Roman" w:cs="Arial"/>
          <w:noProof/>
          <w:sz w:val="24"/>
        </w:rPr>
      </w:pPr>
      <w:bookmarkStart w:id="570" w:name="Government_guarantee_on_losses_related_t"/>
      <w:bookmarkEnd w:id="570"/>
      <w:r>
        <w:rPr>
          <w:rFonts w:ascii="Times New Roman" w:hAnsi="Times New Roman"/>
          <w:noProof/>
          <w:sz w:val="24"/>
        </w:rPr>
        <w:lastRenderedPageBreak/>
        <w:t>Valdības garantija attiecībā uz zaudējumiem, kas saistīti ar problemātiskiem aktīviem</w:t>
      </w:r>
      <w:r>
        <w:rPr>
          <w:rStyle w:val="FootnoteReference"/>
          <w:rFonts w:ascii="Times New Roman" w:hAnsi="Times New Roman"/>
          <w:noProof/>
          <w:sz w:val="24"/>
        </w:rPr>
        <w:footnoteReference w:id="280"/>
      </w:r>
    </w:p>
    <w:p w:rsidR="00506AA9" w:rsidRPr="001973D0" w:rsidRDefault="00506AA9" w:rsidP="00506AA9">
      <w:pPr>
        <w:pStyle w:val="Heading6"/>
        <w:jc w:val="both"/>
        <w:rPr>
          <w:rFonts w:ascii="Times New Roman" w:hAnsi="Times New Roman"/>
          <w:b w:val="0"/>
          <w:bCs w:val="0"/>
          <w:noProof/>
          <w:sz w:val="24"/>
          <w:szCs w:val="14"/>
        </w:rPr>
      </w:pPr>
    </w:p>
    <w:p w:rsidR="00506AA9" w:rsidRPr="001973D0" w:rsidRDefault="00506AA9" w:rsidP="00506AA9">
      <w:pPr>
        <w:pStyle w:val="BodyText"/>
        <w:numPr>
          <w:ilvl w:val="0"/>
          <w:numId w:val="108"/>
        </w:numPr>
        <w:tabs>
          <w:tab w:val="left" w:pos="1168"/>
        </w:tabs>
        <w:spacing w:before="0"/>
        <w:ind w:left="709" w:hanging="709"/>
        <w:jc w:val="both"/>
        <w:rPr>
          <w:rFonts w:ascii="Times New Roman" w:hAnsi="Times New Roman"/>
          <w:noProof/>
          <w:sz w:val="24"/>
        </w:rPr>
      </w:pPr>
      <w:r>
        <w:rPr>
          <w:rFonts w:ascii="Times New Roman" w:hAnsi="Times New Roman"/>
          <w:noProof/>
          <w:sz w:val="24"/>
        </w:rPr>
        <w:t xml:space="preserve">Gadā </w:t>
      </w:r>
      <w:r>
        <w:rPr>
          <w:rFonts w:ascii="Times New Roman" w:hAnsi="Times New Roman"/>
          <w:i/>
          <w:noProof/>
          <w:sz w:val="24"/>
        </w:rPr>
        <w:t>t</w:t>
      </w:r>
      <w:r>
        <w:rPr>
          <w:rFonts w:ascii="Times New Roman" w:hAnsi="Times New Roman"/>
          <w:noProof/>
          <w:sz w:val="24"/>
        </w:rPr>
        <w:t xml:space="preserve"> problemātisko aktīvu nominālvērtība ir 100, zaudējumi attiecībā uz šiem aktīviem tiek ticami novērtēti 70 naudas vienību apmēr</w:t>
      </w:r>
      <w:r w:rsidR="00B244CD">
        <w:rPr>
          <w:rFonts w:ascii="Times New Roman" w:hAnsi="Times New Roman"/>
          <w:noProof/>
          <w:sz w:val="24"/>
        </w:rPr>
        <w:t>ā. Garantētā summa ir ierakstīta</w:t>
      </w:r>
      <w:r>
        <w:rPr>
          <w:rFonts w:ascii="Times New Roman" w:hAnsi="Times New Roman"/>
          <w:noProof/>
          <w:sz w:val="24"/>
        </w:rPr>
        <w:t xml:space="preserve"> kā valdības izdevumi (D.9) un valdības saistības (F.8.). Problemātiskie aktīvi tiek saglabāti finanšu iestādes kontā.</w:t>
      </w:r>
    </w:p>
    <w:p w:rsidR="00506AA9" w:rsidRDefault="00506AA9" w:rsidP="00506AA9">
      <w:pPr>
        <w:ind w:left="709" w:hanging="709"/>
        <w:jc w:val="both"/>
        <w:rPr>
          <w:rFonts w:ascii="Times New Roman" w:eastAsia="Arial" w:hAnsi="Times New Roman" w:cs="Arial"/>
          <w:noProof/>
          <w:sz w:val="24"/>
          <w:szCs w:val="20"/>
        </w:rPr>
      </w:pPr>
    </w:p>
    <w:p w:rsidR="00506AA9" w:rsidRPr="001973D0" w:rsidRDefault="00E129C2" w:rsidP="00506AA9">
      <w:pPr>
        <w:ind w:left="709" w:hanging="709"/>
        <w:jc w:val="center"/>
        <w:rPr>
          <w:rFonts w:ascii="Times New Roman" w:eastAsia="Arial" w:hAnsi="Times New Roman" w:cs="Arial"/>
          <w:noProof/>
          <w:sz w:val="24"/>
          <w:szCs w:val="20"/>
        </w:rPr>
      </w:pPr>
      <w:r w:rsidRPr="00E129C2">
        <w:rPr>
          <w:rFonts w:ascii="Times New Roman" w:eastAsia="Arial" w:hAnsi="Times New Roman" w:cs="Arial"/>
          <w:noProof/>
          <w:sz w:val="24"/>
          <w:szCs w:val="20"/>
          <w:lang w:bidi="ar-SA"/>
        </w:rPr>
        <w:drawing>
          <wp:inline distT="0" distB="0" distL="0" distR="0">
            <wp:extent cx="5436000" cy="5763491"/>
            <wp:effectExtent l="0" t="0" r="0" b="889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437429" cy="5765006"/>
                    </a:xfrm>
                    <a:prstGeom prst="rect">
                      <a:avLst/>
                    </a:prstGeom>
                    <a:noFill/>
                    <a:ln>
                      <a:noFill/>
                    </a:ln>
                  </pic:spPr>
                </pic:pic>
              </a:graphicData>
            </a:graphic>
          </wp:inline>
        </w:drawing>
      </w:r>
    </w:p>
    <w:p w:rsidR="00506AA9" w:rsidRDefault="00506AA9" w:rsidP="00506AA9">
      <w:pPr>
        <w:ind w:left="709" w:hanging="709"/>
        <w:jc w:val="both"/>
        <w:rPr>
          <w:rFonts w:ascii="Times New Roman" w:eastAsia="Calibri" w:hAnsi="Times New Roman" w:cs="Calibri"/>
          <w:noProof/>
          <w:sz w:val="24"/>
          <w:szCs w:val="23"/>
        </w:rPr>
      </w:pPr>
    </w:p>
    <w:p w:rsidR="00506AA9" w:rsidRPr="001973D0" w:rsidRDefault="00506AA9" w:rsidP="00506AA9">
      <w:pPr>
        <w:pStyle w:val="BodyText"/>
        <w:numPr>
          <w:ilvl w:val="0"/>
          <w:numId w:val="108"/>
        </w:numPr>
        <w:tabs>
          <w:tab w:val="left" w:pos="1168"/>
        </w:tabs>
        <w:spacing w:before="0"/>
        <w:ind w:left="709" w:hanging="709"/>
        <w:jc w:val="both"/>
        <w:rPr>
          <w:rFonts w:ascii="Times New Roman" w:hAnsi="Times New Roman"/>
          <w:noProof/>
          <w:sz w:val="24"/>
        </w:rPr>
      </w:pPr>
      <w:r>
        <w:rPr>
          <w:rFonts w:ascii="Times New Roman" w:hAnsi="Times New Roman"/>
          <w:noProof/>
          <w:sz w:val="24"/>
        </w:rPr>
        <w:t>Gadā </w:t>
      </w:r>
      <w:r>
        <w:rPr>
          <w:rFonts w:ascii="Times New Roman" w:hAnsi="Times New Roman"/>
          <w:i/>
          <w:noProof/>
          <w:sz w:val="24"/>
        </w:rPr>
        <w:t>t+1</w:t>
      </w:r>
      <w:r>
        <w:rPr>
          <w:rFonts w:ascii="Times New Roman" w:hAnsi="Times New Roman"/>
          <w:noProof/>
          <w:sz w:val="24"/>
        </w:rPr>
        <w:t xml:space="preserve"> valdība pārskaita naudu finanšu iestādei, kurai ir jāatmaksā 70 naudas vienības no sava parāda. Valdībai ir jāaizņemas tirgos.</w:t>
      </w:r>
    </w:p>
    <w:p w:rsidR="00506AA9" w:rsidRPr="001973D0" w:rsidRDefault="00506AA9" w:rsidP="00506AA9">
      <w:pPr>
        <w:ind w:left="709" w:hanging="709"/>
        <w:jc w:val="both"/>
        <w:rPr>
          <w:rFonts w:ascii="Times New Roman" w:eastAsia="Arial" w:hAnsi="Times New Roman" w:cs="Arial"/>
          <w:noProof/>
          <w:sz w:val="24"/>
          <w:szCs w:val="20"/>
        </w:rPr>
      </w:pPr>
    </w:p>
    <w:p w:rsidR="00506AA9" w:rsidRPr="001973D0" w:rsidRDefault="00E129C2" w:rsidP="00506AA9">
      <w:pPr>
        <w:ind w:left="709" w:hanging="709"/>
        <w:jc w:val="center"/>
        <w:rPr>
          <w:rFonts w:ascii="Times New Roman" w:eastAsia="Arial" w:hAnsi="Times New Roman" w:cs="Arial"/>
          <w:noProof/>
          <w:sz w:val="24"/>
          <w:szCs w:val="20"/>
        </w:rPr>
      </w:pPr>
      <w:r w:rsidRPr="00E129C2">
        <w:rPr>
          <w:rFonts w:ascii="Times New Roman" w:eastAsia="Arial" w:hAnsi="Times New Roman" w:cs="Arial"/>
          <w:noProof/>
          <w:sz w:val="24"/>
          <w:szCs w:val="20"/>
          <w:lang w:bidi="ar-SA"/>
        </w:rPr>
        <w:lastRenderedPageBreak/>
        <w:drawing>
          <wp:inline distT="0" distB="0" distL="0" distR="0">
            <wp:extent cx="5454522" cy="3809229"/>
            <wp:effectExtent l="0" t="0" r="0" b="127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59397" cy="3812633"/>
                    </a:xfrm>
                    <a:prstGeom prst="rect">
                      <a:avLst/>
                    </a:prstGeom>
                    <a:noFill/>
                    <a:ln>
                      <a:noFill/>
                    </a:ln>
                  </pic:spPr>
                </pic:pic>
              </a:graphicData>
            </a:graphic>
          </wp:inline>
        </w:drawing>
      </w:r>
    </w:p>
    <w:p w:rsidR="00506AA9" w:rsidRPr="001973D0" w:rsidRDefault="00506AA9" w:rsidP="00506AA9">
      <w:pPr>
        <w:ind w:left="709" w:hanging="709"/>
        <w:jc w:val="both"/>
        <w:rPr>
          <w:rFonts w:ascii="Times New Roman" w:eastAsia="Arial" w:hAnsi="Times New Roman" w:cs="Arial"/>
          <w:noProof/>
          <w:sz w:val="24"/>
          <w:szCs w:val="20"/>
        </w:rPr>
      </w:pPr>
    </w:p>
    <w:p w:rsidR="00506AA9" w:rsidRPr="001973D0" w:rsidRDefault="00506AA9" w:rsidP="00506AA9">
      <w:pPr>
        <w:pStyle w:val="BodyText"/>
        <w:numPr>
          <w:ilvl w:val="0"/>
          <w:numId w:val="108"/>
        </w:numPr>
        <w:tabs>
          <w:tab w:val="left" w:pos="1248"/>
        </w:tabs>
        <w:spacing w:before="0"/>
        <w:ind w:left="709" w:hanging="709"/>
        <w:jc w:val="both"/>
        <w:rPr>
          <w:rFonts w:ascii="Times New Roman" w:hAnsi="Times New Roman"/>
          <w:noProof/>
          <w:sz w:val="24"/>
        </w:rPr>
      </w:pPr>
      <w:r>
        <w:rPr>
          <w:rFonts w:ascii="Times New Roman" w:hAnsi="Times New Roman"/>
          <w:noProof/>
          <w:sz w:val="24"/>
        </w:rPr>
        <w:t xml:space="preserve">Alternatīvais variants: gadā </w:t>
      </w:r>
      <w:r>
        <w:rPr>
          <w:rFonts w:ascii="Times New Roman" w:hAnsi="Times New Roman"/>
          <w:i/>
          <w:noProof/>
          <w:sz w:val="24"/>
        </w:rPr>
        <w:t>t+1</w:t>
      </w:r>
      <w:r>
        <w:rPr>
          <w:rFonts w:ascii="Times New Roman" w:hAnsi="Times New Roman"/>
          <w:noProof/>
          <w:sz w:val="24"/>
        </w:rPr>
        <w:t xml:space="preserve"> finanšu iestādei ir jāizpērk savs parāds par 70 naudas vienībām. Problemātiskie aktīvi pārdoti par 40 naudas vienībām, tādējādi realizētie zaudējumi par aktīviem ir 60 (nevis, kā prognozēts iepriekš, 70 naudas vienības). Valdība pārskaita naudas summu (no aizņēmumiem tirgos).</w:t>
      </w:r>
    </w:p>
    <w:p w:rsidR="00506AA9" w:rsidRPr="001973D0" w:rsidRDefault="00506AA9" w:rsidP="00506AA9">
      <w:pPr>
        <w:jc w:val="both"/>
        <w:rPr>
          <w:rFonts w:ascii="Times New Roman" w:eastAsia="Arial" w:hAnsi="Times New Roman" w:cs="Arial"/>
          <w:noProof/>
          <w:sz w:val="24"/>
          <w:szCs w:val="20"/>
        </w:rPr>
      </w:pPr>
    </w:p>
    <w:p w:rsidR="00506AA9" w:rsidRDefault="008862BF" w:rsidP="00506AA9">
      <w:pPr>
        <w:jc w:val="center"/>
        <w:rPr>
          <w:rFonts w:ascii="Times New Roman" w:eastAsia="Calibri" w:hAnsi="Times New Roman" w:cs="Calibri"/>
          <w:noProof/>
          <w:sz w:val="24"/>
          <w:szCs w:val="20"/>
        </w:rPr>
      </w:pPr>
      <w:r w:rsidRPr="008862BF">
        <w:rPr>
          <w:rFonts w:ascii="Times New Roman" w:eastAsia="Calibri" w:hAnsi="Times New Roman" w:cs="Calibri"/>
          <w:noProof/>
          <w:sz w:val="24"/>
          <w:szCs w:val="20"/>
          <w:lang w:bidi="ar-SA"/>
        </w:rPr>
        <w:drawing>
          <wp:inline distT="0" distB="0" distL="0" distR="0">
            <wp:extent cx="5760085" cy="3075069"/>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60085" cy="3075069"/>
                    </a:xfrm>
                    <a:prstGeom prst="rect">
                      <a:avLst/>
                    </a:prstGeom>
                    <a:noFill/>
                    <a:ln>
                      <a:noFill/>
                    </a:ln>
                  </pic:spPr>
                </pic:pic>
              </a:graphicData>
            </a:graphic>
          </wp:inline>
        </w:drawing>
      </w:r>
    </w:p>
    <w:p w:rsidR="00506AA9" w:rsidRPr="001973D0"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lastRenderedPageBreak/>
        <w:drawing>
          <wp:inline distT="0" distB="0" distL="0" distR="0">
            <wp:extent cx="5380854" cy="4432161"/>
            <wp:effectExtent l="0" t="0" r="0" b="698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385837" cy="4436265"/>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19"/>
        </w:rPr>
      </w:pPr>
    </w:p>
    <w:p w:rsidR="00506AA9" w:rsidRPr="001973D0" w:rsidRDefault="00506AA9" w:rsidP="00506AA9">
      <w:pPr>
        <w:pStyle w:val="Heading6"/>
        <w:jc w:val="both"/>
        <w:rPr>
          <w:rFonts w:ascii="Times New Roman" w:hAnsi="Times New Roman"/>
          <w:noProof/>
          <w:sz w:val="24"/>
        </w:rPr>
      </w:pPr>
      <w:bookmarkStart w:id="571" w:name="Standardised_guarantees:_case_with_no_fe"/>
      <w:bookmarkEnd w:id="571"/>
      <w:r>
        <w:rPr>
          <w:rFonts w:ascii="Times New Roman" w:hAnsi="Times New Roman"/>
          <w:noProof/>
          <w:sz w:val="24"/>
        </w:rPr>
        <w:t>Standartizētās garantijas – gadījums, kad valdība neiekasē maksu</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Valdība izsniedz garantiju attiecībā uz aizdevumiem, kurus izdevušas noteiktas finanšu iestādes (valdība neiekasē maksu par šo garantiju, proti, tā nerīkojas saskaņā ar komerciālām interesēm, un gadījumā, ja maksa ir paredzēta, tā nepārsniedz valdības administratīvās izmaksas).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Aizdevumu sākumā valdība izveido saistības (uzkrājumi standarta garantiju prasījumiem (AF.66)), pamatojoties uz prognozi, ka 20 % no aizdevumiem radīs valdībai zaudējumus 20 naudas vienību apmērā par katru 100 naudas vienību apmērā piešķirto summu (vienkāršošanas nolūkā tiek uzskatīts, ka šādas garantijas sagatavošanas izmaksas ir nulle).</w:t>
      </w:r>
    </w:p>
    <w:p w:rsidR="00506AA9" w:rsidRPr="001973D0" w:rsidRDefault="00506AA9" w:rsidP="00506AA9">
      <w:pPr>
        <w:jc w:val="both"/>
        <w:rPr>
          <w:rFonts w:ascii="Times New Roman" w:eastAsia="Calibri" w:hAnsi="Times New Roman" w:cs="Calibri"/>
          <w:noProof/>
          <w:sz w:val="24"/>
          <w:szCs w:val="20"/>
        </w:rPr>
      </w:pPr>
    </w:p>
    <w:p w:rsidR="00506AA9" w:rsidRDefault="008862BF" w:rsidP="00506AA9">
      <w:pPr>
        <w:jc w:val="center"/>
        <w:rPr>
          <w:rFonts w:ascii="Times New Roman" w:eastAsia="Calibri" w:hAnsi="Times New Roman" w:cs="Calibri"/>
          <w:noProof/>
          <w:sz w:val="24"/>
          <w:szCs w:val="28"/>
        </w:rPr>
      </w:pPr>
      <w:r w:rsidRPr="008862BF">
        <w:rPr>
          <w:rFonts w:ascii="Times New Roman" w:eastAsia="Calibri" w:hAnsi="Times New Roman" w:cs="Calibri"/>
          <w:noProof/>
          <w:sz w:val="24"/>
          <w:szCs w:val="28"/>
          <w:lang w:bidi="ar-SA"/>
        </w:rPr>
        <w:drawing>
          <wp:inline distT="0" distB="0" distL="0" distR="0">
            <wp:extent cx="5302340" cy="2354740"/>
            <wp:effectExtent l="0" t="0" r="0" b="762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313946" cy="2359894"/>
                    </a:xfrm>
                    <a:prstGeom prst="rect">
                      <a:avLst/>
                    </a:prstGeom>
                    <a:noFill/>
                    <a:ln>
                      <a:noFill/>
                    </a:ln>
                  </pic:spPr>
                </pic:pic>
              </a:graphicData>
            </a:graphic>
          </wp:inline>
        </w:drawing>
      </w:r>
    </w:p>
    <w:p w:rsidR="00506AA9" w:rsidRDefault="00E129C2" w:rsidP="00506AA9">
      <w:pPr>
        <w:jc w:val="center"/>
        <w:rPr>
          <w:rFonts w:ascii="Times New Roman" w:eastAsia="Calibri" w:hAnsi="Times New Roman" w:cs="Calibri"/>
          <w:noProof/>
          <w:sz w:val="24"/>
          <w:szCs w:val="28"/>
        </w:rPr>
      </w:pPr>
      <w:r w:rsidRPr="00E129C2">
        <w:rPr>
          <w:rFonts w:ascii="Times New Roman" w:eastAsia="Calibri" w:hAnsi="Times New Roman" w:cs="Calibri"/>
          <w:noProof/>
          <w:sz w:val="24"/>
          <w:szCs w:val="28"/>
          <w:lang w:bidi="ar-SA"/>
        </w:rPr>
        <w:lastRenderedPageBreak/>
        <w:drawing>
          <wp:inline distT="0" distB="0" distL="0" distR="0">
            <wp:extent cx="5372022" cy="3446798"/>
            <wp:effectExtent l="0" t="0" r="635" b="127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375735" cy="3449181"/>
                    </a:xfrm>
                    <a:prstGeom prst="rect">
                      <a:avLst/>
                    </a:prstGeom>
                    <a:noFill/>
                    <a:ln>
                      <a:noFill/>
                    </a:ln>
                  </pic:spPr>
                </pic:pic>
              </a:graphicData>
            </a:graphic>
          </wp:inline>
        </w:drawing>
      </w:r>
    </w:p>
    <w:p w:rsidR="00506AA9" w:rsidRPr="001973D0" w:rsidRDefault="00506AA9" w:rsidP="00506AA9">
      <w:pPr>
        <w:jc w:val="both"/>
        <w:rPr>
          <w:rFonts w:ascii="Times New Roman" w:eastAsia="Calibri" w:hAnsi="Times New Roman" w:cs="Calibri"/>
          <w:noProof/>
          <w:sz w:val="24"/>
          <w:szCs w:val="28"/>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Gadā </w:t>
      </w:r>
      <w:r>
        <w:rPr>
          <w:rFonts w:ascii="Times New Roman" w:hAnsi="Times New Roman"/>
          <w:i/>
          <w:noProof/>
          <w:sz w:val="24"/>
        </w:rPr>
        <w:t>t</w:t>
      </w:r>
      <w:r>
        <w:rPr>
          <w:rFonts w:ascii="Times New Roman" w:hAnsi="Times New Roman"/>
          <w:noProof/>
          <w:sz w:val="24"/>
        </w:rPr>
        <w:t xml:space="preserve"> tiek pieprasīts izmantot garantiju, pamatojoties uz to, ka debitors nav izpildījis saistības (šajā gadījumā 20 naudas vienību apmērā); valdība emitē obligāciju, lai iegūtu nepieciešamos naudas līdzekļus.</w:t>
      </w:r>
    </w:p>
    <w:p w:rsidR="00506AA9" w:rsidRPr="001973D0" w:rsidRDefault="00506AA9" w:rsidP="00506AA9">
      <w:pPr>
        <w:jc w:val="both"/>
        <w:rPr>
          <w:rFonts w:ascii="Times New Roman" w:eastAsia="Arial" w:hAnsi="Times New Roman" w:cs="Arial"/>
          <w:noProof/>
          <w:sz w:val="24"/>
          <w:szCs w:val="20"/>
        </w:rPr>
      </w:pPr>
    </w:p>
    <w:p w:rsidR="00506AA9" w:rsidRPr="001973D0" w:rsidRDefault="008862BF" w:rsidP="00506AA9">
      <w:pPr>
        <w:tabs>
          <w:tab w:val="left" w:pos="5131"/>
        </w:tabs>
        <w:jc w:val="center"/>
        <w:rPr>
          <w:rFonts w:ascii="Times New Roman" w:eastAsia="Calibri" w:hAnsi="Times New Roman" w:cs="Calibri"/>
          <w:noProof/>
          <w:sz w:val="24"/>
          <w:szCs w:val="20"/>
        </w:rPr>
      </w:pPr>
      <w:r w:rsidRPr="008862BF">
        <w:rPr>
          <w:rFonts w:ascii="Times New Roman" w:eastAsia="Calibri" w:hAnsi="Times New Roman" w:cs="Calibri"/>
          <w:noProof/>
          <w:sz w:val="24"/>
          <w:szCs w:val="20"/>
          <w:lang w:bidi="ar-SA"/>
        </w:rPr>
        <w:drawing>
          <wp:inline distT="0" distB="0" distL="0" distR="0">
            <wp:extent cx="5360681" cy="401002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382612" cy="4026430"/>
                    </a:xfrm>
                    <a:prstGeom prst="rect">
                      <a:avLst/>
                    </a:prstGeom>
                    <a:noFill/>
                    <a:ln>
                      <a:noFill/>
                    </a:ln>
                  </pic:spPr>
                </pic:pic>
              </a:graphicData>
            </a:graphic>
          </wp:inline>
        </w:drawing>
      </w:r>
    </w:p>
    <w:p w:rsidR="00506AA9" w:rsidRPr="001973D0" w:rsidRDefault="00E129C2" w:rsidP="00506AA9">
      <w:pPr>
        <w:jc w:val="center"/>
        <w:rPr>
          <w:rFonts w:ascii="Times New Roman" w:eastAsia="Calibri" w:hAnsi="Times New Roman" w:cs="Calibri"/>
          <w:noProof/>
          <w:sz w:val="24"/>
          <w:szCs w:val="20"/>
        </w:rPr>
      </w:pPr>
      <w:r w:rsidRPr="00E129C2">
        <w:rPr>
          <w:rFonts w:ascii="Times New Roman" w:eastAsia="Calibri" w:hAnsi="Times New Roman" w:cs="Calibri"/>
          <w:noProof/>
          <w:sz w:val="24"/>
          <w:szCs w:val="20"/>
          <w:lang w:bidi="ar-SA"/>
        </w:rPr>
        <w:lastRenderedPageBreak/>
        <w:drawing>
          <wp:inline distT="0" distB="0" distL="0" distR="0">
            <wp:extent cx="5760085" cy="234548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760085" cy="2345485"/>
                    </a:xfrm>
                    <a:prstGeom prst="rect">
                      <a:avLst/>
                    </a:prstGeom>
                    <a:noFill/>
                    <a:ln>
                      <a:noFill/>
                    </a:ln>
                  </pic:spPr>
                </pic:pic>
              </a:graphicData>
            </a:graphic>
          </wp:inline>
        </w:drawing>
      </w:r>
    </w:p>
    <w:p w:rsidR="00506AA9" w:rsidRDefault="00506AA9" w:rsidP="00506AA9">
      <w:pPr>
        <w:jc w:val="both"/>
        <w:rPr>
          <w:rFonts w:ascii="Times New Roman" w:eastAsia="Calibri" w:hAnsi="Times New Roman" w:cs="Calibri"/>
          <w:noProof/>
          <w:sz w:val="24"/>
          <w:szCs w:val="20"/>
        </w:rPr>
      </w:pPr>
    </w:p>
    <w:p w:rsidR="00506AA9" w:rsidRDefault="00506AA9" w:rsidP="00506AA9">
      <w:pPr>
        <w:rPr>
          <w:rFonts w:ascii="Times New Roman" w:eastAsia="Calibri" w:hAnsi="Times New Roman" w:cs="Calibri"/>
          <w:noProof/>
          <w:sz w:val="24"/>
          <w:szCs w:val="20"/>
        </w:rPr>
      </w:pPr>
      <w:r>
        <w:br w:type="page"/>
      </w:r>
    </w:p>
    <w:p w:rsidR="00506AA9" w:rsidRDefault="00506AA9" w:rsidP="008862BF">
      <w:pPr>
        <w:pStyle w:val="Heading2"/>
        <w:rPr>
          <w:noProof/>
        </w:rPr>
      </w:pPr>
      <w:bookmarkStart w:id="572" w:name="VII.5_Keywords_and_accounting_references"/>
      <w:bookmarkStart w:id="573" w:name="_bookmark58"/>
      <w:bookmarkStart w:id="574" w:name="_Toc471135924"/>
      <w:bookmarkEnd w:id="572"/>
      <w:bookmarkEnd w:id="573"/>
      <w:r>
        <w:rPr>
          <w:noProof/>
        </w:rPr>
        <w:lastRenderedPageBreak/>
        <w:t>VII.5. Atslēgvārdi un atsauces</w:t>
      </w:r>
      <w:bookmarkEnd w:id="574"/>
    </w:p>
    <w:p w:rsidR="00506AA9" w:rsidRDefault="00506AA9" w:rsidP="00506AA9">
      <w:pPr>
        <w:tabs>
          <w:tab w:val="left" w:pos="1724"/>
        </w:tabs>
        <w:jc w:val="both"/>
        <w:rPr>
          <w:rFonts w:ascii="Times New Roman" w:hAnsi="Times New Roman"/>
          <w:b/>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1"/>
        <w:gridCol w:w="4530"/>
      </w:tblGrid>
      <w:tr w:rsidR="00506AA9" w:rsidTr="005A7579">
        <w:tc>
          <w:tcPr>
            <w:tcW w:w="4645" w:type="dxa"/>
          </w:tcPr>
          <w:p w:rsidR="00506AA9" w:rsidRDefault="00506AA9" w:rsidP="005A7579">
            <w:pPr>
              <w:tabs>
                <w:tab w:val="left" w:pos="1724"/>
              </w:tabs>
              <w:jc w:val="both"/>
              <w:rPr>
                <w:rFonts w:ascii="Times New Roman" w:hAnsi="Times New Roman"/>
                <w:b/>
                <w:noProof/>
                <w:sz w:val="24"/>
              </w:rPr>
            </w:pPr>
            <w:r>
              <w:rPr>
                <w:rFonts w:ascii="Times New Roman" w:hAnsi="Times New Roman"/>
                <w:noProof/>
                <w:sz w:val="24"/>
              </w:rPr>
              <w:t>Parāda pārņemšana, parāda dzēšana, norakstīšana</w:t>
            </w:r>
          </w:p>
        </w:tc>
        <w:tc>
          <w:tcPr>
            <w:tcW w:w="4646" w:type="dxa"/>
          </w:tcPr>
          <w:p w:rsidR="00506AA9" w:rsidRDefault="00E0064A" w:rsidP="005A7579">
            <w:pPr>
              <w:tabs>
                <w:tab w:val="left" w:pos="1724"/>
              </w:tabs>
              <w:jc w:val="both"/>
              <w:rPr>
                <w:rFonts w:ascii="Times New Roman" w:hAnsi="Times New Roman"/>
                <w:b/>
                <w:noProof/>
                <w:sz w:val="24"/>
              </w:rPr>
            </w:pPr>
            <w:r>
              <w:rPr>
                <w:rFonts w:ascii="Times New Roman" w:hAnsi="Times New Roman"/>
                <w:noProof/>
                <w:sz w:val="24"/>
              </w:rPr>
              <w:t>EKS</w:t>
            </w:r>
            <w:r w:rsidR="00506AA9">
              <w:rPr>
                <w:rFonts w:ascii="Times New Roman" w:hAnsi="Times New Roman"/>
                <w:noProof/>
                <w:sz w:val="24"/>
              </w:rPr>
              <w:t> 2010, 5.36.–5.39., 6.14. punkts</w:t>
            </w:r>
          </w:p>
        </w:tc>
      </w:tr>
      <w:tr w:rsidR="00506AA9" w:rsidTr="005A7579">
        <w:tc>
          <w:tcPr>
            <w:tcW w:w="4645" w:type="dxa"/>
          </w:tcPr>
          <w:p w:rsidR="00506AA9" w:rsidRDefault="00506AA9" w:rsidP="005A7579">
            <w:pPr>
              <w:tabs>
                <w:tab w:val="left" w:pos="1724"/>
              </w:tabs>
              <w:jc w:val="both"/>
              <w:rPr>
                <w:rFonts w:ascii="Times New Roman" w:hAnsi="Times New Roman"/>
                <w:b/>
                <w:noProof/>
                <w:sz w:val="24"/>
              </w:rPr>
            </w:pPr>
            <w:r>
              <w:rPr>
                <w:rFonts w:ascii="Times New Roman" w:hAnsi="Times New Roman"/>
                <w:noProof/>
                <w:sz w:val="24"/>
              </w:rPr>
              <w:t>Cits kapitāla pārvedums</w:t>
            </w:r>
          </w:p>
        </w:tc>
        <w:tc>
          <w:tcPr>
            <w:tcW w:w="4646" w:type="dxa"/>
          </w:tcPr>
          <w:p w:rsidR="00506AA9" w:rsidRDefault="00506AA9" w:rsidP="005A7579">
            <w:pPr>
              <w:tabs>
                <w:tab w:val="left" w:pos="1724"/>
              </w:tabs>
              <w:jc w:val="both"/>
              <w:rPr>
                <w:rFonts w:ascii="Times New Roman" w:hAnsi="Times New Roman"/>
                <w:b/>
                <w:noProof/>
                <w:sz w:val="24"/>
              </w:rPr>
            </w:pPr>
            <w:r>
              <w:rPr>
                <w:rFonts w:ascii="Times New Roman" w:hAnsi="Times New Roman"/>
                <w:noProof/>
                <w:sz w:val="24"/>
              </w:rPr>
              <w:t>EKS 2010 4.164.–4.167. punkts</w:t>
            </w:r>
          </w:p>
        </w:tc>
      </w:tr>
      <w:tr w:rsidR="00506AA9" w:rsidTr="005A7579">
        <w:tc>
          <w:tcPr>
            <w:tcW w:w="4645" w:type="dxa"/>
          </w:tcPr>
          <w:p w:rsidR="00506AA9" w:rsidRDefault="00506AA9" w:rsidP="005A7579">
            <w:pPr>
              <w:tabs>
                <w:tab w:val="left" w:pos="1724"/>
              </w:tabs>
              <w:jc w:val="both"/>
              <w:rPr>
                <w:rFonts w:ascii="Times New Roman" w:hAnsi="Times New Roman"/>
                <w:b/>
                <w:noProof/>
                <w:sz w:val="24"/>
              </w:rPr>
            </w:pPr>
            <w:r>
              <w:rPr>
                <w:rFonts w:ascii="Times New Roman" w:hAnsi="Times New Roman"/>
                <w:noProof/>
                <w:sz w:val="24"/>
              </w:rPr>
              <w:t>Iespējams aktīvs/saistība</w:t>
            </w:r>
          </w:p>
        </w:tc>
        <w:tc>
          <w:tcPr>
            <w:tcW w:w="4646" w:type="dxa"/>
          </w:tcPr>
          <w:p w:rsidR="00506AA9" w:rsidRDefault="00E0064A" w:rsidP="005A7579">
            <w:pPr>
              <w:tabs>
                <w:tab w:val="left" w:pos="1724"/>
              </w:tabs>
              <w:jc w:val="both"/>
              <w:rPr>
                <w:rFonts w:ascii="Times New Roman" w:hAnsi="Times New Roman"/>
                <w:b/>
                <w:noProof/>
                <w:sz w:val="24"/>
              </w:rPr>
            </w:pPr>
            <w:r>
              <w:rPr>
                <w:rFonts w:ascii="Times New Roman" w:hAnsi="Times New Roman"/>
                <w:noProof/>
                <w:sz w:val="24"/>
              </w:rPr>
              <w:t>EKS</w:t>
            </w:r>
            <w:r w:rsidR="00506AA9">
              <w:rPr>
                <w:rFonts w:ascii="Times New Roman" w:hAnsi="Times New Roman"/>
                <w:noProof/>
                <w:sz w:val="24"/>
              </w:rPr>
              <w:t> 2010, 5.08.–5.11. punkts</w:t>
            </w:r>
          </w:p>
        </w:tc>
      </w:tr>
    </w:tbl>
    <w:p w:rsidR="00506AA9" w:rsidRDefault="00506AA9" w:rsidP="00506AA9">
      <w:pPr>
        <w:jc w:val="both"/>
        <w:rPr>
          <w:rFonts w:ascii="Times New Roman" w:eastAsia="Times New Roman" w:hAnsi="Times New Roman" w:cs="Times New Roman"/>
          <w:noProof/>
          <w:sz w:val="24"/>
          <w:szCs w:val="17"/>
        </w:rPr>
      </w:pPr>
    </w:p>
    <w:p w:rsidR="00506AA9" w:rsidRDefault="00506AA9" w:rsidP="00506AA9">
      <w:pPr>
        <w:rPr>
          <w:rFonts w:ascii="Times New Roman" w:eastAsia="Times New Roman" w:hAnsi="Times New Roman" w:cs="Times New Roman"/>
          <w:noProof/>
          <w:sz w:val="24"/>
          <w:szCs w:val="17"/>
        </w:rPr>
      </w:pPr>
      <w:r>
        <w:br w:type="page"/>
      </w:r>
    </w:p>
    <w:p w:rsidR="00506AA9" w:rsidRPr="001973D0" w:rsidRDefault="008862BF" w:rsidP="008862BF">
      <w:pPr>
        <w:pStyle w:val="Heading1"/>
        <w:tabs>
          <w:tab w:val="left" w:pos="1418"/>
        </w:tabs>
        <w:rPr>
          <w:noProof/>
        </w:rPr>
      </w:pPr>
      <w:bookmarkStart w:id="575" w:name="Part_VIII_Measurement_of_general_governm"/>
      <w:bookmarkStart w:id="576" w:name="_bookmark59"/>
      <w:bookmarkStart w:id="577" w:name="_Toc471135925"/>
      <w:bookmarkEnd w:id="575"/>
      <w:bookmarkEnd w:id="576"/>
      <w:r>
        <w:rPr>
          <w:noProof/>
        </w:rPr>
        <w:lastRenderedPageBreak/>
        <w:t>VIII daļa.</w:t>
      </w:r>
      <w:r>
        <w:rPr>
          <w:noProof/>
        </w:rPr>
        <w:tab/>
      </w:r>
      <w:r w:rsidR="00506AA9">
        <w:rPr>
          <w:noProof/>
        </w:rPr>
        <w:t>Vispārējās valdības parāda apmēra noteikšana</w:t>
      </w:r>
      <w:bookmarkEnd w:id="577"/>
    </w:p>
    <w:p w:rsidR="00506AA9" w:rsidRPr="001973D0" w:rsidRDefault="00506AA9" w:rsidP="00506AA9">
      <w:pPr>
        <w:jc w:val="both"/>
        <w:rPr>
          <w:rFonts w:ascii="Times New Roman" w:eastAsia="Arial" w:hAnsi="Times New Roman" w:cs="Arial"/>
          <w:b/>
          <w:bCs/>
          <w:noProof/>
          <w:sz w:val="24"/>
          <w:szCs w:val="31"/>
        </w:rPr>
      </w:pPr>
    </w:p>
    <w:p w:rsidR="00506AA9" w:rsidRDefault="00506AA9" w:rsidP="008862BF">
      <w:pPr>
        <w:pStyle w:val="Heading2"/>
        <w:rPr>
          <w:noProof/>
        </w:rPr>
      </w:pPr>
      <w:bookmarkStart w:id="578" w:name="VIII.1_Overview"/>
      <w:bookmarkStart w:id="579" w:name="_bookmark60"/>
      <w:bookmarkStart w:id="580" w:name="_Toc471135926"/>
      <w:bookmarkEnd w:id="578"/>
      <w:bookmarkEnd w:id="579"/>
      <w:r>
        <w:rPr>
          <w:noProof/>
        </w:rPr>
        <w:t>VIII.1. Pārskats</w:t>
      </w:r>
      <w:bookmarkEnd w:id="580"/>
    </w:p>
    <w:p w:rsidR="00506AA9" w:rsidRPr="001973D0" w:rsidRDefault="00506AA9" w:rsidP="00506AA9">
      <w:pPr>
        <w:tabs>
          <w:tab w:val="left" w:pos="2182"/>
        </w:tabs>
        <w:jc w:val="both"/>
        <w:rPr>
          <w:rFonts w:ascii="Times New Roman" w:hAnsi="Times New Roman"/>
          <w:b/>
          <w:noProof/>
          <w:sz w:val="24"/>
        </w:rPr>
      </w:pPr>
    </w:p>
    <w:p w:rsidR="00506AA9" w:rsidRPr="001973D0" w:rsidRDefault="00506AA9" w:rsidP="00506AA9">
      <w:pPr>
        <w:pStyle w:val="BodyText"/>
        <w:numPr>
          <w:ilvl w:val="0"/>
          <w:numId w:val="107"/>
        </w:numPr>
        <w:tabs>
          <w:tab w:val="left" w:pos="1167"/>
        </w:tabs>
        <w:spacing w:before="0"/>
        <w:ind w:left="709" w:hanging="709"/>
        <w:jc w:val="both"/>
        <w:rPr>
          <w:rFonts w:ascii="Times New Roman" w:hAnsi="Times New Roman"/>
          <w:noProof/>
          <w:sz w:val="24"/>
        </w:rPr>
      </w:pPr>
      <w:r>
        <w:rPr>
          <w:rFonts w:ascii="Times New Roman" w:hAnsi="Times New Roman"/>
          <w:noProof/>
          <w:sz w:val="24"/>
        </w:rPr>
        <w:t>2012. gada konsolidētajā Līgumā par Eiropas Savienības darbību (LESD) ir sniegta valdības parāda īpaša definīcija attiecībā uz pārmērīga budžeta deficīta novēršanas procedūru. Tā ir pilnībā saderīga ar EKS 2010 paredzēto valdības sektora definīciju un saistību definīciju. Tomēr valdības (</w:t>
      </w:r>
      <w:r>
        <w:rPr>
          <w:rFonts w:ascii="Times New Roman" w:hAnsi="Times New Roman"/>
          <w:i/>
          <w:noProof/>
          <w:sz w:val="24"/>
        </w:rPr>
        <w:t>EDP</w:t>
      </w:r>
      <w:r>
        <w:rPr>
          <w:rFonts w:ascii="Times New Roman" w:hAnsi="Times New Roman"/>
          <w:noProof/>
          <w:sz w:val="24"/>
        </w:rPr>
        <w:t>) parāda vērtēšana atšķiras no EKS 2010 vērtēšanas noteikumiem, jo to mēra pēc norādītās vērtības.</w:t>
      </w:r>
    </w:p>
    <w:p w:rsidR="00506AA9" w:rsidRPr="001973D0" w:rsidRDefault="00506AA9" w:rsidP="00506AA9">
      <w:pPr>
        <w:numPr>
          <w:ilvl w:val="0"/>
          <w:numId w:val="107"/>
        </w:numPr>
        <w:tabs>
          <w:tab w:val="left" w:pos="1102"/>
        </w:tabs>
        <w:ind w:left="709" w:hanging="709"/>
        <w:jc w:val="both"/>
        <w:rPr>
          <w:rFonts w:ascii="Times New Roman" w:eastAsia="Arial" w:hAnsi="Times New Roman" w:cs="Arial"/>
          <w:noProof/>
          <w:sz w:val="24"/>
        </w:rPr>
      </w:pPr>
      <w:r>
        <w:rPr>
          <w:rFonts w:ascii="Times New Roman" w:hAnsi="Times New Roman"/>
          <w:i/>
          <w:noProof/>
          <w:sz w:val="24"/>
        </w:rPr>
        <w:t>EDP</w:t>
      </w:r>
      <w:r>
        <w:rPr>
          <w:rFonts w:ascii="Times New Roman" w:hAnsi="Times New Roman"/>
          <w:noProof/>
          <w:sz w:val="24"/>
        </w:rPr>
        <w:t xml:space="preserve"> vajadzībām (sk. Padomes Regulu (EK) Nr. 479/2009) uzskatāms, ka nominālvērtība ir līdzvērtīga saistību norādītajai vērtībai (ko dēvē arī par “nominālu”), savukārt EKS 2010 bilancē attiecīgā gadījumā vērtību nosaka pēc tirgus vērtības. EKS 2010 ir sniegts vērtēšanas principu skaidrojums. EKS 2010 7.39. punktā noteikts: </w:t>
      </w:r>
      <w:r>
        <w:rPr>
          <w:rFonts w:ascii="Times New Roman" w:hAnsi="Times New Roman"/>
          <w:i/>
          <w:noProof/>
          <w:sz w:val="24"/>
        </w:rPr>
        <w:t>Nominālvērtība atspoguļo sākotnēji piešķirto līdzekļu summu plus jebkuru vēlāku avansu mīnus jebkādus maksājumus plus uzkrātos procentus</w:t>
      </w:r>
      <w:r>
        <w:rPr>
          <w:rFonts w:ascii="Times New Roman" w:hAnsi="Times New Roman"/>
          <w:noProof/>
          <w:sz w:val="24"/>
        </w:rPr>
        <w:t>.</w:t>
      </w:r>
      <w:r>
        <w:rPr>
          <w:rFonts w:ascii="Times New Roman" w:hAnsi="Times New Roman"/>
          <w:i/>
          <w:noProof/>
          <w:sz w:val="24"/>
        </w:rPr>
        <w:t xml:space="preserve"> Nominālvērtība nav vienāda ar nominālo cenu.</w:t>
      </w:r>
    </w:p>
    <w:p w:rsidR="00506AA9" w:rsidRPr="001973D0" w:rsidRDefault="00506AA9" w:rsidP="00506AA9">
      <w:pPr>
        <w:pStyle w:val="BodyText"/>
        <w:numPr>
          <w:ilvl w:val="0"/>
          <w:numId w:val="107"/>
        </w:numPr>
        <w:tabs>
          <w:tab w:val="left" w:pos="1168"/>
        </w:tabs>
        <w:spacing w:before="0"/>
        <w:ind w:left="709" w:hanging="709"/>
        <w:jc w:val="both"/>
        <w:rPr>
          <w:rFonts w:ascii="Times New Roman" w:hAnsi="Times New Roman"/>
          <w:noProof/>
          <w:sz w:val="24"/>
          <w:szCs w:val="14"/>
        </w:rPr>
      </w:pPr>
      <w:r>
        <w:rPr>
          <w:rFonts w:ascii="Times New Roman" w:hAnsi="Times New Roman"/>
          <w:noProof/>
          <w:sz w:val="24"/>
        </w:rPr>
        <w:t>Vienkārši izsakoties, parāda vērtspapīra nominālvērtība ir vienāda ar tā emisijas cenu (virs vai zem nomināla, visas prēmijas vai atlaides sadalot uz visu instrumenta darbības laiku), kam pieskaita uzkrātos, bet vēl nenomaksātos procentus (procentus parasti maksā regulāri, piemēram, reizi gadā vai sešos mēnešos, vai tikai parāda atmaksāšanas brīdī, kā tas ir īstermiņa parāda instrumentu gadījumā).</w:t>
      </w:r>
      <w:r>
        <w:rPr>
          <w:rStyle w:val="FootnoteReference"/>
          <w:rFonts w:ascii="Times New Roman" w:hAnsi="Times New Roman"/>
          <w:noProof/>
          <w:sz w:val="24"/>
        </w:rPr>
        <w:footnoteReference w:id="281"/>
      </w:r>
    </w:p>
    <w:p w:rsidR="00506AA9" w:rsidRPr="001973D0" w:rsidRDefault="00506AA9" w:rsidP="00506AA9">
      <w:pPr>
        <w:pStyle w:val="BodyText"/>
        <w:numPr>
          <w:ilvl w:val="0"/>
          <w:numId w:val="107"/>
        </w:numPr>
        <w:tabs>
          <w:tab w:val="left" w:pos="1168"/>
        </w:tabs>
        <w:spacing w:before="0"/>
        <w:ind w:left="709" w:hanging="709"/>
        <w:jc w:val="both"/>
        <w:rPr>
          <w:rFonts w:ascii="Times New Roman" w:hAnsi="Times New Roman"/>
          <w:noProof/>
          <w:sz w:val="24"/>
        </w:rPr>
      </w:pPr>
      <w:r>
        <w:rPr>
          <w:rFonts w:ascii="Times New Roman" w:hAnsi="Times New Roman"/>
          <w:noProof/>
          <w:sz w:val="24"/>
        </w:rPr>
        <w:t xml:space="preserve">Valdības parādu sauc arī par </w:t>
      </w:r>
      <w:r>
        <w:rPr>
          <w:rFonts w:ascii="Times New Roman" w:hAnsi="Times New Roman"/>
          <w:i/>
          <w:noProof/>
          <w:sz w:val="24"/>
        </w:rPr>
        <w:t>EDP</w:t>
      </w:r>
      <w:r>
        <w:rPr>
          <w:rFonts w:ascii="Times New Roman" w:hAnsi="Times New Roman"/>
          <w:noProof/>
          <w:sz w:val="24"/>
        </w:rPr>
        <w:t xml:space="preserve"> parādu (vai arī par Māstrihtas parādu). Parādu mēra bruto izteiksmē, proti, netiek atskaitīti finanšu aktīvi. Parāds ir konsolidēts gan sektora, gan apakšsektoru līmenī tā, lai kopsummā netiktu iekļautas nekādas vispārējās valdības vienību saistības, kuras ir citu vispārējās valdības vienību aktīvi.</w:t>
      </w:r>
    </w:p>
    <w:p w:rsidR="00506AA9" w:rsidRPr="001973D0" w:rsidRDefault="00506AA9" w:rsidP="00506AA9">
      <w:pPr>
        <w:pStyle w:val="BodyText"/>
        <w:numPr>
          <w:ilvl w:val="0"/>
          <w:numId w:val="107"/>
        </w:numPr>
        <w:tabs>
          <w:tab w:val="left" w:pos="1168"/>
        </w:tabs>
        <w:spacing w:before="0"/>
        <w:ind w:left="709" w:hanging="709"/>
        <w:jc w:val="both"/>
        <w:rPr>
          <w:rFonts w:ascii="Times New Roman" w:hAnsi="Times New Roman"/>
          <w:noProof/>
          <w:sz w:val="24"/>
        </w:rPr>
      </w:pPr>
      <w:r>
        <w:rPr>
          <w:rFonts w:ascii="Times New Roman" w:hAnsi="Times New Roman"/>
          <w:noProof/>
          <w:sz w:val="24"/>
        </w:rPr>
        <w:t>VIII.3. nodaļā ir aplūkoti mijmaiņas darījumi un valūtas mijmaiņas darījumu traktējums, jo tie ietekmē valdības parāda mērījumus. Šajā nodaļā ir aplūkots arī “ārpusbiržas mijmaiņas darījumu” gadījums, kam sākumā nav nulles tirgus vērtība, tādējādi ir jāidentificē aizdevuma komponents.</w:t>
      </w:r>
    </w:p>
    <w:p w:rsidR="00506AA9" w:rsidRPr="001973D0" w:rsidRDefault="00506AA9" w:rsidP="00506AA9">
      <w:pPr>
        <w:pStyle w:val="BodyText"/>
        <w:numPr>
          <w:ilvl w:val="0"/>
          <w:numId w:val="107"/>
        </w:numPr>
        <w:tabs>
          <w:tab w:val="left" w:pos="1168"/>
        </w:tabs>
        <w:spacing w:before="0"/>
        <w:ind w:left="709" w:hanging="709"/>
        <w:jc w:val="both"/>
        <w:rPr>
          <w:rFonts w:ascii="Times New Roman" w:hAnsi="Times New Roman"/>
          <w:noProof/>
          <w:sz w:val="24"/>
        </w:rPr>
      </w:pPr>
      <w:r>
        <w:rPr>
          <w:rFonts w:ascii="Times New Roman" w:hAnsi="Times New Roman"/>
          <w:noProof/>
          <w:sz w:val="24"/>
        </w:rPr>
        <w:t>Visbeidzot VIII.4. nodaļā ir aplūkoti finanšu darījumi, kurus dēvē par “atpirkšanas līgumiem” un “vērtspapīru aizdevumiem”, kas noteiktos apstākļos var ietekmēt valdības parādu.</w:t>
      </w:r>
    </w:p>
    <w:p w:rsidR="00506AA9" w:rsidRDefault="00506AA9" w:rsidP="00506AA9">
      <w:pPr>
        <w:rPr>
          <w:rFonts w:ascii="Times New Roman" w:eastAsia="Arial" w:hAnsi="Times New Roman" w:cs="Arial"/>
          <w:noProof/>
          <w:sz w:val="24"/>
          <w:szCs w:val="20"/>
        </w:rPr>
      </w:pPr>
      <w:r>
        <w:br w:type="page"/>
      </w:r>
    </w:p>
    <w:p w:rsidR="00506AA9" w:rsidRDefault="00506AA9" w:rsidP="008862BF">
      <w:pPr>
        <w:pStyle w:val="Heading2"/>
        <w:rPr>
          <w:noProof/>
        </w:rPr>
      </w:pPr>
      <w:bookmarkStart w:id="581" w:name="VIII.2_The_calculation_of_general_govern"/>
      <w:bookmarkStart w:id="582" w:name="_bookmark61"/>
      <w:bookmarkStart w:id="583" w:name="_Toc471135927"/>
      <w:bookmarkEnd w:id="581"/>
      <w:bookmarkEnd w:id="582"/>
      <w:r>
        <w:rPr>
          <w:noProof/>
        </w:rPr>
        <w:lastRenderedPageBreak/>
        <w:t>VIII.2. Vispārējās valdības parāda aprēķināšana</w:t>
      </w:r>
      <w:bookmarkEnd w:id="583"/>
    </w:p>
    <w:p w:rsidR="00506AA9" w:rsidRPr="001973D0" w:rsidRDefault="00506AA9" w:rsidP="00506AA9">
      <w:pPr>
        <w:tabs>
          <w:tab w:val="left" w:pos="2182"/>
        </w:tabs>
        <w:jc w:val="both"/>
        <w:rPr>
          <w:rFonts w:ascii="Times New Roman" w:hAnsi="Times New Roman"/>
          <w:b/>
          <w:noProof/>
          <w:sz w:val="24"/>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584" w:name="VIII.2.1_Measurement_of_liabilities_in_E"/>
      <w:bookmarkEnd w:id="584"/>
      <w:r>
        <w:rPr>
          <w:rFonts w:ascii="Times New Roman" w:hAnsi="Times New Roman"/>
          <w:noProof/>
          <w:u w:val="none"/>
        </w:rPr>
        <w:t>VIII.2.1. </w:t>
      </w:r>
      <w:r>
        <w:rPr>
          <w:rFonts w:ascii="Times New Roman" w:hAnsi="Times New Roman"/>
          <w:noProof/>
          <w:u w:val="thick" w:color="000000"/>
        </w:rPr>
        <w:t>Saistību mērījumi EKS 2010</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Default="00506AA9" w:rsidP="00506AA9">
      <w:pPr>
        <w:pStyle w:val="BodyText"/>
        <w:numPr>
          <w:ilvl w:val="0"/>
          <w:numId w:val="106"/>
        </w:numPr>
        <w:tabs>
          <w:tab w:val="left" w:pos="1168"/>
        </w:tabs>
        <w:spacing w:before="0"/>
        <w:ind w:left="709" w:hanging="709"/>
        <w:jc w:val="both"/>
        <w:rPr>
          <w:rFonts w:ascii="Times New Roman" w:hAnsi="Times New Roman"/>
          <w:noProof/>
          <w:sz w:val="24"/>
        </w:rPr>
      </w:pPr>
      <w:r>
        <w:rPr>
          <w:rFonts w:ascii="Times New Roman" w:hAnsi="Times New Roman"/>
          <w:noProof/>
          <w:sz w:val="24"/>
        </w:rPr>
        <w:t>EKS 2010 nav sniegta valdības parāda definīcija. Galvenais ekvivalentais jēdziens EKS 2010 ir “kopējās finanšu saistības”, kas ietver plašāku finanšu instrumentu uzskaitījumu, nekā tas ir valdības parādam. Punkti, kas attiecas uz valdības saistību novērtējumu, ir šādi:</w:t>
      </w:r>
    </w:p>
    <w:p w:rsidR="00506AA9" w:rsidRPr="001973D0" w:rsidRDefault="00506AA9" w:rsidP="00506AA9">
      <w:pPr>
        <w:pStyle w:val="BodyText"/>
        <w:tabs>
          <w:tab w:val="left" w:pos="1168"/>
        </w:tabs>
        <w:spacing w:before="0"/>
        <w:ind w:left="0" w:firstLine="0"/>
        <w:rPr>
          <w:rFonts w:ascii="Times New Roman" w:hAnsi="Times New Roman"/>
          <w:noProof/>
          <w:sz w:val="24"/>
        </w:rPr>
      </w:pPr>
    </w:p>
    <w:p w:rsidR="00506AA9" w:rsidRPr="001973D0" w:rsidRDefault="00506AA9" w:rsidP="00506AA9">
      <w:pPr>
        <w:ind w:left="709"/>
        <w:jc w:val="both"/>
        <w:rPr>
          <w:rFonts w:ascii="Times New Roman" w:eastAsia="Arial" w:hAnsi="Times New Roman" w:cs="Arial"/>
          <w:noProof/>
          <w:sz w:val="24"/>
        </w:rPr>
      </w:pPr>
      <w:r>
        <w:rPr>
          <w:rFonts w:ascii="Times New Roman" w:hAnsi="Times New Roman"/>
          <w:noProof/>
          <w:sz w:val="24"/>
        </w:rPr>
        <w:t xml:space="preserve">EKS 2010 1.94. punkts: </w:t>
      </w:r>
      <w:r>
        <w:rPr>
          <w:rFonts w:ascii="Times New Roman" w:hAnsi="Times New Roman"/>
          <w:i/>
          <w:noProof/>
          <w:sz w:val="24"/>
        </w:rPr>
        <w:t>Plūsmas un uzkrātie lielumi jāmēra saskaņā ar to apmaiņas vērtību, tas ir, vērtību, pēc kuras plūsmas un uzkrātos lielumus faktiski samaina vai varētu samainīt pret naudu. Tāpēc attiecībā uz vērtēšanu EKS izmanto tirgus cenas.</w:t>
      </w:r>
    </w:p>
    <w:p w:rsidR="00506AA9" w:rsidRDefault="00506AA9" w:rsidP="00506AA9">
      <w:pPr>
        <w:ind w:left="709"/>
        <w:jc w:val="both"/>
        <w:rPr>
          <w:rFonts w:ascii="Times New Roman" w:eastAsia="Arial" w:hAnsi="Times New Roman" w:cs="Arial"/>
          <w:noProof/>
          <w:sz w:val="24"/>
        </w:rPr>
      </w:pPr>
      <w:r>
        <w:rPr>
          <w:rFonts w:ascii="Times New Roman" w:hAnsi="Times New Roman"/>
          <w:noProof/>
          <w:sz w:val="24"/>
        </w:rPr>
        <w:t xml:space="preserve">EKS 2010 7.33. punkts: </w:t>
      </w:r>
      <w:r>
        <w:rPr>
          <w:rFonts w:ascii="Times New Roman" w:hAnsi="Times New Roman"/>
          <w:i/>
          <w:noProof/>
          <w:sz w:val="24"/>
        </w:rPr>
        <w:t>Aktīvus un saistības vērtē pēc tirgus cenām datumā, par kuru ir bilance.</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BodyText"/>
        <w:numPr>
          <w:ilvl w:val="0"/>
          <w:numId w:val="106"/>
        </w:numPr>
        <w:tabs>
          <w:tab w:val="left" w:pos="1168"/>
        </w:tabs>
        <w:spacing w:before="0"/>
        <w:ind w:left="709" w:hanging="709"/>
        <w:jc w:val="both"/>
        <w:rPr>
          <w:rFonts w:ascii="Times New Roman" w:hAnsi="Times New Roman"/>
          <w:noProof/>
          <w:sz w:val="24"/>
        </w:rPr>
      </w:pPr>
      <w:r>
        <w:rPr>
          <w:rFonts w:ascii="Times New Roman" w:hAnsi="Times New Roman"/>
          <w:noProof/>
          <w:sz w:val="24"/>
        </w:rPr>
        <w:t>Grāmatvedības pārskata perioda beigās valdības saistību krāju</w:t>
      </w:r>
      <w:r w:rsidR="00B244CD">
        <w:rPr>
          <w:rFonts w:ascii="Times New Roman" w:hAnsi="Times New Roman"/>
          <w:noProof/>
          <w:sz w:val="24"/>
        </w:rPr>
        <w:t>ms nacionālajos kontos jāieraksta</w:t>
      </w:r>
      <w:r>
        <w:rPr>
          <w:rFonts w:ascii="Times New Roman" w:hAnsi="Times New Roman"/>
          <w:noProof/>
          <w:sz w:val="24"/>
        </w:rPr>
        <w:t xml:space="preserve"> to tirgus vērtībā, vis</w:t>
      </w:r>
      <w:r w:rsidR="00E0064A">
        <w:rPr>
          <w:rFonts w:ascii="Times New Roman" w:hAnsi="Times New Roman"/>
          <w:noProof/>
          <w:sz w:val="24"/>
        </w:rPr>
        <w:t>pārējās valdības sektora beigu</w:t>
      </w:r>
      <w:r>
        <w:rPr>
          <w:rFonts w:ascii="Times New Roman" w:hAnsi="Times New Roman"/>
          <w:noProof/>
          <w:sz w:val="24"/>
        </w:rPr>
        <w:t xml:space="preserve"> bilancē.</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Tādējādi valdības saistību krājumu EKS 2010 izpratnē attiecīgā gadījumā vērtē tirgus cenās, un tas ir vienāds ar visu saistību summu, ko uzņēmies vispārējās valdības sektors (S.13), proti, monetārais zelts un speciālās aizņēmuma tiesības (F.1)</w:t>
      </w:r>
      <w:r>
        <w:rPr>
          <w:rStyle w:val="FootnoteReference"/>
          <w:rFonts w:ascii="Times New Roman" w:hAnsi="Times New Roman"/>
          <w:noProof/>
          <w:sz w:val="24"/>
        </w:rPr>
        <w:footnoteReference w:id="282"/>
      </w:r>
      <w:r>
        <w:rPr>
          <w:rFonts w:ascii="Times New Roman" w:hAnsi="Times New Roman"/>
          <w:noProof/>
          <w:sz w:val="24"/>
        </w:rPr>
        <w:t>, valūta un noguldījumi (AF.2), parāda vērtspapīri (AF.3), aizdevumi (AF.4), atvasinātie finanšu instrumenti (AF.7) un citas debitoru/kreditoru saistības (AF.8), kā arī dažu īpašu vienību gadījumā, kas klasificētas valdības sektorā – pašu kapitāls (AF.5) un apdrošināšanas, pensiju un standarta garantiju shēmas (AF.6).</w:t>
      </w:r>
    </w:p>
    <w:p w:rsidR="00506AA9" w:rsidRPr="001973D0" w:rsidRDefault="00506AA9" w:rsidP="00506AA9">
      <w:pPr>
        <w:jc w:val="both"/>
        <w:rPr>
          <w:rFonts w:ascii="Times New Roman" w:eastAsia="Arial" w:hAnsi="Times New Roman" w:cs="Arial"/>
          <w:noProof/>
          <w:sz w:val="24"/>
          <w:szCs w:val="32"/>
        </w:rPr>
      </w:pPr>
    </w:p>
    <w:p w:rsidR="00506AA9" w:rsidRPr="001973D0" w:rsidRDefault="00E0064A" w:rsidP="00506AA9">
      <w:pPr>
        <w:pStyle w:val="BodyText"/>
        <w:tabs>
          <w:tab w:val="left" w:pos="8662"/>
        </w:tabs>
        <w:spacing w:before="0"/>
        <w:ind w:left="709" w:firstLine="0"/>
        <w:jc w:val="both"/>
        <w:rPr>
          <w:rFonts w:ascii="Times New Roman" w:hAnsi="Times New Roman"/>
          <w:noProof/>
          <w:sz w:val="24"/>
        </w:rPr>
      </w:pPr>
      <w:r>
        <w:rPr>
          <w:rFonts w:ascii="Times New Roman" w:hAnsi="Times New Roman"/>
          <w:noProof/>
          <w:sz w:val="24"/>
          <w:u w:val="single" w:color="000000"/>
        </w:rPr>
        <w:t>Saskaņā ar EKS</w:t>
      </w:r>
      <w:r w:rsidR="00506AA9">
        <w:rPr>
          <w:rFonts w:ascii="Times New Roman" w:hAnsi="Times New Roman"/>
          <w:noProof/>
          <w:sz w:val="24"/>
          <w:u w:val="single" w:color="000000"/>
        </w:rPr>
        <w:t xml:space="preserve"> 2010 valdības saistību krājums </w:t>
      </w:r>
      <w:r w:rsidR="00506AA9">
        <w:rPr>
          <w:rFonts w:ascii="Times New Roman" w:hAnsi="Times New Roman"/>
          <w:noProof/>
          <w:sz w:val="24"/>
        </w:rPr>
        <w:t>(</w:t>
      </w:r>
      <w:r w:rsidR="00506AA9">
        <w:rPr>
          <w:rFonts w:ascii="Times New Roman" w:hAnsi="Times New Roman"/>
          <w:i/>
          <w:noProof/>
          <w:sz w:val="24"/>
        </w:rPr>
        <w:t>N</w:t>
      </w:r>
      <w:r w:rsidR="00506AA9">
        <w:rPr>
          <w:rFonts w:ascii="Times New Roman" w:hAnsi="Times New Roman"/>
          <w:noProof/>
          <w:sz w:val="24"/>
        </w:rPr>
        <w:t> gada beigās)</w:t>
      </w:r>
      <w:r w:rsidR="00506AA9">
        <w:tab/>
      </w:r>
      <w:r w:rsidR="00506AA9">
        <w:rPr>
          <w:rFonts w:ascii="Times New Roman" w:hAnsi="Times New Roman"/>
          <w:noProof/>
          <w:sz w:val="24"/>
        </w:rPr>
        <w:t>=</w:t>
      </w:r>
    </w:p>
    <w:p w:rsidR="00506AA9" w:rsidRPr="001973D0" w:rsidRDefault="00506AA9" w:rsidP="00506AA9">
      <w:pPr>
        <w:ind w:left="709"/>
        <w:jc w:val="both"/>
        <w:rPr>
          <w:rFonts w:ascii="Times New Roman" w:eastAsia="Arial" w:hAnsi="Times New Roman" w:cs="Arial"/>
          <w:noProof/>
          <w:sz w:val="24"/>
          <w:szCs w:val="23"/>
        </w:rPr>
      </w:pPr>
    </w:p>
    <w:p w:rsidR="00506AA9" w:rsidRPr="001973D0" w:rsidRDefault="00506AA9" w:rsidP="00506AA9">
      <w:pPr>
        <w:pStyle w:val="BodyText"/>
        <w:spacing w:before="0"/>
        <w:ind w:left="709" w:firstLine="0"/>
        <w:jc w:val="both"/>
        <w:rPr>
          <w:rFonts w:ascii="Times New Roman" w:hAnsi="Times New Roman"/>
          <w:noProof/>
          <w:sz w:val="24"/>
          <w:szCs w:val="14"/>
        </w:rPr>
      </w:pPr>
      <w:r>
        <w:rPr>
          <w:rFonts w:ascii="Times New Roman" w:hAnsi="Times New Roman"/>
          <w:noProof/>
          <w:sz w:val="24"/>
        </w:rPr>
        <w:t>= AF.1 + AF.2 + AF.3 + AF.4</w:t>
      </w:r>
      <w:r>
        <w:rPr>
          <w:rStyle w:val="FootnoteReference"/>
          <w:rFonts w:ascii="Times New Roman" w:hAnsi="Times New Roman"/>
          <w:noProof/>
          <w:sz w:val="24"/>
        </w:rPr>
        <w:footnoteReference w:id="283"/>
      </w:r>
      <w:r>
        <w:rPr>
          <w:rFonts w:ascii="Times New Roman" w:hAnsi="Times New Roman"/>
          <w:noProof/>
          <w:sz w:val="24"/>
        </w:rPr>
        <w:t xml:space="preserve"> + AF.7 + AF.8 + AF.5 (ja ir) + AF.6 (ja ir)</w:t>
      </w:r>
      <w:r>
        <w:rPr>
          <w:rStyle w:val="FootnoteReference"/>
          <w:rFonts w:ascii="Times New Roman" w:hAnsi="Times New Roman"/>
          <w:noProof/>
          <w:sz w:val="24"/>
        </w:rPr>
        <w:footnoteReference w:id="284"/>
      </w:r>
    </w:p>
    <w:p w:rsidR="00506AA9" w:rsidRPr="001973D0" w:rsidRDefault="00506AA9" w:rsidP="00506AA9">
      <w:pPr>
        <w:jc w:val="both"/>
        <w:rPr>
          <w:rFonts w:ascii="Times New Roman" w:eastAsia="Arial" w:hAnsi="Times New Roman" w:cs="Arial"/>
          <w:noProof/>
          <w:sz w:val="24"/>
          <w:szCs w:val="37"/>
        </w:rPr>
      </w:pPr>
    </w:p>
    <w:p w:rsidR="00506AA9" w:rsidRPr="001973D0" w:rsidRDefault="00506AA9" w:rsidP="00506AA9">
      <w:pPr>
        <w:pStyle w:val="BodyText"/>
        <w:numPr>
          <w:ilvl w:val="0"/>
          <w:numId w:val="106"/>
        </w:numPr>
        <w:tabs>
          <w:tab w:val="left" w:pos="1168"/>
        </w:tabs>
        <w:spacing w:before="0"/>
        <w:ind w:left="709" w:hanging="709"/>
        <w:jc w:val="both"/>
        <w:rPr>
          <w:rFonts w:ascii="Times New Roman" w:hAnsi="Times New Roman"/>
          <w:noProof/>
          <w:sz w:val="24"/>
          <w:szCs w:val="14"/>
        </w:rPr>
      </w:pPr>
      <w:r>
        <w:rPr>
          <w:rFonts w:ascii="Times New Roman" w:hAnsi="Times New Roman"/>
          <w:noProof/>
          <w:sz w:val="24"/>
        </w:rPr>
        <w:t>Saskaņā ar EKS 2010 20.132. punktu “finansēšanu, ko uzrāda kā ilgtermiņa tirdzniecības kredītus vai kreditoru/debitoru saistību līgumus, klasificē kā aizdevumus, jo tie ietver ilgtermiņa finansējumu par labu aizņēmējam, kas atšķiras no Valsts kases mehānisma tādējādi, ka tajā pārdevēji parasti izsniedz pircējiem īstermiņa tirdzniecības kredītus. Ievērojami pagarinot maksājuma saistību termiņu, celtnieks uzņemas finanšu lomu, kas ir atdalīta no tā ražošanas darbības.”</w:t>
      </w:r>
      <w:r>
        <w:rPr>
          <w:rStyle w:val="FootnoteReference"/>
          <w:rFonts w:ascii="Times New Roman" w:hAnsi="Times New Roman"/>
          <w:noProof/>
          <w:sz w:val="24"/>
        </w:rPr>
        <w:footnoteReference w:id="285"/>
      </w:r>
    </w:p>
    <w:p w:rsidR="00506AA9" w:rsidRPr="001973D0" w:rsidRDefault="00506AA9" w:rsidP="00506AA9">
      <w:pPr>
        <w:jc w:val="both"/>
        <w:rPr>
          <w:rFonts w:ascii="Times New Roman" w:eastAsia="Arial" w:hAnsi="Times New Roman" w:cs="Arial"/>
          <w:noProof/>
          <w:sz w:val="24"/>
          <w:szCs w:val="16"/>
        </w:rPr>
      </w:pP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Lai arī šādu ilgtermiņa kredītu esošās summas nav ievērojamas</w:t>
      </w:r>
      <w:r>
        <w:rPr>
          <w:rStyle w:val="FootnoteReference"/>
          <w:rFonts w:ascii="Times New Roman" w:hAnsi="Times New Roman"/>
          <w:noProof/>
          <w:sz w:val="24"/>
        </w:rPr>
        <w:footnoteReference w:id="286"/>
      </w:r>
      <w:r>
        <w:rPr>
          <w:rFonts w:ascii="Times New Roman" w:hAnsi="Times New Roman"/>
          <w:noProof/>
          <w:sz w:val="24"/>
        </w:rPr>
        <w:t xml:space="preserve">, jebkurš tirdzniecības </w:t>
      </w:r>
      <w:r>
        <w:rPr>
          <w:rFonts w:ascii="Times New Roman" w:hAnsi="Times New Roman"/>
          <w:noProof/>
          <w:sz w:val="24"/>
        </w:rPr>
        <w:lastRenderedPageBreak/>
        <w:t>kredīts, kura sākotnējais termiņš ir ilgāks par vienu gadu un kas piešķirts valdībai vai (retākos gadījumos) ko pie</w:t>
      </w:r>
      <w:r w:rsidR="00B244CD">
        <w:rPr>
          <w:rFonts w:ascii="Times New Roman" w:hAnsi="Times New Roman"/>
          <w:noProof/>
          <w:sz w:val="24"/>
        </w:rPr>
        <w:t>šķīrusi valdība, ir ierakstāms</w:t>
      </w:r>
      <w:r>
        <w:rPr>
          <w:rFonts w:ascii="Times New Roman" w:hAnsi="Times New Roman"/>
          <w:noProof/>
          <w:sz w:val="24"/>
        </w:rPr>
        <w:t xml:space="preserve"> kā ilgtermiņa aizdevums (AF.42). Jāatzīmē, ka EKS 2010 klasifikācijas laiks tiek noteikts, pamatojoties uz maksājuma termiņu, par ko abas puses ir vienojušās sākumā. Tas ir jānošķir no termina “maksājuma kavējumi” parastās nozīmes, ko piemēro tirdzniecības kredītiem, kuri nav atmaksāti sākotnēji nolīgtajā maksājuma termiņā.</w:t>
      </w:r>
    </w:p>
    <w:p w:rsidR="00506AA9" w:rsidRPr="001973D0" w:rsidRDefault="00506AA9" w:rsidP="00506AA9">
      <w:pPr>
        <w:jc w:val="both"/>
        <w:rPr>
          <w:rFonts w:ascii="Times New Roman" w:hAnsi="Times New Roman"/>
          <w:noProof/>
          <w:sz w:val="24"/>
        </w:rPr>
      </w:pPr>
    </w:p>
    <w:p w:rsidR="00506AA9" w:rsidRDefault="00506AA9" w:rsidP="00506AA9">
      <w:pPr>
        <w:pStyle w:val="Heading4"/>
        <w:tabs>
          <w:tab w:val="left" w:pos="1653"/>
        </w:tabs>
        <w:ind w:left="0" w:firstLine="0"/>
        <w:jc w:val="both"/>
        <w:rPr>
          <w:rFonts w:ascii="Times New Roman" w:hAnsi="Times New Roman"/>
          <w:noProof/>
          <w:u w:val="thick" w:color="000000"/>
        </w:rPr>
      </w:pPr>
      <w:bookmarkStart w:id="585" w:name="VIII.2.2_Measurement_of_government_debt_"/>
      <w:bookmarkEnd w:id="585"/>
      <w:r>
        <w:rPr>
          <w:rFonts w:ascii="Times New Roman" w:hAnsi="Times New Roman"/>
          <w:noProof/>
          <w:u w:val="none"/>
        </w:rPr>
        <w:t>VIII.2.2. </w:t>
      </w:r>
      <w:r>
        <w:rPr>
          <w:rFonts w:ascii="Times New Roman" w:hAnsi="Times New Roman"/>
          <w:noProof/>
          <w:u w:val="thick" w:color="000000"/>
        </w:rPr>
        <w:t xml:space="preserve">Valdības parāda mērījumi </w:t>
      </w:r>
      <w:r>
        <w:rPr>
          <w:rFonts w:ascii="Times New Roman" w:hAnsi="Times New Roman"/>
          <w:i/>
          <w:noProof/>
          <w:u w:val="thick" w:color="000000"/>
        </w:rPr>
        <w:t>EDP</w:t>
      </w:r>
      <w:r>
        <w:rPr>
          <w:rFonts w:ascii="Times New Roman" w:hAnsi="Times New Roman"/>
          <w:noProof/>
          <w:u w:val="thick" w:color="000000"/>
        </w:rPr>
        <w:t xml:space="preserve"> nolūkos/saistībā ar </w:t>
      </w:r>
      <w:r>
        <w:rPr>
          <w:rFonts w:ascii="Times New Roman" w:hAnsi="Times New Roman"/>
          <w:i/>
          <w:noProof/>
          <w:u w:val="thick" w:color="000000"/>
        </w:rPr>
        <w:t>EDP</w:t>
      </w:r>
    </w:p>
    <w:p w:rsidR="00506AA9" w:rsidRPr="001973D0" w:rsidRDefault="00506AA9" w:rsidP="00506AA9">
      <w:pPr>
        <w:pStyle w:val="Heading4"/>
        <w:tabs>
          <w:tab w:val="left" w:pos="1653"/>
        </w:tabs>
        <w:ind w:left="0" w:firstLine="0"/>
        <w:jc w:val="both"/>
        <w:rPr>
          <w:rFonts w:ascii="Times New Roman" w:hAnsi="Times New Roman"/>
          <w:noProof/>
          <w:u w:val="thick" w:color="000000"/>
        </w:rPr>
      </w:pPr>
    </w:p>
    <w:p w:rsidR="00506AA9" w:rsidRPr="001973D0"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Ekonomikas un monetārajā savienībā (EMS) pārmērīga budžeta deficīta novēršanas procedūras (</w:t>
      </w:r>
      <w:r>
        <w:rPr>
          <w:rFonts w:ascii="Times New Roman" w:hAnsi="Times New Roman"/>
          <w:i/>
          <w:noProof/>
          <w:sz w:val="24"/>
        </w:rPr>
        <w:t>EDP</w:t>
      </w:r>
      <w:r>
        <w:rPr>
          <w:rFonts w:ascii="Times New Roman" w:hAnsi="Times New Roman"/>
          <w:noProof/>
          <w:sz w:val="24"/>
        </w:rPr>
        <w:t>), kā arī izaugsmes un stabilitātes pakta vajadzībām pašreizējais 12. protokols, kas pievienots Līguma par Eiropas Savienību 2012. gada konsolidētajai redakcijai sniedz pilnīgu valdības parāda definīciju: “parāds ir parāda kopapjoms tā nominālvērtībā, kas līdz gada beigām nav nomaksāts un konsolidēts vispārējās valdības sektoros un starp tiem”.</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Šī definīcija ir papildināta Padomes Regulā (EK) Nr. 479/2009, kas grozīta ar Komisijas Regulu (ES) Nr. 220/2014 (kurā ir tikai atjauninātas atsauces uz EKS 2010 instrumentiem), kurā norādīti valdības parāda komponenti, sniedzot atsauces uz EKS 2010 minētajām finanšu saistību definīcijām.</w:t>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Šajā saistībā pārmērīga budžeta deficīta novēršanas procedūrā valdības parāda krājums (</w:t>
      </w:r>
      <w:r>
        <w:rPr>
          <w:rFonts w:ascii="Times New Roman" w:hAnsi="Times New Roman"/>
          <w:i/>
          <w:noProof/>
          <w:sz w:val="24"/>
        </w:rPr>
        <w:t>EDP</w:t>
      </w:r>
      <w:r>
        <w:rPr>
          <w:rFonts w:ascii="Times New Roman" w:hAnsi="Times New Roman"/>
          <w:noProof/>
          <w:sz w:val="24"/>
        </w:rPr>
        <w:t xml:space="preserve"> parāds) ir vienāds ar visu vispārējās valdības sektorā (S.13) klasificēto vienību saistību summu </w:t>
      </w:r>
      <w:r>
        <w:rPr>
          <w:rFonts w:ascii="Times New Roman" w:hAnsi="Times New Roman"/>
          <w:i/>
          <w:noProof/>
          <w:sz w:val="24"/>
        </w:rPr>
        <w:t>N</w:t>
      </w:r>
      <w:r>
        <w:rPr>
          <w:rFonts w:ascii="Times New Roman" w:hAnsi="Times New Roman"/>
          <w:noProof/>
          <w:sz w:val="24"/>
        </w:rPr>
        <w:t xml:space="preserve"> gada beigās šādās kategorijās:</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AF.2 (valūta un noguldījumi) + AF.3 (parāda vērtspapīri) + AF.4 (aizdevumi)</w:t>
      </w:r>
    </w:p>
    <w:p w:rsidR="00506AA9" w:rsidRPr="001973D0" w:rsidRDefault="00506AA9" w:rsidP="00506AA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9291" w:type="dxa"/>
          </w:tcPr>
          <w:p w:rsidR="00506AA9" w:rsidRPr="00791898" w:rsidRDefault="00506AA9" w:rsidP="005A7579">
            <w:pPr>
              <w:ind w:left="29"/>
              <w:jc w:val="both"/>
              <w:rPr>
                <w:rFonts w:ascii="Times New Roman" w:eastAsia="Arial" w:hAnsi="Times New Roman" w:cs="Times New Roman"/>
                <w:b/>
                <w:bCs/>
                <w:noProof/>
                <w:sz w:val="24"/>
                <w:szCs w:val="24"/>
              </w:rPr>
            </w:pPr>
            <w:r>
              <w:rPr>
                <w:rFonts w:ascii="Times New Roman" w:hAnsi="Times New Roman"/>
                <w:b/>
                <w:noProof/>
                <w:sz w:val="24"/>
              </w:rPr>
              <w:t>1. ierāmējums. Valdības izdotās monētas</w:t>
            </w:r>
          </w:p>
          <w:p w:rsidR="00506AA9" w:rsidRPr="00791898" w:rsidRDefault="00506AA9" w:rsidP="005A7579">
            <w:pPr>
              <w:rPr>
                <w:rFonts w:ascii="Times New Roman" w:eastAsia="Arial" w:hAnsi="Times New Roman" w:cs="Times New Roman"/>
                <w:noProof/>
                <w:sz w:val="24"/>
                <w:szCs w:val="24"/>
              </w:rPr>
            </w:pPr>
          </w:p>
          <w:p w:rsidR="00506AA9" w:rsidRPr="00791898" w:rsidRDefault="00506AA9" w:rsidP="005A7579">
            <w:pPr>
              <w:ind w:left="29" w:right="106"/>
              <w:jc w:val="both"/>
              <w:rPr>
                <w:rFonts w:ascii="Times New Roman" w:hAnsi="Times New Roman" w:cs="Times New Roman"/>
                <w:noProof/>
                <w:sz w:val="24"/>
                <w:szCs w:val="24"/>
              </w:rPr>
            </w:pPr>
            <w:r>
              <w:rPr>
                <w:rFonts w:ascii="Times New Roman" w:hAnsi="Times New Roman"/>
                <w:noProof/>
                <w:sz w:val="24"/>
              </w:rPr>
              <w:t>Kā norādīts EKS 2010 5.2. ierāmējumā “Eurosistēmā emitēta valūta”, eirozonas dalībvalstīs šīs valūtas parasti uzskata par valstu centrālo banku (S.121) saistībām, finanšu instruments “valūta” (AF.21), lai arī emitētās monētas galvenokārt ir centrālās valdības (S.1311) saistības.</w:t>
            </w:r>
          </w:p>
          <w:p w:rsidR="00506AA9" w:rsidRPr="00791898" w:rsidRDefault="00506AA9" w:rsidP="005A7579">
            <w:pPr>
              <w:ind w:left="29" w:right="111"/>
              <w:jc w:val="both"/>
              <w:rPr>
                <w:rFonts w:ascii="Times New Roman" w:hAnsi="Times New Roman" w:cs="Times New Roman"/>
                <w:noProof/>
                <w:sz w:val="24"/>
                <w:szCs w:val="24"/>
              </w:rPr>
            </w:pPr>
            <w:r>
              <w:rPr>
                <w:rFonts w:ascii="Times New Roman" w:hAnsi="Times New Roman"/>
                <w:noProof/>
                <w:sz w:val="24"/>
              </w:rPr>
              <w:t>Kā pretvērtību centrālā banka tur aktīvu, un centrālā valdība uzņema</w:t>
            </w:r>
            <w:r w:rsidR="00B244CD">
              <w:rPr>
                <w:rFonts w:ascii="Times New Roman" w:hAnsi="Times New Roman"/>
                <w:noProof/>
                <w:sz w:val="24"/>
              </w:rPr>
              <w:t>s saistības, ko parasti ieraksta</w:t>
            </w:r>
            <w:r>
              <w:rPr>
                <w:rFonts w:ascii="Times New Roman" w:hAnsi="Times New Roman"/>
                <w:noProof/>
                <w:sz w:val="24"/>
              </w:rPr>
              <w:t xml:space="preserve"> kā citus noguldījumus (AF.29).</w:t>
            </w:r>
          </w:p>
          <w:p w:rsidR="00506AA9" w:rsidRPr="00791898" w:rsidRDefault="00506AA9" w:rsidP="005A7579">
            <w:pPr>
              <w:ind w:left="29" w:right="106"/>
              <w:jc w:val="both"/>
              <w:rPr>
                <w:rFonts w:ascii="Times New Roman" w:hAnsi="Times New Roman" w:cs="Times New Roman"/>
                <w:noProof/>
                <w:sz w:val="24"/>
                <w:szCs w:val="24"/>
              </w:rPr>
            </w:pPr>
            <w:r>
              <w:rPr>
                <w:rFonts w:ascii="Times New Roman" w:hAnsi="Times New Roman"/>
                <w:noProof/>
                <w:sz w:val="24"/>
              </w:rPr>
              <w:t>Tās ES dalībvalstis, kas nav pievie</w:t>
            </w:r>
            <w:r w:rsidR="00B244CD">
              <w:rPr>
                <w:rFonts w:ascii="Times New Roman" w:hAnsi="Times New Roman"/>
                <w:noProof/>
                <w:sz w:val="24"/>
              </w:rPr>
              <w:t>nojušās eirozonai, var ierakstīt</w:t>
            </w:r>
            <w:r>
              <w:rPr>
                <w:rFonts w:ascii="Times New Roman" w:hAnsi="Times New Roman"/>
                <w:noProof/>
                <w:sz w:val="24"/>
              </w:rPr>
              <w:t xml:space="preserve"> valdības emitētās monētas kā centrālās valdības saistības (AF.21), ja šis apakšsektors tās ir faktiski emitējis. Tomēr, ja valdības emitētās monētas k</w:t>
            </w:r>
            <w:r w:rsidR="00B244CD">
              <w:rPr>
                <w:rFonts w:ascii="Times New Roman" w:hAnsi="Times New Roman"/>
                <w:noProof/>
                <w:sz w:val="24"/>
              </w:rPr>
              <w:t>ādu iemeslu dēļ tiek ierakstītas</w:t>
            </w:r>
            <w:r>
              <w:rPr>
                <w:rFonts w:ascii="Times New Roman" w:hAnsi="Times New Roman"/>
                <w:noProof/>
                <w:sz w:val="24"/>
              </w:rPr>
              <w:t xml:space="preserve"> nacionālajos kontos kā centrālās bankas saistības, lai panāktu saskanību ar eirozonas dalībvalstīm, finanšu instrumentu starp centrālo banku un cent</w:t>
            </w:r>
            <w:r w:rsidR="00B244CD">
              <w:rPr>
                <w:rFonts w:ascii="Times New Roman" w:hAnsi="Times New Roman"/>
                <w:noProof/>
                <w:sz w:val="24"/>
              </w:rPr>
              <w:t>rālo valdību ieteicams ierakstīt</w:t>
            </w:r>
            <w:r>
              <w:rPr>
                <w:rFonts w:ascii="Times New Roman" w:hAnsi="Times New Roman"/>
                <w:noProof/>
                <w:sz w:val="24"/>
              </w:rPr>
              <w:t xml:space="preserve"> kā citus noguldījumus (AF.29).</w:t>
            </w:r>
          </w:p>
        </w:tc>
      </w:tr>
    </w:tbl>
    <w:p w:rsidR="00506AA9" w:rsidRPr="001973D0" w:rsidRDefault="00506AA9" w:rsidP="00506AA9">
      <w:pPr>
        <w:jc w:val="both"/>
        <w:rPr>
          <w:rFonts w:ascii="Times New Roman" w:eastAsia="Arial" w:hAnsi="Times New Roman" w:cs="Arial"/>
          <w:noProof/>
          <w:sz w:val="24"/>
          <w:szCs w:val="14"/>
        </w:rPr>
      </w:pPr>
    </w:p>
    <w:p w:rsidR="00506AA9" w:rsidRDefault="00506AA9" w:rsidP="00506AA9">
      <w:pPr>
        <w:pStyle w:val="Heading6"/>
        <w:tabs>
          <w:tab w:val="left" w:pos="1936"/>
        </w:tabs>
        <w:jc w:val="both"/>
        <w:rPr>
          <w:rFonts w:ascii="Times New Roman" w:hAnsi="Times New Roman"/>
          <w:noProof/>
          <w:sz w:val="24"/>
        </w:rPr>
      </w:pPr>
      <w:bookmarkStart w:id="586" w:name="VIII.2.2.1_The_nominal_versus_face_value"/>
      <w:bookmarkEnd w:id="586"/>
      <w:r>
        <w:rPr>
          <w:rFonts w:ascii="Times New Roman" w:hAnsi="Times New Roman"/>
          <w:noProof/>
          <w:sz w:val="24"/>
        </w:rPr>
        <w:t>VIII.2.2.1. Nominālvērtība pret norādīto vērtību</w:t>
      </w:r>
    </w:p>
    <w:p w:rsidR="00506AA9" w:rsidRPr="001973D0" w:rsidRDefault="00506AA9" w:rsidP="00506AA9">
      <w:pPr>
        <w:pStyle w:val="Heading6"/>
        <w:tabs>
          <w:tab w:val="left" w:pos="1936"/>
        </w:tabs>
        <w:jc w:val="both"/>
        <w:rPr>
          <w:rFonts w:ascii="Times New Roman" w:hAnsi="Times New Roman"/>
          <w:noProof/>
          <w:sz w:val="24"/>
        </w:rPr>
      </w:pPr>
    </w:p>
    <w:p w:rsidR="00506AA9" w:rsidRPr="00791898"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Grozītajā Padomes Regulā (EK) Nr. 479/2009 nominālvērtību uzskata par vienādu ar saistību norādīto vērtību (1. pants). Norādītā vērtība ir vienāda ar līgumiski saskaņotu summu, kas maksājuma termiņā valdībai būs jāatmaksā kreditoriem. Par šo summu (pamatsummu) aprēķina arī procentus.</w:t>
      </w:r>
    </w:p>
    <w:p w:rsidR="00506AA9" w:rsidRDefault="00506AA9" w:rsidP="00506AA9">
      <w:pPr>
        <w:pStyle w:val="BodyText"/>
        <w:numPr>
          <w:ilvl w:val="0"/>
          <w:numId w:val="106"/>
        </w:numPr>
        <w:tabs>
          <w:tab w:val="left" w:pos="1168"/>
        </w:tabs>
        <w:spacing w:before="0"/>
        <w:ind w:left="709" w:hanging="709"/>
        <w:jc w:val="both"/>
        <w:rPr>
          <w:rFonts w:ascii="Times New Roman" w:hAnsi="Times New Roman"/>
          <w:noProof/>
          <w:sz w:val="24"/>
        </w:rPr>
      </w:pPr>
      <w:r>
        <w:rPr>
          <w:rFonts w:ascii="Times New Roman" w:hAnsi="Times New Roman"/>
          <w:noProof/>
          <w:sz w:val="24"/>
        </w:rPr>
        <w:t>Ir jānorāda sīkāk:</w:t>
      </w:r>
    </w:p>
    <w:p w:rsidR="00506AA9" w:rsidRPr="001973D0" w:rsidRDefault="00506AA9" w:rsidP="00506AA9">
      <w:pPr>
        <w:pStyle w:val="BodyText"/>
        <w:tabs>
          <w:tab w:val="left" w:pos="1168"/>
        </w:tabs>
        <w:spacing w:before="0"/>
        <w:ind w:left="0" w:firstLine="0"/>
        <w:rPr>
          <w:rFonts w:ascii="Times New Roman" w:hAnsi="Times New Roman"/>
          <w:noProof/>
          <w:sz w:val="24"/>
        </w:rPr>
      </w:pP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rPr>
      </w:pPr>
      <w:r>
        <w:rPr>
          <w:rFonts w:ascii="Times New Roman" w:hAnsi="Times New Roman"/>
          <w:noProof/>
          <w:sz w:val="24"/>
        </w:rPr>
        <w:t>noguldījumi (tostarp neapgrozāmas parādzīmes) – norādītā vērtība ietver uzkrātos procentus, ja tie ir faktiski ieskaitīti turētājam (juridiska pienākuma rezultātā), pieskaitot tos pamatsummai, kurai piemēro procentus un kura jebkurā laikā ir pieejama izņemšanai (un nevis tikai pilnīgas izņemšanas gadījumā);</w:t>
      </w: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szCs w:val="14"/>
        </w:rPr>
      </w:pPr>
      <w:r>
        <w:rPr>
          <w:rFonts w:ascii="Times New Roman" w:hAnsi="Times New Roman"/>
          <w:noProof/>
          <w:sz w:val="24"/>
        </w:rPr>
        <w:lastRenderedPageBreak/>
        <w:t>indeksējamās obligācijas – norādītā vērtība atbilst (sākotnējai) norādītajai vērtībai, kas precizēta, izmantojot indeksēto kapitāla pieaugumu, kurš uzkrāts gada beigās (nereti ar garantētu minimālo izpirkuma vērtību);</w:t>
      </w:r>
      <w:r>
        <w:rPr>
          <w:rStyle w:val="FootnoteReference"/>
          <w:rFonts w:ascii="Times New Roman" w:hAnsi="Times New Roman"/>
          <w:noProof/>
          <w:sz w:val="24"/>
        </w:rPr>
        <w:footnoteReference w:id="287"/>
      </w: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rPr>
      </w:pPr>
      <w:r>
        <w:rPr>
          <w:rFonts w:ascii="Times New Roman" w:hAnsi="Times New Roman"/>
          <w:noProof/>
          <w:sz w:val="24"/>
        </w:rPr>
        <w:t>bezkupona obligācijas piemēram, valsts kases parādzīmes) – norādītā vērtība ir izpirkuma vērtība;</w:t>
      </w: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rPr>
      </w:pPr>
      <w:r>
        <w:rPr>
          <w:rFonts w:ascii="Times New Roman" w:hAnsi="Times New Roman"/>
          <w:noProof/>
          <w:sz w:val="24"/>
        </w:rPr>
        <w:t>obligācijas ar kapitalizētiem procentiem – norādītā vērtība ir emisijas vērtība, kas atšķirsies no izpirkuma vērtības;</w:t>
      </w: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rPr>
      </w:pPr>
      <w:r>
        <w:rPr>
          <w:rFonts w:ascii="Times New Roman" w:hAnsi="Times New Roman"/>
          <w:noProof/>
          <w:sz w:val="24"/>
        </w:rPr>
        <w:t>Obligācijas, attiecībā uz kurām piemērota pamatsummas un procentu atdalīšana – kupona un pamatsummas atdalīšana nemaina oriģinālās obligācijas norādīto vērtību. Kad valdības vienība iejaucas otrreizējā tirgū un atsevišķi pērk atdalīto kuponu vai atdalīto pamatsummu (no obligācijas, ko emitējusi vispārējā valdība)</w:t>
      </w:r>
      <w:r>
        <w:rPr>
          <w:rStyle w:val="FootnoteReference"/>
          <w:rFonts w:ascii="Times New Roman" w:hAnsi="Times New Roman"/>
          <w:noProof/>
          <w:sz w:val="24"/>
        </w:rPr>
        <w:footnoteReference w:id="288"/>
      </w:r>
      <w:r>
        <w:rPr>
          <w:rFonts w:ascii="Times New Roman" w:hAnsi="Times New Roman"/>
          <w:noProof/>
          <w:sz w:val="24"/>
        </w:rPr>
        <w:t xml:space="preserve">, konsolidēšanas procesā ir jāveic īpaša </w:t>
      </w:r>
      <w:r>
        <w:rPr>
          <w:rFonts w:ascii="Times New Roman" w:hAnsi="Times New Roman"/>
          <w:i/>
          <w:noProof/>
          <w:sz w:val="24"/>
        </w:rPr>
        <w:t>STRIP</w:t>
      </w:r>
      <w:r>
        <w:rPr>
          <w:rFonts w:ascii="Times New Roman" w:hAnsi="Times New Roman"/>
          <w:noProof/>
          <w:sz w:val="24"/>
        </w:rPr>
        <w:t xml:space="preserve"> darījuma novērtēšana, pamatojoties uz oriģinālās obligācijas norādīto vērtību (sk. II.4.3.8. apakšiedaļu “Obligācijas, attiecībā uz kurām piemērota pamatsummas un procentu atdalīšana”). Iespējams ir pamatsummas un procentu atdalīšanas darījuma pretējais darījums;</w:t>
      </w:r>
    </w:p>
    <w:p w:rsidR="00506AA9" w:rsidRPr="001973D0" w:rsidRDefault="00506AA9" w:rsidP="00506AA9">
      <w:pPr>
        <w:pStyle w:val="BodyText"/>
        <w:numPr>
          <w:ilvl w:val="1"/>
          <w:numId w:val="106"/>
        </w:numPr>
        <w:tabs>
          <w:tab w:val="left" w:pos="1462"/>
        </w:tabs>
        <w:spacing w:before="0"/>
        <w:ind w:left="1134" w:hanging="425"/>
        <w:jc w:val="both"/>
        <w:rPr>
          <w:rFonts w:ascii="Times New Roman" w:hAnsi="Times New Roman"/>
          <w:noProof/>
          <w:sz w:val="24"/>
        </w:rPr>
      </w:pPr>
      <w:r>
        <w:rPr>
          <w:rFonts w:ascii="Times New Roman" w:hAnsi="Times New Roman"/>
          <w:noProof/>
          <w:sz w:val="24"/>
        </w:rPr>
        <w:t>finanšu noma – parāds ietver aprēķināto aizdevumu, kas sākumā ir vienāds ar bruto pamatkapitāla veidošanu.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bookmarkStart w:id="587" w:name="VIII.2.2.2_Accrued_interest"/>
      <w:bookmarkEnd w:id="587"/>
      <w:r>
        <w:rPr>
          <w:rFonts w:ascii="Times New Roman" w:hAnsi="Times New Roman"/>
          <w:noProof/>
          <w:sz w:val="24"/>
        </w:rPr>
        <w:t>VIII.2.2.2. Uzkrātie procenti</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106"/>
        </w:numPr>
        <w:tabs>
          <w:tab w:val="left" w:pos="1168"/>
        </w:tabs>
        <w:spacing w:before="0"/>
        <w:ind w:left="709" w:hanging="709"/>
        <w:jc w:val="both"/>
        <w:rPr>
          <w:rFonts w:ascii="Times New Roman" w:hAnsi="Times New Roman"/>
          <w:noProof/>
          <w:sz w:val="24"/>
        </w:rPr>
      </w:pPr>
      <w:r>
        <w:rPr>
          <w:rFonts w:ascii="Times New Roman" w:hAnsi="Times New Roman"/>
          <w:noProof/>
          <w:sz w:val="24"/>
        </w:rPr>
        <w:t>Nacion</w:t>
      </w:r>
      <w:r w:rsidR="00B244CD">
        <w:rPr>
          <w:rFonts w:ascii="Times New Roman" w:hAnsi="Times New Roman"/>
          <w:noProof/>
          <w:sz w:val="24"/>
        </w:rPr>
        <w:t>ālajos kontos procentus ieraksta</w:t>
      </w:r>
      <w:r>
        <w:rPr>
          <w:rFonts w:ascii="Times New Roman" w:hAnsi="Times New Roman"/>
          <w:noProof/>
          <w:sz w:val="24"/>
        </w:rPr>
        <w:t xml:space="preserve">, tiklīdz tie uzkrājas. Tāpēc neatkarīgi no tā, vai faktiski tie ir izmaksāti vai nav, uzkrātie procenti ietekmē neto aizdevumu/aizņēmumu (B.9). Saskaņā ar EKS 2010 uzkrātos procentus nepārtraukti pieskaita instrumenta vērtībai bilancē. Šī vērtība samazinās, tiklīdz procenti ir faktiski izmaksāti. Saskaņā ar </w:t>
      </w:r>
      <w:r>
        <w:rPr>
          <w:rFonts w:ascii="Times New Roman" w:hAnsi="Times New Roman"/>
          <w:i/>
          <w:noProof/>
          <w:sz w:val="24"/>
        </w:rPr>
        <w:t>EDP</w:t>
      </w:r>
      <w:r>
        <w:rPr>
          <w:rFonts w:ascii="Times New Roman" w:hAnsi="Times New Roman"/>
          <w:noProof/>
          <w:sz w:val="24"/>
        </w:rPr>
        <w:t xml:space="preserve"> noteikumiem valdības parādu aprēķina pēc nominālvērtības, ko pielīdzina norādītajai vērtībai, kā minēts iepriekš, </w:t>
      </w:r>
      <w:r w:rsidR="00B244CD">
        <w:rPr>
          <w:rFonts w:ascii="Times New Roman" w:hAnsi="Times New Roman"/>
          <w:noProof/>
          <w:sz w:val="24"/>
        </w:rPr>
        <w:t>un uzkrātos procentus neieraksta</w:t>
      </w:r>
      <w:r>
        <w:rPr>
          <w:rFonts w:ascii="Times New Roman" w:hAnsi="Times New Roman"/>
          <w:noProof/>
          <w:sz w:val="24"/>
        </w:rPr>
        <w:t xml:space="preserve"> attiecīgajā parāda instrumentā.</w:t>
      </w:r>
    </w:p>
    <w:p w:rsidR="00506AA9" w:rsidRPr="001973D0" w:rsidRDefault="00506AA9" w:rsidP="00506AA9">
      <w:pPr>
        <w:pStyle w:val="BodyText"/>
        <w:numPr>
          <w:ilvl w:val="0"/>
          <w:numId w:val="106"/>
        </w:numPr>
        <w:tabs>
          <w:tab w:val="left" w:pos="1168"/>
        </w:tabs>
        <w:spacing w:before="0"/>
        <w:ind w:left="709" w:hanging="709"/>
        <w:jc w:val="both"/>
        <w:rPr>
          <w:rFonts w:ascii="Times New Roman" w:hAnsi="Times New Roman"/>
          <w:noProof/>
          <w:sz w:val="24"/>
          <w:szCs w:val="14"/>
        </w:rPr>
      </w:pPr>
      <w:r>
        <w:rPr>
          <w:rFonts w:ascii="Times New Roman" w:hAnsi="Times New Roman"/>
          <w:noProof/>
          <w:sz w:val="24"/>
        </w:rPr>
        <w:t>Izņemot instrumentus, kas izdoti ar atlaidi, kuriem norādītajā vērtībā ir iekļauta procentu summa, kas saskaņā ar prognozēm tiks uzkrāta instrumenta darbības laikā. Notifikācijas tabulu 3. tabulā korekcijas postenī uzkrāto procentu plūsmu izlīdzina ar parāda izmaiņām atbilstoši norādītajai vērtībai (kas ir atkarīga no faktiskajiem procentu maksājumiem).</w:t>
      </w:r>
      <w:r>
        <w:rPr>
          <w:rStyle w:val="FootnoteReference"/>
          <w:rFonts w:ascii="Times New Roman" w:hAnsi="Times New Roman"/>
          <w:noProof/>
          <w:sz w:val="24"/>
        </w:rPr>
        <w:footnoteReference w:id="289"/>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6"/>
        <w:tabs>
          <w:tab w:val="left" w:pos="1936"/>
        </w:tabs>
        <w:jc w:val="both"/>
        <w:rPr>
          <w:rFonts w:ascii="Times New Roman" w:hAnsi="Times New Roman"/>
          <w:noProof/>
          <w:sz w:val="24"/>
        </w:rPr>
      </w:pPr>
      <w:bookmarkStart w:id="588" w:name="VIII.2.2.3_Debt_in_foreign_currency"/>
      <w:bookmarkEnd w:id="588"/>
      <w:r>
        <w:rPr>
          <w:rFonts w:ascii="Times New Roman" w:hAnsi="Times New Roman"/>
          <w:noProof/>
          <w:sz w:val="24"/>
        </w:rPr>
        <w:t>VIII.2.2.3. Parāds ārvalstu valūtā</w:t>
      </w:r>
    </w:p>
    <w:p w:rsidR="00506AA9" w:rsidRPr="001973D0" w:rsidRDefault="00506AA9" w:rsidP="00506AA9">
      <w:pPr>
        <w:pStyle w:val="Heading6"/>
        <w:tabs>
          <w:tab w:val="left" w:pos="1936"/>
        </w:tabs>
        <w:jc w:val="both"/>
        <w:rPr>
          <w:rFonts w:ascii="Times New Roman" w:hAnsi="Times New Roman"/>
          <w:noProof/>
          <w:sz w:val="24"/>
        </w:rPr>
      </w:pPr>
    </w:p>
    <w:p w:rsidR="00506AA9" w:rsidRPr="001973D0"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 xml:space="preserve">Nacionālajos kontos saistības, kas ir izteiktas ārvalstu valūtās, konvertē valsts valūtā pēc </w:t>
      </w:r>
      <w:r>
        <w:rPr>
          <w:rFonts w:ascii="Times New Roman" w:hAnsi="Times New Roman"/>
          <w:noProof/>
          <w:sz w:val="24"/>
        </w:rPr>
        <w:lastRenderedPageBreak/>
        <w:t>reprezentatīvā tūlītējā tirgus valūtas maiņas kursa, kas bija spēkā katra gada pēdējā darbdienā. Ar tām saistītos atvasinātos instrumentus (jo īpaši, valūtas kursa mai</w:t>
      </w:r>
      <w:r w:rsidR="00536492">
        <w:rPr>
          <w:rFonts w:ascii="Times New Roman" w:hAnsi="Times New Roman"/>
          <w:noProof/>
          <w:sz w:val="24"/>
        </w:rPr>
        <w:t>ņas riska ierobežošanu) ieraksta</w:t>
      </w:r>
      <w:r>
        <w:rPr>
          <w:rFonts w:ascii="Times New Roman" w:hAnsi="Times New Roman"/>
          <w:noProof/>
          <w:sz w:val="24"/>
        </w:rPr>
        <w:t xml:space="preserve"> atsevišķi. Savukārt grozītajā Padomes Regulā (EK) Nr. 479/2009 ir teikts, ja saistības, kas izteiktas ārvalstu valūtā, saskaņā ar līgumisku vienošanos tiek mainītas pret vienu vai vairākām citām ārvalstu valūtām, tās jākonvertē minētajās ārvalstu valūtās pēc kursa, par kuru vienošanās panākta iepriekš minētajos līgumos, un tad jākonvertē valsts valūtā atbilstoši vispārējam noteikumam (minēts iepriekšējā punktā).</w:t>
      </w:r>
    </w:p>
    <w:p w:rsidR="00506AA9" w:rsidRPr="001973D0"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Tas pats princips attiecas uz gadījumiem, kad parāds, kas izteikts valsts valūtā, mijmaiņas darījumā tiek mainīts ārvalstu valūtā. Tas nozīmē, ka saistības, kas izteiktas ārvalstu valūtā un saskaņā ar līgumiem mainītas valsts valūtā, konvertē valsts valūtā pēc likmes, kas noteikta minētajos līgumos.</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36"/>
        </w:tabs>
        <w:jc w:val="both"/>
        <w:rPr>
          <w:rFonts w:ascii="Times New Roman" w:hAnsi="Times New Roman"/>
          <w:noProof/>
          <w:sz w:val="24"/>
        </w:rPr>
      </w:pPr>
      <w:bookmarkStart w:id="589" w:name="VIII.2.2.4_The_change_in_government_debt"/>
      <w:bookmarkEnd w:id="589"/>
      <w:r>
        <w:rPr>
          <w:rFonts w:ascii="Times New Roman" w:hAnsi="Times New Roman"/>
          <w:noProof/>
          <w:sz w:val="24"/>
        </w:rPr>
        <w:t>VIII.2.2.4. Izmaiņas valdības parādā</w:t>
      </w:r>
    </w:p>
    <w:p w:rsidR="00506AA9" w:rsidRPr="001973D0" w:rsidRDefault="00506AA9" w:rsidP="00506AA9">
      <w:pPr>
        <w:pStyle w:val="Heading6"/>
        <w:tabs>
          <w:tab w:val="left" w:pos="1936"/>
        </w:tabs>
        <w:jc w:val="both"/>
        <w:rPr>
          <w:rFonts w:ascii="Times New Roman" w:hAnsi="Times New Roman"/>
          <w:noProof/>
          <w:sz w:val="24"/>
        </w:rPr>
      </w:pPr>
    </w:p>
    <w:p w:rsidR="00506AA9" w:rsidRPr="001973D0"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Valdības parāda izmaiņas starp diviem punktiem laikā (</w:t>
      </w:r>
      <w:r>
        <w:rPr>
          <w:rFonts w:ascii="Times New Roman" w:hAnsi="Times New Roman"/>
          <w:i/>
          <w:noProof/>
          <w:sz w:val="24"/>
        </w:rPr>
        <w:t>N</w:t>
      </w:r>
      <w:r>
        <w:rPr>
          <w:rFonts w:ascii="Times New Roman" w:hAnsi="Times New Roman"/>
          <w:noProof/>
          <w:sz w:val="24"/>
        </w:rPr>
        <w:t xml:space="preserve"> gada beigās un </w:t>
      </w:r>
      <w:r>
        <w:rPr>
          <w:rFonts w:ascii="Times New Roman" w:hAnsi="Times New Roman"/>
          <w:i/>
          <w:noProof/>
          <w:sz w:val="24"/>
        </w:rPr>
        <w:t>N-1</w:t>
      </w:r>
      <w:r>
        <w:rPr>
          <w:rFonts w:ascii="Times New Roman" w:hAnsi="Times New Roman"/>
          <w:noProof/>
          <w:sz w:val="24"/>
        </w:rPr>
        <w:t xml:space="preserve"> gada beigās) ir vienādas ar jaunu saistību (F.2, F.3 un F.4) emisiju </w:t>
      </w:r>
      <w:r>
        <w:rPr>
          <w:rFonts w:ascii="Times New Roman" w:hAnsi="Times New Roman"/>
          <w:i/>
          <w:noProof/>
          <w:sz w:val="24"/>
        </w:rPr>
        <w:t>N</w:t>
      </w:r>
      <w:r>
        <w:rPr>
          <w:rFonts w:ascii="Times New Roman" w:hAnsi="Times New Roman"/>
          <w:noProof/>
          <w:sz w:val="24"/>
        </w:rPr>
        <w:t> gadā, no kurām atņemta atpirkšanas vērtība, un apjoma citām pārmaiņām (K.5 un K.6 saistībās). Izņemot indeksēto parādu un pret valūtas riskiem nenodrošināto parādu ārvalstu valūtā, vērtēšanas sekas neietekmē valdības (</w:t>
      </w:r>
      <w:r>
        <w:rPr>
          <w:rFonts w:ascii="Times New Roman" w:hAnsi="Times New Roman"/>
          <w:i/>
          <w:noProof/>
          <w:sz w:val="24"/>
        </w:rPr>
        <w:t>EDP</w:t>
      </w:r>
      <w:r>
        <w:rPr>
          <w:rFonts w:ascii="Times New Roman" w:hAnsi="Times New Roman"/>
          <w:noProof/>
          <w:sz w:val="24"/>
        </w:rPr>
        <w:t>) parādu. Tā kā valdīb</w:t>
      </w:r>
      <w:r w:rsidR="00536492">
        <w:rPr>
          <w:rFonts w:ascii="Times New Roman" w:hAnsi="Times New Roman"/>
          <w:noProof/>
          <w:sz w:val="24"/>
        </w:rPr>
        <w:t>as parādu ieraksta</w:t>
      </w:r>
      <w:r>
        <w:rPr>
          <w:rFonts w:ascii="Times New Roman" w:hAnsi="Times New Roman"/>
          <w:noProof/>
          <w:sz w:val="24"/>
        </w:rPr>
        <w:t xml:space="preserve"> konsolidētā veidā, tas var arī mainīties tādu darījumu dēļ, kas notiek starp valdības sektorā klasificētajiem turētājiem un citos sektoros (tostarp pārējā pasaulē) klasificētajiem turētājiem.</w:t>
      </w:r>
    </w:p>
    <w:p w:rsidR="00506AA9" w:rsidRPr="001973D0" w:rsidRDefault="00506AA9" w:rsidP="00506AA9">
      <w:pPr>
        <w:jc w:val="both"/>
        <w:rPr>
          <w:rFonts w:ascii="Times New Roman" w:eastAsia="Arial" w:hAnsi="Times New Roman" w:cs="Arial"/>
          <w:noProof/>
          <w:sz w:val="24"/>
          <w:szCs w:val="32"/>
        </w:rPr>
      </w:pPr>
    </w:p>
    <w:p w:rsidR="00506AA9" w:rsidRDefault="00506AA9" w:rsidP="00506AA9">
      <w:pPr>
        <w:pStyle w:val="BodyText"/>
        <w:spacing w:before="0"/>
        <w:ind w:left="0" w:firstLine="0"/>
        <w:jc w:val="both"/>
        <w:rPr>
          <w:rFonts w:ascii="Times New Roman" w:hAnsi="Times New Roman"/>
          <w:noProof/>
          <w:sz w:val="24"/>
          <w:u w:val="single" w:color="000000"/>
        </w:rPr>
      </w:pPr>
      <w:r>
        <w:rPr>
          <w:rFonts w:ascii="Times New Roman" w:hAnsi="Times New Roman"/>
          <w:i/>
          <w:noProof/>
          <w:sz w:val="24"/>
          <w:u w:val="single" w:color="000000"/>
        </w:rPr>
        <w:t>EDP</w:t>
      </w:r>
      <w:r>
        <w:rPr>
          <w:rFonts w:ascii="Times New Roman" w:hAnsi="Times New Roman"/>
          <w:noProof/>
          <w:sz w:val="24"/>
          <w:u w:val="single" w:color="000000"/>
        </w:rPr>
        <w:t xml:space="preserve"> notifikācijas tabulas</w:t>
      </w:r>
    </w:p>
    <w:p w:rsidR="00506AA9" w:rsidRPr="001973D0" w:rsidRDefault="00506AA9" w:rsidP="00506AA9">
      <w:pPr>
        <w:pStyle w:val="BodyText"/>
        <w:spacing w:before="0"/>
        <w:ind w:left="0" w:firstLine="0"/>
        <w:jc w:val="both"/>
        <w:rPr>
          <w:rFonts w:ascii="Times New Roman" w:hAnsi="Times New Roman"/>
          <w:noProof/>
          <w:sz w:val="24"/>
          <w:u w:val="single" w:color="000000"/>
        </w:rPr>
      </w:pPr>
    </w:p>
    <w:p w:rsidR="00506AA9"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i/>
          <w:noProof/>
          <w:sz w:val="24"/>
        </w:rPr>
        <w:t>EDP</w:t>
      </w:r>
      <w:r>
        <w:rPr>
          <w:rFonts w:ascii="Times New Roman" w:hAnsi="Times New Roman"/>
          <w:noProof/>
          <w:sz w:val="24"/>
        </w:rPr>
        <w:t xml:space="preserve"> notifikācijas tabulās, ko aizpildījušas ES dalībvalstis un ko divas reizes gadā nosūta Eiropas Komisijai, 3. tabulas mērķis ir atspoguļot saikni starp valdības neto aizdevumu/aizņēmumu (B.9) un izmaiņām valdības parādā. Analītiski, valdības parāda pieaugums jāaplūko šādu divu galveno faktoru dēļ:</w:t>
      </w:r>
    </w:p>
    <w:p w:rsidR="00506AA9" w:rsidRPr="001973D0" w:rsidRDefault="00506AA9" w:rsidP="00506AA9">
      <w:pPr>
        <w:pStyle w:val="BodyText"/>
        <w:tabs>
          <w:tab w:val="left" w:pos="1228"/>
        </w:tabs>
        <w:spacing w:before="0"/>
        <w:ind w:left="0" w:firstLine="0"/>
        <w:rPr>
          <w:rFonts w:ascii="Times New Roman" w:hAnsi="Times New Roman"/>
          <w:noProof/>
          <w:sz w:val="24"/>
        </w:rPr>
      </w:pPr>
    </w:p>
    <w:p w:rsidR="00506AA9" w:rsidRPr="001973D0" w:rsidRDefault="00506AA9" w:rsidP="00506AA9">
      <w:pPr>
        <w:pStyle w:val="BodyText"/>
        <w:numPr>
          <w:ilvl w:val="0"/>
          <w:numId w:val="105"/>
        </w:numPr>
        <w:tabs>
          <w:tab w:val="left" w:pos="1522"/>
        </w:tabs>
        <w:spacing w:before="0"/>
        <w:ind w:left="1134" w:hanging="425"/>
        <w:jc w:val="both"/>
        <w:rPr>
          <w:rFonts w:ascii="Times New Roman" w:hAnsi="Times New Roman"/>
          <w:noProof/>
          <w:sz w:val="24"/>
        </w:rPr>
      </w:pPr>
      <w:r>
        <w:rPr>
          <w:rFonts w:ascii="Times New Roman" w:hAnsi="Times New Roman"/>
          <w:noProof/>
          <w:sz w:val="24"/>
        </w:rPr>
        <w:t>vispārējās valdības neto aizdevums/aizņēmums (B.9), kapitāla konta bilance;</w:t>
      </w:r>
    </w:p>
    <w:p w:rsidR="00506AA9" w:rsidRDefault="00506AA9" w:rsidP="00506AA9">
      <w:pPr>
        <w:pStyle w:val="BodyText"/>
        <w:numPr>
          <w:ilvl w:val="0"/>
          <w:numId w:val="105"/>
        </w:numPr>
        <w:tabs>
          <w:tab w:val="left" w:pos="1522"/>
        </w:tabs>
        <w:spacing w:before="0"/>
        <w:ind w:left="1134" w:hanging="425"/>
        <w:jc w:val="both"/>
        <w:rPr>
          <w:rFonts w:ascii="Times New Roman" w:hAnsi="Times New Roman"/>
          <w:noProof/>
          <w:sz w:val="24"/>
        </w:rPr>
      </w:pPr>
      <w:r>
        <w:rPr>
          <w:rFonts w:ascii="Times New Roman" w:hAnsi="Times New Roman"/>
          <w:noProof/>
          <w:sz w:val="24"/>
        </w:rPr>
        <w:t>finanšu aktīvu neto iegāde (F.2, F.3, F.4, F.5, F.6, F.7 un F.8), ko veic vis</w:t>
      </w:r>
      <w:r w:rsidR="00536492">
        <w:rPr>
          <w:rFonts w:ascii="Times New Roman" w:hAnsi="Times New Roman"/>
          <w:noProof/>
          <w:sz w:val="24"/>
        </w:rPr>
        <w:t>pārējā valdība (plūsmas ieraksta</w:t>
      </w:r>
      <w:r>
        <w:rPr>
          <w:rFonts w:ascii="Times New Roman" w:hAnsi="Times New Roman"/>
          <w:noProof/>
          <w:sz w:val="24"/>
        </w:rPr>
        <w:t xml:space="preserve"> finanšu kontā).</w:t>
      </w:r>
    </w:p>
    <w:p w:rsidR="00506AA9" w:rsidRPr="001973D0" w:rsidRDefault="00506AA9" w:rsidP="00506AA9">
      <w:pPr>
        <w:pStyle w:val="BodyText"/>
        <w:tabs>
          <w:tab w:val="left" w:pos="1522"/>
        </w:tabs>
        <w:spacing w:before="0"/>
        <w:ind w:left="0" w:firstLine="0"/>
        <w:jc w:val="both"/>
        <w:rPr>
          <w:rFonts w:ascii="Times New Roman" w:hAnsi="Times New Roman"/>
          <w:noProof/>
          <w:sz w:val="24"/>
        </w:rPr>
      </w:pPr>
    </w:p>
    <w:p w:rsidR="00506AA9" w:rsidRDefault="00506AA9" w:rsidP="00506AA9">
      <w:pPr>
        <w:pStyle w:val="BodyText"/>
        <w:numPr>
          <w:ilvl w:val="0"/>
          <w:numId w:val="106"/>
        </w:numPr>
        <w:tabs>
          <w:tab w:val="left" w:pos="1228"/>
        </w:tabs>
        <w:spacing w:before="0"/>
        <w:ind w:left="709" w:hanging="709"/>
        <w:jc w:val="both"/>
        <w:rPr>
          <w:rFonts w:ascii="Times New Roman" w:hAnsi="Times New Roman"/>
          <w:noProof/>
          <w:sz w:val="24"/>
        </w:rPr>
      </w:pPr>
      <w:r>
        <w:rPr>
          <w:rFonts w:ascii="Times New Roman" w:hAnsi="Times New Roman"/>
          <w:noProof/>
          <w:sz w:val="24"/>
        </w:rPr>
        <w:t>Lai iegūtu galīgās izmaiņas valdības parādā, jāveic daži precizējumi:</w:t>
      </w:r>
    </w:p>
    <w:p w:rsidR="00506AA9" w:rsidRPr="001973D0" w:rsidRDefault="00506AA9" w:rsidP="00506AA9">
      <w:pPr>
        <w:pStyle w:val="BodyText"/>
        <w:tabs>
          <w:tab w:val="left" w:pos="1228"/>
        </w:tabs>
        <w:spacing w:before="0"/>
        <w:ind w:left="0" w:firstLine="0"/>
        <w:rPr>
          <w:rFonts w:ascii="Times New Roman" w:hAnsi="Times New Roman"/>
          <w:noProof/>
          <w:sz w:val="24"/>
        </w:rPr>
      </w:pPr>
    </w:p>
    <w:p w:rsidR="00506AA9" w:rsidRPr="001973D0" w:rsidRDefault="00506AA9" w:rsidP="00506AA9">
      <w:pPr>
        <w:pStyle w:val="BodyText"/>
        <w:numPr>
          <w:ilvl w:val="0"/>
          <w:numId w:val="104"/>
        </w:numPr>
        <w:tabs>
          <w:tab w:val="left" w:pos="1522"/>
        </w:tabs>
        <w:spacing w:before="0"/>
        <w:ind w:left="1134" w:hanging="425"/>
        <w:jc w:val="both"/>
        <w:rPr>
          <w:rFonts w:ascii="Times New Roman" w:hAnsi="Times New Roman"/>
          <w:noProof/>
          <w:sz w:val="24"/>
        </w:rPr>
      </w:pPr>
      <w:r>
        <w:rPr>
          <w:rFonts w:ascii="Times New Roman" w:hAnsi="Times New Roman"/>
          <w:noProof/>
          <w:sz w:val="24"/>
        </w:rPr>
        <w:t>citās plūsmās (apjoma citas pārmaiņas K.5 vai K.6 saistībās, turēšanas guvumos un zaudējumos, jo īpaši ārvalstu valūtas parāda dēļ);</w:t>
      </w:r>
    </w:p>
    <w:p w:rsidR="00506AA9" w:rsidRPr="001973D0" w:rsidRDefault="00506AA9" w:rsidP="00506AA9">
      <w:pPr>
        <w:pStyle w:val="BodyText"/>
        <w:numPr>
          <w:ilvl w:val="0"/>
          <w:numId w:val="104"/>
        </w:numPr>
        <w:tabs>
          <w:tab w:val="left" w:pos="1522"/>
        </w:tabs>
        <w:spacing w:before="0"/>
        <w:ind w:left="1134" w:hanging="425"/>
        <w:jc w:val="both"/>
        <w:rPr>
          <w:rFonts w:ascii="Times New Roman" w:hAnsi="Times New Roman"/>
          <w:noProof/>
          <w:sz w:val="24"/>
        </w:rPr>
      </w:pPr>
      <w:r>
        <w:rPr>
          <w:rFonts w:ascii="Times New Roman" w:hAnsi="Times New Roman"/>
          <w:i/>
          <w:noProof/>
          <w:sz w:val="24"/>
        </w:rPr>
        <w:t>EDP</w:t>
      </w:r>
      <w:r>
        <w:rPr>
          <w:rFonts w:ascii="Times New Roman" w:hAnsi="Times New Roman"/>
          <w:noProof/>
          <w:sz w:val="24"/>
        </w:rPr>
        <w:t xml:space="preserve"> definīcijā – konsolidācija, debitoru parādu un saistību neiekļaušana atvasinātajos finanšu instrumentos, labojumi, uzkrāto procentu vietā norādot izmaksātos procentus, un attiecībā uz vērtspapīriem – darījuma vērtības vietā norādot norādīto vērtību. Pēdējā minētā ir starpība starp emisijas jeb atpirkšanas cenu un nominālvērtību, ņemot vērā faktu, ka atpirkšanas cena var ietvert uzkrāto procentu maksājumu. Tāpēc norādītās vērtības un nominālvērtības starpība ir jāaprēķina pēc tam, kad no atpirkšanas cenas ir atņemta tā daļa, kas atbilst uzkrāto procentu maksājumam.</w:t>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BodyText"/>
        <w:numPr>
          <w:ilvl w:val="0"/>
          <w:numId w:val="106"/>
        </w:numPr>
        <w:tabs>
          <w:tab w:val="left" w:pos="1168"/>
        </w:tabs>
        <w:spacing w:before="0"/>
        <w:ind w:left="709" w:hanging="709"/>
        <w:jc w:val="both"/>
        <w:rPr>
          <w:rFonts w:ascii="Times New Roman" w:hAnsi="Times New Roman"/>
          <w:noProof/>
          <w:sz w:val="24"/>
        </w:rPr>
      </w:pPr>
      <w:r>
        <w:rPr>
          <w:rFonts w:ascii="Times New Roman" w:hAnsi="Times New Roman"/>
          <w:noProof/>
          <w:sz w:val="24"/>
        </w:rPr>
        <w:t>Visbeidzot, jāidentificē statistiska pretruna, galvenokārt, saistībā ar pretrunu starp finanšu un nefinanšu kontiem (kas pastāv praksē).</w:t>
      </w:r>
    </w:p>
    <w:p w:rsidR="00506AA9" w:rsidRDefault="00506AA9" w:rsidP="00506AA9">
      <w:pPr>
        <w:pStyle w:val="BodyText"/>
        <w:tabs>
          <w:tab w:val="left" w:pos="5782"/>
        </w:tabs>
        <w:spacing w:before="0"/>
        <w:ind w:left="0" w:firstLine="0"/>
        <w:jc w:val="both"/>
        <w:rPr>
          <w:rFonts w:ascii="Times New Roman" w:hAnsi="Times New Roman"/>
          <w:noProof/>
          <w:sz w:val="24"/>
        </w:rPr>
      </w:pPr>
    </w:p>
    <w:p w:rsidR="00506AA9" w:rsidRDefault="00506AA9" w:rsidP="00506AA9">
      <w:pPr>
        <w:pStyle w:val="BodyText"/>
        <w:tabs>
          <w:tab w:val="left" w:pos="5782"/>
        </w:tabs>
        <w:spacing w:before="0"/>
        <w:ind w:left="0" w:firstLine="0"/>
        <w:jc w:val="both"/>
        <w:rPr>
          <w:rFonts w:ascii="Times New Roman" w:hAnsi="Times New Roman"/>
          <w:noProof/>
          <w:sz w:val="24"/>
        </w:rPr>
      </w:pPr>
      <w:r>
        <w:rPr>
          <w:rFonts w:ascii="Times New Roman" w:hAnsi="Times New Roman"/>
          <w:noProof/>
          <w:sz w:val="24"/>
        </w:rPr>
        <w:lastRenderedPageBreak/>
        <w:t>Valdības (konsolidētā) parāda pārmaiņas = (-) neto aizdevums/aizņēmums</w:t>
      </w:r>
    </w:p>
    <w:p w:rsidR="00506AA9" w:rsidRPr="001973D0" w:rsidRDefault="00506AA9" w:rsidP="00506AA9">
      <w:pPr>
        <w:pStyle w:val="BodyText"/>
        <w:tabs>
          <w:tab w:val="left" w:pos="5782"/>
        </w:tabs>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finanšu aktīvu neto iegāde (F.1+F.2+F.3+F.4+F.5+F.6+ F.7+F.8)</w:t>
      </w:r>
    </w:p>
    <w:p w:rsidR="00506AA9" w:rsidRPr="001973D0" w:rsidRDefault="00E0064A" w:rsidP="00506AA9">
      <w:pPr>
        <w:pStyle w:val="BodyText"/>
        <w:spacing w:before="0"/>
        <w:ind w:left="0" w:firstLine="0"/>
        <w:jc w:val="both"/>
        <w:rPr>
          <w:rFonts w:ascii="Times New Roman" w:hAnsi="Times New Roman"/>
          <w:noProof/>
          <w:sz w:val="24"/>
        </w:rPr>
      </w:pPr>
      <w:r>
        <w:rPr>
          <w:rFonts w:ascii="Times New Roman" w:hAnsi="Times New Roman"/>
          <w:noProof/>
          <w:sz w:val="24"/>
        </w:rPr>
        <w:t>+ korekcijas</w:t>
      </w:r>
      <w:r w:rsidR="00506AA9">
        <w:rPr>
          <w:rFonts w:ascii="Times New Roman" w:hAnsi="Times New Roman"/>
          <w:noProof/>
          <w:sz w:val="24"/>
        </w:rPr>
        <w:t xml:space="preserve"> (citām plūsmām un pārmērīga</w:t>
      </w:r>
      <w:r>
        <w:rPr>
          <w:rFonts w:ascii="Times New Roman" w:hAnsi="Times New Roman"/>
          <w:noProof/>
          <w:sz w:val="24"/>
        </w:rPr>
        <w:t xml:space="preserve"> budžeta deficīta</w:t>
      </w:r>
      <w:r w:rsidR="00506AA9">
        <w:rPr>
          <w:rFonts w:ascii="Times New Roman" w:hAnsi="Times New Roman"/>
          <w:noProof/>
          <w:sz w:val="24"/>
        </w:rPr>
        <w:t xml:space="preserve"> novēršanas procedūras valdības parāda definīcijai)</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statistiskas nesakritības</w:t>
      </w:r>
    </w:p>
    <w:p w:rsidR="00506AA9" w:rsidRDefault="00506AA9" w:rsidP="00506AA9">
      <w:pPr>
        <w:jc w:val="both"/>
        <w:rPr>
          <w:rFonts w:ascii="Times New Roman" w:eastAsia="Arial" w:hAnsi="Times New Roman" w:cs="Arial"/>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9291" w:type="dxa"/>
          </w:tcPr>
          <w:p w:rsidR="00506AA9" w:rsidRPr="001973D0" w:rsidRDefault="00506AA9" w:rsidP="005A7579">
            <w:pPr>
              <w:jc w:val="both"/>
              <w:rPr>
                <w:rFonts w:ascii="Times New Roman" w:eastAsia="Arial" w:hAnsi="Times New Roman" w:cs="Arial"/>
                <w:b/>
                <w:bCs/>
                <w:noProof/>
                <w:sz w:val="24"/>
                <w:szCs w:val="20"/>
              </w:rPr>
            </w:pPr>
            <w:r>
              <w:rPr>
                <w:rFonts w:ascii="Times New Roman" w:hAnsi="Times New Roman"/>
                <w:b/>
                <w:noProof/>
                <w:sz w:val="24"/>
              </w:rPr>
              <w:t>2. ierāmējums. Negatīvo procentu traktējums</w:t>
            </w:r>
          </w:p>
          <w:p w:rsidR="00506AA9" w:rsidRPr="001973D0" w:rsidRDefault="00506AA9" w:rsidP="005A7579">
            <w:pPr>
              <w:jc w:val="both"/>
              <w:rPr>
                <w:rFonts w:ascii="Times New Roman" w:hAnsi="Times New Roman"/>
                <w:noProof/>
                <w:sz w:val="24"/>
                <w:u w:val="single" w:color="000000"/>
              </w:rPr>
            </w:pPr>
            <w:r>
              <w:rPr>
                <w:rFonts w:ascii="Times New Roman" w:hAnsi="Times New Roman"/>
                <w:noProof/>
                <w:sz w:val="24"/>
                <w:u w:val="single" w:color="000000"/>
              </w:rPr>
              <w:t>Ievads</w:t>
            </w:r>
          </w:p>
          <w:p w:rsidR="00506AA9" w:rsidRPr="001973D0" w:rsidRDefault="00506AA9" w:rsidP="005A7579">
            <w:pPr>
              <w:jc w:val="both"/>
              <w:rPr>
                <w:rFonts w:ascii="Times New Roman" w:hAnsi="Times New Roman"/>
                <w:noProof/>
                <w:sz w:val="24"/>
              </w:rPr>
            </w:pPr>
            <w:r>
              <w:rPr>
                <w:rFonts w:ascii="Times New Roman" w:hAnsi="Times New Roman"/>
                <w:noProof/>
                <w:sz w:val="24"/>
              </w:rPr>
              <w:t>Izņēmuma apstākļos ļoti īslaicīgu maksājuma termiņu gadījumā var novērot arī negatīvas procentu likmes.</w:t>
            </w:r>
          </w:p>
          <w:p w:rsidR="00506AA9" w:rsidRPr="001973D0" w:rsidRDefault="00506AA9" w:rsidP="005A7579">
            <w:pPr>
              <w:jc w:val="both"/>
              <w:rPr>
                <w:rFonts w:ascii="Times New Roman" w:hAnsi="Times New Roman"/>
                <w:noProof/>
                <w:sz w:val="24"/>
                <w:u w:val="single" w:color="000000"/>
              </w:rPr>
            </w:pPr>
            <w:r>
              <w:rPr>
                <w:rFonts w:ascii="Times New Roman" w:hAnsi="Times New Roman"/>
                <w:noProof/>
                <w:sz w:val="24"/>
                <w:u w:val="single" w:color="000000"/>
              </w:rPr>
              <w:t>Pamatinformācija</w:t>
            </w:r>
          </w:p>
          <w:p w:rsidR="00506AA9" w:rsidRPr="001973D0" w:rsidRDefault="00506AA9" w:rsidP="005A7579">
            <w:pPr>
              <w:jc w:val="both"/>
              <w:rPr>
                <w:rFonts w:ascii="Times New Roman" w:hAnsi="Times New Roman"/>
                <w:noProof/>
                <w:sz w:val="24"/>
              </w:rPr>
            </w:pPr>
            <w:r>
              <w:rPr>
                <w:rFonts w:ascii="Times New Roman" w:hAnsi="Times New Roman"/>
                <w:noProof/>
                <w:sz w:val="24"/>
              </w:rPr>
              <w:t>Negatīvas procentu likmes var būt tādām valstīm, kurām ir visai augsts starptautiskais reitings, likvīds parāda tirgus un attiecībā pret kurām ir labvēlīgas ieguldītāju prognozes.</w:t>
            </w:r>
          </w:p>
          <w:p w:rsidR="00506AA9" w:rsidRDefault="00506AA9" w:rsidP="005A7579">
            <w:pPr>
              <w:jc w:val="both"/>
              <w:rPr>
                <w:rFonts w:ascii="Times New Roman" w:hAnsi="Times New Roman"/>
                <w:noProof/>
                <w:sz w:val="24"/>
              </w:rPr>
            </w:pPr>
            <w:r>
              <w:rPr>
                <w:rFonts w:ascii="Times New Roman" w:hAnsi="Times New Roman"/>
                <w:noProof/>
                <w:sz w:val="24"/>
              </w:rPr>
              <w:t>Teorētiski maksājamajiem procentiem var izšķirt šādus komponentus:</w:t>
            </w:r>
          </w:p>
          <w:p w:rsidR="00506AA9" w:rsidRPr="001973D0" w:rsidRDefault="00506AA9" w:rsidP="005A7579">
            <w:pPr>
              <w:jc w:val="both"/>
              <w:rPr>
                <w:rFonts w:ascii="Times New Roman" w:hAnsi="Times New Roman"/>
                <w:noProof/>
                <w:sz w:val="24"/>
              </w:rPr>
            </w:pPr>
          </w:p>
          <w:p w:rsidR="00506AA9" w:rsidRPr="001973D0" w:rsidRDefault="00506AA9" w:rsidP="00506AA9">
            <w:pPr>
              <w:numPr>
                <w:ilvl w:val="1"/>
                <w:numId w:val="120"/>
              </w:numPr>
              <w:tabs>
                <w:tab w:val="left" w:pos="1462"/>
              </w:tabs>
              <w:ind w:left="709" w:hanging="425"/>
              <w:jc w:val="both"/>
              <w:rPr>
                <w:rFonts w:ascii="Times New Roman" w:hAnsi="Times New Roman"/>
                <w:noProof/>
                <w:sz w:val="24"/>
              </w:rPr>
            </w:pPr>
            <w:r>
              <w:rPr>
                <w:rFonts w:ascii="Times New Roman" w:hAnsi="Times New Roman"/>
                <w:noProof/>
                <w:sz w:val="24"/>
              </w:rPr>
              <w:t>bezriska likmi;</w:t>
            </w:r>
          </w:p>
          <w:p w:rsidR="00506AA9" w:rsidRPr="001973D0" w:rsidRDefault="00506AA9" w:rsidP="00506AA9">
            <w:pPr>
              <w:numPr>
                <w:ilvl w:val="1"/>
                <w:numId w:val="120"/>
              </w:numPr>
              <w:tabs>
                <w:tab w:val="left" w:pos="1462"/>
              </w:tabs>
              <w:ind w:left="709" w:hanging="425"/>
              <w:jc w:val="both"/>
              <w:rPr>
                <w:rFonts w:ascii="Times New Roman" w:hAnsi="Times New Roman"/>
                <w:noProof/>
                <w:sz w:val="24"/>
              </w:rPr>
            </w:pPr>
            <w:r>
              <w:rPr>
                <w:rFonts w:ascii="Times New Roman" w:hAnsi="Times New Roman"/>
                <w:noProof/>
                <w:sz w:val="24"/>
              </w:rPr>
              <w:t>riska prēmiju;</w:t>
            </w:r>
          </w:p>
          <w:p w:rsidR="00506AA9" w:rsidRPr="001973D0" w:rsidRDefault="00506AA9" w:rsidP="00506AA9">
            <w:pPr>
              <w:numPr>
                <w:ilvl w:val="1"/>
                <w:numId w:val="120"/>
              </w:numPr>
              <w:tabs>
                <w:tab w:val="left" w:pos="1462"/>
              </w:tabs>
              <w:ind w:left="709" w:hanging="425"/>
              <w:jc w:val="both"/>
              <w:rPr>
                <w:rFonts w:ascii="Times New Roman" w:hAnsi="Times New Roman"/>
                <w:noProof/>
                <w:sz w:val="24"/>
              </w:rPr>
            </w:pPr>
            <w:r>
              <w:rPr>
                <w:rFonts w:ascii="Times New Roman" w:hAnsi="Times New Roman"/>
                <w:noProof/>
                <w:sz w:val="24"/>
              </w:rPr>
              <w:t>izdevējas valdības pakalpojumu pret ieguldītāju.</w:t>
            </w:r>
          </w:p>
          <w:p w:rsidR="00506AA9" w:rsidRDefault="00506AA9" w:rsidP="005A7579">
            <w:pPr>
              <w:jc w:val="both"/>
              <w:rPr>
                <w:rFonts w:ascii="Times New Roman" w:hAnsi="Times New Roman"/>
                <w:noProof/>
                <w:sz w:val="24"/>
              </w:rPr>
            </w:pPr>
          </w:p>
          <w:p w:rsidR="00506AA9" w:rsidRPr="001973D0" w:rsidRDefault="00506AA9" w:rsidP="005A7579">
            <w:pPr>
              <w:jc w:val="both"/>
              <w:rPr>
                <w:rFonts w:ascii="Times New Roman" w:hAnsi="Times New Roman"/>
                <w:noProof/>
                <w:sz w:val="24"/>
              </w:rPr>
            </w:pPr>
            <w:r>
              <w:rPr>
                <w:rFonts w:ascii="Times New Roman" w:hAnsi="Times New Roman"/>
                <w:noProof/>
                <w:sz w:val="24"/>
              </w:rPr>
              <w:t>Ja ir negatīvas procentu likmes, riska prēmijas var nebūt. Pakalpojuma komponents attiecas uz tādas vides radīšanu, kas būtu labvēlīga ieguldītājiem.</w:t>
            </w:r>
          </w:p>
          <w:p w:rsidR="00506AA9" w:rsidRDefault="00506AA9" w:rsidP="005A7579">
            <w:pPr>
              <w:jc w:val="both"/>
              <w:rPr>
                <w:rFonts w:ascii="Times New Roman" w:hAnsi="Times New Roman"/>
                <w:noProof/>
                <w:sz w:val="24"/>
                <w:u w:val="single" w:color="000000"/>
              </w:rPr>
            </w:pPr>
          </w:p>
          <w:p w:rsidR="00506AA9" w:rsidRPr="001973D0" w:rsidRDefault="00506AA9" w:rsidP="005A7579">
            <w:pPr>
              <w:jc w:val="both"/>
              <w:rPr>
                <w:rFonts w:ascii="Times New Roman" w:hAnsi="Times New Roman"/>
                <w:noProof/>
                <w:sz w:val="24"/>
                <w:u w:val="single" w:color="000000"/>
              </w:rPr>
            </w:pPr>
            <w:r>
              <w:rPr>
                <w:rFonts w:ascii="Times New Roman" w:hAnsi="Times New Roman"/>
                <w:noProof/>
                <w:sz w:val="24"/>
                <w:u w:val="single" w:color="000000"/>
              </w:rPr>
              <w:t>Traktējums nacionālajos kontos</w:t>
            </w:r>
          </w:p>
          <w:p w:rsidR="00506AA9" w:rsidRPr="001973D0" w:rsidRDefault="00506AA9" w:rsidP="005A7579">
            <w:pPr>
              <w:jc w:val="both"/>
              <w:rPr>
                <w:rFonts w:ascii="Times New Roman" w:eastAsia="Arial" w:hAnsi="Times New Roman" w:cs="Arial"/>
                <w:noProof/>
                <w:sz w:val="24"/>
                <w:szCs w:val="20"/>
              </w:rPr>
            </w:pPr>
            <w:r>
              <w:rPr>
                <w:rFonts w:ascii="Times New Roman" w:hAnsi="Times New Roman"/>
                <w:noProof/>
                <w:sz w:val="24"/>
              </w:rPr>
              <w:t>Pirmkārt, šo finanšu instrumentu procentu likmēs pakalpojuma komponenta nošķiršana varētu radīt nopietnas problēmas. Saskanības labad šo elementu vajadzētu nošķirt arī pozitīvu procentu likmju gadījumā. Otrkārt, liela problēma varētu būt procentos iekļautā pakalpojuma komponenta vērtības aplēse, un tās noteikšanai būtu nepieciešams īpašs algoritms. Treškārt, uzskatāms, ka negatīvo procentu summas būs ārkārtējas un samērā mazas. Tāpēc pakalpojuma komponentu nenošķir.</w:t>
            </w:r>
          </w:p>
          <w:p w:rsidR="00506AA9" w:rsidRPr="001973D0" w:rsidRDefault="00506AA9" w:rsidP="005A7579">
            <w:pPr>
              <w:jc w:val="both"/>
              <w:rPr>
                <w:rFonts w:ascii="Times New Roman" w:hAnsi="Times New Roman"/>
                <w:noProof/>
                <w:sz w:val="24"/>
              </w:rPr>
            </w:pPr>
            <w:r>
              <w:rPr>
                <w:rFonts w:ascii="Times New Roman" w:hAnsi="Times New Roman"/>
                <w:noProof/>
                <w:sz w:val="24"/>
              </w:rPr>
              <w:t>Negatīvo procentu kopējā summa ir skatāma kā negatīvie procenti, ko maksā valdība, un kā negatīvie procenti, ko saņem ieguldītāji. Tāpēc veic šo negatīvo un pozitīvo procentu plūsmu ieskaitu valdības īstermiņa instrumentos.</w:t>
            </w:r>
          </w:p>
          <w:p w:rsidR="00506AA9" w:rsidRPr="001973D0" w:rsidRDefault="00506AA9" w:rsidP="005A7579">
            <w:pPr>
              <w:jc w:val="both"/>
              <w:rPr>
                <w:rFonts w:ascii="Times New Roman" w:hAnsi="Times New Roman"/>
                <w:noProof/>
                <w:sz w:val="24"/>
              </w:rPr>
            </w:pPr>
            <w:r>
              <w:rPr>
                <w:rFonts w:ascii="Times New Roman" w:hAnsi="Times New Roman"/>
                <w:noProof/>
                <w:sz w:val="24"/>
              </w:rPr>
              <w:t>Valsts kases dokumentu emitē saskaņā ar norunāto cenu, savukārt atpirkšanas vērtība ir noteikta emisijas nosacījumos. Vairumā gadījumu atpirkšanas vērtība ir 100 %. Ja valdības piedāvātā procentu likme ir pozitīva, emisija ir ar atlaidi, un ja procentu likme ir negatīva, emisija ir ar prēmiju.</w:t>
            </w:r>
          </w:p>
          <w:p w:rsidR="00506AA9" w:rsidRPr="0076531A" w:rsidRDefault="00506AA9" w:rsidP="005A7579">
            <w:pPr>
              <w:jc w:val="both"/>
              <w:rPr>
                <w:rFonts w:ascii="Times New Roman" w:hAnsi="Times New Roman"/>
                <w:noProof/>
                <w:sz w:val="24"/>
              </w:rPr>
            </w:pPr>
            <w:r>
              <w:rPr>
                <w:rFonts w:ascii="Times New Roman" w:hAnsi="Times New Roman"/>
                <w:noProof/>
                <w:sz w:val="24"/>
              </w:rPr>
              <w:t>Praksē negatīvo procentu summu var aprēķināt kā starpību starp emisijas cenu virs nomināla un atpirkšanas vērtību.</w:t>
            </w:r>
          </w:p>
        </w:tc>
      </w:tr>
    </w:tbl>
    <w:p w:rsidR="00506AA9" w:rsidRDefault="00506AA9" w:rsidP="00506AA9">
      <w:pPr>
        <w:jc w:val="both"/>
        <w:rPr>
          <w:rFonts w:ascii="Times New Roman" w:eastAsia="Arial" w:hAnsi="Times New Roman" w:cs="Arial"/>
          <w:noProof/>
          <w:sz w:val="24"/>
        </w:rPr>
      </w:pPr>
    </w:p>
    <w:p w:rsidR="00506AA9" w:rsidRDefault="00506AA9" w:rsidP="00506AA9">
      <w:pPr>
        <w:rPr>
          <w:rFonts w:ascii="Times New Roman" w:eastAsia="Arial" w:hAnsi="Times New Roman" w:cs="Arial"/>
          <w:noProof/>
          <w:sz w:val="24"/>
        </w:rPr>
      </w:pPr>
      <w:r>
        <w:br w:type="page"/>
      </w:r>
    </w:p>
    <w:p w:rsidR="00506AA9" w:rsidRDefault="00506AA9" w:rsidP="008862BF">
      <w:pPr>
        <w:pStyle w:val="Heading2"/>
        <w:rPr>
          <w:noProof/>
        </w:rPr>
      </w:pPr>
      <w:bookmarkStart w:id="590" w:name="VIII.3_Recording_of_swaps"/>
      <w:bookmarkStart w:id="591" w:name="_bookmark62"/>
      <w:bookmarkStart w:id="592" w:name="_Toc471135928"/>
      <w:bookmarkEnd w:id="590"/>
      <w:bookmarkEnd w:id="591"/>
      <w:r>
        <w:rPr>
          <w:noProof/>
        </w:rPr>
        <w:lastRenderedPageBreak/>
        <w:t xml:space="preserve">VIII.3. Mijmaiņas darījumu </w:t>
      </w:r>
      <w:bookmarkEnd w:id="592"/>
      <w:r w:rsidR="00536492">
        <w:rPr>
          <w:noProof/>
        </w:rPr>
        <w:t>ierakstīšana</w:t>
      </w:r>
    </w:p>
    <w:p w:rsidR="00506AA9" w:rsidRPr="001973D0" w:rsidRDefault="00506AA9" w:rsidP="00506AA9">
      <w:pPr>
        <w:tabs>
          <w:tab w:val="left" w:pos="1702"/>
        </w:tabs>
        <w:jc w:val="both"/>
        <w:rPr>
          <w:rFonts w:ascii="Times New Roman" w:hAnsi="Times New Roman"/>
          <w:b/>
          <w:noProof/>
          <w:sz w:val="24"/>
        </w:rPr>
      </w:pPr>
    </w:p>
    <w:p w:rsidR="00506AA9" w:rsidRDefault="00506AA9" w:rsidP="00506AA9">
      <w:pPr>
        <w:pStyle w:val="Heading4"/>
        <w:tabs>
          <w:tab w:val="left" w:pos="1653"/>
        </w:tabs>
        <w:ind w:left="0" w:firstLine="0"/>
        <w:jc w:val="both"/>
        <w:rPr>
          <w:rFonts w:ascii="Times New Roman" w:hAnsi="Times New Roman"/>
          <w:noProof/>
          <w:u w:val="thick" w:color="000000"/>
        </w:rPr>
      </w:pPr>
      <w:bookmarkStart w:id="593" w:name="VIII.3.1_Overview_on_swaps"/>
      <w:bookmarkEnd w:id="593"/>
      <w:r>
        <w:rPr>
          <w:rFonts w:ascii="Times New Roman" w:hAnsi="Times New Roman"/>
          <w:noProof/>
          <w:u w:val="none"/>
        </w:rPr>
        <w:t>VIII.3.1. </w:t>
      </w:r>
      <w:r>
        <w:rPr>
          <w:rFonts w:ascii="Times New Roman" w:hAnsi="Times New Roman"/>
          <w:noProof/>
          <w:u w:val="thick" w:color="000000"/>
        </w:rPr>
        <w:t>Pārskats par mijmaiņas darījumiem</w:t>
      </w:r>
    </w:p>
    <w:p w:rsidR="00506AA9" w:rsidRPr="001973D0" w:rsidRDefault="00506AA9" w:rsidP="00506AA9">
      <w:pPr>
        <w:pStyle w:val="Heading4"/>
        <w:tabs>
          <w:tab w:val="left" w:pos="1653"/>
        </w:tabs>
        <w:ind w:left="0" w:firstLine="0"/>
        <w:jc w:val="both"/>
        <w:rPr>
          <w:rFonts w:ascii="Times New Roman" w:hAnsi="Times New Roman"/>
          <w:noProof/>
          <w:u w:val="thick" w:color="000000"/>
        </w:rPr>
      </w:pP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Galvenie atvasināto finanšu instrumentu veidi ir mijmaiņas darījumi, iespēju līgumi un standartizētie nākotnes līgumi, taču katram šim veidam ir daudz atvasināto instrumentu paveidu un pat produktu, kuri sastāv no vairāku instrumentu veidu apvienojuma (sk. EKS 2010 5. nodaļu “Finanšu darījumi”). Šajā nodaļā galvenā uzmanība pievērsta mijmaiņas darījumiem, jo šie atvasinātie instrumenti tiek visbiežāk izmantoti saistībā ar valsts parāda pārvaldību.</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Mijmaiņas darījums ir juridiska divu pušu vienošanās nākotnē noteiktā laika posmā apmainīties ar periodiskiem maksājumiem. No vienas puses, tos izmanto daži ekonomikas subjekti, lai nodrošinātos pret riskiem, kas saistīti ar tirgus mainīgo lielumu, piemēram, attiecīgā finanšu instrumenta procentu likmi vai valūtas maiņas kursu (līdzīgi emitētai obligācijai), savukārt, no otras puses, tie ļauj subjektiem arī materializēt pašiem savas prognozes, izmantojot kopumā nozīmīgu “sviras efektu”. Mijmaiņas darījumu tirgū ļoti aktīva ir banku nozare.</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Daudzas valdības izmanto mijmaiņas darījumus kā finanšu līdzekli riska pārvaldības mērķiem. Attiecībā uz parādu šādu pārvaldību var izmantot, lai nodrošinātos pret valūtas maiņas kursa riskiem, ja parāds ir emitēts ārvalstu valūtā, kā arī samazinātu parāda izmaksu atbilstoši pašreizējai un prognozētajai ienesīguma līknei (visu īstermiņa/ilgtermiņa procentu likmju izmaiņas), kopējā saistību portfeļa optimizēšanai un nākotnes parāda instrumentu emisijas risku ierobežošanai.</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Valdības parāda pārvaldnieki var pieņemt lēmumu izmantot piemērotākos parāda pārvaldības līdzekļus atbilstoši saviem mērķiem un sarežģījumiem. Parasti nošķir “mikronodrošināšanu”, kas saistīta ar konkrētu parāda instrumentu, no “makronodrošināšanas”, kas attiecas uz plašāku no parāda instrumentu kopuma izrietošu risku. Riska pārvaldība var attiekties arī uz aktīviem, jo īpaši tad, ja valdības vienības pakļauj sevi riskam saistībā ar likviditātes ieguldījumiem. Riska pārvaldības jautājumos valdības parāda pārvaldnieki finanšu ministrijās vai citās šim mērķim izveidotās iestādēs būtībā rīkojas tāpat kā finanšu uzņēmumu un valsts kases speciālisti.</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Ļoti izplatīts tradicionālais veids ir “procentu likmes mijmaiņas darījumi” (</w:t>
      </w:r>
      <w:r>
        <w:rPr>
          <w:rFonts w:ascii="Times New Roman" w:hAnsi="Times New Roman"/>
          <w:i/>
          <w:noProof/>
          <w:sz w:val="24"/>
        </w:rPr>
        <w:t>IRS</w:t>
      </w:r>
      <w:r>
        <w:rPr>
          <w:rFonts w:ascii="Times New Roman" w:hAnsi="Times New Roman"/>
          <w:noProof/>
          <w:sz w:val="24"/>
        </w:rPr>
        <w:t>), kuru gadījumā puses vienojas par procentu plūsmu apmaiņu. Daudzos līgumos viena puse piekrīt maksāt otrai pusei fiksētu procentu likmi apmaiņā pret mainīgu procentu likmi (papildus atkarībā no tirgus apstākļiem, iespējams, iekļaujot pastāvīgu sadalīšanu). Maksājumiem var noteikt jebkādu termiņu, taču parasti tas ir pusgads vai gads. Tie var atšķirties arī katrai mijmaiņas darījuma daļai, un nereti attiecīgos gadījumos notiek neto norēķini.</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Sākumā abu pušu pienākumi ir līdzsvaroti, ko bieži sauc par “nominālu mijmaiņas darījumu”, kam ir nulles vērtība. Līguma darbības termiņa laikā, mainoties tirgus nosacījumiem (piemēram, mainīgajam valūtas kursam), viena puse potenciāli var gūt ienākumus, bet otrai pusei simetriski var rasties zaudējumi. Tādējādi mijmaiņas darījums vienai pusei radītu negatīvu vērtību (ko dēvē arī par “naudas līdzekļu nepietiekamību”) un simetriski pozitīvu vērtību (“naudas līdzekļu pietiekamību”) otrai pusei.</w:t>
      </w:r>
    </w:p>
    <w:p w:rsidR="00506AA9" w:rsidRPr="0076531A"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Daudzos procentu likmju mijmaiņas darījumu līgumos paredz vienas un tās pašas valūtas maiņu saskaņā ar nosacījumu “fiksēta likme pret mainīgu likmi”, kas ir standarta darījums. Pēdējo divu desmitgažu laikā tirgos ir parādījušies daudzi citi mijmaiņas darījumu veidi, piemēram, “mainīgās likmes mijmaiņas darījumi” (“mainīga likme pret mainīgu likmi”), inflācijas mijmaiņas darījumi (maksājumi vienā daļā ir atkarīgi no </w:t>
      </w:r>
      <w:r>
        <w:rPr>
          <w:rFonts w:ascii="Times New Roman" w:hAnsi="Times New Roman"/>
          <w:noProof/>
          <w:sz w:val="24"/>
        </w:rPr>
        <w:lastRenderedPageBreak/>
        <w:t>cenas indeksa maiņas), amortizācijas mijmaiņas darījumi (nosacītās summas samazināšanās), aktīvu mijmaiņas darījumi (attiecīgā instrumenta pārvēršana skaidras naudas plūsmā), fiksēta termiņa mijmaiņas darījumi (periodisks procentu atlikums par vienu darījuma daļu), kopējās peļņas mijmaiņas darījumi (ieņēmumu no aktīviem un ar tiem saistīto risku apmaiņa), preču mijmaiņas darījumi (mainīgā cena pret fiksēto cenu) un dažādi uzkrājuma mijmaiņas darījumi.</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Varētu pievienot vēl arī “parāda apmaiņas pret pašu kapitālu darījumus”, “dividenžu mijmaiņas darījumus” utt. Nav konstatēts, ka daudzus iepriekš minētos veidus (kas minēti tikai kā piemērs) plaši izmantotu valdības vienības, jo īpaši centrālās valdības parāda vai valsts kases pārvaldnieki. Tos tomēr var veikt publiskās sabiedrības, kas iekļautas valdības sektorā.</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Turklāt ir būtiski attīstījušies ar kredītriskiem saistītie mijmaiņas darījumi, piemēram, kredītsaistību nepildīšanas mijmaiņas līgumi (</w:t>
      </w:r>
      <w:r>
        <w:rPr>
          <w:rFonts w:ascii="Times New Roman" w:hAnsi="Times New Roman"/>
          <w:i/>
          <w:noProof/>
          <w:sz w:val="24"/>
        </w:rPr>
        <w:t>CDS</w:t>
      </w:r>
      <w:r>
        <w:rPr>
          <w:rFonts w:ascii="Times New Roman" w:hAnsi="Times New Roman"/>
          <w:noProof/>
          <w:sz w:val="24"/>
        </w:rPr>
        <w:t xml:space="preserve">), kas būtībā ir apdrošināšanas mehānisms pret kreditoru saistību neizpildes gadījumiem (sk. EKS 2010 5.218. punkts). Šķiet, valdība nepiedalās šādos darījumos, bet </w:t>
      </w:r>
      <w:r>
        <w:rPr>
          <w:rFonts w:ascii="Times New Roman" w:hAnsi="Times New Roman"/>
          <w:i/>
          <w:noProof/>
          <w:sz w:val="24"/>
        </w:rPr>
        <w:t>CDS</w:t>
      </w:r>
      <w:r>
        <w:rPr>
          <w:rFonts w:ascii="Times New Roman" w:hAnsi="Times New Roman"/>
          <w:noProof/>
          <w:sz w:val="24"/>
        </w:rPr>
        <w:t xml:space="preserve"> par suverēnu parādu parasti ir būtiski tirgus signāli un ir galvenā šādu instrumentu kategorija.</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Valūtas mijmaiņas darījumi (un tuvi atvasinātie instrumenti, sk. turpmāk) darbojas līdzīgi. Visbiežāk tie ir saistīti ar pakārtotajiem aizdevumiem vai vērtspapīriem un puses apmainās ar plūsmām, kas izteiktas dažādās valūtās. Tos izmanto parāda pārvaldītāji, kas emitējuši vērtspapīrus ārvalstu valūtā un vēlas (bieži vien gan tas faktiski ir pienākums, jo nav pieļaujams pakļaut sevi valūtas maiņas kursa riskam) nodrošināties pret valūtas riskiem, kuriem tie ir pakļauti. Pastāv dažādi valūtas mijmaiņas darījumu veidi, kas atšķiras pēc pamatsummas apmaiņas laika un piemērotās procentu likmes īpatnībām (“fiksēta likme pret fiksētu likmi”, “fiksēta likme pret mainīgu likmi”).</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Izplatītākie valūtas mijmaiņas darījumi, kuros apmainās ar pamatsummu gan sākuma, gan beigu datumā, ļauj aizņēmējam vienā valūtā pilnīgi nodrošināties pret saistīto valūtas maiņas kursa risku, it kā sākotnējā valūta būtu izteikta citā valūtā. Bieži konstatē, ka valsts vienības ne tikai vietējā tirgū, kas ir samērā šaurs, bet pat eirozonā, kur ir izvērsti un plaši finanšu tirgi, emitē parāda daļu ārvalstu valūtās (proti, ASV dolāros, Japānas jenās, Lielbritānijas sterliņu mārciņās vai Šveices frankos) dažādu iemeslu dēļ, piemēram, lai paplašinātu investoru bāzi vai gūtu labumu no zemākām galīgajām aizņemšanās izmaksām noteiktos tirgus apstākļos.</w:t>
      </w:r>
      <w:r>
        <w:rPr>
          <w:rStyle w:val="FootnoteReference"/>
          <w:rFonts w:ascii="Times New Roman" w:hAnsi="Times New Roman"/>
          <w:noProof/>
          <w:sz w:val="24"/>
        </w:rPr>
        <w:footnoteReference w:id="290"/>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Mijmaiņas darījumu izmantojums katrā ES dalībvalstī ir atšķirīgs dažādu iemeslu dēļ, kas saistīti ar iekšējiem noteikumiem, parāda stratēģiju, parāda struktūru utt. Parāda pārvaldniekiem ir atšķirīgi viedokļi par to, kādā apjomā šāds parāda pārvaldības rīks un/vai riska pārvaldība varētu būt pienācīga. Var konstatēt vairākus mērķus, tādus kā parāda maksājuma termiņa maiņa, piemēram, pārveidojot ilgtermiņa parādu par īstermiņa parādu, attiecībā uz jutību pret tirgus likmēm (valdība maksā (mainīgo) īstermiņa likmi un saņem (fiksēto) ilgtermiņa likmi, kas attiecas uz konkrēto kuponu, vai vidējo likmi makronodrošināšanās gadījumā). Mijmaiņas darījumus var izmantot arī refinansēšanas risku samazināšanai, pamatojoties uz kādām konkrētām prognozēm, kas saistītas ar ienesīguma līknes izmaiņām.</w:t>
      </w:r>
    </w:p>
    <w:p w:rsidR="00506AA9" w:rsidRPr="0076531A"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Arī pats mijmaiņas darījumu portfelis var ierosināt aktīvu pārvaldību gadījumā, ja valdība jau ir iesaistījusies vai dažos gadījumos vēl tikai iesaistīsies līgumos, kuru nosacījumi vairs nešķiet “optimāli” kādā brīdī nākotnē vai pēc tirgus prognožu pārskatīšanas. Valdība var iesaistīties “kompensējošā” mijmaiņas darījumā, kurš varētu negatīvi dublēt (cik vien iespējams) ar attiecīgo līgumu saistīto pakļaušanu sevi riskam, tādējādi varētu notikt jebkādas negatīvās ietekmes neitralizācija (vai kvazineitralizācija). Citos gadījumos (ja atļauts) varētu būt dažādas citas vienošanās, </w:t>
      </w:r>
      <w:r>
        <w:rPr>
          <w:rFonts w:ascii="Times New Roman" w:hAnsi="Times New Roman"/>
          <w:noProof/>
          <w:sz w:val="24"/>
        </w:rPr>
        <w:lastRenderedPageBreak/>
        <w:t>piemēram, darījuma pusei piešķir pastāvīgas tiesības vai tiesības kādos abpusēji saskaņotos datumos līguma darbības laikā anulēt mijmaiņas darījumu.</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Parasti, anulējot mijmaiņas darījumu, viena puse samaksā kompensāciju otrai pusei, kas kopumā ir vienāda ar mijmaiņas darījuma tirgus vērtību; procentu likmes mijmaiņas darījuma (</w:t>
      </w:r>
      <w:r>
        <w:rPr>
          <w:rFonts w:ascii="Times New Roman" w:hAnsi="Times New Roman"/>
          <w:i/>
          <w:noProof/>
          <w:sz w:val="24"/>
        </w:rPr>
        <w:t>IRS</w:t>
      </w:r>
      <w:r>
        <w:rPr>
          <w:rFonts w:ascii="Times New Roman" w:hAnsi="Times New Roman"/>
          <w:noProof/>
          <w:sz w:val="24"/>
        </w:rPr>
        <w:t>) gadījumā tā ir nākotnes plūsmu pašreizējā vērtība tiem procentiem, kuri nākotnē tiktu apmainīti (to sauc par “mijmaiņas darījuma iesaldēšanu”, proti, visi mijmaiņas darījuma mainīgie elementi tiek nofiksēti, pamatojoties uz anulēšanas brīdī pastāvošajiem nosacījumiem). Plūsmas traktē kā finanšu darījumus, kas neietekmē valdības neto aizdevumu/aizņēmumu. Taču var gadīties, ka maksājums ir jāsadala uz visu atlikušo līguma darbības term</w:t>
      </w:r>
      <w:r w:rsidR="00536492">
        <w:rPr>
          <w:rFonts w:ascii="Times New Roman" w:hAnsi="Times New Roman"/>
          <w:noProof/>
          <w:sz w:val="24"/>
        </w:rPr>
        <w:t>iņu. Šādā gadījumā ir jāieraksta</w:t>
      </w:r>
      <w:r>
        <w:rPr>
          <w:rFonts w:ascii="Times New Roman" w:hAnsi="Times New Roman"/>
          <w:noProof/>
          <w:sz w:val="24"/>
        </w:rPr>
        <w:t xml:space="preserve"> valdības parādā iekļautais aizdevums. Nosacītie procenti ietekmēs neto a</w:t>
      </w:r>
      <w:r w:rsidR="00536492">
        <w:rPr>
          <w:rFonts w:ascii="Times New Roman" w:hAnsi="Times New Roman"/>
          <w:noProof/>
          <w:sz w:val="24"/>
        </w:rPr>
        <w:t>izdevumu/aizņēmumu. Ierakstīšanu</w:t>
      </w:r>
      <w:r>
        <w:rPr>
          <w:rFonts w:ascii="Times New Roman" w:hAnsi="Times New Roman"/>
          <w:noProof/>
          <w:sz w:val="24"/>
        </w:rPr>
        <w:t xml:space="preserve"> nacionālajos kontos (summas un laiks) veic, pamatojoties uz naudas apmaiņu starp līgumslēdzējiem.</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653"/>
        </w:tabs>
        <w:ind w:left="0" w:firstLine="0"/>
        <w:jc w:val="both"/>
        <w:rPr>
          <w:rFonts w:ascii="Times New Roman" w:hAnsi="Times New Roman"/>
          <w:noProof/>
          <w:u w:val="thick" w:color="000000"/>
        </w:rPr>
      </w:pPr>
      <w:bookmarkStart w:id="594" w:name="VIII.3.2_Treatment_of_debt_in_foreign_cu"/>
      <w:bookmarkEnd w:id="594"/>
      <w:r>
        <w:rPr>
          <w:rFonts w:ascii="Times New Roman" w:hAnsi="Times New Roman"/>
          <w:noProof/>
          <w:u w:val="none"/>
        </w:rPr>
        <w:t>VIII.3.2. </w:t>
      </w:r>
      <w:r>
        <w:rPr>
          <w:rFonts w:ascii="Times New Roman" w:hAnsi="Times New Roman"/>
          <w:noProof/>
          <w:u w:val="thick" w:color="000000"/>
        </w:rPr>
        <w:t xml:space="preserve">Parāda ārvalstu valūtā traktējums saskaņā ar </w:t>
      </w:r>
      <w:r>
        <w:rPr>
          <w:rFonts w:ascii="Times New Roman" w:hAnsi="Times New Roman"/>
          <w:i/>
          <w:noProof/>
          <w:u w:val="thick" w:color="000000"/>
        </w:rPr>
        <w:t>EDP</w:t>
      </w:r>
    </w:p>
    <w:p w:rsidR="00506AA9" w:rsidRPr="001973D0" w:rsidRDefault="00506AA9" w:rsidP="00506AA9">
      <w:pPr>
        <w:pStyle w:val="Heading4"/>
        <w:tabs>
          <w:tab w:val="left" w:pos="1653"/>
        </w:tabs>
        <w:ind w:left="0" w:firstLine="0"/>
        <w:jc w:val="both"/>
        <w:rPr>
          <w:rFonts w:ascii="Times New Roman" w:hAnsi="Times New Roman"/>
          <w:noProof/>
          <w:u w:val="thick" w:color="000000"/>
        </w:rPr>
      </w:pP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Papildus ārvalstu valūtu iespējas līgumiem un ārvalstu valūtu standartizētajiem nākotnes līgumiem, kuru apmaiņa notiek organizētā tirgū vai “ārpus biržas”,</w:t>
      </w:r>
      <w:r>
        <w:rPr>
          <w:rStyle w:val="FootnoteReference"/>
          <w:rFonts w:ascii="Times New Roman" w:hAnsi="Times New Roman"/>
          <w:noProof/>
          <w:sz w:val="24"/>
        </w:rPr>
        <w:footnoteReference w:id="291"/>
      </w:r>
      <w:r>
        <w:rPr>
          <w:rFonts w:ascii="Times New Roman" w:hAnsi="Times New Roman"/>
          <w:noProof/>
          <w:sz w:val="24"/>
        </w:rPr>
        <w:t xml:space="preserve"> ir vairākas darījumu kategorijas ar atvasinātajiem instrumentiem, kuriem kopīgs ir tas, ka tiek veikta pamatsummu apmaiņa dažādās valūtās. Ārvalstu valūtu mijmaiņas darījuma līgums paredz valūtu tūlītēju pārdevumu/pirkumu, vienlaikus apņemoties veikt to pašu valūtu pirkumus/pārdevumus nākotnē. Ārvalstu valūtas maiņas nākotnes līgums paredz apņemšanos noslēgt darījumu konkrētā nākotnes datumā un atbilstoši saskaņotam valūtas maiņas par noteiktu konkrētas ārvalstu valūtas summu.</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Valūtas mijmaiņas darījumi (kurus sauc arī par “procentu likmes mijmaiņas darījumiem dažādās valūtās”, turpmāk tekstā</w:t>
      </w:r>
      <w:r w:rsidR="005A7579">
        <w:rPr>
          <w:rFonts w:ascii="Times New Roman" w:hAnsi="Times New Roman"/>
          <w:noProof/>
          <w:sz w:val="24"/>
        </w:rPr>
        <w:t xml:space="preserve"> </w:t>
      </w:r>
      <w:r>
        <w:rPr>
          <w:rFonts w:ascii="Times New Roman" w:hAnsi="Times New Roman"/>
          <w:noProof/>
          <w:sz w:val="24"/>
        </w:rPr>
        <w:t>–“</w:t>
      </w:r>
      <w:r>
        <w:rPr>
          <w:rFonts w:ascii="Times New Roman" w:hAnsi="Times New Roman"/>
          <w:i/>
          <w:noProof/>
          <w:sz w:val="24"/>
        </w:rPr>
        <w:t>CCS</w:t>
      </w:r>
      <w:r>
        <w:rPr>
          <w:rFonts w:ascii="Times New Roman" w:hAnsi="Times New Roman"/>
          <w:noProof/>
          <w:sz w:val="24"/>
        </w:rPr>
        <w:t>”) ir viens no izplatītākajiem darījuma veidiem, ko valsts vienības izmanto saistībā ar valūtas maiņas kursu. Saskaņā ar šiem līgumiem puses apņemas apmainīties ar dažādās valūtās izteiktām plūsmām gan attiecībā uz pamatsummu, gan procentiem (sk. arī EKS 2010 5.213. punktu). Pastāv dažādi valūtas mijmaiņas darījumu veidi, kas atšķiras pēc pamatsummas apmaiņas laika un piemērotās procentu likmes īpatnībām (“fiksēta likme pret fiksētu likmi”, “fiksēta likme pret mainīgu likmi”).</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Izplatīti ir darījumi, kuros apmainās ar pamatsummu gan sākuma, gan beigu datumā, kas ļauj aizņēmējam vienā valūtā pilnīgi nodrošināties pret saistīto valūtas maiņas kursa risku, it kā sākotnējā valūta būtu izteikta citā valūtā. Tiek bieži konstatēts, ka valdības vienības pat eirozonā, kur ir izvērsti un plaši finanšu tirgi, emitē nelielu sava parāda daļu ārvalstu valūtās (proti, ASV dolāros, Šveices frankos un Japānas jenās) dažādu iemeslu dēļ, piemēram, lai paplašinātu investoru bāzi vai gūtu labumu no zemākām galīgajām aizņemšanās izmaksām.</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Visas saskaņā ar atvasinātiem līgumiem veiktās plūsmas, kas attiecas uz</w:t>
      </w:r>
      <w:r w:rsidR="00536492">
        <w:rPr>
          <w:rFonts w:ascii="Times New Roman" w:hAnsi="Times New Roman"/>
          <w:noProof/>
          <w:sz w:val="24"/>
        </w:rPr>
        <w:t xml:space="preserve"> ārvalstu valūtām, ir jāieraksta</w:t>
      </w:r>
      <w:r>
        <w:rPr>
          <w:rFonts w:ascii="Times New Roman" w:hAnsi="Times New Roman"/>
          <w:noProof/>
          <w:sz w:val="24"/>
        </w:rPr>
        <w:t xml:space="preserve"> kā finanšu darījumi gan nacionālajos kontos, gan arī </w:t>
      </w:r>
      <w:r>
        <w:rPr>
          <w:rFonts w:ascii="Times New Roman" w:hAnsi="Times New Roman"/>
          <w:i/>
          <w:noProof/>
          <w:sz w:val="24"/>
        </w:rPr>
        <w:t>EDP</w:t>
      </w:r>
      <w:r>
        <w:rPr>
          <w:rFonts w:ascii="Times New Roman" w:hAnsi="Times New Roman"/>
          <w:noProof/>
          <w:sz w:val="24"/>
        </w:rPr>
        <w:t xml:space="preserve"> statistikā. Sais</w:t>
      </w:r>
      <w:r w:rsidR="00E0064A">
        <w:rPr>
          <w:rFonts w:ascii="Times New Roman" w:hAnsi="Times New Roman"/>
          <w:noProof/>
          <w:sz w:val="24"/>
        </w:rPr>
        <w:t>tībā ar parāda apjoma aprēķiniem</w:t>
      </w:r>
      <w:r>
        <w:rPr>
          <w:rFonts w:ascii="Times New Roman" w:hAnsi="Times New Roman"/>
          <w:noProof/>
          <w:sz w:val="24"/>
        </w:rPr>
        <w:t xml:space="preserve">, kas veicami </w:t>
      </w:r>
      <w:r>
        <w:rPr>
          <w:rFonts w:ascii="Times New Roman" w:hAnsi="Times New Roman"/>
          <w:i/>
          <w:noProof/>
          <w:sz w:val="24"/>
        </w:rPr>
        <w:t>EDP</w:t>
      </w:r>
      <w:r>
        <w:rPr>
          <w:rFonts w:ascii="Times New Roman" w:hAnsi="Times New Roman"/>
          <w:noProof/>
          <w:sz w:val="24"/>
        </w:rPr>
        <w:t xml:space="preserve"> vajadzībām, uz visiem trijiem līgumu veidiem attiecas grozītā Padomes Regula (EK) Nr. 479/2009. Šie noteikumi ir sīkāk skatīti turpmākajos punktos. Attiecīgā gadījumā tiek pieņemts, ka sākotnēji apmainītā ārvalstu valūtas summa ir iegūta no konkrētā parāda instrumenta (ar jebkādu maksājuma termiņu) ieņēmumiem, turpretī līguma darbības laikā saņemtā ārvalstu valūtas summa faktiski tiek izmantota konkrētā parāda instrumenta atpirkšanai, </w:t>
      </w:r>
      <w:r>
        <w:rPr>
          <w:rFonts w:ascii="Times New Roman" w:hAnsi="Times New Roman"/>
          <w:noProof/>
          <w:sz w:val="24"/>
        </w:rPr>
        <w:lastRenderedPageBreak/>
        <w:t>kas, iespējams, atšķiras no iepriekšējā līguma.</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Lai aprēķinātu valdības parādu </w:t>
      </w:r>
      <w:r>
        <w:rPr>
          <w:rFonts w:ascii="Times New Roman" w:hAnsi="Times New Roman"/>
          <w:i/>
          <w:noProof/>
          <w:sz w:val="24"/>
        </w:rPr>
        <w:t>EDP</w:t>
      </w:r>
      <w:r>
        <w:rPr>
          <w:rFonts w:ascii="Times New Roman" w:hAnsi="Times New Roman"/>
          <w:noProof/>
          <w:sz w:val="24"/>
        </w:rPr>
        <w:t xml:space="preserve"> vajadzībām, ir vērts aprakstīt, kā saistības, kas ir izteiktas ārvalstu valūtā vai kas apmainītas no ārvalstu valūtas un/vai ā</w:t>
      </w:r>
      <w:r w:rsidR="00536492">
        <w:rPr>
          <w:rFonts w:ascii="Times New Roman" w:hAnsi="Times New Roman"/>
          <w:noProof/>
          <w:sz w:val="24"/>
        </w:rPr>
        <w:t>rvalstu valūtā, tiek ierakstītas</w:t>
      </w:r>
      <w:r>
        <w:rPr>
          <w:rFonts w:ascii="Times New Roman" w:hAnsi="Times New Roman"/>
          <w:noProof/>
          <w:sz w:val="24"/>
        </w:rPr>
        <w:t>. To sauc arī par “pēc mijmaiņ</w:t>
      </w:r>
      <w:r w:rsidR="00536492">
        <w:rPr>
          <w:rFonts w:ascii="Times New Roman" w:hAnsi="Times New Roman"/>
          <w:noProof/>
          <w:sz w:val="24"/>
        </w:rPr>
        <w:t>as darījuma” parāda ierakstīšanu</w:t>
      </w:r>
      <w:r>
        <w:rPr>
          <w:rFonts w:ascii="Times New Roman" w:hAnsi="Times New Roman"/>
          <w:noProof/>
          <w:sz w:val="24"/>
        </w:rPr>
        <w:t>.</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Ārvalstu valūtās izteiktu parāda instrumentu konvertācija ir vajadzīga, lai varētu apkopot skaitļus un aprēķināt “valsts konsolidētā bruto parāda” kopsummu. Konvertācija, ko veic kādā brīdī, nozīmē, ka tiek izmantots konkrēts maiņas kurss. Tas nenozīmē, ka parādu noteikti atlīdzinās par to summu, kas izriet no konvertācijas šajā brīdī, jo mainīgu apstākļu dēļ ir iespējamas izmaiņas nākotnes valūtas maiņas kursā. Tādējādi nebūtu nozīmes atsaukties uz maiņas kursu, kas ir spēkā laikā, kad uzņemas jaunas saistības.</w:t>
      </w:r>
    </w:p>
    <w:p w:rsidR="00506AA9"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Grozītajā Padomes Regulā (EK) Nr.479/2009 noteikts:</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numPr>
          <w:ilvl w:val="1"/>
          <w:numId w:val="103"/>
        </w:numPr>
        <w:tabs>
          <w:tab w:val="left" w:pos="1344"/>
        </w:tabs>
        <w:ind w:left="1134" w:hanging="425"/>
        <w:jc w:val="both"/>
        <w:rPr>
          <w:rFonts w:ascii="Times New Roman" w:hAnsi="Times New Roman"/>
          <w:i/>
          <w:noProof/>
          <w:sz w:val="24"/>
        </w:rPr>
      </w:pPr>
      <w:r>
        <w:rPr>
          <w:rFonts w:ascii="Times New Roman" w:hAnsi="Times New Roman"/>
          <w:i/>
          <w:noProof/>
          <w:sz w:val="24"/>
        </w:rPr>
        <w:t>Ārvalstu valūtā denominētas saistības vai saistības, ko saskaņā ar līgumiem no vienas ārvalstu valūtas konvertē vienā vai vairākās citās ārvalstu valūtās, konvertē citās ārvalstu valūtās pēc kursa, kas noteikts attiecīgajos līgumos, un valsts valūtā tās konvertē pēc reprezentatīva tirgus valūtas maiņas kursa, ko piemēro katra gada pēdējā darbadienā.</w:t>
      </w:r>
    </w:p>
    <w:p w:rsidR="00506AA9" w:rsidRPr="001973D0" w:rsidRDefault="00506AA9" w:rsidP="00506AA9">
      <w:pPr>
        <w:numPr>
          <w:ilvl w:val="1"/>
          <w:numId w:val="103"/>
        </w:numPr>
        <w:tabs>
          <w:tab w:val="left" w:pos="1413"/>
        </w:tabs>
        <w:ind w:left="1134" w:hanging="425"/>
        <w:jc w:val="both"/>
        <w:rPr>
          <w:rFonts w:ascii="Times New Roman" w:hAnsi="Times New Roman"/>
          <w:i/>
          <w:noProof/>
          <w:sz w:val="24"/>
        </w:rPr>
      </w:pPr>
      <w:r>
        <w:rPr>
          <w:rFonts w:ascii="Times New Roman" w:hAnsi="Times New Roman"/>
          <w:i/>
          <w:noProof/>
          <w:sz w:val="24"/>
        </w:rPr>
        <w:t>Valsts valūtā denominētas saistības, ko saskaņā ar līgumiem konvertē ārvalstu valūtā, attiecīgajā ārvalstu valūtā konvertē pēc kursa, kas noteikts attiecīgajos līgumos, un valsts valūtā tās konvertē pēc reprezentatīva tirgus valūtas maiņas kursa, ko piemēro katra gada pēdējā darbadienā.</w:t>
      </w:r>
    </w:p>
    <w:p w:rsidR="00506AA9" w:rsidRDefault="00506AA9" w:rsidP="00506AA9">
      <w:pPr>
        <w:numPr>
          <w:ilvl w:val="1"/>
          <w:numId w:val="103"/>
        </w:numPr>
        <w:tabs>
          <w:tab w:val="left" w:pos="1317"/>
        </w:tabs>
        <w:ind w:left="1134" w:hanging="425"/>
        <w:jc w:val="both"/>
        <w:rPr>
          <w:rFonts w:ascii="Times New Roman" w:hAnsi="Times New Roman"/>
          <w:noProof/>
          <w:sz w:val="24"/>
        </w:rPr>
      </w:pPr>
      <w:r>
        <w:rPr>
          <w:rFonts w:ascii="Times New Roman" w:hAnsi="Times New Roman"/>
          <w:i/>
          <w:noProof/>
          <w:sz w:val="24"/>
        </w:rPr>
        <w:t>Saistības ārvalstu valūtā un saskaņā ar līgumiem valsts valūtā konvertētas saistības valsts valūtā konvertē pēc kursa, kas noteikts attiecīgajos līgumos.</w:t>
      </w:r>
    </w:p>
    <w:p w:rsidR="00506AA9" w:rsidRPr="001973D0" w:rsidRDefault="00506AA9" w:rsidP="00506AA9">
      <w:pPr>
        <w:tabs>
          <w:tab w:val="left" w:pos="1317"/>
        </w:tabs>
        <w:rPr>
          <w:rFonts w:ascii="Times New Roman" w:hAnsi="Times New Roman"/>
          <w:noProof/>
          <w:sz w:val="24"/>
        </w:rPr>
      </w:pPr>
    </w:p>
    <w:p w:rsidR="00506AA9" w:rsidRPr="006B6237"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Tādējādi, kad ārvalstu valūtā izteiktu parāda instrumentu mijmaiņas darījumā maina uz valsts valūtu, konvertācija uz valsts valūtu jāveic, pamatojoties uz “šajos līgumos noteikto likmi”. Vairumā gadījumu šis valūtas maiņas kurss ir tūlītējā tirgus likme, kas bija spēkā darījuma brīdī, bet tas var atšķirties (sk. VIII.3.3. iedaļu “Ārpusbiržas mijmaiņas darījumi”). Līguma darbības laikā, nosakot mijmaiņas darījuma vērtību, tiks ņemtas vērā abu līgumā iesaistīto valūtu maiņas kursa tirgus tendences.</w:t>
      </w:r>
    </w:p>
    <w:p w:rsidR="00506AA9" w:rsidRPr="001973D0"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Faktiski parāda pārvaldnieki var izmantot atvasinātus finanšu instrumentus ne tikai tam, lai novērstu/mazinātu jebkādu maiņas risku, kas izriet no jauno saistību sākotnējās rašanās. Viņi var mēģināt arī samazināt galīgās aizņemšanās izmaksas. Saskaņā ar šādiem nosacījumiem viņi var slēgt mijmaiņas darījumu līgumus, ar kuriem viņi nodrošinās pret valūtas maiņas kursa risku, gūstot labumu no tirgus iespējām (vai kļūmēm). Atbilstoši savām prognozēm parāda pārvaldnieki tos ieņēmumus vienā valūtā, kas radušies parāda emisijas dēļ, mijmaiņas darījumos var pārrēķināt citā ārvalstu valūtā. Šajā gadījumā jāpiemēro tāds pats pamatojums kā mijmaiņas darījumiem valsts valūtā. Tiek mainīta parāda valūtas denominācija.</w:t>
      </w:r>
    </w:p>
    <w:p w:rsidR="00506AA9"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t>Šajā gadījumā ir jāievēro pakāpeniska pieeja:</w:t>
      </w:r>
    </w:p>
    <w:p w:rsidR="00506AA9" w:rsidRPr="001973D0"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numPr>
          <w:ilvl w:val="1"/>
          <w:numId w:val="103"/>
        </w:numPr>
        <w:tabs>
          <w:tab w:val="left" w:pos="1452"/>
        </w:tabs>
        <w:spacing w:before="0"/>
        <w:ind w:left="1134" w:hanging="425"/>
        <w:jc w:val="both"/>
        <w:rPr>
          <w:rFonts w:ascii="Times New Roman" w:hAnsi="Times New Roman"/>
          <w:noProof/>
          <w:sz w:val="24"/>
        </w:rPr>
      </w:pPr>
      <w:r>
        <w:rPr>
          <w:rFonts w:ascii="Times New Roman" w:hAnsi="Times New Roman"/>
          <w:noProof/>
          <w:sz w:val="24"/>
        </w:rPr>
        <w:t>pirmkārt, parāda instrumentu konvertē valūtā, kas saņemta mijmaiņas darījuma līguma sākumā, pamatojoties uz abu ārvalstu valūtu savstarpējo maiņas kursu, kurš noteikts līgumā;</w:t>
      </w:r>
    </w:p>
    <w:p w:rsidR="00506AA9" w:rsidRPr="001973D0" w:rsidRDefault="00506AA9" w:rsidP="00506AA9">
      <w:pPr>
        <w:pStyle w:val="BodyText"/>
        <w:numPr>
          <w:ilvl w:val="1"/>
          <w:numId w:val="103"/>
        </w:numPr>
        <w:tabs>
          <w:tab w:val="left" w:pos="1452"/>
        </w:tabs>
        <w:spacing w:before="0"/>
        <w:ind w:left="1134" w:hanging="425"/>
        <w:jc w:val="both"/>
        <w:rPr>
          <w:rFonts w:ascii="Times New Roman" w:hAnsi="Times New Roman"/>
          <w:noProof/>
          <w:sz w:val="24"/>
        </w:rPr>
      </w:pPr>
      <w:r>
        <w:rPr>
          <w:rFonts w:ascii="Times New Roman" w:hAnsi="Times New Roman"/>
          <w:noProof/>
          <w:sz w:val="24"/>
        </w:rPr>
        <w:t>pēc tam konvertāciju valsts valūtā pamato ar pašreizējo maiņas kursu, kas attiecībā uz valūtu, kura iegūta pirmajā konvertācijā, ir spēkā gada beigās;</w:t>
      </w:r>
    </w:p>
    <w:p w:rsidR="00506AA9" w:rsidRDefault="00506AA9" w:rsidP="00506AA9">
      <w:pPr>
        <w:pStyle w:val="BodyText"/>
        <w:numPr>
          <w:ilvl w:val="1"/>
          <w:numId w:val="103"/>
        </w:numPr>
        <w:tabs>
          <w:tab w:val="left" w:pos="1452"/>
        </w:tabs>
        <w:spacing w:before="0"/>
        <w:ind w:left="1134" w:hanging="425"/>
        <w:jc w:val="both"/>
        <w:rPr>
          <w:rFonts w:ascii="Times New Roman" w:hAnsi="Times New Roman"/>
          <w:noProof/>
          <w:sz w:val="24"/>
        </w:rPr>
      </w:pPr>
      <w:r>
        <w:rPr>
          <w:rFonts w:ascii="Times New Roman" w:hAnsi="Times New Roman"/>
          <w:noProof/>
          <w:sz w:val="24"/>
        </w:rPr>
        <w:t>ja ir “secīgu mijmaiņas darījumu ķēde” dažādās ārvalstu valūtās, ir jānosaka galīgā valūta, kurā parāds ir izteikts, un konvertāciju valsts valūtā veic, pamatojoties uz kārtējo valūtas maiņas kursu pret šo ārvalstu valūtu.</w:t>
      </w:r>
    </w:p>
    <w:p w:rsidR="00506AA9" w:rsidRPr="001973D0" w:rsidRDefault="00506AA9" w:rsidP="00506AA9">
      <w:pPr>
        <w:pStyle w:val="BodyText"/>
        <w:tabs>
          <w:tab w:val="left" w:pos="145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103"/>
        </w:numPr>
        <w:tabs>
          <w:tab w:val="left" w:pos="1224"/>
        </w:tabs>
        <w:spacing w:before="0"/>
        <w:ind w:left="709" w:hanging="709"/>
        <w:jc w:val="both"/>
        <w:rPr>
          <w:rFonts w:ascii="Times New Roman" w:hAnsi="Times New Roman"/>
          <w:noProof/>
          <w:sz w:val="24"/>
        </w:rPr>
      </w:pPr>
      <w:r>
        <w:rPr>
          <w:rFonts w:ascii="Times New Roman" w:hAnsi="Times New Roman"/>
          <w:noProof/>
          <w:sz w:val="24"/>
        </w:rPr>
        <w:lastRenderedPageBreak/>
        <w:t>Ir skaidrs, ka tad, kad sākotnēju parāda instrumentu, kas izteikts ārvalstu valūtā, mijmaiņas darījumā pārrēķina valsts valūtā, norēķinu plūsmas nosaka līgumā starp abām pusēm, t. i., no vienas puses, starp valsts vienību un, no otras puses, vienu vai vairākiem bankas darījuma partneriem. Vienkāršākajā gadījumā, kad parāda instrumenta un mijmaiņas darījumu summas un maksājuma termiņi pilnīgi sakrīt, valdības vienība regulāri maksās summu valsts valūtā un pretī saņems summu ārvalstu valūtā. Šī ārvalstu valūta tiks izmantota procentu vai pamatsummas samaksāšanai kreditoriem / pamata parāda instrumentu īpašniekiem.</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Saskaņā ar šiem noteikumiem ir acīmredzams, ka valdība vairs nav pakļauta maiņas riskam attiecībā uz maksājumiem par sākotnējo instrumentu. Tai nav jāvēršas valūtas tirgū, lai saņemtu valūtas summas, kas saistītas ar sākotnējā parāda apkalpošanu. Konvertācijas kurss ir skaidri noteikts. Šajā gadījumā līgumā noteiktais maiņas kurss ir atbilstošāks par pašreizējo kursu, jo tas nekādi neietekmētu parāda instrumentu, ko attiecīgajā brīdī neietekmē valūtas tirgus tendences un nepastāvība. Visbeidzot attiecībā uz to daļu, ko aplūko valūtas mijmaiņas darījuma līgumā, parādu var uzskatīt par pārvērstu valsts valūtā. Tas ir līdzīgi kā gadījumā, kad parāds sākotnēji tiek emitēts valsts valūtā par līgumā noteikto pamatsummu.</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Grozītajā Padomes Regulā (EK) Nr. 479/2009 ir iekļauti arī īpaši, visai reti gadījumi, kad valūtas maiņas riska segšana/modificēšana nav iemesls tam, lai izrakstītu mijmaiņas darījumu, bet gan, tieši otrādi, lai radītu valūtas risku. Sākotnēji valsts valūtā izteiktu parādu nacionālajos kontos var pārvērst ārvalstu valūtā. Šajā gadījumā parāds jāuzskata par tādu parādu, kas izteikts ārvalstu valūtā, pamatojoties uz maiņas kursu, kurš noteikts līgumā. Nepieciešamajai konvertācijai valsts valūtā jāizmanto spēkā esošais valūtas maiņas kurss, lai galīgā summa valsts valūtā tiktu gūta no sākotnējiem emisijas ieņēmumiem.</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Rezultātā valūtas mijmaiņas darījumi var ietekmēt parādu tikai ar valūtas maiņas kursa starpniecību. Faktiski saskaņā ar EKS 2010 6.64. punktā minēto pamatnosacījumu jebkurš parāda instruments, kas izteikts ārvalstu valūtā, ir jākonvertē valsts valūtā pēc faktiskā valūtas maiņas kursa, kas ir spēkā bilances sagatavošanas laikā, pamatojoties uz “reprezentatīvo tirgus valūtas maiņas kursu datumos, uz kuriem attiecas bilance”, taču šis nosacījums nav piemērojams statistikas datiem, ko gatavo </w:t>
      </w:r>
      <w:r>
        <w:rPr>
          <w:rFonts w:ascii="Times New Roman" w:hAnsi="Times New Roman"/>
          <w:i/>
          <w:noProof/>
          <w:sz w:val="24"/>
        </w:rPr>
        <w:t>EDP</w:t>
      </w:r>
      <w:r>
        <w:rPr>
          <w:rFonts w:ascii="Times New Roman" w:hAnsi="Times New Roman"/>
          <w:noProof/>
          <w:sz w:val="24"/>
        </w:rPr>
        <w:t xml:space="preserve"> vajadzībām. EKS 2010 šos mijmaiņas darījumus</w:t>
      </w:r>
      <w:r w:rsidR="005303DD">
        <w:rPr>
          <w:rFonts w:ascii="Times New Roman" w:hAnsi="Times New Roman"/>
          <w:noProof/>
          <w:sz w:val="24"/>
        </w:rPr>
        <w:t xml:space="preserve"> un parāda instrumentus ieraksta</w:t>
      </w:r>
      <w:r>
        <w:rPr>
          <w:rFonts w:ascii="Times New Roman" w:hAnsi="Times New Roman"/>
          <w:noProof/>
          <w:sz w:val="24"/>
        </w:rPr>
        <w:t xml:space="preserve"> atsevišķi.</w:t>
      </w:r>
    </w:p>
    <w:p w:rsidR="00506AA9" w:rsidRPr="001973D0" w:rsidRDefault="00506AA9" w:rsidP="00506AA9">
      <w:pPr>
        <w:pStyle w:val="BodyText"/>
        <w:numPr>
          <w:ilvl w:val="0"/>
          <w:numId w:val="103"/>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Tomēr šie </w:t>
      </w:r>
      <w:r>
        <w:rPr>
          <w:rFonts w:ascii="Times New Roman" w:hAnsi="Times New Roman"/>
          <w:i/>
          <w:noProof/>
          <w:sz w:val="24"/>
        </w:rPr>
        <w:t>EDP</w:t>
      </w:r>
      <w:r>
        <w:rPr>
          <w:rFonts w:ascii="Times New Roman" w:hAnsi="Times New Roman"/>
          <w:noProof/>
          <w:sz w:val="24"/>
        </w:rPr>
        <w:t xml:space="preserve"> konvertēšanas noteikumi attiecas vienīgi uz valūtas mijmaiņas darījumiem, kuru pamatā ir esošas saistības, t. i., mijmaiņas darījumi “pret portfeli”, kas tieši saistīts ar faktiskajiem pamata parāda instrumentiem. Valūtas mijmaiņas darījumus, kas neattiecas</w:t>
      </w:r>
      <w:r w:rsidR="005303DD">
        <w:rPr>
          <w:rFonts w:ascii="Times New Roman" w:hAnsi="Times New Roman"/>
          <w:noProof/>
          <w:sz w:val="24"/>
        </w:rPr>
        <w:t xml:space="preserve"> uz esošajām saistībām, ieraksta</w:t>
      </w:r>
      <w:r>
        <w:rPr>
          <w:rFonts w:ascii="Times New Roman" w:hAnsi="Times New Roman"/>
          <w:noProof/>
          <w:sz w:val="24"/>
        </w:rPr>
        <w:t xml:space="preserve"> atvasināto finanšu instrumentu pozīcijā (AF.71). Tomēr daudzās valstīs parāda pārvaldniekiem vismaz centrālās valdības līmenī (kas tur lielāko daļu valdības parāda) nav atļauts (saskaņā ar tiesību aktiem vai citiem noteikumiem) slēgt valūtas mijmaiņas darījumus bez jebkādas atsauces uz esošām saistībām, t. i., pakļaut sevi pilnīgam riskam. Pat ja tiek noslēgti valūtas mijmaiņas darījumi, pamatojoties uz neesošām saistībām, tie neietekmē esošo valdības (</w:t>
      </w:r>
      <w:r>
        <w:rPr>
          <w:rFonts w:ascii="Times New Roman" w:hAnsi="Times New Roman"/>
          <w:i/>
          <w:noProof/>
          <w:sz w:val="24"/>
        </w:rPr>
        <w:t>EDP</w:t>
      </w:r>
      <w:r>
        <w:rPr>
          <w:rFonts w:ascii="Times New Roman" w:hAnsi="Times New Roman"/>
          <w:noProof/>
          <w:sz w:val="24"/>
        </w:rPr>
        <w:t>) parāda uzkrājumu, jo tos neņem vērā tā aprēķinā.</w:t>
      </w:r>
    </w:p>
    <w:p w:rsidR="00506AA9" w:rsidRDefault="00506AA9" w:rsidP="00506AA9">
      <w:pPr>
        <w:pStyle w:val="BodyText"/>
        <w:numPr>
          <w:ilvl w:val="0"/>
          <w:numId w:val="103"/>
        </w:numPr>
        <w:tabs>
          <w:tab w:val="left" w:pos="1102"/>
        </w:tabs>
        <w:spacing w:before="0"/>
        <w:ind w:left="709" w:hanging="709"/>
        <w:jc w:val="both"/>
        <w:rPr>
          <w:rFonts w:ascii="Times New Roman" w:hAnsi="Times New Roman"/>
          <w:noProof/>
          <w:sz w:val="24"/>
        </w:rPr>
      </w:pPr>
      <w:r>
        <w:rPr>
          <w:rFonts w:ascii="Times New Roman" w:hAnsi="Times New Roman"/>
          <w:noProof/>
          <w:sz w:val="24"/>
        </w:rPr>
        <w:t>Ir svarīgi norādīt, ka tiktāl, ciktāl valūtas mijmaiņas darījuma pamatā ir esošs parāda instruments, nekādi ierobežojumi netiek noteikti iepriekš minēto noteikumu piemērošanai, jo īpaši šādos gadījumos</w:t>
      </w:r>
      <w:r>
        <w:rPr>
          <w:rStyle w:val="FootnoteReference"/>
          <w:rFonts w:ascii="Times New Roman" w:hAnsi="Times New Roman"/>
          <w:noProof/>
          <w:sz w:val="24"/>
        </w:rPr>
        <w:footnoteReference w:id="292"/>
      </w:r>
      <w:r>
        <w:rPr>
          <w:rFonts w:ascii="Times New Roman" w:hAnsi="Times New Roman"/>
          <w:noProof/>
          <w:sz w:val="24"/>
        </w:rPr>
        <w:t>.</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0"/>
          <w:numId w:val="102"/>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Atvasinātais līgums nav obligāti jānoformē vienlaikus ar tā pamatā esoša instrumenta emisiju – to var ieviest jebkurā laikā, tomēr dažiem parāda pārvaldniekiem reglamentācijas apsvērumu dēļ ir pienākums nodrošināties pret </w:t>
      </w:r>
      <w:r>
        <w:rPr>
          <w:rFonts w:ascii="Times New Roman" w:hAnsi="Times New Roman"/>
          <w:noProof/>
          <w:sz w:val="24"/>
        </w:rPr>
        <w:lastRenderedPageBreak/>
        <w:t>valūtas maiņas kursa risku ļoti īsā laikā pēc emisijas.</w:t>
      </w:r>
    </w:p>
    <w:p w:rsidR="00506AA9" w:rsidRPr="001973D0" w:rsidRDefault="00506AA9" w:rsidP="00506AA9">
      <w:pPr>
        <w:pStyle w:val="BodyText"/>
        <w:numPr>
          <w:ilvl w:val="0"/>
          <w:numId w:val="102"/>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Atvasinātajam līgumam var būt jebkāds maksājuma termiņš atbilstoši emisijai un parāda pamatā esoša instrumenta maksājuma termiņam. Var gadīties, ka parāda pārvaldniekiem neizdodas noslēgt </w:t>
      </w:r>
      <w:r>
        <w:rPr>
          <w:rFonts w:ascii="Times New Roman" w:hAnsi="Times New Roman"/>
          <w:i/>
          <w:noProof/>
          <w:sz w:val="24"/>
        </w:rPr>
        <w:t>CCS</w:t>
      </w:r>
      <w:r>
        <w:rPr>
          <w:rFonts w:ascii="Times New Roman" w:hAnsi="Times New Roman"/>
          <w:noProof/>
          <w:sz w:val="24"/>
        </w:rPr>
        <w:t xml:space="preserve"> līgumu, kura maksājuma termiņš (un summa) būtu tāds pats kā parāda pamatinstrumentam.</w:t>
      </w:r>
    </w:p>
    <w:p w:rsidR="00506AA9" w:rsidRPr="001973D0" w:rsidRDefault="00506AA9" w:rsidP="00506AA9">
      <w:pPr>
        <w:pStyle w:val="BodyText"/>
        <w:numPr>
          <w:ilvl w:val="0"/>
          <w:numId w:val="102"/>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Atvasinātajā līgumā var noteikt tādu norēķinu maiņu, kas pakļauti pamatsummas plūsmām, kuras izriet no pamatinstrumenta. Pretējā gadījumā, kas ir samērā teorētisks, visas </w:t>
      </w:r>
      <w:r>
        <w:rPr>
          <w:rFonts w:ascii="Times New Roman" w:hAnsi="Times New Roman"/>
          <w:i/>
          <w:noProof/>
          <w:sz w:val="24"/>
        </w:rPr>
        <w:t>CCS</w:t>
      </w:r>
      <w:r>
        <w:rPr>
          <w:rFonts w:ascii="Times New Roman" w:hAnsi="Times New Roman"/>
          <w:noProof/>
          <w:sz w:val="24"/>
        </w:rPr>
        <w:t xml:space="preserve"> summas, kas ir augstākas par pret riskiem nodrošināto parāda instrumentu, jātraktē kā atvasināto finanšu instrumentu (AF.71) attiecībā uz pārsnieguma vērtību.</w:t>
      </w:r>
    </w:p>
    <w:p w:rsidR="00506AA9" w:rsidRPr="001973D0" w:rsidRDefault="00506AA9" w:rsidP="00506AA9">
      <w:pPr>
        <w:pStyle w:val="BodyText"/>
        <w:numPr>
          <w:ilvl w:val="0"/>
          <w:numId w:val="102"/>
        </w:numPr>
        <w:tabs>
          <w:tab w:val="left" w:pos="1462"/>
        </w:tabs>
        <w:spacing w:before="0"/>
        <w:ind w:left="1134" w:hanging="425"/>
        <w:jc w:val="both"/>
        <w:rPr>
          <w:rFonts w:ascii="Times New Roman" w:hAnsi="Times New Roman"/>
          <w:noProof/>
          <w:sz w:val="24"/>
        </w:rPr>
      </w:pPr>
      <w:r>
        <w:rPr>
          <w:rFonts w:ascii="Times New Roman" w:hAnsi="Times New Roman"/>
          <w:noProof/>
          <w:sz w:val="24"/>
        </w:rPr>
        <w:t>Šādi atvasinātie līgumi var attiekties arī uz kādu nekonkrētu parāda instrumentu “portfeli”, kas attiecas uz riska darījumu, kurš ietekmē vairākus parāda instrumentus.</w:t>
      </w:r>
    </w:p>
    <w:p w:rsidR="00506AA9" w:rsidRDefault="00506AA9" w:rsidP="00506AA9">
      <w:pPr>
        <w:pStyle w:val="Heading6"/>
        <w:jc w:val="both"/>
        <w:rPr>
          <w:rFonts w:ascii="Times New Roman" w:hAnsi="Times New Roman"/>
          <w:noProof/>
          <w:sz w:val="24"/>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VIII.3.2.1. Uzskaites piemēri</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Heading6"/>
        <w:numPr>
          <w:ilvl w:val="0"/>
          <w:numId w:val="101"/>
        </w:numPr>
        <w:tabs>
          <w:tab w:val="left" w:pos="1102"/>
        </w:tabs>
        <w:ind w:left="709" w:hanging="709"/>
        <w:jc w:val="both"/>
        <w:rPr>
          <w:rFonts w:ascii="Times New Roman" w:hAnsi="Times New Roman"/>
          <w:noProof/>
          <w:sz w:val="24"/>
        </w:rPr>
      </w:pPr>
      <w:r>
        <w:rPr>
          <w:rFonts w:ascii="Times New Roman" w:hAnsi="Times New Roman"/>
          <w:noProof/>
          <w:sz w:val="24"/>
        </w:rPr>
        <w:t>Parāds, kas izteikts ārvalstu valūtā, mijmaiņas darījumā tiek mainīts pret valsts valūtu</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nominālvērtība: 100 USD.</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darījumā ASV dolārs pret eiro: 100 USD/74,07 EUR (valūtas maiņas kurss mijmaiņas darījuma līgumā: 1 EUR=1,35 USD).</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novērtējums saskaņā ar regulu: 74,07 EUR.</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Piezīmes</w:t>
      </w:r>
      <w:r>
        <w:t>.</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Attiecībā uz parāda izmaksu atspoguļošanu valsts valūtā, piemērotāks ir mijmaiņas darījuma līguma valūtas maiņas kurss, nevis tirgus kurss. Lai no mijmaiņas darījuma ekvivalenta maksājuma termiņā saņemtu 100 USD (izmanto atmaksām instrumenta īpašniekam), emitentam pārliecinoši jānodrošina 74,07 EUR.</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numPr>
          <w:ilvl w:val="0"/>
          <w:numId w:val="101"/>
        </w:numPr>
        <w:tabs>
          <w:tab w:val="left" w:pos="1102"/>
        </w:tabs>
        <w:ind w:left="709" w:hanging="709"/>
        <w:jc w:val="both"/>
        <w:rPr>
          <w:rFonts w:ascii="Times New Roman" w:hAnsi="Times New Roman"/>
          <w:noProof/>
          <w:sz w:val="24"/>
        </w:rPr>
      </w:pPr>
      <w:r>
        <w:rPr>
          <w:rFonts w:ascii="Times New Roman" w:hAnsi="Times New Roman"/>
          <w:noProof/>
          <w:sz w:val="24"/>
        </w:rPr>
        <w:t>Parāds, kas izteikts ārvalstu valūtā, mijmaiņas darījumā tiek mainīts pret citu ārvalstu valūtu</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nominālvērtība: 100 USD.</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darījumā ASV dolārs pret jenu: 100 USD/10 000 JPY (maiņas kurss: 1 USD=100 JPY). Jaunā parāda nominālvērtība: 10 000 JPY.</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novērtējums eiro valūtā saskaņā ar regulu: 90,1 EUR (pamatojoties uz tirgus valūtas maiņas kursu: 1 EUR=111 JPY)</w:t>
      </w:r>
    </w:p>
    <w:p w:rsidR="00506AA9" w:rsidRDefault="00506AA9" w:rsidP="00506AA9">
      <w:pPr>
        <w:pStyle w:val="BodyText"/>
        <w:spacing w:before="0"/>
        <w:ind w:left="0" w:firstLine="0"/>
        <w:jc w:val="both"/>
        <w:rPr>
          <w:rFonts w:ascii="Times New Roman" w:hAnsi="Times New Roman"/>
          <w:noProof/>
          <w:sz w:val="24"/>
          <w:u w:val="single" w:color="000000"/>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Piezīmes</w:t>
      </w:r>
      <w:r>
        <w:t>.</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darījums izmaina maiņas risku. Parāda instrumenta novērtējums tagad ir atkarīgs no EUR/JPY kursa attīstības, nevis no EUR/USD kursa. Parādu faktiski traktē tā, it kā tas sākotnēji būtu emitēts jenās. Katra gada beigās parādu konvertē valsts valūtā, pamatojoties uz EUR/JPY tirgus valūtas maiņas kursu,</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jo jenās maiņas risks netiek aplūkots.</w:t>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6"/>
        <w:numPr>
          <w:ilvl w:val="0"/>
          <w:numId w:val="101"/>
        </w:numPr>
        <w:tabs>
          <w:tab w:val="left" w:pos="1162"/>
        </w:tabs>
        <w:ind w:left="709" w:hanging="709"/>
        <w:jc w:val="both"/>
        <w:rPr>
          <w:rFonts w:ascii="Times New Roman" w:hAnsi="Times New Roman"/>
          <w:noProof/>
          <w:sz w:val="24"/>
        </w:rPr>
      </w:pPr>
      <w:r>
        <w:rPr>
          <w:rFonts w:ascii="Times New Roman" w:hAnsi="Times New Roman"/>
          <w:noProof/>
          <w:sz w:val="24"/>
        </w:rPr>
        <w:t>Parāds, kas izteikts valsts valūtā, mijmaiņas darījumā tiek mainīts pret ārvalstu valūtu</w:t>
      </w:r>
    </w:p>
    <w:p w:rsidR="008862BF" w:rsidRDefault="008862BF"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nominālvērtība: 100 EUR</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Mijmaiņas darījumā eiro pret ASV dolāru: 100 EUR/135 USD (maiņas kurss </w:t>
      </w:r>
      <w:r>
        <w:rPr>
          <w:rFonts w:ascii="Times New Roman" w:hAnsi="Times New Roman"/>
          <w:noProof/>
          <w:sz w:val="24"/>
        </w:rPr>
        <w:lastRenderedPageBreak/>
        <w:t>1 EUR=1,35 USD) Parāda jaunā nominālvērtība: 135 USD</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novērtējums saskaņā ar regulu: 96,43 EUR (pamatojoties uz tirgus valūtas maiņas kursu: 1 EUR=1,40 USD)</w:t>
      </w:r>
    </w:p>
    <w:p w:rsidR="00506AA9" w:rsidRDefault="00506AA9" w:rsidP="00506AA9">
      <w:pPr>
        <w:pStyle w:val="BodyText"/>
        <w:spacing w:before="0"/>
        <w:ind w:left="0" w:firstLine="0"/>
        <w:jc w:val="both"/>
        <w:rPr>
          <w:rFonts w:ascii="Times New Roman" w:hAnsi="Times New Roman"/>
          <w:noProof/>
          <w:sz w:val="24"/>
          <w:u w:val="single" w:color="000000"/>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Piezīmes</w:t>
      </w:r>
      <w:r>
        <w:t>.</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Saistības vairs nav valsts valūtā, bet ārvalstu valūtā, jo debitoram maksājums jāveic vienīgi ārvalstu valūtā. Izmantojot tirgus valūtas maiņas kursu, atklājas faktiskās izmaksas par ASV dolāriem, kas debitoram būs jāpērk (vai jāaizņemas) tirgū. Minētajā piemērā valsts valūtas vērtības celšanās samazina šīs izmaksas par 3,58 eiro.</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numPr>
          <w:ilvl w:val="0"/>
          <w:numId w:val="101"/>
        </w:numPr>
        <w:tabs>
          <w:tab w:val="left" w:pos="1162"/>
        </w:tabs>
        <w:ind w:left="709" w:hanging="709"/>
        <w:jc w:val="both"/>
        <w:rPr>
          <w:rFonts w:ascii="Times New Roman" w:hAnsi="Times New Roman"/>
          <w:noProof/>
          <w:sz w:val="24"/>
        </w:rPr>
      </w:pPr>
      <w:r>
        <w:rPr>
          <w:rFonts w:ascii="Times New Roman" w:hAnsi="Times New Roman"/>
          <w:noProof/>
          <w:sz w:val="24"/>
        </w:rPr>
        <w:t>Mijmaiņas darījumu “ķēde”</w:t>
      </w:r>
    </w:p>
    <w:p w:rsidR="008862BF" w:rsidRDefault="008862BF"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nominālvērtība: 100 EUR</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darījumā ASV dolārs pret jenu: 100 USD/10 000 JPY (maiņas kurss: 1 USD=100 JPY).</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darījumā jena pret Šveices franku: 10 000 JPY/120 CHF (valūtas maiņas kurss: 100 JPY=1,2 CHF) Parāda galīgā nominālvērtība: 120 CHF</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novērtējums saskaņā ar regulu: 83,92 EUR (pamatojoties uz tirgus valūtas maiņas kursu: 1 EUR=1,43 CHF)</w:t>
      </w:r>
    </w:p>
    <w:p w:rsidR="00506AA9" w:rsidRDefault="00506AA9" w:rsidP="00506AA9">
      <w:pPr>
        <w:pStyle w:val="BodyText"/>
        <w:spacing w:before="0"/>
        <w:ind w:left="0" w:firstLine="0"/>
        <w:jc w:val="both"/>
        <w:rPr>
          <w:rFonts w:ascii="Times New Roman" w:hAnsi="Times New Roman"/>
          <w:noProof/>
          <w:sz w:val="24"/>
          <w:u w:val="single" w:color="000000"/>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Piezīmes</w:t>
      </w:r>
      <w:r>
        <w:t>.</w:t>
      </w:r>
    </w:p>
    <w:p w:rsidR="00506AA9" w:rsidRPr="001973D0" w:rsidRDefault="00506AA9" w:rsidP="00506AA9">
      <w:pPr>
        <w:pStyle w:val="BodyText"/>
        <w:numPr>
          <w:ilvl w:val="0"/>
          <w:numId w:val="100"/>
        </w:numPr>
        <w:tabs>
          <w:tab w:val="left" w:pos="1102"/>
        </w:tabs>
        <w:spacing w:before="0"/>
        <w:ind w:left="1134" w:hanging="425"/>
        <w:jc w:val="both"/>
        <w:rPr>
          <w:rFonts w:ascii="Times New Roman" w:hAnsi="Times New Roman"/>
          <w:noProof/>
          <w:sz w:val="24"/>
        </w:rPr>
      </w:pPr>
      <w:r>
        <w:rPr>
          <w:rFonts w:ascii="Times New Roman" w:hAnsi="Times New Roman"/>
          <w:noProof/>
          <w:sz w:val="24"/>
        </w:rPr>
        <w:t>Attiecīgā parāda izteikšana ārvalstu valūtā ir galīgā valūta, ko emitents saņem, sākot katru mijmaiņas darījumu saskaņā ar mijmaiņas darījumu “ķēdi”.</w:t>
      </w:r>
    </w:p>
    <w:p w:rsidR="00506AA9" w:rsidRPr="001973D0" w:rsidRDefault="00506AA9" w:rsidP="00506AA9">
      <w:pPr>
        <w:pStyle w:val="BodyText"/>
        <w:numPr>
          <w:ilvl w:val="0"/>
          <w:numId w:val="100"/>
        </w:numPr>
        <w:tabs>
          <w:tab w:val="left" w:pos="1064"/>
        </w:tabs>
        <w:spacing w:before="0"/>
        <w:ind w:left="1134" w:hanging="425"/>
        <w:jc w:val="both"/>
        <w:rPr>
          <w:rFonts w:ascii="Times New Roman" w:hAnsi="Times New Roman"/>
          <w:noProof/>
          <w:sz w:val="24"/>
        </w:rPr>
      </w:pPr>
      <w:r>
        <w:rPr>
          <w:rFonts w:ascii="Times New Roman" w:hAnsi="Times New Roman"/>
          <w:noProof/>
          <w:sz w:val="24"/>
        </w:rPr>
        <w:t>“Ķēdē” eiro var izmantot vienā mijmaiņas darījuma posmā. Ja tas ir ķēdes beigās, tad parāda instruments jānovērtē atbilstoši 1. gadījumam (maiņas kurss ir noteikts mijmaiņas darījuma līgumā). Ja tas tā nav, tad parādu konvertē eiro, pamatojoties uz tirgus valūtas maiņas kursu attiecībā uz to valūtu, kas mijmaiņas darījuma līguma sākumā saņemta pēdējā. Maiņas kurss pret eiro, kas noteikts savstarpējā mijmaiņas darījuma līgumā, nav svarīgs.</w:t>
      </w:r>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numPr>
          <w:ilvl w:val="0"/>
          <w:numId w:val="101"/>
        </w:numPr>
        <w:tabs>
          <w:tab w:val="left" w:pos="1162"/>
        </w:tabs>
        <w:ind w:left="709" w:hanging="709"/>
        <w:jc w:val="both"/>
        <w:rPr>
          <w:rFonts w:ascii="Times New Roman" w:hAnsi="Times New Roman"/>
          <w:noProof/>
          <w:sz w:val="24"/>
        </w:rPr>
      </w:pPr>
      <w:r>
        <w:rPr>
          <w:rFonts w:ascii="Times New Roman" w:hAnsi="Times New Roman"/>
          <w:noProof/>
          <w:sz w:val="24"/>
        </w:rPr>
        <w:t>Mijmaiņas darījumi ar “daļēju” summu</w:t>
      </w:r>
    </w:p>
    <w:p w:rsidR="008862BF" w:rsidRDefault="008862BF"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Piezīme. Šādu gadījumu var apvienot ar jebkuru citu gadījumu – dotajā piemērā ir izmantots 1. gadījums.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nominālvērtība: 100 USD (pusi no tiem mijmaiņas darījumā maina pret valsts valūtu, bet pusi – nemaina).</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Mijmaiņas darījumā ASV dolārs pret eiro: 50 USD/37,04 EUR (valūtas maiņas kurss mijmaiņas darījuma līgumā: 1 EUR=1,35 USD).</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Parāda instrumenta novērtējums saskaņā ar regulu: 72,74 EUR, no kuriem</w:t>
      </w:r>
    </w:p>
    <w:p w:rsidR="00506AA9" w:rsidRPr="001973D0" w:rsidRDefault="00506AA9" w:rsidP="00506AA9">
      <w:pPr>
        <w:pStyle w:val="BodyText"/>
        <w:numPr>
          <w:ilvl w:val="0"/>
          <w:numId w:val="99"/>
        </w:numPr>
        <w:tabs>
          <w:tab w:val="left" w:pos="709"/>
        </w:tabs>
        <w:spacing w:before="0"/>
        <w:ind w:left="709" w:hanging="709"/>
        <w:jc w:val="both"/>
        <w:rPr>
          <w:rFonts w:ascii="Times New Roman" w:hAnsi="Times New Roman"/>
          <w:noProof/>
          <w:sz w:val="24"/>
        </w:rPr>
      </w:pPr>
      <w:r>
        <w:rPr>
          <w:rFonts w:ascii="Times New Roman" w:hAnsi="Times New Roman"/>
          <w:noProof/>
          <w:sz w:val="24"/>
        </w:rPr>
        <w:t>attiecībā uz to pusi, kuru mainīja mijmaiņas darījumā: 37,04 EUR</w:t>
      </w:r>
    </w:p>
    <w:p w:rsidR="00506AA9" w:rsidRDefault="00506AA9" w:rsidP="00506AA9">
      <w:pPr>
        <w:pStyle w:val="BodyText"/>
        <w:numPr>
          <w:ilvl w:val="0"/>
          <w:numId w:val="99"/>
        </w:numPr>
        <w:tabs>
          <w:tab w:val="left" w:pos="709"/>
        </w:tabs>
        <w:spacing w:before="0"/>
        <w:ind w:left="709" w:hanging="709"/>
        <w:jc w:val="both"/>
        <w:rPr>
          <w:rFonts w:ascii="Times New Roman" w:hAnsi="Times New Roman"/>
          <w:noProof/>
          <w:sz w:val="24"/>
        </w:rPr>
      </w:pPr>
      <w:r>
        <w:rPr>
          <w:rFonts w:ascii="Times New Roman" w:hAnsi="Times New Roman"/>
          <w:noProof/>
          <w:sz w:val="24"/>
        </w:rPr>
        <w:t>attiecībā uz to pusi, kuru nemainīja mijmaiņas darījumā: 35.71 EUR</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(pamatojoties uz tirgus valūtas maiņas kursu: 1 EUR=1,40 USD)</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u w:val="single" w:color="000000"/>
        </w:rPr>
        <w:t>Piezīmes</w:t>
      </w:r>
      <w:r>
        <w:t>.</w:t>
      </w:r>
    </w:p>
    <w:p w:rsidR="005A757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Attiecībā uz parāda daļas izmaksu atspoguļošanu valsts valūtā,</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piemērotāks ir mijmaiņas darījuma līguma valūtas maiņas kurss, nevis tirgus kurss.</w:t>
      </w:r>
    </w:p>
    <w:p w:rsidR="00506AA9" w:rsidRPr="001973D0" w:rsidRDefault="00506AA9" w:rsidP="00506AA9">
      <w:pPr>
        <w:jc w:val="both"/>
        <w:rPr>
          <w:rFonts w:ascii="Times New Roman" w:eastAsia="Arial" w:hAnsi="Times New Roman" w:cs="Arial"/>
          <w:noProof/>
          <w:sz w:val="24"/>
          <w:szCs w:val="19"/>
        </w:rPr>
      </w:pPr>
    </w:p>
    <w:p w:rsidR="00506AA9" w:rsidRDefault="00506AA9" w:rsidP="00506AA9">
      <w:pPr>
        <w:pStyle w:val="Heading4"/>
        <w:ind w:left="0" w:firstLine="0"/>
        <w:jc w:val="both"/>
        <w:rPr>
          <w:rFonts w:ascii="Times New Roman" w:hAnsi="Times New Roman"/>
          <w:noProof/>
          <w:u w:val="thick" w:color="000000"/>
        </w:rPr>
      </w:pPr>
      <w:bookmarkStart w:id="595" w:name="VIII.3.3_Off-market_swaps"/>
      <w:bookmarkEnd w:id="595"/>
      <w:r>
        <w:rPr>
          <w:rFonts w:ascii="Times New Roman" w:hAnsi="Times New Roman"/>
          <w:noProof/>
          <w:u w:val="none"/>
        </w:rPr>
        <w:t>VIII.3.3. </w:t>
      </w:r>
      <w:r>
        <w:rPr>
          <w:rFonts w:ascii="Times New Roman" w:hAnsi="Times New Roman"/>
          <w:noProof/>
          <w:u w:val="thick" w:color="000000"/>
        </w:rPr>
        <w:t>Ārpusbiržas mijmaiņas darījumi</w:t>
      </w:r>
    </w:p>
    <w:p w:rsidR="00506AA9" w:rsidRPr="001973D0" w:rsidRDefault="00506AA9" w:rsidP="00506AA9">
      <w:pPr>
        <w:pStyle w:val="Heading4"/>
        <w:ind w:left="0" w:firstLine="0"/>
        <w:jc w:val="both"/>
        <w:rPr>
          <w:rFonts w:ascii="Times New Roman" w:hAnsi="Times New Roman"/>
          <w:b w:val="0"/>
          <w:bCs w:val="0"/>
          <w:noProof/>
          <w:u w:val="none"/>
        </w:rPr>
      </w:pPr>
    </w:p>
    <w:p w:rsidR="00506AA9" w:rsidRPr="001973D0"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Saistībā ar</w:t>
      </w:r>
      <w:r w:rsidR="005303DD">
        <w:rPr>
          <w:rFonts w:ascii="Times New Roman" w:hAnsi="Times New Roman"/>
          <w:noProof/>
          <w:sz w:val="24"/>
        </w:rPr>
        <w:t xml:space="preserve"> mijmaiņas darījumu ierakstīšanu</w:t>
      </w:r>
      <w:r>
        <w:rPr>
          <w:rFonts w:ascii="Times New Roman" w:hAnsi="Times New Roman"/>
          <w:noProof/>
          <w:sz w:val="24"/>
        </w:rPr>
        <w:t xml:space="preserve"> nacionālajos kontos būtisks jautājums ir, vai mijmaiņas darījumi tiek veikti saskaņā ar tirgus nosacījumiem, vai arī tiem ir </w:t>
      </w:r>
      <w:r>
        <w:rPr>
          <w:rFonts w:ascii="Times New Roman" w:hAnsi="Times New Roman"/>
          <w:noProof/>
          <w:sz w:val="24"/>
        </w:rPr>
        <w:lastRenderedPageBreak/>
        <w:t>ārpusbiržas būtība. Šādi “ārpusbiržas” mijmaiņas darījumi var būt jebkādi mijmaiņas darījumi, tostarp gan procentu likmes, gan valūtas mijmaiņas darījumi. Tas nav atkarīgs no mijmaiņas darījuma mērķa, kas var būt, piemēram, labuma gūšana no gaidāmajām labvēlīgajām tirgus tendencēm, noslēdzot jaunu riska darījumu.</w:t>
      </w:r>
    </w:p>
    <w:p w:rsidR="00506AA9" w:rsidRPr="001973D0"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Kā minēts iepriekš, vairumā gadījumu mijmaiņas darījumus veic saskaņā ar tirgus nosacījumiem, t. i., sākumā visu maksājumu pašreizējās vērtības abām darījumu pusēm ir pilnīgi līdzvērtīgas. Tā ietekme uz katra darījuma partnera neto vērtību līgumā ir neitrāla. Savstarpēji saskaņotās saistības ataino dominējošos tirgus nosacījumus (tostarp korekcija ar sadalījumu vienā daļā). Mijmaiņas darījuma tirgus vērtība ir nulle, un to sauc par “nominālu mijmaiņas darījumu” vai “aktīva vērtībai atbilstošu mijmaiņas darījumu”. Pēc tam ietekme uz iesaistītajām pusēm ir pilnīgi simetriska, un tā atspoguļo maksājumu plūsmu pašreizējās vērtības neto izmaiņas katrā posmā atbilstoši tirgus apstākļu tendencēm.</w:t>
      </w:r>
    </w:p>
    <w:p w:rsidR="00506AA9" w:rsidRPr="001973D0"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Ja mijmaiņas darījumu īsteno saskaņā ar “ārpusbiržas” noteikumiem, tad puses ir vienojušās par nosacījumiem, tādējādi nodrošinot, ka mijmaiņas darījuma sākumā nosacījumi attiecībā uz maiņas plūsmām nav līdzsvaroti un ir labvēlīgāki vienai no pusēm. Mijmaiņas darījuma sākumā tirgus vērtība nav nulle. Tādējādi, ņemot vērā nosacījumus, par kuriem puses ir vienojušās, darījumā ir skaidri identificējams “zaudētājs” un “ieguvējs”. Tā ir viena no iespējamajām “ārpusbiržas mijmaiņas darījumu” pazīmēm un ir pietiekams nosacījums, lai to raksturotu. Šādā gadījumā tas liecina, ka ir jābūt “ekvivalentam” nelīdzsvarotam mijmaiņas darījumam, kas saistīts ar citu valdības darbību (sk. turpmāk 35. rindkopu). Vēl viena (nestandarta) pazīme, bet kas (iespējams) ir ar vispārējo nulles tirgus vērtību sākumā, varētu būt atkāpe no standartizēta tradicionāla mijmaiņas darījuma naudas plūsmas struktūras.</w:t>
      </w:r>
      <w:r>
        <w:rPr>
          <w:rStyle w:val="FootnoteReference"/>
          <w:rFonts w:ascii="Times New Roman" w:hAnsi="Times New Roman"/>
          <w:noProof/>
          <w:sz w:val="24"/>
        </w:rPr>
        <w:footnoteReference w:id="293"/>
      </w:r>
      <w:r>
        <w:rPr>
          <w:rFonts w:ascii="Times New Roman" w:hAnsi="Times New Roman"/>
          <w:noProof/>
          <w:sz w:val="24"/>
        </w:rPr>
        <w:t xml:space="preserve"> Tāpēc ir rūpīgi jāanalizē visi mijmaiņas darījuma līgumi, kurus valdība noslēdz, norādot no standarta (tradicionālā) mijmaiņas darījuma atšķirīgu naudas plūsmas struktūru atbilstoši tirgus nosacījumiem, lai p</w:t>
      </w:r>
      <w:r w:rsidR="005303DD">
        <w:rPr>
          <w:rFonts w:ascii="Times New Roman" w:hAnsi="Times New Roman"/>
          <w:noProof/>
          <w:sz w:val="24"/>
        </w:rPr>
        <w:t>ārbaudītu, vai tas ir jāieraksta</w:t>
      </w:r>
      <w:r>
        <w:rPr>
          <w:rFonts w:ascii="Times New Roman" w:hAnsi="Times New Roman"/>
          <w:noProof/>
          <w:sz w:val="24"/>
        </w:rPr>
        <w:t xml:space="preserve"> saskaņā ar šādu konkrētu noteikumu, proti, jāizvērtē, vai pastāv iespējamie turpmākie periodi, kuros tirgus vērtība būtiski atšķirsies no nulles.</w:t>
      </w:r>
    </w:p>
    <w:p w:rsidR="00506AA9"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Saskaņā ar šiem nosacījumiem ārpusbiržas mijmaiņas darījumi ir jāiedala divās daļās.</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6B6237" w:rsidRDefault="00506AA9" w:rsidP="00506AA9">
      <w:pPr>
        <w:pStyle w:val="BodyText"/>
        <w:numPr>
          <w:ilvl w:val="1"/>
          <w:numId w:val="98"/>
        </w:numPr>
        <w:tabs>
          <w:tab w:val="left" w:pos="1462"/>
        </w:tabs>
        <w:spacing w:before="0"/>
        <w:ind w:left="1134" w:hanging="425"/>
        <w:jc w:val="both"/>
        <w:rPr>
          <w:rFonts w:ascii="Times New Roman" w:hAnsi="Times New Roman"/>
          <w:noProof/>
          <w:sz w:val="24"/>
        </w:rPr>
      </w:pPr>
      <w:r>
        <w:rPr>
          <w:rFonts w:ascii="Times New Roman" w:hAnsi="Times New Roman"/>
          <w:noProof/>
          <w:sz w:val="24"/>
        </w:rPr>
        <w:t xml:space="preserve">Mijmaiņas darījums, kas noslēgts, pamatojoties uz dominējošiem tūlītējā tirgus nosacījumiem, kuram sākumā ir nulles </w:t>
      </w:r>
      <w:r w:rsidR="00F519D5">
        <w:rPr>
          <w:rFonts w:ascii="Times New Roman" w:hAnsi="Times New Roman"/>
          <w:noProof/>
          <w:sz w:val="24"/>
        </w:rPr>
        <w:t>tirgus vērtība un kas ierakstīts</w:t>
      </w:r>
      <w:r>
        <w:rPr>
          <w:rFonts w:ascii="Times New Roman" w:hAnsi="Times New Roman"/>
          <w:noProof/>
          <w:sz w:val="24"/>
        </w:rPr>
        <w:t xml:space="preserve"> saskaņā ar parastajiem noteikumiem. Tas ir nosacīti “nominālvērtības” jeb “aktīva vērtībai atbilstošs” komponents, kas līdzinās “standarta mijmaiņas darījumam”. Šāds “līdzsvarots” mijmaiņas darījums nav valdības (</w:t>
      </w:r>
      <w:r>
        <w:rPr>
          <w:rFonts w:ascii="Times New Roman" w:hAnsi="Times New Roman"/>
          <w:i/>
          <w:noProof/>
          <w:sz w:val="24"/>
        </w:rPr>
        <w:t>EDP</w:t>
      </w:r>
      <w:r>
        <w:rPr>
          <w:rFonts w:ascii="Times New Roman" w:hAnsi="Times New Roman"/>
          <w:noProof/>
          <w:sz w:val="24"/>
        </w:rPr>
        <w:t>) p</w:t>
      </w:r>
      <w:r w:rsidR="00F519D5">
        <w:rPr>
          <w:rFonts w:ascii="Times New Roman" w:hAnsi="Times New Roman"/>
          <w:noProof/>
          <w:sz w:val="24"/>
        </w:rPr>
        <w:t>arāda sastāvdaļa, un to ieraksta</w:t>
      </w:r>
      <w:r>
        <w:rPr>
          <w:rFonts w:ascii="Times New Roman" w:hAnsi="Times New Roman"/>
          <w:noProof/>
          <w:sz w:val="24"/>
        </w:rPr>
        <w:t xml:space="preserve"> kā atvasināto finanšu instrumentu (AF.71). Tādējādi jebkādas mijmaiņas darījuma vērtības pārmaiņas atainos ietekmi uz tirgus nosacījumu tendencēm. Publiskajos kontos šāds mijm</w:t>
      </w:r>
      <w:r w:rsidR="00F519D5">
        <w:rPr>
          <w:rFonts w:ascii="Times New Roman" w:hAnsi="Times New Roman"/>
          <w:noProof/>
          <w:sz w:val="24"/>
        </w:rPr>
        <w:t>aiņas darījums būtu ierakstāms</w:t>
      </w:r>
      <w:r>
        <w:rPr>
          <w:rFonts w:ascii="Times New Roman" w:hAnsi="Times New Roman"/>
          <w:noProof/>
          <w:sz w:val="24"/>
        </w:rPr>
        <w:t xml:space="preserve"> bilances aktīvu pusē, ja valdībai tam ir pozitīva vērtība, un saistību pusē, ja ir otrādi. Pozitīvas plūsmas </w:t>
      </w:r>
      <w:r>
        <w:rPr>
          <w:rFonts w:ascii="Times New Roman" w:hAnsi="Times New Roman"/>
          <w:noProof/>
          <w:sz w:val="24"/>
        </w:rPr>
        <w:lastRenderedPageBreak/>
        <w:t>ir finanšu darījums aktīvu pusē, un negatīvas plūsmas ir finanšu darījums saistību pusē. Turklāt, tā kā tirgus vērtība ir nākotnes plūsmu neto pašreizējā vērtība brīdī, uz kuru attiecas bilance, ir arī pārvērtēšanas ietekme.</w:t>
      </w:r>
      <w:r>
        <w:rPr>
          <w:rStyle w:val="FootnoteReference"/>
          <w:rFonts w:ascii="Times New Roman" w:hAnsi="Times New Roman"/>
          <w:noProof/>
          <w:sz w:val="24"/>
        </w:rPr>
        <w:footnoteReference w:id="294"/>
      </w:r>
    </w:p>
    <w:p w:rsidR="00506AA9" w:rsidRDefault="00F519D5" w:rsidP="00506AA9">
      <w:pPr>
        <w:pStyle w:val="BodyText"/>
        <w:numPr>
          <w:ilvl w:val="1"/>
          <w:numId w:val="98"/>
        </w:numPr>
        <w:tabs>
          <w:tab w:val="left" w:pos="1522"/>
        </w:tabs>
        <w:spacing w:before="0"/>
        <w:ind w:left="1134" w:hanging="425"/>
        <w:jc w:val="both"/>
        <w:rPr>
          <w:rFonts w:ascii="Times New Roman" w:hAnsi="Times New Roman"/>
          <w:noProof/>
          <w:sz w:val="24"/>
        </w:rPr>
      </w:pPr>
      <w:r>
        <w:rPr>
          <w:rFonts w:ascii="Times New Roman" w:hAnsi="Times New Roman"/>
          <w:noProof/>
          <w:sz w:val="24"/>
        </w:rPr>
        <w:t>Aizdevumu (AF.4) ieraksta</w:t>
      </w:r>
      <w:r w:rsidR="00506AA9">
        <w:rPr>
          <w:rFonts w:ascii="Times New Roman" w:hAnsi="Times New Roman"/>
          <w:noProof/>
          <w:sz w:val="24"/>
        </w:rPr>
        <w:t xml:space="preserve"> ar tā sākotnējo tirgus vērtību (dažos gadījumos maksājumus visas vienošanās līdzsvarošanai) parasti mijmaiņas darījuma līguma sākumā (avansa maksājums, bet, iespējams, sadalīts visā līguma darbības termiņā), nevis līguma parakstīšanas brīdī, kas izņēmuma gadījumos var būtiski atšķirties, to amortizējot visā instrumenta darbības laikā un aprēķinot tā procentus. Šis “aizdevuma komponents” ir valdības (</w:t>
      </w:r>
      <w:r w:rsidR="00506AA9">
        <w:rPr>
          <w:rFonts w:ascii="Times New Roman" w:hAnsi="Times New Roman"/>
          <w:i/>
          <w:noProof/>
          <w:sz w:val="24"/>
        </w:rPr>
        <w:t>EDP</w:t>
      </w:r>
      <w:r w:rsidR="00506AA9">
        <w:rPr>
          <w:rFonts w:ascii="Times New Roman" w:hAnsi="Times New Roman"/>
          <w:noProof/>
          <w:sz w:val="24"/>
        </w:rPr>
        <w:t>) parāda daļa. Simetriski valdība var noslēgt ārpusbiržas mijmaiņas darījumus, kuros aizdevuma komponenti ir sniegti darījuma partneriem kā valdības aktīvi.</w:t>
      </w:r>
    </w:p>
    <w:p w:rsidR="00506AA9" w:rsidRPr="006B6237" w:rsidRDefault="00506AA9" w:rsidP="00506AA9">
      <w:pPr>
        <w:pStyle w:val="BodyText"/>
        <w:tabs>
          <w:tab w:val="left" w:pos="152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Citiem vārdiem, tas nozīmē, ka viena daļa plūsmu, ar kurām apmainās līguma darbības laikā, ir uzskatāma par aizdevuma amortizāciju, savukārt otra daļa ir procenti, kas ietekmē valdības neto aizdevumu/aizņēmumu (B.9). Procentus aprēķina, pamatojoties uz daļu, ko maksā valdības vienība, un tās līmenis ir vienāds ar fiksēto likmi vai mainīgo atsauces likmi (bez sadalīšanas), kas novērota mijmaiņas darījuma līguma sākuma (tirdzniecības) datumā. </w:t>
      </w:r>
      <w:r>
        <w:rPr>
          <w:rStyle w:val="FootnoteReference"/>
          <w:rFonts w:ascii="Times New Roman" w:hAnsi="Times New Roman"/>
          <w:noProof/>
          <w:sz w:val="24"/>
        </w:rPr>
        <w:footnoteReference w:id="295"/>
      </w:r>
      <w:r>
        <w:rPr>
          <w:rFonts w:ascii="Times New Roman" w:hAnsi="Times New Roman"/>
          <w:noProof/>
          <w:sz w:val="24"/>
        </w:rPr>
        <w:t xml:space="preserve"> Būtībā aizdevumu amortizē līdzīgi “amortizācijas aizdevumam”, t. i., pilnu aizdevuma summu neatmaksā galīgajā maksājuma termiņā, bet gan veicot “ikgadējos maksājumus”, kuros pamatsummas samazinājuma daļa un procenti laika gaitā mainās. Var būt arī citi atmaksas grafiki atkarībā no tā, kādas ir naudas plūsmu struktūras novirzes salīdzinājumā ar tradicionālo mijmaiņas darījumu.</w:t>
      </w:r>
      <w:r>
        <w:rPr>
          <w:rStyle w:val="FootnoteReference"/>
          <w:rFonts w:ascii="Times New Roman" w:hAnsi="Times New Roman"/>
          <w:noProof/>
          <w:sz w:val="24"/>
        </w:rPr>
        <w:footnoteReference w:id="296"/>
      </w:r>
      <w:r>
        <w:rPr>
          <w:rFonts w:ascii="Times New Roman" w:hAnsi="Times New Roman"/>
          <w:noProof/>
          <w:sz w:val="24"/>
        </w:rPr>
        <w:t xml:space="preserve"> Šos divus komponentus, kas ir pilnībā noteikti sākumā, atņem no plūsmu faktiskās apmaiņas atbilstoši līgumam, un “atlikums” ir f</w:t>
      </w:r>
      <w:r w:rsidR="003F6F5C">
        <w:rPr>
          <w:rFonts w:ascii="Times New Roman" w:hAnsi="Times New Roman"/>
          <w:noProof/>
          <w:sz w:val="24"/>
        </w:rPr>
        <w:t>aktiskās plūsmas, kas jāieraksta</w:t>
      </w:r>
      <w:r>
        <w:rPr>
          <w:rFonts w:ascii="Times New Roman" w:hAnsi="Times New Roman"/>
          <w:noProof/>
          <w:sz w:val="24"/>
        </w:rPr>
        <w:t xml:space="preserve"> finanšu kontos kā darījums ar atvasinātajiem finanšu instrumentiem (F.71). Aizdevumam var būt tieši tāds pats maksājuma termiņš, bet no tā var atkāpties</w:t>
      </w:r>
      <w:r>
        <w:rPr>
          <w:rStyle w:val="FootnoteReference"/>
          <w:rFonts w:ascii="Times New Roman" w:hAnsi="Times New Roman"/>
          <w:noProof/>
          <w:sz w:val="24"/>
        </w:rPr>
        <w:footnoteReference w:id="297"/>
      </w:r>
      <w:r>
        <w:rPr>
          <w:rFonts w:ascii="Times New Roman" w:hAnsi="Times New Roman"/>
          <w:noProof/>
          <w:sz w:val="24"/>
        </w:rPr>
        <w:t xml:space="preserve"> kā mijmaiņas darījuma līguma gadījumā, un ja mijmaiņas darījums tiek anulēts, arī aizdevums automātiski būtu anulējams (kā pirmstermiņa atmaksa). Tāpēc nosacītais aizdevums nekad nevar būt ilgāks par mijmaiņas darījumu.</w:t>
      </w: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szCs w:val="14"/>
        </w:rPr>
      </w:pPr>
      <w:r>
        <w:rPr>
          <w:rFonts w:ascii="Times New Roman" w:hAnsi="Times New Roman"/>
          <w:noProof/>
          <w:sz w:val="24"/>
        </w:rPr>
        <w:t>Vienkāršā gadījumā sākumā ieguvēja puse sniedz otrai pusei kompensāciju vienreizēja maksājuma veidā, lai no jauna līdzsvarotu darījumu, ko maksā skaidrā naudā darījuma partneris, kam ir “naudas līdzekļu pietiekamība”. Šādā gadījumā ir grūti noliegt, ka pastāv aizdevums. Par šo kompensāciju var noslēgt īpašu vienošanos (maksājumi pa daļām</w:t>
      </w:r>
      <w:r>
        <w:rPr>
          <w:rStyle w:val="FootnoteReference"/>
          <w:rFonts w:ascii="Times New Roman" w:hAnsi="Times New Roman"/>
          <w:noProof/>
          <w:sz w:val="24"/>
        </w:rPr>
        <w:footnoteReference w:id="298"/>
      </w:r>
      <w:r>
        <w:rPr>
          <w:rFonts w:ascii="Times New Roman" w:hAnsi="Times New Roman"/>
          <w:noProof/>
          <w:sz w:val="24"/>
        </w:rPr>
        <w:t>, saistību norakstīšana utt.), kas apgrūtina “patiesā” atkārtotās līdzsvarošanas elementa noteikšanu. Gadījumā, ja šī nelīdzsvarotā maksājuma “ekvivalents” ir saistīts ar citām valdības darbībām, kam nav redzamas saiknes ar konkrēto mijmaiņas darījumu, ir jāidentificē šis ekvivalentais darījums.</w:t>
      </w:r>
      <w:r>
        <w:rPr>
          <w:rStyle w:val="FootnoteReference"/>
          <w:rFonts w:ascii="Times New Roman" w:hAnsi="Times New Roman"/>
          <w:noProof/>
          <w:sz w:val="24"/>
        </w:rPr>
        <w:footnoteReference w:id="299"/>
      </w:r>
    </w:p>
    <w:p w:rsidR="00506AA9" w:rsidRPr="001973D0" w:rsidRDefault="00506AA9" w:rsidP="00506AA9">
      <w:pPr>
        <w:pStyle w:val="BodyText"/>
        <w:spacing w:before="0"/>
        <w:ind w:left="709" w:firstLine="0"/>
        <w:jc w:val="both"/>
        <w:rPr>
          <w:rFonts w:ascii="Times New Roman" w:hAnsi="Times New Roman"/>
          <w:noProof/>
          <w:sz w:val="24"/>
        </w:rPr>
      </w:pPr>
      <w:r>
        <w:rPr>
          <w:rFonts w:ascii="Times New Roman" w:hAnsi="Times New Roman"/>
          <w:noProof/>
          <w:sz w:val="24"/>
        </w:rPr>
        <w:lastRenderedPageBreak/>
        <w:t>Tomēr praksē ir novērojamas arī kompleksas vienošanās, piemēram, atšķirīgu mijmaiņas darījumu un/vai citu instrumentu kombinācija, veidoj</w:t>
      </w:r>
      <w:r w:rsidR="003F6F5C">
        <w:rPr>
          <w:rFonts w:ascii="Times New Roman" w:hAnsi="Times New Roman"/>
          <w:noProof/>
          <w:sz w:val="24"/>
        </w:rPr>
        <w:t>ot “paketi”, kas liedz ierakstīt</w:t>
      </w:r>
      <w:r>
        <w:rPr>
          <w:rFonts w:ascii="Times New Roman" w:hAnsi="Times New Roman"/>
          <w:noProof/>
          <w:sz w:val="24"/>
        </w:rPr>
        <w:t xml:space="preserve"> tūlītējo negatīvo ietekmi valdības kontos.</w:t>
      </w:r>
      <w:r>
        <w:rPr>
          <w:rStyle w:val="FootnoteReference"/>
          <w:rFonts w:ascii="Times New Roman" w:hAnsi="Times New Roman"/>
          <w:noProof/>
          <w:sz w:val="24"/>
        </w:rPr>
        <w:footnoteReference w:id="300"/>
      </w:r>
      <w:r>
        <w:rPr>
          <w:rFonts w:ascii="Times New Roman" w:hAnsi="Times New Roman"/>
          <w:noProof/>
          <w:sz w:val="24"/>
        </w:rPr>
        <w:t xml:space="preserve"> Faktiski dažu nozīmīgu ārpusbiržas mijmaiņas darījumu gadījumā, kas identificēti šim nolūkam, sākumā netiek veikts vienreizējs maksājums.</w:t>
      </w:r>
    </w:p>
    <w:p w:rsidR="00506AA9" w:rsidRPr="001973D0"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Vienreizējas summas maksājuma nebūtu ne jau tādēļ, ka nebūtu </w:t>
      </w:r>
      <w:r w:rsidR="003F6F5C">
        <w:rPr>
          <w:rFonts w:ascii="Times New Roman" w:hAnsi="Times New Roman"/>
          <w:noProof/>
          <w:sz w:val="24"/>
        </w:rPr>
        <w:t>aizdevuma valdībai ierakstīšanas</w:t>
      </w:r>
      <w:r>
        <w:rPr>
          <w:rFonts w:ascii="Times New Roman" w:hAnsi="Times New Roman"/>
          <w:noProof/>
          <w:sz w:val="24"/>
        </w:rPr>
        <w:t>, jo ārpusbiržas mijmaiņas darījums nozīmē, ka valdība ir apzināti piekritusi noslēgt līgumu, kurā tai būs jāatmaksā atpakaļ darījuma partnerim vairāk, nekā tā ir saņēmusi vai saņems. Tāpēc ārpusbiržas mijmaiņas darījumos iekļauj finansēšanas grafiku (t. i., nepieciešamā nauda tiek iegūta precīzā plūsmu apmaiņas laikā). Ar nodomu reti slēdz šādus līgumus, kas veidoti uz nelabvēlīgiem nosacījumiem, ja šādam darījumam nav citu (dažkārt vairāk vai mazāk slēptu) iemeslu, kas nav tīra riska ierobežošana riska pārvaldībā. Ir svarīgi atzīmēt, ka tādu pašu pamatojumu varētu piemērot gadījumos, kad valdība ir neto kreditors finanšu grafikā mijmaiņas darījuma sākumā. Kā minēt</w:t>
      </w:r>
      <w:r w:rsidR="003F6F5C">
        <w:rPr>
          <w:rFonts w:ascii="Times New Roman" w:hAnsi="Times New Roman"/>
          <w:noProof/>
          <w:sz w:val="24"/>
        </w:rPr>
        <w:t>s</w:t>
      </w:r>
      <w:r>
        <w:rPr>
          <w:rFonts w:ascii="Times New Roman" w:hAnsi="Times New Roman"/>
          <w:noProof/>
          <w:sz w:val="24"/>
        </w:rPr>
        <w:t xml:space="preserve"> iepri</w:t>
      </w:r>
      <w:r w:rsidR="003F6F5C">
        <w:rPr>
          <w:rFonts w:ascii="Times New Roman" w:hAnsi="Times New Roman"/>
          <w:noProof/>
          <w:sz w:val="24"/>
        </w:rPr>
        <w:t>ekš, aizdevuma aktīvu jāieraksta</w:t>
      </w:r>
      <w:r>
        <w:rPr>
          <w:rFonts w:ascii="Times New Roman" w:hAnsi="Times New Roman"/>
          <w:noProof/>
          <w:sz w:val="24"/>
        </w:rPr>
        <w:t xml:space="preserve"> valdības bilancē. Tas varētu izrietēt, piemēram, no mijmaiņas darījuma iespējas līguma, ko tur valdība (un pēc tam realizē, jo ir līdzekļu pietiekamība valdībai), vai no mijmaiņas nestandartizētajiem nākotnes darījumiem. Tas varētu notikt arī saistībā ar mijmaiņas darījuma pārstrukturēšanu par aktīva posteni – pozitīva vērtība – (sk. turpmāk).</w:t>
      </w:r>
    </w:p>
    <w:p w:rsidR="00506AA9" w:rsidRPr="006B6237"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Varētu piebilst, ka tirgus tendences varētu kļūt izdevīgas valdībai (“lielāka veiksme”) tā, ka beigās tā varētu atmaksāt neto izteiksmē </w:t>
      </w:r>
      <w:r w:rsidR="003F6F5C">
        <w:rPr>
          <w:rFonts w:ascii="Times New Roman" w:hAnsi="Times New Roman"/>
          <w:noProof/>
          <w:sz w:val="24"/>
        </w:rPr>
        <w:t>mazāk, nekā sākotnēji ierakstīts</w:t>
      </w:r>
      <w:r>
        <w:rPr>
          <w:rFonts w:ascii="Times New Roman" w:hAnsi="Times New Roman"/>
          <w:noProof/>
          <w:sz w:val="24"/>
        </w:rPr>
        <w:t xml:space="preserve"> kā balanspostenis, vai mazāk nekā citu veidu ekvivalentajos darījumos kompleksajos nolīgumos. Taču lietas apstākļi visai atšķiras no nominālā mijmaiņas darījuma, kurā varētu pieņemt, ka abas puses “sāk saskaņā ar vienlīdzīgiem nosacījumiem”, t. i., ka </w:t>
      </w:r>
      <w:r>
        <w:rPr>
          <w:rFonts w:ascii="Times New Roman" w:hAnsi="Times New Roman"/>
          <w:i/>
          <w:noProof/>
          <w:sz w:val="24"/>
        </w:rPr>
        <w:t>ex ante</w:t>
      </w:r>
      <w:r>
        <w:rPr>
          <w:rFonts w:ascii="Times New Roman" w:hAnsi="Times New Roman"/>
          <w:noProof/>
          <w:sz w:val="24"/>
        </w:rPr>
        <w:t xml:space="preserve"> nav nepieciešams veikt līdzsvarojošus maksājumus, un neviens nav pilnīgi pārliecināts, ka viena puse darījumā zaudēs, bet otra iegūs, proti, ir zināma nenoteiktība par gala rezultātu. Mijmaiņas darījuma vērtības maiņa pēc definīcijas nav situācija, kurā ieguvējas ir abas puses, vismaz ja to skata atsevišķu mijmaiņas darījumu līmenī.</w:t>
      </w:r>
    </w:p>
    <w:p w:rsidR="00506AA9" w:rsidRPr="001973D0" w:rsidRDefault="00506AA9" w:rsidP="00506AA9">
      <w:pPr>
        <w:pStyle w:val="BodyText"/>
        <w:numPr>
          <w:ilvl w:val="0"/>
          <w:numId w:val="98"/>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Ir būtiska atšķirība starp nominālo mijmaiņas darījumu sākumā un ārpusbiržas mijmaiņas darījumu, kurā valdība sāk ar faktisku “apgrūtinājumu”/“handikapu”, ciktāl tas attiecas uz mijmaiņ</w:t>
      </w:r>
      <w:r w:rsidR="003F6F5C">
        <w:rPr>
          <w:rFonts w:ascii="Times New Roman" w:hAnsi="Times New Roman"/>
          <w:noProof/>
          <w:sz w:val="24"/>
        </w:rPr>
        <w:t>as darījuma plūsmām, ko ieraksta</w:t>
      </w:r>
      <w:r>
        <w:rPr>
          <w:rFonts w:ascii="Times New Roman" w:hAnsi="Times New Roman"/>
          <w:noProof/>
          <w:sz w:val="24"/>
        </w:rPr>
        <w:t xml:space="preserve"> kā atvasinātos finanšu instrumentus (F.71). Tikai tad, ja tirgus tendences ir ļoti labvēlīgas, neto maksājumus varētu samazināt. Tomēr, ņemot vērā tirgus nenoteiktību, situācija var arī pasliktināties attiecībā pret jau tā nelabvēlīgo sākotnējo situāciju. Patiesībā tas dažos gadījumos ir arī konstatēts. Tāpēc aizdevuma komponents sākumā ir noteikti jāfiksē, pamatojoties uz tajā brīdī aprēķināto vērtību. Jebkāda turpmāka uzlabošanās vai pasliktināšanās ir jāattiecina tikai uz nomināla komponentu, kuru var ietekmēt tikai tirgus tendences, savukārt nacionālajos kontos aizdevumiem nav tirgus vērtības.</w:t>
      </w:r>
      <w:r>
        <w:rPr>
          <w:rStyle w:val="FootnoteReference"/>
          <w:rFonts w:ascii="Times New Roman" w:hAnsi="Times New Roman"/>
          <w:noProof/>
          <w:sz w:val="24"/>
        </w:rPr>
        <w:footnoteReference w:id="301"/>
      </w:r>
    </w:p>
    <w:p w:rsidR="00506AA9" w:rsidRPr="006158CB" w:rsidRDefault="00506AA9" w:rsidP="00506AA9">
      <w:pPr>
        <w:pStyle w:val="BodyText"/>
        <w:numPr>
          <w:ilvl w:val="0"/>
          <w:numId w:val="98"/>
        </w:numPr>
        <w:tabs>
          <w:tab w:val="left" w:pos="1102"/>
        </w:tabs>
        <w:spacing w:before="0"/>
        <w:ind w:left="709" w:hanging="709"/>
        <w:jc w:val="both"/>
        <w:rPr>
          <w:rFonts w:ascii="Times New Roman" w:hAnsi="Times New Roman"/>
          <w:noProof/>
          <w:sz w:val="24"/>
        </w:rPr>
      </w:pPr>
      <w:r>
        <w:rPr>
          <w:rFonts w:ascii="Times New Roman" w:hAnsi="Times New Roman"/>
          <w:noProof/>
          <w:sz w:val="24"/>
        </w:rPr>
        <w:t>Ārpusbiržas mijmaiņas darījumi ir jāidentificē kā tādi saistībā ar katru atsevišķu līgumu, ko noslēgusi valdība, neatkarīgi no darbības pamatojuma. Tie var veidoties dažādās situācijās. Piemēram, ārpusbiržas mijmaiņas darījums var rasties pilnīgi jaunas vienošanās rezultātā, ko noslēgusi valdība un darījuma partneris.</w:t>
      </w: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Tas var arī rasties, stājoties spēkā mijmaiņas darījumam, kurš iepriekš tika noslēgts kā mijmaiņas iespējas līgums, kas dod tā turētājam tiesības (bet ne pienākumu) noslēgt mijmaiņas pamatdarījumu, kas ir īpaši izstrādāts. Kopumā mijmaiņas iespējas līguma </w:t>
      </w:r>
      <w:r>
        <w:rPr>
          <w:rFonts w:ascii="Times New Roman" w:hAnsi="Times New Roman"/>
          <w:noProof/>
          <w:sz w:val="24"/>
        </w:rPr>
        <w:lastRenderedPageBreak/>
        <w:t>pārdevējs (“parakstītājs”) sākumā saņem prēmiju.</w:t>
      </w:r>
      <w:r>
        <w:rPr>
          <w:rStyle w:val="FootnoteReference"/>
          <w:rFonts w:ascii="Times New Roman" w:hAnsi="Times New Roman"/>
          <w:noProof/>
          <w:sz w:val="24"/>
        </w:rPr>
        <w:footnoteReference w:id="302"/>
      </w:r>
      <w:r>
        <w:rPr>
          <w:rFonts w:ascii="Times New Roman" w:hAnsi="Times New Roman"/>
          <w:noProof/>
          <w:sz w:val="24"/>
        </w:rPr>
        <w:t xml:space="preserve"> Iespēja tika izveidota dažus gadus iepriekš, un mijmaiņas darījuma nosacījumi varētu būt regulāri līdzsvaroti (nominālvērtībā). To var novērot arī mijmaiņas nestandartizētajos nākotnes darījumos (mijmaiņas darījumi, kas noslēgti vienā laikā, bet sākas vēlāk, dažkārt pat pēc vairākiem gadiem).</w:t>
      </w: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Taču, kad iespēja ir realizēta, tā pēc definīcijas vairs nav attiecināma, un mijmaiņas darījumam parādās tirgus vērtība (pretējā gadījumā iespēja netiktu realizēta), un vienīgā pazīme, kas jāņem vērā, ir tā, ka valdība noslēgs nelīdzsvarotu darījumu, izmantojot jaunu finanšu instrumentu. Nozīme ir nevis datumam, kurā mijmaiņas iespējas līgums ir noslēgts, bet gan datums, kurā mijmaiņas darījums ir faktiski īstenots. Tas būtu piemērojams arī citu veidu nolīgumiem (kas nav iespēju līgumi), kas paredz mijmaiņas darījuma stāšanos spēkā kādā vēlākā datumā.</w:t>
      </w:r>
      <w:r>
        <w:rPr>
          <w:rStyle w:val="FootnoteReference"/>
          <w:rFonts w:ascii="Times New Roman" w:hAnsi="Times New Roman"/>
          <w:noProof/>
          <w:sz w:val="24"/>
        </w:rPr>
        <w:footnoteReference w:id="303"/>
      </w:r>
      <w:r>
        <w:rPr>
          <w:rFonts w:ascii="Times New Roman" w:hAnsi="Times New Roman"/>
          <w:noProof/>
          <w:sz w:val="24"/>
        </w:rPr>
        <w:t xml:space="preserve"> Tā kā to rezultātā veidojas jauns konkrēts mijmaiņas darījuma līgums, tas ir jātraktē saskaņā ar vispārējiem noteikumiem, kas attiecas uz “naudas līdzekļu nepietiekamības” mijmaiņas darījumiem.</w:t>
      </w: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Visbeidzot, ārpusbiržas mijmaiņas darījums var rasties arī saistībā ar esoša mijmaiņas darījuma atkārtotu pārrunu uzsākšanu/pārstrukturēšanu tādā veidā, ka jaunais mijmaiņas darījums (par kuru ir noslēgts jauns līgums, ar kuru aizstāj iepriekšējo) varētu sākties ar negatīvu vērtību valdībai, jo mijmaiņas darījuma tirgus vērtība tieši pirms pārstrukturēšanas uzsākšanas netika noteikta, bet tiek piemērota pārstrukturētajā mijmaiņas darījumā.</w:t>
      </w:r>
    </w:p>
    <w:p w:rsidR="00506AA9" w:rsidRDefault="00506AA9" w:rsidP="00506AA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9291" w:type="dxa"/>
          </w:tcPr>
          <w:p w:rsidR="00506AA9" w:rsidRPr="006158CB" w:rsidRDefault="00506AA9" w:rsidP="005A7579">
            <w:pPr>
              <w:ind w:left="48"/>
              <w:jc w:val="both"/>
              <w:rPr>
                <w:rFonts w:ascii="Times New Roman" w:eastAsia="Arial" w:hAnsi="Times New Roman" w:cs="Times New Roman"/>
                <w:b/>
                <w:bCs/>
                <w:noProof/>
                <w:sz w:val="24"/>
                <w:szCs w:val="24"/>
              </w:rPr>
            </w:pPr>
            <w:r>
              <w:rPr>
                <w:rFonts w:ascii="Times New Roman" w:hAnsi="Times New Roman"/>
                <w:b/>
                <w:noProof/>
                <w:sz w:val="24"/>
              </w:rPr>
              <w:t>3. ierāmējums. Mijmaiņas darījumu pārstrukturēšana</w:t>
            </w:r>
          </w:p>
          <w:p w:rsidR="00506AA9" w:rsidRPr="006158CB" w:rsidRDefault="00506AA9" w:rsidP="005A7579">
            <w:pPr>
              <w:ind w:left="48" w:right="106"/>
              <w:jc w:val="both"/>
              <w:rPr>
                <w:rFonts w:ascii="Times New Roman" w:hAnsi="Times New Roman" w:cs="Times New Roman"/>
                <w:noProof/>
                <w:sz w:val="24"/>
                <w:szCs w:val="24"/>
              </w:rPr>
            </w:pPr>
            <w:r>
              <w:rPr>
                <w:rFonts w:ascii="Times New Roman" w:hAnsi="Times New Roman"/>
                <w:noProof/>
                <w:sz w:val="24"/>
              </w:rPr>
              <w:t>Kopumā mijmaiņas darījuma pārstrukturēšana (ko dēvē arī atkārtotām sarunām, grozīšanu, pārskatīšanu) pirms mijmaiņas darījuma līguma termiņa beigām nozīmē, ka iesaistītās puses vienojas mainīt vairākus mijmaiņas darījuma pamatparametrus – maksājuma termiņu, nosacīto pamatsummu, fiksētās likmes līmeni, mainīgo atsauci, sadalījumu, iespējas utt. Tas skaidri nozīmē, ka ar jauno mijmaiņas darījuma līgumu tiek aizstāts iepriekšējais, atceļot visas iepriekšējās pušu saistības.</w:t>
            </w:r>
          </w:p>
          <w:p w:rsidR="00506AA9" w:rsidRPr="006158CB" w:rsidRDefault="00506AA9" w:rsidP="005A7579">
            <w:pPr>
              <w:ind w:left="48" w:right="108"/>
              <w:jc w:val="both"/>
              <w:rPr>
                <w:rFonts w:ascii="Times New Roman" w:eastAsia="Arial" w:hAnsi="Times New Roman" w:cs="Times New Roman"/>
                <w:noProof/>
                <w:sz w:val="24"/>
                <w:szCs w:val="24"/>
              </w:rPr>
            </w:pPr>
            <w:r>
              <w:rPr>
                <w:rFonts w:ascii="Times New Roman" w:hAnsi="Times New Roman"/>
                <w:noProof/>
                <w:sz w:val="24"/>
              </w:rPr>
              <w:t>Tas ir līdzīgi esošā mijmaiņas darījuma anulēšanai un jauna mijmaiņas darījuma izveidošanai. Atšķirība ir tāda, ka tā vietā, lai darījuma partneris rādītu negatīvu vērtību (saistības), pretējai darījuma pusei ma</w:t>
            </w:r>
            <w:r w:rsidR="003F6F5C">
              <w:rPr>
                <w:rFonts w:ascii="Times New Roman" w:hAnsi="Times New Roman"/>
                <w:noProof/>
                <w:sz w:val="24"/>
              </w:rPr>
              <w:t>ksājot kompensāciju, ko ieraksta</w:t>
            </w:r>
            <w:r>
              <w:rPr>
                <w:rFonts w:ascii="Times New Roman" w:hAnsi="Times New Roman"/>
                <w:noProof/>
                <w:sz w:val="24"/>
              </w:rPr>
              <w:t xml:space="preserve"> kā finanšu darījumu (nekavējoties vai sadalot ilgākā laika posmā atbilstoši tirgus praksei, kas būt</w:t>
            </w:r>
            <w:r w:rsidR="003F6F5C">
              <w:rPr>
                <w:rFonts w:ascii="Times New Roman" w:hAnsi="Times New Roman"/>
                <w:noProof/>
                <w:sz w:val="24"/>
              </w:rPr>
              <w:t>u jāieraksta</w:t>
            </w:r>
            <w:r>
              <w:rPr>
                <w:rFonts w:ascii="Times New Roman" w:hAnsi="Times New Roman"/>
                <w:noProof/>
                <w:sz w:val="24"/>
              </w:rPr>
              <w:t xml:space="preserve"> kā aizdevuma saistības), jaunajā mijmaiņas darījumā “iestrādā” kompensāciju, kas saistīta ar šo pirmstermiņa izbeigšanu. Tas nozīmē, ka maksājumus, kas jāveic katrai pusei, ar nolūku koriģē. Tāpēc mijmaiņas darījumu pārstrukturēšana nacionālajos kontos jātraktē tāpat kā mijmaiņas darījuma anulēšana, pēc kuras ieraksta jaunu nominālo mijmaiņas darījumu. Būtībā darījumi ir ļoti līdzīgi, pat ja (grafikā iekļauto faktisko maksājumu ziņā) parasti pastāv atšķirības. Nacionālajos kontos un turklāt </w:t>
            </w:r>
            <w:r>
              <w:rPr>
                <w:rFonts w:ascii="Times New Roman" w:hAnsi="Times New Roman"/>
                <w:i/>
                <w:noProof/>
                <w:sz w:val="24"/>
              </w:rPr>
              <w:t>EDP</w:t>
            </w:r>
            <w:r>
              <w:rPr>
                <w:rFonts w:ascii="Times New Roman" w:hAnsi="Times New Roman"/>
                <w:noProof/>
                <w:sz w:val="24"/>
              </w:rPr>
              <w:t xml:space="preserve"> nolūkos šo valdības riska stāvokļa pārvaldības rīku izmantošana galu galā noteikti atstāj tādu pašu ietekmi uz valdības (</w:t>
            </w:r>
            <w:r>
              <w:rPr>
                <w:rFonts w:ascii="Times New Roman" w:hAnsi="Times New Roman"/>
                <w:i/>
                <w:noProof/>
                <w:sz w:val="24"/>
              </w:rPr>
              <w:t>EDP</w:t>
            </w:r>
            <w:r>
              <w:rPr>
                <w:rFonts w:ascii="Times New Roman" w:hAnsi="Times New Roman"/>
                <w:noProof/>
                <w:sz w:val="24"/>
              </w:rPr>
              <w:t>) parādu.</w:t>
            </w:r>
          </w:p>
        </w:tc>
      </w:tr>
    </w:tbl>
    <w:p w:rsidR="00506AA9" w:rsidRDefault="00506AA9" w:rsidP="00506AA9">
      <w:pPr>
        <w:jc w:val="both"/>
        <w:rPr>
          <w:rFonts w:ascii="Times New Roman" w:eastAsia="Arial" w:hAnsi="Times New Roman" w:cs="Arial"/>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9291" w:type="dxa"/>
          </w:tcPr>
          <w:p w:rsidR="00506AA9" w:rsidRPr="001973D0" w:rsidRDefault="00506AA9" w:rsidP="005A7579">
            <w:pPr>
              <w:jc w:val="both"/>
              <w:rPr>
                <w:rFonts w:ascii="Times New Roman" w:eastAsia="Arial" w:hAnsi="Times New Roman" w:cs="Arial"/>
                <w:noProof/>
                <w:sz w:val="24"/>
                <w:szCs w:val="14"/>
              </w:rPr>
            </w:pPr>
            <w:r>
              <w:rPr>
                <w:rFonts w:ascii="Times New Roman" w:hAnsi="Times New Roman"/>
                <w:noProof/>
                <w:sz w:val="24"/>
              </w:rPr>
              <w:t xml:space="preserve">Šajā saistībā pārstrukturētā mijmaiņas darījuma sākotnējai būtībai nav nozīmes. Galvenais ir </w:t>
            </w:r>
            <w:r>
              <w:rPr>
                <w:rFonts w:ascii="Times New Roman" w:hAnsi="Times New Roman"/>
                <w:noProof/>
                <w:sz w:val="24"/>
              </w:rPr>
              <w:lastRenderedPageBreak/>
              <w:t>tas, ka ir jauns mijmaiņas darījuma līgums, kas ar nolūku nesākas ar nulles</w:t>
            </w:r>
            <w:r w:rsidR="003F6F5C">
              <w:rPr>
                <w:rFonts w:ascii="Times New Roman" w:hAnsi="Times New Roman"/>
                <w:noProof/>
                <w:sz w:val="24"/>
              </w:rPr>
              <w:t xml:space="preserve"> vērtību plūsmām, kuras ieraksta</w:t>
            </w:r>
            <w:r>
              <w:rPr>
                <w:rFonts w:ascii="Times New Roman" w:hAnsi="Times New Roman"/>
                <w:noProof/>
                <w:sz w:val="24"/>
              </w:rPr>
              <w:t xml:space="preserve"> kā atvasinātos finanšu instrumentus (F.71). Analizējot nacionālos kontus, galvenā uzmanība ir jāpievērš tam, ka valdība slēdz jaunu vienošanos, pamatojoties uz atšķirīgiem parametriem, kas ataino pārmaiņas valdības prognozēs. Saskaņā ar jaunā mijmaiņas darījuma uzbūvi ir jābūt atšķirīgam rezultātam attiecībā uz valdības turpmāko finansiālo stāvokli.</w:t>
            </w:r>
            <w:r>
              <w:rPr>
                <w:rStyle w:val="FootnoteReference"/>
                <w:rFonts w:ascii="Times New Roman" w:hAnsi="Times New Roman"/>
                <w:noProof/>
                <w:sz w:val="24"/>
              </w:rPr>
              <w:footnoteReference w:id="304"/>
            </w:r>
          </w:p>
          <w:p w:rsidR="00506AA9" w:rsidRPr="001973D0" w:rsidRDefault="00506AA9" w:rsidP="005A7579">
            <w:pPr>
              <w:jc w:val="both"/>
              <w:rPr>
                <w:rFonts w:ascii="Times New Roman" w:hAnsi="Times New Roman"/>
                <w:noProof/>
                <w:sz w:val="24"/>
              </w:rPr>
            </w:pPr>
            <w:r>
              <w:rPr>
                <w:rFonts w:ascii="Times New Roman" w:hAnsi="Times New Roman"/>
                <w:noProof/>
                <w:sz w:val="24"/>
              </w:rPr>
              <w:t>Ir arī jāuzsver, ka mijmaiņas darījumu var pārstrukturēt vairākkārtīgi. Tādējādi nav nozīmes izvērtēt paša sākotnējā līguma būtību, jo, veicot katru nākamo pārstrukturēšanu, tiek atcelti iepriekš norunātie pienākumi. Gadījumā, ja mijmaiņas darījumā pirms pārstrukturēšanas jau tika iekļauts aizdevuma komponents (negatīva vai pozitīva tirgus vērtība valdībai), aizdevuma atlikusī pamatsumma būtu jāpārvērtē, jo iepriekšējā mijmaiņas darījuma visu tirgus vērtību v</w:t>
            </w:r>
            <w:r w:rsidR="003F6F5C">
              <w:rPr>
                <w:rFonts w:ascii="Times New Roman" w:hAnsi="Times New Roman"/>
                <w:noProof/>
                <w:sz w:val="24"/>
              </w:rPr>
              <w:t>ai tā daļu nevajadzētu ierakstīt</w:t>
            </w:r>
            <w:r>
              <w:rPr>
                <w:rFonts w:ascii="Times New Roman" w:hAnsi="Times New Roman"/>
                <w:noProof/>
                <w:sz w:val="24"/>
              </w:rPr>
              <w:t xml:space="preserve"> kā aizdevuma komponentu.</w:t>
            </w:r>
          </w:p>
          <w:p w:rsidR="00506AA9" w:rsidRPr="001973D0" w:rsidRDefault="00506AA9" w:rsidP="005A7579">
            <w:pPr>
              <w:jc w:val="both"/>
              <w:rPr>
                <w:rFonts w:ascii="Times New Roman" w:eastAsia="Arial" w:hAnsi="Times New Roman" w:cs="Arial"/>
                <w:noProof/>
                <w:sz w:val="24"/>
                <w:szCs w:val="20"/>
              </w:rPr>
            </w:pPr>
            <w:r>
              <w:rPr>
                <w:rFonts w:ascii="Times New Roman" w:hAnsi="Times New Roman"/>
                <w:noProof/>
                <w:sz w:val="24"/>
              </w:rPr>
              <w:t>Šobrīd, šķiet, tirgos nav vērojama bieža mijmaiņas darījumu pārstrukturēšana, jo īpaši attiecībā uz tiem mijmaiņas darījumiem, kuriem ir īss/vidējs maksājuma termiņš. Parasti darījuma partnerim nav obligāti jāpiekrīt pārstrukturēšanai, un viņš var dot priekšroku mijmaiņas darījuma anulēšanai vai līgumā noteiktā maksājuma termiņa sasniegšanai. Tomēr valdība (jo īpaši centrālajā līmenī) parasti ir nozīmīgs emitents tirgos apjoma ziņā, un darījuma partneri šos iegādātos aktīvus parasti uzskata par “bezriska” aktīviem. Šim nolūkam valdība ienāk tirgos, galvenokārt izmantojot atlasītu skaitu darījuma partneru, kurus kopumā sauc par “primārajiem tirgotājiem”. Varētu pieņemt, ka uzņēmējdarbības nolūkos šie primārie tirgotāji, visticamāk, varētu piekrist pārstrukturēšanai, ko ierosina nozīmīgs partneris.</w:t>
            </w:r>
          </w:p>
          <w:p w:rsidR="00506AA9" w:rsidRPr="001973D0" w:rsidRDefault="00506AA9" w:rsidP="005A7579">
            <w:pPr>
              <w:jc w:val="both"/>
              <w:rPr>
                <w:rFonts w:ascii="Times New Roman" w:hAnsi="Times New Roman"/>
                <w:noProof/>
                <w:sz w:val="24"/>
              </w:rPr>
            </w:pPr>
            <w:r>
              <w:rPr>
                <w:rFonts w:ascii="Times New Roman" w:hAnsi="Times New Roman"/>
                <w:noProof/>
                <w:sz w:val="24"/>
              </w:rPr>
              <w:t>Šajā saistībā darījuma partnera, kas tika lūgts iesaistīties atkārtotās sarunās, jebkādai alternatīvai ir jābūt neitrālai, ciktāl tas attiecas uz viņa finansiālo stāvokli. Citiem vārdiem, viņa iepriekšējā mijmaiņas darījuma pozitīvajai vai negatīvajai tirgus vērtībai jaunajā mijmaiņas darījuma līgumā jāsaglabājas nemainīgai, ja neskaita tehniskos iemeslus, kam ir maza ietekme.</w:t>
            </w:r>
            <w:r>
              <w:rPr>
                <w:rStyle w:val="FootnoteReference"/>
                <w:rFonts w:ascii="Times New Roman" w:hAnsi="Times New Roman"/>
                <w:noProof/>
                <w:sz w:val="24"/>
              </w:rPr>
              <w:footnoteReference w:id="305"/>
            </w:r>
            <w:r>
              <w:rPr>
                <w:rFonts w:ascii="Times New Roman" w:hAnsi="Times New Roman"/>
                <w:noProof/>
                <w:sz w:val="24"/>
              </w:rPr>
              <w:t xml:space="preserve"> Šā iemesla dēļ mijmaiņas darījuma parametru maiņai ir jābūt saskanīgai. Piemēram, ja jaunā līguma maksājuma termiņš ir īsāks</w:t>
            </w:r>
          </w:p>
          <w:p w:rsidR="00506AA9" w:rsidRPr="001973D0" w:rsidRDefault="00506AA9" w:rsidP="005A7579">
            <w:pPr>
              <w:jc w:val="both"/>
              <w:rPr>
                <w:rFonts w:ascii="Times New Roman" w:eastAsia="Arial" w:hAnsi="Times New Roman" w:cs="Arial"/>
                <w:noProof/>
                <w:sz w:val="24"/>
                <w:szCs w:val="13"/>
              </w:rPr>
            </w:pPr>
            <w:r>
              <w:rPr>
                <w:rFonts w:ascii="Times New Roman" w:hAnsi="Times New Roman"/>
                <w:noProof/>
                <w:sz w:val="24"/>
              </w:rPr>
              <w:t>(garāks) nekā iepriekšējā līgumā, visiem parametriem saglabājoties nemainīgiem (fiksētā likme, mainīgā atsauce), nosacītā summa ir jāpalielina (jāsamazina), lai neitralizētu šo efektu.</w:t>
            </w:r>
            <w:r>
              <w:rPr>
                <w:rStyle w:val="FootnoteReference"/>
                <w:rFonts w:ascii="Times New Roman" w:hAnsi="Times New Roman"/>
                <w:noProof/>
                <w:sz w:val="24"/>
              </w:rPr>
              <w:footnoteReference w:id="306"/>
            </w:r>
          </w:p>
          <w:p w:rsidR="00506AA9" w:rsidRPr="001973D0" w:rsidRDefault="00506AA9" w:rsidP="005A7579">
            <w:pPr>
              <w:jc w:val="both"/>
              <w:rPr>
                <w:rFonts w:ascii="Times New Roman" w:eastAsia="Arial" w:hAnsi="Times New Roman" w:cs="Arial"/>
                <w:noProof/>
                <w:sz w:val="24"/>
                <w:szCs w:val="20"/>
              </w:rPr>
            </w:pPr>
            <w:r>
              <w:rPr>
                <w:rFonts w:ascii="Times New Roman" w:hAnsi="Times New Roman"/>
                <w:noProof/>
                <w:sz w:val="24"/>
              </w:rPr>
              <w:t>Šī “tirgus vērtības ekvivalence” ir mijmaiņas darījuma pārstrukturēšanas nosacījums. Proti, darījuma partneris, kam ir pozitīva vērtība (aktīvs), parasti neiesaistītos nelīdzsvarotā mijmaiņas darījumā, ja netiek nodrošināts, ka jaunais mijmaiņas darījums sāksies no tā paša stāvokļa. Uz peļņu vērstai vienībai, kas iesaistījusies komercdarījumos, nav nekādu iemeslu piekrist samazināt savu prasījumu pret valdību. Līdzīgi, valdību neinteresē atsākt sarunas par mijmaiņas darījumu, kuru rezultātā palielinātos tās saistības.</w:t>
            </w:r>
          </w:p>
          <w:p w:rsidR="00506AA9" w:rsidRPr="001973D0" w:rsidRDefault="00506AA9" w:rsidP="005A7579">
            <w:pPr>
              <w:jc w:val="both"/>
              <w:rPr>
                <w:rFonts w:ascii="Times New Roman" w:eastAsia="Arial" w:hAnsi="Times New Roman" w:cs="Arial"/>
                <w:noProof/>
                <w:sz w:val="24"/>
                <w:szCs w:val="20"/>
              </w:rPr>
            </w:pPr>
            <w:r>
              <w:rPr>
                <w:rFonts w:ascii="Times New Roman" w:hAnsi="Times New Roman"/>
                <w:noProof/>
                <w:sz w:val="24"/>
              </w:rPr>
              <w:t>Pēc pārstrukturēšanas valdība var prognozēt sava stāvokļa uzlabošanos, kas tiktu atainots “mijmaiņas darījuma komponenta” tirgus vērtībā, kas sākas ar nulli, kā minēts iepriekš. Taču vairumā gadījumu darījuma partneris neprognozē sava aktīvu stāvokļa pilnīgu apvērsi (piemēram, pēc apvērstās ienesīguma līknes, kad viņš ir īstermiņa maksātājs un fiksētās likmes saņēmējs mijmaiņas darījumā). Valdība var sevi papildus pasargāt pret negatīvām tendencēm, izmantojot dažādus līdzekļus (vispārējo pārvaldību, iespējas līgumus utt.).</w:t>
            </w:r>
          </w:p>
          <w:p w:rsidR="00506AA9" w:rsidRPr="006158CB" w:rsidRDefault="00506AA9" w:rsidP="005A7579">
            <w:pPr>
              <w:jc w:val="both"/>
              <w:rPr>
                <w:rFonts w:ascii="Times New Roman" w:hAnsi="Times New Roman"/>
                <w:noProof/>
                <w:sz w:val="24"/>
              </w:rPr>
            </w:pPr>
            <w:r>
              <w:rPr>
                <w:rFonts w:ascii="Times New Roman" w:hAnsi="Times New Roman"/>
                <w:noProof/>
                <w:sz w:val="24"/>
              </w:rPr>
              <w:t xml:space="preserve">Visbeidzot, vairumā gadījumu pārstrukturēšana notiek ar tiem pašiem līgumslēdzējiem, taču </w:t>
            </w:r>
            <w:r>
              <w:rPr>
                <w:rFonts w:ascii="Times New Roman" w:hAnsi="Times New Roman"/>
                <w:noProof/>
                <w:sz w:val="24"/>
              </w:rPr>
              <w:lastRenderedPageBreak/>
              <w:t>gadās, ka dažādu iemeslu dēļ jaunais mijmaiņas darījums tiek noslēgts ar jaunu valdības sektorā neietilpstošu darījuma partneri (gadījums, ko sauc par “pārjaunojumu”, tostarp mijmaiņas darījumu nodošana centrālajam darījuma partnerim). Traktējumu par mijmaiņas darījumu pārstrukturēšanu nepiemēro, kad ir mainīts tikai viens darījuma partneris, bet citi parametri nav mainīti.</w:t>
            </w:r>
          </w:p>
        </w:tc>
      </w:tr>
    </w:tbl>
    <w:p w:rsidR="00506AA9" w:rsidRPr="001973D0" w:rsidRDefault="00506AA9" w:rsidP="00506AA9">
      <w:pPr>
        <w:jc w:val="both"/>
        <w:rPr>
          <w:rFonts w:ascii="Times New Roman" w:hAnsi="Times New Roman"/>
          <w:noProof/>
          <w:sz w:val="24"/>
        </w:rPr>
      </w:pP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Visbeidzot, ir jāuzsver, ka dažkārt, izmantojot ārpusbiržas mijmaiņas darījumus, valdība var gūt labumu no lieliem vienreizējiem naudas maksājumiem, ka</w:t>
      </w:r>
      <w:r w:rsidR="003F6F5C">
        <w:rPr>
          <w:rFonts w:ascii="Times New Roman" w:hAnsi="Times New Roman"/>
          <w:noProof/>
          <w:sz w:val="24"/>
        </w:rPr>
        <w:t>s gadījumā, ja netiek ierakstīti</w:t>
      </w:r>
      <w:r>
        <w:rPr>
          <w:rFonts w:ascii="Times New Roman" w:hAnsi="Times New Roman"/>
          <w:noProof/>
          <w:sz w:val="24"/>
        </w:rPr>
        <w:t xml:space="preserve"> kā aizdevumi, acīmredzami ir “slēpts” valdības (</w:t>
      </w:r>
      <w:r>
        <w:rPr>
          <w:rFonts w:ascii="Times New Roman" w:hAnsi="Times New Roman"/>
          <w:i/>
          <w:noProof/>
          <w:sz w:val="24"/>
        </w:rPr>
        <w:t>EDP</w:t>
      </w:r>
      <w:r>
        <w:rPr>
          <w:rFonts w:ascii="Times New Roman" w:hAnsi="Times New Roman"/>
          <w:noProof/>
          <w:sz w:val="24"/>
        </w:rPr>
        <w:t>) parāds. Turklāt valdība var izmantot šādus mijmaiņas darījumus, lai atliktu maksājumus, kam pienācis maksājuma termiņš, un sadalītu tos salīdzinoši ilgākā laika posmā. Tādā veidā faktisko valdības parāda stāvokli var arī mākslīgi uzlabot (vai slēpt pasliktināšanos). Tas varētu būt pretrunā ar nacionālo kontu pamatprincipu vienmēr sniegt stāvokļa “būtības” novērtējumu.</w:t>
      </w:r>
    </w:p>
    <w:p w:rsidR="00506AA9" w:rsidRPr="001973D0" w:rsidRDefault="00506AA9" w:rsidP="00506AA9">
      <w:pPr>
        <w:pStyle w:val="BodyText"/>
        <w:numPr>
          <w:ilvl w:val="0"/>
          <w:numId w:val="98"/>
        </w:numPr>
        <w:tabs>
          <w:tab w:val="left" w:pos="1162"/>
        </w:tabs>
        <w:spacing w:before="0"/>
        <w:ind w:left="709" w:hanging="709"/>
        <w:jc w:val="both"/>
        <w:rPr>
          <w:rFonts w:ascii="Times New Roman" w:hAnsi="Times New Roman"/>
          <w:noProof/>
          <w:sz w:val="24"/>
        </w:rPr>
      </w:pPr>
      <w:r>
        <w:rPr>
          <w:rFonts w:ascii="Times New Roman" w:hAnsi="Times New Roman"/>
          <w:noProof/>
          <w:sz w:val="24"/>
        </w:rPr>
        <w:t>Visbeidzot, ja netiek veikts ārpusbiržas mijmaiņas darījumu traktējums, kā norādīts šajā nodaļā, valdības vienībām būtu iespēja veikt īpašas darbības, dažkārt sarežģītas, citos nolūkos, kas nav parāda pārvaldība, t. i., darbības, kas nav tieši saistītas ar esošo saistību risku novēršanu/mazināšanu. To bieži vien sauc par “rentabilitātes šķietamības radīšanu” (vienreizējs pasākums finansiālā stāvokļa uzlabošanai), un tas var arī “slēpt” šādu darbību izmaksas (jo īpaši, sadalot tās). Visi ārpusbiržas mijmaiņas darījumi vienmēr ir pilnībā jāataino valdības parāda līmenī to noslēgšanas brīdī.</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jc w:val="both"/>
        <w:rPr>
          <w:rFonts w:ascii="Times New Roman" w:hAnsi="Times New Roman"/>
          <w:noProof/>
          <w:sz w:val="24"/>
        </w:rPr>
      </w:pPr>
      <w:r>
        <w:rPr>
          <w:rFonts w:ascii="Times New Roman" w:hAnsi="Times New Roman"/>
          <w:noProof/>
          <w:sz w:val="24"/>
        </w:rPr>
        <w:t>VIII.3.3.1. Ārpusbiržas mijmaiņas darījuma uzskaites piemērs</w:t>
      </w:r>
    </w:p>
    <w:p w:rsidR="00506AA9" w:rsidRPr="001973D0" w:rsidRDefault="00506AA9" w:rsidP="00506AA9">
      <w:pPr>
        <w:pStyle w:val="Heading6"/>
        <w:jc w:val="both"/>
        <w:rPr>
          <w:rFonts w:ascii="Times New Roman" w:hAnsi="Times New Roman"/>
          <w:noProof/>
          <w:sz w:val="24"/>
        </w:rPr>
      </w:pPr>
    </w:p>
    <w:p w:rsidR="00506AA9" w:rsidRPr="001973D0" w:rsidRDefault="00506AA9" w:rsidP="00506AA9">
      <w:pPr>
        <w:pStyle w:val="Heading6"/>
        <w:numPr>
          <w:ilvl w:val="0"/>
          <w:numId w:val="97"/>
        </w:numPr>
        <w:tabs>
          <w:tab w:val="left" w:pos="1048"/>
        </w:tabs>
        <w:ind w:left="709" w:hanging="709"/>
        <w:jc w:val="both"/>
        <w:rPr>
          <w:rFonts w:ascii="Times New Roman" w:hAnsi="Times New Roman"/>
          <w:noProof/>
          <w:sz w:val="24"/>
        </w:rPr>
      </w:pPr>
      <w:r>
        <w:rPr>
          <w:rFonts w:ascii="Times New Roman" w:hAnsi="Times New Roman"/>
          <w:noProof/>
          <w:sz w:val="24"/>
        </w:rPr>
        <w:t>Procentu likmes mijmaiņas darījuma gadījums</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Ir panākta vienošanās par procentu likmes mijmaiņas darījumu ar šādiem nosacījumiem:</w:t>
      </w:r>
    </w:p>
    <w:p w:rsidR="005A757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Maksājuma termiņš: 10 gadi, nosacītā pamatsumma: 100, noteikts maksājums partnera bankai: 4,5 %, mainīgs maksājums, ko veic valdības vienības darījuma partneris: 12 mēnešu </w:t>
      </w:r>
      <w:r>
        <w:rPr>
          <w:rFonts w:ascii="Times New Roman" w:hAnsi="Times New Roman"/>
          <w:i/>
          <w:noProof/>
          <w:sz w:val="24"/>
        </w:rPr>
        <w:t>Euribor</w:t>
      </w:r>
      <w:r>
        <w:rPr>
          <w:rFonts w:ascii="Times New Roman" w:hAnsi="Times New Roman"/>
          <w:noProof/>
          <w:sz w:val="24"/>
        </w:rPr>
        <w:t xml:space="preserve"> +</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5,50 %.</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Ir skaidrs, ka šis darījums ir acīmredzami nelīdzsvarots un darījuma partnera banka būs neto saņēmēja visu līguma darbības laiku (pat ja 12 mēnešu likme nokritīsies līdz nullei).</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Pamatojoties uz tūlītējā tirgus nosacījumiem, var novērtēt mijmaiņas darījuma nominālo vērtību (tā, lai sākumā tā būtu vienāda abām pusēm) un atskaitīt “ārpusbiržas” komponentu (piemēram, līdzsvarojošo maksājumu).</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Pieņemsim, ka šajā gadījumā neto maksājumu (bez līdzsvarojošā maksājuma) pašreizējā vērtība provizoriski ir 50 naudas vienības. Darījuma partnera bankai šī summa ir jāmaksā valdības vienībai. Ietekme uz </w:t>
      </w:r>
      <w:r>
        <w:rPr>
          <w:rFonts w:ascii="Times New Roman" w:hAnsi="Times New Roman"/>
          <w:i/>
          <w:noProof/>
          <w:sz w:val="24"/>
        </w:rPr>
        <w:t>EDP</w:t>
      </w:r>
      <w:r>
        <w:rPr>
          <w:rFonts w:ascii="Times New Roman" w:hAnsi="Times New Roman"/>
          <w:noProof/>
          <w:sz w:val="24"/>
        </w:rPr>
        <w:t xml:space="preserve"> datiem būs šāda.</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Sākumā nav nekādas ietekmes uz neto aizdevumu/aizņēmumu (B.9), jo </w:t>
      </w:r>
      <w:r w:rsidR="00C34C45">
        <w:rPr>
          <w:rFonts w:ascii="Times New Roman" w:hAnsi="Times New Roman"/>
          <w:noProof/>
          <w:sz w:val="24"/>
        </w:rPr>
        <w:t>vienreizējo maksājumu neieraksta</w:t>
      </w:r>
      <w:r>
        <w:rPr>
          <w:rFonts w:ascii="Times New Roman" w:hAnsi="Times New Roman"/>
          <w:noProof/>
          <w:sz w:val="24"/>
        </w:rPr>
        <w:t xml:space="preserve"> kā ieņēmumus. Sākumā parāds palielinās par 50 naudas vienībām, j</w:t>
      </w:r>
      <w:r w:rsidR="00C34C45">
        <w:rPr>
          <w:rFonts w:ascii="Times New Roman" w:hAnsi="Times New Roman"/>
          <w:noProof/>
          <w:sz w:val="24"/>
        </w:rPr>
        <w:t>o vienreizējo maksājumu ieraksta</w:t>
      </w:r>
      <w:r>
        <w:rPr>
          <w:rFonts w:ascii="Times New Roman" w:hAnsi="Times New Roman"/>
          <w:noProof/>
          <w:sz w:val="24"/>
        </w:rPr>
        <w:t xml:space="preserve"> kā aizdevumu (AF.42), kas amortizējas mijmaiņas darījuma termiņa laikā, šajā gadījumā – desmit gados.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Katru gadu mijmaiņas darījuma termiņa laikā rodas negatīva ietekme uz neto aizdevumu/aizņēmumu (B.9) aizdevuma procentu dēļ</w:t>
      </w:r>
      <w:r w:rsidR="00C34C45">
        <w:rPr>
          <w:rFonts w:ascii="Times New Roman" w:hAnsi="Times New Roman"/>
          <w:noProof/>
          <w:sz w:val="24"/>
        </w:rPr>
        <w:t xml:space="preserve"> (visas pārējās plūsmas ieraksta</w:t>
      </w:r>
      <w:r>
        <w:rPr>
          <w:rFonts w:ascii="Times New Roman" w:hAnsi="Times New Roman"/>
          <w:noProof/>
          <w:sz w:val="24"/>
        </w:rPr>
        <w:t xml:space="preserve"> kā finanšu plūsmas). Daļu no šīm citām mij</w:t>
      </w:r>
      <w:r w:rsidR="00C34C45">
        <w:rPr>
          <w:rFonts w:ascii="Times New Roman" w:hAnsi="Times New Roman"/>
          <w:noProof/>
          <w:sz w:val="24"/>
        </w:rPr>
        <w:t xml:space="preserve">maiņas darījuma plūsmām ieraksta </w:t>
      </w:r>
      <w:r>
        <w:rPr>
          <w:rFonts w:ascii="Times New Roman" w:hAnsi="Times New Roman"/>
          <w:noProof/>
          <w:sz w:val="24"/>
        </w:rPr>
        <w:t>kā aizdevuma amortizāciju.</w:t>
      </w:r>
    </w:p>
    <w:p w:rsidR="008862BF" w:rsidRDefault="008862BF">
      <w:pPr>
        <w:widowControl/>
        <w:spacing w:after="160" w:line="259" w:lineRule="auto"/>
        <w:rPr>
          <w:rFonts w:ascii="Times New Roman" w:eastAsia="Arial" w:hAnsi="Times New Roman" w:cs="Arial"/>
          <w:noProof/>
          <w:sz w:val="24"/>
          <w:szCs w:val="21"/>
        </w:rPr>
      </w:pPr>
      <w:r>
        <w:rPr>
          <w:rFonts w:ascii="Times New Roman" w:eastAsia="Arial" w:hAnsi="Times New Roman" w:cs="Arial"/>
          <w:noProof/>
          <w:sz w:val="24"/>
          <w:szCs w:val="21"/>
        </w:rPr>
        <w:br w:type="page"/>
      </w:r>
    </w:p>
    <w:p w:rsidR="008862BF" w:rsidRPr="001973D0" w:rsidRDefault="008862BF" w:rsidP="00506AA9">
      <w:pPr>
        <w:jc w:val="both"/>
        <w:rPr>
          <w:rFonts w:ascii="Times New Roman" w:eastAsia="Arial" w:hAnsi="Times New Roman" w:cs="Arial"/>
          <w:noProof/>
          <w:sz w:val="24"/>
          <w:szCs w:val="21"/>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Ieteicams izmantot šādu metodi:</w:t>
      </w:r>
    </w:p>
    <w:p w:rsidR="00506AA9" w:rsidRPr="001973D0" w:rsidRDefault="00506AA9" w:rsidP="00506AA9">
      <w:pPr>
        <w:pStyle w:val="BodyText"/>
        <w:numPr>
          <w:ilvl w:val="1"/>
          <w:numId w:val="97"/>
        </w:numPr>
        <w:tabs>
          <w:tab w:val="left" w:pos="1522"/>
        </w:tabs>
        <w:spacing w:before="0"/>
        <w:ind w:left="1134" w:hanging="425"/>
        <w:jc w:val="both"/>
        <w:rPr>
          <w:rFonts w:ascii="Times New Roman" w:hAnsi="Times New Roman"/>
          <w:noProof/>
          <w:sz w:val="24"/>
        </w:rPr>
      </w:pPr>
      <w:r>
        <w:rPr>
          <w:rFonts w:ascii="Times New Roman" w:hAnsi="Times New Roman"/>
          <w:noProof/>
          <w:sz w:val="24"/>
        </w:rPr>
        <w:t>aizdevums ir piešķirts ar fiksētu un nepārskatāmu procentu likmi;</w:t>
      </w:r>
    </w:p>
    <w:p w:rsidR="00506AA9" w:rsidRPr="001973D0" w:rsidRDefault="00506AA9" w:rsidP="00506AA9">
      <w:pPr>
        <w:pStyle w:val="BodyText"/>
        <w:numPr>
          <w:ilvl w:val="1"/>
          <w:numId w:val="97"/>
        </w:numPr>
        <w:tabs>
          <w:tab w:val="left" w:pos="1522"/>
        </w:tabs>
        <w:spacing w:before="0"/>
        <w:ind w:left="1134" w:hanging="425"/>
        <w:jc w:val="both"/>
        <w:rPr>
          <w:rFonts w:ascii="Times New Roman" w:hAnsi="Times New Roman"/>
          <w:noProof/>
          <w:sz w:val="24"/>
        </w:rPr>
      </w:pPr>
      <w:r>
        <w:rPr>
          <w:rFonts w:ascii="Times New Roman" w:hAnsi="Times New Roman"/>
          <w:noProof/>
          <w:sz w:val="24"/>
        </w:rPr>
        <w:t>procentu likmi atvasina no valdības vienības maksājuma daļas;</w:t>
      </w:r>
    </w:p>
    <w:p w:rsidR="00506AA9" w:rsidRPr="001973D0" w:rsidRDefault="00506AA9" w:rsidP="00506AA9">
      <w:pPr>
        <w:pStyle w:val="BodyText"/>
        <w:numPr>
          <w:ilvl w:val="1"/>
          <w:numId w:val="97"/>
        </w:numPr>
        <w:tabs>
          <w:tab w:val="left" w:pos="1522"/>
        </w:tabs>
        <w:spacing w:before="0"/>
        <w:ind w:left="1134" w:hanging="425"/>
        <w:jc w:val="both"/>
        <w:rPr>
          <w:rFonts w:ascii="Times New Roman" w:hAnsi="Times New Roman"/>
          <w:noProof/>
          <w:sz w:val="24"/>
        </w:rPr>
      </w:pPr>
      <w:r>
        <w:rPr>
          <w:rFonts w:ascii="Times New Roman" w:hAnsi="Times New Roman"/>
          <w:noProof/>
          <w:sz w:val="24"/>
        </w:rPr>
        <w:t>fiksēto likmi vai mainīgo atsauces likmi (bez sadalīšanas) nosaka atbilstoši to līmenim mijmaiņas darījuma līguma sākumā (tirdzniecības datumā);</w:t>
      </w:r>
    </w:p>
    <w:p w:rsidR="00506AA9" w:rsidRPr="001973D0" w:rsidRDefault="00506AA9" w:rsidP="00506AA9">
      <w:pPr>
        <w:pStyle w:val="BodyText"/>
        <w:numPr>
          <w:ilvl w:val="0"/>
          <w:numId w:val="96"/>
        </w:numPr>
        <w:tabs>
          <w:tab w:val="left" w:pos="1462"/>
        </w:tabs>
        <w:spacing w:before="0"/>
        <w:ind w:left="1134" w:hanging="425"/>
        <w:jc w:val="both"/>
        <w:rPr>
          <w:rFonts w:ascii="Times New Roman" w:hAnsi="Times New Roman"/>
          <w:noProof/>
          <w:sz w:val="24"/>
        </w:rPr>
      </w:pPr>
      <w:r>
        <w:rPr>
          <w:rFonts w:ascii="Times New Roman" w:hAnsi="Times New Roman"/>
          <w:noProof/>
          <w:sz w:val="24"/>
        </w:rPr>
        <w:t>pēc aizdevuma piešķiršanas tiek veikti nemainīgu daļu maksājumi (reizi gadā vai pusgadā), kas sastāv no pamatsummas atmaksas un procentu maksājumiem atbilstoši fiksētai likmei, kā minēts iepriekš;</w:t>
      </w:r>
    </w:p>
    <w:p w:rsidR="00506AA9" w:rsidRPr="001973D0" w:rsidRDefault="00C34C45" w:rsidP="00506AA9">
      <w:pPr>
        <w:pStyle w:val="BodyText"/>
        <w:numPr>
          <w:ilvl w:val="0"/>
          <w:numId w:val="96"/>
        </w:numPr>
        <w:tabs>
          <w:tab w:val="left" w:pos="1462"/>
        </w:tabs>
        <w:spacing w:before="0"/>
        <w:ind w:left="1134" w:hanging="425"/>
        <w:jc w:val="both"/>
        <w:rPr>
          <w:rFonts w:ascii="Times New Roman" w:hAnsi="Times New Roman"/>
          <w:noProof/>
          <w:sz w:val="24"/>
        </w:rPr>
      </w:pPr>
      <w:r>
        <w:rPr>
          <w:rFonts w:ascii="Times New Roman" w:hAnsi="Times New Roman"/>
          <w:noProof/>
          <w:sz w:val="24"/>
        </w:rPr>
        <w:t>aizdevuma procenti ir jāieraksta</w:t>
      </w:r>
      <w:r w:rsidR="00506AA9">
        <w:rPr>
          <w:rFonts w:ascii="Times New Roman" w:hAnsi="Times New Roman"/>
          <w:noProof/>
          <w:sz w:val="24"/>
        </w:rPr>
        <w:t xml:space="preserve"> pēc uzkrājuma principa.</w:t>
      </w:r>
    </w:p>
    <w:p w:rsidR="00506AA9" w:rsidRPr="001973D0" w:rsidRDefault="00506AA9" w:rsidP="00506AA9">
      <w:pPr>
        <w:pStyle w:val="BodyText"/>
        <w:numPr>
          <w:ilvl w:val="0"/>
          <w:numId w:val="96"/>
        </w:numPr>
        <w:tabs>
          <w:tab w:val="left" w:pos="1462"/>
        </w:tabs>
        <w:spacing w:before="0"/>
        <w:ind w:left="1134" w:hanging="425"/>
        <w:jc w:val="both"/>
        <w:rPr>
          <w:rFonts w:ascii="Times New Roman" w:hAnsi="Times New Roman"/>
          <w:noProof/>
          <w:sz w:val="24"/>
        </w:rPr>
      </w:pPr>
      <w:r>
        <w:rPr>
          <w:rFonts w:ascii="Times New Roman" w:hAnsi="Times New Roman"/>
          <w:noProof/>
          <w:sz w:val="24"/>
        </w:rPr>
        <w:t>Katru gadu mijmaiņas darījuma termiņa laikā valdības parāds tiek samazināts, to pakāpeniski dzēšot, līdz iestājas aizdevuma komponenta galīgais atmaksas termiņš.</w:t>
      </w:r>
    </w:p>
    <w:p w:rsidR="00506AA9" w:rsidRPr="001973D0" w:rsidRDefault="00506AA9" w:rsidP="00506AA9">
      <w:pPr>
        <w:jc w:val="both"/>
        <w:rPr>
          <w:rFonts w:ascii="Times New Roman" w:eastAsia="Arial" w:hAnsi="Times New Roman" w:cs="Arial"/>
          <w:noProof/>
          <w:sz w:val="24"/>
          <w:szCs w:val="21"/>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Šajā piemērā 12 mēnešu </w:t>
      </w:r>
      <w:r>
        <w:rPr>
          <w:rFonts w:ascii="Times New Roman" w:hAnsi="Times New Roman"/>
          <w:i/>
          <w:noProof/>
          <w:sz w:val="24"/>
        </w:rPr>
        <w:t>Euribor</w:t>
      </w:r>
      <w:r>
        <w:rPr>
          <w:rFonts w:ascii="Times New Roman" w:hAnsi="Times New Roman"/>
          <w:noProof/>
          <w:sz w:val="24"/>
        </w:rPr>
        <w:t xml:space="preserve"> mijmaiņas darījuma sākumā bija 3 % un pēc viena g</w:t>
      </w:r>
      <w:r w:rsidR="00C34C45">
        <w:rPr>
          <w:rFonts w:ascii="Times New Roman" w:hAnsi="Times New Roman"/>
          <w:noProof/>
          <w:sz w:val="24"/>
        </w:rPr>
        <w:t>ada nav mainījies. Ir jāieraksta</w:t>
      </w:r>
      <w:r>
        <w:rPr>
          <w:rFonts w:ascii="Times New Roman" w:hAnsi="Times New Roman"/>
          <w:noProof/>
          <w:sz w:val="24"/>
        </w:rPr>
        <w:t xml:space="preserve"> šādi darījumi:</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Sākotnējais AF.4 (S): 50</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Aizdevuma gada maksa: 5,8</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Neto mijmaiņas darījuma norēķini skaidrā naudā: +4,5-8,5 = -4</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Valdības maksājumi: 8,5, no kuriem:</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Pamatsummas amortizācija: 4,4</w:t>
      </w:r>
    </w:p>
    <w:p w:rsidR="00506AA9"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D.41 (B.9) aizdevuma procentu maksa: 1,5</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F.2 (A): -4</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F.4 (S): -4,4</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Galīgais AF.4 (S): 45,6</w:t>
      </w:r>
    </w:p>
    <w:p w:rsidR="00506AA9" w:rsidRPr="001973D0" w:rsidRDefault="00506AA9" w:rsidP="00506AA9">
      <w:pPr>
        <w:jc w:val="both"/>
        <w:rPr>
          <w:rFonts w:ascii="Times New Roman" w:eastAsia="Arial" w:hAnsi="Times New Roman" w:cs="Arial"/>
          <w:noProof/>
          <w:sz w:val="24"/>
        </w:rPr>
      </w:pPr>
    </w:p>
    <w:p w:rsidR="00506AA9" w:rsidRPr="001973D0" w:rsidRDefault="00506AA9" w:rsidP="00506AA9">
      <w:pPr>
        <w:pStyle w:val="Heading6"/>
        <w:numPr>
          <w:ilvl w:val="0"/>
          <w:numId w:val="97"/>
        </w:numPr>
        <w:tabs>
          <w:tab w:val="left" w:pos="999"/>
        </w:tabs>
        <w:ind w:left="709" w:hanging="709"/>
        <w:jc w:val="both"/>
        <w:rPr>
          <w:rFonts w:ascii="Times New Roman" w:hAnsi="Times New Roman"/>
          <w:noProof/>
          <w:sz w:val="24"/>
        </w:rPr>
      </w:pPr>
      <w:r>
        <w:rPr>
          <w:rFonts w:ascii="Times New Roman" w:hAnsi="Times New Roman"/>
          <w:noProof/>
          <w:sz w:val="24"/>
        </w:rPr>
        <w:t>Valūtas mijmaiņas darījuma gadījums</w:t>
      </w:r>
    </w:p>
    <w:p w:rsidR="008862BF" w:rsidRDefault="008862BF"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Pieņem, ka valdības vienība ir emitējusi ilgtermiņa obligāciju ar fiksētu likmi, kas izteikta eiro par nominālvērtību 100 naudas vienību apmērā. Konkrētajā brīdī atlikušais maksājuma termiņš ir 10 gadi. Dažādu apsvērumu dēļ valdība vēlas samazināt sava nominālā parāda rādītājus.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Var veikt turpmāk minētos pasākumus.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Valsts vienība var noslēgt EUR/USD valūtas mijmaiņas darījumu (par fiksētu/mainīgu likmi), nosakot līgumā valūtas maiņas kursu EUR/USD = 1, turpretī tūlītējā tirgus valūtas maiņas kurss ir EUR/USD = 1,25 (vai USD/EUR = 0,8).</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Sākumā valsts vienība apmainītu 100 EUR, pretī no sava partnera saņemot 100 USD (un nevis 125 USD atbilstoši spēkā esošajam tūlītējā tirgus valūtas maiņas kursam).</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Mijmaiņas darījuma līguma beigās (ja vien tas nav atcelts pirms termiņa) valsts vienība atgriezīs šos 100 USD un atgūs 100 EUR, kurus var izmantot, lai izpirktu attiecīgo obligāciju. Tā kā tiek izmantots mazāk labvēlīgs eiro maiņas kurss, šā darījuma rezultātā parāds faktiski samazināsies, jo saskaņā ar </w:t>
      </w:r>
      <w:r>
        <w:rPr>
          <w:rFonts w:ascii="Times New Roman" w:hAnsi="Times New Roman"/>
          <w:i/>
          <w:noProof/>
          <w:sz w:val="24"/>
        </w:rPr>
        <w:t>EDP</w:t>
      </w:r>
      <w:r>
        <w:rPr>
          <w:rFonts w:ascii="Times New Roman" w:hAnsi="Times New Roman"/>
          <w:noProof/>
          <w:sz w:val="24"/>
        </w:rPr>
        <w:t xml:space="preserve"> metodoloģiju pārvēršana notiks šādi:</w:t>
      </w:r>
    </w:p>
    <w:p w:rsidR="00506AA9" w:rsidRPr="001973D0" w:rsidRDefault="00506AA9" w:rsidP="00506AA9">
      <w:pPr>
        <w:jc w:val="both"/>
        <w:rPr>
          <w:rFonts w:ascii="Times New Roman" w:eastAsia="Arial" w:hAnsi="Times New Roman" w:cs="Arial"/>
          <w:noProof/>
          <w:sz w:val="24"/>
          <w:szCs w:val="21"/>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100 EUR = 100 USD (pie 1 = 1, nolīgtā likme) = 80 EUR (pie EUR/USD = 1,25, tūlītējā tirgus likme). Naudas plūsmas attiecībā uz valūtas daļu ir jākoriģē tā, ka valdības vienība atmaksās 125 USD visā mijmaiņas darījuma darbības laikā.</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Atbilstoši tirgus nosacījumiem (neatzīstot atlikuma maksājumu) mijmaiņas darījums ir nelīdzsvarots ar tirgus vērtību 25 USD (20 EUR) apmērā darījuma partnera labā (kurš sākotnējas mijmaiņas laikā piešķīra tikai 100 USD).</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Atbilstoši šādiem nosacījumiem tam darījuma sākumā būtu jāizmaksā valdības vienībai ekvivalents vienreizējs maksājums 25 USD (20 EUR) apmērā.</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Tā kā nav izstrādāti </w:t>
      </w:r>
      <w:r>
        <w:rPr>
          <w:rFonts w:ascii="Times New Roman" w:hAnsi="Times New Roman"/>
          <w:i/>
          <w:noProof/>
          <w:sz w:val="24"/>
        </w:rPr>
        <w:t>Eurostat</w:t>
      </w:r>
      <w:r>
        <w:rPr>
          <w:rFonts w:ascii="Times New Roman" w:hAnsi="Times New Roman"/>
          <w:noProof/>
          <w:sz w:val="24"/>
        </w:rPr>
        <w:t xml:space="preserve"> noteikumi, līguma parakstīšanas brīdī valdības vienība gūtu </w:t>
      </w:r>
      <w:r>
        <w:rPr>
          <w:rFonts w:ascii="Times New Roman" w:hAnsi="Times New Roman"/>
          <w:noProof/>
          <w:sz w:val="24"/>
        </w:rPr>
        <w:lastRenderedPageBreak/>
        <w:t>labumu no sava parāda samazināšanas (pārvēršana).</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Šī vienība kā partneris maksātu lielākus neto procentu maksājumus līguma darbības termiņa laikā (izlīdzinot sākotnējo pozitīvo ietekmi) un turklāt būtu pakļauta valūtas maiņas kursa riskam. Tā ir apmainījusi sākotnējo parādu vietējā valūtā pret parādu ārvalstu valūtā, kuras vērtība var strauji mainīties nelabvēlīgu tirgus apstākļu dēļ (šajā gadījumā – vietējās valūtas vērtības krišanās).</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Saskaņā ar </w:t>
      </w:r>
      <w:r>
        <w:rPr>
          <w:rFonts w:ascii="Times New Roman" w:hAnsi="Times New Roman"/>
          <w:i/>
          <w:noProof/>
          <w:sz w:val="24"/>
        </w:rPr>
        <w:t>Eurostat</w:t>
      </w:r>
      <w:r>
        <w:rPr>
          <w:rFonts w:ascii="Times New Roman" w:hAnsi="Times New Roman"/>
          <w:noProof/>
          <w:sz w:val="24"/>
        </w:rPr>
        <w:t xml:space="preserve"> noteikumiem par ārpusbiržas mijmaiņas darījumiem šāds pasākums nepalīdzēs valstij sasniegt tās sākotnējos mērķus, jo:</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valūtas mijmaiņas darījums tiks sadalīts kā “nulles vērtības/aktīva vērtībai atbilstošs mijmaiņas darījums”, pamatojoties uz līguma sākumā spēkā esošo valūtas maiņas kursu tirgū (EUR/USD = 1,25), un aizdev</w:t>
      </w:r>
      <w:r w:rsidR="00C34C45">
        <w:rPr>
          <w:rFonts w:ascii="Times New Roman" w:hAnsi="Times New Roman"/>
          <w:noProof/>
          <w:sz w:val="24"/>
        </w:rPr>
        <w:t>ums ārvalstu valūtā (ko ieraksta</w:t>
      </w:r>
      <w:r>
        <w:rPr>
          <w:rFonts w:ascii="Times New Roman" w:hAnsi="Times New Roman"/>
          <w:noProof/>
          <w:sz w:val="24"/>
        </w:rPr>
        <w:t xml:space="preserve"> pozīcijā AF.4) par valsts saņemtā naudas papildmaksājuma summu.</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Ārvalstu valūtā izteiktais aizdevums tiks amortizēts 10 gadu laikā, veicot regulārus procentu neto maksājumus līguma darbības laikā atbilstoši iepriekšējā ārpusbiržas procentu likmes mijmaiņas darījuma piemērā aprakstītajai metodei.</w:t>
      </w: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Tādējādi var secināt, ka “labvēlīgā” ietekme uz parādu, kura izriet no cita, nevis tirgū spēkā esošā valūtas maiņas kursa izmantošanas, tiek pilnīgi izlīdzināta ar parādsaistību uzņemšanos.</w:t>
      </w:r>
    </w:p>
    <w:p w:rsidR="00506AA9" w:rsidRDefault="00506AA9" w:rsidP="00506AA9">
      <w:pPr>
        <w:rPr>
          <w:rFonts w:ascii="Times New Roman" w:eastAsia="Arial" w:hAnsi="Times New Roman" w:cs="Arial"/>
          <w:noProof/>
          <w:sz w:val="24"/>
          <w:szCs w:val="20"/>
        </w:rPr>
      </w:pPr>
      <w:r>
        <w:br w:type="page"/>
      </w:r>
    </w:p>
    <w:p w:rsidR="00506AA9" w:rsidRDefault="00506AA9" w:rsidP="008862BF">
      <w:pPr>
        <w:pStyle w:val="Heading2"/>
        <w:rPr>
          <w:noProof/>
        </w:rPr>
      </w:pPr>
      <w:bookmarkStart w:id="596" w:name="VIII.4_Repurchase_agreements_and_securit"/>
      <w:bookmarkStart w:id="597" w:name="_bookmark63"/>
      <w:bookmarkStart w:id="598" w:name="_Toc471135929"/>
      <w:bookmarkEnd w:id="596"/>
      <w:bookmarkEnd w:id="597"/>
      <w:r>
        <w:rPr>
          <w:noProof/>
        </w:rPr>
        <w:lastRenderedPageBreak/>
        <w:t>VIII.4. Pārdošanas ar atpirkšanu līgumi un vērtspapīru aizdevumi</w:t>
      </w:r>
      <w:bookmarkEnd w:id="598"/>
    </w:p>
    <w:p w:rsidR="00506AA9" w:rsidRPr="001973D0" w:rsidRDefault="00506AA9" w:rsidP="00506AA9">
      <w:pPr>
        <w:tabs>
          <w:tab w:val="left" w:pos="2182"/>
        </w:tabs>
        <w:jc w:val="both"/>
        <w:rPr>
          <w:rFonts w:ascii="Times New Roman" w:hAnsi="Times New Roman"/>
          <w:b/>
          <w:noProof/>
          <w:sz w:val="24"/>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599" w:name="VIII.4.1_Background"/>
      <w:bookmarkEnd w:id="599"/>
      <w:r>
        <w:rPr>
          <w:rFonts w:ascii="Times New Roman" w:hAnsi="Times New Roman"/>
          <w:noProof/>
          <w:u w:val="none"/>
        </w:rPr>
        <w:t xml:space="preserve">VIII.4.1. </w:t>
      </w:r>
      <w:r>
        <w:rPr>
          <w:rFonts w:ascii="Times New Roman" w:hAnsi="Times New Roman"/>
          <w:noProof/>
          <w:u w:val="thick" w:color="000000"/>
        </w:rPr>
        <w:t>Vispārēja informācija</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Pārdošanas ar atpirkšanu (</w:t>
      </w:r>
      <w:r>
        <w:rPr>
          <w:rFonts w:ascii="Times New Roman" w:hAnsi="Times New Roman"/>
          <w:i/>
          <w:noProof/>
          <w:sz w:val="24"/>
        </w:rPr>
        <w:t>repo</w:t>
      </w:r>
      <w:r>
        <w:rPr>
          <w:rFonts w:ascii="Times New Roman" w:hAnsi="Times New Roman"/>
          <w:noProof/>
          <w:sz w:val="24"/>
        </w:rPr>
        <w:t xml:space="preserve">) darījumus var izmantot gan naudas tirgos, gan vērtspapīru tirgos. Vērtspapīrus, ko emitē vispārējā valdība, bieži izmanto </w:t>
      </w:r>
      <w:r>
        <w:rPr>
          <w:rFonts w:ascii="Times New Roman" w:hAnsi="Times New Roman"/>
          <w:i/>
          <w:noProof/>
          <w:sz w:val="24"/>
        </w:rPr>
        <w:t>repo</w:t>
      </w:r>
      <w:r>
        <w:rPr>
          <w:rFonts w:ascii="Times New Roman" w:hAnsi="Times New Roman"/>
          <w:noProof/>
          <w:sz w:val="24"/>
        </w:rPr>
        <w:t xml:space="preserve"> darījumos, kuros tie var būt galvenais līdzeklis, jo tie ir izplatīti dažādu likviditātes un valsts (centrālās valdības) emitēto vērtspapīru risku dēļ. Vienības, kas klasificētas šajā sektorā, var noslēgt šādus līgumus vai nu kā likviditātes nodrošinātājas, vai kā naudas aizņēmējas.</w:t>
      </w: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Saskaņā ar šiem noteikumiem </w:t>
      </w:r>
      <w:r>
        <w:rPr>
          <w:rFonts w:ascii="Times New Roman" w:hAnsi="Times New Roman"/>
          <w:i/>
          <w:noProof/>
          <w:sz w:val="24"/>
        </w:rPr>
        <w:t>repo</w:t>
      </w:r>
      <w:r>
        <w:rPr>
          <w:rFonts w:ascii="Times New Roman" w:hAnsi="Times New Roman"/>
          <w:noProof/>
          <w:sz w:val="24"/>
        </w:rPr>
        <w:t xml:space="preserve"> līgumi var tieši ietekmēt vispārējās valdības parāda aprēķināšanu, ja vispārējās valdības vienība ir “naudas saņēmēja” šādos darījumos (jaunu saistību ierakstīšana). Ja ir iesaistītas divas vienības, kas ir iekļautas šajā sektorā, tad nav nekādas ietekmes, jo pastāv konsolidācijas noteikums, izņemot gadījumu, kad aktīvu pārdod tālāk pilnvarots pārstāvis. Papildus jāuzsver, ja </w:t>
      </w:r>
      <w:r>
        <w:rPr>
          <w:rFonts w:ascii="Times New Roman" w:hAnsi="Times New Roman"/>
          <w:i/>
          <w:noProof/>
          <w:sz w:val="24"/>
        </w:rPr>
        <w:t>repo</w:t>
      </w:r>
      <w:r>
        <w:rPr>
          <w:rFonts w:ascii="Times New Roman" w:hAnsi="Times New Roman"/>
          <w:noProof/>
          <w:sz w:val="24"/>
        </w:rPr>
        <w:t xml:space="preserve"> darījumus bieži izmanto valdības parāda pārvaldnieki saistībā ar fondu investīcijām, kuras parasti var būt pieejamas tikai īstermiņā.</w:t>
      </w: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szCs w:val="14"/>
        </w:rPr>
      </w:pPr>
      <w:r>
        <w:rPr>
          <w:rFonts w:ascii="Times New Roman" w:hAnsi="Times New Roman"/>
          <w:noProof/>
          <w:sz w:val="24"/>
        </w:rPr>
        <w:t xml:space="preserve">EKS 2010 5.127. punktā noteikts: “līgums par vērtspapīru pārdošanu ar atpirkšanu ir vienošanās, saskaņā ar kuru vērtspapīrus, piemēram, parāda vērtspapīrus vai akcijas, apmaina pret naudu vai citiem maksāšanas līdzekļiem, apņemoties atpirkt šos pašus vai līdzīgus vērtspapīrus par fiksētu cenu. Apņemšanās atpirkt var attiekties uz noteiktu nākotnes datumu vai nenoteiktu termiņu.” NKS 2008 11.74. punktā noteikts, ka pārdošanas ar atpirkšanu līgums ir “vērtspapīru pārdošanas-atpirkšanas līgums, kurā vērtspapīrus nodrošina apmaiņā pret naudu, apņemoties, ka tādi paši vai līdzīgi vērtspapīri tiks atpirkti par fiksētu cenu naudā norādītā vēlākā datumā”. </w:t>
      </w:r>
      <w:r>
        <w:rPr>
          <w:rFonts w:ascii="Times New Roman" w:hAnsi="Times New Roman"/>
          <w:i/>
          <w:noProof/>
          <w:sz w:val="24"/>
        </w:rPr>
        <w:t>Repo</w:t>
      </w:r>
      <w:r>
        <w:rPr>
          <w:rFonts w:ascii="Times New Roman" w:hAnsi="Times New Roman"/>
          <w:noProof/>
          <w:sz w:val="24"/>
        </w:rPr>
        <w:t xml:space="preserve"> parasti tiek noslēgts uz ļoti īsu termiņu, piemēram, uz vienu nakti vai dienu.</w:t>
      </w:r>
      <w:r>
        <w:rPr>
          <w:rStyle w:val="FootnoteReference"/>
          <w:rFonts w:ascii="Times New Roman" w:hAnsi="Times New Roman"/>
          <w:noProof/>
          <w:sz w:val="24"/>
        </w:rPr>
        <w:footnoteReference w:id="307"/>
      </w: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Ekonomiskā izteiksmē </w:t>
      </w:r>
      <w:r>
        <w:rPr>
          <w:rFonts w:ascii="Times New Roman" w:hAnsi="Times New Roman"/>
          <w:i/>
          <w:noProof/>
          <w:sz w:val="24"/>
        </w:rPr>
        <w:t>repo</w:t>
      </w:r>
      <w:r>
        <w:rPr>
          <w:rFonts w:ascii="Times New Roman" w:hAnsi="Times New Roman"/>
          <w:noProof/>
          <w:sz w:val="24"/>
        </w:rPr>
        <w:t xml:space="preserve"> ir “nodrošināts” aizdevums, jo pastāv ķīla. Turklāt </w:t>
      </w:r>
      <w:r>
        <w:rPr>
          <w:rFonts w:ascii="Times New Roman" w:hAnsi="Times New Roman"/>
          <w:i/>
          <w:noProof/>
          <w:sz w:val="24"/>
        </w:rPr>
        <w:t>repo</w:t>
      </w:r>
      <w:r>
        <w:rPr>
          <w:rFonts w:ascii="Times New Roman" w:hAnsi="Times New Roman"/>
          <w:noProof/>
          <w:sz w:val="24"/>
        </w:rPr>
        <w:t xml:space="preserve"> ir pārdošanas ar atpirkšanu līgums, kurā vienai darījuma pusei nosaka stingras saistības, un tā ir galvenā pazīme, nevis tikai vienkāršs solījums. Faktiski maksājuma termiņā vai pirms tā, ja līgumā ir tā noteikts, pagaidu “pircējam” (vai tā pilnvarotam pārstāvim) ir jāatdod vērtspapīrs (vai tam līdzvērtīgs dokuments) sākotnējam “pārdevējam” (vai atsavinātājam), kuram tas jāatpērk par līgumā noteikto cenu. Parasti valsts tiesību aktos tiek prasīts, lai vērtspapīrus, ko izmanto pārdošanas ar atpirkšanu līgumā, vērtspapīru portfelī norādītu atsevišķi. Turklāt dažos tirgos var ievērot sarežģītākas iezīmes (piemēram, “maržas” noteikšana).</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bookmarkStart w:id="600" w:name="VIII.4.2_Treatment_in_national_accounts"/>
      <w:bookmarkEnd w:id="600"/>
      <w:r>
        <w:rPr>
          <w:rFonts w:ascii="Times New Roman" w:hAnsi="Times New Roman"/>
          <w:noProof/>
          <w:u w:val="none"/>
        </w:rPr>
        <w:t>VIII.4.2. </w:t>
      </w:r>
      <w:r>
        <w:rPr>
          <w:rFonts w:ascii="Times New Roman" w:hAnsi="Times New Roman"/>
          <w:noProof/>
          <w:u w:val="thick" w:color="000000"/>
        </w:rPr>
        <w:t>Traktējums nacionālajos kontos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76"/>
        </w:tabs>
        <w:jc w:val="both"/>
        <w:rPr>
          <w:rFonts w:ascii="Times New Roman" w:hAnsi="Times New Roman"/>
          <w:noProof/>
          <w:sz w:val="24"/>
        </w:rPr>
      </w:pPr>
      <w:r>
        <w:rPr>
          <w:rFonts w:ascii="Times New Roman" w:hAnsi="Times New Roman"/>
          <w:noProof/>
          <w:sz w:val="24"/>
        </w:rPr>
        <w:t>VIII.4.2.1. Traktējums EKS 2010</w:t>
      </w:r>
    </w:p>
    <w:p w:rsidR="00506AA9" w:rsidRPr="001973D0" w:rsidRDefault="00506AA9" w:rsidP="00506AA9">
      <w:pPr>
        <w:pStyle w:val="Heading6"/>
        <w:tabs>
          <w:tab w:val="left" w:pos="1876"/>
        </w:tabs>
        <w:jc w:val="both"/>
        <w:rPr>
          <w:rFonts w:ascii="Times New Roman" w:hAnsi="Times New Roman"/>
          <w:noProof/>
          <w:sz w:val="24"/>
        </w:rPr>
      </w:pPr>
    </w:p>
    <w:p w:rsidR="00506AA9" w:rsidRPr="006158CB"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EKS 2010 skaidri norāda </w:t>
      </w:r>
      <w:r>
        <w:rPr>
          <w:rFonts w:ascii="Times New Roman" w:hAnsi="Times New Roman"/>
          <w:i/>
          <w:noProof/>
          <w:sz w:val="24"/>
        </w:rPr>
        <w:t>repo</w:t>
      </w:r>
      <w:r>
        <w:rPr>
          <w:rFonts w:ascii="Times New Roman" w:hAnsi="Times New Roman"/>
          <w:noProof/>
          <w:sz w:val="24"/>
        </w:rPr>
        <w:t xml:space="preserve"> līgumu traktējumu atbilstoši NKS 2008 un BOP 6. rokasgrāmatai. Svarīgākais ir tas, ka </w:t>
      </w:r>
      <w:r>
        <w:rPr>
          <w:rFonts w:ascii="Times New Roman" w:hAnsi="Times New Roman"/>
          <w:i/>
          <w:noProof/>
          <w:sz w:val="24"/>
        </w:rPr>
        <w:t>repo</w:t>
      </w:r>
      <w:r>
        <w:rPr>
          <w:rFonts w:ascii="Times New Roman" w:hAnsi="Times New Roman"/>
          <w:noProof/>
          <w:sz w:val="24"/>
        </w:rPr>
        <w:t xml:space="preserve"> darījumā rodas jauns finanšu instruments. </w:t>
      </w:r>
      <w:r>
        <w:rPr>
          <w:rFonts w:ascii="Times New Roman" w:hAnsi="Times New Roman"/>
          <w:i/>
          <w:noProof/>
          <w:sz w:val="24"/>
        </w:rPr>
        <w:t>Repo</w:t>
      </w:r>
      <w:r>
        <w:rPr>
          <w:rFonts w:ascii="Times New Roman" w:hAnsi="Times New Roman"/>
          <w:noProof/>
          <w:sz w:val="24"/>
        </w:rPr>
        <w:t xml:space="preserve"> darījums rada jaunas attiecības starp diviem darījuma partneriem. Pastāv jauns savstarpēju prasību un saistību komplekts. Pārdevēja bilancē aktīva pusē pieaug saņemtās naudas apjoms, kas ir pieejams visiem mērķiem, bet viņa darījuma partnerim – saistību pusē. Pircējam pieauguma nav, bet aktīva pusē ir tikai aizstāta nauda ar citu posteni.</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cs="Arial"/>
          <w:noProof/>
          <w:sz w:val="24"/>
        </w:rPr>
      </w:pPr>
      <w:r>
        <w:rPr>
          <w:rFonts w:ascii="Times New Roman" w:hAnsi="Times New Roman"/>
          <w:i/>
          <w:noProof/>
          <w:sz w:val="24"/>
        </w:rPr>
        <w:lastRenderedPageBreak/>
        <w:t>Repo</w:t>
      </w:r>
      <w:r>
        <w:rPr>
          <w:rFonts w:ascii="Times New Roman" w:hAnsi="Times New Roman"/>
          <w:noProof/>
          <w:sz w:val="24"/>
        </w:rPr>
        <w:t xml:space="preserve"> darījumu traktējums ir skaidrots EKS 2010 5.127.–5.133. punktā. Traktējuma pamatā ir vērtspapīra sākotnējā turētāja būtība. EKS 2010 5.130. punktā norādīts, ka “līdzekļu piegāde un saņemšana saskaņā ar vērtspapīru pārdošanas ar atpirkšanu līgumu un aizdošanas ar naudas nodrošinājumu līgumu nenozīmē parāda vērtspapīru jaunu emisiju. Līdzekļu sniegšanu institucionālām vienībām, kas nav monetārās finanšu iestādes, uzskata par aizdevumiem, bet noguldījumus pieņemošām sabiedrībām</w:t>
      </w:r>
      <w:r>
        <w:rPr>
          <w:rStyle w:val="FootnoteReference"/>
          <w:rFonts w:ascii="Times New Roman" w:hAnsi="Times New Roman"/>
          <w:noProof/>
          <w:sz w:val="24"/>
        </w:rPr>
        <w:footnoteReference w:id="308"/>
      </w:r>
      <w:r>
        <w:rPr>
          <w:rFonts w:ascii="Times New Roman" w:hAnsi="Times New Roman"/>
          <w:noProof/>
          <w:sz w:val="24"/>
        </w:rPr>
        <w:t xml:space="preserve"> – par noguldījumiem.”</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Svarīgs apsvērums ir, ka “vērtspapīri, ko saņem saskaņā ar vērtspapīru aizdošanas un pārdošanas ar atpirkšanu līgumiem, nemaina ekonomiskās īpašumtiesības, jo aizdevējs joprojām ir vērtspapīru ienākuma saņēmējs un saskaras ar riskiem vai gūst labumu, ko rada vērtspapīru cenas pārmaiņas” (EKS 2010 5.129. punkts).</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Pamatojums ir tāds, ka atbilstošā vērtspapīra īpašumtiesības ekonomiskā izpratnē netiek mainītas, un tam EKS 2010 ir noteicošā nozīme salīdzinājumā ar juridiskajiem nosacījumiem. Faktiski pārdevējs ir pakļauts pamatā esošā aktīva tirgus novērtējuma izmaiņām. Atbilstoši </w:t>
      </w:r>
      <w:r>
        <w:rPr>
          <w:rFonts w:ascii="Times New Roman" w:hAnsi="Times New Roman"/>
          <w:i/>
          <w:noProof/>
          <w:sz w:val="24"/>
        </w:rPr>
        <w:t>repo</w:t>
      </w:r>
      <w:r>
        <w:rPr>
          <w:rFonts w:ascii="Times New Roman" w:hAnsi="Times New Roman"/>
          <w:noProof/>
          <w:sz w:val="24"/>
        </w:rPr>
        <w:t xml:space="preserve"> darījumam pakārtoto aktīvu EKS ietvaros patur sākotnējā īpašnieka kontos. Tā kā īpašumtiesības </w:t>
      </w:r>
      <w:r w:rsidR="00C34C45">
        <w:rPr>
          <w:rFonts w:ascii="Times New Roman" w:hAnsi="Times New Roman"/>
          <w:noProof/>
          <w:sz w:val="24"/>
        </w:rPr>
        <w:t>netiek mainītas, nevar ierakstīt</w:t>
      </w:r>
      <w:r>
        <w:rPr>
          <w:rFonts w:ascii="Times New Roman" w:hAnsi="Times New Roman"/>
          <w:noProof/>
          <w:sz w:val="24"/>
        </w:rPr>
        <w:t xml:space="preserve"> darījumu ar vērtspapīriem. Pamatā esošais vērtspapīrs nav </w:t>
      </w:r>
      <w:r>
        <w:rPr>
          <w:rFonts w:ascii="Times New Roman" w:hAnsi="Times New Roman"/>
          <w:i/>
          <w:noProof/>
          <w:sz w:val="24"/>
        </w:rPr>
        <w:t>repo</w:t>
      </w:r>
      <w:r>
        <w:rPr>
          <w:rFonts w:ascii="Times New Roman" w:hAnsi="Times New Roman"/>
          <w:noProof/>
          <w:sz w:val="24"/>
        </w:rPr>
        <w:t xml:space="preserve"> darījuma tiešs mērķis. Tas nav līdzeklis ieguldīšanai finanšu tirgos. To skaidri parāda saistītā procentu likme, kā pamatā ir saistību maksājuma termiņš.</w:t>
      </w:r>
    </w:p>
    <w:p w:rsidR="00506AA9" w:rsidRPr="001973D0" w:rsidRDefault="00506AA9" w:rsidP="00506AA9">
      <w:pPr>
        <w:jc w:val="both"/>
        <w:rPr>
          <w:rFonts w:ascii="Times New Roman" w:eastAsia="Arial" w:hAnsi="Times New Roman" w:cs="Arial"/>
          <w:noProof/>
          <w:sz w:val="24"/>
          <w:szCs w:val="21"/>
        </w:rPr>
      </w:pPr>
    </w:p>
    <w:p w:rsidR="00506AA9" w:rsidRDefault="00506AA9" w:rsidP="00506AA9">
      <w:pPr>
        <w:pStyle w:val="Heading6"/>
        <w:tabs>
          <w:tab w:val="left" w:pos="1936"/>
        </w:tabs>
        <w:jc w:val="both"/>
        <w:rPr>
          <w:rFonts w:ascii="Times New Roman" w:hAnsi="Times New Roman"/>
          <w:noProof/>
          <w:sz w:val="24"/>
        </w:rPr>
      </w:pPr>
      <w:r>
        <w:rPr>
          <w:rFonts w:ascii="Times New Roman" w:hAnsi="Times New Roman"/>
          <w:noProof/>
          <w:sz w:val="24"/>
        </w:rPr>
        <w:t>VIII.4.2.2. Sīkākas piezīmes</w:t>
      </w:r>
    </w:p>
    <w:p w:rsidR="00506AA9" w:rsidRPr="001973D0" w:rsidRDefault="00506AA9" w:rsidP="00506AA9">
      <w:pPr>
        <w:pStyle w:val="Heading6"/>
        <w:tabs>
          <w:tab w:val="left" w:pos="1936"/>
        </w:tabs>
        <w:jc w:val="both"/>
        <w:rPr>
          <w:rFonts w:ascii="Times New Roman" w:hAnsi="Times New Roman"/>
          <w:noProof/>
          <w:sz w:val="24"/>
        </w:rPr>
      </w:pPr>
    </w:p>
    <w:p w:rsidR="00506AA9"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Daži punkti ir jāpaskaidro sīkāk.</w:t>
      </w:r>
    </w:p>
    <w:p w:rsidR="00506AA9" w:rsidRPr="001973D0" w:rsidRDefault="00506AA9" w:rsidP="00506AA9">
      <w:pPr>
        <w:pStyle w:val="BodyText"/>
        <w:tabs>
          <w:tab w:val="left" w:pos="1162"/>
        </w:tabs>
        <w:spacing w:before="0"/>
        <w:ind w:left="0" w:firstLine="0"/>
        <w:rPr>
          <w:rFonts w:ascii="Times New Roman" w:hAnsi="Times New Roman"/>
          <w:noProof/>
          <w:sz w:val="24"/>
        </w:rPr>
      </w:pPr>
    </w:p>
    <w:p w:rsidR="00506AA9" w:rsidRPr="001973D0" w:rsidRDefault="00506AA9" w:rsidP="00506AA9">
      <w:pPr>
        <w:pStyle w:val="BodyText"/>
        <w:numPr>
          <w:ilvl w:val="1"/>
          <w:numId w:val="95"/>
        </w:numPr>
        <w:tabs>
          <w:tab w:val="left" w:pos="1522"/>
        </w:tabs>
        <w:spacing w:before="0"/>
        <w:ind w:left="1134" w:hanging="425"/>
        <w:jc w:val="both"/>
        <w:rPr>
          <w:rFonts w:ascii="Times New Roman" w:hAnsi="Times New Roman"/>
          <w:noProof/>
          <w:sz w:val="24"/>
        </w:rPr>
      </w:pPr>
      <w:r>
        <w:rPr>
          <w:rFonts w:ascii="Times New Roman" w:hAnsi="Times New Roman"/>
          <w:noProof/>
          <w:sz w:val="24"/>
        </w:rPr>
        <w:t>Starpība starp pārdošanas cen</w:t>
      </w:r>
      <w:r w:rsidR="00C34C45">
        <w:rPr>
          <w:rFonts w:ascii="Times New Roman" w:hAnsi="Times New Roman"/>
          <w:noProof/>
          <w:sz w:val="24"/>
        </w:rPr>
        <w:t>u un atpirkšanas cenu jāieraksta</w:t>
      </w:r>
      <w:r>
        <w:rPr>
          <w:rFonts w:ascii="Times New Roman" w:hAnsi="Times New Roman"/>
          <w:noProof/>
          <w:sz w:val="24"/>
        </w:rPr>
        <w:t xml:space="preserve"> kā procenti, pamatojoties uz uzkrāšanas principu, un tā jāiekļauj īpašuma ienākumā.</w:t>
      </w:r>
    </w:p>
    <w:p w:rsidR="00506AA9" w:rsidRPr="001973D0" w:rsidRDefault="00506AA9" w:rsidP="00506AA9">
      <w:pPr>
        <w:pStyle w:val="BodyText"/>
        <w:numPr>
          <w:ilvl w:val="1"/>
          <w:numId w:val="95"/>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Noteikumi par </w:t>
      </w:r>
      <w:r>
        <w:rPr>
          <w:rFonts w:ascii="Times New Roman" w:hAnsi="Times New Roman"/>
          <w:i/>
          <w:noProof/>
          <w:sz w:val="24"/>
        </w:rPr>
        <w:t>repo</w:t>
      </w:r>
      <w:r>
        <w:rPr>
          <w:rFonts w:ascii="Times New Roman" w:hAnsi="Times New Roman"/>
          <w:noProof/>
          <w:sz w:val="24"/>
        </w:rPr>
        <w:t xml:space="preserve"> attiecas uz jebkuru aktīvu, ko izmanto līdzīgā darījumā (tādējādi attiecas uz visu veidu ķīlu), ne tikai uz vērtspapīriem.</w:t>
      </w:r>
    </w:p>
    <w:p w:rsidR="00506AA9" w:rsidRPr="001973D0" w:rsidRDefault="00506AA9" w:rsidP="00506AA9">
      <w:pPr>
        <w:pStyle w:val="BodyText"/>
        <w:numPr>
          <w:ilvl w:val="1"/>
          <w:numId w:val="95"/>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EKS 2010 noteiktais traktējums attiecībā uz </w:t>
      </w:r>
      <w:r>
        <w:rPr>
          <w:rFonts w:ascii="Times New Roman" w:hAnsi="Times New Roman"/>
          <w:i/>
          <w:noProof/>
          <w:sz w:val="24"/>
        </w:rPr>
        <w:t>repo</w:t>
      </w:r>
      <w:r>
        <w:rPr>
          <w:rFonts w:ascii="Times New Roman" w:hAnsi="Times New Roman"/>
          <w:noProof/>
          <w:sz w:val="24"/>
        </w:rPr>
        <w:t xml:space="preserve"> darījumiem attiecas tikai tad, ja aktīva sākotnējais pārdevējs ir uzņēmies neapstrīdamas saistības atpirkt šo aktīvu saskaņā ar iepriekš noteiktiem nosacījumiem (un nevis tikai iespēju vai apņemšanos saskaņā ar dažiem nosacījumiem).</w:t>
      </w:r>
    </w:p>
    <w:p w:rsidR="00506AA9" w:rsidRPr="001973D0" w:rsidRDefault="00506AA9" w:rsidP="00506AA9">
      <w:pPr>
        <w:pStyle w:val="BodyText"/>
        <w:numPr>
          <w:ilvl w:val="1"/>
          <w:numId w:val="95"/>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Faktiska tādu vērtspapīru nodošana, kas izmantoti </w:t>
      </w:r>
      <w:r>
        <w:rPr>
          <w:rFonts w:ascii="Times New Roman" w:hAnsi="Times New Roman"/>
          <w:i/>
          <w:noProof/>
          <w:sz w:val="24"/>
        </w:rPr>
        <w:t>repo</w:t>
      </w:r>
      <w:r>
        <w:rPr>
          <w:rFonts w:ascii="Times New Roman" w:hAnsi="Times New Roman"/>
          <w:noProof/>
          <w:sz w:val="24"/>
        </w:rPr>
        <w:t xml:space="preserve"> darījumos, jo īpaši ar elektroniski depozitāro sistēmu starpniecību, neietekmē konceptuālo traktējumu.</w:t>
      </w:r>
    </w:p>
    <w:p w:rsidR="00506AA9" w:rsidRPr="001973D0" w:rsidRDefault="00506AA9" w:rsidP="00506AA9">
      <w:pPr>
        <w:pStyle w:val="BodyText"/>
        <w:numPr>
          <w:ilvl w:val="1"/>
          <w:numId w:val="95"/>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Ja ekonomikas vienība aktīvu, kas “iegūts” saskaņā ar </w:t>
      </w:r>
      <w:r>
        <w:rPr>
          <w:rFonts w:ascii="Times New Roman" w:hAnsi="Times New Roman"/>
          <w:i/>
          <w:noProof/>
          <w:sz w:val="24"/>
        </w:rPr>
        <w:t>repo</w:t>
      </w:r>
      <w:r>
        <w:rPr>
          <w:rFonts w:ascii="Times New Roman" w:hAnsi="Times New Roman"/>
          <w:noProof/>
          <w:sz w:val="24"/>
        </w:rPr>
        <w:t xml:space="preserve"> darījumu, pārdod tālāk, tad tās bilancē veic negatīvu ierakstu.</w:t>
      </w:r>
    </w:p>
    <w:p w:rsidR="00506AA9" w:rsidRPr="001973D0" w:rsidRDefault="00506AA9" w:rsidP="00506AA9">
      <w:pPr>
        <w:numPr>
          <w:ilvl w:val="1"/>
          <w:numId w:val="95"/>
        </w:numPr>
        <w:tabs>
          <w:tab w:val="left" w:pos="1522"/>
        </w:tabs>
        <w:ind w:left="1134" w:hanging="425"/>
        <w:jc w:val="both"/>
        <w:rPr>
          <w:rFonts w:ascii="Times New Roman" w:eastAsia="Arial" w:hAnsi="Times New Roman" w:cs="Arial"/>
          <w:noProof/>
          <w:sz w:val="24"/>
        </w:rPr>
      </w:pPr>
      <w:r>
        <w:rPr>
          <w:rFonts w:ascii="Times New Roman" w:hAnsi="Times New Roman"/>
          <w:noProof/>
          <w:sz w:val="24"/>
        </w:rPr>
        <w:t xml:space="preserve">Vienīgi vērtspapīru aizdevumu ar naudu var traktēt līdzīgi kā </w:t>
      </w:r>
      <w:r>
        <w:rPr>
          <w:rFonts w:ascii="Times New Roman" w:hAnsi="Times New Roman"/>
          <w:i/>
          <w:noProof/>
          <w:sz w:val="24"/>
        </w:rPr>
        <w:t>repo</w:t>
      </w:r>
      <w:r>
        <w:rPr>
          <w:rFonts w:ascii="Times New Roman" w:hAnsi="Times New Roman"/>
          <w:noProof/>
          <w:sz w:val="24"/>
        </w:rPr>
        <w:t xml:space="preserve"> darījumus, kā minēts EKS 2010 5.128. punktā. </w:t>
      </w:r>
      <w:r>
        <w:rPr>
          <w:rFonts w:ascii="Times New Roman" w:hAnsi="Times New Roman"/>
          <w:i/>
          <w:noProof/>
          <w:sz w:val="24"/>
        </w:rPr>
        <w:t>Vērtspapīru aizdošana ar naudas nodrošinājumu un pārdošanas ar atpirkšanu (repo) līgumi ir dažādi termini, kas apzīmē finanšu vienošanos ar vienādu ekonomisko ietekmi: tie ir nodrošināti aizdevumi, jo abos darījumu veidos iekļauta tādu vērtspapīru piegāde, kas kalpo kā aizdevuma vai noguldījuma nodrošinājums, un noguldījumus pieņemošā sabiedrība pārdod vērtspapīrus saskaņā ar šādu finanšu vienošanos</w:t>
      </w:r>
      <w:r>
        <w:rPr>
          <w:rFonts w:ascii="Times New Roman" w:hAnsi="Times New Roman"/>
          <w:noProof/>
          <w:sz w:val="24"/>
        </w:rPr>
        <w:t>.</w:t>
      </w:r>
    </w:p>
    <w:p w:rsidR="00506AA9" w:rsidRPr="001973D0" w:rsidRDefault="00506AA9" w:rsidP="00506AA9">
      <w:pPr>
        <w:jc w:val="both"/>
        <w:rPr>
          <w:rFonts w:ascii="Times New Roman" w:eastAsia="Arial" w:hAnsi="Times New Roman" w:cs="Arial"/>
          <w:noProof/>
          <w:sz w:val="24"/>
          <w:szCs w:val="19"/>
        </w:rPr>
      </w:pPr>
    </w:p>
    <w:p w:rsidR="00506AA9" w:rsidRPr="001973D0" w:rsidRDefault="00506AA9" w:rsidP="00506AA9">
      <w:pPr>
        <w:pStyle w:val="Heading4"/>
        <w:tabs>
          <w:tab w:val="left" w:pos="1593"/>
        </w:tabs>
        <w:ind w:left="0" w:firstLine="0"/>
        <w:jc w:val="both"/>
        <w:rPr>
          <w:rFonts w:ascii="Times New Roman" w:hAnsi="Times New Roman"/>
          <w:noProof/>
          <w:u w:val="thick" w:color="000000"/>
        </w:rPr>
      </w:pPr>
      <w:bookmarkStart w:id="601" w:name="VIII.4.3_Rationale_of_the_treatment"/>
      <w:bookmarkEnd w:id="601"/>
      <w:r>
        <w:rPr>
          <w:rFonts w:ascii="Times New Roman" w:hAnsi="Times New Roman"/>
          <w:noProof/>
          <w:u w:val="none"/>
        </w:rPr>
        <w:t>VIII.4.3. </w:t>
      </w:r>
      <w:r>
        <w:rPr>
          <w:rFonts w:ascii="Times New Roman" w:hAnsi="Times New Roman"/>
          <w:noProof/>
          <w:u w:val="thick" w:color="000000"/>
        </w:rPr>
        <w:t>Traktējuma pamatojums</w:t>
      </w:r>
    </w:p>
    <w:p w:rsidR="00506AA9" w:rsidRPr="001973D0" w:rsidRDefault="00506AA9" w:rsidP="00506AA9">
      <w:pPr>
        <w:jc w:val="both"/>
        <w:rPr>
          <w:rFonts w:ascii="Times New Roman" w:eastAsia="Arial" w:hAnsi="Times New Roman" w:cs="Arial"/>
          <w:b/>
          <w:bCs/>
          <w:noProof/>
          <w:sz w:val="24"/>
          <w:szCs w:val="14"/>
        </w:rPr>
      </w:pPr>
    </w:p>
    <w:p w:rsidR="00506AA9" w:rsidRDefault="00506AA9" w:rsidP="00506AA9">
      <w:pPr>
        <w:pStyle w:val="Heading6"/>
        <w:tabs>
          <w:tab w:val="left" w:pos="1876"/>
        </w:tabs>
        <w:jc w:val="both"/>
        <w:rPr>
          <w:rFonts w:ascii="Times New Roman" w:hAnsi="Times New Roman"/>
          <w:noProof/>
          <w:sz w:val="24"/>
        </w:rPr>
      </w:pPr>
      <w:r>
        <w:rPr>
          <w:rFonts w:ascii="Times New Roman" w:hAnsi="Times New Roman"/>
          <w:noProof/>
          <w:sz w:val="24"/>
        </w:rPr>
        <w:t>VIII.4.3.1. Novērtēšana</w:t>
      </w:r>
    </w:p>
    <w:p w:rsidR="00506AA9" w:rsidRPr="001973D0" w:rsidRDefault="00506AA9" w:rsidP="00506AA9">
      <w:pPr>
        <w:pStyle w:val="Heading6"/>
        <w:tabs>
          <w:tab w:val="left" w:pos="1876"/>
        </w:tabs>
        <w:jc w:val="both"/>
        <w:rPr>
          <w:rFonts w:ascii="Times New Roman" w:hAnsi="Times New Roman"/>
          <w:noProof/>
          <w:sz w:val="24"/>
        </w:rPr>
      </w:pPr>
    </w:p>
    <w:p w:rsidR="00506AA9"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Atpirkšanas līgumus uzskata par aizdevumi</w:t>
      </w:r>
      <w:r w:rsidR="00C34C45">
        <w:rPr>
          <w:rFonts w:ascii="Times New Roman" w:hAnsi="Times New Roman"/>
          <w:noProof/>
          <w:sz w:val="24"/>
        </w:rPr>
        <w:t>em vai noguldījumiem un ieraksta</w:t>
      </w:r>
      <w:r>
        <w:rPr>
          <w:rFonts w:ascii="Times New Roman" w:hAnsi="Times New Roman"/>
          <w:noProof/>
          <w:sz w:val="24"/>
        </w:rPr>
        <w:t xml:space="preserve"> </w:t>
      </w:r>
      <w:r>
        <w:rPr>
          <w:rFonts w:ascii="Times New Roman" w:hAnsi="Times New Roman"/>
          <w:noProof/>
          <w:sz w:val="24"/>
        </w:rPr>
        <w:lastRenderedPageBreak/>
        <w:t>nacionālajos kontos atbilstoši nominālvērtībai. Tādējādi vērtības pamatā ir sākotnējais finansējums. Citiem vārdiem sakot, naudas summa, kas tiek apmainīta perioda sākumā, ir jaunā finanšu instrumenta vērtība. Nav turēšanas guvumu, kā tas ir atklātu darījumu ar vērtspapīriem gadījumā. Arī uzkrātos procentus iekļauj darījuma cenā. Tomēr var rasties nepieciešamī</w:t>
      </w:r>
      <w:r w:rsidR="00C34C45">
        <w:rPr>
          <w:rFonts w:ascii="Times New Roman" w:hAnsi="Times New Roman"/>
          <w:noProof/>
          <w:sz w:val="24"/>
        </w:rPr>
        <w:t>ba koriģēt summu, kas ierakstīta</w:t>
      </w:r>
      <w:r>
        <w:rPr>
          <w:rFonts w:ascii="Times New Roman" w:hAnsi="Times New Roman"/>
          <w:noProof/>
          <w:sz w:val="24"/>
        </w:rPr>
        <w:t xml:space="preserve"> kā procenti:</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0"/>
          <w:numId w:val="94"/>
        </w:numPr>
        <w:tabs>
          <w:tab w:val="left" w:pos="1462"/>
        </w:tabs>
        <w:spacing w:before="0"/>
        <w:ind w:left="1134" w:hanging="425"/>
        <w:jc w:val="both"/>
        <w:rPr>
          <w:rFonts w:ascii="Times New Roman" w:hAnsi="Times New Roman"/>
          <w:noProof/>
          <w:sz w:val="24"/>
        </w:rPr>
      </w:pPr>
      <w:r>
        <w:rPr>
          <w:rFonts w:ascii="Times New Roman" w:hAnsi="Times New Roman"/>
          <w:noProof/>
          <w:sz w:val="24"/>
        </w:rPr>
        <w:t>pirmkārt, lai no tās atņemtu komisijas nauda</w:t>
      </w:r>
      <w:r w:rsidR="00C34C45">
        <w:rPr>
          <w:rFonts w:ascii="Times New Roman" w:hAnsi="Times New Roman"/>
          <w:noProof/>
          <w:sz w:val="24"/>
        </w:rPr>
        <w:t>s vai nodevas, kuras ierakstītas</w:t>
      </w:r>
      <w:r>
        <w:rPr>
          <w:rFonts w:ascii="Times New Roman" w:hAnsi="Times New Roman"/>
          <w:noProof/>
          <w:sz w:val="24"/>
        </w:rPr>
        <w:t xml:space="preserve"> kā maksa par pakalpojumu (bet – no praktiskā viedokļa –, ja summa ir ļoti neliela, to var neņemt vērā);</w:t>
      </w:r>
    </w:p>
    <w:p w:rsidR="00506AA9" w:rsidRDefault="00506AA9" w:rsidP="00506AA9">
      <w:pPr>
        <w:pStyle w:val="BodyText"/>
        <w:numPr>
          <w:ilvl w:val="0"/>
          <w:numId w:val="94"/>
        </w:numPr>
        <w:tabs>
          <w:tab w:val="left" w:pos="1462"/>
        </w:tabs>
        <w:spacing w:before="0"/>
        <w:ind w:left="1134" w:hanging="425"/>
        <w:jc w:val="both"/>
        <w:rPr>
          <w:rFonts w:ascii="Times New Roman" w:hAnsi="Times New Roman"/>
          <w:noProof/>
          <w:sz w:val="24"/>
        </w:rPr>
      </w:pPr>
      <w:r>
        <w:rPr>
          <w:rFonts w:ascii="Times New Roman" w:hAnsi="Times New Roman"/>
          <w:noProof/>
          <w:sz w:val="24"/>
        </w:rPr>
        <w:t>otrkārt, attiecībā uz darījumiem ar ārvalstu valūtās izteiktiem aktīviem.</w:t>
      </w:r>
    </w:p>
    <w:p w:rsidR="00506AA9" w:rsidRPr="001973D0" w:rsidRDefault="00506AA9" w:rsidP="00506AA9">
      <w:pPr>
        <w:pStyle w:val="BodyText"/>
        <w:tabs>
          <w:tab w:val="left" w:pos="1462"/>
        </w:tabs>
        <w:spacing w:before="0"/>
        <w:ind w:left="0" w:firstLine="0"/>
        <w:jc w:val="both"/>
        <w:rPr>
          <w:rFonts w:ascii="Times New Roman" w:hAnsi="Times New Roman"/>
          <w:noProof/>
          <w:sz w:val="24"/>
        </w:rPr>
      </w:pPr>
    </w:p>
    <w:p w:rsidR="00506AA9" w:rsidRPr="001973D0" w:rsidRDefault="00506AA9" w:rsidP="00506AA9">
      <w:pPr>
        <w:pStyle w:val="BodyText"/>
        <w:numPr>
          <w:ilvl w:val="1"/>
          <w:numId w:val="94"/>
        </w:numPr>
        <w:tabs>
          <w:tab w:val="left" w:pos="1822"/>
        </w:tabs>
        <w:spacing w:before="0"/>
        <w:ind w:left="1701" w:hanging="567"/>
        <w:jc w:val="both"/>
        <w:rPr>
          <w:rFonts w:ascii="Times New Roman" w:hAnsi="Times New Roman"/>
          <w:noProof/>
          <w:sz w:val="24"/>
        </w:rPr>
      </w:pPr>
      <w:r>
        <w:rPr>
          <w:rFonts w:ascii="Times New Roman" w:hAnsi="Times New Roman"/>
          <w:noProof/>
          <w:sz w:val="24"/>
        </w:rPr>
        <w:t>Šādā gadījumā izmaiņas aktīva vērtībā, kas rodas maiņas kursa iespējamu pārmaiņu ietekmes dēļ, netiek aprēķinātas par līdzekļu aizdevumu/aizņēmumu atlīdzību.</w:t>
      </w:r>
    </w:p>
    <w:p w:rsidR="00506AA9" w:rsidRPr="001973D0" w:rsidRDefault="00506AA9" w:rsidP="00506AA9">
      <w:pPr>
        <w:pStyle w:val="BodyText"/>
        <w:numPr>
          <w:ilvl w:val="1"/>
          <w:numId w:val="94"/>
        </w:numPr>
        <w:tabs>
          <w:tab w:val="left" w:pos="1822"/>
        </w:tabs>
        <w:spacing w:before="0"/>
        <w:ind w:left="1701" w:hanging="567"/>
        <w:jc w:val="both"/>
        <w:rPr>
          <w:rFonts w:ascii="Times New Roman" w:hAnsi="Times New Roman"/>
          <w:noProof/>
          <w:sz w:val="24"/>
        </w:rPr>
      </w:pPr>
      <w:r>
        <w:rPr>
          <w:rFonts w:ascii="Times New Roman" w:hAnsi="Times New Roman"/>
          <w:noProof/>
          <w:sz w:val="24"/>
        </w:rPr>
        <w:t>Atpirkšanas cena jāaprēķina, pamatojoties uz sākotnējo maiņ</w:t>
      </w:r>
      <w:r w:rsidR="00C34C45">
        <w:rPr>
          <w:rFonts w:ascii="Times New Roman" w:hAnsi="Times New Roman"/>
          <w:noProof/>
          <w:sz w:val="24"/>
        </w:rPr>
        <w:t>as kursu, un starpība jāieraksta</w:t>
      </w:r>
      <w:r>
        <w:rPr>
          <w:rFonts w:ascii="Times New Roman" w:hAnsi="Times New Roman"/>
          <w:noProof/>
          <w:sz w:val="24"/>
        </w:rPr>
        <w:t xml:space="preserve"> pārvērtēšanas kontā kā nominālie turēšanas guvumi vai zaudējumi.</w:t>
      </w:r>
    </w:p>
    <w:p w:rsidR="00506AA9" w:rsidRDefault="00506AA9" w:rsidP="00506AA9">
      <w:pPr>
        <w:pStyle w:val="BodyText"/>
        <w:numPr>
          <w:ilvl w:val="1"/>
          <w:numId w:val="94"/>
        </w:numPr>
        <w:tabs>
          <w:tab w:val="left" w:pos="1820"/>
        </w:tabs>
        <w:spacing w:before="0"/>
        <w:ind w:left="1701" w:hanging="567"/>
        <w:jc w:val="both"/>
        <w:rPr>
          <w:rFonts w:ascii="Times New Roman" w:hAnsi="Times New Roman"/>
          <w:noProof/>
          <w:sz w:val="24"/>
        </w:rPr>
      </w:pPr>
      <w:r>
        <w:rPr>
          <w:rFonts w:ascii="Times New Roman" w:hAnsi="Times New Roman"/>
          <w:noProof/>
          <w:sz w:val="24"/>
        </w:rPr>
        <w:t xml:space="preserve">Praktiskos nolūkos var būt vieglāk sākt no turēšanas guvumu vai zaudējumu summas (ar nosacījumu, ka maiņas kursa izmaiņu ietekme ir pienācīgi identificēta) un atņemt procentus par </w:t>
      </w:r>
      <w:r>
        <w:rPr>
          <w:rFonts w:ascii="Times New Roman" w:hAnsi="Times New Roman"/>
          <w:i/>
          <w:noProof/>
          <w:sz w:val="24"/>
        </w:rPr>
        <w:t>repo</w:t>
      </w:r>
      <w:r>
        <w:rPr>
          <w:rFonts w:ascii="Times New Roman" w:hAnsi="Times New Roman"/>
          <w:noProof/>
          <w:sz w:val="24"/>
        </w:rPr>
        <w:t xml:space="preserve"> darījumiem, izmantojot aprēķinu, kura pamatā ir vidējais maksājuma termiņš.</w:t>
      </w:r>
    </w:p>
    <w:p w:rsidR="00506AA9" w:rsidRPr="001973D0" w:rsidRDefault="00506AA9" w:rsidP="00506AA9">
      <w:pPr>
        <w:pStyle w:val="BodyText"/>
        <w:tabs>
          <w:tab w:val="left" w:pos="1820"/>
        </w:tabs>
        <w:spacing w:before="0"/>
        <w:ind w:left="0" w:firstLine="0"/>
        <w:jc w:val="both"/>
        <w:rPr>
          <w:rFonts w:ascii="Times New Roman" w:hAnsi="Times New Roman"/>
          <w:noProof/>
          <w:sz w:val="24"/>
        </w:rPr>
      </w:pPr>
    </w:p>
    <w:p w:rsidR="00506AA9" w:rsidRDefault="00506AA9" w:rsidP="00506AA9">
      <w:pPr>
        <w:pStyle w:val="Heading6"/>
        <w:tabs>
          <w:tab w:val="left" w:pos="1876"/>
        </w:tabs>
        <w:jc w:val="both"/>
        <w:rPr>
          <w:rFonts w:ascii="Times New Roman" w:hAnsi="Times New Roman"/>
          <w:noProof/>
          <w:sz w:val="24"/>
        </w:rPr>
      </w:pPr>
      <w:r>
        <w:rPr>
          <w:rFonts w:ascii="Times New Roman" w:hAnsi="Times New Roman"/>
          <w:noProof/>
          <w:sz w:val="24"/>
        </w:rPr>
        <w:t>VIII.4.3.2. Pakārtotie aktīvi</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EKS 2010 un NKS 2008 aplūkoti vienīgi tādi </w:t>
      </w:r>
      <w:r>
        <w:rPr>
          <w:rFonts w:ascii="Times New Roman" w:hAnsi="Times New Roman"/>
          <w:i/>
          <w:noProof/>
          <w:sz w:val="24"/>
        </w:rPr>
        <w:t>repo</w:t>
      </w:r>
      <w:r>
        <w:rPr>
          <w:rFonts w:ascii="Times New Roman" w:hAnsi="Times New Roman"/>
          <w:noProof/>
          <w:sz w:val="24"/>
        </w:rPr>
        <w:t xml:space="preserve"> darījumi, ko nodrošina ar vērtspapīriem, vispārējās valdības obligācijām un valsts iekšējā aizņēmuma parādzīmēm, to plašo un likvīdo tirgu dēļ. Dažās valstīs var izmantot arī citus aktīvus, proti, aizdevumus nefinanšu iestādēm saskaņā ar dažiem kritērijiem, un pat nekustamo īpašumu aktīvus. Piemērojams būtu arī tāds traktējums, kāds ir </w:t>
      </w:r>
      <w:r>
        <w:rPr>
          <w:rFonts w:ascii="Times New Roman" w:hAnsi="Times New Roman"/>
          <w:i/>
          <w:noProof/>
          <w:sz w:val="24"/>
        </w:rPr>
        <w:t>repo</w:t>
      </w:r>
      <w:r>
        <w:rPr>
          <w:rFonts w:ascii="Times New Roman" w:hAnsi="Times New Roman"/>
          <w:noProof/>
          <w:sz w:val="24"/>
        </w:rPr>
        <w:t xml:space="preserve"> darījumiem. Tādējādi </w:t>
      </w:r>
      <w:r>
        <w:rPr>
          <w:rFonts w:ascii="Times New Roman" w:hAnsi="Times New Roman"/>
          <w:i/>
          <w:noProof/>
          <w:sz w:val="24"/>
        </w:rPr>
        <w:t>repo</w:t>
      </w:r>
      <w:r>
        <w:rPr>
          <w:rFonts w:ascii="Times New Roman" w:hAnsi="Times New Roman"/>
          <w:noProof/>
          <w:sz w:val="24"/>
        </w:rPr>
        <w:t xml:space="preserve"> darījumu definīciju var paplašināt, attiecinot to arī uz visiem pasākumiem, kas saistīti ar naudas piešķiršanu konkrētā periodā ekonomikas subjektam, kurš savukārt “nodrošina” kā ķīlu jebkuru aktīvu, kas ir tās īpašumā saskaņā ar pārdošanas ar atpirkšanu līgumu.</w:t>
      </w:r>
    </w:p>
    <w:p w:rsidR="00506AA9" w:rsidRDefault="00506AA9" w:rsidP="00506AA9">
      <w:pPr>
        <w:pStyle w:val="Heading6"/>
        <w:jc w:val="both"/>
        <w:rPr>
          <w:rFonts w:ascii="Times New Roman" w:hAnsi="Times New Roman"/>
          <w:noProof/>
          <w:sz w:val="24"/>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Atpirkšanas noteikums</w:t>
      </w: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Kā iepriekš minēts, sākotnējam pārdevējam (atsavinātājam/ līdzekļu aizņēmējam) jābūt noteiktām skaidrām saistībām attiecībā uz vērtspapīru atpirkšanu. No juridiskā viedokļa, pastāv neapšaubāma prasība, kas ir pircējam vai tiesību pārņēmējam. Parāda atmaksāšanas termiņā sākuma stāvokli automātiski atlīdzinātu ar pretēju darījumu, lai kādi būtu jaunie tirgus nosacījumi. Ja līgumos noteikts, ka pārdevējam ir iespēja vērtspapīrus tikai atpirkt, </w:t>
      </w:r>
      <w:r>
        <w:rPr>
          <w:rFonts w:ascii="Times New Roman" w:hAnsi="Times New Roman"/>
          <w:i/>
          <w:noProof/>
          <w:sz w:val="24"/>
        </w:rPr>
        <w:t>repo</w:t>
      </w:r>
      <w:r>
        <w:rPr>
          <w:rFonts w:ascii="Times New Roman" w:hAnsi="Times New Roman"/>
          <w:noProof/>
          <w:sz w:val="24"/>
        </w:rPr>
        <w:t xml:space="preserve"> darījumu traktējums nav jāpiemēro. Vienošanās ietver vienīgi solījumu. Šādā gadījumā dažreiz izmanto izteicienu “neīsti pārdošanas ar atpirkšanu līgumi”.</w:t>
      </w:r>
    </w:p>
    <w:p w:rsidR="00506AA9" w:rsidRPr="005F5DC1"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To var novērot arī pārdošanas/atpirkšanas darījumos, kad ir ļoti liela līdzība ar </w:t>
      </w:r>
      <w:r>
        <w:rPr>
          <w:rFonts w:ascii="Times New Roman" w:hAnsi="Times New Roman"/>
          <w:i/>
          <w:noProof/>
          <w:sz w:val="24"/>
        </w:rPr>
        <w:t>repo</w:t>
      </w:r>
      <w:r>
        <w:rPr>
          <w:rFonts w:ascii="Times New Roman" w:hAnsi="Times New Roman"/>
          <w:noProof/>
          <w:sz w:val="24"/>
        </w:rPr>
        <w:t xml:space="preserve"> darījumiem attiecībā uz darījuma ekonomisko būtību, bet pastāv arī dažas tehniskas atšķirības. Tomēr pārdošana/atpirkšana jātraktē kā </w:t>
      </w:r>
      <w:r>
        <w:rPr>
          <w:rFonts w:ascii="Times New Roman" w:hAnsi="Times New Roman"/>
          <w:i/>
          <w:noProof/>
          <w:sz w:val="24"/>
        </w:rPr>
        <w:t>repo</w:t>
      </w:r>
      <w:r>
        <w:rPr>
          <w:rFonts w:ascii="Times New Roman" w:hAnsi="Times New Roman"/>
          <w:noProof/>
          <w:sz w:val="24"/>
        </w:rPr>
        <w:t xml:space="preserve"> darījums, saskaņā ar kuru sākotnējam īpašniekam ir noteikts pienākums atpirkt likviditāti un pārņēmējam – neapstrīdama prasība saņemt atpakaļ likviditāt</w:t>
      </w:r>
      <w:r w:rsidR="00C34C45">
        <w:rPr>
          <w:rFonts w:ascii="Times New Roman" w:hAnsi="Times New Roman"/>
          <w:noProof/>
          <w:sz w:val="24"/>
        </w:rPr>
        <w:t>i. Tāpēc šie darījumi jāieraksta</w:t>
      </w:r>
      <w:r>
        <w:rPr>
          <w:rFonts w:ascii="Times New Roman" w:hAnsi="Times New Roman"/>
          <w:noProof/>
          <w:sz w:val="24"/>
        </w:rPr>
        <w:t xml:space="preserve"> tādā pašā veidā un, ja nepieciešams, kompilācijā izmantotie avoti jālabo, jo īpaši attiecīgajos vērtspapīru portfeļos.</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Ja sākotnējam pārdevējam nav stingru saistību atpirkt aktīvu/-us, jāuzskata, ka šis </w:t>
      </w:r>
      <w:r>
        <w:rPr>
          <w:rFonts w:ascii="Times New Roman" w:hAnsi="Times New Roman"/>
          <w:noProof/>
          <w:sz w:val="24"/>
        </w:rPr>
        <w:lastRenderedPageBreak/>
        <w:t>gadījums ir reāla īpašumtiesību nodošana. Attiecībā uz v</w:t>
      </w:r>
      <w:r w:rsidR="00C34C45">
        <w:rPr>
          <w:rFonts w:ascii="Times New Roman" w:hAnsi="Times New Roman"/>
          <w:noProof/>
          <w:sz w:val="24"/>
        </w:rPr>
        <w:t>ērtspapīriem izmaiņas jāieraksta</w:t>
      </w:r>
      <w:r>
        <w:rPr>
          <w:rFonts w:ascii="Times New Roman" w:hAnsi="Times New Roman"/>
          <w:noProof/>
          <w:sz w:val="24"/>
        </w:rPr>
        <w:t xml:space="preserve"> abu līgumslēdzēju pušu vērtspapīru portfeļos, neradot pieaugumu pārdevēja bilancē. Jāatgādina, ka iespējamais aktīvs, kas atbilst iespējamai tālākpārdošanai, vispār nav jāiekļauj finanšu kontā saskaņā ar EKS 2010 5.09. punkta noteikumiem.</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Dažos gadījumos pušu raksturu dēļ atpirkšanas darījums, pat ja tam nav stingra juridiska pamatojuma, ir pavisam noteikts. Piemēram, </w:t>
      </w:r>
      <w:r>
        <w:rPr>
          <w:rFonts w:ascii="Times New Roman" w:hAnsi="Times New Roman"/>
          <w:i/>
          <w:noProof/>
          <w:sz w:val="24"/>
        </w:rPr>
        <w:t>repo</w:t>
      </w:r>
      <w:r>
        <w:rPr>
          <w:rFonts w:ascii="Times New Roman" w:hAnsi="Times New Roman"/>
          <w:noProof/>
          <w:sz w:val="24"/>
        </w:rPr>
        <w:t xml:space="preserve"> darījumu noslēdz divas vienības, kas klasificētas pie vispārējās valdības. Tomēr šajā gadījumā noteikumu pa stingru apņemšanos ir ieteicams piemērot vairāk ierobežotā veidā, t. i., noteiktās situācijās, kurās var pamatoti uzskatīt, ka domstarpību gadījumā saistības noteikti atzīs tiesa vai šķīrējtiesa. Ir konstatēti daži reti domstarpību gadījumi tieši saistībā ar atpirkšanas pienākumu.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36"/>
        </w:tabs>
        <w:jc w:val="both"/>
        <w:rPr>
          <w:rFonts w:ascii="Times New Roman" w:hAnsi="Times New Roman"/>
          <w:noProof/>
          <w:sz w:val="24"/>
        </w:rPr>
      </w:pPr>
      <w:r>
        <w:rPr>
          <w:rFonts w:ascii="Times New Roman" w:hAnsi="Times New Roman"/>
          <w:noProof/>
          <w:sz w:val="24"/>
        </w:rPr>
        <w:t>VIII.4.3.3. Vērtspapīru izsniegšana</w:t>
      </w:r>
    </w:p>
    <w:p w:rsidR="00506AA9" w:rsidRPr="001973D0" w:rsidRDefault="00506AA9" w:rsidP="00506AA9">
      <w:pPr>
        <w:pStyle w:val="Heading6"/>
        <w:tabs>
          <w:tab w:val="left" w:pos="1936"/>
        </w:tabs>
        <w:jc w:val="both"/>
        <w:rPr>
          <w:rFonts w:ascii="Times New Roman" w:hAnsi="Times New Roman"/>
          <w:noProof/>
          <w:sz w:val="24"/>
        </w:rPr>
      </w:pP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Vērtspapīrus var reāli izsniegt pircējam saskaņā ar valstu tiesību aktiem un tirgus praksi. Īpaši gadījumā, kad dematerializētā depozitārā sistēmā nepieciešama vienīgi korekcija ar efektīvas elektroniskās izsniegšanas un maksājuma kārtības starpniecību. Pamatā šī iezīme nemaina tās operācijas būtību, kas no ekonomiskā viedokļa ir </w:t>
      </w:r>
      <w:r>
        <w:rPr>
          <w:rFonts w:ascii="Times New Roman" w:hAnsi="Times New Roman"/>
          <w:i/>
          <w:noProof/>
          <w:sz w:val="24"/>
        </w:rPr>
        <w:t>repo</w:t>
      </w:r>
      <w:r>
        <w:rPr>
          <w:rFonts w:ascii="Times New Roman" w:hAnsi="Times New Roman"/>
          <w:noProof/>
          <w:sz w:val="24"/>
        </w:rPr>
        <w:t xml:space="preserve"> darījums. Tomēr tas sagatavošanas procesu acīmredzami padara vēl sarežģītāku un var būt turpmāk minētās neatbilstības avots.</w:t>
      </w:r>
    </w:p>
    <w:p w:rsidR="00506AA9" w:rsidRPr="001973D0" w:rsidRDefault="00C34C45"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Tā kā darījumu ieraksta</w:t>
      </w:r>
      <w:r w:rsidR="00506AA9">
        <w:rPr>
          <w:rFonts w:ascii="Times New Roman" w:hAnsi="Times New Roman"/>
          <w:noProof/>
          <w:sz w:val="24"/>
        </w:rPr>
        <w:t xml:space="preserve"> aizdevumu/noguldījumu instrumentos un uzskata, ka pārņēmējs nav nopircis vērtspapīrus, pircēja vērtspapīru portfelis jālabo, ja aktīvs ir ierakstīts. Tas var būt tāds pats sākotnējā īpašnieka vērtspapīru portfelī, un šis īpašnieks patur aktīvu savā vērtspapīru portfelī papildus jaunajam instrumentam, kas atspoguļo pagaidu naudas aizdevumu.</w:t>
      </w: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Pat izsniegšanas gadījumā pieņem, ka “pārdevējs” saglabā savas īpašuma tiesības uz vērtspapīriem, ko tas nodevis. Galvenais ir tas, ka viņš uzņemas riskus, piemēram, kad vērtspapīru vērtība ir mazāka par atpirkuma cenu saistībā ar izmaiņām tirgus nosacījumos. Turklāt gadījumā, ja vērtspapīra emitents nepilda savas saistības, tas aizdevējam atmaksā noteikto summu. Parasti pārdevējs turpina saņemt atlīdzības (kā procentus vai dividendes), kas saistītas ar šiem vērtspapīriem. Tas nozīmē, ka, ja šāds maksājums rodas līguma darbības laikā, pagaidu pircējam tas jāatmaksā.</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936"/>
        </w:tabs>
        <w:jc w:val="both"/>
        <w:rPr>
          <w:rFonts w:ascii="Times New Roman" w:hAnsi="Times New Roman"/>
          <w:noProof/>
          <w:sz w:val="24"/>
        </w:rPr>
      </w:pPr>
      <w:r>
        <w:rPr>
          <w:rFonts w:ascii="Times New Roman" w:hAnsi="Times New Roman"/>
          <w:noProof/>
          <w:sz w:val="24"/>
        </w:rPr>
        <w:t xml:space="preserve">VIII.4.3.4. Aktīva pārdošana laikā, kad notiek vienošanās par </w:t>
      </w:r>
      <w:r>
        <w:rPr>
          <w:rFonts w:ascii="Times New Roman" w:hAnsi="Times New Roman"/>
          <w:i/>
          <w:noProof/>
          <w:sz w:val="24"/>
        </w:rPr>
        <w:t>repo</w:t>
      </w:r>
      <w:r>
        <w:rPr>
          <w:rFonts w:ascii="Times New Roman" w:hAnsi="Times New Roman"/>
          <w:noProof/>
          <w:sz w:val="24"/>
        </w:rPr>
        <w:t xml:space="preserve"> darījumu</w:t>
      </w:r>
    </w:p>
    <w:p w:rsidR="00506AA9" w:rsidRPr="001973D0" w:rsidRDefault="00506AA9" w:rsidP="00506AA9">
      <w:pPr>
        <w:pStyle w:val="Heading6"/>
        <w:tabs>
          <w:tab w:val="left" w:pos="1936"/>
        </w:tabs>
        <w:jc w:val="both"/>
        <w:rPr>
          <w:rFonts w:ascii="Times New Roman" w:hAnsi="Times New Roman"/>
          <w:noProof/>
          <w:sz w:val="24"/>
        </w:rPr>
      </w:pP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Iespējams, ka pircējs (“pārņēmējs”/ likviditātes nodrošinātājs) pārdod aktīvu, kas saņemts saskaņā ar </w:t>
      </w:r>
      <w:r>
        <w:rPr>
          <w:rFonts w:ascii="Times New Roman" w:hAnsi="Times New Roman"/>
          <w:i/>
          <w:noProof/>
          <w:sz w:val="24"/>
        </w:rPr>
        <w:t>repo</w:t>
      </w:r>
      <w:r>
        <w:rPr>
          <w:rFonts w:ascii="Times New Roman" w:hAnsi="Times New Roman"/>
          <w:noProof/>
          <w:sz w:val="24"/>
        </w:rPr>
        <w:t xml:space="preserve"> darījumu pirms darījuma otrā “posma”. Šādā gadījumā pircēja vērtspapīru portfelī veic negatīvu ierakstu, kas ekvivalents naudai, kura saņemta no pārdošanas. Tomēr sākotnējās attiecības, kas izriet no repo darījuma, neizbeidzas, un otrais darījums tās nemaina.</w:t>
      </w:r>
    </w:p>
    <w:p w:rsidR="00506AA9" w:rsidRPr="005F5DC1"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Pagaidu pircējs ir atbildīgs par “pielīdzināma” vērtspapīra nodrošināšanu. Tāpēc viņa bilancē jāuzrāda negatīvs aktīvs. Šis ieraksts parāda arī to, ka pašreizējā brīdī pircējs teorētiski ir pakļauts tirgus riskam, kā tas nebija pirms tālākpārdošanas. Tomēr šāds traktējums var radīt zināmas grūtības, kas nav specifiskas darījumiem, kurus uzņemas vispārējās valdības vienības, bet tas ir vispārējs jautājums, kas attiecas uz </w:t>
      </w:r>
      <w:r>
        <w:rPr>
          <w:rFonts w:ascii="Times New Roman" w:hAnsi="Times New Roman"/>
          <w:i/>
          <w:noProof/>
          <w:sz w:val="24"/>
        </w:rPr>
        <w:t>repo</w:t>
      </w:r>
      <w:r>
        <w:rPr>
          <w:rFonts w:ascii="Times New Roman" w:hAnsi="Times New Roman"/>
          <w:noProof/>
          <w:sz w:val="24"/>
        </w:rPr>
        <w:t xml:space="preserve"> darījumiem. Šādus darījumus var būt grūti identificēt, jo īpaši gadījumā ar pārrobežu plūsmām.</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6"/>
        <w:tabs>
          <w:tab w:val="left" w:pos="1876"/>
        </w:tabs>
        <w:jc w:val="both"/>
        <w:rPr>
          <w:rFonts w:ascii="Times New Roman" w:hAnsi="Times New Roman"/>
          <w:noProof/>
          <w:sz w:val="24"/>
        </w:rPr>
      </w:pPr>
      <w:r>
        <w:rPr>
          <w:rFonts w:ascii="Times New Roman" w:hAnsi="Times New Roman"/>
          <w:noProof/>
          <w:sz w:val="24"/>
        </w:rPr>
        <w:t>VIII.4.3.5. Vērtspapīru aizdevums</w:t>
      </w:r>
    </w:p>
    <w:p w:rsidR="00506AA9" w:rsidRPr="001973D0" w:rsidRDefault="00506AA9" w:rsidP="00506AA9">
      <w:pPr>
        <w:pStyle w:val="Heading6"/>
        <w:tabs>
          <w:tab w:val="left" w:pos="1876"/>
        </w:tabs>
        <w:jc w:val="both"/>
        <w:rPr>
          <w:rFonts w:ascii="Times New Roman" w:hAnsi="Times New Roman"/>
          <w:noProof/>
          <w:sz w:val="24"/>
        </w:rPr>
      </w:pP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 xml:space="preserve">Investori vērtspapīru tirgū dažādu iemeslu dēļ var plaši izmantot arī vērtspapīru </w:t>
      </w:r>
      <w:r>
        <w:rPr>
          <w:rFonts w:ascii="Times New Roman" w:hAnsi="Times New Roman"/>
          <w:noProof/>
          <w:sz w:val="24"/>
        </w:rPr>
        <w:lastRenderedPageBreak/>
        <w:t>aizdevumu, piemēram, lai segtu īstermiņa pozīcijas (kā pārdevējam nepiederošu vērtspapīru pārdevuma gadījumā) vai atvasināto instrumentu pārvaldības nolūkā.</w:t>
      </w:r>
    </w:p>
    <w:p w:rsidR="00506AA9" w:rsidRPr="001973D0"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Ja pastāv efektīva naudas plūsma, no ekonomiskā viedokļa ir skaidrs, ka šis gadījums ir ļoti līdzīgs pārdošanas ar atpirkšanu līguma darījumam. Faktiski nav noteikta ekonomisko īpašumtiesību maiņa, un pastāv stingras saistības attiecībā uz reversu darījumu ar vērtspapīri</w:t>
      </w:r>
      <w:r w:rsidR="00FE6D82">
        <w:rPr>
          <w:rFonts w:ascii="Times New Roman" w:hAnsi="Times New Roman"/>
          <w:noProof/>
          <w:sz w:val="24"/>
        </w:rPr>
        <w:t>em. Tādējādi darījums jāieraksta</w:t>
      </w:r>
      <w:r>
        <w:rPr>
          <w:rFonts w:ascii="Times New Roman" w:hAnsi="Times New Roman"/>
          <w:noProof/>
          <w:sz w:val="24"/>
        </w:rPr>
        <w:t xml:space="preserve"> aizdevumos vai noguldījumos saskaņā ar iepriekš minētajiem vispārējiem noteikumiem, jo īpaši, ja nacionālajos kontos nav darījumu ar vērtspapīriem. Šajā gadījumā arī pircēja vērtspapīru portfelī jāveic negatīvs ieraksts.</w:t>
      </w:r>
    </w:p>
    <w:p w:rsidR="00506AA9" w:rsidRPr="001973D0" w:rsidRDefault="00506AA9" w:rsidP="00506AA9">
      <w:pPr>
        <w:numPr>
          <w:ilvl w:val="0"/>
          <w:numId w:val="95"/>
        </w:numPr>
        <w:tabs>
          <w:tab w:val="left" w:pos="1102"/>
        </w:tabs>
        <w:ind w:left="709" w:hanging="709"/>
        <w:jc w:val="both"/>
        <w:rPr>
          <w:rFonts w:ascii="Times New Roman" w:eastAsia="Arial" w:hAnsi="Times New Roman" w:cs="Arial"/>
          <w:noProof/>
          <w:sz w:val="24"/>
        </w:rPr>
      </w:pPr>
      <w:r>
        <w:rPr>
          <w:rFonts w:ascii="Times New Roman" w:hAnsi="Times New Roman"/>
          <w:noProof/>
          <w:sz w:val="24"/>
        </w:rPr>
        <w:t xml:space="preserve">Pretēji minētajam, vērtspapīru aizdevums bez naudas plūsmas (parasti uz ļoti īsu maksājuma termiņu) nav jātraktē kā pārdošanas ar atpirkšanu līgums, kā norādīts EKS 2010 5.131. punktā: </w:t>
      </w:r>
      <w:r>
        <w:rPr>
          <w:rFonts w:ascii="Times New Roman" w:hAnsi="Times New Roman"/>
          <w:i/>
          <w:noProof/>
          <w:sz w:val="24"/>
        </w:rPr>
        <w:t>Ja vērtspapīru aizdošanas darījums neietver naudas piegādi, t. i., ja viens vērtspapīrs tiek apmainīts pret otru vai ja viens darījuma partneris sniedz vērtspapīru bez nodrošinājuma, tad nav darījuma ar aizdevumiem, noguldījumiem vai vērtspapīriem.</w:t>
      </w:r>
    </w:p>
    <w:p w:rsidR="00506AA9"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Parasti līgumslēdzēju pušu grāmatvedības sistēmā tas bilanci neietekmē, bet, iespējams, gaidām</w:t>
      </w:r>
      <w:r w:rsidR="00FE6D82">
        <w:rPr>
          <w:rFonts w:ascii="Times New Roman" w:hAnsi="Times New Roman"/>
          <w:noProof/>
          <w:sz w:val="24"/>
        </w:rPr>
        <w:t>ā reversa darījuma ierakstīšanai</w:t>
      </w:r>
      <w:r>
        <w:rPr>
          <w:rFonts w:ascii="Times New Roman" w:hAnsi="Times New Roman"/>
          <w:noProof/>
          <w:sz w:val="24"/>
        </w:rPr>
        <w:t xml:space="preserve"> pastāv ieraksts “ārpusbilances”. Tomēr dažās valstīs vērtspapīru portfeļi darījumu atspoguļo tieši, t. i., tie mainās atkarībā no darījuma. Jānošķir divi turpmākie gadījumi.</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0"/>
          <w:numId w:val="93"/>
        </w:numPr>
        <w:tabs>
          <w:tab w:val="left" w:pos="1462"/>
        </w:tabs>
        <w:spacing w:before="0"/>
        <w:ind w:left="1134" w:hanging="425"/>
        <w:jc w:val="both"/>
        <w:rPr>
          <w:rFonts w:ascii="Times New Roman" w:hAnsi="Times New Roman"/>
          <w:noProof/>
          <w:sz w:val="24"/>
        </w:rPr>
      </w:pPr>
      <w:r>
        <w:rPr>
          <w:rFonts w:ascii="Times New Roman" w:hAnsi="Times New Roman"/>
          <w:noProof/>
          <w:sz w:val="24"/>
        </w:rPr>
        <w:t>Ja ir atšķirība starp vērtspapīru aizdevumu ar naudu un bez naudas, aizdevuma bez naudas ekvivalentu darījumu pušu bilancē labāk būtu klasificēt postenī “citi debitoru/kreditoru parādi” (un konsekvences dēļ neveic nekādu ierakstu noguldījumu vai aizdevumu ailē). Nac</w:t>
      </w:r>
      <w:r w:rsidR="00FE6D82">
        <w:rPr>
          <w:rFonts w:ascii="Times New Roman" w:hAnsi="Times New Roman"/>
          <w:noProof/>
          <w:sz w:val="24"/>
        </w:rPr>
        <w:t>ionālajos kontos neko neieraksta</w:t>
      </w:r>
      <w:r>
        <w:rPr>
          <w:rFonts w:ascii="Times New Roman" w:hAnsi="Times New Roman"/>
          <w:noProof/>
          <w:sz w:val="24"/>
        </w:rPr>
        <w:t>.</w:t>
      </w:r>
    </w:p>
    <w:p w:rsidR="00506AA9" w:rsidRPr="001973D0" w:rsidRDefault="00506AA9" w:rsidP="00506AA9">
      <w:pPr>
        <w:pStyle w:val="BodyText"/>
        <w:numPr>
          <w:ilvl w:val="0"/>
          <w:numId w:val="93"/>
        </w:numPr>
        <w:tabs>
          <w:tab w:val="left" w:pos="1462"/>
        </w:tabs>
        <w:spacing w:before="0"/>
        <w:ind w:left="1134" w:hanging="425"/>
        <w:jc w:val="both"/>
        <w:rPr>
          <w:rFonts w:ascii="Times New Roman" w:hAnsi="Times New Roman"/>
          <w:noProof/>
          <w:sz w:val="24"/>
        </w:rPr>
      </w:pPr>
      <w:r>
        <w:rPr>
          <w:rFonts w:ascii="Times New Roman" w:hAnsi="Times New Roman"/>
          <w:noProof/>
          <w:sz w:val="24"/>
        </w:rPr>
        <w:t>Ja šādas atšķirības nav, traktējums būs atkarīgs no katra darījuma veida aprēķinātās daļas (ar īpašas informācijas starpniecību) kopējos skaitļos. Tomēr šķiet, ka tikpat labi par beznaudas darījumiem var uzskatīt tikai dažus darījumus un tādējādi kopumā piemērot “</w:t>
      </w:r>
      <w:r>
        <w:rPr>
          <w:rFonts w:ascii="Times New Roman" w:hAnsi="Times New Roman"/>
          <w:i/>
          <w:noProof/>
          <w:sz w:val="24"/>
        </w:rPr>
        <w:t>repo</w:t>
      </w:r>
      <w:r>
        <w:rPr>
          <w:rFonts w:ascii="Times New Roman" w:hAnsi="Times New Roman"/>
          <w:noProof/>
          <w:sz w:val="24"/>
        </w:rPr>
        <w:t xml:space="preserve"> darījumu veida” traktējumu.</w:t>
      </w:r>
    </w:p>
    <w:p w:rsidR="00506AA9" w:rsidRPr="001973D0" w:rsidRDefault="00506AA9" w:rsidP="00506AA9">
      <w:pPr>
        <w:jc w:val="both"/>
        <w:rPr>
          <w:rFonts w:ascii="Times New Roman" w:eastAsia="Arial" w:hAnsi="Times New Roman" w:cs="Arial"/>
          <w:noProof/>
          <w:sz w:val="24"/>
          <w:szCs w:val="20"/>
        </w:rPr>
      </w:pPr>
    </w:p>
    <w:p w:rsidR="00506AA9" w:rsidRDefault="00506AA9" w:rsidP="00506AA9">
      <w:pPr>
        <w:pStyle w:val="Heading4"/>
        <w:tabs>
          <w:tab w:val="left" w:pos="1593"/>
        </w:tabs>
        <w:ind w:left="0" w:firstLine="0"/>
        <w:jc w:val="both"/>
        <w:rPr>
          <w:rFonts w:ascii="Times New Roman" w:hAnsi="Times New Roman"/>
          <w:noProof/>
          <w:u w:val="thick" w:color="000000"/>
        </w:rPr>
      </w:pPr>
      <w:bookmarkStart w:id="602" w:name="VIII.4.4_Effect_on_government_debt"/>
      <w:bookmarkEnd w:id="602"/>
      <w:r>
        <w:rPr>
          <w:rFonts w:ascii="Times New Roman" w:hAnsi="Times New Roman"/>
          <w:noProof/>
          <w:u w:val="none"/>
        </w:rPr>
        <w:t>VIII.4.4. </w:t>
      </w:r>
      <w:r>
        <w:rPr>
          <w:rFonts w:ascii="Times New Roman" w:hAnsi="Times New Roman"/>
          <w:noProof/>
          <w:u w:val="thick" w:color="000000"/>
        </w:rPr>
        <w:t>Ietekme uz valdības parādu</w:t>
      </w:r>
    </w:p>
    <w:p w:rsidR="00506AA9" w:rsidRPr="001973D0" w:rsidRDefault="00506AA9" w:rsidP="00506AA9">
      <w:pPr>
        <w:pStyle w:val="Heading4"/>
        <w:tabs>
          <w:tab w:val="left" w:pos="1593"/>
        </w:tabs>
        <w:ind w:left="0" w:firstLine="0"/>
        <w:jc w:val="both"/>
        <w:rPr>
          <w:rFonts w:ascii="Times New Roman" w:hAnsi="Times New Roman"/>
          <w:noProof/>
          <w:u w:val="thick" w:color="000000"/>
        </w:rPr>
      </w:pPr>
    </w:p>
    <w:p w:rsidR="00506AA9" w:rsidRDefault="00506AA9" w:rsidP="00506AA9">
      <w:pPr>
        <w:pStyle w:val="BodyText"/>
        <w:numPr>
          <w:ilvl w:val="0"/>
          <w:numId w:val="95"/>
        </w:numPr>
        <w:tabs>
          <w:tab w:val="left" w:pos="1102"/>
        </w:tabs>
        <w:spacing w:before="0"/>
        <w:ind w:left="709" w:hanging="709"/>
        <w:jc w:val="both"/>
        <w:rPr>
          <w:rFonts w:ascii="Times New Roman" w:hAnsi="Times New Roman"/>
          <w:noProof/>
          <w:sz w:val="24"/>
        </w:rPr>
      </w:pPr>
      <w:r>
        <w:rPr>
          <w:rFonts w:ascii="Times New Roman" w:hAnsi="Times New Roman"/>
          <w:noProof/>
          <w:sz w:val="24"/>
        </w:rPr>
        <w:t>Ietekme uz vispārējās valdības parādu saistībā ar šīs kategorijas finanšu instrumentu var būt dažāda.</w:t>
      </w:r>
    </w:p>
    <w:p w:rsidR="00506AA9" w:rsidRPr="001973D0" w:rsidRDefault="00506AA9" w:rsidP="00506AA9">
      <w:pPr>
        <w:pStyle w:val="BodyText"/>
        <w:tabs>
          <w:tab w:val="left" w:pos="1102"/>
        </w:tabs>
        <w:spacing w:before="0"/>
        <w:ind w:left="0" w:firstLine="0"/>
        <w:rPr>
          <w:rFonts w:ascii="Times New Roman" w:hAnsi="Times New Roman"/>
          <w:noProof/>
          <w:sz w:val="24"/>
        </w:rPr>
      </w:pPr>
    </w:p>
    <w:p w:rsidR="00506AA9" w:rsidRPr="001973D0" w:rsidRDefault="00506AA9" w:rsidP="00506AA9">
      <w:pPr>
        <w:pStyle w:val="BodyText"/>
        <w:numPr>
          <w:ilvl w:val="0"/>
          <w:numId w:val="92"/>
        </w:numPr>
        <w:tabs>
          <w:tab w:val="left" w:pos="1462"/>
        </w:tabs>
        <w:spacing w:before="0"/>
        <w:ind w:left="1134" w:hanging="425"/>
        <w:jc w:val="both"/>
        <w:rPr>
          <w:rFonts w:ascii="Times New Roman" w:hAnsi="Times New Roman"/>
          <w:noProof/>
          <w:sz w:val="24"/>
        </w:rPr>
      </w:pPr>
      <w:r>
        <w:rPr>
          <w:rFonts w:ascii="Times New Roman" w:hAnsi="Times New Roman"/>
          <w:noProof/>
          <w:sz w:val="24"/>
        </w:rPr>
        <w:t>Ja vienība, kas atrodas vispārējās valdības sektorā, ir “atsavinātāja”, pagaidu pārdevēja vai “naudas saņēmēja”, tas ietekmē bruto parādu, jo posteni “aizdevumi” (F.4) palielina līdzīgi kā aizņemtos līdzekļus. Protams, ja darījuma partneris ir cita vienība, kas klasificēta vispārējās valdības sektorā, tad konsolidētā līmenī ietekme ir nulle.</w:t>
      </w:r>
    </w:p>
    <w:p w:rsidR="00506AA9" w:rsidRPr="005F5DC1" w:rsidRDefault="00506AA9" w:rsidP="00506AA9">
      <w:pPr>
        <w:pStyle w:val="BodyText"/>
        <w:numPr>
          <w:ilvl w:val="0"/>
          <w:numId w:val="92"/>
        </w:numPr>
        <w:tabs>
          <w:tab w:val="left" w:pos="1462"/>
        </w:tabs>
        <w:spacing w:before="0"/>
        <w:ind w:left="1134" w:hanging="425"/>
        <w:jc w:val="both"/>
        <w:rPr>
          <w:rFonts w:ascii="Times New Roman" w:hAnsi="Times New Roman"/>
          <w:noProof/>
          <w:sz w:val="24"/>
        </w:rPr>
      </w:pPr>
      <w:r>
        <w:rPr>
          <w:rFonts w:ascii="Times New Roman" w:hAnsi="Times New Roman"/>
          <w:noProof/>
          <w:sz w:val="24"/>
        </w:rPr>
        <w:t>Ja vienība ir “pārņēmēja”, kas nodrošina līdzekļus ekonomikas vienībai, kura klasificēta citā sektorā, piemēram, monetārai finanšu iestādei, tas neietekmē konsolidēto bruto parādu, bet rada izmaiņas aktīvu struktūrā.</w:t>
      </w:r>
    </w:p>
    <w:p w:rsidR="00506AA9" w:rsidRDefault="00506AA9" w:rsidP="00506AA9">
      <w:pPr>
        <w:pStyle w:val="BodyText"/>
        <w:numPr>
          <w:ilvl w:val="1"/>
          <w:numId w:val="92"/>
        </w:numPr>
        <w:tabs>
          <w:tab w:val="left" w:pos="1522"/>
        </w:tabs>
        <w:spacing w:before="0"/>
        <w:ind w:left="1134" w:hanging="425"/>
        <w:jc w:val="both"/>
        <w:rPr>
          <w:rFonts w:ascii="Times New Roman" w:hAnsi="Times New Roman"/>
          <w:noProof/>
          <w:sz w:val="24"/>
        </w:rPr>
      </w:pPr>
      <w:r>
        <w:rPr>
          <w:rFonts w:ascii="Times New Roman" w:hAnsi="Times New Roman"/>
          <w:noProof/>
          <w:sz w:val="24"/>
        </w:rPr>
        <w:t xml:space="preserve">Ja darījumu neatzīst vai vēl netraktē kā </w:t>
      </w:r>
      <w:r>
        <w:rPr>
          <w:rFonts w:ascii="Times New Roman" w:hAnsi="Times New Roman"/>
          <w:i/>
          <w:noProof/>
          <w:sz w:val="24"/>
        </w:rPr>
        <w:t>repo</w:t>
      </w:r>
      <w:r>
        <w:rPr>
          <w:rFonts w:ascii="Times New Roman" w:hAnsi="Times New Roman"/>
          <w:noProof/>
          <w:sz w:val="24"/>
        </w:rPr>
        <w:t xml:space="preserve"> darījumu, kurā neparedz stingras saistības attiecībā uz reverso darījumu, šādā gadījumā pastāv aktīvu īpašumtiesību maiņa. Valdības parāds mainītos vienīgi tad, ja vienība, kas klasificēta vispārējās valdības sektorā, aizdotu vai aizņemtos valsts vērtspapīrus ar ekvivalentu, kurš klasificēts ārpus vispārējās valdības sektora.</w:t>
      </w:r>
    </w:p>
    <w:p w:rsidR="00506AA9" w:rsidRPr="001973D0" w:rsidRDefault="00506AA9" w:rsidP="00506AA9">
      <w:pPr>
        <w:pStyle w:val="BodyText"/>
        <w:tabs>
          <w:tab w:val="left" w:pos="1522"/>
        </w:tabs>
        <w:spacing w:before="0"/>
        <w:ind w:left="0" w:firstLine="0"/>
        <w:jc w:val="both"/>
        <w:rPr>
          <w:rFonts w:ascii="Times New Roman" w:hAnsi="Times New Roman"/>
          <w:noProof/>
          <w:sz w:val="24"/>
        </w:rPr>
      </w:pPr>
    </w:p>
    <w:p w:rsidR="00506AA9" w:rsidRPr="001973D0" w:rsidRDefault="00506AA9" w:rsidP="00506AA9">
      <w:pPr>
        <w:pStyle w:val="BodyText"/>
        <w:numPr>
          <w:ilvl w:val="0"/>
          <w:numId w:val="95"/>
        </w:numPr>
        <w:tabs>
          <w:tab w:val="left" w:pos="1162"/>
        </w:tabs>
        <w:spacing w:before="0"/>
        <w:ind w:left="709" w:hanging="709"/>
        <w:jc w:val="both"/>
        <w:rPr>
          <w:rFonts w:ascii="Times New Roman" w:hAnsi="Times New Roman"/>
          <w:noProof/>
          <w:sz w:val="24"/>
        </w:rPr>
      </w:pPr>
      <w:r>
        <w:rPr>
          <w:rFonts w:ascii="Times New Roman" w:hAnsi="Times New Roman"/>
          <w:noProof/>
          <w:sz w:val="24"/>
        </w:rPr>
        <w:t xml:space="preserve">Šāda ietekme izriet no konsolidācijas noteikumiem. Tādējādi konsolidētais parāds attiecīgi palielinās, ja valsts vienība ir aizdevējs (aktīvi samazinās) vai samazinās, ja valsts vienība ir aizņēmēja (aktīvi palielinās). Darījumi ar citiem vērtspapīriem netiek </w:t>
      </w:r>
      <w:r>
        <w:rPr>
          <w:rFonts w:ascii="Times New Roman" w:hAnsi="Times New Roman"/>
          <w:noProof/>
          <w:sz w:val="24"/>
        </w:rPr>
        <w:lastRenderedPageBreak/>
        <w:t>ietekmēti, ja neatkarīgi no iesaistītā instrumenta tie notiek ar vienību, kas klasificēta vispārējās valdības sektorā.</w:t>
      </w:r>
    </w:p>
    <w:p w:rsidR="00506AA9" w:rsidRPr="001973D0" w:rsidRDefault="00506AA9" w:rsidP="00506AA9">
      <w:pPr>
        <w:jc w:val="both"/>
        <w:rPr>
          <w:rFonts w:ascii="Times New Roman" w:eastAsia="Arial" w:hAnsi="Times New Roman" w:cs="Arial"/>
          <w:noProof/>
          <w:sz w:val="24"/>
          <w:szCs w:val="20"/>
        </w:rPr>
      </w:pPr>
    </w:p>
    <w:p w:rsidR="00506AA9" w:rsidRPr="001973D0" w:rsidRDefault="00506AA9" w:rsidP="00506AA9">
      <w:pPr>
        <w:pStyle w:val="Heading4"/>
        <w:tabs>
          <w:tab w:val="left" w:pos="1653"/>
        </w:tabs>
        <w:ind w:left="0" w:firstLine="0"/>
        <w:jc w:val="both"/>
        <w:rPr>
          <w:rFonts w:ascii="Times New Roman" w:hAnsi="Times New Roman"/>
          <w:noProof/>
          <w:u w:val="thick" w:color="000000"/>
        </w:rPr>
      </w:pPr>
      <w:r>
        <w:rPr>
          <w:rFonts w:ascii="Times New Roman" w:hAnsi="Times New Roman"/>
          <w:noProof/>
          <w:u w:val="none"/>
        </w:rPr>
        <w:t>VIII.4.5. </w:t>
      </w:r>
      <w:r>
        <w:rPr>
          <w:rFonts w:ascii="Times New Roman" w:hAnsi="Times New Roman"/>
          <w:noProof/>
          <w:u w:val="thick" w:color="000000"/>
        </w:rPr>
        <w:t>Uzskaites piemēri</w:t>
      </w:r>
    </w:p>
    <w:p w:rsidR="00506AA9" w:rsidRDefault="00506AA9" w:rsidP="00506AA9">
      <w:pPr>
        <w:pStyle w:val="BodyText"/>
        <w:spacing w:before="0"/>
        <w:ind w:left="0" w:firstLine="0"/>
        <w:jc w:val="both"/>
        <w:rPr>
          <w:rFonts w:ascii="Times New Roman" w:hAnsi="Times New Roman"/>
          <w:noProof/>
          <w:sz w:val="24"/>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sz w:val="24"/>
        </w:rPr>
        <w:t xml:space="preserve">Vispārējas valdības vienība noslēdz </w:t>
      </w:r>
      <w:r>
        <w:rPr>
          <w:rFonts w:ascii="Times New Roman" w:hAnsi="Times New Roman"/>
          <w:b/>
          <w:noProof/>
          <w:sz w:val="24"/>
        </w:rPr>
        <w:t>pārdošanas ar atpirkšanu līgumu</w:t>
      </w:r>
      <w:r>
        <w:rPr>
          <w:rFonts w:ascii="Times New Roman" w:hAnsi="Times New Roman"/>
          <w:noProof/>
          <w:sz w:val="24"/>
        </w:rPr>
        <w:t xml:space="preserve"> (par valsts kases zīmēm) ar banku, darījuma vērtība ir 100 naudas vienības. Sākotnējais maksājuma termiņš ir 3 mēneši. Atpirkšanas cena ir 101 naudas vienība.</w:t>
      </w:r>
    </w:p>
    <w:p w:rsidR="00506AA9" w:rsidRPr="001973D0" w:rsidRDefault="00506AA9" w:rsidP="00506AA9">
      <w:pPr>
        <w:jc w:val="both"/>
        <w:rPr>
          <w:rFonts w:ascii="Times New Roman" w:hAnsi="Times New Roman"/>
          <w:noProof/>
          <w:sz w:val="24"/>
        </w:rPr>
      </w:pPr>
    </w:p>
    <w:p w:rsidR="00506AA9" w:rsidRPr="001973D0" w:rsidRDefault="00506AA9" w:rsidP="00506AA9">
      <w:pPr>
        <w:pStyle w:val="BodyText"/>
        <w:numPr>
          <w:ilvl w:val="0"/>
          <w:numId w:val="91"/>
        </w:numPr>
        <w:tabs>
          <w:tab w:val="left" w:pos="1228"/>
        </w:tabs>
        <w:spacing w:before="0"/>
        <w:ind w:left="709" w:hanging="709"/>
        <w:jc w:val="both"/>
        <w:rPr>
          <w:rFonts w:ascii="Times New Roman" w:hAnsi="Times New Roman"/>
          <w:noProof/>
          <w:sz w:val="24"/>
        </w:rPr>
      </w:pPr>
      <w:r>
        <w:rPr>
          <w:rFonts w:ascii="Times New Roman" w:hAnsi="Times New Roman"/>
          <w:noProof/>
          <w:sz w:val="24"/>
        </w:rPr>
        <w:t>Sākumā</w:t>
      </w:r>
    </w:p>
    <w:p w:rsidR="00506AA9" w:rsidRDefault="00506AA9" w:rsidP="00506AA9">
      <w:pPr>
        <w:ind w:left="709" w:hanging="709"/>
        <w:jc w:val="both"/>
        <w:rPr>
          <w:rFonts w:ascii="Times New Roman" w:eastAsia="Arial" w:hAnsi="Times New Roman" w:cs="Arial"/>
          <w:noProof/>
          <w:sz w:val="24"/>
          <w:szCs w:val="20"/>
        </w:rPr>
      </w:pPr>
    </w:p>
    <w:p w:rsidR="00506AA9" w:rsidRDefault="008862BF" w:rsidP="00506AA9">
      <w:pPr>
        <w:ind w:left="709" w:hanging="709"/>
        <w:jc w:val="center"/>
        <w:rPr>
          <w:rFonts w:ascii="Times New Roman" w:eastAsia="Arial" w:hAnsi="Times New Roman" w:cs="Arial"/>
          <w:noProof/>
          <w:sz w:val="24"/>
          <w:szCs w:val="20"/>
        </w:rPr>
      </w:pPr>
      <w:r w:rsidRPr="008862BF">
        <w:rPr>
          <w:rFonts w:ascii="Times New Roman" w:eastAsia="Arial" w:hAnsi="Times New Roman" w:cs="Arial"/>
          <w:noProof/>
          <w:sz w:val="24"/>
          <w:szCs w:val="20"/>
          <w:lang w:bidi="ar-SA"/>
        </w:rPr>
        <w:drawing>
          <wp:inline distT="0" distB="0" distL="0" distR="0">
            <wp:extent cx="5760085" cy="1736038"/>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60085" cy="1736038"/>
                    </a:xfrm>
                    <a:prstGeom prst="rect">
                      <a:avLst/>
                    </a:prstGeom>
                    <a:noFill/>
                    <a:ln>
                      <a:noFill/>
                    </a:ln>
                  </pic:spPr>
                </pic:pic>
              </a:graphicData>
            </a:graphic>
          </wp:inline>
        </w:drawing>
      </w:r>
    </w:p>
    <w:p w:rsidR="00506AA9" w:rsidRDefault="00506AA9" w:rsidP="00506AA9">
      <w:pPr>
        <w:ind w:left="709" w:hanging="709"/>
        <w:jc w:val="both"/>
        <w:rPr>
          <w:rFonts w:ascii="Times New Roman" w:eastAsia="Arial" w:hAnsi="Times New Roman" w:cs="Arial"/>
          <w:noProof/>
          <w:sz w:val="24"/>
          <w:szCs w:val="20"/>
        </w:rPr>
      </w:pPr>
    </w:p>
    <w:p w:rsidR="00506AA9" w:rsidRPr="001973D0" w:rsidRDefault="00506AA9" w:rsidP="00506AA9">
      <w:pPr>
        <w:pStyle w:val="BodyText"/>
        <w:numPr>
          <w:ilvl w:val="0"/>
          <w:numId w:val="91"/>
        </w:numPr>
        <w:tabs>
          <w:tab w:val="left" w:pos="1160"/>
        </w:tabs>
        <w:spacing w:before="0"/>
        <w:ind w:left="709" w:hanging="709"/>
        <w:jc w:val="both"/>
        <w:rPr>
          <w:rFonts w:ascii="Times New Roman" w:hAnsi="Times New Roman"/>
          <w:noProof/>
          <w:sz w:val="24"/>
        </w:rPr>
      </w:pPr>
      <w:r>
        <w:rPr>
          <w:rFonts w:ascii="Times New Roman" w:hAnsi="Times New Roman"/>
          <w:noProof/>
          <w:sz w:val="24"/>
        </w:rPr>
        <w:t>Parāda atmaksāšanas termiņā (ja netiek veikta pirmstermiņa izpirkšana)</w:t>
      </w:r>
    </w:p>
    <w:p w:rsidR="00506AA9" w:rsidRPr="001973D0" w:rsidRDefault="00506AA9" w:rsidP="00506AA9">
      <w:pPr>
        <w:jc w:val="both"/>
        <w:rPr>
          <w:rFonts w:ascii="Times New Roman" w:eastAsia="Arial" w:hAnsi="Times New Roman" w:cs="Arial"/>
          <w:noProof/>
          <w:sz w:val="24"/>
          <w:szCs w:val="20"/>
        </w:rPr>
      </w:pPr>
    </w:p>
    <w:p w:rsidR="00506AA9" w:rsidRPr="001973D0" w:rsidRDefault="001F5CF9" w:rsidP="00506AA9">
      <w:pPr>
        <w:jc w:val="center"/>
        <w:rPr>
          <w:rFonts w:ascii="Times New Roman" w:eastAsia="Arial" w:hAnsi="Times New Roman" w:cs="Arial"/>
          <w:noProof/>
          <w:sz w:val="24"/>
          <w:szCs w:val="20"/>
        </w:rPr>
      </w:pPr>
      <w:r w:rsidRPr="001F5CF9">
        <w:rPr>
          <w:rFonts w:ascii="Times New Roman" w:eastAsia="Arial" w:hAnsi="Times New Roman" w:cs="Arial"/>
          <w:noProof/>
          <w:sz w:val="24"/>
          <w:szCs w:val="20"/>
          <w:lang w:bidi="ar-SA"/>
        </w:rPr>
        <w:drawing>
          <wp:inline distT="0" distB="0" distL="0" distR="0">
            <wp:extent cx="5760085" cy="297238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760085" cy="2972380"/>
                    </a:xfrm>
                    <a:prstGeom prst="rect">
                      <a:avLst/>
                    </a:prstGeom>
                    <a:noFill/>
                    <a:ln>
                      <a:noFill/>
                    </a:ln>
                  </pic:spPr>
                </pic:pic>
              </a:graphicData>
            </a:graphic>
          </wp:inline>
        </w:drawing>
      </w:r>
    </w:p>
    <w:p w:rsidR="00506AA9" w:rsidRDefault="00506AA9" w:rsidP="00506AA9">
      <w:pPr>
        <w:rPr>
          <w:rFonts w:ascii="Times New Roman" w:eastAsia="Arial" w:hAnsi="Times New Roman" w:cs="Arial"/>
          <w:noProof/>
          <w:sz w:val="24"/>
          <w:szCs w:val="20"/>
        </w:rPr>
      </w:pPr>
      <w:r>
        <w:br w:type="page"/>
      </w:r>
    </w:p>
    <w:p w:rsidR="00506AA9" w:rsidRDefault="00506AA9" w:rsidP="001F5CF9">
      <w:pPr>
        <w:pStyle w:val="Heading2"/>
        <w:rPr>
          <w:noProof/>
        </w:rPr>
      </w:pPr>
      <w:bookmarkStart w:id="603" w:name="VIII.5_Keywords_and_references"/>
      <w:bookmarkStart w:id="604" w:name="_bookmark64"/>
      <w:bookmarkStart w:id="605" w:name="_Toc471135930"/>
      <w:bookmarkEnd w:id="603"/>
      <w:bookmarkEnd w:id="604"/>
      <w:r>
        <w:rPr>
          <w:noProof/>
        </w:rPr>
        <w:lastRenderedPageBreak/>
        <w:t>VIII.5. Atslēgvārdi un atsauces</w:t>
      </w:r>
      <w:bookmarkEnd w:id="605"/>
    </w:p>
    <w:p w:rsidR="00506AA9" w:rsidRPr="001973D0" w:rsidRDefault="00506AA9" w:rsidP="00506AA9">
      <w:pPr>
        <w:jc w:val="both"/>
        <w:rPr>
          <w:rFonts w:ascii="Times New Roman" w:hAnsi="Times New Roman"/>
          <w:b/>
          <w:noProof/>
          <w:sz w:val="24"/>
        </w:rPr>
      </w:pPr>
    </w:p>
    <w:p w:rsidR="001F5CF9"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Finanšu aktīvi un saistības</w:t>
      </w:r>
      <w:r>
        <w:tab/>
      </w:r>
      <w:r>
        <w:rPr>
          <w:rFonts w:ascii="Times New Roman" w:hAnsi="Times New Roman"/>
          <w:noProof/>
          <w:sz w:val="24"/>
        </w:rPr>
        <w:t>EKS </w:t>
      </w:r>
      <w:r w:rsidR="001F5CF9">
        <w:rPr>
          <w:rFonts w:ascii="Times New Roman" w:hAnsi="Times New Roman"/>
          <w:noProof/>
          <w:sz w:val="24"/>
        </w:rPr>
        <w:t>2010, 7.01. un turpmākie punkti</w:t>
      </w:r>
    </w:p>
    <w:p w:rsidR="001F5CF9"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Finanšu aktīvu un saistību novērtēšana</w:t>
      </w:r>
      <w:r>
        <w:tab/>
      </w:r>
      <w:r>
        <w:rPr>
          <w:rFonts w:ascii="Times New Roman" w:hAnsi="Times New Roman"/>
          <w:noProof/>
          <w:sz w:val="24"/>
        </w:rPr>
        <w:t>EKS </w:t>
      </w:r>
      <w:r w:rsidR="001F5CF9">
        <w:rPr>
          <w:rFonts w:ascii="Times New Roman" w:hAnsi="Times New Roman"/>
          <w:noProof/>
          <w:sz w:val="24"/>
        </w:rPr>
        <w:t>2010, 7.33. un turpmākie punkti</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Valūta un noguldījumi (AF.2)</w:t>
      </w:r>
      <w:r>
        <w:tab/>
      </w:r>
      <w:r>
        <w:rPr>
          <w:rFonts w:ascii="Times New Roman" w:hAnsi="Times New Roman"/>
          <w:noProof/>
          <w:sz w:val="24"/>
        </w:rPr>
        <w:t>EKS 2010, 7.64.–7.66.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Parāda vērtspapīri (AF.3)</w:t>
      </w:r>
      <w:r>
        <w:tab/>
      </w:r>
      <w:r>
        <w:rPr>
          <w:rFonts w:ascii="Times New Roman" w:hAnsi="Times New Roman"/>
          <w:noProof/>
          <w:sz w:val="24"/>
        </w:rPr>
        <w:t>EKS 2010, 7.67.–7.69.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Aizdevumi (AF.4)</w:t>
      </w:r>
      <w:r>
        <w:tab/>
      </w:r>
      <w:r>
        <w:rPr>
          <w:rFonts w:ascii="Times New Roman" w:hAnsi="Times New Roman"/>
          <w:noProof/>
          <w:sz w:val="24"/>
        </w:rPr>
        <w:t>EKS 2010, 7.70.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Atvasinātie finanšu instrumenti (AF.7)</w:t>
      </w:r>
      <w:r>
        <w:tab/>
      </w:r>
      <w:r>
        <w:rPr>
          <w:rFonts w:ascii="Times New Roman" w:hAnsi="Times New Roman"/>
          <w:noProof/>
          <w:sz w:val="24"/>
        </w:rPr>
        <w:t>EKS 2010, 7.86.–7.89., 20.187.</w:t>
      </w:r>
      <w:r>
        <w:t> </w:t>
      </w:r>
      <w:r>
        <w:rPr>
          <w:rFonts w:ascii="Times New Roman" w:hAnsi="Times New Roman"/>
          <w:noProof/>
          <w:sz w:val="24"/>
        </w:rPr>
        <w:t>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Citas debitoru saistības (AF.8)</w:t>
      </w:r>
      <w:r>
        <w:tab/>
      </w:r>
      <w:r>
        <w:rPr>
          <w:rFonts w:ascii="Times New Roman" w:hAnsi="Times New Roman"/>
          <w:noProof/>
          <w:sz w:val="24"/>
        </w:rPr>
        <w:t>EKS 2010, 7.90.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Indeksētie vērtspapīri</w:t>
      </w:r>
      <w:r>
        <w:tab/>
      </w:r>
      <w:r>
        <w:rPr>
          <w:rFonts w:ascii="Times New Roman" w:hAnsi="Times New Roman"/>
          <w:noProof/>
          <w:sz w:val="24"/>
        </w:rPr>
        <w:t>EKS 2010, 4.46. punkta c) apakšpunkts, 5.100.–5.101., 20.187.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Diskonktētās un bezkupona obligācijas</w:t>
      </w:r>
      <w:r>
        <w:tab/>
      </w:r>
      <w:r>
        <w:rPr>
          <w:rFonts w:ascii="Times New Roman" w:hAnsi="Times New Roman"/>
          <w:noProof/>
          <w:sz w:val="24"/>
        </w:rPr>
        <w:t>EKS 2010, 20.184.–20.186.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Finanšu noma</w:t>
      </w:r>
      <w:r>
        <w:tab/>
      </w:r>
      <w:r>
        <w:rPr>
          <w:rFonts w:ascii="Times New Roman" w:hAnsi="Times New Roman"/>
          <w:noProof/>
          <w:sz w:val="24"/>
        </w:rPr>
        <w:t>EKS 2010, 5.134.–5.135., 15.13.–15.22.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Mijmaiņas darījumi</w:t>
      </w:r>
      <w:r>
        <w:tab/>
      </w:r>
      <w:r>
        <w:rPr>
          <w:rFonts w:ascii="Times New Roman" w:hAnsi="Times New Roman"/>
          <w:noProof/>
          <w:sz w:val="24"/>
        </w:rPr>
        <w:t>EKS 2010, 5.210.–5.213. punkts</w:t>
      </w:r>
    </w:p>
    <w:p w:rsidR="00506AA9" w:rsidRPr="001973D0" w:rsidRDefault="00506AA9" w:rsidP="001F5CF9">
      <w:pPr>
        <w:pStyle w:val="BodyText"/>
        <w:tabs>
          <w:tab w:val="left" w:pos="5812"/>
        </w:tabs>
        <w:spacing w:before="0"/>
        <w:ind w:left="5812" w:hanging="5812"/>
        <w:jc w:val="both"/>
        <w:rPr>
          <w:rFonts w:ascii="Times New Roman" w:hAnsi="Times New Roman"/>
          <w:noProof/>
          <w:sz w:val="24"/>
        </w:rPr>
      </w:pPr>
      <w:r>
        <w:rPr>
          <w:rFonts w:ascii="Times New Roman" w:hAnsi="Times New Roman"/>
          <w:noProof/>
          <w:sz w:val="24"/>
        </w:rPr>
        <w:t>Vērtspapīru aizdošanas un pārdošanas ar atpirkšanu līgumi</w:t>
      </w:r>
      <w:r>
        <w:tab/>
      </w:r>
      <w:r>
        <w:rPr>
          <w:rFonts w:ascii="Times New Roman" w:hAnsi="Times New Roman"/>
          <w:noProof/>
          <w:sz w:val="24"/>
        </w:rPr>
        <w:t>EKS 2010, 5.126.–5.133.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Kredītsaistību nepildīšanas mijmaiņas līgumi</w:t>
      </w:r>
      <w:r>
        <w:tab/>
      </w:r>
      <w:r>
        <w:rPr>
          <w:rFonts w:ascii="Times New Roman" w:hAnsi="Times New Roman"/>
          <w:noProof/>
          <w:sz w:val="24"/>
        </w:rPr>
        <w:t>EKS 2010, 5.11. punkts, 5.1. ierāmējums, 5.218.–5.219. punkts</w:t>
      </w:r>
    </w:p>
    <w:p w:rsidR="00506AA9" w:rsidRPr="001973D0" w:rsidRDefault="00506AA9" w:rsidP="001F5CF9">
      <w:pPr>
        <w:pStyle w:val="BodyText"/>
        <w:tabs>
          <w:tab w:val="left" w:pos="5802"/>
        </w:tabs>
        <w:spacing w:before="0"/>
        <w:ind w:left="5812" w:hanging="5812"/>
        <w:jc w:val="both"/>
        <w:rPr>
          <w:rFonts w:ascii="Times New Roman" w:hAnsi="Times New Roman"/>
          <w:noProof/>
          <w:sz w:val="24"/>
        </w:rPr>
      </w:pPr>
      <w:r>
        <w:rPr>
          <w:rFonts w:ascii="Times New Roman" w:hAnsi="Times New Roman"/>
          <w:noProof/>
          <w:sz w:val="24"/>
        </w:rPr>
        <w:t>Ārpusbiržas mijmaiņas darījumi</w:t>
      </w:r>
      <w:r>
        <w:tab/>
      </w:r>
      <w:r>
        <w:rPr>
          <w:rFonts w:ascii="Times New Roman" w:hAnsi="Times New Roman"/>
          <w:noProof/>
          <w:sz w:val="24"/>
        </w:rPr>
        <w:t>EKS 2010, 20.133. punkts</w:t>
      </w:r>
    </w:p>
    <w:p w:rsidR="00506AA9" w:rsidRDefault="00506AA9" w:rsidP="00506AA9">
      <w:pPr>
        <w:rPr>
          <w:rFonts w:ascii="Times New Roman" w:hAnsi="Times New Roman"/>
          <w:b/>
          <w:noProof/>
          <w:sz w:val="24"/>
        </w:rPr>
      </w:pPr>
      <w:bookmarkStart w:id="606" w:name="Annex__Legal_texts_(references_and_links"/>
      <w:bookmarkStart w:id="607" w:name="_bookmark65"/>
      <w:bookmarkEnd w:id="606"/>
      <w:bookmarkEnd w:id="607"/>
      <w:r>
        <w:br w:type="page"/>
      </w:r>
    </w:p>
    <w:p w:rsidR="00506AA9" w:rsidRPr="001973D0" w:rsidRDefault="00506AA9" w:rsidP="001F5CF9">
      <w:pPr>
        <w:pStyle w:val="Heading1"/>
        <w:rPr>
          <w:rFonts w:cs="Arial"/>
          <w:noProof/>
        </w:rPr>
      </w:pPr>
      <w:bookmarkStart w:id="608" w:name="_Toc471135931"/>
      <w:r>
        <w:rPr>
          <w:noProof/>
        </w:rPr>
        <w:lastRenderedPageBreak/>
        <w:t>Pielikums. Tiesību akti (atsauces un saites)</w:t>
      </w:r>
      <w:bookmarkEnd w:id="608"/>
    </w:p>
    <w:p w:rsidR="00506AA9" w:rsidRPr="001973D0" w:rsidRDefault="00506AA9" w:rsidP="00506AA9">
      <w:pPr>
        <w:jc w:val="both"/>
        <w:rPr>
          <w:rFonts w:ascii="Times New Roman" w:eastAsia="Arial" w:hAnsi="Times New Roman" w:cs="Arial"/>
          <w:noProof/>
          <w:sz w:val="24"/>
          <w:szCs w:val="32"/>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Tiesību akti:</w:t>
      </w:r>
    </w:p>
    <w:p w:rsidR="00506AA9" w:rsidRPr="001973D0" w:rsidRDefault="00506AA9" w:rsidP="00506AA9">
      <w:pPr>
        <w:jc w:val="both"/>
        <w:rPr>
          <w:rFonts w:ascii="Times New Roman" w:eastAsia="Arial" w:hAnsi="Times New Roman" w:cs="Arial"/>
          <w:b/>
          <w:bCs/>
          <w:noProof/>
          <w:sz w:val="24"/>
          <w:szCs w:val="32"/>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000FF"/>
          <w:sz w:val="24"/>
          <w:u w:val="single" w:color="0000FF"/>
        </w:rPr>
        <w:t>http://epp.eurostat.ec.europa.eu/portal/page/portal/government_finance_statistics/legal_ins</w:t>
      </w:r>
      <w:r w:rsidR="005A7579">
        <w:rPr>
          <w:rFonts w:ascii="Times New Roman" w:hAnsi="Times New Roman"/>
          <w:noProof/>
          <w:color w:val="0000FF"/>
          <w:sz w:val="24"/>
        </w:rPr>
        <w:t xml:space="preserve"> </w:t>
      </w:r>
      <w:r>
        <w:rPr>
          <w:rFonts w:ascii="Times New Roman" w:hAnsi="Times New Roman"/>
          <w:noProof/>
          <w:color w:val="0000FF"/>
          <w:sz w:val="24"/>
          <w:u w:val="single" w:color="0000FF"/>
        </w:rPr>
        <w:t>truments</w:t>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Eiropas kontu sistēma 2010 (EKS 2010)</w:t>
      </w:r>
    </w:p>
    <w:p w:rsidR="00506AA9" w:rsidRPr="001973D0" w:rsidRDefault="00506AA9" w:rsidP="00506AA9">
      <w:pPr>
        <w:jc w:val="both"/>
        <w:rPr>
          <w:rFonts w:ascii="Times New Roman" w:eastAsia="Arial" w:hAnsi="Times New Roman" w:cs="Arial"/>
          <w:b/>
          <w:bCs/>
          <w:noProof/>
          <w:sz w:val="24"/>
          <w:szCs w:val="32"/>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000FF"/>
          <w:sz w:val="24"/>
          <w:u w:val="single" w:color="0000FF"/>
        </w:rPr>
        <w:t>Eiropas Parlamenta un Padomes Regula (ES) Nr. 549/2013 (2013. gada 21. maijs) par Eiropas nacionālo un reģionālo kontu sistēmu Eiropas Savienībā</w:t>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Pārsūtīšanas programma:</w:t>
      </w:r>
    </w:p>
    <w:p w:rsidR="00506AA9" w:rsidRPr="001973D0" w:rsidRDefault="00506AA9" w:rsidP="00506AA9">
      <w:pPr>
        <w:jc w:val="both"/>
        <w:rPr>
          <w:rFonts w:ascii="Times New Roman" w:eastAsia="Arial" w:hAnsi="Times New Roman" w:cs="Arial"/>
          <w:b/>
          <w:bCs/>
          <w:noProof/>
          <w:sz w:val="24"/>
          <w:szCs w:val="32"/>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000FF"/>
          <w:sz w:val="24"/>
          <w:u w:val="single" w:color="0000FF"/>
        </w:rPr>
        <w:t>EKS 2010 Datu pārsūtīšanas programma</w:t>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Heading6"/>
        <w:jc w:val="both"/>
        <w:rPr>
          <w:rFonts w:ascii="Times New Roman" w:hAnsi="Times New Roman"/>
          <w:noProof/>
          <w:sz w:val="24"/>
        </w:rPr>
      </w:pPr>
      <w:r>
        <w:rPr>
          <w:rFonts w:ascii="Times New Roman" w:hAnsi="Times New Roman"/>
          <w:noProof/>
          <w:sz w:val="24"/>
        </w:rPr>
        <w:t>Pārmērīga budžeta deficīta novēršanas procedūras statistika:</w:t>
      </w:r>
    </w:p>
    <w:p w:rsidR="00506AA9" w:rsidRPr="001973D0" w:rsidRDefault="00506AA9" w:rsidP="00506AA9">
      <w:pPr>
        <w:jc w:val="both"/>
        <w:rPr>
          <w:rFonts w:ascii="Times New Roman" w:eastAsia="Arial" w:hAnsi="Times New Roman" w:cs="Arial"/>
          <w:b/>
          <w:bCs/>
          <w:noProof/>
          <w:sz w:val="24"/>
          <w:szCs w:val="32"/>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000FF"/>
          <w:sz w:val="24"/>
          <w:u w:val="single" w:color="0000FF"/>
        </w:rPr>
        <w:t>Komisijas Regula (ES) Nr. 220/2014 (2014. gada 7. marts), ar ko attiecībā uz Eiropas nacionālo un reģionālo kontu sistēmu Eiropas Savienībā groza Padomes Regulu (EK) Nr. 479/2009</w:t>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F4995"/>
          <w:sz w:val="24"/>
          <w:u w:val="single" w:color="0F4995"/>
        </w:rPr>
        <w:t>Padomes 2010.gada 26.jūlija Regula (ES) Nr.679/2010, ar ko Regulu (EK) Nr.479/2009 groza attiecībā uz statistikas datu kvalitāti pārmērīga budžeta deficīta novēršanas procedūras kontekstā</w:t>
      </w:r>
    </w:p>
    <w:p w:rsidR="00506AA9" w:rsidRPr="001973D0" w:rsidRDefault="00506AA9" w:rsidP="00506AA9">
      <w:pPr>
        <w:jc w:val="both"/>
        <w:rPr>
          <w:rFonts w:ascii="Times New Roman" w:eastAsia="Arial" w:hAnsi="Times New Roman" w:cs="Arial"/>
          <w:noProof/>
          <w:sz w:val="24"/>
          <w:szCs w:val="26"/>
        </w:rPr>
      </w:pPr>
    </w:p>
    <w:p w:rsidR="00506AA9" w:rsidRPr="001973D0" w:rsidRDefault="00506AA9" w:rsidP="00506AA9">
      <w:pPr>
        <w:pStyle w:val="BodyText"/>
        <w:spacing w:before="0"/>
        <w:ind w:left="0" w:firstLine="0"/>
        <w:jc w:val="both"/>
        <w:rPr>
          <w:rFonts w:ascii="Times New Roman" w:hAnsi="Times New Roman"/>
          <w:noProof/>
          <w:sz w:val="24"/>
        </w:rPr>
      </w:pPr>
      <w:r>
        <w:rPr>
          <w:rFonts w:ascii="Times New Roman" w:hAnsi="Times New Roman"/>
          <w:noProof/>
          <w:color w:val="0000FF"/>
          <w:sz w:val="24"/>
          <w:u w:val="single" w:color="0000FF"/>
        </w:rPr>
        <w:t>Padomes Regula (EK) Nr.479/2009 par to, kā piemērot Eiropas Kopienas dibināšanas līgumam pievienoto Protokolu par pārmērīga budžeta deficīta novēršanas procedūru</w:t>
      </w:r>
    </w:p>
    <w:p w:rsidR="00506AA9" w:rsidRDefault="00506AA9" w:rsidP="00506AA9">
      <w:pPr>
        <w:rPr>
          <w:rFonts w:ascii="Times New Roman" w:eastAsia="Times New Roman" w:hAnsi="Times New Roman" w:cs="Times New Roman"/>
          <w:noProof/>
          <w:sz w:val="24"/>
          <w:szCs w:val="17"/>
        </w:rPr>
      </w:pPr>
      <w:r>
        <w:br w:type="page"/>
      </w:r>
    </w:p>
    <w:p w:rsidR="00506AA9" w:rsidRPr="001973D0" w:rsidRDefault="00506AA9" w:rsidP="00506AA9">
      <w:pPr>
        <w:jc w:val="both"/>
        <w:rPr>
          <w:rFonts w:ascii="Times New Roman" w:eastAsia="Times New Roman" w:hAnsi="Times New Roman" w:cs="Times New Roman"/>
          <w:noProof/>
          <w:sz w:val="24"/>
          <w:szCs w:val="17"/>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06AA9" w:rsidTr="005A7579">
        <w:tc>
          <w:tcPr>
            <w:tcW w:w="9291" w:type="dxa"/>
          </w:tcPr>
          <w:p w:rsidR="00506AA9" w:rsidRPr="00A3181D" w:rsidRDefault="00506AA9" w:rsidP="001F5CF9">
            <w:pPr>
              <w:jc w:val="center"/>
              <w:rPr>
                <w:rFonts w:ascii="Times New Roman" w:hAnsi="Times New Roman" w:cs="Times New Roman"/>
                <w:b/>
                <w:noProof/>
                <w:sz w:val="24"/>
                <w:szCs w:val="24"/>
              </w:rPr>
            </w:pPr>
            <w:r>
              <w:rPr>
                <w:rFonts w:ascii="Times New Roman" w:hAnsi="Times New Roman"/>
                <w:b/>
                <w:noProof/>
                <w:sz w:val="24"/>
              </w:rPr>
              <w:t>KĀ SAŅEMT ES PUBLIKĀCIJAS</w:t>
            </w:r>
          </w:p>
          <w:p w:rsidR="00506AA9" w:rsidRPr="00A3181D" w:rsidRDefault="00506AA9" w:rsidP="005A7579">
            <w:pPr>
              <w:rPr>
                <w:rFonts w:ascii="Times New Roman" w:eastAsia="Times New Roman" w:hAnsi="Times New Roman" w:cs="Times New Roman"/>
                <w:noProof/>
                <w:sz w:val="24"/>
                <w:szCs w:val="24"/>
              </w:rPr>
            </w:pPr>
          </w:p>
          <w:p w:rsidR="00506AA9" w:rsidRPr="00A3181D" w:rsidRDefault="00506AA9" w:rsidP="005A7579">
            <w:pPr>
              <w:rPr>
                <w:rFonts w:ascii="Times New Roman" w:hAnsi="Times New Roman" w:cs="Times New Roman"/>
                <w:b/>
                <w:noProof/>
                <w:sz w:val="24"/>
                <w:szCs w:val="24"/>
              </w:rPr>
            </w:pPr>
            <w:r>
              <w:rPr>
                <w:rFonts w:ascii="Times New Roman" w:hAnsi="Times New Roman"/>
                <w:b/>
                <w:noProof/>
                <w:sz w:val="24"/>
              </w:rPr>
              <w:t>Bezmaksas publikācijas:</w:t>
            </w:r>
          </w:p>
          <w:p w:rsidR="00506AA9" w:rsidRPr="00A3181D" w:rsidRDefault="00506AA9" w:rsidP="001F5CF9">
            <w:pPr>
              <w:numPr>
                <w:ilvl w:val="0"/>
                <w:numId w:val="90"/>
              </w:numPr>
              <w:tabs>
                <w:tab w:val="left" w:pos="676"/>
              </w:tabs>
              <w:spacing w:line="252" w:lineRule="exact"/>
              <w:ind w:left="709" w:hanging="567"/>
              <w:rPr>
                <w:rFonts w:ascii="Times New Roman" w:hAnsi="Times New Roman" w:cs="Times New Roman"/>
                <w:noProof/>
                <w:sz w:val="24"/>
                <w:szCs w:val="24"/>
              </w:rPr>
            </w:pPr>
            <w:r>
              <w:rPr>
                <w:rFonts w:ascii="Times New Roman" w:hAnsi="Times New Roman"/>
                <w:noProof/>
                <w:sz w:val="24"/>
              </w:rPr>
              <w:t>vienu eksemplāru:</w:t>
            </w:r>
          </w:p>
          <w:p w:rsidR="00506AA9" w:rsidRPr="00A3181D" w:rsidRDefault="00506AA9" w:rsidP="001F5CF9">
            <w:pPr>
              <w:tabs>
                <w:tab w:val="left" w:pos="676"/>
              </w:tabs>
              <w:spacing w:line="252" w:lineRule="exact"/>
              <w:ind w:left="709" w:hanging="33"/>
              <w:rPr>
                <w:rFonts w:ascii="Times New Roman" w:eastAsia="Arial" w:hAnsi="Times New Roman" w:cs="Times New Roman"/>
                <w:noProof/>
                <w:sz w:val="24"/>
                <w:szCs w:val="24"/>
              </w:rPr>
            </w:pPr>
            <w:r>
              <w:rPr>
                <w:rFonts w:ascii="Times New Roman" w:hAnsi="Times New Roman"/>
                <w:noProof/>
                <w:sz w:val="24"/>
              </w:rPr>
              <w:t xml:space="preserve">ES virtuālajā grāmatnīcā </w:t>
            </w:r>
            <w:hyperlink r:id="rId188">
              <w:r>
                <w:rPr>
                  <w:rFonts w:ascii="Times New Roman" w:hAnsi="Times New Roman"/>
                  <w:noProof/>
                  <w:sz w:val="24"/>
                </w:rPr>
                <w:t>(http://bookshop.europa.eu);</w:t>
              </w:r>
            </w:hyperlink>
          </w:p>
          <w:p w:rsidR="00506AA9" w:rsidRPr="00A3181D" w:rsidRDefault="00506AA9" w:rsidP="001F5CF9">
            <w:pPr>
              <w:numPr>
                <w:ilvl w:val="0"/>
                <w:numId w:val="90"/>
              </w:numPr>
              <w:tabs>
                <w:tab w:val="left" w:pos="676"/>
              </w:tabs>
              <w:spacing w:line="252" w:lineRule="exact"/>
              <w:ind w:left="709" w:hanging="567"/>
              <w:rPr>
                <w:rFonts w:ascii="Times New Roman" w:hAnsi="Times New Roman" w:cs="Times New Roman"/>
                <w:noProof/>
                <w:sz w:val="24"/>
                <w:szCs w:val="24"/>
              </w:rPr>
            </w:pPr>
            <w:r>
              <w:rPr>
                <w:rFonts w:ascii="Times New Roman" w:hAnsi="Times New Roman"/>
                <w:noProof/>
                <w:sz w:val="24"/>
              </w:rPr>
              <w:t>vairākus eksemplārus vai plakātus/kartes:</w:t>
            </w:r>
          </w:p>
          <w:p w:rsidR="00506AA9" w:rsidRPr="00A3181D" w:rsidRDefault="00506AA9" w:rsidP="001F5CF9">
            <w:pPr>
              <w:tabs>
                <w:tab w:val="left" w:pos="676"/>
              </w:tabs>
              <w:spacing w:line="252" w:lineRule="exact"/>
              <w:ind w:left="709" w:hanging="33"/>
              <w:rPr>
                <w:rFonts w:ascii="Times New Roman" w:eastAsia="Arial" w:hAnsi="Times New Roman" w:cs="Times New Roman"/>
                <w:noProof/>
                <w:sz w:val="24"/>
                <w:szCs w:val="24"/>
              </w:rPr>
            </w:pPr>
            <w:r>
              <w:rPr>
                <w:rFonts w:ascii="Times New Roman" w:hAnsi="Times New Roman"/>
                <w:noProof/>
                <w:sz w:val="24"/>
              </w:rPr>
              <w:t xml:space="preserve">no Eiropas Savienības pārstāvniecībām </w:t>
            </w:r>
            <w:hyperlink r:id="rId189">
              <w:r>
                <w:rPr>
                  <w:rFonts w:ascii="Times New Roman" w:hAnsi="Times New Roman"/>
                  <w:noProof/>
                  <w:sz w:val="24"/>
                </w:rPr>
                <w:t>(http://ec.europa.eu/represent_en.htm);</w:t>
              </w:r>
            </w:hyperlink>
          </w:p>
          <w:p w:rsidR="00506AA9" w:rsidRDefault="00506AA9" w:rsidP="001F5CF9">
            <w:pPr>
              <w:tabs>
                <w:tab w:val="left" w:pos="676"/>
                <w:tab w:val="left" w:pos="8647"/>
              </w:tabs>
              <w:ind w:left="709" w:right="354" w:hanging="33"/>
              <w:rPr>
                <w:rFonts w:ascii="Times New Roman" w:hAnsi="Times New Roman"/>
                <w:noProof/>
                <w:sz w:val="24"/>
              </w:rPr>
            </w:pPr>
            <w:r>
              <w:rPr>
                <w:rFonts w:ascii="Times New Roman" w:hAnsi="Times New Roman"/>
                <w:noProof/>
                <w:sz w:val="24"/>
              </w:rPr>
              <w:t xml:space="preserve">no trešo valstu delegācijām </w:t>
            </w:r>
            <w:hyperlink r:id="rId190">
              <w:r>
                <w:rPr>
                  <w:rFonts w:ascii="Times New Roman" w:hAnsi="Times New Roman"/>
                  <w:noProof/>
                  <w:sz w:val="24"/>
                </w:rPr>
                <w:t>(http://eeas.europa.eu/delegations/index_en.htm);</w:t>
              </w:r>
            </w:hyperlink>
            <w:r>
              <w:rPr>
                <w:rFonts w:ascii="Times New Roman" w:hAnsi="Times New Roman"/>
                <w:noProof/>
                <w:sz w:val="24"/>
              </w:rPr>
              <w:t xml:space="preserve"> sazinoties ar </w:t>
            </w:r>
            <w:r>
              <w:rPr>
                <w:rFonts w:ascii="Times New Roman" w:hAnsi="Times New Roman"/>
                <w:i/>
                <w:noProof/>
                <w:sz w:val="24"/>
              </w:rPr>
              <w:t>Europe Direct</w:t>
            </w:r>
            <w:r>
              <w:rPr>
                <w:rFonts w:ascii="Times New Roman" w:hAnsi="Times New Roman"/>
                <w:noProof/>
                <w:sz w:val="24"/>
              </w:rPr>
              <w:t xml:space="preserve"> dienestu </w:t>
            </w:r>
            <w:hyperlink r:id="rId191">
              <w:r>
                <w:rPr>
                  <w:rFonts w:ascii="Times New Roman" w:hAnsi="Times New Roman"/>
                  <w:noProof/>
                  <w:sz w:val="24"/>
                </w:rPr>
                <w:t>(http://europa.eu/europedirect/index_en.htm) vai</w:t>
              </w:r>
            </w:hyperlink>
            <w:r>
              <w:rPr>
                <w:rFonts w:ascii="Times New Roman" w:hAnsi="Times New Roman"/>
                <w:noProof/>
                <w:sz w:val="24"/>
              </w:rPr>
              <w:t xml:space="preserve"> zvanot pa tālruni 00 800 6 7 8 9 10 11 (bezmaksas tālrunis no jebkuras vietas ES) (*).</w:t>
            </w:r>
          </w:p>
          <w:p w:rsidR="001F5CF9" w:rsidRPr="00A3181D" w:rsidRDefault="001F5CF9" w:rsidP="001F5CF9">
            <w:pPr>
              <w:tabs>
                <w:tab w:val="left" w:pos="676"/>
                <w:tab w:val="left" w:pos="8647"/>
              </w:tabs>
              <w:ind w:left="709" w:right="354" w:hanging="33"/>
              <w:rPr>
                <w:rFonts w:ascii="Times New Roman" w:eastAsia="Arial" w:hAnsi="Times New Roman" w:cs="Times New Roman"/>
                <w:noProof/>
                <w:sz w:val="24"/>
                <w:szCs w:val="24"/>
              </w:rPr>
            </w:pPr>
          </w:p>
          <w:p w:rsidR="00506AA9" w:rsidRPr="001F5CF9" w:rsidRDefault="001B0687" w:rsidP="001F5CF9">
            <w:pPr>
              <w:ind w:left="676"/>
              <w:rPr>
                <w:rFonts w:ascii="Times New Roman" w:eastAsia="Arial" w:hAnsi="Times New Roman" w:cs="Times New Roman"/>
                <w:noProof/>
                <w:sz w:val="20"/>
                <w:szCs w:val="20"/>
              </w:rPr>
            </w:pPr>
            <w:hyperlink r:id="rId192" w:anchor="note1%23note1">
              <w:r w:rsidR="00506AA9" w:rsidRPr="001F5CF9">
                <w:rPr>
                  <w:rFonts w:ascii="Times New Roman" w:hAnsi="Times New Roman" w:cs="Times New Roman"/>
                  <w:noProof/>
                  <w:sz w:val="20"/>
                  <w:szCs w:val="20"/>
                </w:rPr>
                <w:t>(*)</w:t>
              </w:r>
            </w:hyperlink>
            <w:r w:rsidR="005A7579" w:rsidRPr="001F5CF9">
              <w:rPr>
                <w:rFonts w:ascii="Times New Roman" w:hAnsi="Times New Roman" w:cs="Times New Roman"/>
                <w:noProof/>
                <w:sz w:val="20"/>
                <w:szCs w:val="20"/>
              </w:rPr>
              <w:t xml:space="preserve"> </w:t>
            </w:r>
            <w:r w:rsidR="00506AA9" w:rsidRPr="001F5CF9">
              <w:rPr>
                <w:rFonts w:ascii="Times New Roman" w:hAnsi="Times New Roman" w:cs="Times New Roman"/>
                <w:noProof/>
                <w:sz w:val="20"/>
                <w:szCs w:val="20"/>
              </w:rPr>
              <w:t>Par sniegto informāciju tāpat kā par lielāko daļu tālruņa izsaukumu netiek iekasēta maksa (lai gan atsevišķi operatori, taksofoni vai viesnīcas šādu maksu var iekasēt).</w:t>
            </w:r>
          </w:p>
          <w:p w:rsidR="00506AA9" w:rsidRPr="00A3181D" w:rsidRDefault="00506AA9" w:rsidP="005A7579">
            <w:pPr>
              <w:rPr>
                <w:rFonts w:ascii="Times New Roman" w:eastAsia="Times New Roman" w:hAnsi="Times New Roman" w:cs="Times New Roman"/>
                <w:noProof/>
                <w:sz w:val="24"/>
                <w:szCs w:val="24"/>
              </w:rPr>
            </w:pPr>
          </w:p>
          <w:p w:rsidR="00506AA9" w:rsidRPr="00A3181D" w:rsidRDefault="00506AA9" w:rsidP="005A7579">
            <w:pPr>
              <w:rPr>
                <w:rFonts w:ascii="Times New Roman" w:hAnsi="Times New Roman" w:cs="Times New Roman"/>
                <w:b/>
                <w:noProof/>
                <w:sz w:val="24"/>
                <w:szCs w:val="24"/>
              </w:rPr>
            </w:pPr>
            <w:r>
              <w:rPr>
                <w:rFonts w:ascii="Times New Roman" w:hAnsi="Times New Roman"/>
                <w:b/>
                <w:noProof/>
                <w:sz w:val="24"/>
              </w:rPr>
              <w:t>Maksas publikācijas:</w:t>
            </w:r>
          </w:p>
          <w:p w:rsidR="00506AA9" w:rsidRPr="00A3181D" w:rsidRDefault="00506AA9" w:rsidP="00506AA9">
            <w:pPr>
              <w:numPr>
                <w:ilvl w:val="0"/>
                <w:numId w:val="90"/>
              </w:numPr>
              <w:tabs>
                <w:tab w:val="left" w:pos="709"/>
              </w:tabs>
              <w:ind w:left="709" w:hanging="567"/>
              <w:rPr>
                <w:rFonts w:ascii="Times New Roman" w:eastAsia="Arial" w:hAnsi="Times New Roman" w:cs="Times New Roman"/>
                <w:noProof/>
                <w:sz w:val="24"/>
                <w:szCs w:val="24"/>
              </w:rPr>
            </w:pPr>
            <w:r>
              <w:rPr>
                <w:rFonts w:ascii="Times New Roman" w:hAnsi="Times New Roman"/>
                <w:noProof/>
                <w:sz w:val="24"/>
              </w:rPr>
              <w:t xml:space="preserve">ES virtuālajā grāmatnīcā </w:t>
            </w:r>
            <w:hyperlink r:id="rId193">
              <w:r>
                <w:rPr>
                  <w:rFonts w:ascii="Times New Roman" w:hAnsi="Times New Roman"/>
                  <w:noProof/>
                  <w:sz w:val="24"/>
                </w:rPr>
                <w:t>(http://bookshop.europa.eu).</w:t>
              </w:r>
            </w:hyperlink>
          </w:p>
          <w:p w:rsidR="00506AA9" w:rsidRPr="00A3181D" w:rsidRDefault="00506AA9" w:rsidP="005A7579">
            <w:pPr>
              <w:rPr>
                <w:rFonts w:ascii="Times New Roman" w:eastAsia="Times New Roman" w:hAnsi="Times New Roman" w:cs="Times New Roman"/>
                <w:noProof/>
                <w:sz w:val="24"/>
                <w:szCs w:val="24"/>
              </w:rPr>
            </w:pPr>
          </w:p>
          <w:p w:rsidR="00506AA9" w:rsidRPr="00A3181D" w:rsidRDefault="00506AA9" w:rsidP="005A7579">
            <w:pPr>
              <w:rPr>
                <w:rFonts w:ascii="Times New Roman" w:hAnsi="Times New Roman" w:cs="Times New Roman"/>
                <w:b/>
                <w:noProof/>
                <w:sz w:val="24"/>
                <w:szCs w:val="24"/>
              </w:rPr>
            </w:pPr>
            <w:r>
              <w:rPr>
                <w:rFonts w:ascii="Times New Roman" w:hAnsi="Times New Roman"/>
                <w:b/>
                <w:noProof/>
                <w:sz w:val="24"/>
              </w:rPr>
              <w:t>Maksas abonementi:</w:t>
            </w:r>
          </w:p>
          <w:p w:rsidR="00506AA9" w:rsidRPr="00A3181D" w:rsidRDefault="00506AA9" w:rsidP="00506AA9">
            <w:pPr>
              <w:numPr>
                <w:ilvl w:val="0"/>
                <w:numId w:val="90"/>
              </w:numPr>
              <w:tabs>
                <w:tab w:val="left" w:pos="709"/>
              </w:tabs>
              <w:ind w:left="709" w:right="1554" w:hanging="567"/>
              <w:rPr>
                <w:rFonts w:ascii="Times New Roman" w:eastAsia="Arial" w:hAnsi="Times New Roman" w:cs="Times New Roman"/>
                <w:noProof/>
                <w:sz w:val="24"/>
                <w:szCs w:val="24"/>
              </w:rPr>
            </w:pPr>
            <w:r>
              <w:rPr>
                <w:rFonts w:ascii="Times New Roman" w:hAnsi="Times New Roman"/>
                <w:noProof/>
                <w:sz w:val="24"/>
              </w:rPr>
              <w:t>sazinieties ar kādu no Eiropas Savienības Publikāciju biroja tirdzniecības aģentiem</w:t>
            </w:r>
            <w:r>
              <w:t xml:space="preserve"> </w:t>
            </w:r>
            <w:hyperlink r:id="rId194">
              <w:r>
                <w:rPr>
                  <w:rFonts w:ascii="Times New Roman" w:hAnsi="Times New Roman"/>
                  <w:noProof/>
                  <w:sz w:val="24"/>
                </w:rPr>
                <w:t xml:space="preserve"> (http://publications.europa.eu/others/agents/index_en.htm).</w:t>
              </w:r>
            </w:hyperlink>
          </w:p>
        </w:tc>
      </w:tr>
    </w:tbl>
    <w:p w:rsidR="00506AA9" w:rsidRPr="001973D0" w:rsidRDefault="00506AA9" w:rsidP="00506AA9">
      <w:pPr>
        <w:jc w:val="both"/>
        <w:rPr>
          <w:rFonts w:ascii="Times New Roman" w:eastAsia="Calibri" w:hAnsi="Times New Roman" w:cs="Calibri"/>
          <w:noProof/>
          <w:sz w:val="24"/>
          <w:szCs w:val="16"/>
        </w:rPr>
      </w:pPr>
    </w:p>
    <w:p w:rsidR="00506AA9" w:rsidRPr="001161B4" w:rsidRDefault="00506AA9" w:rsidP="00506AA9"/>
    <w:p w:rsidR="00C663F0" w:rsidRPr="00073FEC" w:rsidRDefault="00C663F0">
      <w:pPr>
        <w:rPr>
          <w:rFonts w:ascii="Times New Roman" w:eastAsia="Times New Roman" w:hAnsi="Times New Roman" w:cs="Times New Roman"/>
          <w:noProof/>
          <w:sz w:val="24"/>
          <w:szCs w:val="17"/>
        </w:rPr>
      </w:pPr>
    </w:p>
    <w:sectPr w:rsidR="00C663F0" w:rsidRPr="00073FEC" w:rsidSect="00282E8B">
      <w:headerReference w:type="default" r:id="rId195"/>
      <w:footerReference w:type="default" r:id="rId196"/>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0687" w:rsidRDefault="001B0687" w:rsidP="00073FEC">
      <w:r>
        <w:separator/>
      </w:r>
    </w:p>
  </w:endnote>
  <w:endnote w:type="continuationSeparator" w:id="0">
    <w:p w:rsidR="001B0687" w:rsidRDefault="001B0687" w:rsidP="0007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1B0687" w:rsidRPr="004F5D11" w:rsidRDefault="001B0687" w:rsidP="00282E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282E8B">
    <w:pPr>
      <w:pStyle w:val="Header"/>
      <w:tabs>
        <w:tab w:val="clear" w:pos="4153"/>
        <w:tab w:val="clear" w:pos="8306"/>
        <w:tab w:val="right" w:pos="9072"/>
      </w:tabs>
      <w:jc w:val="both"/>
      <w:rPr>
        <w:rStyle w:val="PageNumber"/>
        <w:rFonts w:ascii="Times New Roman" w:hAnsi="Times New Roman"/>
        <w:sz w:val="20"/>
        <w:szCs w:val="20"/>
      </w:rPr>
    </w:pPr>
  </w:p>
  <w:p w:rsidR="001B0687" w:rsidRPr="004F5D11" w:rsidRDefault="001B0687" w:rsidP="00282E8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60523">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Style w:val="Header"/>
      <w:tabs>
        <w:tab w:val="clear" w:pos="4153"/>
        <w:tab w:val="clear" w:pos="8306"/>
        <w:tab w:val="left" w:pos="9072"/>
      </w:tabs>
      <w:jc w:val="both"/>
      <w:rPr>
        <w:rStyle w:val="PageNumber"/>
        <w:rFonts w:ascii="Times New Roman" w:hAnsi="Times New Roman"/>
        <w:sz w:val="20"/>
        <w:szCs w:val="20"/>
      </w:rPr>
    </w:pPr>
  </w:p>
  <w:p w:rsidR="001B0687" w:rsidRPr="004F5D11" w:rsidRDefault="001B0687" w:rsidP="00282E8B">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282E8B">
    <w:pPr>
      <w:pStyle w:val="Header"/>
      <w:tabs>
        <w:tab w:val="clear" w:pos="4153"/>
        <w:tab w:val="clear" w:pos="8306"/>
        <w:tab w:val="left" w:pos="9072"/>
      </w:tabs>
      <w:jc w:val="both"/>
      <w:rPr>
        <w:rStyle w:val="PageNumber"/>
        <w:rFonts w:ascii="Times New Roman" w:hAnsi="Times New Roman"/>
        <w:sz w:val="20"/>
        <w:szCs w:val="20"/>
      </w:rPr>
    </w:pPr>
  </w:p>
  <w:p w:rsidR="001B0687" w:rsidRPr="004F5D11" w:rsidRDefault="001B0687" w:rsidP="00282E8B">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8D303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1B0687" w:rsidRPr="004F5D11" w:rsidRDefault="001B0687" w:rsidP="008D3039">
    <w:pPr>
      <w:pStyle w:val="Header"/>
      <w:tabs>
        <w:tab w:val="clear" w:pos="4153"/>
        <w:tab w:val="clear" w:pos="8306"/>
        <w:tab w:val="right" w:leader="underscore" w:pos="14005"/>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8D3039">
    <w:pPr>
      <w:pStyle w:val="Header"/>
      <w:tabs>
        <w:tab w:val="clear" w:pos="4153"/>
        <w:tab w:val="clear" w:pos="8306"/>
        <w:tab w:val="right" w:pos="9072"/>
      </w:tabs>
      <w:jc w:val="both"/>
      <w:rPr>
        <w:rStyle w:val="PageNumber"/>
        <w:rFonts w:ascii="Times New Roman" w:hAnsi="Times New Roman"/>
        <w:sz w:val="20"/>
        <w:szCs w:val="20"/>
      </w:rPr>
    </w:pPr>
  </w:p>
  <w:p w:rsidR="001B0687" w:rsidRPr="004F5D11" w:rsidRDefault="001B0687" w:rsidP="008D3039">
    <w:pPr>
      <w:pStyle w:val="Footer"/>
      <w:tabs>
        <w:tab w:val="clear" w:pos="4153"/>
        <w:tab w:val="clear" w:pos="8306"/>
        <w:tab w:val="right" w:pos="14005"/>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8C1D66">
      <w:rPr>
        <w:rStyle w:val="PageNumber"/>
        <w:rFonts w:ascii="Times New Roman" w:hAnsi="Times New Roman"/>
        <w:noProof/>
        <w:sz w:val="20"/>
        <w:szCs w:val="20"/>
      </w:rPr>
      <w:t>160</w:t>
    </w:r>
    <w:r w:rsidRPr="004F5D11">
      <w:rPr>
        <w:rStyle w:val="PageNumber"/>
        <w:rFonts w:ascii="Times New Roman" w:hAnsi="Times New Roman"/>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205DD8" w:rsidRDefault="001B0687" w:rsidP="008D3039">
    <w:pPr>
      <w:spacing w:line="14" w:lineRule="auto"/>
      <w:rPr>
        <w:noProof/>
        <w:sz w:val="20"/>
        <w:szCs w:val="20"/>
      </w:rPr>
    </w:pPr>
  </w:p>
  <w:p w:rsidR="001B0687" w:rsidRPr="004F5D11" w:rsidRDefault="001B0687" w:rsidP="008D3039">
    <w:pPr>
      <w:pStyle w:val="Header"/>
      <w:tabs>
        <w:tab w:val="clear" w:pos="4153"/>
        <w:tab w:val="clear" w:pos="8306"/>
        <w:tab w:val="left" w:pos="9072"/>
      </w:tabs>
      <w:jc w:val="both"/>
      <w:rPr>
        <w:rStyle w:val="PageNumber"/>
        <w:rFonts w:ascii="Times New Roman" w:hAnsi="Times New Roman"/>
        <w:sz w:val="20"/>
        <w:szCs w:val="20"/>
      </w:rPr>
    </w:pPr>
  </w:p>
  <w:p w:rsidR="001B0687" w:rsidRPr="004F5D11" w:rsidRDefault="001B0687" w:rsidP="008D303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8D3039">
    <w:pPr>
      <w:pStyle w:val="Header"/>
      <w:tabs>
        <w:tab w:val="clear" w:pos="4153"/>
        <w:tab w:val="clear" w:pos="8306"/>
        <w:tab w:val="right" w:pos="9072"/>
      </w:tabs>
      <w:jc w:val="both"/>
      <w:rPr>
        <w:rStyle w:val="PageNumber"/>
        <w:rFonts w:ascii="Times New Roman" w:hAnsi="Times New Roman"/>
        <w:sz w:val="20"/>
        <w:szCs w:val="20"/>
      </w:rPr>
    </w:pPr>
  </w:p>
  <w:p w:rsidR="001B0687" w:rsidRPr="004F5D11" w:rsidRDefault="001B0687" w:rsidP="008D303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60523">
      <w:rPr>
        <w:rStyle w:val="PageNumber"/>
        <w:rFonts w:ascii="Times New Roman" w:hAnsi="Times New Roman"/>
        <w:noProof/>
        <w:sz w:val="20"/>
        <w:szCs w:val="20"/>
      </w:rPr>
      <w:t>420</w:t>
    </w:r>
    <w:r w:rsidRPr="004F5D11">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0687" w:rsidRDefault="001B0687" w:rsidP="00073FEC">
      <w:r>
        <w:separator/>
      </w:r>
    </w:p>
  </w:footnote>
  <w:footnote w:type="continuationSeparator" w:id="0">
    <w:p w:rsidR="001B0687" w:rsidRDefault="001B0687" w:rsidP="00073FEC">
      <w:r>
        <w:continuationSeparator/>
      </w:r>
    </w:p>
  </w:footnote>
  <w:footnote w:id="1">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Skatīt Padomes Regulu (EK) Nr. 479/2009, kas grozīta ar Padomes Regulu (ES) Nr. 679/2010 un Komisijas Regulu (ES) Nr. 220/2014.</w:t>
      </w:r>
    </w:p>
  </w:footnote>
  <w:footnote w:id="2">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Sīkāku informāciju var saņemt, sazinoties ar D-1 struktūrvienības sekretariātu (e-pasts: </w:t>
      </w:r>
      <w:r w:rsidRPr="0006739A">
        <w:rPr>
          <w:rFonts w:ascii="Times New Roman" w:hAnsi="Times New Roman" w:cs="Times New Roman"/>
          <w:noProof/>
          <w:color w:val="0000FF"/>
          <w:sz w:val="20"/>
          <w:u w:val="single" w:color="0000FF"/>
        </w:rPr>
        <w:t>ESTAT-D1-SECRETARIAT@ec.europa.eu</w:t>
      </w:r>
      <w:r w:rsidRPr="0006739A">
        <w:rPr>
          <w:rFonts w:ascii="Times New Roman" w:hAnsi="Times New Roman" w:cs="Times New Roman"/>
          <w:sz w:val="20"/>
        </w:rPr>
        <w:t>).</w:t>
      </w:r>
    </w:p>
  </w:footnote>
  <w:footnote w:id="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Protokols (Nr. 12) par pārmērīga budžeta deficīta novēršanas procedūru, kas pievienots Līgumam par Eiropas Savienības darbību (bijušais 19. protokols, kas pievienots Māstrihtas Līgumam).</w:t>
      </w:r>
    </w:p>
  </w:footnote>
  <w:footnote w:id="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2. nodaļā (Vienības un vienību grupas) papildus noteikts, ka šādas vienības var būt iesaistītas cita veida ārpustirgus ražošanā, tostarp preču un pakalpojumu pārdošanā “pseidotirgos” tādējādi, ka ieņēmumi nepārsniedz ražošanas izmaksas.</w:t>
      </w:r>
    </w:p>
  </w:footnote>
  <w:footnote w:id="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Jo īpaši tāpēc, ka tās darbojas kopā un ir atkarīgas no viena budžeta, par kuru atbild Finanšu ministrija, kas papildus “kontrolei” pār lielāko daļu ieņēmumu nosaka “ierindas ministrijām” (izdevumu struktūrām, kurām parasti nav autonomu publisko kontu) izdevumu robežas.</w:t>
      </w:r>
    </w:p>
  </w:footnote>
  <w:footnote w:id="6">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Pr>
          <w:rFonts w:ascii="Times New Roman" w:hAnsi="Times New Roman" w:cs="Times New Roman"/>
          <w:sz w:val="20"/>
        </w:rPr>
        <w:t xml:space="preserve"> Izņemot sociālās nodrošināšanas</w:t>
      </w:r>
      <w:r w:rsidRPr="0006739A">
        <w:rPr>
          <w:rFonts w:ascii="Times New Roman" w:hAnsi="Times New Roman" w:cs="Times New Roman"/>
          <w:sz w:val="20"/>
        </w:rPr>
        <w:t xml:space="preserve"> fondu pārvaldību, kuri ir iekļauti atsevišķā apakšsektorā.</w:t>
      </w:r>
    </w:p>
  </w:footnote>
  <w:footnote w:id="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20.64. punktā uzsvērts, ka vienības, kuras ir pilnīgi atkarīgas no centrālās valdības, taču darbojas vietējā līmenī, ir jānošķir no vienībām, kuras ietilpst pavalsts vai vietējos apakšsektoros un nav pakļautas centrālajai valdībai (piemēram, tām ir savs finansējums, rīcības brīvība attiecībā uz izdevumiem, tiesībām iecelt amatpersonas un citas pilnvaras).</w:t>
      </w:r>
    </w:p>
  </w:footnote>
  <w:footnote w:id="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S.1314 ir būtisks tikai tad, ja “institucionāla vienība ir veidota atsevišķi no citām valdības vienību darbībām, tam ir savi aktīvi un saistības un tas savā vārdā iesaistās finanšu darījumos”, sk. EKS 2010 20.12. punktu.</w:t>
      </w:r>
    </w:p>
  </w:footnote>
  <w:footnote w:id="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VIII daļu “Vispārējās valdības parāda apmēra noteikšana”.</w:t>
      </w:r>
    </w:p>
  </w:footnote>
  <w:footnote w:id="1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Attiecībā uz dažu konkrētu valdības kontrolē esošu vienību klasificēšanu pa sektoriem sk. I.6. nodaļu “Īpaši publiski subjekti”.</w:t>
      </w:r>
    </w:p>
  </w:footnote>
  <w:footnote w:id="1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 ir sociālās nodrošināšanas fondu definīcija, kas sniegta EKS 2010 2.117. punkta c) apakšpunktā. EKS 2010 4.89. punkta a) apakšpunktā noteik</w:t>
      </w:r>
      <w:r>
        <w:rPr>
          <w:rFonts w:ascii="Times New Roman" w:hAnsi="Times New Roman" w:cs="Times New Roman"/>
        </w:rPr>
        <w:t>ts arī tas, ka sociālās nodrošināšanas</w:t>
      </w:r>
      <w:r w:rsidRPr="0006739A">
        <w:rPr>
          <w:rFonts w:ascii="Times New Roman" w:hAnsi="Times New Roman" w:cs="Times New Roman"/>
        </w:rPr>
        <w:t xml:space="preserve"> shēmas “aptver visu sabiedrību vai lielas sabiedrības daļas, un tās piemēro, kontrolē un finansē valdības vienības”. Tas nozīmē, ka šādu shēmu līdzekļi ir obligātās iemaksas (sociālās iemaksas vai nodokļi) un ka valdībai ir pienākums segt iztrūkumu, ja tāds radies starp līdzekļiem un pabalstiem, tostarp izmantojot savas tiesības mainīt atsevišķus parametrus.</w:t>
      </w:r>
    </w:p>
  </w:footnote>
  <w:footnote w:id="1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Vienība ir spējīga izveidot gan plūsmu kontus, atspoguļojot tīro ienākumu un naudas plūsmu pārskatus, gan bilances, atspoguļojot tās patrimoniālo situāciju. EKS 2010 ir noteikts, ka šādu kontu publicēšana nav nosacījums, kas jāizpilda, lai vienību varētu uzskatīt par institucionālu vienību. Nozīme ir tikai to eksistencei (pat ja tā ir tikai potenciāla eksistence). Šis nosacījums oficiāli netiek piemērots attiecībā uz mājsaimniecībām.</w:t>
      </w:r>
    </w:p>
  </w:footnote>
  <w:footnote w:id="1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analīzes rezultātā būtu secināms, ka valdības/publiskās(-o) vienības(-u) un privātās(-o) vienības(-u) kontrole kopumā ir ļoti līdzvērtīga, vienība būtu klasificējama valdības sektorā, ja tā ir ārpustirgus vienība, un publiskajā nefinanšu vai finanšu sektorā, ja tā ir tirgus vienība (sk. arī I.8. nodaļu “Kopuzņēmumi”), vai arī uzskatāma par finanšu starpnieku saskaņā ar EKS 2010 2. nodaļā sniegto definīciju.</w:t>
      </w:r>
    </w:p>
  </w:footnote>
  <w:footnote w:id="1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Salīdzinoši retāk var gadīties arī tā, ka privātajiem īpašniekiem, kuriem kopā ir tikai balsstiesību mazākums, atsevišķos jautājumos izdodas pārspēt valdības vairākumu, jo valdības vairākumu veido dažādas valdības vienības, kuras dažkārt nebalso vienoti. Tomēr tas nevarētu būt pietiekami, lai uzskatītu, ka vienību kontrolē privātais sektors, un šī vienība joprojām būtu uzskatāma par valdības kontrolētu vienību.</w:t>
      </w:r>
    </w:p>
  </w:footnote>
  <w:footnote w:id="1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(līdzīgi kā NKS 2008) šos kritērijus piemēro tikai kontrolējošas valdības vienības gadījumā. Tomēr tie var attiekties arī uz tirgus ražotājiem BPI, ko kontrolē publiskas vienības, kas neietilpst valdības sektorā.</w:t>
      </w:r>
    </w:p>
  </w:footnote>
  <w:footnote w:id="1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Kopumā parasti privāts tirgus ražotājs nevar ilgstoši ciest zaudējumus, jo tas nozīmētu negatīvu pašu kapitāla peļņu (ar atsevišķiem izņēmumiem dažu grupā ietilpstošu subjektu gadījumā). Publisks tirgus ražotāja gadījums atšķiras tādējādi, ka daudzos gadījumos šāds subjekts var paļauties uz to, ka valdība tam sniegs atbalstu ar valsts politiku saistītu apsvērumu dēļ. Parasti </w:t>
      </w:r>
      <w:r w:rsidRPr="0006739A">
        <w:rPr>
          <w:rFonts w:ascii="Times New Roman" w:hAnsi="Times New Roman" w:cs="Times New Roman"/>
          <w:i/>
        </w:rPr>
        <w:t>RoE</w:t>
      </w:r>
      <w:r w:rsidRPr="0006739A">
        <w:rPr>
          <w:rFonts w:ascii="Times New Roman" w:hAnsi="Times New Roman" w:cs="Times New Roman"/>
        </w:rPr>
        <w:t xml:space="preserve"> prasības līdzīgos apstākļos netiktu piemērotas attiecībā uz privāto sektoru, turpretī šos subjektus bieži vien neskar apstākļi, kuri izraisa bankrotu (piemēram negatīvs pašu kapitāls). Kas attiecas uz valsts finansēm, jebkurš valdības atbalsts valsts tirgus ražotājam ietekmē valdības neto aizdevumu/aizņēmumu (B.9) un var ietekmēt arī tās parādu. Tomēr parasti gadījumos, kad slogs uz valsts finansēm kļūst pārmērīgi liels, valdības lemj par koriģējošiem pasākumiem vai pārstrukturēšanas plāniem.</w:t>
      </w:r>
    </w:p>
  </w:footnote>
  <w:footnote w:id="1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Dažos gadījumos šis kritērijs jāapsver privātu subjektu grupas līmenī, jo starp grupas subjektiem var tikt piemērotas tādas iekšējās cenas, kas neatbilst tirgus cenai.</w:t>
      </w:r>
    </w:p>
  </w:footnote>
  <w:footnote w:id="1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ka gadījumos, kad tiek novērtēts tas, cik daudz ražošanas izmaksas tiek segtas no pārdošanas ieņēmumiem, attiecīgajā gadījumā svarīgi noteikt to, kāds ir valdības vienību īpatsvars visu pircēju vidū. Ir arī gadījumi, kad samērā labi zināms, ka produkcija paredzēta vienīgi (vai gandrīz vienīgi) izmantošanai valdības vajadzībām.</w:t>
      </w:r>
    </w:p>
  </w:footnote>
  <w:footnote w:id="1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Šīs konkurences novērtējumā jāņem vērā ne tikai dažādu uzņēmumu klātbūtne valsts tirgū, bet arī tirgus atvērtība jauniem ražotājiem.</w:t>
      </w:r>
    </w:p>
  </w:footnote>
  <w:footnote w:id="2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Jāatceras, ka ES līmenī ir spēkā noteikumi par valsts iepirkumu, kas tiek veikts atklātas konkurences apstākļos.</w:t>
      </w:r>
    </w:p>
  </w:footnote>
  <w:footnote w:id="2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Sīkāka informācija par ES dotāciju/subsīdiju apstrādi izklāstīta šīs rokasgrāmatas II.6. nodaļā.</w:t>
      </w:r>
    </w:p>
  </w:footnote>
  <w:footnote w:id="2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jo īpaši attiecas uz jaunām vienībām, kurām sākotnēji nepieciešami būtiski kapitāla izdevumi un kuras sāks pārdod tās pakalpojumus tikai pēc priekšdarbu pabeigšanas.</w:t>
      </w:r>
    </w:p>
  </w:footnote>
  <w:footnote w:id="2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Termins “reāls” attiecas uz vairākiem jēdzieniem, piemēram, izmantoto datu pieejamību un kvalitāti, prognozēs izmantoto pieņēmumu ticamību, plāna izstrādātāju kompetenci utt. Taču, ja pēc dažiem gadiem izrādās, ka uzņēmējdarbības plāns nav devis gaidītos rezultātus, </w:t>
      </w:r>
      <w:r w:rsidRPr="0006739A">
        <w:rPr>
          <w:rFonts w:ascii="Times New Roman" w:hAnsi="Times New Roman" w:cs="Times New Roman"/>
          <w:i/>
        </w:rPr>
        <w:t>ex ante</w:t>
      </w:r>
      <w:r w:rsidRPr="0006739A">
        <w:rPr>
          <w:rFonts w:ascii="Times New Roman" w:hAnsi="Times New Roman" w:cs="Times New Roman"/>
        </w:rPr>
        <w:t xml:space="preserve"> jāpārskata subjekta sektora klasifikācija.</w:t>
      </w:r>
    </w:p>
  </w:footnote>
  <w:footnote w:id="2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tiek likvidēta “finanšu grūtībās” nonākusi vienība, tirgus/ārpustirgus testu tā droši vien nav varējusi izpildīt vēl pirms nonākšanas likvidācijas procesā un tādējādi jau tika pārklasificēta valdības sektorā.</w:t>
      </w:r>
    </w:p>
  </w:footnote>
  <w:footnote w:id="2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Dažās ES dalībvalstīs šāds sabiedrībām piešķirtais statuss nedrīkst pārsniegt noteiktu periodu, un, ja vienība neatsāk darbību (arī jaunu darbību), tā ir automātiski jālikvidē.</w:t>
      </w:r>
    </w:p>
  </w:footnote>
  <w:footnote w:id="2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Parasti neaktīva vienība neizpilda tirgus/ārpustirgus testu vai neatbilst finanšu starpniecības kritērijiem (sk. EKS 2010 2.57.–2.58. punktu). Tādējādi, ja vienība ir publiska, tā jāpārklasificē, iekļaujot to valdības sektorā. Ja neaktīva vienība neizpilda tirgus/ārpustirgus testu trīs gadus pēc kārtas, tā jebkurā gadījumā ir pārklasificējama valdības sektorā, ja vien pēc pirmā gada nav pierādījumu tam, ka vienība noteikti neizpildīs tirgus/ārpustirgus testu arī turpmākos divus gadus, un šādā gadījumā vienība ir jāpārklasificē valdības sektorā nekavējoties.</w:t>
      </w:r>
    </w:p>
  </w:footnote>
  <w:footnote w:id="2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par neaktīvu vienību vairs netiek sniegti dati, ir jāizmanto pēdējie pieejamie (akciju) dati, jo īpaši ziņojumiem par tās parādu, ja tāds ir.</w:t>
      </w:r>
    </w:p>
  </w:footnote>
  <w:footnote w:id="2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Atkarībā no tiesiskā regulējuma vai īpašiem pasākumiem “likvidatoram” var būt lielāka vai mazāka neatkarība. Likvidators var būt pakļauts tiesnesim vai kreditoru komitejai, kas bieži vien ir izveidota, lai mēģinātu realizēt noteiktus prasījumus. Kopumā šādos apstākļos akcionāriem nav “pēdējais vārds” lēmumos, kas saistīti ar aktīvu pārdošanu.</w:t>
      </w:r>
    </w:p>
  </w:footnote>
  <w:footnote w:id="2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Izņēmums ir finanšu palīgsabiedrības.</w:t>
      </w:r>
    </w:p>
  </w:footnote>
  <w:footnote w:id="3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kvantitatīvie kritēriji būtu joprojām piemērojami (piemēram, atlikušie pārdošanas ienākumi varētu būt tikai valdībai).</w:t>
      </w:r>
    </w:p>
  </w:footnote>
  <w:footnote w:id="3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Vai finanšu palīgsabiedrībām.</w:t>
      </w:r>
    </w:p>
  </w:footnote>
  <w:footnote w:id="3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vienība nav ne likvidācijas procesā, ne neaktīva.</w:t>
      </w:r>
    </w:p>
  </w:footnote>
  <w:footnote w:id="3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 nevajadzētu jaukt ar iespējamo likviditātes pārvaldību vai parāda restrukturizāciju, ko veic likvidācijas procesā.</w:t>
      </w:r>
    </w:p>
  </w:footnote>
  <w:footnote w:id="3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Dažos gadījumos atbildība uz visu parāda summu iestājas nekavējoties (to sauc par “paātrinājumu”); tomēr tas neietekmē valdī</w:t>
      </w:r>
      <w:r>
        <w:rPr>
          <w:rFonts w:ascii="Times New Roman" w:hAnsi="Times New Roman" w:cs="Times New Roman"/>
        </w:rPr>
        <w:t>bas pārņemtā parāda ierakstīšanu</w:t>
      </w:r>
      <w:r w:rsidRPr="0006739A">
        <w:rPr>
          <w:rFonts w:ascii="Times New Roman" w:hAnsi="Times New Roman" w:cs="Times New Roman"/>
        </w:rPr>
        <w:t>.</w:t>
      </w:r>
    </w:p>
  </w:footnote>
  <w:footnote w:id="3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ir jāpārbauda, vai šis atbalsts neatbilst “maskētajiem” vai “netiešajiem” prasījumiem, kas norādīti VII.4.2.1.3. apakšiedaļā (Gadījums, kad konstatē, ka valdība atmaksā vai atmaksās parādu).</w:t>
      </w:r>
    </w:p>
  </w:footnote>
  <w:footnote w:id="3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Piemēro arī kapitāla pārveduma izdevumus, ja tiešu valdības garantiju neesamības gadījumā pastāv citas tiesību normas, kas uzliktu valdībai pienākumu jebkurā gadījumā izmaksāt kompensācijas publiskās vienības kreditoriem, ja notiek tās likvidācija. Tomēr kapitāla pārveduma izdevumus nepiemēro, ja nav skaidru valdības garantiju vai citu tiesību normu, jo valdība būtu vienīgais vai galvenais akcionārs ar neierobežotām saistībām.</w:t>
      </w:r>
    </w:p>
  </w:footnote>
  <w:footnote w:id="3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dažos gadījumos, ja likvidētajai vienībai neparādās negatīva neto vērtība (piemēram, brīvprātīgas likvidācijas gadījumā, kuras dēļ tomēr tiktu ierosināts garantiju prasījums) un ja pastāv liela varbūtība, ka vienības turējumā esošo aktīvu vērtība tiks atgūta, šo kapitāla pārvedumu var samazināt par šo aktīvu aplēsto vērtību.</w:t>
      </w:r>
    </w:p>
  </w:footnote>
  <w:footnote w:id="3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Šie noteikumi nosaka, kādā veidā</w:t>
      </w:r>
      <w:r>
        <w:rPr>
          <w:rFonts w:ascii="Times New Roman" w:hAnsi="Times New Roman" w:cs="Times New Roman"/>
        </w:rPr>
        <w:t xml:space="preserve"> nacionālajos kontos ir ierakstāmi</w:t>
      </w:r>
      <w:r w:rsidRPr="0006739A">
        <w:rPr>
          <w:rFonts w:ascii="Times New Roman" w:hAnsi="Times New Roman" w:cs="Times New Roman"/>
        </w:rPr>
        <w:t xml:space="preserve"> darījumi, nevis vienību klasificēšanas kritērijus.</w:t>
      </w:r>
    </w:p>
  </w:footnote>
  <w:footnote w:id="3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var attiekties ne tikai uz nodokļ</w:t>
      </w:r>
      <w:r>
        <w:rPr>
          <w:rFonts w:ascii="Times New Roman" w:hAnsi="Times New Roman" w:cs="Times New Roman"/>
        </w:rPr>
        <w:t>a iekasēšanu (piemēram, paš</w:t>
      </w:r>
      <w:r w:rsidRPr="0006739A">
        <w:rPr>
          <w:rFonts w:ascii="Times New Roman" w:hAnsi="Times New Roman" w:cs="Times New Roman"/>
        </w:rPr>
        <w:t>valdība “izmanto” centrālās valdības pakalpojumu), bet arī uz tāda nodokļa pārdali, kurā ir ietvertas sastāvdaļas, kas attiecas uz dažādām vienībām (piemēram, ienākumu nodoklis, kura viena daļa attiecas uz centrālo va</w:t>
      </w:r>
      <w:r>
        <w:rPr>
          <w:rFonts w:ascii="Times New Roman" w:hAnsi="Times New Roman" w:cs="Times New Roman"/>
        </w:rPr>
        <w:t>ldību, bet otra daļa uz paš</w:t>
      </w:r>
      <w:r w:rsidRPr="0006739A">
        <w:rPr>
          <w:rFonts w:ascii="Times New Roman" w:hAnsi="Times New Roman" w:cs="Times New Roman"/>
        </w:rPr>
        <w:t>valdību).</w:t>
      </w:r>
    </w:p>
  </w:footnote>
  <w:footnote w:id="4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Piemēri ir sniegti NKS 2008 3.69. punktā: </w:t>
      </w:r>
      <w:r w:rsidRPr="0006739A">
        <w:rPr>
          <w:rFonts w:ascii="Times New Roman" w:hAnsi="Times New Roman" w:cs="Times New Roman"/>
          <w:i/>
          <w:noProof/>
        </w:rPr>
        <w:t xml:space="preserve">komercaģents veic pirkumu, ko pasūtījusi un apmaksājusi cita puse, kurai šī iegāde ir tieši paredzēta. </w:t>
      </w:r>
      <w:r w:rsidRPr="0006739A">
        <w:rPr>
          <w:rFonts w:ascii="Times New Roman" w:hAnsi="Times New Roman" w:cs="Times New Roman"/>
          <w:i/>
        </w:rPr>
        <w:t>Šī komercaģenta kontos parādās tikai maksa par starpniecības pakalpojumu, kas iekasēta no darījuma īstenotāja.</w:t>
      </w:r>
    </w:p>
  </w:footnote>
  <w:footnote w:id="4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Turpmākajā izklāstā terminu “pārvirzīšana” izmanto kā vispārēju terminu, ar ko raksturo pārkārtojumus starp vienībām.</w:t>
      </w:r>
    </w:p>
  </w:footnote>
  <w:footnote w:id="4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Jāatgādina, ka tai ir jābūt tikai nelielai daļai no darbībām, ko veic šādas vienības, kuras pārklasificē valdības sektorā, ja uzskata, ka tām ir lēmumu pieņemšanas autonomija (sk., piemēram, piesaistošās finanšu iestādes, ko kontrolē valdība).</w:t>
      </w:r>
    </w:p>
  </w:footnote>
  <w:footnote w:id="4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valdība var noteikt cenu dažiem darījumiem, kas neatspoguļo tirgus apstākļus, vai uzlikt par pienākumu ekonomikas dalībniekiem veikt valdības noteiktās iemaksas trešajām pusēm, ja nodarbojas ar kādām darbībām vai tur kādus aktīvus.</w:t>
      </w:r>
    </w:p>
  </w:footnote>
  <w:footnote w:id="4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uzskaitījums nav uzskatāms par izsmeļošu un ir papildināms, pamatojoties uz esošajiem gadījumiem, jo ir citi gadījumi, kad ir iespējama pārvirzīšana saistībā ar valdības noteikto kārtību, piemēram, dažiem darījumiem nosaka cenu, kas neatspoguļo tirgus apstākļus, vai ekonomikas dalībniekiem piemēro valdības noteiktu maksu, kas jāmaksā trešajām personām, ja tiek veiktas kādas darbības vai turēti kādi aktīvi.</w:t>
      </w:r>
    </w:p>
  </w:footnote>
  <w:footnote w:id="4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Tam var būt nozīme, ja vienība aizņemas finanšu resursus kapitāla tirgos savas darbības veikšanai.</w:t>
      </w:r>
    </w:p>
  </w:footnote>
  <w:footnote w:id="46">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Jo īpaši, kā noteikts finanšu uzraudzības pamatnostādnēs.</w:t>
      </w:r>
    </w:p>
  </w:footnote>
  <w:footnote w:id="4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Termins “slimnīca” šajā I.2.4.6. apakšiedaļā attiecas uz veselības aprūpes iestādēm, kas nodrošina medicīnisko, ķirurģisko vai psihiatrisko aprūpi un ārstē slimus vai traumētus cilvēkus un kas šim nolūkam izmanto ēkas un tam paredzētu aprīkojumu un nodarbina kvalificētu personālu. Saskaņā ar </w:t>
      </w:r>
      <w:r w:rsidRPr="0006739A">
        <w:rPr>
          <w:rFonts w:ascii="Times New Roman" w:hAnsi="Times New Roman" w:cs="Times New Roman"/>
          <w:i/>
        </w:rPr>
        <w:t>NACE</w:t>
      </w:r>
      <w:r w:rsidRPr="0006739A">
        <w:rPr>
          <w:rFonts w:ascii="Times New Roman" w:hAnsi="Times New Roman" w:cs="Times New Roman"/>
        </w:rPr>
        <w:t xml:space="preserve"> klasifikāciju slimnīcu darbībām ir piešķirts īpašs kods (86.1). Taču šis kods ir izmantojams tikai indikatīvi, jo šajā saistībā ir jāpārbauda arī citas darbības veselības aizsardzības jomā (86) vai sociālās aprūpes darbības (87).</w:t>
      </w:r>
    </w:p>
  </w:footnote>
  <w:footnote w:id="4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Šā iemesla dēļ šajā rokasgrāmatā kopš 2002. gada ir vienmēr iekļauta īpaša daļa, kas veltīta publiskām slimnīcām.</w:t>
      </w:r>
    </w:p>
  </w:footnote>
  <w:footnote w:id="4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Publiskās slimnīcas var kontrolēt dažādi valdības apakšsektori atbilstīgi dalībvalstīs noteiktajai institucionālajai kārtībai. Tomēr, ja slimnīca tiek vairumā finansēta no sociālajām iemaksām sociālās nodrošināšanas subjektos (un nevis no subsīdijām no valdības iekasētajiem nodokļiem), praktisku iemeslu dēļ to var iekļaut sociālās nodrošināšanas fonda apakšsektorā (S.1314).</w:t>
      </w:r>
    </w:p>
  </w:footnote>
  <w:footnote w:id="5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pastāv kvazipastāvīgi zaudējumi, tas vien vēl nav rādītājs, ka nav atklātas konkurences. Tieši pretēji, tas, ka publiskās slimnīcas ir rentablas (vai vismaz nerada pastāvīgus zaudējumus), arī nav pietiekams rādītājs, lai secinātu, ka pastāv faktiska tirgus konkurence.</w:t>
      </w:r>
    </w:p>
  </w:footnote>
  <w:footnote w:id="5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Papildus medicīniskajai aprūpei valdība var uzticēt publiskajām slimnīcām īpašus uzdevumus,iespējams tādus kā izglītošanu un pētniecību. Par šiem uzdevumiem saņemtos maksājumus parasti neuzskata par tirgus darbību.</w:t>
      </w:r>
    </w:p>
  </w:footnote>
  <w:footnote w:id="5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Citi rādītāji, kas var liecināt par valdības atbalstu, varētu būt valdības garantijas vai aizdevumi ar labvēlīgiem ārpustirgus nosacījumiem, ja tie tiek sniegti tikai publiskām slimnīcām.</w:t>
      </w:r>
    </w:p>
  </w:footnote>
  <w:footnote w:id="5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ir saskaņā ar nosacījumu, ka publiskās slimnīcas izpilda citus noteikumus par faktiskās tirgus konkurences esamību (tirgus atvērtība, vienādu pakalpojumu sniegšana, valdības atbalsta neesamība utt.).</w:t>
      </w:r>
    </w:p>
  </w:footnote>
  <w:footnote w:id="54">
    <w:p w:rsidR="001B0687" w:rsidRPr="0006739A" w:rsidRDefault="001B0687" w:rsidP="0006739A">
      <w:pPr>
        <w:jc w:val="both"/>
        <w:rPr>
          <w:rFonts w:ascii="Times New Roman"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Šajā apakšiedaļā netiek skar</w:t>
      </w:r>
      <w:r>
        <w:rPr>
          <w:rFonts w:ascii="Times New Roman" w:hAnsi="Times New Roman" w:cs="Times New Roman"/>
          <w:sz w:val="20"/>
        </w:rPr>
        <w:t>ts jautājums par to, kā ieraksta</w:t>
      </w:r>
      <w:r w:rsidRPr="0006739A">
        <w:rPr>
          <w:rFonts w:ascii="Times New Roman" w:hAnsi="Times New Roman" w:cs="Times New Roman"/>
          <w:sz w:val="20"/>
        </w:rPr>
        <w:t xml:space="preserve"> licences/atļaujas, par kurām pašas TV/radio apraides organizācijas maksā valdībai, lai tām būtu ļauts veikt raiddarbību. Šīs licences/atļaujas traktē saskaņā ar EKS 2010 15. nodaļā (Līgumi, nomas līgumi un licences) noteiktajiem principiem, jo īpaši saskaņā ar sadaļu “Atļaujas veikt īpašas darbības” (sākot no EKS 2010 15.31. punkta). Daži noteikumi ir iekļauti arī šajā rokasgrāmatā (sk. VI daļu “Noma, licences un koncesijas”).</w:t>
      </w:r>
    </w:p>
  </w:footnote>
  <w:footnote w:id="5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valdība (ar dekrētu, noteikumiem, likumu utt.) nosaka pienākumu maksāt par valsts apraidi, tas nozīmē, ka šis maksājums ir obligāts nacionālo kontu izpratnē. Var būt daži īpaši atbrīvojumi (piemēram, vecāka gadagājuma cilvēkiem), taču šie atbrīvojumi nemaina maksājuma obligātumu.</w:t>
      </w:r>
    </w:p>
  </w:footnote>
  <w:footnote w:id="5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ir pienākums maksāt, pamatojoties ne tikai uz attiecīgās ierīces īpašumtiesībām/pieejamību, bet arī pamatojoties uz tās lietošanu, lai izmantotu valsts apraides pakalpojumus (vai nu konkrēti valsts apraides pakalpojumus vai apraides pakalpoju</w:t>
      </w:r>
      <w:r>
        <w:rPr>
          <w:rFonts w:ascii="Times New Roman" w:hAnsi="Times New Roman" w:cs="Times New Roman"/>
        </w:rPr>
        <w:t>mus kopumā), maksājumus ieraksta</w:t>
      </w:r>
      <w:r w:rsidRPr="0006739A">
        <w:rPr>
          <w:rFonts w:ascii="Times New Roman" w:hAnsi="Times New Roman" w:cs="Times New Roman"/>
        </w:rPr>
        <w:t xml:space="preserve"> kā nodokli, ja lietotājs nevar izvēlēties nemaksāt par valsts apraides pakalpojumiem, vienlaikus saglabājot iespēju legāli izmantot privātās apraides pakalpojumus.</w:t>
      </w:r>
    </w:p>
  </w:footnote>
  <w:footnote w:id="57">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rPr>
        <w:footnoteRef/>
      </w:r>
      <w:r w:rsidRPr="0006739A">
        <w:rPr>
          <w:rFonts w:ascii="Times New Roman" w:hAnsi="Times New Roman" w:cs="Times New Roman"/>
        </w:rPr>
        <w:t xml:space="preserve"> </w:t>
      </w:r>
      <w:r w:rsidRPr="0006739A">
        <w:rPr>
          <w:rFonts w:ascii="Times New Roman" w:hAnsi="Times New Roman" w:cs="Times New Roman"/>
          <w:noProof/>
          <w:sz w:val="24"/>
        </w:rPr>
        <w:t>Sk. arī 26. SGS (Pensijas pabalsta plānu uzskaite un pārskatu sniegšana) 12. punktu (Definīcijas. Plāni, kuri ietver abu plānu iezīmes).</w:t>
      </w:r>
    </w:p>
  </w:footnote>
  <w:footnote w:id="5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Šīm citām in</w:t>
      </w:r>
      <w:r>
        <w:rPr>
          <w:rFonts w:ascii="Times New Roman" w:hAnsi="Times New Roman" w:cs="Times New Roman"/>
        </w:rPr>
        <w:t>stitūcijām jāieraksta</w:t>
      </w:r>
      <w:r w:rsidRPr="0006739A">
        <w:rPr>
          <w:rFonts w:ascii="Times New Roman" w:hAnsi="Times New Roman" w:cs="Times New Roman"/>
        </w:rPr>
        <w:t xml:space="preserve"> apdrošināšanas tehniskās rezerves (krājumi), lai atspoguļotu pensijas saistības, par kurām tās ir atbildīgas. Citādi šādas rezerves šīm institūcijām nepastāvētu.</w:t>
      </w:r>
    </w:p>
  </w:footnote>
  <w:footnote w:id="5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dēvētas arī par tirgu regulējošām organizācijām.</w:t>
      </w:r>
    </w:p>
  </w:footnote>
  <w:footnote w:id="6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Kas attiecas uz citām regulējošām struktūrām (kuras neiesaistās tirgū tieši ar “izlīdzinošo krājumu” starpniecību), piemēram, uz valsts iestādēm enerģētikas, telesakaru, transporta u.c. nozarēs, klasifikācija vispārējā valdības sektorā būs atkarīga no to ietekmes uz darbības regulējuma izstrādi un to pilnvarām. Ja iepriekš minētais nosacījums nav izpildīts, uzmanība būtu jāpievērš šo iestāžu līdzekļu būtībai, kas var būt iegūti galvenokārt no nodokļiem.</w:t>
      </w:r>
    </w:p>
  </w:footnote>
  <w:footnote w:id="6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saistībā ar spēkā esošo ES lauksaimniecības politiku produkcijas cenu regulēšana ir kļuvusi par samērā nelielu darbības jomu; šādas darbības novērotas vien attiecībā uz ierobežotu produktu klāstu.</w:t>
      </w:r>
    </w:p>
  </w:footnote>
  <w:footnote w:id="6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Lai iegūtu papildu informāciju, sk. </w:t>
      </w:r>
      <w:r w:rsidRPr="0006739A">
        <w:rPr>
          <w:rFonts w:ascii="Times New Roman" w:hAnsi="Times New Roman" w:cs="Times New Roman"/>
          <w:i/>
        </w:rPr>
        <w:t>Eurostat</w:t>
      </w:r>
      <w:r w:rsidRPr="0006739A">
        <w:rPr>
          <w:rFonts w:ascii="Times New Roman" w:hAnsi="Times New Roman" w:cs="Times New Roman"/>
        </w:rPr>
        <w:t xml:space="preserve"> 2008. gada 20. novembra vadlīnijas: Lauksaimniecības tirgu regulējošo institūciju krājumu pārmaiņu ierakstīšana [</w:t>
      </w:r>
      <w:r w:rsidRPr="0006739A">
        <w:rPr>
          <w:rFonts w:ascii="Times New Roman" w:hAnsi="Times New Roman" w:cs="Times New Roman"/>
          <w:noProof/>
          <w:color w:val="0000FF"/>
          <w:u w:val="single" w:color="0000FF"/>
        </w:rPr>
        <w:t>Recording of changes in inventories of</w:t>
      </w:r>
      <w:r w:rsidRPr="0006739A">
        <w:rPr>
          <w:rFonts w:ascii="Times New Roman" w:hAnsi="Times New Roman" w:cs="Times New Roman"/>
          <w:noProof/>
          <w:color w:val="0000FF"/>
        </w:rPr>
        <w:t xml:space="preserve">  </w:t>
      </w:r>
      <w:r w:rsidRPr="0006739A">
        <w:rPr>
          <w:rFonts w:ascii="Times New Roman" w:hAnsi="Times New Roman" w:cs="Times New Roman"/>
          <w:noProof/>
          <w:color w:val="0000FF"/>
          <w:u w:val="single" w:color="0000FF"/>
        </w:rPr>
        <w:t>Agricultural Market Regulatory Agencies</w:t>
      </w:r>
      <w:r w:rsidRPr="0006739A">
        <w:rPr>
          <w:rFonts w:ascii="Times New Roman" w:hAnsi="Times New Roman" w:cs="Times New Roman"/>
        </w:rPr>
        <w:t>].</w:t>
      </w:r>
    </w:p>
  </w:footnote>
  <w:footnote w:id="6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Tās kopumā pielāgo uzraudzīto vienību lielumam.</w:t>
      </w:r>
    </w:p>
  </w:footnote>
  <w:footnote w:id="6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ECB 2014. gada 27. maija preses relīzi, kurā noteiktas banku uzraudzības izmaksas eirozonā 260 mlj. EUR apmērā, un tādējādi visām bankām eirozonā atkarībā no to lieluma ir piemērojama fiksēta maksājuma summa.</w:t>
      </w:r>
    </w:p>
  </w:footnote>
  <w:footnote w:id="6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Saskaņā ar vispārējo mērķi, kas noteikts kā konkrētu kategoriju saistību procentuālā daļa, fonds ar zināmu elastību var noteikt, kādā veidā sasniegt šo mērķi pārejas posmā, vai pat pielāgot to saskaņā ar uzņēmējdarbības aktivitātes cikliem. Tomēr tas jāskata kā laiksaisīta arbitrāža starp regulārām iemaksām un ārkārtas resursiem.</w:t>
      </w:r>
    </w:p>
  </w:footnote>
  <w:footnote w:id="6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EKS 2010 20.06. un 20.07. punktu par valdības funkcijām un tās unikālo spēju iekasēt obligātos maksājumus.</w:t>
      </w:r>
    </w:p>
  </w:footnote>
  <w:footnote w:id="6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Noregulējuma fonds nesedz maksātnespējas risku, taču, kā noteikusi Eiropas Komisija, “ar noregulējuma fondu būtu: 1) jānodrošina banku pamatdarbību nepārtrauktība,;2) jāaizsargā noguldītāji, klientu aktīvi un valsts līdzekļi 3) jāmazina finanšu stabilitātes riski; 4) jāizvairās no vērtības nevajadzīgas iznīcināšanas.”</w:t>
      </w:r>
    </w:p>
  </w:footnote>
  <w:footnote w:id="6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punkts neattiecas uz finanšu sanācijas struktūrām, kuras kontrolē valdība, vai uz valdības kontrolētajiem subjektiem, kam ir piesaistošās finanšu iestādes pazīmes, jo tās abas ir klasificējamas valdības sektorā.</w:t>
      </w:r>
    </w:p>
  </w:footnote>
  <w:footnote w:id="6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Tāpēc tirgus/ārpustirgus tests (50 % kritērijs) nav piemērojams.</w:t>
      </w:r>
    </w:p>
  </w:footnote>
  <w:footnote w:id="7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vienība nepakļauj sevi riskam, pat ja tai ir licence bankas darbības veikšanai, to nevar uzskatīt par finanšu starpnieku.</w:t>
      </w:r>
    </w:p>
  </w:footnote>
  <w:footnote w:id="7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Acīmredzami, ja valdība uzņemas riskus un atlīdzības par lielāko daļu no darbībām, ko veic publiskā finanšu sabiedrība, visa vienība ir pārklasificējama valdības sektorā.</w:t>
      </w:r>
    </w:p>
  </w:footnote>
  <w:footnote w:id="7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traktējums attiecas arī uz gadījumiem, kad valdība tieši uzņemas lielāko daļu risku par daļu no darbībām, ko veic publiskā finanšu sabiedrība, un ja ir skaidrs apliecinājums, ka valdība ir devusi norādījumu attiecībā uz šo darbības daļu un tai ir faktiskas pilnvaras pieņemt galīgo lēmumu par šīs darbības daļas attiecīgajiem parametriem.</w:t>
      </w:r>
    </w:p>
  </w:footnote>
  <w:footnote w:id="73">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Finanšu iestāžu saistību neizpilde var rasties nepietiekami augstu aktīvu izmantošanas rezultātu dēļ, taču var būt arī gadījumi, kad saistību neizpilde būtībā ir notikusi likviditātes izsīkšanas dēļ.</w:t>
      </w:r>
    </w:p>
  </w:footnote>
  <w:footnote w:id="7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ir cita veida “starpnieks”, kuru var izveidot bez juridiska pamata saistībā ar noteiktu finanšu instrumentu (piemēram, īstermiņa vekseļu vai parādzīmju) emisiju. Starpnieka gadījumā netiek veikta atdalīšana no “mātes vienības”.</w:t>
      </w:r>
    </w:p>
  </w:footnote>
  <w:footnote w:id="7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Proti, nav darbinieku, nav īpašumtiesību uz nefinanšu aktīviem, galvenokārt pārvalda citas vienības, vienmēr ekskluzīvi saistīta ar citu sabiedrību, bieži vien kā meitasvienība. EKS 2010 2.98. punkta c) apakšpunktā noteikts arī tas, ka vairums ĪNDS aktīvu vai saistību nebūs iesaistītas darījumos atklātos tirgos.</w:t>
      </w:r>
    </w:p>
  </w:footnote>
  <w:footnote w:id="7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 var iepriekš pieņemt, ja ĪNDS pārvaldību pilnīgi veic valdības subjektu dalībnieki vai attiecībā uz visiem lēmumiem tiek piemērots iepriekšējs valdības apstiprinājums. Taču ĪNDS var nebūt pietiekami neatkarīga no valdības pat tad, ja tās valdē ietilpst vienīgi “neatkarīgi” valdības sektoram nepiederoši pārstāvji, bet tās statuss un/vai ar valdību noslēgtais līgums būtiski ierobežo tās lēmējtiesības.</w:t>
      </w:r>
    </w:p>
  </w:footnote>
  <w:footnote w:id="7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ECB uztur finanšu instrumentsabiedrību sarakstu saskaņā ar FIS tiesisko regulējumu, kas noteikts Eiropas Centrālās bankas 2013.gada 18. oktobra Regulā (ES) Nr. 1075/2013 par vērtspapīrošanas darījumos iesaistīto finanšu instrumentsabiedrību aktīvu un pasīvu statistiku (pārstrādāta versija) (ECB/2013/40). Šo sarakstu neizmanto nacionālo kontu sektoru klasifikācijā.</w:t>
      </w:r>
    </w:p>
  </w:footnote>
  <w:footnote w:id="7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Jo īpaši V.5.2.8. apakšiedaļa “Vērtspapirizācijas struktūrvienības klasifikācija”.</w:t>
      </w:r>
    </w:p>
  </w:footnote>
  <w:footnote w:id="7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Kā norādīts EKS 2010 20.36. punktā, praksē terminu “publiskas kontrolakciju sabiedrības” attiecina arī uz EKS 2010 noteiktajiem “centrālajiem birojiem”. Tomēr ar sektora klasifikāciju saistītu apsvērumu dēļ nacionālajos kontos ir svarīgi noteikt skaidru dalījumu starp šo abu veidu subjektiem.</w:t>
      </w:r>
    </w:p>
  </w:footnote>
  <w:footnote w:id="8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Dažās ES valstīs kopumā var būt liels skaits tādu subjektu, kuri tiek dēvēti par “kontrolakciju sabiedrībām”, bet daudzos gadījumos tie var būt “mākslīgi” veidojumi. Šķiet, ka vienīgais praktiskais risinājums ir “mehāniskā pieeja” (automātiski piemērota formula). To nevar piemērot vienībām, ko kontrolē valdība, jo to sektoru klasifikācijai ir liela nozīme un katrs gadījums vienmēr ir jāanalizē atsevišķi.</w:t>
      </w:r>
    </w:p>
  </w:footnote>
  <w:footnote w:id="8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Šajā saistībā ļoti neliels darbinieku skaits (jo īpaši gadījumā, ja pastāv grupa ar daudzām meitasvienībām) liecina par to, ka vienība nedarbojas kā centrālais birojs, bet gan kā kontrolakciju sabiedrība.</w:t>
      </w:r>
    </w:p>
  </w:footnote>
  <w:footnote w:id="8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Līdz ar to subjekts, kuram ir visvairāk ienākumu dividenžu veidā ar ļoti nelielu vadības maksu un/vai darījumu pakalpojumu pārdošanas ieņēmumiem vai vispār bez tiem un kurš atmaksā valdības īpašniekam visas dividendes vai lielāko to daļu, saskaņā ar EKS 2010 netiek uzskatīts par centrālo biroju.</w:t>
      </w:r>
    </w:p>
  </w:footnote>
  <w:footnote w:id="8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2.14. punktā noteikts, ka “kontrolakciju sabiedrības tiek raksturotas ISIC 4. red., K sadaļā, 6420. klasē (</w:t>
      </w:r>
      <w:r w:rsidRPr="0006739A">
        <w:rPr>
          <w:rFonts w:ascii="Times New Roman" w:hAnsi="Times New Roman" w:cs="Times New Roman"/>
          <w:i/>
        </w:rPr>
        <w:t>NACE</w:t>
      </w:r>
      <w:r w:rsidRPr="0006739A">
        <w:rPr>
          <w:rFonts w:ascii="Times New Roman" w:hAnsi="Times New Roman" w:cs="Times New Roman"/>
        </w:rPr>
        <w:t xml:space="preserve"> 2. red., K 64.20) raksturotas šādi: Šajā klasē ietilpst kontrolakciju sabiedrību darbība, t. i., tādu struktūrvienību darbība, kuras tur meitasuzņēmumu grupas aktīvus (kurām pieder pašu kapitāla daļa, kas nodrošina kontroli) un kuru pamatdarbība ir šīs uzņēmumu grupas turēšana īpašumā. Šajā klasē klasificētās kontrolakciju sabiedrības nesniedz nekādus citus pakalpojumus uzņēmumiem, kuros tām pieder pašu kapitāls, t. i., tās nepārvalda vai nevada citas struktūrvienības.”</w:t>
      </w:r>
    </w:p>
  </w:footnote>
  <w:footnote w:id="8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Šīs tirgu regulējošās struktūras nepiešķir subsīdijas vai dotācijas ražotājiem un nedarbojas tirgos, lai izlīdzinātu tirgus svārstības, iegādājoties/pārdodot preces pretēji cikliskajām tendencēm (tās ir iekļautas EKS 2010 20.53.–20.54. punktā un I.4. nodaļā “Tirgu regulējošas institūcijas lauksaimniecības nozarē”.</w:t>
      </w:r>
    </w:p>
  </w:footnote>
  <w:footnote w:id="8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Tirgu regulējošā vienība var arī pārvaldīt fondu (piemēram, garantiju </w:t>
      </w:r>
      <w:r>
        <w:rPr>
          <w:rFonts w:ascii="Times New Roman" w:hAnsi="Times New Roman" w:cs="Times New Roman"/>
        </w:rPr>
        <w:t>fondu), kurā maksājumus ieraksta</w:t>
      </w:r>
      <w:r w:rsidRPr="0006739A">
        <w:rPr>
          <w:rFonts w:ascii="Times New Roman" w:hAnsi="Times New Roman" w:cs="Times New Roman"/>
        </w:rPr>
        <w:t xml:space="preserve"> kā nodokļus, ja iemaksas fondā ir obligātas.</w:t>
      </w:r>
    </w:p>
  </w:footnote>
  <w:footnote w:id="8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paskaidrots, ka “mākslīgie meitasuzņēmumi” pilnīgi pieder mātessabiedrībai un sniedz tai vai citām tajā pašā grupā ietilpstošām sabiedrībām noteiktus pakalpojumus. Šādi subjekti parasti neatbilst institucionālas vienības definīcijai. Tie gandrīz pilnīgi atbilst subjektiem, kas sniedz palīgpakalpojumus, vienīgi atšķiras to īstenoto darbības veidu loks.</w:t>
      </w:r>
    </w:p>
  </w:footnote>
  <w:footnote w:id="8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Savukārt, ja subjektam acīmredzami nav lēmumu pieņemšanas pilnvaru pat attiecībā uz savām ikdienas darbībām un ja tas izskatās kā sava veida grāmatvedības rīks vai darbojas kā “autopilots”, šādu subjektu nacionālajos kontos neuzskata par institucionālo vienību un automātiski iekļauj tā kontrolējošajā vienībā.</w:t>
      </w:r>
    </w:p>
  </w:footnote>
  <w:footnote w:id="8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Termins “mātesuzņēmums” ir jāsaprot plašā nozīmē kā kontrolējošā vienība. Valdības kontrolētie subjekti, kam ir piesaistošās finanšu iestādes pazīmes, var arī nebūt tiešā valdības īpašumā vai valdības izveidoti, lai tiktu klasificēti vispārējās valdības sektorā (S.13).</w:t>
      </w:r>
    </w:p>
  </w:footnote>
  <w:footnote w:id="8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Pat ja tiem būtu licence bankas darbības veikšanai un tie būtu iekļauti ECB turētajā MFI sarakstā.</w:t>
      </w:r>
    </w:p>
  </w:footnote>
  <w:footnote w:id="9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Piesaistošo finanšu iestāžu un naudas aizdevēju apakšsektorā (S.127) tad iekļauj visas piesaistošās finanšu iestādes, ko nekontrolē valdība (vai ko tieši nekontrolē valdība). Var būt piesaistošās finanšu iestādes, kuru mātesuzņēmums ir publiska sabiedrība. Šādas piesaistošās finanšu iestādes parasti klasificē S.127 apakšsektorā, izņemot, ja šī vienība veic kādus uzdevumus sabiedrības interesēs un faktiski darbojas valdības vārdā, nevis sava publiskā mātesuzņēmuma labā. Pēdējā minētajā gadījumā tā būtu jāklasificē valdības sektorā.</w:t>
      </w:r>
    </w:p>
  </w:footnote>
  <w:footnote w:id="91">
    <w:p w:rsidR="001B0687" w:rsidRPr="0006739A" w:rsidRDefault="001B0687" w:rsidP="0006739A">
      <w:pPr>
        <w:jc w:val="both"/>
        <w:rPr>
          <w:rFonts w:ascii="Times New Roman" w:hAnsi="Times New Roman" w:cs="Times New Roman"/>
          <w:noProof/>
          <w:sz w:val="24"/>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Šajā saistībā ir, piemēram, būtiska atšķirība starp bankas filiāli, kas ir specializējusies kreditēšanas (uzņēmumu, nekustamā īpašuma) jomā un kurai ir liela autonomija veikt šo darbību (piemēram, mātesuzņēmums nosaka tikai dažus rentabilitātes mērķus/standartus), un vienību, kurai bankas jomā strādājošais mātesuzņēmums ir noteicis uzdevumu piešķirt aizdevumus savā vārdā tikai ļoti konkrētai pārstāvju kategorijai (pēc ienākuma līmeņa, firmas lieluma, produktu veidiem, parametriem utt.), piemērojot konkrētu peļņas normu, utt.</w:t>
      </w:r>
    </w:p>
  </w:footnote>
  <w:footnote w:id="9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var būt gadījumi, kad valdība ir uzticējusi vienībai iejaukties dažādās valsts politikas jomās, piemēram, sniegt atbalstu noteiktiem uzņēmumiem (jo īpaši MVU) un vienlaikus arī mājsaimniecībām saistībā ar sociālajiem mājokļiem. To veic atsevišķi vienības departamenti un dažos gadījumos tam paredzētas filiāles. Galvenais, kas tomēr ir jānovērtē attiecībā uz visu šo veidu darbībām (vai to vairumu), vai vienībai ir ierobežota rīcības brīvība, kā skaidrots iepriekš.</w:t>
      </w:r>
    </w:p>
  </w:footnote>
  <w:footnote w:id="9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Varētu būt gadījumi, kad valdība sākotnēji cer uz peļņas normu, kas ir tuva tirgus slieksnim (piemēram, vismaz ilgtermiņa aizņēmuma izmaksām). Taču gadījumā, ja vienība nespētu to nodrošināt, maz ticams, ka valdība varētu apstiprināt vispārējās politikas izmaiņas vai pat atkāpties no tās, kā to bieži vien darītu privātie ieguldītāji.</w:t>
      </w:r>
    </w:p>
  </w:footnote>
  <w:footnote w:id="9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Varētu jautāt, kāpēc šādi privāti ieguldītāji (kas parasti ir orientēti uz peļņu) varētu iesaistīties attiecībās ar subjektu, kam ir šādas pazīmes. Viens no iemesliem varētu būt, ka šādā veidā tie varētu iesaistīties kādā citā rentablā darbībā ar tiem, kas gūst labumu no vienības intervences pasākumiem. Cits iemesls varētu būt, ka šie ieguldītāji ir izveidojuši partnerattiecības ar valdību, kas globāli tiek augsti vērtēts attiecībā uz visu saistīto darbību galīgo rentabilitāti, nevis tikai vienības līmenī.</w:t>
      </w:r>
    </w:p>
  </w:footnote>
  <w:footnote w:id="9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sīkāku informāciju </w:t>
      </w:r>
      <w:r w:rsidRPr="0006739A">
        <w:rPr>
          <w:rFonts w:ascii="Times New Roman" w:hAnsi="Times New Roman" w:cs="Times New Roman"/>
          <w:i/>
        </w:rPr>
        <w:t>Eurostat</w:t>
      </w:r>
      <w:r w:rsidRPr="0006739A">
        <w:rPr>
          <w:rFonts w:ascii="Times New Roman" w:hAnsi="Times New Roman" w:cs="Times New Roman"/>
        </w:rPr>
        <w:t xml:space="preserve"> vadlīnijās: Centrālo krājumu uzturēšanas struktūru (CKUS) klasifikācija EKS2010[</w:t>
      </w:r>
      <w:r w:rsidRPr="0006739A">
        <w:rPr>
          <w:rFonts w:ascii="Times New Roman" w:hAnsi="Times New Roman" w:cs="Times New Roman"/>
          <w:i/>
          <w:noProof/>
          <w:color w:val="0000FF"/>
          <w:u w:val="single" w:color="0000FF"/>
        </w:rPr>
        <w:t>Classification of Central Stockholding Entities (CSEs) in ESA 2010</w:t>
      </w:r>
      <w:r w:rsidRPr="0006739A">
        <w:rPr>
          <w:rFonts w:ascii="Times New Roman" w:hAnsi="Times New Roman" w:cs="Times New Roman"/>
        </w:rPr>
        <w:t>, kas publicētas 2014. gada augustā.</w:t>
      </w:r>
    </w:p>
  </w:footnote>
  <w:footnote w:id="9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w:t>
      </w:r>
      <w:r w:rsidRPr="0006739A">
        <w:rPr>
          <w:rFonts w:ascii="Times New Roman" w:hAnsi="Times New Roman" w:cs="Times New Roman"/>
          <w:noProof/>
          <w:color w:val="0000FF"/>
          <w:u w:val="single" w:color="0000FF"/>
        </w:rPr>
        <w:t>Padomes Direktīva 2009/119/EK</w:t>
      </w:r>
      <w:r w:rsidRPr="0006739A">
        <w:rPr>
          <w:rFonts w:ascii="Times New Roman" w:hAnsi="Times New Roman" w:cs="Times New Roman"/>
        </w:rPr>
        <w:t>.</w:t>
      </w:r>
    </w:p>
  </w:footnote>
  <w:footnote w:id="9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“Uzņēmējs” ir jebkura persona, struktūra vai subjekts, kuras pienākums ir turēt drošības rezerves šajā direktīvā noteiktajām vajadzībām. Drošības rezervju turēšanas pienākumu pilnībā vai daļēji var deleģēt CKUS vai citiem uzņēmējiem.</w:t>
      </w:r>
    </w:p>
  </w:footnote>
  <w:footnote w:id="9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Noteikta līmeņa naftas rezervju noteikšana ir galvenokārt valsts politikas jautājums (un tādējādi valdība nosaka maksājumu līmeni šīs suverēnās funkcijas izpildei) un nevis kaut kas tāds, kas uzņēmējiem būtu nepieciešams komerciālu apsvērumu dēļ. Turklāt Direktīvā faktiski ir liegts CKUS meklēt peļņas gūšanas iespējas, tādējādi būtu ļoti rūpīgi jāapsver, vai produkciju var klasificēt kā tirgus produkciju.</w:t>
      </w:r>
    </w:p>
  </w:footnote>
  <w:footnote w:id="9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Pamatojoties uz kontroles daļu, kopuzņēmumu parasti var klasificēt privātajā sektorā, publiskajā sektorā vai abos sektoros. Ja tomēr publiskā sabiedrība vairs nav tirgus ražotājs, kopuzņēmums klasificējams valdības sektorā.</w:t>
      </w:r>
    </w:p>
  </w:footnote>
  <w:footnote w:id="10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Tiek uzskatīts, ka kopuzņēmumi nevar nodarboties ar finanšu starpniecību vai finanšu palīgpakalpojumu sniegšanu (vai ka šāda iespēja ir hipotētiska), jo šādi subjekti pēc būtības ir jāklasificē finanšu iestāžu sektorā (S.12).</w:t>
      </w:r>
    </w:p>
  </w:footnote>
  <w:footnote w:id="101">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Šajā divpusējā atbalstā piedalījās arī dažas eirozonā neietilpstošas ES dalībvalstis.</w:t>
      </w:r>
    </w:p>
  </w:footnote>
  <w:footnote w:id="10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EFSI ir arī piešķīris atbalstu, izsniedzot savas obligācijas vai parādzīmes bez līdzekļu piesaistes tirgos. Dažos gadījumos šīs “bezskaidras naudas” operācijas ir pagaidu operācijas, bet citos gadījumos EFSI parāda instrumenti atradīsies pie turētāja līdz parāda atmaksāšanas termiņa beigām, un tos var izmantot kā nodrošinājumu pārdošanas ar atpirkšanu darījumos.</w:t>
      </w:r>
    </w:p>
  </w:footnote>
  <w:footnote w:id="10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Šādas piesardzības līnijas tiek traktētas kā iespējamie aktīvi līdz brīdim, kad saņēmēja valsts tos faktiski iztērē.</w:t>
      </w:r>
    </w:p>
  </w:footnote>
  <w:footnote w:id="10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Sīkāka informācija par šīm struktūrām, jo īpaši visi būtiskie dokumenti, ir pieejami tīmekļa vietnēs: </w:t>
      </w:r>
      <w:r w:rsidRPr="0006739A">
        <w:rPr>
          <w:rFonts w:ascii="Times New Roman" w:hAnsi="Times New Roman" w:cs="Times New Roman"/>
          <w:noProof/>
          <w:color w:val="0000FF"/>
          <w:u w:val="single" w:color="0000FF"/>
        </w:rPr>
        <w:t xml:space="preserve">http://www.efsf.europa.eu </w:t>
      </w:r>
      <w:r w:rsidRPr="0006739A">
        <w:rPr>
          <w:rFonts w:ascii="Times New Roman" w:hAnsi="Times New Roman" w:cs="Times New Roman"/>
        </w:rPr>
        <w:t>un</w:t>
      </w:r>
      <w:r w:rsidRPr="0006739A">
        <w:rPr>
          <w:rFonts w:ascii="Times New Roman" w:hAnsi="Times New Roman" w:cs="Times New Roman"/>
          <w:noProof/>
          <w:color w:val="0000FF"/>
        </w:rPr>
        <w:t xml:space="preserve"> </w:t>
      </w:r>
      <w:r w:rsidRPr="0006739A">
        <w:rPr>
          <w:rFonts w:ascii="Times New Roman" w:hAnsi="Times New Roman" w:cs="Times New Roman"/>
          <w:noProof/>
          <w:color w:val="0000FF"/>
          <w:u w:val="single" w:color="0000FF"/>
        </w:rPr>
        <w:t>http://www.esm.europa.eu</w:t>
      </w:r>
      <w:r w:rsidRPr="0006739A">
        <w:rPr>
          <w:rFonts w:ascii="Times New Roman" w:hAnsi="Times New Roman" w:cs="Times New Roman"/>
        </w:rPr>
        <w:t>.</w:t>
      </w:r>
    </w:p>
  </w:footnote>
  <w:footnote w:id="10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arī attiecīgos lēmumus </w:t>
      </w:r>
      <w:r w:rsidRPr="0006739A">
        <w:rPr>
          <w:rFonts w:ascii="Times New Roman" w:hAnsi="Times New Roman" w:cs="Times New Roman"/>
          <w:i/>
        </w:rPr>
        <w:t>Eurostat</w:t>
      </w:r>
      <w:r w:rsidRPr="0006739A">
        <w:rPr>
          <w:rFonts w:ascii="Times New Roman" w:hAnsi="Times New Roman" w:cs="Times New Roman"/>
        </w:rPr>
        <w:t xml:space="preserve"> tīmekļa vietnē: </w:t>
      </w:r>
      <w:r w:rsidRPr="0006739A">
        <w:rPr>
          <w:rFonts w:ascii="Times New Roman" w:hAnsi="Times New Roman" w:cs="Times New Roman"/>
          <w:noProof/>
          <w:color w:val="0000FF"/>
          <w:u w:val="single" w:color="0000FF"/>
        </w:rPr>
        <w:t>http://ec.europa.eu/eurostat/web/government-finance-statistics/methodology/decisions-for-gfs</w:t>
      </w:r>
      <w:r w:rsidRPr="0006739A">
        <w:rPr>
          <w:rFonts w:ascii="Times New Roman" w:hAnsi="Times New Roman" w:cs="Times New Roman"/>
        </w:rPr>
        <w:t>.</w:t>
      </w:r>
    </w:p>
  </w:footnote>
  <w:footnote w:id="106">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Ar terminu “Eurogrupa” apzīmē eirozonas finanšu ministru neformālās sanāksmes.</w:t>
      </w:r>
    </w:p>
  </w:footnote>
  <w:footnote w:id="10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Saistībā ar vērtējumu katras ES dalībvalsts garantija sākotnēji tika palielināta līdz 120 % un skala koriģēta, lai ņemtu vērā to valstu daļu, kuras nespēj sniegt garantijas (jo īpaši, ja tās saņem divpusējus aizdevumus vai EFSI atbalstu).</w:t>
      </w:r>
    </w:p>
  </w:footnote>
  <w:footnote w:id="10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“Skaidras naudas rezerve”, kura atbilst avansa maksājumam par pakalpojumu un drošības rezerves kapitalizācijai, kas pievienota EFSI aizņemšanās izmaksām.</w:t>
      </w:r>
    </w:p>
  </w:footnote>
  <w:footnote w:id="10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Iespējamais obligāciju pirkums, ko veic EFSI, arī tiek pārvirzīts atbilstīgi tirgos samaksātajai summai.</w:t>
      </w:r>
    </w:p>
  </w:footnote>
  <w:footnote w:id="110">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Papildus obligāciju pirkšanai primārajos un sekundārajos tirgos, piesardzības līnijām un banku rekapitalizācijai EFSI, izmantojot mehānismu, spēja nodrošināt kredītkvalitātes uzlabojumu eirozonas valdību izsniegtajām obligācijām (sertifikāti, kas sedz pirmos zaudējumus) un palielināt to finansēšanas līdzekļus, atverot ieguldītājiem kolektīvo ieguldījumu fondu.</w:t>
      </w:r>
    </w:p>
  </w:footnote>
  <w:footnote w:id="11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Ciktāl runa ir par ietekmi uz dalībvalstu garantētāju neto aizdevumu/aizņēmumu, tā galvenokārt saistīta ar procentu starpības pastāvēšanu. Ja tomēr garantētāji vienojas par parāda norakstīšanu aizdevuma ņēmējai valstij, kapitāla pārve</w:t>
      </w:r>
      <w:r>
        <w:rPr>
          <w:rFonts w:ascii="Times New Roman" w:hAnsi="Times New Roman" w:cs="Times New Roman"/>
        </w:rPr>
        <w:t>dums būtu jāieraksta</w:t>
      </w:r>
      <w:r w:rsidRPr="0006739A">
        <w:rPr>
          <w:rFonts w:ascii="Times New Roman" w:hAnsi="Times New Roman" w:cs="Times New Roman"/>
        </w:rPr>
        <w:t xml:space="preserve"> kā šo ES dalībvalstu izdevumi.</w:t>
      </w:r>
    </w:p>
  </w:footnote>
  <w:footnote w:id="11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Salīdzinājumam ESM ir parakstītais kapitāls 700 miljardu apmērā (no kura 80 tiek maksāti piecos maksājumos laika posmā no 2012. gada līdz 2014. gadam) un 500 miljardus liela aizdošanas spēja, savukārt EFSF kapitāls ir vien 30 miljoni, bet aizdošanas spēja ir 440 miljardi.</w:t>
      </w:r>
    </w:p>
  </w:footnote>
  <w:footnote w:id="113">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Sk. VIII daļu “Vispārējās valdības parāda apmēra noteikšana”.</w:t>
      </w:r>
    </w:p>
  </w:footnote>
  <w:footnote w:id="11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atsauc</w:t>
      </w:r>
      <w:r>
        <w:rPr>
          <w:rFonts w:ascii="Times New Roman" w:hAnsi="Times New Roman" w:cs="Times New Roman"/>
        </w:rPr>
        <w:t>es par šo ieņēmumu ierakstīšanas</w:t>
      </w:r>
      <w:r w:rsidRPr="0006739A">
        <w:rPr>
          <w:rFonts w:ascii="Times New Roman" w:hAnsi="Times New Roman" w:cs="Times New Roman"/>
        </w:rPr>
        <w:t xml:space="preserve"> laiku ir 4.26.–4.27., 4.82., 4.94.–4.95., 4.98., 4.100.–4.101., 4.150., 20.171.–20.175. Pēc analoģijas EKS 2010 4.95. punkts attiecas arī uz D.613 gadījumu.</w:t>
      </w:r>
    </w:p>
  </w:footnote>
  <w:footnote w:id="115">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Jo īpaši svarīgi, lai koeficienti (vai kapitāla pārveduma summa) nekavējoties atspoguļotu uzņēmējdarbības aktivitātes ciklus vai noteiktus ārkārtas notikumus, kas var būtiski labvēlīgi vai nelabvēlīgi ietekmēt faktisko nodokļu un sociālo iemaksu iekasēšanu, jo īpaši gadījumā, ja tiek izmantoti samērā sarežģīti modeļi.</w:t>
      </w:r>
    </w:p>
  </w:footnote>
  <w:footnote w:id="11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Attiecībā uz darba devēju faktiskajām sociālajām iemaksām (kuras maksā mājsaimniecību vārdā saskaņā ar EKS 2010 1.74. punktu), metodoloģiski pamatotāk ir izmantot D.995, jo tādējādi novērš S.11, S.12 un S14 savstarpējās neatbilstības. Tomēr arī ticamu datu avotu pieejamība būs izšķirošs praktisks apsv</w:t>
      </w:r>
      <w:r>
        <w:rPr>
          <w:rFonts w:ascii="Times New Roman" w:hAnsi="Times New Roman" w:cs="Times New Roman"/>
        </w:rPr>
        <w:t>ērums. Tāpēc D.611 ierakstīšanai</w:t>
      </w:r>
      <w:r w:rsidRPr="0006739A">
        <w:rPr>
          <w:rFonts w:ascii="Times New Roman" w:hAnsi="Times New Roman" w:cs="Times New Roman"/>
        </w:rPr>
        <w:t xml:space="preserve"> joprojām varētu būt piemērota laikā precizētās naudas pieeja.</w:t>
      </w:r>
    </w:p>
  </w:footnote>
  <w:footnote w:id="11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Galvenokārt tas attiecas uz ienākuma nodokļiem. Bet var būt arī citi nodokļu atmaksas veidi. Piemēram, par precēm/pakalpojumiem pienākas maksāt PVN, taču sabiedrības to var atprasīt caur PVN atmaksu. Arī šajā gadījumā summas aprēķina ar nodokļu deklarācijas starpniecību.</w:t>
      </w:r>
    </w:p>
  </w:footnote>
  <w:footnote w:id="11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 kā kopumā nodokļu amnestijai varētu būt kādas savdabīgas pazīmes, to traktējumu vajadzētu sīkāk apspriest ar </w:t>
      </w:r>
      <w:r w:rsidRPr="0006739A">
        <w:rPr>
          <w:rFonts w:ascii="Times New Roman" w:hAnsi="Times New Roman" w:cs="Times New Roman"/>
          <w:i/>
        </w:rPr>
        <w:t>Eurostat</w:t>
      </w:r>
      <w:r w:rsidRPr="0006739A">
        <w:rPr>
          <w:rFonts w:ascii="Times New Roman" w:hAnsi="Times New Roman" w:cs="Times New Roman"/>
        </w:rPr>
        <w:t xml:space="preserve"> katrā atsevišķā gadījumā.</w:t>
      </w:r>
    </w:p>
  </w:footnote>
  <w:footnote w:id="119">
    <w:p w:rsidR="001B0687" w:rsidRPr="0006739A" w:rsidRDefault="001B0687" w:rsidP="0006739A">
      <w:pPr>
        <w:jc w:val="both"/>
        <w:rPr>
          <w:rFonts w:ascii="Times New Roman" w:hAnsi="Times New Roman" w:cs="Times New Roman"/>
          <w:noProof/>
          <w:sz w:val="24"/>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Šis uzskaitījums nav pilnīgs. Dažos gadījumos var būt noderīgas citas izdevumu kategorijas.</w:t>
      </w:r>
    </w:p>
  </w:footnote>
  <w:footnote w:id="12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Akciju iegādes iespē</w:t>
      </w:r>
      <w:r>
        <w:rPr>
          <w:rFonts w:ascii="Times New Roman" w:hAnsi="Times New Roman" w:cs="Times New Roman"/>
        </w:rPr>
        <w:t>ju līgumus parasti var ierakstīt</w:t>
      </w:r>
      <w:r w:rsidRPr="0006739A">
        <w:rPr>
          <w:rFonts w:ascii="Times New Roman" w:hAnsi="Times New Roman" w:cs="Times New Roman"/>
        </w:rPr>
        <w:t xml:space="preserve"> visā laika posmā no piešķiršanas datuma līdz izmantošanas datumam (no kura šādu līgumu var piemērot).</w:t>
      </w:r>
    </w:p>
  </w:footnote>
  <w:footnote w:id="12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Šo principu nepiemēro attiecībā uz valdības (</w:t>
      </w:r>
      <w:r w:rsidRPr="0006739A">
        <w:rPr>
          <w:rFonts w:ascii="Times New Roman" w:hAnsi="Times New Roman" w:cs="Times New Roman"/>
          <w:i/>
        </w:rPr>
        <w:t>EDP</w:t>
      </w:r>
      <w:r w:rsidRPr="0006739A">
        <w:rPr>
          <w:rFonts w:ascii="Times New Roman" w:hAnsi="Times New Roman" w:cs="Times New Roman"/>
        </w:rPr>
        <w:t>) parāda novērtēšanu pēc nominālvērtības.</w:t>
      </w:r>
    </w:p>
  </w:footnote>
  <w:footnote w:id="12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Jāņem vērā, ka instrumentiem ar regulāriem (katru gadu vai pusgadu) kupona maksājumiem atšķirība starp abiem paņēmieniem ir salīdzinoši neliela, tāpēc praksē var izmantot vienkāršo procentu metodi. Tas neattiecas uz augsta diskonta (tostarp bezkupona obligāciju) instrumentiem, kas izdoti ar ilgu atmaksāšanas termiņu.</w:t>
      </w:r>
    </w:p>
  </w:footnote>
  <w:footnote w:id="12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5.243. punktā norādīts, ka konsekvences nolūkā ar vērtspapīru aizdevumu un zelta aizdevu</w:t>
      </w:r>
      <w:r w:rsidR="00E65317">
        <w:rPr>
          <w:rFonts w:ascii="Times New Roman" w:hAnsi="Times New Roman" w:cs="Times New Roman"/>
        </w:rPr>
        <w:t>mu saistītie procenti ir jāieraksta</w:t>
      </w:r>
      <w:r w:rsidRPr="0006739A">
        <w:rPr>
          <w:rFonts w:ascii="Times New Roman" w:hAnsi="Times New Roman" w:cs="Times New Roman"/>
        </w:rPr>
        <w:t xml:space="preserve"> citās debitoru/kreditoru saistībās.</w:t>
      </w:r>
    </w:p>
  </w:footnote>
  <w:footnote w:id="12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Šīs obligācijas (dēvētas arī par “savstarpēji aizvietojamām” jeb “lineārām” obligācijām) ir plaši izplatīta prakse centrālās valdības obligāciju gadījumā. Visiem laidieniem ir viena un tā pati nominālā procentu likme, kupona maksājuma datums un galīgais atmaksāšanas termiņš. Katru laidienu emitē par īpašu cenu atbilstoši noteicošajiem tirgus apstākļiem. Ciktāl tas skar uzkrātos procentus (izdevumus), katrs laidiens ir jāidentificē atsevišķi.</w:t>
      </w:r>
    </w:p>
  </w:footnote>
  <w:footnote w:id="12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Praksē uzkrāto kuponu nav iespējams sadalīt pa visu instrumen</w:t>
      </w:r>
      <w:r w:rsidR="00E65317">
        <w:rPr>
          <w:rFonts w:ascii="Times New Roman" w:hAnsi="Times New Roman" w:cs="Times New Roman"/>
        </w:rPr>
        <w:t>ta darbības laiku, bet ierakstīt</w:t>
      </w:r>
      <w:r w:rsidRPr="0006739A">
        <w:rPr>
          <w:rFonts w:ascii="Times New Roman" w:hAnsi="Times New Roman" w:cs="Times New Roman"/>
        </w:rPr>
        <w:t xml:space="preserve"> emisijas gadā, ja diskonts ir ļoti mazs (mazāks par 0,5 %) un atlikušais atmaksāšanas termiņš ir samērā īss (ne ilgāks par vienu gadu).</w:t>
      </w:r>
    </w:p>
  </w:footnote>
  <w:footnote w:id="12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Principā uzkrātie procenti nekad netiek pārskatīti ar atpakaļejošu datumu, izņemot gadījumus, kad pieļautas kļūdas likmē, kuru izmanto instrumenta summas aprēķināšanai.</w:t>
      </w:r>
    </w:p>
  </w:footnote>
  <w:footnote w:id="12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pastāvēt arī “jauktas procentu likmes” parāda vērtspapīri (sk. EKS 2010 5.102. punktu), ja procenti tiek pastāvīgi vai secīgi veidoti no diviem nemainīgas/mainīgas likmes komponentiem. Līdz ar to attiecībā uz katru komponentu piemēro atšķirīgus uzkrāto procentu noteikumus.</w:t>
      </w:r>
    </w:p>
  </w:footnote>
  <w:footnote w:id="12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Praksē ES dalībvalstis pašlaik izmanto vienīgi tos instrumentus, kas indeksēti eirozonā, vai vietējos patēriņa cenu indeksus, bet iepriekš emisijas ir veiktas, arī pamatojoties uz citiem standartiem, piemēram, uz zeltu.</w:t>
      </w:r>
    </w:p>
  </w:footnote>
  <w:footnote w:id="12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Dažos gadījumos valdība var izvēlēties tādas alternatīvas kā pamatošanās uz tirgu un aizdevuma līguma slēgšana ar banku vai sindikātu par ļoti līdzīgām kopējām aizdevuma izmaksām.</w:t>
      </w:r>
    </w:p>
  </w:footnote>
  <w:footnote w:id="13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Pat tad, ja finanšu līdzekļi tiek ieguldīti akcijās (izņemot tos citus finanšu līdzekļus, kas tiek ieguldīti saskaņā ar noteikumiem), ar akciju vērtību netiešās paredzamās dividendes tiek iekļautas portfeļa vērtībā.</w:t>
      </w:r>
    </w:p>
  </w:footnote>
  <w:footnote w:id="13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diskonts parasti tiek noteikts emitenta un kreditoru pārstāvju pārrunās, jo īpaši gadījumos, kad vērtspapīri tiek emitēti ar kopējās rīcības klauzulām.</w:t>
      </w:r>
    </w:p>
  </w:footnote>
  <w:footnote w:id="13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Šeit neiekļauj dažu veidu raķetes, kurām piemīt augsta iznīcināšanas spēja (sk. AN.114).</w:t>
      </w:r>
    </w:p>
  </w:footnote>
  <w:footnote w:id="13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Pat ja iekārta vēl nav pilnībā ekspluatējama militārajās misijās, tas nozīmē, ka bojājuma gadījumā tā novēršana ir uz militāro spēku rēķina.</w:t>
      </w:r>
    </w:p>
  </w:footnote>
  <w:footnote w:id="13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Citiem vārdiem sakot, militārā aprīkojuma īpašais specifiskums nav pietiekams pamats nepabeigto produktu īpašam traktējumam. Patiesi, daudzos gadījumos pastāv ļoti zema varbūtība, ka valdība varētu atteikties no aprīkojuma, un to apstiprina piemēri, kad neatkarīgi no būtiskas aizkavēšanās un lielām papildu izmaksām valdības joprojām apliecina savu vēlmi iegādāties aprīkojumu. Turklāt ļoti bieži iekārtas būvniecība/ražošana notiek ļoti stingrā un nepārtrauktā militāro iestāžu uzraudzībā, līdz ar to valdība ir iesaistīta visā ražošanas procesā ievērojami vairāk, nekā to iespējams novērot citu pamatlīdzekļu gadījumā, lai gan pats par sevi tas nevarētu būt nacionālo kontu kritērijs.</w:t>
      </w:r>
    </w:p>
  </w:footnote>
  <w:footnote w:id="13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Vai ir pieejama informācija, kad valdība veic naudas pārvedumu, lai to finansētu.</w:t>
      </w:r>
    </w:p>
  </w:footnote>
  <w:footnote w:id="13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 var būt arī tādu prototipu ražošana, ko valdība izmantos, lai pieņemtu lēmumu par jauna līguma slēgšanu par tāda aprīkojuma piegādi, kurš izstrādāts, pamatojoties uz konkrētās pētniecības rezultātiem.</w:t>
      </w:r>
    </w:p>
  </w:footnote>
  <w:footnote w:id="13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Gadījumā, ja maksājum</w:t>
      </w:r>
      <w:r>
        <w:rPr>
          <w:rFonts w:ascii="Times New Roman" w:hAnsi="Times New Roman" w:cs="Times New Roman"/>
        </w:rPr>
        <w:t>s tiek izmantots saistībā ar P&amp;I</w:t>
      </w:r>
      <w:r w:rsidRPr="0006739A">
        <w:rPr>
          <w:rFonts w:ascii="Times New Roman" w:hAnsi="Times New Roman" w:cs="Times New Roman"/>
        </w:rPr>
        <w:t>, taču nerada līgumisku pienākumu iegādāties militārās preces, bet tā vietā piešķir tiesības iegādāties tās nākotnē par samazinātu cenu, kas izdevumu rašanās laikā nav zi</w:t>
      </w:r>
      <w:r w:rsidR="003E4CAF">
        <w:rPr>
          <w:rFonts w:ascii="Times New Roman" w:hAnsi="Times New Roman" w:cs="Times New Roman"/>
        </w:rPr>
        <w:t>nāma, tad pārskaitījumu ieraksta</w:t>
      </w:r>
      <w:r w:rsidRPr="0006739A">
        <w:rPr>
          <w:rFonts w:ascii="Times New Roman" w:hAnsi="Times New Roman" w:cs="Times New Roman"/>
        </w:rPr>
        <w:t xml:space="preserve"> maksājuma veikšanas brīdī. Ja beigās militārās pre</w:t>
      </w:r>
      <w:r w:rsidR="003E4CAF">
        <w:rPr>
          <w:rFonts w:ascii="Times New Roman" w:hAnsi="Times New Roman" w:cs="Times New Roman"/>
        </w:rPr>
        <w:t>ces tiek iepirktas, tās ieraksta</w:t>
      </w:r>
      <w:r w:rsidRPr="0006739A">
        <w:rPr>
          <w:rFonts w:ascii="Times New Roman" w:hAnsi="Times New Roman" w:cs="Times New Roman"/>
        </w:rPr>
        <w:t xml:space="preserve"> par pilnu tirgus cenu kā gadījumā, ja tās būtu iegādājusies trešā puse, kurai nav piešķirta atlaide, un starpību attiecina uz kapitāla pārveduma ieņēmumiem.</w:t>
      </w:r>
    </w:p>
  </w:footnote>
  <w:footnote w:id="13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Jāņem vērā arī ļoti specifisks gadījums, kad valdība nolemj atcelt militārā aprīkojuma programmu, k</w:t>
      </w:r>
      <w:r>
        <w:rPr>
          <w:rFonts w:ascii="Times New Roman" w:hAnsi="Times New Roman" w:cs="Times New Roman"/>
        </w:rPr>
        <w:t>urā jau ir radušās noteiktas P&amp;I</w:t>
      </w:r>
      <w:r w:rsidRPr="0006739A">
        <w:rPr>
          <w:rFonts w:ascii="Times New Roman" w:hAnsi="Times New Roman" w:cs="Times New Roman"/>
        </w:rPr>
        <w:t xml:space="preserve"> </w:t>
      </w:r>
      <w:r w:rsidR="003E4CAF">
        <w:rPr>
          <w:rFonts w:ascii="Times New Roman" w:hAnsi="Times New Roman" w:cs="Times New Roman"/>
        </w:rPr>
        <w:t>izmaksas. Šos izdevumus ieraksta</w:t>
      </w:r>
      <w:r w:rsidRPr="0006739A">
        <w:rPr>
          <w:rFonts w:ascii="Times New Roman" w:hAnsi="Times New Roman" w:cs="Times New Roman"/>
        </w:rPr>
        <w:t xml:space="preserve"> kā finanšu avansu, kas “amortizēts” ar faktiskajām piegādēm. Tā kā šādas piegādes nenotiks (vai notiks tikai daļēji), jāpārbauda, vai sabiedrībai šis avanss ir jāatmaksā atpakaļ valdībai. Ja šāda atmaksāšana ir jāveic, rodas jauns finanšu darījums. Pretējā gadījumā </w:t>
      </w:r>
      <w:r w:rsidR="003E4CAF">
        <w:rPr>
          <w:rFonts w:ascii="Times New Roman" w:hAnsi="Times New Roman" w:cs="Times New Roman"/>
        </w:rPr>
        <w:t>avanss jāieraksta</w:t>
      </w:r>
      <w:r w:rsidRPr="0006739A">
        <w:rPr>
          <w:rFonts w:ascii="Times New Roman" w:hAnsi="Times New Roman" w:cs="Times New Roman"/>
        </w:rPr>
        <w:t xml:space="preserve"> kā kapitāla pārvedums vai ieguldījuma dotācija, ja sabiedrība spēj gūt sev </w:t>
      </w:r>
      <w:r>
        <w:rPr>
          <w:rFonts w:ascii="Times New Roman" w:hAnsi="Times New Roman" w:cs="Times New Roman"/>
        </w:rPr>
        <w:t>kādu labumu no iepriekšējiem P&amp;I</w:t>
      </w:r>
      <w:r w:rsidR="003E4CAF">
        <w:rPr>
          <w:rFonts w:ascii="Times New Roman" w:hAnsi="Times New Roman" w:cs="Times New Roman"/>
        </w:rPr>
        <w:t xml:space="preserve"> izdevumiem. Tas jāieraksta</w:t>
      </w:r>
      <w:r w:rsidRPr="0006739A">
        <w:rPr>
          <w:rFonts w:ascii="Times New Roman" w:hAnsi="Times New Roman" w:cs="Times New Roman"/>
        </w:rPr>
        <w:t xml:space="preserve"> laikā, kad tiek pieņemts galīgais lēmums par programmas atcelšanu.</w:t>
      </w:r>
    </w:p>
  </w:footnote>
  <w:footnote w:id="13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Saskaņā ar Padomes 2014. gada 26. maija Lēmumu (2014/335/ES) par Eiropas Savienības pašu resursu sistēmu iekasēšanas izmaksas ir noteiktas 20 % apmērā (iepriekš bija 25 %).</w:t>
      </w:r>
    </w:p>
  </w:footnote>
  <w:footnote w:id="14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tiek kavēti ikmēneša maksājumi, par kavēto maksājumu attiecīgajai ES dalībvalstij piemēro nokavējumu procentus.</w:t>
      </w:r>
    </w:p>
  </w:footnote>
  <w:footnote w:id="14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Kopējā bilance, kas jānokārto, pārsniedz pusi no apkopotajiem mēneša PVN un NKI maksājumiem, un bilance dalībvalstīm pārsniedz divus mēneša PVN un NKI maksājumus šīm dalībvalstīm (</w:t>
      </w:r>
      <w:r w:rsidRPr="0006739A">
        <w:rPr>
          <w:rFonts w:ascii="Times New Roman" w:hAnsi="Times New Roman" w:cs="Times New Roman"/>
          <w:noProof/>
          <w:color w:val="0000FF"/>
          <w:u w:val="single" w:color="0000FF"/>
        </w:rPr>
        <w:t>Padomes 2014. gada 18. decembra Regula (ES,</w:t>
      </w:r>
      <w:r w:rsidRPr="0006739A">
        <w:rPr>
          <w:rFonts w:ascii="Times New Roman" w:hAnsi="Times New Roman" w:cs="Times New Roman"/>
          <w:noProof/>
          <w:color w:val="0000FF"/>
        </w:rPr>
        <w:t xml:space="preserve"> </w:t>
      </w:r>
      <w:r w:rsidRPr="0006739A">
        <w:rPr>
          <w:rFonts w:ascii="Times New Roman" w:hAnsi="Times New Roman" w:cs="Times New Roman"/>
          <w:i/>
          <w:noProof/>
          <w:color w:val="0000FF"/>
          <w:u w:val="single" w:color="0000FF"/>
        </w:rPr>
        <w:t>Euratom</w:t>
      </w:r>
      <w:r w:rsidRPr="0006739A">
        <w:rPr>
          <w:rFonts w:ascii="Times New Roman" w:hAnsi="Times New Roman" w:cs="Times New Roman"/>
          <w:noProof/>
          <w:color w:val="0000FF"/>
          <w:u w:val="single" w:color="0000FF"/>
        </w:rPr>
        <w:t>) Nr. 1377/2014)</w:t>
      </w:r>
      <w:r w:rsidRPr="0006739A">
        <w:rPr>
          <w:rFonts w:ascii="Times New Roman" w:hAnsi="Times New Roman" w:cs="Times New Roman"/>
        </w:rPr>
        <w:t>.</w:t>
      </w:r>
    </w:p>
  </w:footnote>
  <w:footnote w:id="14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Tiesa var būt noteikusi summu, kas tehnisku iemeslu dēļ gandrīz atbilst galīgajai summai, taču nav pilnīgi identiska ar to (izņemot gadījumus, kas minēti 5. rindkopā). Jāveic iespējamās atšķirības analīze, un, ja tā ir ļo</w:t>
      </w:r>
      <w:r w:rsidR="000220CE">
        <w:rPr>
          <w:rFonts w:ascii="Times New Roman" w:hAnsi="Times New Roman" w:cs="Times New Roman"/>
        </w:rPr>
        <w:t>ti maza, nekavējoties jāieraksta</w:t>
      </w:r>
      <w:r w:rsidRPr="0006739A">
        <w:rPr>
          <w:rFonts w:ascii="Times New Roman" w:hAnsi="Times New Roman" w:cs="Times New Roman"/>
        </w:rPr>
        <w:t xml:space="preserve"> pilna summa, turpmāk veicot nelielas korekcijas.</w:t>
      </w:r>
    </w:p>
  </w:footnote>
  <w:footnote w:id="14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Sīkākai informācijai skatīt: </w:t>
      </w:r>
      <w:r w:rsidRPr="0006739A">
        <w:rPr>
          <w:rFonts w:ascii="Times New Roman" w:hAnsi="Times New Roman" w:cs="Times New Roman"/>
          <w:i/>
        </w:rPr>
        <w:t>Eurostat</w:t>
      </w:r>
      <w:r w:rsidRPr="0006739A">
        <w:rPr>
          <w:rFonts w:ascii="Times New Roman" w:hAnsi="Times New Roman" w:cs="Times New Roman"/>
        </w:rPr>
        <w:t xml:space="preserve"> lēmumus no 2009. līdz 2013. gadam par </w:t>
      </w:r>
      <w:r w:rsidRPr="0006739A">
        <w:rPr>
          <w:rFonts w:ascii="Times New Roman" w:hAnsi="Times New Roman" w:cs="Times New Roman"/>
          <w:i/>
        </w:rPr>
        <w:t>Eurostat</w:t>
      </w:r>
      <w:r w:rsidRPr="0006739A">
        <w:rPr>
          <w:rFonts w:ascii="Times New Roman" w:hAnsi="Times New Roman" w:cs="Times New Roman"/>
        </w:rPr>
        <w:t xml:space="preserve"> </w:t>
      </w:r>
      <w:r w:rsidRPr="0006739A">
        <w:rPr>
          <w:rFonts w:ascii="Times New Roman" w:hAnsi="Times New Roman" w:cs="Times New Roman"/>
          <w:i/>
        </w:rPr>
        <w:t>EDP</w:t>
      </w:r>
      <w:r w:rsidRPr="0006739A">
        <w:rPr>
          <w:rFonts w:ascii="Times New Roman" w:hAnsi="Times New Roman" w:cs="Times New Roman"/>
        </w:rPr>
        <w:t xml:space="preserve">/VFS tēmai veltītajā tīmekļa vietnē: </w:t>
      </w:r>
      <w:r w:rsidRPr="0006739A">
        <w:rPr>
          <w:rFonts w:ascii="Times New Roman" w:hAnsi="Times New Roman" w:cs="Times New Roman"/>
          <w:noProof/>
          <w:color w:val="0000FF"/>
          <w:u w:val="single" w:color="0000FF"/>
        </w:rPr>
        <w:t>http://epp.eurostat.ec.europa.eu/portal/page/portal/government_finance_statistics/methodology/decisions_for_GFS</w:t>
      </w:r>
      <w:r w:rsidRPr="0006739A">
        <w:rPr>
          <w:rFonts w:ascii="Times New Roman" w:hAnsi="Times New Roman" w:cs="Times New Roman"/>
        </w:rPr>
        <w:t>.</w:t>
      </w:r>
    </w:p>
  </w:footnote>
  <w:footnote w:id="14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Lielākajā daļā dalībvalstu vidējais ilgtermiņa aizdevuma atmaksāšanas termiņš ir aptuveni 10 gadi.</w:t>
      </w:r>
    </w:p>
  </w:footnote>
  <w:footnote w:id="14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 var noteikt kā vairākus mēnešus ilgā laika posma vidējo likmi, ja pastāv augsta mainība tirgū un/vai ārkārtas pārtraukumi.</w:t>
      </w:r>
    </w:p>
  </w:footnote>
  <w:footnote w:id="146">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Jebkurā gadījumā peļņas norma ir jāaprēķina pēc attiecīgo no valdības saņemto pārveduma maksājumu atskaitīšanas no sabiedrības ieņēmumiem (sk. 2. ierāmējumu III.2.3. iedaļā).</w:t>
      </w:r>
    </w:p>
  </w:footnote>
  <w:footnote w:id="14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tomēr privāti ieguldītāji veic iepludināšanu pašu kapitālā, stingri ievērojot tos pašus nosacījumus, kurus ievēro valdība, var pieņemt, ka ieguldījumu atdeves tests ir bijis sekmīgs (sk. turpmāk 22. punktu).</w:t>
      </w:r>
    </w:p>
  </w:footnote>
  <w:footnote w:id="14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Ārkārtas zaudējumi ir</w:t>
      </w:r>
      <w:r>
        <w:rPr>
          <w:rFonts w:ascii="Times New Roman" w:hAnsi="Times New Roman" w:cs="Times New Roman"/>
        </w:rPr>
        <w:t xml:space="preserve"> lieli zaudējumi, kas ierakstīti</w:t>
      </w:r>
      <w:r w:rsidRPr="0006739A">
        <w:rPr>
          <w:rFonts w:ascii="Times New Roman" w:hAnsi="Times New Roman" w:cs="Times New Roman"/>
        </w:rPr>
        <w:t xml:space="preserve"> vienīgi sabiedrības uzņēmējdarbības grāmatvedībā vienā pārskata periodā un kas parasti rodas kādā ārkārtas notikumā, kurš neietilpst sabiedrības “atbildībā”, t. i., notiek neatkarīgi no sabiedrības uzņēmējdarbības modeļa un/vai tās iepriekšējās ieguldījumu politikas. Šie ārkārtas notikumi skar daudzas sabiedrības neatkarīgi no to finanšu un ekonomiskā stāvokļa un parasti notiek vienlaikus vairākās dalībvalstīs (plašāka ietekme).</w:t>
      </w:r>
    </w:p>
  </w:footnote>
  <w:footnote w:id="14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Citiem vārdiem sakot, valdība nedrīkst iegādāties akcijas par cenu, kas pārsniedz to tirgus cenu (iespējams, aprēķinātu kā vidējo cenu laika posmā, kas nepārsniedz 3 mēnešus). Attiecībā uz nekotētajām akcijām kā atsauces vērtība jāizmanto to patiesā vērtība, kas aprēķināta, izmantojot parastās uzņēmējdarbības novērtēšanas metodes.</w:t>
      </w:r>
    </w:p>
  </w:footnote>
  <w:footnote w:id="15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Gadījumos (it īpaši saistībā ar valdības atbalstu bankām), kad pašu kapitāla atpakaļpārdevums ir paredzēts dažu gadu laikā, var izmantot valdības obligāciju 4–6 salīdzinājuma rādītāju.</w:t>
      </w:r>
    </w:p>
  </w:footnote>
  <w:footnote w:id="15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komercbanku gadījumā </w:t>
      </w:r>
      <w:r w:rsidRPr="0006739A">
        <w:rPr>
          <w:rFonts w:ascii="Times New Roman" w:hAnsi="Times New Roman" w:cs="Times New Roman"/>
          <w:i/>
        </w:rPr>
        <w:t>RoE</w:t>
      </w:r>
      <w:r w:rsidRPr="0006739A">
        <w:rPr>
          <w:rFonts w:ascii="Times New Roman" w:hAnsi="Times New Roman" w:cs="Times New Roman"/>
        </w:rPr>
        <w:t xml:space="preserve"> ir jābūt vismaz 10 %. Rūpniecības nozarē tam jābūt zemākam.</w:t>
      </w:r>
    </w:p>
  </w:footnote>
  <w:footnote w:id="15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ka galvenokārt no pārdošanas ieņēmumiem, tostarp produktu subsīdijām (izņemot subsīdijas, kas noteiktas EKS 2010 4.35. punkta c) apakšpunktā), citām subsīdijām un ienākumiem no īpašuma.</w:t>
      </w:r>
    </w:p>
  </w:footnote>
  <w:footnote w:id="15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jo īpaši attiecas uz dažām “priekšrocību akcijām”, konvertējamām obligācijām (tostarp iespējamajām konvertējamajām obligācijām, ko parasti dēvē par “</w:t>
      </w:r>
      <w:r w:rsidRPr="0006739A">
        <w:rPr>
          <w:rFonts w:ascii="Times New Roman" w:hAnsi="Times New Roman" w:cs="Times New Roman"/>
          <w:i/>
        </w:rPr>
        <w:t>Cocos</w:t>
      </w:r>
      <w:r w:rsidRPr="0006739A">
        <w:rPr>
          <w:rFonts w:ascii="Times New Roman" w:hAnsi="Times New Roman" w:cs="Times New Roman"/>
        </w:rPr>
        <w:t>”), subordinētajiem aizdevumiem vai obligācijām. Jebkurā gadījumā parāda instrumentu nacionālajos kontos atzīst kā parāda instrumentu (klasificētu AF.3 vai AF.4 pozīcijā) tikai tad, ja tas sniedz turētājam beznosacījumu atlīdzinājumu, t. i., neatkarīgi no jebkādas sadalāmās peļņas (ko trakt</w:t>
      </w:r>
      <w:r>
        <w:rPr>
          <w:rFonts w:ascii="Times New Roman" w:hAnsi="Times New Roman" w:cs="Times New Roman"/>
        </w:rPr>
        <w:t>ē kā procentus, kas ierakstāmi</w:t>
      </w:r>
      <w:r w:rsidRPr="0006739A">
        <w:rPr>
          <w:rFonts w:ascii="Times New Roman" w:hAnsi="Times New Roman" w:cs="Times New Roman"/>
        </w:rPr>
        <w:t xml:space="preserve">, pamatojoties uz uzkrāšanas principu). Citā gadījumā uzskata, ka tas ir pašu kapitāla instruments, attiecībā uz kuru piemēro šīs nodaļas noteikumus. Attiecībā uz ieņēmumu uzkrāšanu var būt piemērojami īpaši noteikumi, kas paredz, piemēram, nesamaksāto procentu </w:t>
      </w:r>
      <w:r>
        <w:rPr>
          <w:rFonts w:ascii="Times New Roman" w:hAnsi="Times New Roman" w:cs="Times New Roman"/>
        </w:rPr>
        <w:t>pārnešanu. Instrumentu var ierakstīt</w:t>
      </w:r>
      <w:r w:rsidRPr="0006739A">
        <w:rPr>
          <w:rFonts w:ascii="Times New Roman" w:hAnsi="Times New Roman" w:cs="Times New Roman"/>
        </w:rPr>
        <w:t xml:space="preserve"> kā parādu tikai tad, ja šāda pārnešana nepārsniedz tai sekojošo darbību. Jebkurš ilgāks periods vai pat pilnīga nenoteiktība ir pietiekams pamats tam, lai instrumentu traktētu kā pašu kapitālu.</w:t>
      </w:r>
    </w:p>
  </w:footnote>
  <w:footnote w:id="15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Nav nozīmes, vai sabiedrība ir zaudējumus nesoša, vai ren</w:t>
      </w:r>
      <w:r>
        <w:rPr>
          <w:rFonts w:ascii="Times New Roman" w:hAnsi="Times New Roman" w:cs="Times New Roman"/>
        </w:rPr>
        <w:t>tabla, lai ierakstītu</w:t>
      </w:r>
      <w:r w:rsidRPr="0006739A">
        <w:rPr>
          <w:rFonts w:ascii="Times New Roman" w:hAnsi="Times New Roman" w:cs="Times New Roman"/>
        </w:rPr>
        <w:t xml:space="preserve"> kapitāla iepludināšanu kā ieguldījumu dotāciju (D.92).</w:t>
      </w:r>
    </w:p>
  </w:footnote>
  <w:footnote w:id="15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dividenžu jēdziens ir plašāks par uzņēmējdarbības grāmatvedības uzskaitē izmantoto šauro dividenžu jēdzienu (sk. EKS 2010 4.54. punktu).</w:t>
      </w:r>
    </w:p>
  </w:footnote>
  <w:footnote w:id="15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Jāņem vērā, ka dažos gadījumos valdībai šāda kontrole var būt pat tad, ja tai nepieder lielākā daļa akciju (tiesības balsot ar vairākām balsīm, īpašas vienošanās). Šajā saistībā īpaša nozīme ir tam, vai valdībai ir dominējošā ietekme pār citiem ieguldītājiem ar ienākumiem saistītajos lēmumos. Atsevišķos gadījumos valdībai nav parasto akciju vienībā, tomēr tai ir lēmumu pieņemšanas tiesības attiecībā uz lielāko dividenžu daļu.</w:t>
      </w:r>
    </w:p>
  </w:footnote>
  <w:footnote w:id="15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20.206. punktā noteikts, ka, “ja nav uzņēmējdarbības ienākuma mēra, var izmantot pamatdarbības peļņu no uzņēmējdarbības grāmatvedības”. Parasti abas šīs vērtības ir ļoti tuvas.</w:t>
      </w:r>
    </w:p>
  </w:footnote>
  <w:footnote w:id="15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Ienākumu pārskati var ievērojami atšķirties, kad tie tiek sagatavoti atbilstoši valstī vai sabiedrībā pieņemtajai praksei. Visos gadījumos tajos jābūt norādītam pašreizējās (“nepabeigtās” saskaņā ar </w:t>
      </w:r>
      <w:r w:rsidRPr="0006739A">
        <w:rPr>
          <w:rFonts w:ascii="Times New Roman" w:hAnsi="Times New Roman" w:cs="Times New Roman"/>
          <w:i/>
        </w:rPr>
        <w:t>IFRS</w:t>
      </w:r>
      <w:r w:rsidRPr="0006739A">
        <w:rPr>
          <w:rFonts w:ascii="Times New Roman" w:hAnsi="Times New Roman" w:cs="Times New Roman"/>
        </w:rPr>
        <w:t>) darbības neto rezultātam pirms sadales un ienākuma nodokļa iekasēšanas, izņemot ārkārtējus darījumus, kas rada turēšanas guvumus vai zaudējumus.</w:t>
      </w:r>
    </w:p>
  </w:footnote>
  <w:footnote w:id="15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Pretēji parāda vērtspapīru gadījumam, kad procentus saskaņā ar līgumu maksā emitents, dividendes pašas par sevi netiek uzkrātas, jo tās ir atkarīgas no ienākumiem un sadales politikas, kas nav zināma vai skaidri noteikta līdz brīdim, kad ir sagatavoti, pārbaudīti un apstiprināti gada pārskati.</w:t>
      </w:r>
    </w:p>
  </w:footnote>
  <w:footnote w:id="16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Parasti pastāv laika nobīde starp dividendes maksājumu un datumu, kad tika pieņemts lēmums par tās sadalīšanu. Kotētu akciju gadījumā tirgus cenā parasti ietilpst dividendes vērtība līdz tās izmaksāšanai. Nekotētu akciju gadījumā vienīgā pieejamā informācija ir laiks, kad maksājums tiek veikts valdībai.</w:t>
      </w:r>
    </w:p>
  </w:footnote>
  <w:footnote w:id="16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Starpposma dividendes nevar noteikt, pamatojoties uz prognozēm par turpmāko darbības pārpalikumu, kas radīsies darbībā, kura faktiski vēl nav īstenota.</w:t>
      </w:r>
    </w:p>
  </w:footnote>
  <w:footnote w:id="16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Sīkāka informācija sniegta šīs rokasgrāmatas I.3. nodaļā un EKS 2010 17. nodaļā (Sociālā apdrošināšana, tostarp pensijas).</w:t>
      </w:r>
    </w:p>
  </w:footnote>
  <w:footnote w:id="16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 kā no fondētajām pensiju shēmām bieži tiek veikti ieguldījumi valdības vērtspapīros, šādu aktīvu nodošana valdībai samazinātu valdības (</w:t>
      </w:r>
      <w:r w:rsidRPr="0006739A">
        <w:rPr>
          <w:rFonts w:ascii="Times New Roman" w:hAnsi="Times New Roman" w:cs="Times New Roman"/>
          <w:i/>
        </w:rPr>
        <w:t>EDP</w:t>
      </w:r>
      <w:r w:rsidRPr="0006739A">
        <w:rPr>
          <w:rFonts w:ascii="Times New Roman" w:hAnsi="Times New Roman" w:cs="Times New Roman"/>
        </w:rPr>
        <w:t>) parādu ar konsolidācijas starpniecību.</w:t>
      </w:r>
    </w:p>
  </w:footnote>
  <w:footnote w:id="16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Pēc būtības šāds aprēķins attiecībā uz ļoti ilgu laika posmu (kā tas ir pensiju tiesību gadījumā, kuras aptver vairākas dekādes) atspoguļo vienīgi situāciju konkrētajā brīdī. Ar visnotaļ lielu pārliecību var prognozēt, ka nākotnē realitāte atšķirsies daudzu dažādu iemeslu dēļ, bet šāds neto faktiskais aprēķins ir vienīgā racionālā metode, ko var izmantot, lai izmērītu ilgtermiņa saistību laika ekvivalenci.</w:t>
      </w:r>
    </w:p>
  </w:footnote>
  <w:footnote w:id="165">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Gadījumā, ja maksājums tiek veikts pa daļām atbilstīgi tam, kā minēts iepriekš,</w:t>
      </w:r>
      <w:r>
        <w:rPr>
          <w:rFonts w:ascii="Times New Roman" w:hAnsi="Times New Roman" w:cs="Times New Roman"/>
          <w:sz w:val="20"/>
        </w:rPr>
        <w:t xml:space="preserve"> valdība savos aktīvos ierakstīs</w:t>
      </w:r>
      <w:r w:rsidRPr="0006739A">
        <w:rPr>
          <w:rFonts w:ascii="Times New Roman" w:hAnsi="Times New Roman" w:cs="Times New Roman"/>
          <w:sz w:val="20"/>
        </w:rPr>
        <w:t xml:space="preserve"> saņemamo summu kopā ar nodotajiem finanšu aktīviem.</w:t>
      </w:r>
    </w:p>
  </w:footnote>
  <w:footnote w:id="16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šim nepietiekami augstajam novērtējumam ir jāpārsniedz vispārpieņemtā kļūdas robeža (vai aptuvenā vērtība), ko piemēro attiecībā uz šādiem aktuārajiem aprēķiniem.</w:t>
      </w:r>
    </w:p>
  </w:footnote>
  <w:footnote w:id="16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Tam ir vairāki iemesli (izņemot pārmaiņas pamatparametros), piemēram, nākotnes pensiju pabalstu aplēsēs izmantoto pieņēmumu (mirstības rādītāji, inflācija u. c.) neatbilstība.</w:t>
      </w:r>
    </w:p>
  </w:footnote>
  <w:footnote w:id="16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 kā tomēr saistības ietver ilgtermiņa pensijas, praksē pastāvētu iztrūkums izmaiņu dēļ, kas rodas refinansēšanas izmaksās.</w:t>
      </w:r>
    </w:p>
  </w:footnote>
  <w:footnote w:id="16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Nodošana valdības darba devēja shēmai nav paredzēta EKS 2010, jo šāds gadījums šķiet maz ticams, ņemot vērā, ka tas nozīmētu izmaiņas attiecīgās sabiedrības darbinieku statusā.</w:t>
      </w:r>
    </w:p>
  </w:footnote>
  <w:footnote w:id="17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Šajos piemēros uzmanība pievērsta ietekmei uz valdības neto aizdevumu/aizņēmumu (B.9) un/vai parādu, un to mērķis nav atspoguļot visus ierakstus kopējā ekonomikā.</w:t>
      </w:r>
    </w:p>
  </w:footnote>
  <w:footnote w:id="17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Abos pēdējos minētajos gadījumos piemēro traktējumu, kas aprakstīts šīs rokasgrāmatas III.7.1</w:t>
      </w:r>
      <w:r>
        <w:rPr>
          <w:rFonts w:ascii="Times New Roman" w:hAnsi="Times New Roman" w:cs="Times New Roman"/>
        </w:rPr>
        <w:t>.2. apakšiedaļā, proti, ieraksta</w:t>
      </w:r>
      <w:r w:rsidRPr="0006739A">
        <w:rPr>
          <w:rFonts w:ascii="Times New Roman" w:hAnsi="Times New Roman" w:cs="Times New Roman"/>
        </w:rPr>
        <w:t xml:space="preserve"> ekspluatācijas pārtraukšanas izdevumus aktīva ekspluatācijas laika/perioda beigās (ekspluatācijas periods ir laiks, kurā tiek radīts saimnieciskais labums) un sadala tos pa visu laikposmu, kas nepieciešams ekspluatācijas pārtraukšanai.</w:t>
      </w:r>
    </w:p>
  </w:footnote>
  <w:footnote w:id="17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2014. gada redakcija ir pieejama: </w:t>
      </w:r>
      <w:r w:rsidRPr="0006739A">
        <w:rPr>
          <w:rFonts w:ascii="Times New Roman" w:hAnsi="Times New Roman" w:cs="Times New Roman"/>
          <w:noProof/>
          <w:color w:val="0000FF"/>
          <w:u w:val="single" w:color="0000FF"/>
        </w:rPr>
        <w:t>Manual on the changes between ESA 95 and ESA 2010 – 2014</w:t>
      </w:r>
      <w:r w:rsidRPr="0006739A">
        <w:rPr>
          <w:rFonts w:ascii="Times New Roman" w:hAnsi="Times New Roman" w:cs="Times New Roman"/>
        </w:rPr>
        <w:t>.</w:t>
      </w:r>
    </w:p>
  </w:footnote>
  <w:footnote w:id="17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ka ir nepieciešams izslēgt “bīstamos” elementus, kas bija aktīvu daļa vai kas tika izmantoti ar šo aktīvu saistītai izlaidei.</w:t>
      </w:r>
    </w:p>
  </w:footnote>
  <w:footnote w:id="17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būt arī neliela daļa tādu izdevumu, kas stingri neattiecas uz darbībām saistībā ar aktīviem, kuru ekspluatācija tiks</w:t>
      </w:r>
      <w:r>
        <w:rPr>
          <w:rFonts w:ascii="Times New Roman" w:hAnsi="Times New Roman" w:cs="Times New Roman"/>
        </w:rPr>
        <w:t xml:space="preserve"> pārtraukta  un kurus neieraksta</w:t>
      </w:r>
      <w:r w:rsidRPr="0006739A">
        <w:rPr>
          <w:rFonts w:ascii="Times New Roman" w:hAnsi="Times New Roman" w:cs="Times New Roman"/>
        </w:rPr>
        <w:t xml:space="preserve"> kā </w:t>
      </w:r>
      <w:r w:rsidRPr="0006739A">
        <w:rPr>
          <w:rFonts w:ascii="Times New Roman" w:hAnsi="Times New Roman" w:cs="Times New Roman"/>
          <w:i/>
        </w:rPr>
        <w:t>GFCF</w:t>
      </w:r>
      <w:r w:rsidRPr="0006739A">
        <w:rPr>
          <w:rFonts w:ascii="Times New Roman" w:hAnsi="Times New Roman" w:cs="Times New Roman"/>
        </w:rPr>
        <w:t>, piemēram, starppatēriņš vai darba algas.</w:t>
      </w:r>
    </w:p>
  </w:footnote>
  <w:footnote w:id="17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varētu būt gadījumā, ja attiecībā uz kādām ēkām vai būvēm būtu nepieciešami ievērojami izdevumi, kas ir jāīsteno ātri, pirms tos varētu sākt izmantot jauniem mērķiem.</w:t>
      </w:r>
    </w:p>
  </w:footnote>
  <w:footnote w:id="17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Gadījumā, ja attiecībā uz kādu specifisku iekārtu (piemēram, kodolreaktoriem) kopumā trūkst pieredzes, pastāv liela neskaidrība par faktiskajām izmaksām, un aplēses var būtiski atšķirties. Turklāt ir visai grūti ņemt vērā efektivitātes ieguvumus, kas rodas “mācīties darot” procesā.</w:t>
      </w:r>
    </w:p>
  </w:footnote>
  <w:footnote w:id="17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attiecas uz gadījumu, kad uzkrājumi ir finansēti, un tos var izmantot tikai ražošanas iekārtas vai aktīva juridiskais īpašnieks.</w:t>
      </w:r>
    </w:p>
  </w:footnote>
  <w:footnote w:id="17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Cita kārtība varētu būt tāda, ka iepriekšējais īpašnieks varētu “atlīdzināt” valdībai izmaksas pēc to rašanās; tomēr šādu aktīvu pārvedumu parasti veic tieši tāpēc, lai atbrīvotu īpašnieku no jebkāda turpmākā “sloga”, kas ietekmētu tā rentabilitāti.</w:t>
      </w:r>
    </w:p>
  </w:footnote>
  <w:footnote w:id="17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pārnestos aktīvus tur kādā konkrētā darījumu kontā, par starpnieku varētu ņemt īpašuma ienākumu (piemēram, valdības obligāciju ilgtermiņa procentu likmi).</w:t>
      </w:r>
    </w:p>
  </w:footnote>
  <w:footnote w:id="18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gadīties, ka valdībai pārskaitīto finanšu aktīvu summa (uzkrājums, ko noteicis iepriekšējais īpašnieks) dažādu iemeslu dēļ (pārāk piesardzīgas aplēses, darbi veikti lētāk, nekā gaidīts, apstrādē izmantotas tehniskās inovācijas utt.) ir lielāka nekā ekspluatācijas pārtraukšanas faktiskās izmaksas. Katrs šāds gadījums ir jāanalizē atsevišķi, izvērtējot dažādas iespējamās situācijas (piemēram, pienākumu vienībai atmaksāt pārpalikumu, vienības izzušanas gadījumu, summas izmantošanu citām ekspluatācijas pārtraukšanas darbībām, summas pārvedumu noteiktam fondam utt.).</w:t>
      </w:r>
    </w:p>
  </w:footnote>
  <w:footnote w:id="181">
    <w:p w:rsidR="001B0687" w:rsidRPr="0006739A" w:rsidRDefault="001B0687" w:rsidP="0006739A">
      <w:pPr>
        <w:jc w:val="both"/>
        <w:rPr>
          <w:rFonts w:ascii="Times New Roman"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Sniegtajos piemēros uzmanība pievērsta ietekmei uz valdības aizdevumu/aizņēmumu (B.9), konkrēti uz neitralizēšanas procesu gadījumā, ja sabiedrība, kas ir aktīva sākotnējais īpašnieks, pārskaita vienreizēju maksājumu, un/vai uz parādu. Piemēra mērķis nav parādīt visus ierakstus ekonomikā kopumā. Proti, netiek iekļauta ekspluatācijas pārtraukšanas izdevumu ietekme uz citām sabiedrībām vai pārējo pasauli (S.2).</w:t>
      </w:r>
    </w:p>
  </w:footnote>
  <w:footnote w:id="18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Eurogrupa 2012. gada februārī vienojās par to, ka atsevišķas eirozonas dalībvalstis katru gadu līdz jūnijam nodos Grieķijas valdībai ieņēmumus, kas gūti no Grieķijas valdības obligācijām, kuras atrodas to centrālajās bankās. Pārvedumi starp šīm dalībvalstīm (izdevumi) un G</w:t>
      </w:r>
      <w:r>
        <w:rPr>
          <w:rFonts w:ascii="Times New Roman" w:hAnsi="Times New Roman" w:cs="Times New Roman"/>
        </w:rPr>
        <w:t>rieķiju (ieņēmumi) ir ierakstīti</w:t>
      </w:r>
      <w:r w:rsidRPr="0006739A">
        <w:rPr>
          <w:rFonts w:ascii="Times New Roman" w:hAnsi="Times New Roman" w:cs="Times New Roman"/>
        </w:rPr>
        <w:t xml:space="preserve"> kā kārtējie pārvedumi (D.75), savukārt pārvedumiem no VCB to valdībām ir pilnīgi jāatbilst šajā nodaļā izklāstītajiem noteikumiem, jo īpaši, ciktāl tas attiecas uz sadalījumu starp dividendēm un pašu kapitāla izņemšanu.</w:t>
      </w:r>
    </w:p>
  </w:footnote>
  <w:footnote w:id="18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grāmatvedības konservatīvisma pamatprincips parasti ļauj grāmatvežiem paredzēt vai atklāt zaudējumus, taču neļauj līdzīgi rīkoties attiecībā uz ienākumiem. Piemēram, iespējamie zaudējumi, kas rodas tiesas prāvās, tiks norādīti finanšu pārskatos vai piezīmēs, taču iespējamie guvumi netiks norādīti.</w:t>
      </w:r>
    </w:p>
  </w:footnote>
  <w:footnote w:id="18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SVF: Maksājumu bilances un starptautisko investīciju bilances rokasgrāmatas [</w:t>
      </w:r>
      <w:r w:rsidRPr="0006739A">
        <w:rPr>
          <w:rFonts w:ascii="Times New Roman" w:hAnsi="Times New Roman" w:cs="Times New Roman"/>
          <w:i/>
        </w:rPr>
        <w:t>Balance of Payments and International Investment Position Manual</w:t>
      </w:r>
      <w:r w:rsidRPr="0006739A">
        <w:rPr>
          <w:rFonts w:ascii="Times New Roman" w:hAnsi="Times New Roman" w:cs="Times New Roman"/>
        </w:rPr>
        <w:t>] 6. izdevums (</w:t>
      </w:r>
      <w:r w:rsidRPr="0006739A">
        <w:rPr>
          <w:rFonts w:ascii="Times New Roman" w:hAnsi="Times New Roman" w:cs="Times New Roman"/>
          <w:i/>
        </w:rPr>
        <w:t>BPM6</w:t>
      </w:r>
      <w:r w:rsidRPr="0006739A">
        <w:rPr>
          <w:rFonts w:ascii="Times New Roman" w:hAnsi="Times New Roman" w:cs="Times New Roman"/>
        </w:rPr>
        <w:t>) (2009. g.), 6. nodaļa – Funkcionālās kategorijas, F.I Rezervju aktīvi, 111. lpp.</w:t>
      </w:r>
    </w:p>
  </w:footnote>
  <w:footnote w:id="185">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Sk. </w:t>
      </w:r>
      <w:r w:rsidRPr="0006739A">
        <w:rPr>
          <w:rFonts w:ascii="Times New Roman" w:hAnsi="Times New Roman" w:cs="Times New Roman"/>
          <w:i/>
          <w:sz w:val="20"/>
        </w:rPr>
        <w:t>BPM6</w:t>
      </w:r>
      <w:r w:rsidRPr="0006739A">
        <w:rPr>
          <w:rFonts w:ascii="Times New Roman" w:hAnsi="Times New Roman" w:cs="Times New Roman"/>
          <w:sz w:val="20"/>
        </w:rPr>
        <w:t xml:space="preserve"> 6.5. ierāmējumu: Rezervju aktīvu komponenti un ar rezervēm saistītas saistības, 11. lpp.</w:t>
      </w:r>
    </w:p>
  </w:footnote>
  <w:footnote w:id="18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Iespējama arī pretēja operācija “monetizācija” (piemēram, pēc lieluma klasificēts zelts parasti tiek nodots centrālajai bankai).</w:t>
      </w:r>
    </w:p>
  </w:footnote>
  <w:footnote w:id="18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w:t>
      </w:r>
      <w:r w:rsidRPr="0006739A">
        <w:rPr>
          <w:rFonts w:ascii="Times New Roman" w:hAnsi="Times New Roman" w:cs="Times New Roman"/>
          <w:noProof/>
          <w:color w:val="0000FF"/>
          <w:u w:val="single" w:color="0000FF"/>
        </w:rPr>
        <w:t>http://www.ecb.int/press/pr/date/2009/html/pr090807.en.html.</w:t>
      </w:r>
    </w:p>
  </w:footnote>
  <w:footnote w:id="18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Varētu iebilst, ka vienība vairs nav institucionāla vienība, jo tās īpašnieki ir zaudējuši spēju to kontrolēt līdz ar lēmumu pieņemšanas varas nonākšanu likvidatora un/vai kreditoru rokās. Tomēr likvidācijas process nozīmē, ka ekonomiskie lēmumi tiek pieņemti par tās aktīviem un saistībām. Tas, ka iepriekšējiem īpašniekiem vairs nav kontroles, nav pietiekami, lai vienību automātiski klasificētu likvidatora vai kreditoru sektorā (kas varētu būt atšķirīgi sektori). Tādējādi vienībai ir jāpaliek finanšu sektorā vai, kā minēts iepriekš, tā jāpārklasificē vispārējās valdības sektorā.</w:t>
      </w:r>
    </w:p>
  </w:footnote>
  <w:footnote w:id="18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Pr>
          <w:rFonts w:ascii="Times New Roman" w:hAnsi="Times New Roman" w:cs="Times New Roman"/>
        </w:rPr>
        <w:t xml:space="preserve"> Kā statistikā ieraksta</w:t>
      </w:r>
      <w:r w:rsidRPr="0006739A">
        <w:rPr>
          <w:rFonts w:ascii="Times New Roman" w:hAnsi="Times New Roman" w:cs="Times New Roman"/>
        </w:rPr>
        <w:t xml:space="preserve"> valsts atbalstu finanšu iestādēm un finanšu tirgiem finanšu krīzes laikā no 2009. gada 15. jūlija.</w:t>
      </w:r>
    </w:p>
  </w:footnote>
  <w:footnote w:id="19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I.6. nodaļu “Īpaši publiski subjekti”.</w:t>
      </w:r>
    </w:p>
  </w:footnote>
  <w:footnote w:id="19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Šo vērtspapīrošanas definīciju, kas ietver lielāko daļu Eiropas Savienībā faktiski novēroto gadījumu, kuros iesaistītas valdības vienības, var uzskatīt par “šauru” (vai uz tirgu orientētu) vērtspapīrošanas definīciju. No vienas puses, var būt emitēti tādi vērtspapīri, kuriem ir piesaistītas vērtspapīru turētāju tiešas tiesības uz nodalītiem aktīviem (“bilances vērtspapīrošana”). Šādām operācijām nav nepieciešami īpaši norādījumi, jo galvenais apstāklis ir jaunu saistību uzņemšanās, nevis tādu īpašu tiesību un pienākumu uzņemšanās, kuri piesaistīti parāda instrumentiem. No otras puses, valdība var “monetizēt” (pārvērst likviditātē, kas ir tāds pats rezultāts kā šeit apspriesto vērtspapīrošanas operāciju gadījumā) jebkuru aktīvu (finanšu un nefinanšu) ar darījumu organizētos tirgos vai ārpus biržas. Tas ir laika jautājums (beigu beigās viss tiek monetizēts) un diskonta līmeņa jautājums salīdzinājumā ar pamatvērtību, kuru valdība piekristu uzņemties (sk. “ārkārtas pārdošanas” gadījumus). Otrajā gadījumā pilnīgi jāpiemēro tie paši pamatprincipi, kas attiecas uz “patiesas pārdošanas” atzīšanu.</w:t>
      </w:r>
    </w:p>
  </w:footnote>
  <w:footnote w:id="19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Vērtspapīrošanas operācija parasti atšķiras no nodrošinātas aizdevuma ņemšanas operācijas (piemēram, attiecībā uz segtām obligācijām, ko valdības vienības parasti neemitē): otrajā gadījumā ieguldītājam ir prasījuma tiesības attiecībā uz aktīviem vai citām tiesībām un attiecībā uz sākotnējo īpšnieku. Lielākajā daļā vērtspapīrošanas operāciju ieguldītājiem nav paredzētas tiesības vērsties pret iniciatoru.</w:t>
      </w:r>
    </w:p>
  </w:footnote>
  <w:footnote w:id="193">
    <w:p w:rsidR="001B0687" w:rsidRPr="0006739A" w:rsidRDefault="001B0687" w:rsidP="0006739A">
      <w:pPr>
        <w:jc w:val="both"/>
        <w:rPr>
          <w:rFonts w:ascii="Times New Roman" w:hAnsi="Times New Roman" w:cs="Times New Roman"/>
          <w:noProof/>
          <w:sz w:val="24"/>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Tomēr saskaņā ar standartiem, kas attiecībā uz šādiem darījumiem tiek piemēroti tirgū, iniciators (šajā gadījumā – valdība) kopā ar organizatoru parasti uzņemas daļu riska. Par šādiem riskiem bieži vien uzskata zaudējumus, kas rodas izpildē, piegādē, procesa pārvaldībā, iekšējās un ārējās krāpšanas dēļ, darbībā un nepārtrauktībā un sistēmas atteiču dēļ, fizisku aktīvu bojājumu gadījumā, nepietiekamas vai neatbilstošas dokumentācijas dēļ, juridisku risku dēļ. Tie nerodas no riskiem, kas saistīti ar aktīvu turēšanu (tirgus riskiem/kredītriskiem). Tomēr valdības īstenota vērtspapīrošanas gadījumā vienmēr ir jāpārbauda, vai valdības darbības risks ir saistīts vienīgi ar ierasto tirgus praksi.</w:t>
      </w:r>
    </w:p>
  </w:footnote>
  <w:footnote w:id="19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Tam nav obligāti jābūt kā tiešai garantijai attiecībā uz parādu, ko izdevusi vērtspapīrošanas struktūrvienība (un kas līdz ar to nav īstenojama trešās valstīs), taču to var paredzēt līgumā ar īpašu klauzulu.</w:t>
      </w:r>
    </w:p>
  </w:footnote>
  <w:footnote w:id="195">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“Koriģēta uzskaites vērtība”, “kapitalizēti koriģēti ienākumi”, “diskontēti turpmāki ienākumi”, “naudas plūsmas metode”, “bruto ieņēmumu faktors”, “pamatlīdzekļu cenas noteikšanas modelis”, “svērtās vidējās kapitāla izmaksas”, “tirgus salīdzinājumu paņēmieni”, “iespējas līguma cenu noteikšanas pieejas” utt.</w:t>
      </w:r>
    </w:p>
  </w:footnote>
  <w:footnote w:id="19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EKS 2010 15.18. punktā uzsvērts, ka nomas ilgumu nedrīkst noteikt kā galveno līguma klasificēšanas kritēriju.</w:t>
      </w:r>
    </w:p>
  </w:footnote>
  <w:footnote w:id="19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nav pieminēta “faktiskā pārvedamība”, kad cita vienība nopērk atļaujas turētāju.</w:t>
      </w:r>
    </w:p>
  </w:footnote>
  <w:footnote w:id="19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varētu būt arī gadījumos, kad valdība nomas līgumos darbojas kā iznomātājs. Noteikumi ir piemērojami simetriski.</w:t>
      </w:r>
    </w:p>
  </w:footnote>
  <w:footnote w:id="19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valdība veic vienreizēju maksājumu, lai saņemtu tiesības izmantot ēku 20 gadus, un pēc tam saņem ēku savā rīcībā, minēto 20 gadu posmā uzņemoties visus labumus, izmaksas, riskus un priekšrocības, kas saistītas ar īpašu</w:t>
      </w:r>
      <w:r>
        <w:rPr>
          <w:rFonts w:ascii="Times New Roman" w:hAnsi="Times New Roman" w:cs="Times New Roman"/>
        </w:rPr>
        <w:t>mtiesībām uz šo ēku; to ieraksta</w:t>
      </w:r>
      <w:r w:rsidRPr="0006739A">
        <w:rPr>
          <w:rFonts w:ascii="Times New Roman" w:hAnsi="Times New Roman" w:cs="Times New Roman"/>
        </w:rPr>
        <w:t xml:space="preserve"> kā ēkas pirkumu (P.51) par tirgus cenu. Sk. arī VI.2. nodaļu “Pārdošana ar saņemšanu atpakaļ nomā”, VI.3. nodaļu “Līgumi ar valdības sektoram nepiederošām vienībām saistībā ar pamatlīdzekļiem” un VI.4. nodaļu “Publiskā un privātā partnerība (PPP)”.</w:t>
      </w:r>
    </w:p>
  </w:footnote>
  <w:footnote w:id="20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Tā ietver apsaimniekošanu, tehnisko apkopi, maksas iekasēšanu u. c. pasākumus. Dažus no šiem pienākumiem var nodod apakšuzņēmējiem, koncesionāram uzņemoties galīgo atbildību un kontroli.</w:t>
      </w:r>
    </w:p>
  </w:footnote>
  <w:footnote w:id="20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Attiecībā uz koncesiju nav saskaņotas definīcijas terminam “ilgtermiņa”, taču praksē koncesijas līgumi parasti tiek slēgti vismaz uz 20 gadiem un bieži vien arī uz 30–35 gadiem.</w:t>
      </w:r>
    </w:p>
  </w:footnote>
  <w:footnote w:id="20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valdība kontrolē subjektu, kuram vienīgā vai galvenā noteicošā darbība ir saistīta ar vienu koncesijas līgumu ar valdību, šādu subjektu klasificē valdības sektorā.</w:t>
      </w:r>
    </w:p>
  </w:footnote>
  <w:footnote w:id="20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ka valdība precīzi definē aktīvu, un līguma beigās tas parasti tiek nodots valdībai.</w:t>
      </w:r>
    </w:p>
  </w:footnote>
  <w:footnote w:id="20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Tieša garantija nozīmē to, ka parāda saistību turētājiem ir iespēja tieši vērsties pie garantijas izsniedzēja (bez nosacījumiem un parasti pēc pirmā pieprasījuma). Šāda situācija ievērojami atšķiras no netiešās garantijas, piemēram, kad pastāv augsta varbūtība (vai arī par to nav nekādu šaubu), ka valdība sniegs atbalstu sabiedrībai, kura nespēj izpildīt savas saistības, tādēļ, ka šāds atbalsts ir ļoti būtisks no infrastruktūras uzturēšanas viedokļa. Šādā gadījumā aizsardzības apmērs kreditoriem varētu būt neskaidrs.</w:t>
      </w:r>
    </w:p>
  </w:footnote>
  <w:footnote w:id="20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Koncesijas līguma beigās aktīvi var arī nebūt nodoti valdībai bez maksas un no valdības var būt pieprasīts maksājums par šiem aktīviem. Šādā gadījumā 50 % kritērija aprēķinā jāņem vērā arī paredzētā maksājuma vērtība. Turklāt jāpārbauda, vai tad, kad tiek veikts maksājums, tas atbilst aktīvu tirgus vērtībai, kad tos ieraksta valdības bilancē.</w:t>
      </w:r>
    </w:p>
  </w:footnote>
  <w:footnote w:id="20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var nozīmēt, ka līguma darbības termiņa sākumā tiek uzskatīts, ka aktīvi ir valdības aktīvi.</w:t>
      </w:r>
    </w:p>
  </w:footnote>
  <w:footnote w:id="20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atbilst EKS 2010 2.12. punktam, kas attiecas uz </w:t>
      </w:r>
      <w:r w:rsidRPr="0006739A">
        <w:rPr>
          <w:rFonts w:ascii="Times New Roman" w:hAnsi="Times New Roman" w:cs="Times New Roman"/>
          <w:i/>
          <w:noProof/>
        </w:rPr>
        <w:t>lēmumu pieņemšanas autonomiju savu pamatfunkciju īstenošanā</w:t>
      </w:r>
      <w:r w:rsidRPr="0006739A">
        <w:rPr>
          <w:rFonts w:ascii="Times New Roman" w:hAnsi="Times New Roman" w:cs="Times New Roman"/>
        </w:rPr>
        <w:t>. Attiecībā uz koncesionāru tas nozīmē būt aktīvam saistībā ar koncesijām.</w:t>
      </w:r>
    </w:p>
  </w:footnote>
  <w:footnote w:id="20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Tiek pieņemts, ka, tā kā vienības stratēģiju nosaka valdības vienības (kas ir galvenais aspekts attiecībā uz kontroles jēdzienu nacionālajos kontos), darbības paplašināšanai/dažādošanai būtu nepieciešams kontrolējošās(-o) vienības(-u) lēmums.</w:t>
      </w:r>
    </w:p>
  </w:footnote>
  <w:footnote w:id="20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Bieži vien koncesionāram līgumā tiek noteiktas saistības </w:t>
      </w:r>
      <w:r w:rsidRPr="0006739A">
        <w:rPr>
          <w:rFonts w:ascii="Times New Roman" w:hAnsi="Times New Roman" w:cs="Times New Roman"/>
          <w:i/>
        </w:rPr>
        <w:t>ex ante</w:t>
      </w:r>
      <w:r w:rsidRPr="0006739A">
        <w:rPr>
          <w:rFonts w:ascii="Times New Roman" w:hAnsi="Times New Roman" w:cs="Times New Roman"/>
        </w:rPr>
        <w:t xml:space="preserve"> noteiktā laikposmā pakāpeniski veidot rezerves liela apjoma remontdarbiem, kas jāveic līguma darbības laikā. Turklāt koncesijas līgumos bieži vien tiek paredzēts, ka valdība līguma darbības laikā, kuru varētu pagarināt, var lemt par koncesijas aktīvu jaudas paplašināšanu/modernizāciju.</w:t>
      </w:r>
    </w:p>
  </w:footnote>
  <w:footnote w:id="21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Saistībā ar “cenu noteikšanu”, t. i., nodevām/maksām, ko iekasē no gala lietotājiem, daudzos koncesijas līgumos tas tiek noteikts samērā ierobežojošā veidā (jo īpaši, izmantojot indeksācijas mehānismu).</w:t>
      </w:r>
    </w:p>
  </w:footnote>
  <w:footnote w:id="21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Varētu izvērtēt arī īpašu gadījumu, kurā koncesijas līgums(-i) ar valdības vienību(-ām) ir neliela daļa no darbībām, ko veic vienība, kas iesaistīta tirgus darbībās (pārdošana par ekonomiski nozīmīgām cenām, kas sedz vismaz 50 % no šīs darbības ražošanas izmaksām). Ja attiecībā uz visiem koncesijas līgumiem vai uz kādiem no tiem tiek konstatēts, ka nav lēmumu pieņemšanas autonomijas, koncesijas aktīvi ir pārklasificējami līgumslēdzējas vai kontrolējošās valdības vienības bilancē, kā pretvērtību ierakstot nosacīto parādu.</w:t>
      </w:r>
    </w:p>
  </w:footnote>
  <w:footnote w:id="212">
    <w:p w:rsidR="001B0687" w:rsidRPr="0006739A" w:rsidRDefault="001B0687" w:rsidP="0006739A">
      <w:pPr>
        <w:tabs>
          <w:tab w:val="left" w:pos="1032"/>
        </w:tabs>
        <w:jc w:val="both"/>
        <w:rPr>
          <w:rFonts w:ascii="Times New Roman"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Piemēram, maksājumi par sporta telpu izmantošanu izglītības iestādēs personām, kas nemācās šajā iestādē.</w:t>
      </w:r>
    </w:p>
  </w:footnote>
  <w:footnote w:id="213">
    <w:p w:rsidR="001B0687" w:rsidRPr="0006739A" w:rsidRDefault="001B0687" w:rsidP="0006739A">
      <w:pPr>
        <w:tabs>
          <w:tab w:val="left" w:pos="1003"/>
        </w:tabs>
        <w:jc w:val="both"/>
        <w:rPr>
          <w:rFonts w:ascii="Times New Roman" w:hAnsi="Times New Roman" w:cs="Times New Roman"/>
          <w:noProof/>
          <w:sz w:val="24"/>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Skatīt jo īpaši 15.1. tabulu “Trīs dažādu nomas veidu ierakstīšana”.</w:t>
      </w:r>
    </w:p>
  </w:footnote>
  <w:footnote w:id="21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Jāuzsver, ja tiktu piemēroti </w:t>
      </w:r>
      <w:r w:rsidRPr="0006739A">
        <w:rPr>
          <w:rFonts w:ascii="Times New Roman" w:hAnsi="Times New Roman" w:cs="Times New Roman"/>
          <w:i/>
        </w:rPr>
        <w:t>IPSAS</w:t>
      </w:r>
      <w:r w:rsidRPr="0006739A">
        <w:rPr>
          <w:rFonts w:ascii="Times New Roman" w:hAnsi="Times New Roman" w:cs="Times New Roman"/>
        </w:rPr>
        <w:t xml:space="preserve"> noteikumi, gandrīz visas dalībvalstīs esošās PPP nonāktu valdības bilancē, ņemot vērā, ka galvenie kritēriji, kas jāņem vērā to klasifikācijai, būtu aktīvu kontrole un aktīvu sadale līguma darbības termiņa beigās. Tomēr EKS 2010 tiek uzsvērta ekonomisko īpašumtiesību, nevis juridisko īpašumtiesību koncepcija. Tādēļ EKS 2010 ir noteikts, ka, lai aktīvi tiktu klasificēti partnera bilancē, partnerim ir jāuzņemas riski un atlīdzības saistībā ar aktīva lietošanu, kā tas paskaidrots EKS 2010 1.90. punktā. Acīmredzami, ja visus ar aktīva izmantošanu saistītos riskus un atlīdzības uzņemtos partneris, nerastos problēmas saistībā ar PPP klasifikāciju. Tomēr vairumā līgumu ir redzams, ka valdība ar dažādu mehānismu starpniecību (atlīdzību griesti partnerim, daļējas īpašumtiesības partnerim, ienākums valdībai, kas izriet no aktīvu izmantošanas, parāda refinansēšanas noteikumi utt.) bieži vien daļu no atlīdzībām, ko sniedz aktīvu izmantošana, paņem atpakaļ. Tas pats attiecas uz riskiem, proti, valdība piekrīt paņemt no partnera daļu no riskiem saistībā ar valdībai sniegto projektu. Tādējādi rodas jautājumi par PPP klasifikāciju, kā arī nākas neievērot vienu no EKS 2010 pamatprincipiem (proti, ka riski un atlīdzības ir jāuzņemas aktīvu ekonomiskajam īpašniekam), turklāt būtiski palielinās varbūtība, ka PPP tiks klasificēts valdības bilancē.</w:t>
      </w:r>
    </w:p>
  </w:footnote>
  <w:footnote w:id="21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Acīmredzami, būvniecības riskus nevar uzņemties, ja aktīvs netiek faktiski būvēts vai atjaunots.</w:t>
      </w:r>
    </w:p>
  </w:footnote>
  <w:footnote w:id="21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Ir jābūt solidāri izpildītiem visiem šajā nodaļā noteiktajiem kritērijiem.</w:t>
      </w:r>
    </w:p>
  </w:footnote>
  <w:footnote w:id="21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Turpmāk sniegtie norādījumi attiecībā uz traktējumu nacionālajos kontos ir sniegti, pamatojoties uz risku un atlīdzību pieeju, kas var būt par iemeslu atšķirīgai aktīvu klasifikācijai citās uzskaites sistēmās (piemēram, </w:t>
      </w:r>
      <w:r w:rsidRPr="0006739A">
        <w:rPr>
          <w:rFonts w:ascii="Times New Roman" w:hAnsi="Times New Roman" w:cs="Times New Roman"/>
          <w:i/>
        </w:rPr>
        <w:t>IFRS</w:t>
      </w:r>
      <w:r w:rsidRPr="0006739A">
        <w:rPr>
          <w:rFonts w:ascii="Times New Roman" w:hAnsi="Times New Roman" w:cs="Times New Roman"/>
        </w:rPr>
        <w:t xml:space="preserve"> vai </w:t>
      </w:r>
      <w:r w:rsidRPr="0006739A">
        <w:rPr>
          <w:rFonts w:ascii="Times New Roman" w:hAnsi="Times New Roman" w:cs="Times New Roman"/>
          <w:i/>
        </w:rPr>
        <w:t>IPSAS</w:t>
      </w:r>
      <w:r w:rsidRPr="0006739A">
        <w:rPr>
          <w:rFonts w:ascii="Times New Roman" w:hAnsi="Times New Roman" w:cs="Times New Roman"/>
        </w:rPr>
        <w:t>).</w:t>
      </w:r>
    </w:p>
  </w:footnote>
  <w:footnote w:id="21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uzkopšana kā daļa no apkopes pasākumiem vai ēdināšana kā daļa no ēkas apsaimniekošanas.</w:t>
      </w:r>
    </w:p>
  </w:footnote>
  <w:footnote w:id="21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Šo secinājumu pastiprina arī tas, ka EKS 2010 20.282. punktā ir skaidri norādīts, ka </w:t>
      </w:r>
      <w:r w:rsidRPr="0006739A">
        <w:rPr>
          <w:rFonts w:ascii="Times New Roman" w:hAnsi="Times New Roman" w:cs="Times New Roman"/>
          <w:i/>
          <w:noProof/>
        </w:rPr>
        <w:t>[..] aktīvu darbmūžs parasti ir daudz ilgāks nekā līguma darbības laiks, tāpēc valdība var kontrolēt aktīvus, uzņemties risku un saņemt atlīdzību gandrīz visā aktīvu darbmūža laikā.</w:t>
      </w:r>
    </w:p>
  </w:footnote>
  <w:footnote w:id="22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Ir skaidrs, ka aktīvs vienmēr ir jāpiešķir subjektam. Ja tas vairs ekonomiski nepieder vecajam partnerim (brīdī, kad vairs netiek nodrošināta uzturēšana un netiek saņemti pieejamības vai pieprasījuma maksājumi), tam ir jāpieder valdībai, vismaz tik ilgi, kamēr notiek jaunā konkursa procedūra.</w:t>
      </w:r>
    </w:p>
  </w:footnote>
  <w:footnote w:id="22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Jaunajam partnerim būtu jāmaksā par aktīvu iegādi to atlikušajā vērtībā.</w:t>
      </w:r>
    </w:p>
  </w:footnote>
  <w:footnote w:id="22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gadīties, ka trešās puses veic maksājumus par to, ka daļēji izmanto kādus aktīvus (piemēram, skolas sporta telpas pēc mācību stundām ir atvērtas plašākai sabiedrībai, koncerti stadionos utt.), vai šie maksājumi nav saistīti ar aktīva pamata izmantojumu (piemēram, kafejnīca slimnīcā). Var gadīties, ka šādus trešo pušu maksājumus sadala valdība un partneris. Šādā gadījumā, ja tie ir tīri atlikuma maksājumi, tie neietekmē PPP analīzi, taču ja tie nav nebūtiski, šīs atlīdzības ir jāiekļauj analīzē, ciktāl attiecas uz atlīdzību sadalījumu.</w:t>
      </w:r>
    </w:p>
  </w:footnote>
  <w:footnote w:id="22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Vai arī finansē ievērojamu daļu no kapitāla izdevumiem, taču tie kopumā nepārsniedz 50 %.</w:t>
      </w:r>
    </w:p>
  </w:footnote>
  <w:footnote w:id="22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Jautājumi par PPP ir traktēti EKS 2010 20.276.–20.290. punktā.</w:t>
      </w:r>
    </w:p>
  </w:footnote>
  <w:footnote w:id="225">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Nebūtu nozīmes tam, vai akcijas pieder līgumslēdzējai valdības vienībai vai citai valdības vienībai, kura varētu pat ietilpt citā valdības apakšsektorā.</w:t>
      </w:r>
    </w:p>
  </w:footnote>
  <w:footnote w:id="22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ja “mazāk svarīgais komponents” paredz noteiktu mehānismu, kas jebkurā gadījumā varētu garantēt partnerim minimālos ieņēmumus vai peļņu pat tad, ja attiecībā uz “galveno komponentu” tiek piemēroti sodi, tas jāņem vērā līguma vispārējā novērtējumā.</w:t>
      </w:r>
    </w:p>
  </w:footnote>
  <w:footnote w:id="22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Šis varētu būt kādu noteiktu “līdzdalībnieku” risku gadījums, attiecībā uz kuriem neapmierinošie darbības rezultāti nevar būt par iemeslu aktīvu pārklasifikācijai.</w:t>
      </w:r>
    </w:p>
  </w:footnote>
  <w:footnote w:id="22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Kā norādīts EKS 2010 20.285. punktā, ja ļoti sarežģītu vienošanos gadījumā (aktīvu veids, līgumsaistību izstrāde) analīze, kas veikta atbilstīgi iepriekš un turpmāk minētajiem kritērijiem, nesniegs nešaubīgus secinājumus, kā papildu kritēriju varētu apsvērt valdības iesaistīšanās pakāpi aktīvu un sniedzamo pakalpojumu noteikšanā.</w:t>
      </w:r>
    </w:p>
  </w:footnote>
  <w:footnote w:id="22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Šajā saistībā var gadīties, ka laikā, kad valdība un partneris paraksta līgumu, par finansēšanas noteikumiem vēl nav panākta vienošanās. Šādā gadījumā PPP atbilstību konkrētajiem noteikumiem, kas attiecas uz šajā nodaļā minētajiem finansēšanas un garantiju nosacījumiem, varēs novērtēt tikai tad, kad tiks panākta vienošanās par finansēšanas noteikumiem un tie tiks atbilstīgi pārbaudīti.</w:t>
      </w:r>
    </w:p>
  </w:footnote>
  <w:footnote w:id="23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būtu vienošanās, ka ES fondi tiek piešķirti valdībai tiešā veidā, lai segtu daļu no nākotnes maksājumiem, kas valdībai būs jāveic saistībā ar PPP līgumu, tad, kad šie līdzekļi tiek pārska</w:t>
      </w:r>
      <w:r>
        <w:rPr>
          <w:rFonts w:ascii="Times New Roman" w:hAnsi="Times New Roman" w:cs="Times New Roman"/>
        </w:rPr>
        <w:t>itīti no ES, tie ir ierakstāmi</w:t>
      </w:r>
      <w:r w:rsidRPr="0006739A">
        <w:rPr>
          <w:rFonts w:ascii="Times New Roman" w:hAnsi="Times New Roman" w:cs="Times New Roman"/>
        </w:rPr>
        <w:t xml:space="preserve"> kā finansiāls avanss, neietekmējot valdības neto aizdevumu/aizņēmumu (B.9). Kad valdība izmanto šos līdzekļus regulāro vienoto maksājumu </w:t>
      </w:r>
      <w:r>
        <w:rPr>
          <w:rFonts w:ascii="Times New Roman" w:hAnsi="Times New Roman" w:cs="Times New Roman"/>
        </w:rPr>
        <w:t>veikšanai, tie būtu ierakstāmi</w:t>
      </w:r>
      <w:r w:rsidRPr="0006739A">
        <w:rPr>
          <w:rFonts w:ascii="Times New Roman" w:hAnsi="Times New Roman" w:cs="Times New Roman"/>
        </w:rPr>
        <w:t xml:space="preserve"> kā valdības ieņēmumi, neitralizējot izdevumu ietekmi uz valdības neto aizdevumu/aizņēmumu (B.9), līdz PPP līgumam iedalītie ES līdzekļi tiek pilnībā izlietoti.</w:t>
      </w:r>
    </w:p>
  </w:footnote>
  <w:footnote w:id="23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Acīmredzami šādas dotācijas vienkārši samazina projekta kapitāla izmaksas un nav jāataino pieejamības vai pieprasījuma vienotajos maksājumos, ko valdība veiks partnerim.</w:t>
      </w:r>
    </w:p>
  </w:footnote>
  <w:footnote w:id="23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Lai piemērotu šos nacionālo kontu noteikumus, finansējums, kas tiek saņemts no EIB aizdevumu veidā, nav jāuzskata par valdības finansējumu, bet vienkārši par jebkuru privātā sektora finansējumu (ja vien EIB negūst labumu no valdības garantijām).</w:t>
      </w:r>
    </w:p>
  </w:footnote>
  <w:footnote w:id="233">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Šis līmenis ir ņemts no saistību nepildīšanas varbūtības matricas, ko izstrādājušas reitingu aģentūras.</w:t>
      </w:r>
    </w:p>
  </w:footnote>
  <w:footnote w:id="23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ja valdība tur subordinēto parādu, kas ir 30 % no kopējās summas, un citi ieguldītāji tur 70 % prioritāro parādu. Subordinētā parāda īpatsvars būtu 75, un valdības daļa kopējā finansējumā būtu 75/145 = 51,7 %. Subordinēto parādu varētu turēt arī citi ieguldītāji, piemēram, valdības subordinētais parāds 20 %, cits subordinētais parāds 10 %, prioritārais parāds 70 %; valdības daļa kopējā finansējumā šajā gadījumā būtu 50/145 = 34,5 %.</w:t>
      </w:r>
    </w:p>
  </w:footnote>
  <w:footnote w:id="23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varētu attiekties arī uz partnera “sponsoru” risku vērtējumu (piemēram, būvniecības uzņēmumu gadījumā, kuri ir izveidojuši konkrētu PPP vienību), kuriem nāktos atbalstīt partneri grūtību gadījumā (šādam atbalstam būtu jābūt obligātam, ja viņi iesaistījušies neierobežotas atbildības veidā).</w:t>
      </w:r>
    </w:p>
  </w:footnote>
  <w:footnote w:id="23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to, ka parāda saistību turētāji to varētu tieši izmantot (parasti bez papildu nosacījumiem un pēc pirmā pieprasījuma), tiklīdz tiek konstatēta neizpilde vai dažos gadījumos pēc noteiktu struktūru (piemēram, Starptautiskās mijmaiņas darījumu un atvasinājumu asociācijas (</w:t>
      </w:r>
      <w:r w:rsidRPr="0006739A">
        <w:rPr>
          <w:rFonts w:ascii="Times New Roman" w:hAnsi="Times New Roman" w:cs="Times New Roman"/>
          <w:i/>
        </w:rPr>
        <w:t>ISDA</w:t>
      </w:r>
      <w:r w:rsidRPr="0006739A">
        <w:rPr>
          <w:rFonts w:ascii="Times New Roman" w:hAnsi="Times New Roman" w:cs="Times New Roman"/>
        </w:rPr>
        <w:t>)) novērtējuma.</w:t>
      </w:r>
    </w:p>
  </w:footnote>
  <w:footnote w:id="23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valdība varētu sniegt garantiju sabiedrībai, kas iesaistīta dažādās darbībās, ne tikai PPP projektā, attiecībā uz visu tās parādu. Minētais noteikums būtu pilnīgi piemērojams arī attiecībā uz šo gadījumu.</w:t>
      </w:r>
    </w:p>
  </w:footnote>
  <w:footnote w:id="23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ja atkārtota konkursa process varētu izrādīties nepārliecinošs, proti, tajā nav pretendentu vai ir tikai viens pretendents.</w:t>
      </w:r>
    </w:p>
  </w:footnote>
  <w:footnote w:id="23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Aktīva tirgus vērtību, ko nosaka neatkarīgi eksperti, novērtē, pamatojoties uz tā būvniecības izmaksām, kas pienācīgi amortizētas līguma darbības laikā, ņemot vērā arī iepriekšējā partnera saistību nepildīšanu attiecībā uz apkopi un remontiem, kuru dēļ nepieciešami jauni izdevumi saistībā ar bruto pamatkapitāla veidošanu.</w:t>
      </w:r>
    </w:p>
  </w:footnote>
  <w:footnote w:id="24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uzskaitījums nav pilnīgs, ir jānorāda konkrētais apstākļu veids, piemēram, dabas katastrofa, karš un sacelšanās, utt.</w:t>
      </w:r>
    </w:p>
  </w:footnote>
  <w:footnote w:id="24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streiks var būt “ģenerālstreiks” vai arī streiks, kas konkrēti attiecas uz partnera nodarbināto personālu. Var gadīties, ka skola tiek slēgta epidemioloģisku apsvērumu dēļ, taču higiēnas apstākļi skolā ir iesaistīti piesārņojuma radīšanā.</w:t>
      </w:r>
    </w:p>
  </w:footnote>
  <w:footnote w:id="24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par vides un arheoloģijas riskiem.</w:t>
      </w:r>
    </w:p>
  </w:footnote>
  <w:footnote w:id="24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Noteikta daudzuma vienības (</w:t>
      </w:r>
      <w:r w:rsidRPr="0006739A">
        <w:rPr>
          <w:rFonts w:ascii="Times New Roman" w:hAnsi="Times New Roman" w:cs="Times New Roman"/>
          <w:i/>
        </w:rPr>
        <w:t>AAU</w:t>
      </w:r>
      <w:r w:rsidRPr="0006739A">
        <w:rPr>
          <w:rFonts w:ascii="Times New Roman" w:hAnsi="Times New Roman" w:cs="Times New Roman"/>
        </w:rPr>
        <w:t>) ir atļauja emitēt siltumnīcefekta gāzes, kas ietver oglekļa dioksīda metriskās tonnas ekvivalentus.</w:t>
      </w:r>
    </w:p>
  </w:footnote>
  <w:footnote w:id="24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Uz nodokļu bāzes veidotas sistēmas gadījumā emitētā oglekļa daudzums netiek noteikts iepriekš, savukārt atļauju  maksimālā apjoma noteikšanas sistēma atbilst ES centieniem samazināt piesārņojuma apjomu, nosakot vispārējo maksimālo apjomu kādā laika posmā.</w:t>
      </w:r>
    </w:p>
  </w:footnote>
  <w:footnote w:id="24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ir jāuzsver, ka jaunais periods (ko dēvē par “3. posmu”) 2013. gadā ir sācies ar konkrētu “mantojumu” no iepriekšējā perioda, proti, ar ievērojamu daudzumu atļauju (galvenokārt izdotas bez maksas), kuras nevarēja tikt izmantotas dažādu iemeslu dēļ, jo īpaši tādēļ, ka negaidīti samazinājās smagi piesārņojošo uzņēmumu ražošana, un kas tika pārnestas uz 3. posmu. Šā iemesla dēļ pašreizējā (2015. gada) oglekļa tonnas cena joprojām šobrīd ir zema un būtiski atpaliek no cenas līmeņa, ko vairums ekspertu uzskata par tādu, kas varētu būtiski ietekmēt ražošanas procesus.</w:t>
      </w:r>
    </w:p>
  </w:footnote>
  <w:footnote w:id="24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valdība izsolē izdeva 100 atļaujas, kuru vērtība ir 5, kad tika nodotas 50 atļaujas. Nodoklis ir 250 un atlikušā kopuma (AF.89) vērtība ir 250. Uzskatāms, ka bezmaksas atļaujām ir nulles vērtība.</w:t>
      </w:r>
    </w:p>
  </w:footnote>
  <w:footnote w:id="24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Papildus “valstī izdotajām atļaujām” ekonomikas subjekti var tās iegādāties arī no nerezidentiem turētājiem vai iegādāties citviet ES rīkotajās izsolēs. Tās iepriekš minētajā formulā neņem vērā.</w:t>
      </w:r>
    </w:p>
  </w:footnote>
  <w:footnote w:id="24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Iekļaujot izsoles, kas varētu tikt rīkotas tā gada pirmajā ceturksnī, kurā atļaujas tiek nodotas.</w:t>
      </w:r>
    </w:p>
  </w:footnote>
  <w:footnote w:id="24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nozīmētu, ka daļa kādā valstī izdotu atļauju tiek nodota citā valstī (pārdota nerezidentiem vai grupas iekšienē ražošanas vienības, kas atrodas dažādās ES valstīs, ir veikušas apmaiņu).</w:t>
      </w:r>
    </w:p>
  </w:footnote>
  <w:footnote w:id="25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Tomēr ir jāņem vērā atļauju skaits, kas varētu tikt izmantots nākamajā posmā pēc 2020. gada. Tā kā sistēma ir būtiski jāpārskata, šobrīd nav nekādas informācijas par šo iespēju.</w:t>
      </w:r>
    </w:p>
  </w:footnote>
  <w:footnote w:id="251">
    <w:p w:rsidR="001B0687" w:rsidRPr="0006739A" w:rsidRDefault="001B0687" w:rsidP="0006739A">
      <w:pPr>
        <w:jc w:val="both"/>
        <w:rPr>
          <w:rFonts w:ascii="Times New Roman" w:eastAsia="Arial" w:hAnsi="Times New Roman" w:cs="Times New Roman"/>
          <w:noProof/>
          <w:sz w:val="20"/>
          <w:szCs w:val="20"/>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Pieejams: </w:t>
      </w:r>
      <w:r w:rsidRPr="0006739A">
        <w:rPr>
          <w:rFonts w:ascii="Times New Roman" w:hAnsi="Times New Roman" w:cs="Times New Roman"/>
          <w:noProof/>
          <w:color w:val="0000FF"/>
          <w:sz w:val="20"/>
          <w:u w:val="single" w:color="0000FF"/>
        </w:rPr>
        <w:t xml:space="preserve">2011. gada februārī: </w:t>
      </w:r>
      <w:r w:rsidRPr="0006739A">
        <w:rPr>
          <w:rFonts w:ascii="Times New Roman" w:hAnsi="Times New Roman" w:cs="Times New Roman"/>
          <w:i/>
          <w:noProof/>
          <w:color w:val="0000FF"/>
          <w:sz w:val="20"/>
          <w:u w:val="single" w:color="0000FF"/>
        </w:rPr>
        <w:t>ISWGNA</w:t>
      </w:r>
      <w:r w:rsidRPr="0006739A">
        <w:rPr>
          <w:rFonts w:ascii="Times New Roman" w:hAnsi="Times New Roman" w:cs="Times New Roman"/>
          <w:noProof/>
          <w:color w:val="0000FF"/>
          <w:sz w:val="20"/>
          <w:u w:val="single" w:color="0000FF"/>
        </w:rPr>
        <w:t xml:space="preserve"> skaidrojumi</w:t>
      </w:r>
      <w:r w:rsidRPr="0006739A">
        <w:rPr>
          <w:rFonts w:ascii="Times New Roman" w:hAnsi="Times New Roman" w:cs="Times New Roman"/>
          <w:sz w:val="20"/>
        </w:rPr>
        <w:t>.</w:t>
      </w:r>
    </w:p>
  </w:footnote>
  <w:footnote w:id="25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Pieejams: </w:t>
      </w:r>
      <w:r w:rsidRPr="0006739A">
        <w:rPr>
          <w:rFonts w:ascii="Times New Roman" w:hAnsi="Times New Roman" w:cs="Times New Roman"/>
          <w:noProof/>
          <w:color w:val="0000FF"/>
          <w:u w:val="single" w:color="0000FF"/>
        </w:rPr>
        <w:t>2012. gada martā: Atjauninājums izdevumam “</w:t>
      </w:r>
      <w:r w:rsidRPr="0006739A">
        <w:rPr>
          <w:rFonts w:ascii="Times New Roman" w:hAnsi="Times New Roman" w:cs="Times New Roman"/>
          <w:i/>
          <w:noProof/>
          <w:color w:val="0000FF"/>
          <w:u w:val="single" w:color="0000FF"/>
        </w:rPr>
        <w:t>SNA News and Notes</w:t>
      </w:r>
      <w:r w:rsidRPr="0006739A">
        <w:rPr>
          <w:rFonts w:ascii="Times New Roman" w:hAnsi="Times New Roman" w:cs="Times New Roman"/>
          <w:noProof/>
          <w:color w:val="0000FF"/>
          <w:u w:val="single" w:color="0000FF"/>
        </w:rPr>
        <w:t>”, Nr. 30/31, 2011. gada februāris).</w:t>
      </w:r>
    </w:p>
  </w:footnote>
  <w:footnote w:id="25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Pasaules līmenī pārrobežu darījumi, šķiet, ir neliela daļa no kopējām esošajām atļaujām, lai arī dažās ES dalībvalstīs to skaits varētu būt visai nozīmīgs dažādu iemeslu dēl (tostarp tāpēc, ka atļaujas iegādājas mātesuzņēmumi un pārdala savām filiālēm citās valstīs, kur tās varētu tikt nodotas).</w:t>
      </w:r>
    </w:p>
  </w:footnote>
  <w:footnote w:id="25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Tika apsvērta iespēja ES līmenī centralizēt visas izsoles un tad pārdalīt ieņēmumus, pamatojoties uz faktiskajām emisijām ES dalībvalstīs. 2009. gadā par to nebija panākta vienošanās.</w:t>
      </w:r>
    </w:p>
  </w:footnote>
  <w:footnote w:id="25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20.223. punktā minēti arī “parāda maksājumi citu vārdā”, kad netiek pārņemts viss parāds. Šāds gadījums jātraktē līdzīgi kā pārņemšana.</w:t>
      </w:r>
    </w:p>
  </w:footnote>
  <w:footnote w:id="25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Svarīgi pārbaudīt, vai daļu no uzņēmējdarbības nav pārņēmušas trešās personas, kas šādā gadījumā gūtu labumu no parāda anulēšanas, kurš</w:t>
      </w:r>
      <w:r>
        <w:rPr>
          <w:rFonts w:ascii="Times New Roman" w:hAnsi="Times New Roman" w:cs="Times New Roman"/>
        </w:rPr>
        <w:t xml:space="preserve"> tiktu ierakstīts</w:t>
      </w:r>
      <w:r w:rsidRPr="0006739A">
        <w:rPr>
          <w:rFonts w:ascii="Times New Roman" w:hAnsi="Times New Roman" w:cs="Times New Roman"/>
        </w:rPr>
        <w:t xml:space="preserve"> kā kapitāla pārvedums.</w:t>
      </w:r>
    </w:p>
  </w:footnote>
  <w:footnote w:id="25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 garantija var būt kā kredīta nodrošinājums, jo kredītvērtējuma aģentūras parasti uz aizdevumu ņemošās vienības parādu attiecina galvotāja kredītvērtējumu, ja tas ir augstāks.</w:t>
      </w:r>
    </w:p>
  </w:footnote>
  <w:footnote w:id="25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Termins “eksporta kredīts” tiek lietots šaurā nozīmē, proti, tās ir garantijas attiecībā uz aizdevumiem/kredītiem ārvalstu pircējiem vai attiecībā uz aizdevumiem vietējiem piegādātājiem, izņemot apdrošināšanu jebkādā veidā (piemēram, ar tirgus izpēti saistītā apdrošināšana, politiskais risks u. c.). Citiem vārdiem sakot, garantiju izsniedz tikai attiecībā uz aizdevēju iestāžu kredītrisku. Lai arī eksporta kredīta garantijas EKS 2010/NKS 2008 ir norādītas kā standartizēto garantiju piemērs, tomēr ES tās parasti tiek uzskatītas par apdrošināšanu. Šajā nodaļā minētās operācijas ir izklāstītas ESAO dokumentā “Vienošanās attiecībā uz oficiāli atbalstītiem eksporta kredītiem” (pēdējo reizi atjaunināts 2015. gada jūlijā).</w:t>
      </w:r>
    </w:p>
  </w:footnote>
  <w:footnote w:id="25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Dažos gadījumos viena gada laikā var būt novēroti vairāki garantijas izmaksāšanas pieprasījumi, pamatojoties uz vienu un to pašu garantijas līgumu. Saskaņā ar spēkā esošajiem noteikumiem tos visus uzskaita kā vienu pieprasījumu.</w:t>
      </w:r>
    </w:p>
  </w:footnote>
  <w:footnote w:id="26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Par šādiem maksājumiem uzskata visus valdības pārvedumus, izņemot produktu subsīdijas (D.31), taču iekļaujot citas produktu subsīdijas (D.319).</w:t>
      </w:r>
    </w:p>
  </w:footnote>
  <w:footnote w:id="26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Ievērojot 19. rindkopā minēto “trīs pieprasījumu likumu”, atbalstu var uzskatīt par regulāru, ja tas tiek sniegts vismaz trīs gadus pēc kārtas.</w:t>
      </w:r>
    </w:p>
  </w:footnote>
  <w:footnote w:id="26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Praksē var būt sarežģīti novērtēt šādu netiešu pieprasījumu, ņemot vērā, ka sabiedrībai var būt vairāki ieņēmumu avoti un valdība var piešķirt vairāku veidu atbalstu. Tāpēc šo noteikumu piemēro vienīgi tad, ja šāda situācija ir novērojama ilgstoši, attiecībā uz vairākiem pasākumiem un ne tikai ārkārtas gadījumos. Rūpīgi jāizskata arī tie gadījumi, kad valdība sistemātiski piešķir finansējumu sabiedrībai ievērojamas procentu daļas atmaksāšanai, jo tie varētu liecināt par to, ka sabiedrība varētu nespēt atmaksāt sava parāda pamatsummu. Jebkurā gadījumā valstu statistiķiem sadarbībā ar </w:t>
      </w:r>
      <w:r w:rsidRPr="0006739A">
        <w:rPr>
          <w:rFonts w:ascii="Times New Roman" w:hAnsi="Times New Roman" w:cs="Times New Roman"/>
          <w:i/>
        </w:rPr>
        <w:t>Eurostat</w:t>
      </w:r>
      <w:r w:rsidRPr="0006739A">
        <w:rPr>
          <w:rFonts w:ascii="Times New Roman" w:hAnsi="Times New Roman" w:cs="Times New Roman"/>
        </w:rPr>
        <w:t xml:space="preserve"> šis jautājums būtu jāizskata atsevišķi individuālajā līmenī.</w:t>
      </w:r>
    </w:p>
  </w:footnote>
  <w:footnote w:id="26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Jautājums par garantijām attiecībā uz grūtībās esošu finanšu iestāžu aktīviem ir apspriests IV.5. nodaļā “Finanšu sanācija”.</w:t>
      </w:r>
    </w:p>
  </w:footnote>
  <w:footnote w:id="26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“Trešā puse” nozīmē to, ka aktīvs nav prasījums attiecībā uz vienību, kurai izsniegta garantija, bet gan attiecībā uz citu vienību, kas nepiedalās noslēgtajā garantijas līgumā. Gadījumā, ja vienībai, kurai izsniegta garantija, ir finanšu prasījums, šīs vienības debitors var nodot tai šo aktīvu (iespējams, tādēļ, ka to paredz līgumsaistības un ka debitora saistību neizpilde ir bijusi par iemeslu garantijas izmantošanas pieprasījumam) un vienība šo aktīvu var nodot tālāk valdībai. Faktiski tas būtu prasījums attiecībā uz “ceturto pusi”.</w:t>
      </w:r>
    </w:p>
  </w:footnote>
  <w:footnote w:id="26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Parasti kreditoriem ir tiešas tiesības uz šāda veida nodrošinājumu, kam ir jābūt skaidri identificētam (nošķirtam) aizņēmēja bilancē. Tomēr nevar izslēgt, ka kreditors aktivizē savas tiesības uz garantiju, ja aizņēmums ir arī nodots apakšnomā tiešai valdības garantijai.</w:t>
      </w:r>
    </w:p>
  </w:footnote>
  <w:footnote w:id="26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šāda vērtība nav konstatēta, var izmantot patieso vērtību, ko neatkarīgas iestādes aprēķinājušas, pamatojoties uz parastajiem uzņēmējdarbības novērtēšanas paņēmieniem/modeļiem.</w:t>
      </w:r>
    </w:p>
  </w:footnote>
  <w:footnote w:id="26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Noteiktos apstākļos daļa prasījuma var palikt neatgūta un to traktē vai nu kā kapitāla pārvedumu, vai kā citas apjoma pārmaiņas.</w:t>
      </w:r>
    </w:p>
  </w:footnote>
  <w:footnote w:id="268">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Aktīvu garantiju gadījumā, izņemot, ja aktīvi nodoti valdībai, ja sākotnējā garantiju saņēmusī vienība var atmaksāt valdībai summas, kas tika jau pieprasītas un ko valdība bija samaksājusi vienībai, kas tur </w:t>
      </w:r>
      <w:r>
        <w:rPr>
          <w:rFonts w:ascii="Times New Roman" w:hAnsi="Times New Roman" w:cs="Times New Roman"/>
          <w:sz w:val="20"/>
        </w:rPr>
        <w:t>aktīvus, šos maksājumus ieraksta</w:t>
      </w:r>
      <w:r w:rsidRPr="0006739A">
        <w:rPr>
          <w:rFonts w:ascii="Times New Roman" w:hAnsi="Times New Roman" w:cs="Times New Roman"/>
          <w:sz w:val="20"/>
        </w:rPr>
        <w:t xml:space="preserve"> valdības kontos kā saņemamo kapitāla pārvedumu.</w:t>
      </w:r>
    </w:p>
  </w:footnote>
  <w:footnote w:id="26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Attiecībā uz publiskām sabiedrībām iepriekš 25. rindkopā norādīts, ka jebkurā gadījumā prasījums netiek atzīts.</w:t>
      </w:r>
    </w:p>
  </w:footnote>
  <w:footnote w:id="27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būtu iespējams tikai tad, ja būtu pamatotas cerības saņemt kādas summas, ja galvotājam būtu piekļuve sabiedrības likvidācijas vērtībai.</w:t>
      </w:r>
    </w:p>
  </w:footnote>
  <w:footnote w:id="27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w:t>
      </w:r>
      <w:r w:rsidRPr="0006739A">
        <w:rPr>
          <w:rFonts w:ascii="Times New Roman" w:hAnsi="Times New Roman" w:cs="Times New Roman"/>
          <w:noProof/>
          <w:color w:val="0000FF"/>
          <w:u w:val="single" w:color="0000FF"/>
        </w:rPr>
        <w:t>Direktīva 2009/138/EK (Maksātspēja II)</w:t>
      </w:r>
      <w:r w:rsidRPr="0006739A">
        <w:rPr>
          <w:rFonts w:ascii="Times New Roman" w:hAnsi="Times New Roman" w:cs="Times New Roman"/>
        </w:rPr>
        <w:t>.</w:t>
      </w:r>
    </w:p>
  </w:footnote>
  <w:footnote w:id="27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Jāņem vērā, ka šajā gadījumā valdības vienību, kas iesaistīta šajā pasākumā, var uzskatīt par finanšu kvazisabiedrību (atbilstīgi nosacījumiem, kas noteikti EKS 2010 2. nodaļā “Vienības un vienību grupas” un šīs rokasgrāmatas I daļā “Vispārējās valdības sektora norobežošana”) un līdz ar to klasificēt ārpus valdības sektora tā, lai valdības kontos parādītos tikai plūsmas starp šo vienību un valdību.</w:t>
      </w:r>
    </w:p>
  </w:footnote>
  <w:footnote w:id="27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Tie ir kavētie maksājumi, ko debitors var veikt pēc tam, kad pieprasīts izmantot garantiju. Debitors joprojām var uzņemties juridisku atbildību, taču daudzos gadījumos dažādu iemeslu dēļ tā parāds pēc garantijas aktivēšanas var tikt negrozāmi uzskatīts par pilnīgi neatgūstamu.</w:t>
      </w:r>
    </w:p>
  </w:footnote>
  <w:footnote w:id="27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Jāņem vērā, ka NKS 2008 un EKS 2010 tos dēvē par “uzkrājumiem standarta garantiju prasījumiem”, taču jāuzsver, ka tas nelīdzinās uzkrājumiem uzņēmumu gr</w:t>
      </w:r>
      <w:r>
        <w:rPr>
          <w:rFonts w:ascii="Times New Roman" w:hAnsi="Times New Roman" w:cs="Times New Roman"/>
        </w:rPr>
        <w:t>āmatvedībā, kuri tiek ierakstīti</w:t>
      </w:r>
      <w:r w:rsidRPr="0006739A">
        <w:rPr>
          <w:rFonts w:ascii="Times New Roman" w:hAnsi="Times New Roman" w:cs="Times New Roman"/>
        </w:rPr>
        <w:t xml:space="preserve"> tikai tās vienības kontos, kas veido uzkrājumus, turpretī nacionālajos kontos to uzskata par finanšu in</w:t>
      </w:r>
      <w:r>
        <w:rPr>
          <w:rFonts w:ascii="Times New Roman" w:hAnsi="Times New Roman" w:cs="Times New Roman"/>
        </w:rPr>
        <w:t>strumentu un līdz ar to ieraksta</w:t>
      </w:r>
      <w:r w:rsidRPr="0006739A">
        <w:rPr>
          <w:rFonts w:ascii="Times New Roman" w:hAnsi="Times New Roman" w:cs="Times New Roman"/>
        </w:rPr>
        <w:t xml:space="preserve"> kā saistību (galvotāja kontos) un attiecīgi kā aktīvu (apdrošināšanas ņēmēju kontos).</w:t>
      </w:r>
    </w:p>
  </w:footnote>
  <w:footnote w:id="27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To var “pieregulēt” ar citām apjoma pārmaiņām, ja prognozes attiecībā uz prasījumiem (garantijas izmaksāšanas pieprasījumiem) visā risku portfelī tiek pārvērtētas, attiecīgi tās paaugstinot vai pazeminot.</w:t>
      </w:r>
    </w:p>
  </w:footnote>
  <w:footnote w:id="27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Šī situācija ir sīkāk apspriesta NKS 2008 (sk. 17.223. punktu), nevis EKS 2010.</w:t>
      </w:r>
    </w:p>
  </w:footnote>
  <w:footnote w:id="27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Pr>
          <w:rFonts w:ascii="Times New Roman" w:hAnsi="Times New Roman" w:cs="Times New Roman"/>
        </w:rPr>
        <w:t xml:space="preserve"> Tas tiek ierakstīts</w:t>
      </w:r>
      <w:r w:rsidRPr="0006739A">
        <w:rPr>
          <w:rFonts w:ascii="Times New Roman" w:hAnsi="Times New Roman" w:cs="Times New Roman"/>
        </w:rPr>
        <w:t xml:space="preserve"> kā kapitāla pārvedums, nevis kārtējais pārvedums, jo AF.66 uzkrājums tiek veidots turpmākiem saistību neizpildes gadījumiem (nevis saistību neizpildei, kas konstatēta kārtējā gadā), un veido pēc debitoru saistību neizpildes saņemto garantiju izmantošanas pieprasījumu gaidas,</w:t>
      </w:r>
      <w:r>
        <w:rPr>
          <w:rFonts w:ascii="Times New Roman" w:hAnsi="Times New Roman" w:cs="Times New Roman"/>
        </w:rPr>
        <w:t xml:space="preserve"> ko saskaņā ar EKS 2010 ieraksta</w:t>
      </w:r>
      <w:r w:rsidRPr="0006739A">
        <w:rPr>
          <w:rFonts w:ascii="Times New Roman" w:hAnsi="Times New Roman" w:cs="Times New Roman"/>
        </w:rPr>
        <w:t xml:space="preserve"> kā kapitāla pārvedumu (sk. EKS 2010 4.165. punkta f) apakšpunktu).</w:t>
      </w:r>
    </w:p>
  </w:footnote>
  <w:footnote w:id="27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Parasti tas ir atkarīgs no diviem parametriem: “saistību neizpildes varbūtība” un “zaudējumi saistību neizpildes gadījumā”. Tomēr pastāv iespēja, ka revidenti nepieprasa uzkrājumu veidošanu, ja tiek uzskatīts, ka vienībai ietekme būs samērā niecīga un ka ietekme visticamāk ir iespējama vien kādā nezināmā laikā tālākā nākotnē.</w:t>
      </w:r>
    </w:p>
  </w:footnote>
  <w:footnote w:id="27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Gads </w:t>
      </w:r>
      <w:r w:rsidRPr="0006739A">
        <w:rPr>
          <w:rFonts w:ascii="Times New Roman" w:hAnsi="Times New Roman" w:cs="Times New Roman"/>
          <w:i/>
        </w:rPr>
        <w:t>t+2</w:t>
      </w:r>
      <w:r w:rsidRPr="0006739A">
        <w:rPr>
          <w:rFonts w:ascii="Times New Roman" w:hAnsi="Times New Roman" w:cs="Times New Roman"/>
        </w:rPr>
        <w:t xml:space="preserve"> piemērā nav parādīts, jo tas līdzinās </w:t>
      </w:r>
      <w:r w:rsidRPr="0006739A">
        <w:rPr>
          <w:rFonts w:ascii="Times New Roman" w:hAnsi="Times New Roman" w:cs="Times New Roman"/>
          <w:i/>
        </w:rPr>
        <w:t>t</w:t>
      </w:r>
      <w:r w:rsidRPr="0006739A">
        <w:rPr>
          <w:rFonts w:ascii="Times New Roman" w:hAnsi="Times New Roman" w:cs="Times New Roman"/>
        </w:rPr>
        <w:t xml:space="preserve"> gadam.</w:t>
      </w:r>
    </w:p>
  </w:footnote>
  <w:footnote w:id="28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Sk. IV5. nodaļu “Finanšu sanācija”, kurā ir sniegta problemātisko aktīvu definīcija.</w:t>
      </w:r>
    </w:p>
  </w:footnote>
  <w:footnote w:id="28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ja parāda instrumenta norādītā vērtība ir 100, bet tas emitēts ar 4 % atlaidi uz 2 ga</w:t>
      </w:r>
      <w:r>
        <w:rPr>
          <w:rFonts w:ascii="Times New Roman" w:hAnsi="Times New Roman" w:cs="Times New Roman"/>
        </w:rPr>
        <w:t>diem, sākumā tas tiks ierakstīts</w:t>
      </w:r>
      <w:r w:rsidRPr="0006739A">
        <w:rPr>
          <w:rFonts w:ascii="Times New Roman" w:hAnsi="Times New Roman" w:cs="Times New Roman"/>
        </w:rPr>
        <w:t xml:space="preserve"> ar vērtību 96, bet pēc gada ar vērtību 98. Līdzīgi, ja parāds emitēts ar 4 % prēmiju, sākumā tā</w:t>
      </w:r>
      <w:r>
        <w:rPr>
          <w:rFonts w:ascii="Times New Roman" w:hAnsi="Times New Roman" w:cs="Times New Roman"/>
        </w:rPr>
        <w:t xml:space="preserve"> ierakstītā</w:t>
      </w:r>
      <w:r w:rsidRPr="0006739A">
        <w:rPr>
          <w:rFonts w:ascii="Times New Roman" w:hAnsi="Times New Roman" w:cs="Times New Roman"/>
        </w:rPr>
        <w:t xml:space="preserve"> vērtība būs 104, bet pēc gada – 102.</w:t>
      </w:r>
    </w:p>
  </w:footnote>
  <w:footnote w:id="28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attiecībā uz F.12 (iekļauts šajā pozīcijā) – speciālās aizņēmuma tiesības – tiek atzītas gan par aktīviem, gan saistībām. Attiecībā uz ES dalībvalstīm F.12 parasti parādās centrālo banku bilancē, taču </w:t>
      </w:r>
      <w:r w:rsidRPr="0006739A">
        <w:rPr>
          <w:rFonts w:ascii="Times New Roman" w:hAnsi="Times New Roman" w:cs="Times New Roman"/>
          <w:i/>
        </w:rPr>
        <w:t>SDR</w:t>
      </w:r>
      <w:r w:rsidRPr="0006739A">
        <w:rPr>
          <w:rFonts w:ascii="Times New Roman" w:hAnsi="Times New Roman" w:cs="Times New Roman"/>
        </w:rPr>
        <w:t xml:space="preserve"> var būt iedalītas arī valdībai.</w:t>
      </w:r>
    </w:p>
  </w:footnote>
  <w:footnote w:id="28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Saskaņā ar </w:t>
      </w:r>
      <w:r w:rsidRPr="0006739A">
        <w:rPr>
          <w:rFonts w:ascii="Times New Roman" w:hAnsi="Times New Roman" w:cs="Times New Roman"/>
          <w:i/>
        </w:rPr>
        <w:t>Eurostat</w:t>
      </w:r>
      <w:r w:rsidRPr="0006739A">
        <w:rPr>
          <w:rFonts w:ascii="Times New Roman" w:hAnsi="Times New Roman" w:cs="Times New Roman"/>
        </w:rPr>
        <w:t xml:space="preserve"> 2012. gada 31. jūlija lēmumu visus tirdzniecības kredītus, kas piešķirti valdības vienībai un ko refinansējušas finanšu iestādes bez regresa prasījuma (jo īpaši, veicot faktūrkreditēšanas darbības) vai kas ir pārstrukturēti (atkārtoti pārskatīti, iekļaujot kādas jaunas iezīmes), pārklasificē kā aizdevumus.</w:t>
      </w:r>
    </w:p>
  </w:footnote>
  <w:footnote w:id="28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Attiecībā uz AF.5 un AF.6 parasti tas varētu notikt tādēļ, ka tiek veikta ārpustirgus publisku sabiedrību klasificēšana valdības sektorā (sk. I daļu “Vispārējās valdības sektora norobežošana”).</w:t>
      </w:r>
    </w:p>
  </w:footnote>
  <w:footnote w:id="28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pamatojumu varētu apšaubīt, jo finanšu instrumentu maksājuma termiņš kā tāds nevar mainīt tam piemītošo būtību. Noteikti daudz labāk būtu argumentēt, ka daudzos valdības un nefinanšu sabiedrības piegādātāja darījumos abu pušu “spēja panākt sev izdevīgus nosacījumus” ir diezgan nelīdzsvarota. Šādus ilgtermiņa tirdzniecības kredītus nenovēro parastās ekonomisko vienību komercattiecībās (izņemot, ja vienības ir vienas grupas sastāvā). Valdība var uzspiest saviem preču un pakalpojumu sniedzējiem ilgtermiņa tirdzniecības kredītus, ņemot vērā, ka ietekme sarunu procesā abām pusēm nav līdzvērtīga.</w:t>
      </w:r>
    </w:p>
  </w:footnote>
  <w:footnote w:id="28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Jo īpaši saistībā ar </w:t>
      </w:r>
      <w:r w:rsidRPr="0006739A">
        <w:rPr>
          <w:rFonts w:ascii="Times New Roman" w:hAnsi="Times New Roman" w:cs="Times New Roman"/>
          <w:noProof/>
          <w:color w:val="0000FF"/>
          <w:u w:val="single" w:color="0000FF"/>
        </w:rPr>
        <w:t xml:space="preserve">Direktīvu 2011/7/ES </w:t>
      </w:r>
      <w:r w:rsidRPr="0006739A">
        <w:rPr>
          <w:rFonts w:ascii="Times New Roman" w:hAnsi="Times New Roman" w:cs="Times New Roman"/>
        </w:rPr>
        <w:t>par maksājumu kavējumu novēršanu komercdarījumos.</w:t>
      </w:r>
    </w:p>
  </w:footnote>
  <w:footnote w:id="28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EKS 2010 4.46. punkta c) apakšpunktā norādīts, ka </w:t>
      </w:r>
      <w:r w:rsidRPr="0006739A">
        <w:rPr>
          <w:rFonts w:ascii="Times New Roman" w:hAnsi="Times New Roman" w:cs="Times New Roman"/>
          <w:i/>
        </w:rPr>
        <w:t>nenomaksātās pamatsummas vērtības pārmaiņas laikā no konkrētā uzskaites perioda sākuma līdz perioda beigām, ko rada svārstības attiecīgajā indeksā, uzskata par šajā periodā uzkrātiem procentiem – papildu procentiem, kuri jāmaksā šajā periodā</w:t>
      </w:r>
      <w:r w:rsidRPr="0006739A">
        <w:rPr>
          <w:rFonts w:ascii="Times New Roman" w:hAnsi="Times New Roman" w:cs="Times New Roman"/>
        </w:rPr>
        <w:t>. Tas ir piemērojams tikai sasaistei ar vispārējo cenu indeksu (“plašs” indekss) un nevis ar indeksu, kas attiecas uz instrumentu vai preci (“šaurs” indekss). Pēdējā</w:t>
      </w:r>
      <w:r>
        <w:rPr>
          <w:rFonts w:ascii="Times New Roman" w:hAnsi="Times New Roman" w:cs="Times New Roman"/>
        </w:rPr>
        <w:t xml:space="preserve"> minētajā gadījumā var ierakstīt</w:t>
      </w:r>
      <w:r w:rsidRPr="0006739A">
        <w:rPr>
          <w:rFonts w:ascii="Times New Roman" w:hAnsi="Times New Roman" w:cs="Times New Roman"/>
        </w:rPr>
        <w:t xml:space="preserve"> turēšanas guvumus attiecībā uz daļu no maiņas (sk. šīs rokasgrāmatas II.4. nodaļu), t. i., teorētiski indeksa izmaiņas, kas sākumā netika gaidītas. Šī atšķirība nav norādīta iepriekš minētajā </w:t>
      </w:r>
      <w:r w:rsidRPr="0006739A">
        <w:rPr>
          <w:rFonts w:ascii="Times New Roman" w:hAnsi="Times New Roman" w:cs="Times New Roman"/>
          <w:i/>
        </w:rPr>
        <w:t>EDP</w:t>
      </w:r>
      <w:r w:rsidRPr="0006739A">
        <w:rPr>
          <w:rFonts w:ascii="Times New Roman" w:hAnsi="Times New Roman" w:cs="Times New Roman"/>
        </w:rPr>
        <w:t xml:space="preserve"> regulā. Savukārt EKS 2010 5.94. punktā norādīts, ka </w:t>
      </w:r>
      <w:r w:rsidRPr="0006739A">
        <w:rPr>
          <w:rFonts w:ascii="Times New Roman" w:hAnsi="Times New Roman" w:cs="Times New Roman"/>
          <w:i/>
        </w:rPr>
        <w:t>parāda vērtspapīrus, kuru pamatsumma un kupons ir saistīti ar ārvalstu valūtu, klasificē kā parāda vērtspapīrus minētajā ārvalstu valūtā</w:t>
      </w:r>
      <w:r w:rsidRPr="0006739A">
        <w:rPr>
          <w:rFonts w:ascii="Times New Roman" w:hAnsi="Times New Roman" w:cs="Times New Roman"/>
        </w:rPr>
        <w:t>. Citiem vārdiem, ārvals</w:t>
      </w:r>
      <w:r>
        <w:rPr>
          <w:rFonts w:ascii="Times New Roman" w:hAnsi="Times New Roman" w:cs="Times New Roman"/>
        </w:rPr>
        <w:t>tu valūtās izteikta</w:t>
      </w:r>
      <w:r w:rsidRPr="0006739A">
        <w:rPr>
          <w:rFonts w:ascii="Times New Roman" w:hAnsi="Times New Roman" w:cs="Times New Roman"/>
        </w:rPr>
        <w:t xml:space="preserve"> instrumenta valsts valūtas vērtības izmaiņas traktē kā nominālos turēšanas guvumus. Tādējādi šaura indeksa emisija varētu skart atsauci uz preci (piemēram, zeltu) vai noteiktu finanšu instrumentu (piemēram, noteiktu akciju). Ņemot vērā, ka vairumā gadījumu ir liela nenoteiktība par nākotnes tendencēm, viss kapitāla pieaugums, kas rada izmaiņas tā atsaucē, praktisku un konsekvences apsvērumu dēļ ir traktējams kā procenti.</w:t>
      </w:r>
    </w:p>
  </w:footnote>
  <w:footnote w:id="28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būt atdalītie procenti un pamatsummas, kas attiecas uz konkrētu ma</w:t>
      </w:r>
      <w:r>
        <w:rPr>
          <w:rFonts w:ascii="Times New Roman" w:hAnsi="Times New Roman" w:cs="Times New Roman"/>
        </w:rPr>
        <w:t>ksājuma termiņu, kuros ir</w:t>
      </w:r>
      <w:r w:rsidRPr="0006739A">
        <w:rPr>
          <w:rFonts w:ascii="Times New Roman" w:hAnsi="Times New Roman" w:cs="Times New Roman"/>
        </w:rPr>
        <w:t xml:space="preserve"> gan procentu, gan pamatsummas atpirkšana.</w:t>
      </w:r>
    </w:p>
  </w:footnote>
  <w:footnote w:id="289">
    <w:p w:rsidR="001B0687" w:rsidRPr="0006739A" w:rsidRDefault="001B0687" w:rsidP="0006739A">
      <w:pPr>
        <w:jc w:val="both"/>
        <w:rPr>
          <w:rFonts w:ascii="Times New Roman" w:eastAsia="Arial" w:hAnsi="Times New Roman" w:cs="Times New Roman"/>
          <w:noProof/>
          <w:sz w:val="24"/>
          <w:szCs w:val="16"/>
        </w:rPr>
      </w:pPr>
      <w:r w:rsidRPr="0006739A">
        <w:rPr>
          <w:rStyle w:val="FootnoteReference"/>
          <w:rFonts w:ascii="Times New Roman" w:hAnsi="Times New Roman" w:cs="Times New Roman"/>
          <w:sz w:val="20"/>
        </w:rPr>
        <w:footnoteRef/>
      </w:r>
      <w:r w:rsidRPr="0006739A">
        <w:rPr>
          <w:rFonts w:ascii="Times New Roman" w:hAnsi="Times New Roman" w:cs="Times New Roman"/>
          <w:sz w:val="20"/>
        </w:rPr>
        <w:t xml:space="preserve"> Būtībā parāda palielinājums vienmēr nozīmē naudas došanu emitentam (izņemot indeksētā parāda gadījumā).</w:t>
      </w:r>
    </w:p>
  </w:footnote>
  <w:footnote w:id="29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Sīkāku informāciju par mijmaiņas darījumiem nacionālajos kontos sk. EKS 2010 5.199.–5.219. punktā.</w:t>
      </w:r>
    </w:p>
  </w:footnote>
  <w:footnote w:id="29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Pēc finanšu krīzes, jo īpaši saistībā ar Eiropas tirgus infrastruktūru regulu, dažus ārpusbiržas atvasinājumus (</w:t>
      </w:r>
      <w:r w:rsidRPr="0006739A">
        <w:rPr>
          <w:rFonts w:ascii="Times New Roman" w:hAnsi="Times New Roman" w:cs="Times New Roman"/>
          <w:i/>
        </w:rPr>
        <w:t>OTC</w:t>
      </w:r>
      <w:r w:rsidRPr="0006739A">
        <w:rPr>
          <w:rFonts w:ascii="Times New Roman" w:hAnsi="Times New Roman" w:cs="Times New Roman"/>
        </w:rPr>
        <w:t>) varētu tirgot ar “centrālo mijieskaita darījumu starpnieku” starpniecību vai šos atvasinājumus varētu deklarēt “centrālajos datu repozitorijos”.</w:t>
      </w:r>
    </w:p>
  </w:footnote>
  <w:footnote w:id="29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Šie gadījumi ir drīzāk hipotētiski, taču nav pilnībā izslēdzami.</w:t>
      </w:r>
    </w:p>
  </w:footnote>
  <w:footnote w:id="29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Mijmaiņas darījumu naudas plūsmas struktūra var būt veidota jebkādā iedomājamā veidā. Savukārt tradicionālajiem mijmaiņas darījumiem, kas noslēgti saskaņā ar tirgus nosacījumiem, ir vienkārša struktūra. Piemēram, procentu likmes mijmaiņas darījumam ir fiksētā daļa un mainīgā daļa. Tradicionāla procentu likmes mijmaiņas darījuma fiksētajai daļai ir nemainīga procentu likme visā mijmaiņas darījuma darbības laikā. Ārpusbiržas procentu likmes mijmaiņas darījuma gadījumā fiksētā daļa visā mijmaiņas darījuma darbības laikā var nebūt nemainīga, tādējādi tas vairs nav tradicionāls/standartizēts mijmaiņas darījums. Cits ārpusbiržas mijmaiņas darījuma piemērs varētu būt mainīgs sadalījums visā procentu likmes mijmaiņas darījuma darbības termiņā. Turklāt procentu likmes mijmaiņas darījuma mainīgajai daļai ir jābūt saskaņā ar tirgus nosacījumiem. Ja tas tā nav, tas varētu liecināt par ārpusbiržas mijmaiņas darījumu. Piemēram, tradicionālā procentu likmes mijmaiņas darījuma mainīgā daļa saskaņā ar tirgus nosacījumiem varētu attiekties uz (novērojamām) tirgus procentu likmes tirgus prognozēm (piemēram, </w:t>
      </w:r>
      <w:r w:rsidRPr="0006739A">
        <w:rPr>
          <w:rFonts w:ascii="Times New Roman" w:hAnsi="Times New Roman" w:cs="Times New Roman"/>
          <w:i/>
        </w:rPr>
        <w:t>EURIBOR</w:t>
      </w:r>
      <w:r w:rsidRPr="0006739A">
        <w:rPr>
          <w:rFonts w:ascii="Times New Roman" w:hAnsi="Times New Roman" w:cs="Times New Roman"/>
        </w:rPr>
        <w:t>). Ārpusbiržas procentu likmes mijmaiņas darījuma gadījumā mainīgā daļa varētu balstīties uz apdomīgi noteiktām mainīgām procentu likmēm.</w:t>
      </w:r>
    </w:p>
  </w:footnote>
  <w:footnote w:id="29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Saskaņā ar EKS 2010 5.229. punktu nacionālajos kontos mijmaiņas darījumu, kam ir neto saistī</w:t>
      </w:r>
      <w:r>
        <w:rPr>
          <w:rFonts w:ascii="Times New Roman" w:hAnsi="Times New Roman" w:cs="Times New Roman"/>
        </w:rPr>
        <w:t>bu vērtība, parasti arī ieraksta</w:t>
      </w:r>
      <w:r w:rsidRPr="0006739A">
        <w:rPr>
          <w:rFonts w:ascii="Times New Roman" w:hAnsi="Times New Roman" w:cs="Times New Roman"/>
        </w:rPr>
        <w:t xml:space="preserve"> aktīvu pusē, </w:t>
      </w:r>
      <w:r w:rsidRPr="0006739A">
        <w:rPr>
          <w:rFonts w:ascii="Times New Roman" w:hAnsi="Times New Roman" w:cs="Times New Roman"/>
          <w:i/>
        </w:rPr>
        <w:t>lai izvairītos no pastāvīgas pārejas no aktīvu uz saistību pusi</w:t>
      </w:r>
      <w:r w:rsidRPr="0006739A">
        <w:rPr>
          <w:rFonts w:ascii="Times New Roman" w:hAnsi="Times New Roman" w:cs="Times New Roman"/>
        </w:rPr>
        <w:t>.</w:t>
      </w:r>
    </w:p>
  </w:footnote>
  <w:footnote w:id="29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Visas plūsmas, kas apmainītas saskaņā ar mijmaiņas darījumu (jo īpaši </w:t>
      </w:r>
      <w:r w:rsidRPr="0006739A">
        <w:rPr>
          <w:rFonts w:ascii="Times New Roman" w:hAnsi="Times New Roman" w:cs="Times New Roman"/>
          <w:i/>
        </w:rPr>
        <w:t>IRS</w:t>
      </w:r>
      <w:r w:rsidRPr="0006739A">
        <w:rPr>
          <w:rFonts w:ascii="Times New Roman" w:hAnsi="Times New Roman" w:cs="Times New Roman"/>
        </w:rPr>
        <w:t>) un kas neattiecas uz procentiem sadalītajā aizdevuma komponentā ārpusbir</w:t>
      </w:r>
      <w:r>
        <w:rPr>
          <w:rFonts w:ascii="Times New Roman" w:hAnsi="Times New Roman" w:cs="Times New Roman"/>
        </w:rPr>
        <w:t>žas mijmaiņas darījumā, ieraksta</w:t>
      </w:r>
      <w:r w:rsidRPr="0006739A">
        <w:rPr>
          <w:rFonts w:ascii="Times New Roman" w:hAnsi="Times New Roman" w:cs="Times New Roman"/>
        </w:rPr>
        <w:t xml:space="preserve"> kā finanšu darījumu, pat ja tās līgumā tiek apzīmētas kā procenti.</w:t>
      </w:r>
    </w:p>
  </w:footnote>
  <w:footnote w:id="29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aizdevuma komponenta “maksājumus” un to izpirkšanu var panākt, koriģējot sadalījumu pa vairākiem periodiem.</w:t>
      </w:r>
    </w:p>
  </w:footnote>
  <w:footnote w:id="29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ļoti vienkāršā gadījumā aizdevums var rasties no neparasti augstas starpības </w:t>
      </w:r>
      <w:r w:rsidRPr="0006739A">
        <w:rPr>
          <w:rFonts w:ascii="Times New Roman" w:hAnsi="Times New Roman" w:cs="Times New Roman"/>
          <w:i/>
        </w:rPr>
        <w:t>t</w:t>
      </w:r>
      <w:r w:rsidRPr="0006739A">
        <w:rPr>
          <w:rFonts w:ascii="Times New Roman" w:hAnsi="Times New Roman" w:cs="Times New Roman"/>
        </w:rPr>
        <w:t> periodā, kas tiek pilnībā neitralizēta ar atbilstošu (negatīvu) starpības korekciju nākamajā periodā, savukārt mijmaiņas darījuma kopējais darbības laiks var būt daudz ilgāks.</w:t>
      </w:r>
    </w:p>
  </w:footnote>
  <w:footnote w:id="29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mijmaiņas darījumam varētu būt dažādas “konfigurācijas”, vispirms tam ir nulles vērtība sākumā, pēc tam mijmaiņas darījuma darbības laikā ir nepieciešamas iemaksas skaidrā naudā darījuma “atkārtotai līdzsvarošanai”. Šajā gadījumā aizdevuma komponen</w:t>
      </w:r>
      <w:r>
        <w:rPr>
          <w:rFonts w:ascii="Times New Roman" w:hAnsi="Times New Roman" w:cs="Times New Roman"/>
        </w:rPr>
        <w:t>tu ieraksta</w:t>
      </w:r>
      <w:r w:rsidRPr="0006739A">
        <w:rPr>
          <w:rFonts w:ascii="Times New Roman" w:hAnsi="Times New Roman" w:cs="Times New Roman"/>
        </w:rPr>
        <w:t xml:space="preserve"> brīdī, kad ir saņemta pirmā iemaksa, un pēc tam aizdevumu pakāpeniski palielina pēc atmaksu atskaitīšanas, ja tādas ir bijušas.</w:t>
      </w:r>
    </w:p>
  </w:footnote>
  <w:footnote w:id="299">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Ja ārpusbiržas mijmaiņas darījums ir saistīts ar valdības bilan</w:t>
      </w:r>
      <w:r>
        <w:rPr>
          <w:rFonts w:ascii="Times New Roman" w:hAnsi="Times New Roman" w:cs="Times New Roman"/>
        </w:rPr>
        <w:t>ces pārstrukturēšanu, jāieraksta</w:t>
      </w:r>
      <w:r w:rsidRPr="0006739A">
        <w:rPr>
          <w:rFonts w:ascii="Times New Roman" w:hAnsi="Times New Roman" w:cs="Times New Roman"/>
        </w:rPr>
        <w:t xml:space="preserve"> nosacītais darījums. Piemēram, pāreja no atvasinātajiem finanšu instrumentiem (AF.71) u</w:t>
      </w:r>
      <w:r>
        <w:rPr>
          <w:rFonts w:ascii="Times New Roman" w:hAnsi="Times New Roman" w:cs="Times New Roman"/>
        </w:rPr>
        <w:t>z aizdevumu (AF.4) ir jāieraksta kā</w:t>
      </w:r>
      <w:r w:rsidRPr="0006739A">
        <w:rPr>
          <w:rFonts w:ascii="Times New Roman" w:hAnsi="Times New Roman" w:cs="Times New Roman"/>
        </w:rPr>
        <w:t xml:space="preserve"> divi vienlaikus veikti darījumi.</w:t>
      </w:r>
    </w:p>
  </w:footnote>
  <w:footnote w:id="300">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Mijmaiņas darījuma vērtībā var tikt iekļautas arī maksas, kuru nomaksa ir sadalīta pa visu mijmaiņas darījuma darbības laiku.</w:t>
      </w:r>
    </w:p>
  </w:footnote>
  <w:footnote w:id="301">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Atgādinājumam (sk. EKS 2010 5.122. punktu): ja aizdevumu sāk regulāri tirgot (nevis to tirgo tikai izņēmuma kārtā, kas nozīmē, ka faktiski pastāv visai aktīvs tirgus), tas ir jāpārklasificē kā vērtspapīrs.</w:t>
      </w:r>
    </w:p>
  </w:footnote>
  <w:footnote w:id="302">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Pastāv atšķirība starp “maksātāja mijmaiņas iespējas līgumu”, kas dod mijmaiņas iespējas līguma īpašniekam tiesības iesaistīties mijmaiņas darījumā, kurā tas maksā fiksētu daļu un saņem mainīgo daļu, un “saņēmēja mijmaiņas iespējas līgumu”, kas dod mijmaiņas iespējas līguma īpašniekam tiesības iesaistīties mijmaiņas darījumā, kurā tas saņem fiksētu daļu un maksā mainīgo daļu. Valdība var iesaistīties abos.</w:t>
      </w:r>
    </w:p>
  </w:footnote>
  <w:footnote w:id="303">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Ir būtiski nošķirt mijmaiņas iespējas līgumu, kas ir iespējas līgums, ko teorētiski var tirgot atsevišķi, un jebkādu mijmaiņas darījumā iekļautu iespēju (tas varētu attiekties uz “anulēšanas tiesībām” un arī, piemēram, uz pāreju no fiksētas likmes uz citu vai no mainīgas likmes uz fiksētu utt.), ko nevar tirgot atsevišķi un kurai turklāt nav nepieciešams parakstīt jaunu līgumu, kad iespēja ir realizēta. Šādā gadījumā nekāds specifisks traktējums nav nepieciešams.</w:t>
      </w:r>
    </w:p>
  </w:footnote>
  <w:footnote w:id="304">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Piemēram, ja maksājuma termiņš ir ilgāks, valdība ir pakļauta lielākai tirgus nepastāvībai nekā iepriekšējā mijmaiņas darījumā. Līdzīgi, ja maksājuma termiņš ir īsāks (parasti kopā ar augstāku pamatsummu), ikgadējās naudas izmaksas varētu būt augstākas.</w:t>
      </w:r>
    </w:p>
  </w:footnote>
  <w:footnote w:id="305">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Var tomēr gadīties, ka maksas, kas iekasētas par šādu darījumu (kas kopumā ir visai ievērojamas), tiek iekļautas mijmaiņas darījuma jaunajā tirgus vērtībā, t. i., to samaksa tiek sadalīta visā jaunā mijmaiņas darījuma darbības termiņā. Šādā gadījumā tirgus vērtība pēc definīcijas ir mainīta.</w:t>
      </w:r>
    </w:p>
  </w:footnote>
  <w:footnote w:id="306">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nozīmē, ka vērtības jutība pret konkrēto mainīgās tirgus atsauces maiņu ir līdzīga. Pārstrukturēšana parasti notiek vienā dienā, un vērtēšanu veic, pamatojoties uz tādiem pašiem tirgus nosacījumiem.</w:t>
      </w:r>
    </w:p>
  </w:footnote>
  <w:footnote w:id="307">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Terminu “</w:t>
      </w:r>
      <w:r w:rsidRPr="0006739A">
        <w:rPr>
          <w:rFonts w:ascii="Times New Roman" w:hAnsi="Times New Roman" w:cs="Times New Roman"/>
          <w:i/>
        </w:rPr>
        <w:t>reversais repo</w:t>
      </w:r>
      <w:r w:rsidRPr="0006739A">
        <w:rPr>
          <w:rFonts w:ascii="Times New Roman" w:hAnsi="Times New Roman" w:cs="Times New Roman"/>
        </w:rPr>
        <w:t>” izmanto no naudas saņēmēja/vērtspapīra ņēmēja skatupunkta, taču šajā nodaļā izmanto tikai terminu “</w:t>
      </w:r>
      <w:r w:rsidRPr="0006739A">
        <w:rPr>
          <w:rFonts w:ascii="Times New Roman" w:hAnsi="Times New Roman" w:cs="Times New Roman"/>
          <w:i/>
        </w:rPr>
        <w:t>repo</w:t>
      </w:r>
      <w:r w:rsidRPr="0006739A">
        <w:rPr>
          <w:rFonts w:ascii="Times New Roman" w:hAnsi="Times New Roman" w:cs="Times New Roman"/>
        </w:rPr>
        <w:t>”. Valdība var būt gan saņēmējs, gan ņēmējs saistībā ar īstermiņa finanšu līdzekļu pārvaldību.</w:t>
      </w:r>
    </w:p>
  </w:footnote>
  <w:footnote w:id="308">
    <w:p w:rsidR="001B0687" w:rsidRPr="0006739A" w:rsidRDefault="001B0687" w:rsidP="0006739A">
      <w:pPr>
        <w:pStyle w:val="FootnoteText"/>
        <w:jc w:val="both"/>
        <w:rPr>
          <w:rFonts w:ascii="Times New Roman" w:hAnsi="Times New Roman" w:cs="Times New Roman"/>
        </w:rPr>
      </w:pPr>
      <w:r w:rsidRPr="0006739A">
        <w:rPr>
          <w:rStyle w:val="FootnoteReference"/>
          <w:rFonts w:ascii="Times New Roman" w:hAnsi="Times New Roman" w:cs="Times New Roman"/>
        </w:rPr>
        <w:footnoteRef/>
      </w:r>
      <w:r w:rsidRPr="0006739A">
        <w:rPr>
          <w:rFonts w:ascii="Times New Roman" w:hAnsi="Times New Roman" w:cs="Times New Roman"/>
        </w:rPr>
        <w:t xml:space="preserve"> Tas ir, monetārām finanšu iestādēm.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Style w:val="Header"/>
      <w:tabs>
        <w:tab w:val="clear" w:pos="4153"/>
        <w:tab w:val="clear" w:pos="8306"/>
      </w:tabs>
      <w:jc w:val="both"/>
      <w:rPr>
        <w:rStyle w:val="PageNumber"/>
        <w:rFonts w:ascii="Times New Roman" w:hAnsi="Times New Roman"/>
        <w:sz w:val="20"/>
        <w:szCs w:val="20"/>
      </w:rPr>
    </w:pPr>
  </w:p>
  <w:p w:rsidR="001B0687" w:rsidRPr="004F5D11" w:rsidRDefault="001B0687" w:rsidP="00282E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282E8B">
    <w:pPr>
      <w:pStyle w:val="Header"/>
      <w:jc w:val="both"/>
      <w:rPr>
        <w:rFonts w:ascii="Times New Roman" w:hAnsi="Times New Roman"/>
        <w:sz w:val="20"/>
        <w:szCs w:val="20"/>
      </w:rPr>
    </w:pPr>
  </w:p>
  <w:p w:rsidR="001B0687" w:rsidRPr="00205DD8" w:rsidRDefault="001B0687">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Bdr>
        <w:bottom w:val="single" w:sz="12" w:space="5" w:color="auto"/>
      </w:pBdr>
      <w:jc w:val="both"/>
      <w:rPr>
        <w:rFonts w:ascii="Times New Roman" w:hAnsi="Times New Roman"/>
        <w:spacing w:val="-2"/>
        <w:sz w:val="20"/>
        <w:szCs w:val="20"/>
      </w:rPr>
    </w:pPr>
  </w:p>
  <w:p w:rsidR="001B0687" w:rsidRPr="004F5D11" w:rsidRDefault="001B0687" w:rsidP="00282E8B">
    <w:pPr>
      <w:pStyle w:val="Header"/>
      <w:jc w:val="both"/>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Style w:val="Header"/>
      <w:tabs>
        <w:tab w:val="clear" w:pos="4153"/>
        <w:tab w:val="clear" w:pos="8306"/>
      </w:tabs>
      <w:jc w:val="both"/>
      <w:rPr>
        <w:rStyle w:val="PageNumber"/>
        <w:rFonts w:ascii="Times New Roman" w:hAnsi="Times New Roman"/>
        <w:sz w:val="20"/>
        <w:szCs w:val="20"/>
      </w:rPr>
    </w:pPr>
  </w:p>
  <w:p w:rsidR="001B0687" w:rsidRPr="004F5D11" w:rsidRDefault="001B0687" w:rsidP="008D3039">
    <w:pPr>
      <w:pStyle w:val="Header"/>
      <w:tabs>
        <w:tab w:val="clear" w:pos="4153"/>
        <w:tab w:val="clear" w:pos="8306"/>
        <w:tab w:val="right" w:leader="underscore" w:pos="14005"/>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282E8B">
    <w:pPr>
      <w:pStyle w:val="Header"/>
      <w:jc w:val="both"/>
      <w:rPr>
        <w:rFonts w:ascii="Times New Roman" w:hAnsi="Times New Roman"/>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Bdr>
        <w:bottom w:val="single" w:sz="12" w:space="5" w:color="auto"/>
      </w:pBdr>
      <w:jc w:val="both"/>
      <w:rPr>
        <w:rFonts w:ascii="Times New Roman" w:hAnsi="Times New Roman"/>
        <w:spacing w:val="-2"/>
        <w:sz w:val="20"/>
        <w:szCs w:val="20"/>
      </w:rPr>
    </w:pPr>
  </w:p>
  <w:p w:rsidR="001B0687" w:rsidRPr="004F5D11" w:rsidRDefault="001B0687" w:rsidP="00282E8B">
    <w:pPr>
      <w:pStyle w:val="Header"/>
      <w:jc w:val="both"/>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687" w:rsidRPr="004F5D11" w:rsidRDefault="001B0687" w:rsidP="00282E8B">
    <w:pPr>
      <w:pStyle w:val="Header"/>
      <w:tabs>
        <w:tab w:val="clear" w:pos="4153"/>
        <w:tab w:val="clear" w:pos="8306"/>
      </w:tabs>
      <w:jc w:val="both"/>
      <w:rPr>
        <w:rStyle w:val="PageNumber"/>
        <w:rFonts w:ascii="Times New Roman" w:hAnsi="Times New Roman"/>
        <w:sz w:val="20"/>
        <w:szCs w:val="20"/>
      </w:rPr>
    </w:pPr>
  </w:p>
  <w:p w:rsidR="001B0687" w:rsidRPr="004F5D11" w:rsidRDefault="001B0687" w:rsidP="00282E8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1B0687" w:rsidRPr="004F5D11" w:rsidRDefault="001B0687" w:rsidP="00282E8B">
    <w:pPr>
      <w:pStyle w:val="Header"/>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01630"/>
    <w:multiLevelType w:val="hybridMultilevel"/>
    <w:tmpl w:val="DE96D2D6"/>
    <w:lvl w:ilvl="0" w:tplc="01C08648">
      <w:start w:val="21"/>
      <w:numFmt w:val="decimal"/>
      <w:lvlText w:val="%1."/>
      <w:lvlJc w:val="left"/>
      <w:pPr>
        <w:ind w:left="1102" w:hanging="360"/>
        <w:jc w:val="right"/>
      </w:pPr>
      <w:rPr>
        <w:rFonts w:ascii="Times New Roman" w:eastAsia="Arial" w:hAnsi="Times New Roman" w:cs="Times New Roman" w:hint="default"/>
        <w:w w:val="99"/>
        <w:sz w:val="24"/>
        <w:szCs w:val="24"/>
      </w:rPr>
    </w:lvl>
    <w:lvl w:ilvl="1" w:tplc="164263F6">
      <w:start w:val="1"/>
      <w:numFmt w:val="bullet"/>
      <w:lvlText w:val="•"/>
      <w:lvlJc w:val="left"/>
      <w:pPr>
        <w:ind w:left="2086" w:hanging="360"/>
      </w:pPr>
      <w:rPr>
        <w:rFonts w:hint="default"/>
      </w:rPr>
    </w:lvl>
    <w:lvl w:ilvl="2" w:tplc="6F545942">
      <w:start w:val="1"/>
      <w:numFmt w:val="bullet"/>
      <w:lvlText w:val="•"/>
      <w:lvlJc w:val="left"/>
      <w:pPr>
        <w:ind w:left="3070" w:hanging="360"/>
      </w:pPr>
      <w:rPr>
        <w:rFonts w:hint="default"/>
      </w:rPr>
    </w:lvl>
    <w:lvl w:ilvl="3" w:tplc="D5FE2648">
      <w:start w:val="1"/>
      <w:numFmt w:val="bullet"/>
      <w:lvlText w:val="•"/>
      <w:lvlJc w:val="left"/>
      <w:pPr>
        <w:ind w:left="4055" w:hanging="360"/>
      </w:pPr>
      <w:rPr>
        <w:rFonts w:hint="default"/>
      </w:rPr>
    </w:lvl>
    <w:lvl w:ilvl="4" w:tplc="FC0842E8">
      <w:start w:val="1"/>
      <w:numFmt w:val="bullet"/>
      <w:lvlText w:val="•"/>
      <w:lvlJc w:val="left"/>
      <w:pPr>
        <w:ind w:left="5039" w:hanging="360"/>
      </w:pPr>
      <w:rPr>
        <w:rFonts w:hint="default"/>
      </w:rPr>
    </w:lvl>
    <w:lvl w:ilvl="5" w:tplc="5492F54C">
      <w:start w:val="1"/>
      <w:numFmt w:val="bullet"/>
      <w:lvlText w:val="•"/>
      <w:lvlJc w:val="left"/>
      <w:pPr>
        <w:ind w:left="6024" w:hanging="360"/>
      </w:pPr>
      <w:rPr>
        <w:rFonts w:hint="default"/>
      </w:rPr>
    </w:lvl>
    <w:lvl w:ilvl="6" w:tplc="17C8D1BC">
      <w:start w:val="1"/>
      <w:numFmt w:val="bullet"/>
      <w:lvlText w:val="•"/>
      <w:lvlJc w:val="left"/>
      <w:pPr>
        <w:ind w:left="7008" w:hanging="360"/>
      </w:pPr>
      <w:rPr>
        <w:rFonts w:hint="default"/>
      </w:rPr>
    </w:lvl>
    <w:lvl w:ilvl="7" w:tplc="D852795E">
      <w:start w:val="1"/>
      <w:numFmt w:val="bullet"/>
      <w:lvlText w:val="•"/>
      <w:lvlJc w:val="left"/>
      <w:pPr>
        <w:ind w:left="7993" w:hanging="360"/>
      </w:pPr>
      <w:rPr>
        <w:rFonts w:hint="default"/>
      </w:rPr>
    </w:lvl>
    <w:lvl w:ilvl="8" w:tplc="A38A668A">
      <w:start w:val="1"/>
      <w:numFmt w:val="bullet"/>
      <w:lvlText w:val="•"/>
      <w:lvlJc w:val="left"/>
      <w:pPr>
        <w:ind w:left="8977" w:hanging="360"/>
      </w:pPr>
      <w:rPr>
        <w:rFonts w:hint="default"/>
      </w:rPr>
    </w:lvl>
  </w:abstractNum>
  <w:abstractNum w:abstractNumId="1" w15:restartNumberingAfterBreak="0">
    <w:nsid w:val="036D1519"/>
    <w:multiLevelType w:val="hybridMultilevel"/>
    <w:tmpl w:val="C220B8FC"/>
    <w:lvl w:ilvl="0" w:tplc="0CAC629E">
      <w:start w:val="1"/>
      <w:numFmt w:val="decimal"/>
      <w:lvlText w:val="%1."/>
      <w:lvlJc w:val="left"/>
      <w:pPr>
        <w:ind w:left="1261" w:hanging="360"/>
      </w:pPr>
      <w:rPr>
        <w:rFonts w:ascii="Times New Roman" w:eastAsia="Arial" w:hAnsi="Times New Roman" w:cs="Times New Roman" w:hint="default"/>
        <w:w w:val="99"/>
        <w:sz w:val="24"/>
        <w:szCs w:val="22"/>
      </w:rPr>
    </w:lvl>
    <w:lvl w:ilvl="1" w:tplc="8D4048BC">
      <w:start w:val="1"/>
      <w:numFmt w:val="bullet"/>
      <w:lvlText w:val=""/>
      <w:lvlJc w:val="left"/>
      <w:pPr>
        <w:ind w:left="1622" w:hanging="295"/>
      </w:pPr>
      <w:rPr>
        <w:rFonts w:ascii="Symbol" w:eastAsia="Symbol" w:hAnsi="Symbol" w:hint="default"/>
        <w:w w:val="99"/>
        <w:sz w:val="22"/>
        <w:szCs w:val="22"/>
      </w:rPr>
    </w:lvl>
    <w:lvl w:ilvl="2" w:tplc="A34E7EE4">
      <w:start w:val="1"/>
      <w:numFmt w:val="bullet"/>
      <w:lvlText w:val="•"/>
      <w:lvlJc w:val="left"/>
      <w:pPr>
        <w:ind w:left="2676" w:hanging="295"/>
      </w:pPr>
      <w:rPr>
        <w:rFonts w:hint="default"/>
      </w:rPr>
    </w:lvl>
    <w:lvl w:ilvl="3" w:tplc="52D8C304">
      <w:start w:val="1"/>
      <w:numFmt w:val="bullet"/>
      <w:lvlText w:val="•"/>
      <w:lvlJc w:val="left"/>
      <w:pPr>
        <w:ind w:left="3730" w:hanging="295"/>
      </w:pPr>
      <w:rPr>
        <w:rFonts w:hint="default"/>
      </w:rPr>
    </w:lvl>
    <w:lvl w:ilvl="4" w:tplc="EC40F686">
      <w:start w:val="1"/>
      <w:numFmt w:val="bullet"/>
      <w:lvlText w:val="•"/>
      <w:lvlJc w:val="left"/>
      <w:pPr>
        <w:ind w:left="4784" w:hanging="295"/>
      </w:pPr>
      <w:rPr>
        <w:rFonts w:hint="default"/>
      </w:rPr>
    </w:lvl>
    <w:lvl w:ilvl="5" w:tplc="297CF5E6">
      <w:start w:val="1"/>
      <w:numFmt w:val="bullet"/>
      <w:lvlText w:val="•"/>
      <w:lvlJc w:val="left"/>
      <w:pPr>
        <w:ind w:left="5838" w:hanging="295"/>
      </w:pPr>
      <w:rPr>
        <w:rFonts w:hint="default"/>
      </w:rPr>
    </w:lvl>
    <w:lvl w:ilvl="6" w:tplc="34B0D324">
      <w:start w:val="1"/>
      <w:numFmt w:val="bullet"/>
      <w:lvlText w:val="•"/>
      <w:lvlJc w:val="left"/>
      <w:pPr>
        <w:ind w:left="6892" w:hanging="295"/>
      </w:pPr>
      <w:rPr>
        <w:rFonts w:hint="default"/>
      </w:rPr>
    </w:lvl>
    <w:lvl w:ilvl="7" w:tplc="A6801C6E">
      <w:start w:val="1"/>
      <w:numFmt w:val="bullet"/>
      <w:lvlText w:val="•"/>
      <w:lvlJc w:val="left"/>
      <w:pPr>
        <w:ind w:left="7946" w:hanging="295"/>
      </w:pPr>
      <w:rPr>
        <w:rFonts w:hint="default"/>
      </w:rPr>
    </w:lvl>
    <w:lvl w:ilvl="8" w:tplc="F9026514">
      <w:start w:val="1"/>
      <w:numFmt w:val="bullet"/>
      <w:lvlText w:val="•"/>
      <w:lvlJc w:val="left"/>
      <w:pPr>
        <w:ind w:left="9000" w:hanging="295"/>
      </w:pPr>
      <w:rPr>
        <w:rFonts w:hint="default"/>
      </w:rPr>
    </w:lvl>
  </w:abstractNum>
  <w:abstractNum w:abstractNumId="2" w15:restartNumberingAfterBreak="0">
    <w:nsid w:val="03F862ED"/>
    <w:multiLevelType w:val="hybridMultilevel"/>
    <w:tmpl w:val="F08CE2FA"/>
    <w:lvl w:ilvl="0" w:tplc="385CA7DC">
      <w:start w:val="1"/>
      <w:numFmt w:val="bullet"/>
      <w:lvlText w:val="-"/>
      <w:lvlJc w:val="left"/>
      <w:pPr>
        <w:ind w:left="935" w:hanging="124"/>
      </w:pPr>
      <w:rPr>
        <w:rFonts w:ascii="Arial" w:eastAsia="Arial" w:hAnsi="Arial" w:hint="default"/>
        <w:sz w:val="20"/>
        <w:szCs w:val="20"/>
      </w:rPr>
    </w:lvl>
    <w:lvl w:ilvl="1" w:tplc="1A884176">
      <w:start w:val="1"/>
      <w:numFmt w:val="bullet"/>
      <w:lvlText w:val="•"/>
      <w:lvlJc w:val="left"/>
      <w:pPr>
        <w:ind w:left="1950" w:hanging="124"/>
      </w:pPr>
      <w:rPr>
        <w:rFonts w:hint="default"/>
      </w:rPr>
    </w:lvl>
    <w:lvl w:ilvl="2" w:tplc="A8F8ADC6">
      <w:start w:val="1"/>
      <w:numFmt w:val="bullet"/>
      <w:lvlText w:val="•"/>
      <w:lvlJc w:val="left"/>
      <w:pPr>
        <w:ind w:left="2966" w:hanging="124"/>
      </w:pPr>
      <w:rPr>
        <w:rFonts w:hint="default"/>
      </w:rPr>
    </w:lvl>
    <w:lvl w:ilvl="3" w:tplc="1B3C14E2">
      <w:start w:val="1"/>
      <w:numFmt w:val="bullet"/>
      <w:lvlText w:val="•"/>
      <w:lvlJc w:val="left"/>
      <w:pPr>
        <w:ind w:left="3981" w:hanging="124"/>
      </w:pPr>
      <w:rPr>
        <w:rFonts w:hint="default"/>
      </w:rPr>
    </w:lvl>
    <w:lvl w:ilvl="4" w:tplc="78F4A29E">
      <w:start w:val="1"/>
      <w:numFmt w:val="bullet"/>
      <w:lvlText w:val="•"/>
      <w:lvlJc w:val="left"/>
      <w:pPr>
        <w:ind w:left="4996" w:hanging="124"/>
      </w:pPr>
      <w:rPr>
        <w:rFonts w:hint="default"/>
      </w:rPr>
    </w:lvl>
    <w:lvl w:ilvl="5" w:tplc="375E67C8">
      <w:start w:val="1"/>
      <w:numFmt w:val="bullet"/>
      <w:lvlText w:val="•"/>
      <w:lvlJc w:val="left"/>
      <w:pPr>
        <w:ind w:left="6012" w:hanging="124"/>
      </w:pPr>
      <w:rPr>
        <w:rFonts w:hint="default"/>
      </w:rPr>
    </w:lvl>
    <w:lvl w:ilvl="6" w:tplc="CFD81C14">
      <w:start w:val="1"/>
      <w:numFmt w:val="bullet"/>
      <w:lvlText w:val="•"/>
      <w:lvlJc w:val="left"/>
      <w:pPr>
        <w:ind w:left="7027" w:hanging="124"/>
      </w:pPr>
      <w:rPr>
        <w:rFonts w:hint="default"/>
      </w:rPr>
    </w:lvl>
    <w:lvl w:ilvl="7" w:tplc="AFB42318">
      <w:start w:val="1"/>
      <w:numFmt w:val="bullet"/>
      <w:lvlText w:val="•"/>
      <w:lvlJc w:val="left"/>
      <w:pPr>
        <w:ind w:left="8042" w:hanging="124"/>
      </w:pPr>
      <w:rPr>
        <w:rFonts w:hint="default"/>
      </w:rPr>
    </w:lvl>
    <w:lvl w:ilvl="8" w:tplc="D346B5B2">
      <w:start w:val="1"/>
      <w:numFmt w:val="bullet"/>
      <w:lvlText w:val="•"/>
      <w:lvlJc w:val="left"/>
      <w:pPr>
        <w:ind w:left="9058" w:hanging="124"/>
      </w:pPr>
      <w:rPr>
        <w:rFonts w:hint="default"/>
      </w:rPr>
    </w:lvl>
  </w:abstractNum>
  <w:abstractNum w:abstractNumId="3" w15:restartNumberingAfterBreak="0">
    <w:nsid w:val="04A430DA"/>
    <w:multiLevelType w:val="multilevel"/>
    <w:tmpl w:val="C010BE4C"/>
    <w:lvl w:ilvl="0">
      <w:start w:val="6"/>
      <w:numFmt w:val="upperRoman"/>
      <w:lvlText w:val="%1"/>
      <w:lvlJc w:val="left"/>
      <w:pPr>
        <w:ind w:left="1451" w:hanging="710"/>
      </w:pPr>
      <w:rPr>
        <w:rFonts w:hint="default"/>
      </w:rPr>
    </w:lvl>
    <w:lvl w:ilvl="1">
      <w:start w:val="4"/>
      <w:numFmt w:val="decimal"/>
      <w:lvlText w:val="%1.%2"/>
      <w:lvlJc w:val="left"/>
      <w:pPr>
        <w:ind w:left="1451" w:hanging="710"/>
      </w:pPr>
      <w:rPr>
        <w:rFonts w:hint="default"/>
      </w:rPr>
    </w:lvl>
    <w:lvl w:ilvl="2">
      <w:start w:val="5"/>
      <w:numFmt w:val="decimal"/>
      <w:lvlText w:val="%1.%2.%3"/>
      <w:lvlJc w:val="left"/>
      <w:pPr>
        <w:ind w:left="1451" w:hanging="710"/>
      </w:pPr>
      <w:rPr>
        <w:rFonts w:ascii="Arial" w:eastAsia="Arial" w:hAnsi="Arial" w:hint="default"/>
        <w:b/>
        <w:bCs/>
        <w:sz w:val="24"/>
        <w:szCs w:val="24"/>
      </w:rPr>
    </w:lvl>
    <w:lvl w:ilvl="3">
      <w:start w:val="1"/>
      <w:numFmt w:val="bullet"/>
      <w:lvlText w:val=""/>
      <w:lvlJc w:val="left"/>
      <w:pPr>
        <w:ind w:left="1462" w:hanging="294"/>
      </w:pPr>
      <w:rPr>
        <w:rFonts w:ascii="Symbol" w:eastAsia="Symbol" w:hAnsi="Symbol" w:hint="default"/>
        <w:w w:val="99"/>
        <w:sz w:val="22"/>
        <w:szCs w:val="22"/>
      </w:rPr>
    </w:lvl>
    <w:lvl w:ilvl="4">
      <w:start w:val="1"/>
      <w:numFmt w:val="bullet"/>
      <w:lvlText w:val="•"/>
      <w:lvlJc w:val="left"/>
      <w:pPr>
        <w:ind w:left="4623" w:hanging="294"/>
      </w:pPr>
      <w:rPr>
        <w:rFonts w:hint="default"/>
      </w:rPr>
    </w:lvl>
    <w:lvl w:ilvl="5">
      <w:start w:val="1"/>
      <w:numFmt w:val="bullet"/>
      <w:lvlText w:val="•"/>
      <w:lvlJc w:val="left"/>
      <w:pPr>
        <w:ind w:left="5676" w:hanging="294"/>
      </w:pPr>
      <w:rPr>
        <w:rFonts w:hint="default"/>
      </w:rPr>
    </w:lvl>
    <w:lvl w:ilvl="6">
      <w:start w:val="1"/>
      <w:numFmt w:val="bullet"/>
      <w:lvlText w:val="•"/>
      <w:lvlJc w:val="left"/>
      <w:pPr>
        <w:ind w:left="6730" w:hanging="294"/>
      </w:pPr>
      <w:rPr>
        <w:rFonts w:hint="default"/>
      </w:rPr>
    </w:lvl>
    <w:lvl w:ilvl="7">
      <w:start w:val="1"/>
      <w:numFmt w:val="bullet"/>
      <w:lvlText w:val="•"/>
      <w:lvlJc w:val="left"/>
      <w:pPr>
        <w:ind w:left="7784" w:hanging="294"/>
      </w:pPr>
      <w:rPr>
        <w:rFonts w:hint="default"/>
      </w:rPr>
    </w:lvl>
    <w:lvl w:ilvl="8">
      <w:start w:val="1"/>
      <w:numFmt w:val="bullet"/>
      <w:lvlText w:val="•"/>
      <w:lvlJc w:val="left"/>
      <w:pPr>
        <w:ind w:left="8837" w:hanging="294"/>
      </w:pPr>
      <w:rPr>
        <w:rFonts w:hint="default"/>
      </w:rPr>
    </w:lvl>
  </w:abstractNum>
  <w:abstractNum w:abstractNumId="4" w15:restartNumberingAfterBreak="0">
    <w:nsid w:val="04BD0815"/>
    <w:multiLevelType w:val="hybridMultilevel"/>
    <w:tmpl w:val="8090BB7C"/>
    <w:lvl w:ilvl="0" w:tplc="0EF64FCE">
      <w:start w:val="1"/>
      <w:numFmt w:val="bullet"/>
      <w:lvlText w:val=""/>
      <w:lvlJc w:val="left"/>
      <w:pPr>
        <w:ind w:left="294" w:hanging="229"/>
      </w:pPr>
      <w:rPr>
        <w:rFonts w:ascii="Symbol" w:eastAsia="Symbol" w:hAnsi="Symbol" w:hint="default"/>
        <w:w w:val="108"/>
        <w:sz w:val="24"/>
        <w:szCs w:val="24"/>
      </w:rPr>
    </w:lvl>
    <w:lvl w:ilvl="1" w:tplc="F59A97E0">
      <w:start w:val="1"/>
      <w:numFmt w:val="bullet"/>
      <w:lvlText w:val="•"/>
      <w:lvlJc w:val="left"/>
      <w:pPr>
        <w:ind w:left="1462" w:hanging="720"/>
      </w:pPr>
      <w:rPr>
        <w:rFonts w:ascii="Arial" w:eastAsia="Arial" w:hAnsi="Arial" w:hint="default"/>
        <w:sz w:val="20"/>
        <w:szCs w:val="20"/>
      </w:rPr>
    </w:lvl>
    <w:lvl w:ilvl="2" w:tplc="111813C4">
      <w:start w:val="1"/>
      <w:numFmt w:val="bullet"/>
      <w:lvlText w:val="•"/>
      <w:lvlJc w:val="left"/>
      <w:pPr>
        <w:ind w:left="2246" w:hanging="720"/>
      </w:pPr>
      <w:rPr>
        <w:rFonts w:hint="default"/>
      </w:rPr>
    </w:lvl>
    <w:lvl w:ilvl="3" w:tplc="8C24D3B0">
      <w:start w:val="1"/>
      <w:numFmt w:val="bullet"/>
      <w:lvlText w:val="•"/>
      <w:lvlJc w:val="left"/>
      <w:pPr>
        <w:ind w:left="3030" w:hanging="720"/>
      </w:pPr>
      <w:rPr>
        <w:rFonts w:hint="default"/>
      </w:rPr>
    </w:lvl>
    <w:lvl w:ilvl="4" w:tplc="9846327C">
      <w:start w:val="1"/>
      <w:numFmt w:val="bullet"/>
      <w:lvlText w:val="•"/>
      <w:lvlJc w:val="left"/>
      <w:pPr>
        <w:ind w:left="3814" w:hanging="720"/>
      </w:pPr>
      <w:rPr>
        <w:rFonts w:hint="default"/>
      </w:rPr>
    </w:lvl>
    <w:lvl w:ilvl="5" w:tplc="35DA38C2">
      <w:start w:val="1"/>
      <w:numFmt w:val="bullet"/>
      <w:lvlText w:val="•"/>
      <w:lvlJc w:val="left"/>
      <w:pPr>
        <w:ind w:left="4599" w:hanging="720"/>
      </w:pPr>
      <w:rPr>
        <w:rFonts w:hint="default"/>
      </w:rPr>
    </w:lvl>
    <w:lvl w:ilvl="6" w:tplc="F9E45B94">
      <w:start w:val="1"/>
      <w:numFmt w:val="bullet"/>
      <w:lvlText w:val="•"/>
      <w:lvlJc w:val="left"/>
      <w:pPr>
        <w:ind w:left="5383" w:hanging="720"/>
      </w:pPr>
      <w:rPr>
        <w:rFonts w:hint="default"/>
      </w:rPr>
    </w:lvl>
    <w:lvl w:ilvl="7" w:tplc="9B5CAC8A">
      <w:start w:val="1"/>
      <w:numFmt w:val="bullet"/>
      <w:lvlText w:val="•"/>
      <w:lvlJc w:val="left"/>
      <w:pPr>
        <w:ind w:left="6167" w:hanging="720"/>
      </w:pPr>
      <w:rPr>
        <w:rFonts w:hint="default"/>
      </w:rPr>
    </w:lvl>
    <w:lvl w:ilvl="8" w:tplc="DFE4E94A">
      <w:start w:val="1"/>
      <w:numFmt w:val="bullet"/>
      <w:lvlText w:val="•"/>
      <w:lvlJc w:val="left"/>
      <w:pPr>
        <w:ind w:left="6952" w:hanging="720"/>
      </w:pPr>
      <w:rPr>
        <w:rFonts w:hint="default"/>
      </w:rPr>
    </w:lvl>
  </w:abstractNum>
  <w:abstractNum w:abstractNumId="5" w15:restartNumberingAfterBreak="0">
    <w:nsid w:val="079D4545"/>
    <w:multiLevelType w:val="hybridMultilevel"/>
    <w:tmpl w:val="51FE14EC"/>
    <w:lvl w:ilvl="0" w:tplc="29AE6766">
      <w:start w:val="1"/>
      <w:numFmt w:val="bullet"/>
      <w:lvlText w:val=""/>
      <w:lvlJc w:val="left"/>
      <w:pPr>
        <w:ind w:left="1631" w:hanging="284"/>
      </w:pPr>
      <w:rPr>
        <w:rFonts w:ascii="Symbol" w:eastAsia="Symbol" w:hAnsi="Symbol" w:hint="default"/>
        <w:w w:val="99"/>
        <w:sz w:val="22"/>
        <w:szCs w:val="22"/>
      </w:rPr>
    </w:lvl>
    <w:lvl w:ilvl="1" w:tplc="446C7808">
      <w:start w:val="1"/>
      <w:numFmt w:val="bullet"/>
      <w:lvlText w:val="•"/>
      <w:lvlJc w:val="left"/>
      <w:pPr>
        <w:ind w:left="2580" w:hanging="284"/>
      </w:pPr>
      <w:rPr>
        <w:rFonts w:hint="default"/>
      </w:rPr>
    </w:lvl>
    <w:lvl w:ilvl="2" w:tplc="70D622A6">
      <w:start w:val="1"/>
      <w:numFmt w:val="bullet"/>
      <w:lvlText w:val="•"/>
      <w:lvlJc w:val="left"/>
      <w:pPr>
        <w:ind w:left="3530" w:hanging="284"/>
      </w:pPr>
      <w:rPr>
        <w:rFonts w:hint="default"/>
      </w:rPr>
    </w:lvl>
    <w:lvl w:ilvl="3" w:tplc="A094C14C">
      <w:start w:val="1"/>
      <w:numFmt w:val="bullet"/>
      <w:lvlText w:val="•"/>
      <w:lvlJc w:val="left"/>
      <w:pPr>
        <w:ind w:left="4480" w:hanging="284"/>
      </w:pPr>
      <w:rPr>
        <w:rFonts w:hint="default"/>
      </w:rPr>
    </w:lvl>
    <w:lvl w:ilvl="4" w:tplc="1FB83242">
      <w:start w:val="1"/>
      <w:numFmt w:val="bullet"/>
      <w:lvlText w:val="•"/>
      <w:lvlJc w:val="left"/>
      <w:pPr>
        <w:ind w:left="5430" w:hanging="284"/>
      </w:pPr>
      <w:rPr>
        <w:rFonts w:hint="default"/>
      </w:rPr>
    </w:lvl>
    <w:lvl w:ilvl="5" w:tplc="928C8CC8">
      <w:start w:val="1"/>
      <w:numFmt w:val="bullet"/>
      <w:lvlText w:val="•"/>
      <w:lvlJc w:val="left"/>
      <w:pPr>
        <w:ind w:left="6380" w:hanging="284"/>
      </w:pPr>
      <w:rPr>
        <w:rFonts w:hint="default"/>
      </w:rPr>
    </w:lvl>
    <w:lvl w:ilvl="6" w:tplc="577EEF4C">
      <w:start w:val="1"/>
      <w:numFmt w:val="bullet"/>
      <w:lvlText w:val="•"/>
      <w:lvlJc w:val="left"/>
      <w:pPr>
        <w:ind w:left="7329" w:hanging="284"/>
      </w:pPr>
      <w:rPr>
        <w:rFonts w:hint="default"/>
      </w:rPr>
    </w:lvl>
    <w:lvl w:ilvl="7" w:tplc="D84EC596">
      <w:start w:val="1"/>
      <w:numFmt w:val="bullet"/>
      <w:lvlText w:val="•"/>
      <w:lvlJc w:val="left"/>
      <w:pPr>
        <w:ind w:left="8279" w:hanging="284"/>
      </w:pPr>
      <w:rPr>
        <w:rFonts w:hint="default"/>
      </w:rPr>
    </w:lvl>
    <w:lvl w:ilvl="8" w:tplc="B5784E02">
      <w:start w:val="1"/>
      <w:numFmt w:val="bullet"/>
      <w:lvlText w:val="•"/>
      <w:lvlJc w:val="left"/>
      <w:pPr>
        <w:ind w:left="9229" w:hanging="284"/>
      </w:pPr>
      <w:rPr>
        <w:rFonts w:hint="default"/>
      </w:rPr>
    </w:lvl>
  </w:abstractNum>
  <w:abstractNum w:abstractNumId="6" w15:restartNumberingAfterBreak="0">
    <w:nsid w:val="088B7E99"/>
    <w:multiLevelType w:val="hybridMultilevel"/>
    <w:tmpl w:val="F852E79E"/>
    <w:lvl w:ilvl="0" w:tplc="2C02B6A0">
      <w:start w:val="1"/>
      <w:numFmt w:val="bullet"/>
      <w:lvlText w:val=""/>
      <w:lvlJc w:val="left"/>
      <w:pPr>
        <w:ind w:left="1422" w:hanging="294"/>
      </w:pPr>
      <w:rPr>
        <w:rFonts w:ascii="Symbol" w:eastAsia="Symbol" w:hAnsi="Symbol" w:hint="default"/>
        <w:w w:val="99"/>
        <w:sz w:val="22"/>
        <w:szCs w:val="22"/>
      </w:rPr>
    </w:lvl>
    <w:lvl w:ilvl="1" w:tplc="BB287850">
      <w:start w:val="1"/>
      <w:numFmt w:val="bullet"/>
      <w:lvlText w:val="•"/>
      <w:lvlJc w:val="left"/>
      <w:pPr>
        <w:ind w:left="2370" w:hanging="294"/>
      </w:pPr>
      <w:rPr>
        <w:rFonts w:hint="default"/>
      </w:rPr>
    </w:lvl>
    <w:lvl w:ilvl="2" w:tplc="0704A3AC">
      <w:start w:val="1"/>
      <w:numFmt w:val="bullet"/>
      <w:lvlText w:val="•"/>
      <w:lvlJc w:val="left"/>
      <w:pPr>
        <w:ind w:left="3318" w:hanging="294"/>
      </w:pPr>
      <w:rPr>
        <w:rFonts w:hint="default"/>
      </w:rPr>
    </w:lvl>
    <w:lvl w:ilvl="3" w:tplc="A61CFEDE">
      <w:start w:val="1"/>
      <w:numFmt w:val="bullet"/>
      <w:lvlText w:val="•"/>
      <w:lvlJc w:val="left"/>
      <w:pPr>
        <w:ind w:left="4266" w:hanging="294"/>
      </w:pPr>
      <w:rPr>
        <w:rFonts w:hint="default"/>
      </w:rPr>
    </w:lvl>
    <w:lvl w:ilvl="4" w:tplc="46301B8C">
      <w:start w:val="1"/>
      <w:numFmt w:val="bullet"/>
      <w:lvlText w:val="•"/>
      <w:lvlJc w:val="left"/>
      <w:pPr>
        <w:ind w:left="5215" w:hanging="294"/>
      </w:pPr>
      <w:rPr>
        <w:rFonts w:hint="default"/>
      </w:rPr>
    </w:lvl>
    <w:lvl w:ilvl="5" w:tplc="4600C244">
      <w:start w:val="1"/>
      <w:numFmt w:val="bullet"/>
      <w:lvlText w:val="•"/>
      <w:lvlJc w:val="left"/>
      <w:pPr>
        <w:ind w:left="6163" w:hanging="294"/>
      </w:pPr>
      <w:rPr>
        <w:rFonts w:hint="default"/>
      </w:rPr>
    </w:lvl>
    <w:lvl w:ilvl="6" w:tplc="2E62C5E0">
      <w:start w:val="1"/>
      <w:numFmt w:val="bullet"/>
      <w:lvlText w:val="•"/>
      <w:lvlJc w:val="left"/>
      <w:pPr>
        <w:ind w:left="7111" w:hanging="294"/>
      </w:pPr>
      <w:rPr>
        <w:rFonts w:hint="default"/>
      </w:rPr>
    </w:lvl>
    <w:lvl w:ilvl="7" w:tplc="9DF4FFDA">
      <w:start w:val="1"/>
      <w:numFmt w:val="bullet"/>
      <w:lvlText w:val="•"/>
      <w:lvlJc w:val="left"/>
      <w:pPr>
        <w:ind w:left="8060" w:hanging="294"/>
      </w:pPr>
      <w:rPr>
        <w:rFonts w:hint="default"/>
      </w:rPr>
    </w:lvl>
    <w:lvl w:ilvl="8" w:tplc="EE18CF30">
      <w:start w:val="1"/>
      <w:numFmt w:val="bullet"/>
      <w:lvlText w:val="•"/>
      <w:lvlJc w:val="left"/>
      <w:pPr>
        <w:ind w:left="9008" w:hanging="294"/>
      </w:pPr>
      <w:rPr>
        <w:rFonts w:hint="default"/>
      </w:rPr>
    </w:lvl>
  </w:abstractNum>
  <w:abstractNum w:abstractNumId="7" w15:restartNumberingAfterBreak="0">
    <w:nsid w:val="0B101358"/>
    <w:multiLevelType w:val="hybridMultilevel"/>
    <w:tmpl w:val="76B0B970"/>
    <w:lvl w:ilvl="0" w:tplc="7EA62268">
      <w:start w:val="1"/>
      <w:numFmt w:val="bullet"/>
      <w:lvlText w:val="-"/>
      <w:lvlJc w:val="left"/>
      <w:pPr>
        <w:ind w:left="1662" w:hanging="361"/>
      </w:pPr>
      <w:rPr>
        <w:rFonts w:ascii="Courier New" w:eastAsia="Courier New" w:hAnsi="Courier New" w:hint="default"/>
        <w:w w:val="99"/>
        <w:sz w:val="22"/>
        <w:szCs w:val="22"/>
      </w:rPr>
    </w:lvl>
    <w:lvl w:ilvl="1" w:tplc="3362C43C">
      <w:start w:val="1"/>
      <w:numFmt w:val="bullet"/>
      <w:lvlText w:val="•"/>
      <w:lvlJc w:val="left"/>
      <w:pPr>
        <w:ind w:left="2604" w:hanging="361"/>
      </w:pPr>
      <w:rPr>
        <w:rFonts w:hint="default"/>
      </w:rPr>
    </w:lvl>
    <w:lvl w:ilvl="2" w:tplc="DAE06A9E">
      <w:start w:val="1"/>
      <w:numFmt w:val="bullet"/>
      <w:lvlText w:val="•"/>
      <w:lvlJc w:val="left"/>
      <w:pPr>
        <w:ind w:left="3547" w:hanging="361"/>
      </w:pPr>
      <w:rPr>
        <w:rFonts w:hint="default"/>
      </w:rPr>
    </w:lvl>
    <w:lvl w:ilvl="3" w:tplc="9CB41594">
      <w:start w:val="1"/>
      <w:numFmt w:val="bullet"/>
      <w:lvlText w:val="•"/>
      <w:lvlJc w:val="left"/>
      <w:pPr>
        <w:ind w:left="4490" w:hanging="361"/>
      </w:pPr>
      <w:rPr>
        <w:rFonts w:hint="default"/>
      </w:rPr>
    </w:lvl>
    <w:lvl w:ilvl="4" w:tplc="122804BA">
      <w:start w:val="1"/>
      <w:numFmt w:val="bullet"/>
      <w:lvlText w:val="•"/>
      <w:lvlJc w:val="left"/>
      <w:pPr>
        <w:ind w:left="5432" w:hanging="361"/>
      </w:pPr>
      <w:rPr>
        <w:rFonts w:hint="default"/>
      </w:rPr>
    </w:lvl>
    <w:lvl w:ilvl="5" w:tplc="B914BA40">
      <w:start w:val="1"/>
      <w:numFmt w:val="bullet"/>
      <w:lvlText w:val="•"/>
      <w:lvlJc w:val="left"/>
      <w:pPr>
        <w:ind w:left="6375" w:hanging="361"/>
      </w:pPr>
      <w:rPr>
        <w:rFonts w:hint="default"/>
      </w:rPr>
    </w:lvl>
    <w:lvl w:ilvl="6" w:tplc="E3C6BC80">
      <w:start w:val="1"/>
      <w:numFmt w:val="bullet"/>
      <w:lvlText w:val="•"/>
      <w:lvlJc w:val="left"/>
      <w:pPr>
        <w:ind w:left="7318" w:hanging="361"/>
      </w:pPr>
      <w:rPr>
        <w:rFonts w:hint="default"/>
      </w:rPr>
    </w:lvl>
    <w:lvl w:ilvl="7" w:tplc="1A709F94">
      <w:start w:val="1"/>
      <w:numFmt w:val="bullet"/>
      <w:lvlText w:val="•"/>
      <w:lvlJc w:val="left"/>
      <w:pPr>
        <w:ind w:left="8260" w:hanging="361"/>
      </w:pPr>
      <w:rPr>
        <w:rFonts w:hint="default"/>
      </w:rPr>
    </w:lvl>
    <w:lvl w:ilvl="8" w:tplc="6088D3EC">
      <w:start w:val="1"/>
      <w:numFmt w:val="bullet"/>
      <w:lvlText w:val="•"/>
      <w:lvlJc w:val="left"/>
      <w:pPr>
        <w:ind w:left="9203" w:hanging="361"/>
      </w:pPr>
      <w:rPr>
        <w:rFonts w:hint="default"/>
      </w:rPr>
    </w:lvl>
  </w:abstractNum>
  <w:abstractNum w:abstractNumId="8" w15:restartNumberingAfterBreak="0">
    <w:nsid w:val="0B864166"/>
    <w:multiLevelType w:val="hybridMultilevel"/>
    <w:tmpl w:val="F8882A64"/>
    <w:lvl w:ilvl="0" w:tplc="0EB47782">
      <w:start w:val="1"/>
      <w:numFmt w:val="decimal"/>
      <w:lvlText w:val="%1."/>
      <w:lvlJc w:val="left"/>
      <w:pPr>
        <w:ind w:left="1241" w:hanging="360"/>
      </w:pPr>
      <w:rPr>
        <w:rFonts w:ascii="Times New Roman" w:eastAsia="Arial" w:hAnsi="Times New Roman" w:cs="Times New Roman" w:hint="default"/>
        <w:w w:val="99"/>
        <w:sz w:val="24"/>
        <w:szCs w:val="24"/>
      </w:rPr>
    </w:lvl>
    <w:lvl w:ilvl="1" w:tplc="AADA0002">
      <w:start w:val="1"/>
      <w:numFmt w:val="bullet"/>
      <w:lvlText w:val=""/>
      <w:lvlJc w:val="left"/>
      <w:pPr>
        <w:ind w:left="1591" w:hanging="278"/>
      </w:pPr>
      <w:rPr>
        <w:rFonts w:ascii="Symbol" w:eastAsia="Symbol" w:hAnsi="Symbol" w:hint="default"/>
        <w:w w:val="99"/>
        <w:sz w:val="24"/>
        <w:szCs w:val="24"/>
      </w:rPr>
    </w:lvl>
    <w:lvl w:ilvl="2" w:tplc="F20C6C48">
      <w:start w:val="1"/>
      <w:numFmt w:val="bullet"/>
      <w:lvlText w:val=""/>
      <w:lvlJc w:val="left"/>
      <w:pPr>
        <w:ind w:left="2032" w:hanging="442"/>
      </w:pPr>
      <w:rPr>
        <w:rFonts w:ascii="Symbol" w:eastAsia="Symbol" w:hAnsi="Symbol" w:hint="default"/>
        <w:w w:val="99"/>
        <w:sz w:val="22"/>
        <w:szCs w:val="22"/>
      </w:rPr>
    </w:lvl>
    <w:lvl w:ilvl="3" w:tplc="A0542E06">
      <w:start w:val="1"/>
      <w:numFmt w:val="bullet"/>
      <w:lvlText w:val="•"/>
      <w:lvlJc w:val="left"/>
      <w:pPr>
        <w:ind w:left="3164" w:hanging="442"/>
      </w:pPr>
      <w:rPr>
        <w:rFonts w:hint="default"/>
      </w:rPr>
    </w:lvl>
    <w:lvl w:ilvl="4" w:tplc="14D4756E">
      <w:start w:val="1"/>
      <w:numFmt w:val="bullet"/>
      <w:lvlText w:val="•"/>
      <w:lvlJc w:val="left"/>
      <w:pPr>
        <w:ind w:left="4296" w:hanging="442"/>
      </w:pPr>
      <w:rPr>
        <w:rFonts w:hint="default"/>
      </w:rPr>
    </w:lvl>
    <w:lvl w:ilvl="5" w:tplc="8870AF80">
      <w:start w:val="1"/>
      <w:numFmt w:val="bullet"/>
      <w:lvlText w:val="•"/>
      <w:lvlJc w:val="left"/>
      <w:pPr>
        <w:ind w:left="5428" w:hanging="442"/>
      </w:pPr>
      <w:rPr>
        <w:rFonts w:hint="default"/>
      </w:rPr>
    </w:lvl>
    <w:lvl w:ilvl="6" w:tplc="35009EDA">
      <w:start w:val="1"/>
      <w:numFmt w:val="bullet"/>
      <w:lvlText w:val="•"/>
      <w:lvlJc w:val="left"/>
      <w:pPr>
        <w:ind w:left="6560" w:hanging="442"/>
      </w:pPr>
      <w:rPr>
        <w:rFonts w:hint="default"/>
      </w:rPr>
    </w:lvl>
    <w:lvl w:ilvl="7" w:tplc="B080B508">
      <w:start w:val="1"/>
      <w:numFmt w:val="bullet"/>
      <w:lvlText w:val="•"/>
      <w:lvlJc w:val="left"/>
      <w:pPr>
        <w:ind w:left="7692" w:hanging="442"/>
      </w:pPr>
      <w:rPr>
        <w:rFonts w:hint="default"/>
      </w:rPr>
    </w:lvl>
    <w:lvl w:ilvl="8" w:tplc="855814E4">
      <w:start w:val="1"/>
      <w:numFmt w:val="bullet"/>
      <w:lvlText w:val="•"/>
      <w:lvlJc w:val="left"/>
      <w:pPr>
        <w:ind w:left="8824" w:hanging="442"/>
      </w:pPr>
      <w:rPr>
        <w:rFonts w:hint="default"/>
      </w:rPr>
    </w:lvl>
  </w:abstractNum>
  <w:abstractNum w:abstractNumId="9" w15:restartNumberingAfterBreak="0">
    <w:nsid w:val="0C7B7145"/>
    <w:multiLevelType w:val="hybridMultilevel"/>
    <w:tmpl w:val="29F87560"/>
    <w:lvl w:ilvl="0" w:tplc="42C86A7C">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E356EABE">
      <w:start w:val="1"/>
      <w:numFmt w:val="bullet"/>
      <w:lvlText w:val="•"/>
      <w:lvlJc w:val="left"/>
      <w:pPr>
        <w:ind w:left="2086" w:hanging="360"/>
      </w:pPr>
      <w:rPr>
        <w:rFonts w:hint="default"/>
      </w:rPr>
    </w:lvl>
    <w:lvl w:ilvl="2" w:tplc="2D381FEC">
      <w:start w:val="1"/>
      <w:numFmt w:val="bullet"/>
      <w:lvlText w:val="•"/>
      <w:lvlJc w:val="left"/>
      <w:pPr>
        <w:ind w:left="3070" w:hanging="360"/>
      </w:pPr>
      <w:rPr>
        <w:rFonts w:hint="default"/>
      </w:rPr>
    </w:lvl>
    <w:lvl w:ilvl="3" w:tplc="08EEFA02">
      <w:start w:val="1"/>
      <w:numFmt w:val="bullet"/>
      <w:lvlText w:val="•"/>
      <w:lvlJc w:val="left"/>
      <w:pPr>
        <w:ind w:left="4055" w:hanging="360"/>
      </w:pPr>
      <w:rPr>
        <w:rFonts w:hint="default"/>
      </w:rPr>
    </w:lvl>
    <w:lvl w:ilvl="4" w:tplc="B80E9E94">
      <w:start w:val="1"/>
      <w:numFmt w:val="bullet"/>
      <w:lvlText w:val="•"/>
      <w:lvlJc w:val="left"/>
      <w:pPr>
        <w:ind w:left="5039" w:hanging="360"/>
      </w:pPr>
      <w:rPr>
        <w:rFonts w:hint="default"/>
      </w:rPr>
    </w:lvl>
    <w:lvl w:ilvl="5" w:tplc="FE800BE8">
      <w:start w:val="1"/>
      <w:numFmt w:val="bullet"/>
      <w:lvlText w:val="•"/>
      <w:lvlJc w:val="left"/>
      <w:pPr>
        <w:ind w:left="6024" w:hanging="360"/>
      </w:pPr>
      <w:rPr>
        <w:rFonts w:hint="default"/>
      </w:rPr>
    </w:lvl>
    <w:lvl w:ilvl="6" w:tplc="21286714">
      <w:start w:val="1"/>
      <w:numFmt w:val="bullet"/>
      <w:lvlText w:val="•"/>
      <w:lvlJc w:val="left"/>
      <w:pPr>
        <w:ind w:left="7008" w:hanging="360"/>
      </w:pPr>
      <w:rPr>
        <w:rFonts w:hint="default"/>
      </w:rPr>
    </w:lvl>
    <w:lvl w:ilvl="7" w:tplc="F628078C">
      <w:start w:val="1"/>
      <w:numFmt w:val="bullet"/>
      <w:lvlText w:val="•"/>
      <w:lvlJc w:val="left"/>
      <w:pPr>
        <w:ind w:left="7993" w:hanging="360"/>
      </w:pPr>
      <w:rPr>
        <w:rFonts w:hint="default"/>
      </w:rPr>
    </w:lvl>
    <w:lvl w:ilvl="8" w:tplc="D5222E34">
      <w:start w:val="1"/>
      <w:numFmt w:val="bullet"/>
      <w:lvlText w:val="•"/>
      <w:lvlJc w:val="left"/>
      <w:pPr>
        <w:ind w:left="8977" w:hanging="360"/>
      </w:pPr>
      <w:rPr>
        <w:rFonts w:hint="default"/>
      </w:rPr>
    </w:lvl>
  </w:abstractNum>
  <w:abstractNum w:abstractNumId="10" w15:restartNumberingAfterBreak="0">
    <w:nsid w:val="0D2450EA"/>
    <w:multiLevelType w:val="hybridMultilevel"/>
    <w:tmpl w:val="0B701258"/>
    <w:lvl w:ilvl="0" w:tplc="29B6A842">
      <w:start w:val="1"/>
      <w:numFmt w:val="decimal"/>
      <w:lvlText w:val="%1."/>
      <w:lvlJc w:val="left"/>
      <w:pPr>
        <w:ind w:left="1281" w:hanging="360"/>
      </w:pPr>
      <w:rPr>
        <w:rFonts w:ascii="Times New Roman" w:eastAsia="Arial" w:hAnsi="Times New Roman" w:cs="Times New Roman" w:hint="default"/>
        <w:w w:val="99"/>
        <w:sz w:val="24"/>
        <w:szCs w:val="24"/>
      </w:rPr>
    </w:lvl>
    <w:lvl w:ilvl="1" w:tplc="FB441D62">
      <w:start w:val="1"/>
      <w:numFmt w:val="lowerLetter"/>
      <w:lvlText w:val="%2)"/>
      <w:lvlJc w:val="left"/>
      <w:pPr>
        <w:ind w:left="1631" w:hanging="284"/>
      </w:pPr>
      <w:rPr>
        <w:rFonts w:ascii="Times New Roman" w:eastAsia="Arial" w:hAnsi="Times New Roman" w:cs="Times New Roman" w:hint="default"/>
        <w:w w:val="99"/>
        <w:sz w:val="24"/>
        <w:szCs w:val="24"/>
      </w:rPr>
    </w:lvl>
    <w:lvl w:ilvl="2" w:tplc="76E6CEA2">
      <w:start w:val="1"/>
      <w:numFmt w:val="bullet"/>
      <w:lvlText w:val=""/>
      <w:lvlJc w:val="left"/>
      <w:pPr>
        <w:ind w:left="2016" w:hanging="425"/>
      </w:pPr>
      <w:rPr>
        <w:rFonts w:ascii="Symbol" w:eastAsia="Symbol" w:hAnsi="Symbol" w:hint="default"/>
        <w:w w:val="99"/>
        <w:sz w:val="22"/>
        <w:szCs w:val="22"/>
      </w:rPr>
    </w:lvl>
    <w:lvl w:ilvl="3" w:tplc="D9B47776">
      <w:start w:val="1"/>
      <w:numFmt w:val="bullet"/>
      <w:lvlText w:val="•"/>
      <w:lvlJc w:val="left"/>
      <w:pPr>
        <w:ind w:left="2016" w:hanging="425"/>
      </w:pPr>
      <w:rPr>
        <w:rFonts w:hint="default"/>
      </w:rPr>
    </w:lvl>
    <w:lvl w:ilvl="4" w:tplc="713C73C6">
      <w:start w:val="1"/>
      <w:numFmt w:val="bullet"/>
      <w:lvlText w:val="•"/>
      <w:lvlJc w:val="left"/>
      <w:pPr>
        <w:ind w:left="3312" w:hanging="425"/>
      </w:pPr>
      <w:rPr>
        <w:rFonts w:hint="default"/>
      </w:rPr>
    </w:lvl>
    <w:lvl w:ilvl="5" w:tplc="026AD61A">
      <w:start w:val="1"/>
      <w:numFmt w:val="bullet"/>
      <w:lvlText w:val="•"/>
      <w:lvlJc w:val="left"/>
      <w:pPr>
        <w:ind w:left="4608" w:hanging="425"/>
      </w:pPr>
      <w:rPr>
        <w:rFonts w:hint="default"/>
      </w:rPr>
    </w:lvl>
    <w:lvl w:ilvl="6" w:tplc="59CC7048">
      <w:start w:val="1"/>
      <w:numFmt w:val="bullet"/>
      <w:lvlText w:val="•"/>
      <w:lvlJc w:val="left"/>
      <w:pPr>
        <w:ind w:left="5904" w:hanging="425"/>
      </w:pPr>
      <w:rPr>
        <w:rFonts w:hint="default"/>
      </w:rPr>
    </w:lvl>
    <w:lvl w:ilvl="7" w:tplc="F17CE8EC">
      <w:start w:val="1"/>
      <w:numFmt w:val="bullet"/>
      <w:lvlText w:val="•"/>
      <w:lvlJc w:val="left"/>
      <w:pPr>
        <w:ind w:left="7200" w:hanging="425"/>
      </w:pPr>
      <w:rPr>
        <w:rFonts w:hint="default"/>
      </w:rPr>
    </w:lvl>
    <w:lvl w:ilvl="8" w:tplc="6D4C796A">
      <w:start w:val="1"/>
      <w:numFmt w:val="bullet"/>
      <w:lvlText w:val="•"/>
      <w:lvlJc w:val="left"/>
      <w:pPr>
        <w:ind w:left="8496" w:hanging="425"/>
      </w:pPr>
      <w:rPr>
        <w:rFonts w:hint="default"/>
      </w:rPr>
    </w:lvl>
  </w:abstractNum>
  <w:abstractNum w:abstractNumId="11" w15:restartNumberingAfterBreak="0">
    <w:nsid w:val="0EE77858"/>
    <w:multiLevelType w:val="hybridMultilevel"/>
    <w:tmpl w:val="69DEC93C"/>
    <w:lvl w:ilvl="0" w:tplc="851ADEBA">
      <w:start w:val="1"/>
      <w:numFmt w:val="decimal"/>
      <w:lvlText w:val="%1."/>
      <w:lvlJc w:val="left"/>
      <w:pPr>
        <w:ind w:left="1062" w:hanging="360"/>
      </w:pPr>
      <w:rPr>
        <w:rFonts w:ascii="Times New Roman" w:eastAsia="Arial" w:hAnsi="Times New Roman" w:cs="Times New Roman" w:hint="default"/>
        <w:w w:val="99"/>
        <w:sz w:val="24"/>
        <w:szCs w:val="24"/>
      </w:rPr>
    </w:lvl>
    <w:lvl w:ilvl="1" w:tplc="A43E69AC">
      <w:start w:val="1"/>
      <w:numFmt w:val="bullet"/>
      <w:lvlText w:val=""/>
      <w:lvlJc w:val="left"/>
      <w:pPr>
        <w:ind w:left="1462" w:hanging="296"/>
      </w:pPr>
      <w:rPr>
        <w:rFonts w:ascii="Symbol" w:eastAsia="Symbol" w:hAnsi="Symbol" w:hint="default"/>
        <w:w w:val="99"/>
        <w:sz w:val="22"/>
        <w:szCs w:val="22"/>
      </w:rPr>
    </w:lvl>
    <w:lvl w:ilvl="2" w:tplc="49CEE86A">
      <w:start w:val="1"/>
      <w:numFmt w:val="bullet"/>
      <w:lvlText w:val="•"/>
      <w:lvlJc w:val="left"/>
      <w:pPr>
        <w:ind w:left="1462" w:hanging="296"/>
      </w:pPr>
      <w:rPr>
        <w:rFonts w:hint="default"/>
      </w:rPr>
    </w:lvl>
    <w:lvl w:ilvl="3" w:tplc="D766126A">
      <w:start w:val="1"/>
      <w:numFmt w:val="bullet"/>
      <w:lvlText w:val="•"/>
      <w:lvlJc w:val="left"/>
      <w:pPr>
        <w:ind w:left="2642" w:hanging="296"/>
      </w:pPr>
      <w:rPr>
        <w:rFonts w:hint="default"/>
      </w:rPr>
    </w:lvl>
    <w:lvl w:ilvl="4" w:tplc="F124A2F8">
      <w:start w:val="1"/>
      <w:numFmt w:val="bullet"/>
      <w:lvlText w:val="•"/>
      <w:lvlJc w:val="left"/>
      <w:pPr>
        <w:ind w:left="3822" w:hanging="296"/>
      </w:pPr>
      <w:rPr>
        <w:rFonts w:hint="default"/>
      </w:rPr>
    </w:lvl>
    <w:lvl w:ilvl="5" w:tplc="6BBA4D56">
      <w:start w:val="1"/>
      <w:numFmt w:val="bullet"/>
      <w:lvlText w:val="•"/>
      <w:lvlJc w:val="left"/>
      <w:pPr>
        <w:ind w:left="5003" w:hanging="296"/>
      </w:pPr>
      <w:rPr>
        <w:rFonts w:hint="default"/>
      </w:rPr>
    </w:lvl>
    <w:lvl w:ilvl="6" w:tplc="505404B6">
      <w:start w:val="1"/>
      <w:numFmt w:val="bullet"/>
      <w:lvlText w:val="•"/>
      <w:lvlJc w:val="left"/>
      <w:pPr>
        <w:ind w:left="6183" w:hanging="296"/>
      </w:pPr>
      <w:rPr>
        <w:rFonts w:hint="default"/>
      </w:rPr>
    </w:lvl>
    <w:lvl w:ilvl="7" w:tplc="0FFC9056">
      <w:start w:val="1"/>
      <w:numFmt w:val="bullet"/>
      <w:lvlText w:val="•"/>
      <w:lvlJc w:val="left"/>
      <w:pPr>
        <w:ind w:left="7364" w:hanging="296"/>
      </w:pPr>
      <w:rPr>
        <w:rFonts w:hint="default"/>
      </w:rPr>
    </w:lvl>
    <w:lvl w:ilvl="8" w:tplc="D5BE601A">
      <w:start w:val="1"/>
      <w:numFmt w:val="bullet"/>
      <w:lvlText w:val="•"/>
      <w:lvlJc w:val="left"/>
      <w:pPr>
        <w:ind w:left="8544" w:hanging="296"/>
      </w:pPr>
      <w:rPr>
        <w:rFonts w:hint="default"/>
      </w:rPr>
    </w:lvl>
  </w:abstractNum>
  <w:abstractNum w:abstractNumId="12" w15:restartNumberingAfterBreak="0">
    <w:nsid w:val="0F2A034D"/>
    <w:multiLevelType w:val="hybridMultilevel"/>
    <w:tmpl w:val="2430C830"/>
    <w:lvl w:ilvl="0" w:tplc="6EF8844E">
      <w:start w:val="1"/>
      <w:numFmt w:val="decimal"/>
      <w:lvlText w:val="%1."/>
      <w:lvlJc w:val="left"/>
      <w:pPr>
        <w:ind w:left="1102" w:hanging="360"/>
      </w:pPr>
      <w:rPr>
        <w:rFonts w:ascii="Times New Roman" w:eastAsia="Arial" w:hAnsi="Times New Roman" w:cs="Times New Roman" w:hint="default"/>
        <w:w w:val="99"/>
        <w:sz w:val="24"/>
        <w:szCs w:val="24"/>
      </w:rPr>
    </w:lvl>
    <w:lvl w:ilvl="1" w:tplc="D85A939C">
      <w:start w:val="1"/>
      <w:numFmt w:val="bullet"/>
      <w:lvlText w:val=""/>
      <w:lvlJc w:val="left"/>
      <w:pPr>
        <w:ind w:left="1451" w:hanging="284"/>
      </w:pPr>
      <w:rPr>
        <w:rFonts w:ascii="Symbol" w:eastAsia="Symbol" w:hAnsi="Symbol" w:hint="default"/>
        <w:w w:val="99"/>
        <w:sz w:val="22"/>
        <w:szCs w:val="22"/>
      </w:rPr>
    </w:lvl>
    <w:lvl w:ilvl="2" w:tplc="387A29FE">
      <w:start w:val="1"/>
      <w:numFmt w:val="bullet"/>
      <w:lvlText w:val="•"/>
      <w:lvlJc w:val="left"/>
      <w:pPr>
        <w:ind w:left="2506" w:hanging="284"/>
      </w:pPr>
      <w:rPr>
        <w:rFonts w:hint="default"/>
      </w:rPr>
    </w:lvl>
    <w:lvl w:ilvl="3" w:tplc="6CE4ECDE">
      <w:start w:val="1"/>
      <w:numFmt w:val="bullet"/>
      <w:lvlText w:val="•"/>
      <w:lvlJc w:val="left"/>
      <w:pPr>
        <w:ind w:left="3560" w:hanging="284"/>
      </w:pPr>
      <w:rPr>
        <w:rFonts w:hint="default"/>
      </w:rPr>
    </w:lvl>
    <w:lvl w:ilvl="4" w:tplc="B2DC297C">
      <w:start w:val="1"/>
      <w:numFmt w:val="bullet"/>
      <w:lvlText w:val="•"/>
      <w:lvlJc w:val="left"/>
      <w:pPr>
        <w:ind w:left="4615" w:hanging="284"/>
      </w:pPr>
      <w:rPr>
        <w:rFonts w:hint="default"/>
      </w:rPr>
    </w:lvl>
    <w:lvl w:ilvl="5" w:tplc="CC7415E4">
      <w:start w:val="1"/>
      <w:numFmt w:val="bullet"/>
      <w:lvlText w:val="•"/>
      <w:lvlJc w:val="left"/>
      <w:pPr>
        <w:ind w:left="5670" w:hanging="284"/>
      </w:pPr>
      <w:rPr>
        <w:rFonts w:hint="default"/>
      </w:rPr>
    </w:lvl>
    <w:lvl w:ilvl="6" w:tplc="4F6C4A84">
      <w:start w:val="1"/>
      <w:numFmt w:val="bullet"/>
      <w:lvlText w:val="•"/>
      <w:lvlJc w:val="left"/>
      <w:pPr>
        <w:ind w:left="6725" w:hanging="284"/>
      </w:pPr>
      <w:rPr>
        <w:rFonts w:hint="default"/>
      </w:rPr>
    </w:lvl>
    <w:lvl w:ilvl="7" w:tplc="29D0776E">
      <w:start w:val="1"/>
      <w:numFmt w:val="bullet"/>
      <w:lvlText w:val="•"/>
      <w:lvlJc w:val="left"/>
      <w:pPr>
        <w:ind w:left="7780" w:hanging="284"/>
      </w:pPr>
      <w:rPr>
        <w:rFonts w:hint="default"/>
      </w:rPr>
    </w:lvl>
    <w:lvl w:ilvl="8" w:tplc="280E2D56">
      <w:start w:val="1"/>
      <w:numFmt w:val="bullet"/>
      <w:lvlText w:val="•"/>
      <w:lvlJc w:val="left"/>
      <w:pPr>
        <w:ind w:left="8835" w:hanging="284"/>
      </w:pPr>
      <w:rPr>
        <w:rFonts w:hint="default"/>
      </w:rPr>
    </w:lvl>
  </w:abstractNum>
  <w:abstractNum w:abstractNumId="13" w15:restartNumberingAfterBreak="0">
    <w:nsid w:val="10F11C7D"/>
    <w:multiLevelType w:val="hybridMultilevel"/>
    <w:tmpl w:val="368861FA"/>
    <w:lvl w:ilvl="0" w:tplc="26B2EAB4">
      <w:start w:val="1"/>
      <w:numFmt w:val="bullet"/>
      <w:lvlText w:val=""/>
      <w:lvlJc w:val="left"/>
      <w:pPr>
        <w:ind w:left="1477" w:hanging="360"/>
      </w:pPr>
      <w:rPr>
        <w:rFonts w:ascii="Symbol" w:eastAsia="Symbol" w:hAnsi="Symbol" w:hint="default"/>
        <w:w w:val="99"/>
        <w:sz w:val="22"/>
        <w:szCs w:val="22"/>
      </w:rPr>
    </w:lvl>
    <w:lvl w:ilvl="1" w:tplc="BAF4B20E">
      <w:start w:val="1"/>
      <w:numFmt w:val="bullet"/>
      <w:lvlText w:val="•"/>
      <w:lvlJc w:val="left"/>
      <w:pPr>
        <w:ind w:left="2420" w:hanging="360"/>
      </w:pPr>
      <w:rPr>
        <w:rFonts w:hint="default"/>
      </w:rPr>
    </w:lvl>
    <w:lvl w:ilvl="2" w:tplc="69AEA822">
      <w:start w:val="1"/>
      <w:numFmt w:val="bullet"/>
      <w:lvlText w:val="•"/>
      <w:lvlJc w:val="left"/>
      <w:pPr>
        <w:ind w:left="3362" w:hanging="360"/>
      </w:pPr>
      <w:rPr>
        <w:rFonts w:hint="default"/>
      </w:rPr>
    </w:lvl>
    <w:lvl w:ilvl="3" w:tplc="CFB29F64">
      <w:start w:val="1"/>
      <w:numFmt w:val="bullet"/>
      <w:lvlText w:val="•"/>
      <w:lvlJc w:val="left"/>
      <w:pPr>
        <w:ind w:left="4305" w:hanging="360"/>
      </w:pPr>
      <w:rPr>
        <w:rFonts w:hint="default"/>
      </w:rPr>
    </w:lvl>
    <w:lvl w:ilvl="4" w:tplc="6268A18E">
      <w:start w:val="1"/>
      <w:numFmt w:val="bullet"/>
      <w:lvlText w:val="•"/>
      <w:lvlJc w:val="left"/>
      <w:pPr>
        <w:ind w:left="5248" w:hanging="360"/>
      </w:pPr>
      <w:rPr>
        <w:rFonts w:hint="default"/>
      </w:rPr>
    </w:lvl>
    <w:lvl w:ilvl="5" w:tplc="33360994">
      <w:start w:val="1"/>
      <w:numFmt w:val="bullet"/>
      <w:lvlText w:val="•"/>
      <w:lvlJc w:val="left"/>
      <w:pPr>
        <w:ind w:left="6191" w:hanging="360"/>
      </w:pPr>
      <w:rPr>
        <w:rFonts w:hint="default"/>
      </w:rPr>
    </w:lvl>
    <w:lvl w:ilvl="6" w:tplc="F37A19D2">
      <w:start w:val="1"/>
      <w:numFmt w:val="bullet"/>
      <w:lvlText w:val="•"/>
      <w:lvlJc w:val="left"/>
      <w:pPr>
        <w:ind w:left="7134" w:hanging="360"/>
      </w:pPr>
      <w:rPr>
        <w:rFonts w:hint="default"/>
      </w:rPr>
    </w:lvl>
    <w:lvl w:ilvl="7" w:tplc="DD0220F0">
      <w:start w:val="1"/>
      <w:numFmt w:val="bullet"/>
      <w:lvlText w:val="•"/>
      <w:lvlJc w:val="left"/>
      <w:pPr>
        <w:ind w:left="8076" w:hanging="360"/>
      </w:pPr>
      <w:rPr>
        <w:rFonts w:hint="default"/>
      </w:rPr>
    </w:lvl>
    <w:lvl w:ilvl="8" w:tplc="FFE23282">
      <w:start w:val="1"/>
      <w:numFmt w:val="bullet"/>
      <w:lvlText w:val="•"/>
      <w:lvlJc w:val="left"/>
      <w:pPr>
        <w:ind w:left="9019" w:hanging="360"/>
      </w:pPr>
      <w:rPr>
        <w:rFonts w:hint="default"/>
      </w:rPr>
    </w:lvl>
  </w:abstractNum>
  <w:abstractNum w:abstractNumId="14" w15:restartNumberingAfterBreak="0">
    <w:nsid w:val="11EF1F59"/>
    <w:multiLevelType w:val="hybridMultilevel"/>
    <w:tmpl w:val="C93694D8"/>
    <w:lvl w:ilvl="0" w:tplc="CF407C86">
      <w:start w:val="1"/>
      <w:numFmt w:val="lowerRoman"/>
      <w:lvlText w:val="%1."/>
      <w:lvlJc w:val="left"/>
      <w:pPr>
        <w:ind w:left="1592" w:hanging="394"/>
      </w:pPr>
      <w:rPr>
        <w:rFonts w:ascii="Times New Roman" w:eastAsia="Arial" w:hAnsi="Times New Roman" w:cs="Times New Roman" w:hint="default"/>
        <w:w w:val="99"/>
        <w:sz w:val="24"/>
        <w:szCs w:val="24"/>
      </w:rPr>
    </w:lvl>
    <w:lvl w:ilvl="1" w:tplc="89A063EE">
      <w:start w:val="1"/>
      <w:numFmt w:val="bullet"/>
      <w:lvlText w:val="•"/>
      <w:lvlJc w:val="left"/>
      <w:pPr>
        <w:ind w:left="2528" w:hanging="394"/>
      </w:pPr>
      <w:rPr>
        <w:rFonts w:hint="default"/>
      </w:rPr>
    </w:lvl>
    <w:lvl w:ilvl="2" w:tplc="0638EBB4">
      <w:start w:val="1"/>
      <w:numFmt w:val="bullet"/>
      <w:lvlText w:val="•"/>
      <w:lvlJc w:val="left"/>
      <w:pPr>
        <w:ind w:left="3463" w:hanging="394"/>
      </w:pPr>
      <w:rPr>
        <w:rFonts w:hint="default"/>
      </w:rPr>
    </w:lvl>
    <w:lvl w:ilvl="3" w:tplc="DF16EF2E">
      <w:start w:val="1"/>
      <w:numFmt w:val="bullet"/>
      <w:lvlText w:val="•"/>
      <w:lvlJc w:val="left"/>
      <w:pPr>
        <w:ind w:left="4398" w:hanging="394"/>
      </w:pPr>
      <w:rPr>
        <w:rFonts w:hint="default"/>
      </w:rPr>
    </w:lvl>
    <w:lvl w:ilvl="4" w:tplc="668C80AE">
      <w:start w:val="1"/>
      <w:numFmt w:val="bullet"/>
      <w:lvlText w:val="•"/>
      <w:lvlJc w:val="left"/>
      <w:pPr>
        <w:ind w:left="5333" w:hanging="394"/>
      </w:pPr>
      <w:rPr>
        <w:rFonts w:hint="default"/>
      </w:rPr>
    </w:lvl>
    <w:lvl w:ilvl="5" w:tplc="311EA4E8">
      <w:start w:val="1"/>
      <w:numFmt w:val="bullet"/>
      <w:lvlText w:val="•"/>
      <w:lvlJc w:val="left"/>
      <w:pPr>
        <w:ind w:left="6269" w:hanging="394"/>
      </w:pPr>
      <w:rPr>
        <w:rFonts w:hint="default"/>
      </w:rPr>
    </w:lvl>
    <w:lvl w:ilvl="6" w:tplc="F9FE2A3A">
      <w:start w:val="1"/>
      <w:numFmt w:val="bullet"/>
      <w:lvlText w:val="•"/>
      <w:lvlJc w:val="left"/>
      <w:pPr>
        <w:ind w:left="7204" w:hanging="394"/>
      </w:pPr>
      <w:rPr>
        <w:rFonts w:hint="default"/>
      </w:rPr>
    </w:lvl>
    <w:lvl w:ilvl="7" w:tplc="6D0A8394">
      <w:start w:val="1"/>
      <w:numFmt w:val="bullet"/>
      <w:lvlText w:val="•"/>
      <w:lvlJc w:val="left"/>
      <w:pPr>
        <w:ind w:left="8139" w:hanging="394"/>
      </w:pPr>
      <w:rPr>
        <w:rFonts w:hint="default"/>
      </w:rPr>
    </w:lvl>
    <w:lvl w:ilvl="8" w:tplc="43F47AAC">
      <w:start w:val="1"/>
      <w:numFmt w:val="bullet"/>
      <w:lvlText w:val="•"/>
      <w:lvlJc w:val="left"/>
      <w:pPr>
        <w:ind w:left="9074" w:hanging="394"/>
      </w:pPr>
      <w:rPr>
        <w:rFonts w:hint="default"/>
      </w:rPr>
    </w:lvl>
  </w:abstractNum>
  <w:abstractNum w:abstractNumId="15" w15:restartNumberingAfterBreak="0">
    <w:nsid w:val="12254685"/>
    <w:multiLevelType w:val="hybridMultilevel"/>
    <w:tmpl w:val="4AE6CB42"/>
    <w:lvl w:ilvl="0" w:tplc="225EB730">
      <w:start w:val="1"/>
      <w:numFmt w:val="bullet"/>
      <w:lvlText w:val=""/>
      <w:lvlJc w:val="left"/>
      <w:pPr>
        <w:ind w:left="1522" w:hanging="294"/>
      </w:pPr>
      <w:rPr>
        <w:rFonts w:ascii="Symbol" w:eastAsia="Symbol" w:hAnsi="Symbol" w:hint="default"/>
        <w:w w:val="99"/>
        <w:sz w:val="22"/>
        <w:szCs w:val="22"/>
      </w:rPr>
    </w:lvl>
    <w:lvl w:ilvl="1" w:tplc="62A23586">
      <w:start w:val="1"/>
      <w:numFmt w:val="bullet"/>
      <w:lvlText w:val="•"/>
      <w:lvlJc w:val="left"/>
      <w:pPr>
        <w:ind w:left="2470" w:hanging="294"/>
      </w:pPr>
      <w:rPr>
        <w:rFonts w:hint="default"/>
      </w:rPr>
    </w:lvl>
    <w:lvl w:ilvl="2" w:tplc="9F6A1358">
      <w:start w:val="1"/>
      <w:numFmt w:val="bullet"/>
      <w:lvlText w:val="•"/>
      <w:lvlJc w:val="left"/>
      <w:pPr>
        <w:ind w:left="3418" w:hanging="294"/>
      </w:pPr>
      <w:rPr>
        <w:rFonts w:hint="default"/>
      </w:rPr>
    </w:lvl>
    <w:lvl w:ilvl="3" w:tplc="6E46E252">
      <w:start w:val="1"/>
      <w:numFmt w:val="bullet"/>
      <w:lvlText w:val="•"/>
      <w:lvlJc w:val="left"/>
      <w:pPr>
        <w:ind w:left="4367" w:hanging="294"/>
      </w:pPr>
      <w:rPr>
        <w:rFonts w:hint="default"/>
      </w:rPr>
    </w:lvl>
    <w:lvl w:ilvl="4" w:tplc="EEACD7E4">
      <w:start w:val="1"/>
      <w:numFmt w:val="bullet"/>
      <w:lvlText w:val="•"/>
      <w:lvlJc w:val="left"/>
      <w:pPr>
        <w:ind w:left="5315" w:hanging="294"/>
      </w:pPr>
      <w:rPr>
        <w:rFonts w:hint="default"/>
      </w:rPr>
    </w:lvl>
    <w:lvl w:ilvl="5" w:tplc="088C6344">
      <w:start w:val="1"/>
      <w:numFmt w:val="bullet"/>
      <w:lvlText w:val="•"/>
      <w:lvlJc w:val="left"/>
      <w:pPr>
        <w:ind w:left="6264" w:hanging="294"/>
      </w:pPr>
      <w:rPr>
        <w:rFonts w:hint="default"/>
      </w:rPr>
    </w:lvl>
    <w:lvl w:ilvl="6" w:tplc="977CE92E">
      <w:start w:val="1"/>
      <w:numFmt w:val="bullet"/>
      <w:lvlText w:val="•"/>
      <w:lvlJc w:val="left"/>
      <w:pPr>
        <w:ind w:left="7212" w:hanging="294"/>
      </w:pPr>
      <w:rPr>
        <w:rFonts w:hint="default"/>
      </w:rPr>
    </w:lvl>
    <w:lvl w:ilvl="7" w:tplc="1C5EB116">
      <w:start w:val="1"/>
      <w:numFmt w:val="bullet"/>
      <w:lvlText w:val="•"/>
      <w:lvlJc w:val="left"/>
      <w:pPr>
        <w:ind w:left="8161" w:hanging="294"/>
      </w:pPr>
      <w:rPr>
        <w:rFonts w:hint="default"/>
      </w:rPr>
    </w:lvl>
    <w:lvl w:ilvl="8" w:tplc="361AEDAE">
      <w:start w:val="1"/>
      <w:numFmt w:val="bullet"/>
      <w:lvlText w:val="•"/>
      <w:lvlJc w:val="left"/>
      <w:pPr>
        <w:ind w:left="9109" w:hanging="294"/>
      </w:pPr>
      <w:rPr>
        <w:rFonts w:hint="default"/>
      </w:rPr>
    </w:lvl>
  </w:abstractNum>
  <w:abstractNum w:abstractNumId="16" w15:restartNumberingAfterBreak="0">
    <w:nsid w:val="133F0456"/>
    <w:multiLevelType w:val="hybridMultilevel"/>
    <w:tmpl w:val="663201F2"/>
    <w:lvl w:ilvl="0" w:tplc="EE20DB12">
      <w:start w:val="1"/>
      <w:numFmt w:val="bullet"/>
      <w:lvlText w:val="•"/>
      <w:lvlJc w:val="left"/>
      <w:pPr>
        <w:ind w:left="1064" w:hanging="125"/>
      </w:pPr>
      <w:rPr>
        <w:rFonts w:ascii="Arial" w:eastAsia="Arial" w:hAnsi="Arial" w:hint="default"/>
        <w:sz w:val="20"/>
        <w:szCs w:val="20"/>
      </w:rPr>
    </w:lvl>
    <w:lvl w:ilvl="1" w:tplc="EFA633E2">
      <w:start w:val="1"/>
      <w:numFmt w:val="bullet"/>
      <w:lvlText w:val="•"/>
      <w:lvlJc w:val="left"/>
      <w:pPr>
        <w:ind w:left="2322" w:hanging="720"/>
      </w:pPr>
      <w:rPr>
        <w:rFonts w:ascii="Times New Roman" w:eastAsia="Arial" w:hAnsi="Times New Roman" w:cs="Times New Roman" w:hint="default"/>
        <w:sz w:val="24"/>
        <w:szCs w:val="24"/>
      </w:rPr>
    </w:lvl>
    <w:lvl w:ilvl="2" w:tplc="5BDEB2EC">
      <w:start w:val="1"/>
      <w:numFmt w:val="bullet"/>
      <w:lvlText w:val="•"/>
      <w:lvlJc w:val="left"/>
      <w:pPr>
        <w:ind w:left="3296" w:hanging="720"/>
      </w:pPr>
      <w:rPr>
        <w:rFonts w:hint="default"/>
      </w:rPr>
    </w:lvl>
    <w:lvl w:ilvl="3" w:tplc="8E7228CC">
      <w:start w:val="1"/>
      <w:numFmt w:val="bullet"/>
      <w:lvlText w:val="•"/>
      <w:lvlJc w:val="left"/>
      <w:pPr>
        <w:ind w:left="4270" w:hanging="720"/>
      </w:pPr>
      <w:rPr>
        <w:rFonts w:hint="default"/>
      </w:rPr>
    </w:lvl>
    <w:lvl w:ilvl="4" w:tplc="71F073A8">
      <w:start w:val="1"/>
      <w:numFmt w:val="bullet"/>
      <w:lvlText w:val="•"/>
      <w:lvlJc w:val="left"/>
      <w:pPr>
        <w:ind w:left="5244" w:hanging="720"/>
      </w:pPr>
      <w:rPr>
        <w:rFonts w:hint="default"/>
      </w:rPr>
    </w:lvl>
    <w:lvl w:ilvl="5" w:tplc="863AEFE2">
      <w:start w:val="1"/>
      <w:numFmt w:val="bullet"/>
      <w:lvlText w:val="•"/>
      <w:lvlJc w:val="left"/>
      <w:pPr>
        <w:ind w:left="6218" w:hanging="720"/>
      </w:pPr>
      <w:rPr>
        <w:rFonts w:hint="default"/>
      </w:rPr>
    </w:lvl>
    <w:lvl w:ilvl="6" w:tplc="4A1EF570">
      <w:start w:val="1"/>
      <w:numFmt w:val="bullet"/>
      <w:lvlText w:val="•"/>
      <w:lvlJc w:val="left"/>
      <w:pPr>
        <w:ind w:left="7192" w:hanging="720"/>
      </w:pPr>
      <w:rPr>
        <w:rFonts w:hint="default"/>
      </w:rPr>
    </w:lvl>
    <w:lvl w:ilvl="7" w:tplc="58EE141C">
      <w:start w:val="1"/>
      <w:numFmt w:val="bullet"/>
      <w:lvlText w:val="•"/>
      <w:lvlJc w:val="left"/>
      <w:pPr>
        <w:ind w:left="8166" w:hanging="720"/>
      </w:pPr>
      <w:rPr>
        <w:rFonts w:hint="default"/>
      </w:rPr>
    </w:lvl>
    <w:lvl w:ilvl="8" w:tplc="C2B2AF02">
      <w:start w:val="1"/>
      <w:numFmt w:val="bullet"/>
      <w:lvlText w:val="•"/>
      <w:lvlJc w:val="left"/>
      <w:pPr>
        <w:ind w:left="9140" w:hanging="720"/>
      </w:pPr>
      <w:rPr>
        <w:rFonts w:hint="default"/>
      </w:rPr>
    </w:lvl>
  </w:abstractNum>
  <w:abstractNum w:abstractNumId="17" w15:restartNumberingAfterBreak="0">
    <w:nsid w:val="1387540D"/>
    <w:multiLevelType w:val="hybridMultilevel"/>
    <w:tmpl w:val="E738CE96"/>
    <w:lvl w:ilvl="0" w:tplc="F1866C92">
      <w:start w:val="1"/>
      <w:numFmt w:val="decimal"/>
      <w:lvlText w:val="%1."/>
      <w:lvlJc w:val="left"/>
      <w:pPr>
        <w:ind w:left="1261" w:hanging="360"/>
      </w:pPr>
      <w:rPr>
        <w:rFonts w:ascii="Times New Roman" w:eastAsia="Arial" w:hAnsi="Times New Roman" w:cs="Times New Roman" w:hint="default"/>
        <w:w w:val="99"/>
        <w:sz w:val="24"/>
        <w:szCs w:val="24"/>
      </w:rPr>
    </w:lvl>
    <w:lvl w:ilvl="1" w:tplc="BBAE7E3A">
      <w:start w:val="1"/>
      <w:numFmt w:val="bullet"/>
      <w:lvlText w:val=""/>
      <w:lvlJc w:val="left"/>
      <w:pPr>
        <w:ind w:left="1611" w:hanging="284"/>
      </w:pPr>
      <w:rPr>
        <w:rFonts w:ascii="Symbol" w:eastAsia="Symbol" w:hAnsi="Symbol" w:hint="default"/>
        <w:w w:val="99"/>
        <w:sz w:val="22"/>
        <w:szCs w:val="22"/>
      </w:rPr>
    </w:lvl>
    <w:lvl w:ilvl="2" w:tplc="1AA0D958">
      <w:start w:val="1"/>
      <w:numFmt w:val="bullet"/>
      <w:lvlText w:val="•"/>
      <w:lvlJc w:val="left"/>
      <w:pPr>
        <w:ind w:left="2666" w:hanging="284"/>
      </w:pPr>
      <w:rPr>
        <w:rFonts w:hint="default"/>
      </w:rPr>
    </w:lvl>
    <w:lvl w:ilvl="3" w:tplc="9F12E296">
      <w:start w:val="1"/>
      <w:numFmt w:val="bullet"/>
      <w:lvlText w:val="•"/>
      <w:lvlJc w:val="left"/>
      <w:pPr>
        <w:ind w:left="3721" w:hanging="284"/>
      </w:pPr>
      <w:rPr>
        <w:rFonts w:hint="default"/>
      </w:rPr>
    </w:lvl>
    <w:lvl w:ilvl="4" w:tplc="3E90A330">
      <w:start w:val="1"/>
      <w:numFmt w:val="bullet"/>
      <w:lvlText w:val="•"/>
      <w:lvlJc w:val="left"/>
      <w:pPr>
        <w:ind w:left="4777" w:hanging="284"/>
      </w:pPr>
      <w:rPr>
        <w:rFonts w:hint="default"/>
      </w:rPr>
    </w:lvl>
    <w:lvl w:ilvl="5" w:tplc="D46234FA">
      <w:start w:val="1"/>
      <w:numFmt w:val="bullet"/>
      <w:lvlText w:val="•"/>
      <w:lvlJc w:val="left"/>
      <w:pPr>
        <w:ind w:left="5832" w:hanging="284"/>
      </w:pPr>
      <w:rPr>
        <w:rFonts w:hint="default"/>
      </w:rPr>
    </w:lvl>
    <w:lvl w:ilvl="6" w:tplc="B61CD7B2">
      <w:start w:val="1"/>
      <w:numFmt w:val="bullet"/>
      <w:lvlText w:val="•"/>
      <w:lvlJc w:val="left"/>
      <w:pPr>
        <w:ind w:left="6887" w:hanging="284"/>
      </w:pPr>
      <w:rPr>
        <w:rFonts w:hint="default"/>
      </w:rPr>
    </w:lvl>
    <w:lvl w:ilvl="7" w:tplc="443AD138">
      <w:start w:val="1"/>
      <w:numFmt w:val="bullet"/>
      <w:lvlText w:val="•"/>
      <w:lvlJc w:val="left"/>
      <w:pPr>
        <w:ind w:left="7942" w:hanging="284"/>
      </w:pPr>
      <w:rPr>
        <w:rFonts w:hint="default"/>
      </w:rPr>
    </w:lvl>
    <w:lvl w:ilvl="8" w:tplc="E8EE9A6C">
      <w:start w:val="1"/>
      <w:numFmt w:val="bullet"/>
      <w:lvlText w:val="•"/>
      <w:lvlJc w:val="left"/>
      <w:pPr>
        <w:ind w:left="8998" w:hanging="284"/>
      </w:pPr>
      <w:rPr>
        <w:rFonts w:hint="default"/>
      </w:rPr>
    </w:lvl>
  </w:abstractNum>
  <w:abstractNum w:abstractNumId="18" w15:restartNumberingAfterBreak="0">
    <w:nsid w:val="145A04C1"/>
    <w:multiLevelType w:val="hybridMultilevel"/>
    <w:tmpl w:val="857684E6"/>
    <w:lvl w:ilvl="0" w:tplc="E2C898B4">
      <w:start w:val="1"/>
      <w:numFmt w:val="decimal"/>
      <w:lvlText w:val="%1."/>
      <w:lvlJc w:val="left"/>
      <w:pPr>
        <w:ind w:left="742" w:hanging="320"/>
      </w:pPr>
      <w:rPr>
        <w:rFonts w:ascii="Times New Roman" w:eastAsia="Arial" w:hAnsi="Times New Roman" w:cs="Times New Roman" w:hint="default"/>
        <w:w w:val="99"/>
        <w:sz w:val="24"/>
        <w:szCs w:val="24"/>
      </w:rPr>
    </w:lvl>
    <w:lvl w:ilvl="1" w:tplc="C29EA6E6">
      <w:start w:val="1"/>
      <w:numFmt w:val="bullet"/>
      <w:lvlText w:val="•"/>
      <w:lvlJc w:val="left"/>
      <w:pPr>
        <w:ind w:left="1762" w:hanging="320"/>
      </w:pPr>
      <w:rPr>
        <w:rFonts w:hint="default"/>
      </w:rPr>
    </w:lvl>
    <w:lvl w:ilvl="2" w:tplc="4A02C4A8">
      <w:start w:val="1"/>
      <w:numFmt w:val="bullet"/>
      <w:lvlText w:val="•"/>
      <w:lvlJc w:val="left"/>
      <w:pPr>
        <w:ind w:left="2782" w:hanging="320"/>
      </w:pPr>
      <w:rPr>
        <w:rFonts w:hint="default"/>
      </w:rPr>
    </w:lvl>
    <w:lvl w:ilvl="3" w:tplc="198EB8B0">
      <w:start w:val="1"/>
      <w:numFmt w:val="bullet"/>
      <w:lvlText w:val="•"/>
      <w:lvlJc w:val="left"/>
      <w:pPr>
        <w:ind w:left="3802" w:hanging="320"/>
      </w:pPr>
      <w:rPr>
        <w:rFonts w:hint="default"/>
      </w:rPr>
    </w:lvl>
    <w:lvl w:ilvl="4" w:tplc="BA26DC70">
      <w:start w:val="1"/>
      <w:numFmt w:val="bullet"/>
      <w:lvlText w:val="•"/>
      <w:lvlJc w:val="left"/>
      <w:pPr>
        <w:ind w:left="4823" w:hanging="320"/>
      </w:pPr>
      <w:rPr>
        <w:rFonts w:hint="default"/>
      </w:rPr>
    </w:lvl>
    <w:lvl w:ilvl="5" w:tplc="5DDA0240">
      <w:start w:val="1"/>
      <w:numFmt w:val="bullet"/>
      <w:lvlText w:val="•"/>
      <w:lvlJc w:val="left"/>
      <w:pPr>
        <w:ind w:left="5843" w:hanging="320"/>
      </w:pPr>
      <w:rPr>
        <w:rFonts w:hint="default"/>
      </w:rPr>
    </w:lvl>
    <w:lvl w:ilvl="6" w:tplc="BB2C1884">
      <w:start w:val="1"/>
      <w:numFmt w:val="bullet"/>
      <w:lvlText w:val="•"/>
      <w:lvlJc w:val="left"/>
      <w:pPr>
        <w:ind w:left="6863" w:hanging="320"/>
      </w:pPr>
      <w:rPr>
        <w:rFonts w:hint="default"/>
      </w:rPr>
    </w:lvl>
    <w:lvl w:ilvl="7" w:tplc="E83CC534">
      <w:start w:val="1"/>
      <w:numFmt w:val="bullet"/>
      <w:lvlText w:val="•"/>
      <w:lvlJc w:val="left"/>
      <w:pPr>
        <w:ind w:left="7884" w:hanging="320"/>
      </w:pPr>
      <w:rPr>
        <w:rFonts w:hint="default"/>
      </w:rPr>
    </w:lvl>
    <w:lvl w:ilvl="8" w:tplc="E9E478BA">
      <w:start w:val="1"/>
      <w:numFmt w:val="bullet"/>
      <w:lvlText w:val="•"/>
      <w:lvlJc w:val="left"/>
      <w:pPr>
        <w:ind w:left="8904" w:hanging="320"/>
      </w:pPr>
      <w:rPr>
        <w:rFonts w:hint="default"/>
      </w:rPr>
    </w:lvl>
  </w:abstractNum>
  <w:abstractNum w:abstractNumId="19" w15:restartNumberingAfterBreak="0">
    <w:nsid w:val="147E52E4"/>
    <w:multiLevelType w:val="hybridMultilevel"/>
    <w:tmpl w:val="5636C7E6"/>
    <w:lvl w:ilvl="0" w:tplc="5E0C6AD2">
      <w:start w:val="1"/>
      <w:numFmt w:val="bullet"/>
      <w:lvlText w:val=""/>
      <w:lvlJc w:val="left"/>
      <w:pPr>
        <w:ind w:left="1228" w:hanging="426"/>
      </w:pPr>
      <w:rPr>
        <w:rFonts w:ascii="Symbol" w:eastAsia="Symbol" w:hAnsi="Symbol" w:hint="default"/>
        <w:w w:val="99"/>
        <w:sz w:val="22"/>
        <w:szCs w:val="22"/>
      </w:rPr>
    </w:lvl>
    <w:lvl w:ilvl="1" w:tplc="88D49488">
      <w:start w:val="1"/>
      <w:numFmt w:val="bullet"/>
      <w:lvlText w:val="•"/>
      <w:lvlJc w:val="left"/>
      <w:pPr>
        <w:ind w:left="2205" w:hanging="426"/>
      </w:pPr>
      <w:rPr>
        <w:rFonts w:hint="default"/>
      </w:rPr>
    </w:lvl>
    <w:lvl w:ilvl="2" w:tplc="A70296DA">
      <w:start w:val="1"/>
      <w:numFmt w:val="bullet"/>
      <w:lvlText w:val="•"/>
      <w:lvlJc w:val="left"/>
      <w:pPr>
        <w:ind w:left="3183" w:hanging="426"/>
      </w:pPr>
      <w:rPr>
        <w:rFonts w:hint="default"/>
      </w:rPr>
    </w:lvl>
    <w:lvl w:ilvl="3" w:tplc="976A3A38">
      <w:start w:val="1"/>
      <w:numFmt w:val="bullet"/>
      <w:lvlText w:val="•"/>
      <w:lvlJc w:val="left"/>
      <w:pPr>
        <w:ind w:left="4161" w:hanging="426"/>
      </w:pPr>
      <w:rPr>
        <w:rFonts w:hint="default"/>
      </w:rPr>
    </w:lvl>
    <w:lvl w:ilvl="4" w:tplc="CEF88F9A">
      <w:start w:val="1"/>
      <w:numFmt w:val="bullet"/>
      <w:lvlText w:val="•"/>
      <w:lvlJc w:val="left"/>
      <w:pPr>
        <w:ind w:left="5138" w:hanging="426"/>
      </w:pPr>
      <w:rPr>
        <w:rFonts w:hint="default"/>
      </w:rPr>
    </w:lvl>
    <w:lvl w:ilvl="5" w:tplc="AA9CCA84">
      <w:start w:val="1"/>
      <w:numFmt w:val="bullet"/>
      <w:lvlText w:val="•"/>
      <w:lvlJc w:val="left"/>
      <w:pPr>
        <w:ind w:left="6116" w:hanging="426"/>
      </w:pPr>
      <w:rPr>
        <w:rFonts w:hint="default"/>
      </w:rPr>
    </w:lvl>
    <w:lvl w:ilvl="6" w:tplc="CEF66DF6">
      <w:start w:val="1"/>
      <w:numFmt w:val="bullet"/>
      <w:lvlText w:val="•"/>
      <w:lvlJc w:val="left"/>
      <w:pPr>
        <w:ind w:left="7094" w:hanging="426"/>
      </w:pPr>
      <w:rPr>
        <w:rFonts w:hint="default"/>
      </w:rPr>
    </w:lvl>
    <w:lvl w:ilvl="7" w:tplc="F1BAF152">
      <w:start w:val="1"/>
      <w:numFmt w:val="bullet"/>
      <w:lvlText w:val="•"/>
      <w:lvlJc w:val="left"/>
      <w:pPr>
        <w:ind w:left="8072" w:hanging="426"/>
      </w:pPr>
      <w:rPr>
        <w:rFonts w:hint="default"/>
      </w:rPr>
    </w:lvl>
    <w:lvl w:ilvl="8" w:tplc="64BCFCBA">
      <w:start w:val="1"/>
      <w:numFmt w:val="bullet"/>
      <w:lvlText w:val="•"/>
      <w:lvlJc w:val="left"/>
      <w:pPr>
        <w:ind w:left="9049" w:hanging="426"/>
      </w:pPr>
      <w:rPr>
        <w:rFonts w:hint="default"/>
      </w:rPr>
    </w:lvl>
  </w:abstractNum>
  <w:abstractNum w:abstractNumId="20" w15:restartNumberingAfterBreak="0">
    <w:nsid w:val="154663AC"/>
    <w:multiLevelType w:val="hybridMultilevel"/>
    <w:tmpl w:val="A75CF95E"/>
    <w:lvl w:ilvl="0" w:tplc="3AC87168">
      <w:start w:val="1"/>
      <w:numFmt w:val="decimal"/>
      <w:lvlText w:val="%1."/>
      <w:lvlJc w:val="left"/>
      <w:pPr>
        <w:ind w:left="1242" w:hanging="360"/>
        <w:jc w:val="right"/>
      </w:pPr>
      <w:rPr>
        <w:rFonts w:ascii="Times New Roman" w:eastAsia="Arial" w:hAnsi="Times New Roman" w:cs="Times New Roman" w:hint="default"/>
        <w:w w:val="99"/>
        <w:sz w:val="24"/>
        <w:szCs w:val="24"/>
      </w:rPr>
    </w:lvl>
    <w:lvl w:ilvl="1" w:tplc="EDF8D45C">
      <w:start w:val="1"/>
      <w:numFmt w:val="bullet"/>
      <w:lvlText w:val=""/>
      <w:lvlJc w:val="left"/>
      <w:pPr>
        <w:ind w:left="1591" w:hanging="284"/>
      </w:pPr>
      <w:rPr>
        <w:rFonts w:ascii="Symbol" w:eastAsia="Symbol" w:hAnsi="Symbol" w:hint="default"/>
        <w:w w:val="99"/>
        <w:sz w:val="22"/>
        <w:szCs w:val="22"/>
      </w:rPr>
    </w:lvl>
    <w:lvl w:ilvl="2" w:tplc="8D740A72">
      <w:start w:val="1"/>
      <w:numFmt w:val="bullet"/>
      <w:lvlText w:val="•"/>
      <w:lvlJc w:val="left"/>
      <w:pPr>
        <w:ind w:left="2646" w:hanging="284"/>
      </w:pPr>
      <w:rPr>
        <w:rFonts w:hint="default"/>
      </w:rPr>
    </w:lvl>
    <w:lvl w:ilvl="3" w:tplc="30EC4F4E">
      <w:start w:val="1"/>
      <w:numFmt w:val="bullet"/>
      <w:lvlText w:val="•"/>
      <w:lvlJc w:val="left"/>
      <w:pPr>
        <w:ind w:left="3700" w:hanging="284"/>
      </w:pPr>
      <w:rPr>
        <w:rFonts w:hint="default"/>
      </w:rPr>
    </w:lvl>
    <w:lvl w:ilvl="4" w:tplc="D5140BDA">
      <w:start w:val="1"/>
      <w:numFmt w:val="bullet"/>
      <w:lvlText w:val="•"/>
      <w:lvlJc w:val="left"/>
      <w:pPr>
        <w:ind w:left="4755" w:hanging="284"/>
      </w:pPr>
      <w:rPr>
        <w:rFonts w:hint="default"/>
      </w:rPr>
    </w:lvl>
    <w:lvl w:ilvl="5" w:tplc="F14CB3B2">
      <w:start w:val="1"/>
      <w:numFmt w:val="bullet"/>
      <w:lvlText w:val="•"/>
      <w:lvlJc w:val="left"/>
      <w:pPr>
        <w:ind w:left="5810" w:hanging="284"/>
      </w:pPr>
      <w:rPr>
        <w:rFonts w:hint="default"/>
      </w:rPr>
    </w:lvl>
    <w:lvl w:ilvl="6" w:tplc="30C431BC">
      <w:start w:val="1"/>
      <w:numFmt w:val="bullet"/>
      <w:lvlText w:val="•"/>
      <w:lvlJc w:val="left"/>
      <w:pPr>
        <w:ind w:left="6865" w:hanging="284"/>
      </w:pPr>
      <w:rPr>
        <w:rFonts w:hint="default"/>
      </w:rPr>
    </w:lvl>
    <w:lvl w:ilvl="7" w:tplc="6A4EC2C0">
      <w:start w:val="1"/>
      <w:numFmt w:val="bullet"/>
      <w:lvlText w:val="•"/>
      <w:lvlJc w:val="left"/>
      <w:pPr>
        <w:ind w:left="7920" w:hanging="284"/>
      </w:pPr>
      <w:rPr>
        <w:rFonts w:hint="default"/>
      </w:rPr>
    </w:lvl>
    <w:lvl w:ilvl="8" w:tplc="DB9C8148">
      <w:start w:val="1"/>
      <w:numFmt w:val="bullet"/>
      <w:lvlText w:val="•"/>
      <w:lvlJc w:val="left"/>
      <w:pPr>
        <w:ind w:left="8975" w:hanging="284"/>
      </w:pPr>
      <w:rPr>
        <w:rFonts w:hint="default"/>
      </w:rPr>
    </w:lvl>
  </w:abstractNum>
  <w:abstractNum w:abstractNumId="21" w15:restartNumberingAfterBreak="0">
    <w:nsid w:val="16EF0422"/>
    <w:multiLevelType w:val="hybridMultilevel"/>
    <w:tmpl w:val="601C6DBE"/>
    <w:lvl w:ilvl="0" w:tplc="6D001E7C">
      <w:start w:val="1"/>
      <w:numFmt w:val="decimal"/>
      <w:lvlText w:val="%1."/>
      <w:lvlJc w:val="left"/>
      <w:pPr>
        <w:ind w:left="1202" w:hanging="360"/>
        <w:jc w:val="right"/>
      </w:pPr>
      <w:rPr>
        <w:rFonts w:ascii="Times New Roman" w:eastAsia="Arial" w:hAnsi="Times New Roman" w:cs="Times New Roman" w:hint="default"/>
        <w:w w:val="99"/>
        <w:sz w:val="24"/>
        <w:szCs w:val="24"/>
      </w:rPr>
    </w:lvl>
    <w:lvl w:ilvl="1" w:tplc="17F2F7AA">
      <w:start w:val="1"/>
      <w:numFmt w:val="bullet"/>
      <w:lvlText w:val=""/>
      <w:lvlJc w:val="left"/>
      <w:pPr>
        <w:ind w:left="1662" w:hanging="294"/>
      </w:pPr>
      <w:rPr>
        <w:rFonts w:ascii="Symbol" w:eastAsia="Symbol" w:hAnsi="Symbol" w:hint="default"/>
        <w:w w:val="99"/>
        <w:sz w:val="22"/>
        <w:szCs w:val="22"/>
      </w:rPr>
    </w:lvl>
    <w:lvl w:ilvl="2" w:tplc="D6C2681C">
      <w:start w:val="1"/>
      <w:numFmt w:val="bullet"/>
      <w:lvlText w:val="•"/>
      <w:lvlJc w:val="left"/>
      <w:pPr>
        <w:ind w:left="1662" w:hanging="294"/>
      </w:pPr>
      <w:rPr>
        <w:rFonts w:hint="default"/>
      </w:rPr>
    </w:lvl>
    <w:lvl w:ilvl="3" w:tplc="65CEF2B0">
      <w:start w:val="1"/>
      <w:numFmt w:val="bullet"/>
      <w:lvlText w:val="•"/>
      <w:lvlJc w:val="left"/>
      <w:pPr>
        <w:ind w:left="2834" w:hanging="294"/>
      </w:pPr>
      <w:rPr>
        <w:rFonts w:hint="default"/>
      </w:rPr>
    </w:lvl>
    <w:lvl w:ilvl="4" w:tplc="D35E3564">
      <w:start w:val="1"/>
      <w:numFmt w:val="bullet"/>
      <w:lvlText w:val="•"/>
      <w:lvlJc w:val="left"/>
      <w:pPr>
        <w:ind w:left="4007" w:hanging="294"/>
      </w:pPr>
      <w:rPr>
        <w:rFonts w:hint="default"/>
      </w:rPr>
    </w:lvl>
    <w:lvl w:ilvl="5" w:tplc="92D2FBEA">
      <w:start w:val="1"/>
      <w:numFmt w:val="bullet"/>
      <w:lvlText w:val="•"/>
      <w:lvlJc w:val="left"/>
      <w:pPr>
        <w:ind w:left="5180" w:hanging="294"/>
      </w:pPr>
      <w:rPr>
        <w:rFonts w:hint="default"/>
      </w:rPr>
    </w:lvl>
    <w:lvl w:ilvl="6" w:tplc="09600610">
      <w:start w:val="1"/>
      <w:numFmt w:val="bullet"/>
      <w:lvlText w:val="•"/>
      <w:lvlJc w:val="left"/>
      <w:pPr>
        <w:ind w:left="6353" w:hanging="294"/>
      </w:pPr>
      <w:rPr>
        <w:rFonts w:hint="default"/>
      </w:rPr>
    </w:lvl>
    <w:lvl w:ilvl="7" w:tplc="E2D6D2A0">
      <w:start w:val="1"/>
      <w:numFmt w:val="bullet"/>
      <w:lvlText w:val="•"/>
      <w:lvlJc w:val="left"/>
      <w:pPr>
        <w:ind w:left="7526" w:hanging="294"/>
      </w:pPr>
      <w:rPr>
        <w:rFonts w:hint="default"/>
      </w:rPr>
    </w:lvl>
    <w:lvl w:ilvl="8" w:tplc="DC16D082">
      <w:start w:val="1"/>
      <w:numFmt w:val="bullet"/>
      <w:lvlText w:val="•"/>
      <w:lvlJc w:val="left"/>
      <w:pPr>
        <w:ind w:left="8699" w:hanging="294"/>
      </w:pPr>
      <w:rPr>
        <w:rFonts w:hint="default"/>
      </w:rPr>
    </w:lvl>
  </w:abstractNum>
  <w:abstractNum w:abstractNumId="22" w15:restartNumberingAfterBreak="0">
    <w:nsid w:val="173A43AA"/>
    <w:multiLevelType w:val="hybridMultilevel"/>
    <w:tmpl w:val="88966A88"/>
    <w:lvl w:ilvl="0" w:tplc="5FCC8806">
      <w:start w:val="1"/>
      <w:numFmt w:val="decimal"/>
      <w:lvlText w:val="%1."/>
      <w:lvlJc w:val="left"/>
      <w:pPr>
        <w:ind w:left="1026" w:hanging="285"/>
        <w:jc w:val="right"/>
      </w:pPr>
      <w:rPr>
        <w:rFonts w:ascii="Times New Roman" w:eastAsia="Arial" w:hAnsi="Times New Roman" w:cs="Times New Roman" w:hint="default"/>
        <w:w w:val="99"/>
        <w:sz w:val="24"/>
        <w:szCs w:val="24"/>
      </w:rPr>
    </w:lvl>
    <w:lvl w:ilvl="1" w:tplc="CCF2F2B8">
      <w:start w:val="1"/>
      <w:numFmt w:val="bullet"/>
      <w:lvlText w:val=""/>
      <w:lvlJc w:val="left"/>
      <w:pPr>
        <w:ind w:left="1462" w:hanging="294"/>
      </w:pPr>
      <w:rPr>
        <w:rFonts w:ascii="Symbol" w:eastAsia="Symbol" w:hAnsi="Symbol" w:hint="default"/>
        <w:w w:val="99"/>
        <w:sz w:val="22"/>
        <w:szCs w:val="22"/>
      </w:rPr>
    </w:lvl>
    <w:lvl w:ilvl="2" w:tplc="294A51D6">
      <w:start w:val="1"/>
      <w:numFmt w:val="bullet"/>
      <w:lvlText w:val="•"/>
      <w:lvlJc w:val="left"/>
      <w:pPr>
        <w:ind w:left="1542" w:hanging="294"/>
      </w:pPr>
      <w:rPr>
        <w:rFonts w:hint="default"/>
      </w:rPr>
    </w:lvl>
    <w:lvl w:ilvl="3" w:tplc="EFE0F2D8">
      <w:start w:val="1"/>
      <w:numFmt w:val="bullet"/>
      <w:lvlText w:val="•"/>
      <w:lvlJc w:val="left"/>
      <w:pPr>
        <w:ind w:left="2717" w:hanging="294"/>
      </w:pPr>
      <w:rPr>
        <w:rFonts w:hint="default"/>
      </w:rPr>
    </w:lvl>
    <w:lvl w:ilvl="4" w:tplc="E8627A66">
      <w:start w:val="1"/>
      <w:numFmt w:val="bullet"/>
      <w:lvlText w:val="•"/>
      <w:lvlJc w:val="left"/>
      <w:pPr>
        <w:ind w:left="3893" w:hanging="294"/>
      </w:pPr>
      <w:rPr>
        <w:rFonts w:hint="default"/>
      </w:rPr>
    </w:lvl>
    <w:lvl w:ilvl="5" w:tplc="1E6EAD72">
      <w:start w:val="1"/>
      <w:numFmt w:val="bullet"/>
      <w:lvlText w:val="•"/>
      <w:lvlJc w:val="left"/>
      <w:pPr>
        <w:ind w:left="5068" w:hanging="294"/>
      </w:pPr>
      <w:rPr>
        <w:rFonts w:hint="default"/>
      </w:rPr>
    </w:lvl>
    <w:lvl w:ilvl="6" w:tplc="892CD9FE">
      <w:start w:val="1"/>
      <w:numFmt w:val="bullet"/>
      <w:lvlText w:val="•"/>
      <w:lvlJc w:val="left"/>
      <w:pPr>
        <w:ind w:left="6244" w:hanging="294"/>
      </w:pPr>
      <w:rPr>
        <w:rFonts w:hint="default"/>
      </w:rPr>
    </w:lvl>
    <w:lvl w:ilvl="7" w:tplc="6B786172">
      <w:start w:val="1"/>
      <w:numFmt w:val="bullet"/>
      <w:lvlText w:val="•"/>
      <w:lvlJc w:val="left"/>
      <w:pPr>
        <w:ind w:left="7419" w:hanging="294"/>
      </w:pPr>
      <w:rPr>
        <w:rFonts w:hint="default"/>
      </w:rPr>
    </w:lvl>
    <w:lvl w:ilvl="8" w:tplc="A6A21B54">
      <w:start w:val="1"/>
      <w:numFmt w:val="bullet"/>
      <w:lvlText w:val="•"/>
      <w:lvlJc w:val="left"/>
      <w:pPr>
        <w:ind w:left="8595" w:hanging="294"/>
      </w:pPr>
      <w:rPr>
        <w:rFonts w:hint="default"/>
      </w:rPr>
    </w:lvl>
  </w:abstractNum>
  <w:abstractNum w:abstractNumId="23" w15:restartNumberingAfterBreak="0">
    <w:nsid w:val="17DC157A"/>
    <w:multiLevelType w:val="hybridMultilevel"/>
    <w:tmpl w:val="43F6BA40"/>
    <w:lvl w:ilvl="0" w:tplc="B776C122">
      <w:start w:val="1"/>
      <w:numFmt w:val="bullet"/>
      <w:lvlText w:val=""/>
      <w:lvlJc w:val="left"/>
      <w:pPr>
        <w:ind w:left="1462" w:hanging="360"/>
      </w:pPr>
      <w:rPr>
        <w:rFonts w:ascii="Symbol" w:eastAsia="Symbol" w:hAnsi="Symbol" w:hint="default"/>
        <w:w w:val="99"/>
        <w:sz w:val="22"/>
        <w:szCs w:val="22"/>
      </w:rPr>
    </w:lvl>
    <w:lvl w:ilvl="1" w:tplc="A70C129C">
      <w:start w:val="1"/>
      <w:numFmt w:val="bullet"/>
      <w:lvlText w:val="•"/>
      <w:lvlJc w:val="left"/>
      <w:pPr>
        <w:ind w:left="2410" w:hanging="360"/>
      </w:pPr>
      <w:rPr>
        <w:rFonts w:hint="default"/>
      </w:rPr>
    </w:lvl>
    <w:lvl w:ilvl="2" w:tplc="3956FC48">
      <w:start w:val="1"/>
      <w:numFmt w:val="bullet"/>
      <w:lvlText w:val="•"/>
      <w:lvlJc w:val="left"/>
      <w:pPr>
        <w:ind w:left="3358" w:hanging="360"/>
      </w:pPr>
      <w:rPr>
        <w:rFonts w:hint="default"/>
      </w:rPr>
    </w:lvl>
    <w:lvl w:ilvl="3" w:tplc="0CC420D4">
      <w:start w:val="1"/>
      <w:numFmt w:val="bullet"/>
      <w:lvlText w:val="•"/>
      <w:lvlJc w:val="left"/>
      <w:pPr>
        <w:ind w:left="4306" w:hanging="360"/>
      </w:pPr>
      <w:rPr>
        <w:rFonts w:hint="default"/>
      </w:rPr>
    </w:lvl>
    <w:lvl w:ilvl="4" w:tplc="E9805F86">
      <w:start w:val="1"/>
      <w:numFmt w:val="bullet"/>
      <w:lvlText w:val="•"/>
      <w:lvlJc w:val="left"/>
      <w:pPr>
        <w:ind w:left="5255" w:hanging="360"/>
      </w:pPr>
      <w:rPr>
        <w:rFonts w:hint="default"/>
      </w:rPr>
    </w:lvl>
    <w:lvl w:ilvl="5" w:tplc="125CC8BA">
      <w:start w:val="1"/>
      <w:numFmt w:val="bullet"/>
      <w:lvlText w:val="•"/>
      <w:lvlJc w:val="left"/>
      <w:pPr>
        <w:ind w:left="6203" w:hanging="360"/>
      </w:pPr>
      <w:rPr>
        <w:rFonts w:hint="default"/>
      </w:rPr>
    </w:lvl>
    <w:lvl w:ilvl="6" w:tplc="163680F4">
      <w:start w:val="1"/>
      <w:numFmt w:val="bullet"/>
      <w:lvlText w:val="•"/>
      <w:lvlJc w:val="left"/>
      <w:pPr>
        <w:ind w:left="7151" w:hanging="360"/>
      </w:pPr>
      <w:rPr>
        <w:rFonts w:hint="default"/>
      </w:rPr>
    </w:lvl>
    <w:lvl w:ilvl="7" w:tplc="A3986B52">
      <w:start w:val="1"/>
      <w:numFmt w:val="bullet"/>
      <w:lvlText w:val="•"/>
      <w:lvlJc w:val="left"/>
      <w:pPr>
        <w:ind w:left="8100" w:hanging="360"/>
      </w:pPr>
      <w:rPr>
        <w:rFonts w:hint="default"/>
      </w:rPr>
    </w:lvl>
    <w:lvl w:ilvl="8" w:tplc="B8BCAA60">
      <w:start w:val="1"/>
      <w:numFmt w:val="bullet"/>
      <w:lvlText w:val="•"/>
      <w:lvlJc w:val="left"/>
      <w:pPr>
        <w:ind w:left="9048" w:hanging="360"/>
      </w:pPr>
      <w:rPr>
        <w:rFonts w:hint="default"/>
      </w:rPr>
    </w:lvl>
  </w:abstractNum>
  <w:abstractNum w:abstractNumId="24" w15:restartNumberingAfterBreak="0">
    <w:nsid w:val="1839084F"/>
    <w:multiLevelType w:val="hybridMultilevel"/>
    <w:tmpl w:val="115C71D4"/>
    <w:lvl w:ilvl="0" w:tplc="509A97A2">
      <w:start w:val="1"/>
      <w:numFmt w:val="decimal"/>
      <w:lvlText w:val="%1)"/>
      <w:lvlJc w:val="left"/>
      <w:pPr>
        <w:ind w:left="1642" w:hanging="295"/>
      </w:pPr>
      <w:rPr>
        <w:rFonts w:ascii="Times New Roman" w:eastAsia="Arial" w:hAnsi="Times New Roman" w:cs="Times New Roman" w:hint="default"/>
        <w:i/>
        <w:w w:val="99"/>
        <w:sz w:val="24"/>
        <w:szCs w:val="22"/>
      </w:rPr>
    </w:lvl>
    <w:lvl w:ilvl="1" w:tplc="177065A8">
      <w:start w:val="1"/>
      <w:numFmt w:val="bullet"/>
      <w:lvlText w:val="•"/>
      <w:lvlJc w:val="left"/>
      <w:pPr>
        <w:ind w:left="2590" w:hanging="295"/>
      </w:pPr>
      <w:rPr>
        <w:rFonts w:hint="default"/>
      </w:rPr>
    </w:lvl>
    <w:lvl w:ilvl="2" w:tplc="782A6BE0">
      <w:start w:val="1"/>
      <w:numFmt w:val="bullet"/>
      <w:lvlText w:val="•"/>
      <w:lvlJc w:val="left"/>
      <w:pPr>
        <w:ind w:left="3539" w:hanging="295"/>
      </w:pPr>
      <w:rPr>
        <w:rFonts w:hint="default"/>
      </w:rPr>
    </w:lvl>
    <w:lvl w:ilvl="3" w:tplc="056A2444">
      <w:start w:val="1"/>
      <w:numFmt w:val="bullet"/>
      <w:lvlText w:val="•"/>
      <w:lvlJc w:val="left"/>
      <w:pPr>
        <w:ind w:left="4488" w:hanging="295"/>
      </w:pPr>
      <w:rPr>
        <w:rFonts w:hint="default"/>
      </w:rPr>
    </w:lvl>
    <w:lvl w:ilvl="4" w:tplc="BDCA8AC0">
      <w:start w:val="1"/>
      <w:numFmt w:val="bullet"/>
      <w:lvlText w:val="•"/>
      <w:lvlJc w:val="left"/>
      <w:pPr>
        <w:ind w:left="5436" w:hanging="295"/>
      </w:pPr>
      <w:rPr>
        <w:rFonts w:hint="default"/>
      </w:rPr>
    </w:lvl>
    <w:lvl w:ilvl="5" w:tplc="84E60C5E">
      <w:start w:val="1"/>
      <w:numFmt w:val="bullet"/>
      <w:lvlText w:val="•"/>
      <w:lvlJc w:val="left"/>
      <w:pPr>
        <w:ind w:left="6385" w:hanging="295"/>
      </w:pPr>
      <w:rPr>
        <w:rFonts w:hint="default"/>
      </w:rPr>
    </w:lvl>
    <w:lvl w:ilvl="6" w:tplc="E83CC31E">
      <w:start w:val="1"/>
      <w:numFmt w:val="bullet"/>
      <w:lvlText w:val="•"/>
      <w:lvlJc w:val="left"/>
      <w:pPr>
        <w:ind w:left="7334" w:hanging="295"/>
      </w:pPr>
      <w:rPr>
        <w:rFonts w:hint="default"/>
      </w:rPr>
    </w:lvl>
    <w:lvl w:ilvl="7" w:tplc="F442086E">
      <w:start w:val="1"/>
      <w:numFmt w:val="bullet"/>
      <w:lvlText w:val="•"/>
      <w:lvlJc w:val="left"/>
      <w:pPr>
        <w:ind w:left="8282" w:hanging="295"/>
      </w:pPr>
      <w:rPr>
        <w:rFonts w:hint="default"/>
      </w:rPr>
    </w:lvl>
    <w:lvl w:ilvl="8" w:tplc="C2EEA8F0">
      <w:start w:val="1"/>
      <w:numFmt w:val="bullet"/>
      <w:lvlText w:val="•"/>
      <w:lvlJc w:val="left"/>
      <w:pPr>
        <w:ind w:left="9231" w:hanging="295"/>
      </w:pPr>
      <w:rPr>
        <w:rFonts w:hint="default"/>
      </w:rPr>
    </w:lvl>
  </w:abstractNum>
  <w:abstractNum w:abstractNumId="25" w15:restartNumberingAfterBreak="0">
    <w:nsid w:val="19434B6E"/>
    <w:multiLevelType w:val="hybridMultilevel"/>
    <w:tmpl w:val="EC147806"/>
    <w:lvl w:ilvl="0" w:tplc="E5FEE012">
      <w:start w:val="1"/>
      <w:numFmt w:val="bullet"/>
      <w:lvlText w:val="-"/>
      <w:lvlJc w:val="left"/>
      <w:pPr>
        <w:ind w:left="1531" w:hanging="284"/>
      </w:pPr>
      <w:rPr>
        <w:rFonts w:ascii="Courier New" w:eastAsia="Courier New" w:hAnsi="Courier New" w:hint="default"/>
        <w:w w:val="99"/>
        <w:sz w:val="22"/>
        <w:szCs w:val="22"/>
      </w:rPr>
    </w:lvl>
    <w:lvl w:ilvl="1" w:tplc="CED8C344">
      <w:start w:val="1"/>
      <w:numFmt w:val="bullet"/>
      <w:lvlText w:val="•"/>
      <w:lvlJc w:val="left"/>
      <w:pPr>
        <w:ind w:left="2480" w:hanging="284"/>
      </w:pPr>
      <w:rPr>
        <w:rFonts w:hint="default"/>
      </w:rPr>
    </w:lvl>
    <w:lvl w:ilvl="2" w:tplc="883E1F5C">
      <w:start w:val="1"/>
      <w:numFmt w:val="bullet"/>
      <w:lvlText w:val="•"/>
      <w:lvlJc w:val="left"/>
      <w:pPr>
        <w:ind w:left="3430" w:hanging="284"/>
      </w:pPr>
      <w:rPr>
        <w:rFonts w:hint="default"/>
      </w:rPr>
    </w:lvl>
    <w:lvl w:ilvl="3" w:tplc="7A00C4D4">
      <w:start w:val="1"/>
      <w:numFmt w:val="bullet"/>
      <w:lvlText w:val="•"/>
      <w:lvlJc w:val="left"/>
      <w:pPr>
        <w:ind w:left="4379" w:hanging="284"/>
      </w:pPr>
      <w:rPr>
        <w:rFonts w:hint="default"/>
      </w:rPr>
    </w:lvl>
    <w:lvl w:ilvl="4" w:tplc="95123C1A">
      <w:start w:val="1"/>
      <w:numFmt w:val="bullet"/>
      <w:lvlText w:val="•"/>
      <w:lvlJc w:val="left"/>
      <w:pPr>
        <w:ind w:left="5329" w:hanging="284"/>
      </w:pPr>
      <w:rPr>
        <w:rFonts w:hint="default"/>
      </w:rPr>
    </w:lvl>
    <w:lvl w:ilvl="5" w:tplc="0376FE5A">
      <w:start w:val="1"/>
      <w:numFmt w:val="bullet"/>
      <w:lvlText w:val="•"/>
      <w:lvlJc w:val="left"/>
      <w:pPr>
        <w:ind w:left="6278" w:hanging="284"/>
      </w:pPr>
      <w:rPr>
        <w:rFonts w:hint="default"/>
      </w:rPr>
    </w:lvl>
    <w:lvl w:ilvl="6" w:tplc="68421602">
      <w:start w:val="1"/>
      <w:numFmt w:val="bullet"/>
      <w:lvlText w:val="•"/>
      <w:lvlJc w:val="left"/>
      <w:pPr>
        <w:ind w:left="7228" w:hanging="284"/>
      </w:pPr>
      <w:rPr>
        <w:rFonts w:hint="default"/>
      </w:rPr>
    </w:lvl>
    <w:lvl w:ilvl="7" w:tplc="9E54A652">
      <w:start w:val="1"/>
      <w:numFmt w:val="bullet"/>
      <w:lvlText w:val="•"/>
      <w:lvlJc w:val="left"/>
      <w:pPr>
        <w:ind w:left="8177" w:hanging="284"/>
      </w:pPr>
      <w:rPr>
        <w:rFonts w:hint="default"/>
      </w:rPr>
    </w:lvl>
    <w:lvl w:ilvl="8" w:tplc="43022596">
      <w:start w:val="1"/>
      <w:numFmt w:val="bullet"/>
      <w:lvlText w:val="•"/>
      <w:lvlJc w:val="left"/>
      <w:pPr>
        <w:ind w:left="9127" w:hanging="284"/>
      </w:pPr>
      <w:rPr>
        <w:rFonts w:hint="default"/>
      </w:rPr>
    </w:lvl>
  </w:abstractNum>
  <w:abstractNum w:abstractNumId="26" w15:restartNumberingAfterBreak="0">
    <w:nsid w:val="19697C1C"/>
    <w:multiLevelType w:val="hybridMultilevel"/>
    <w:tmpl w:val="285CAE4A"/>
    <w:lvl w:ilvl="0" w:tplc="DC9E2C26">
      <w:start w:val="1"/>
      <w:numFmt w:val="bullet"/>
      <w:lvlText w:val=""/>
      <w:lvlJc w:val="left"/>
      <w:pPr>
        <w:ind w:left="1462" w:hanging="294"/>
      </w:pPr>
      <w:rPr>
        <w:rFonts w:ascii="Symbol" w:eastAsia="Symbol" w:hAnsi="Symbol" w:hint="default"/>
        <w:w w:val="99"/>
        <w:sz w:val="22"/>
        <w:szCs w:val="22"/>
      </w:rPr>
    </w:lvl>
    <w:lvl w:ilvl="1" w:tplc="2200ADDA">
      <w:start w:val="1"/>
      <w:numFmt w:val="bullet"/>
      <w:lvlText w:val=""/>
      <w:lvlJc w:val="left"/>
      <w:pPr>
        <w:ind w:left="1522" w:hanging="294"/>
      </w:pPr>
      <w:rPr>
        <w:rFonts w:ascii="Symbol" w:eastAsia="Symbol" w:hAnsi="Symbol" w:hint="default"/>
        <w:w w:val="99"/>
        <w:sz w:val="22"/>
        <w:szCs w:val="22"/>
      </w:rPr>
    </w:lvl>
    <w:lvl w:ilvl="2" w:tplc="05B2C338">
      <w:start w:val="1"/>
      <w:numFmt w:val="bullet"/>
      <w:lvlText w:val="•"/>
      <w:lvlJc w:val="left"/>
      <w:pPr>
        <w:ind w:left="2569" w:hanging="294"/>
      </w:pPr>
      <w:rPr>
        <w:rFonts w:hint="default"/>
      </w:rPr>
    </w:lvl>
    <w:lvl w:ilvl="3" w:tplc="F2A8B1D0">
      <w:start w:val="1"/>
      <w:numFmt w:val="bullet"/>
      <w:lvlText w:val="•"/>
      <w:lvlJc w:val="left"/>
      <w:pPr>
        <w:ind w:left="3616" w:hanging="294"/>
      </w:pPr>
      <w:rPr>
        <w:rFonts w:hint="default"/>
      </w:rPr>
    </w:lvl>
    <w:lvl w:ilvl="4" w:tplc="F7A4D6BE">
      <w:start w:val="1"/>
      <w:numFmt w:val="bullet"/>
      <w:lvlText w:val="•"/>
      <w:lvlJc w:val="left"/>
      <w:pPr>
        <w:ind w:left="4663" w:hanging="294"/>
      </w:pPr>
      <w:rPr>
        <w:rFonts w:hint="default"/>
      </w:rPr>
    </w:lvl>
    <w:lvl w:ilvl="5" w:tplc="F2F2F3B6">
      <w:start w:val="1"/>
      <w:numFmt w:val="bullet"/>
      <w:lvlText w:val="•"/>
      <w:lvlJc w:val="left"/>
      <w:pPr>
        <w:ind w:left="5710" w:hanging="294"/>
      </w:pPr>
      <w:rPr>
        <w:rFonts w:hint="default"/>
      </w:rPr>
    </w:lvl>
    <w:lvl w:ilvl="6" w:tplc="4DD42EAA">
      <w:start w:val="1"/>
      <w:numFmt w:val="bullet"/>
      <w:lvlText w:val="•"/>
      <w:lvlJc w:val="left"/>
      <w:pPr>
        <w:ind w:left="6757" w:hanging="294"/>
      </w:pPr>
      <w:rPr>
        <w:rFonts w:hint="default"/>
      </w:rPr>
    </w:lvl>
    <w:lvl w:ilvl="7" w:tplc="9A926E42">
      <w:start w:val="1"/>
      <w:numFmt w:val="bullet"/>
      <w:lvlText w:val="•"/>
      <w:lvlJc w:val="left"/>
      <w:pPr>
        <w:ind w:left="7804" w:hanging="294"/>
      </w:pPr>
      <w:rPr>
        <w:rFonts w:hint="default"/>
      </w:rPr>
    </w:lvl>
    <w:lvl w:ilvl="8" w:tplc="6A0A9A0E">
      <w:start w:val="1"/>
      <w:numFmt w:val="bullet"/>
      <w:lvlText w:val="•"/>
      <w:lvlJc w:val="left"/>
      <w:pPr>
        <w:ind w:left="8852" w:hanging="294"/>
      </w:pPr>
      <w:rPr>
        <w:rFonts w:hint="default"/>
      </w:rPr>
    </w:lvl>
  </w:abstractNum>
  <w:abstractNum w:abstractNumId="27" w15:restartNumberingAfterBreak="0">
    <w:nsid w:val="1AD22CE0"/>
    <w:multiLevelType w:val="hybridMultilevel"/>
    <w:tmpl w:val="340ABDAE"/>
    <w:lvl w:ilvl="0" w:tplc="59D244FA">
      <w:start w:val="1"/>
      <w:numFmt w:val="decimal"/>
      <w:lvlText w:val="%1)"/>
      <w:lvlJc w:val="left"/>
      <w:pPr>
        <w:ind w:left="1511" w:hanging="275"/>
      </w:pPr>
      <w:rPr>
        <w:rFonts w:ascii="Times New Roman" w:eastAsia="Arial" w:hAnsi="Times New Roman" w:cs="Times New Roman" w:hint="default"/>
        <w:w w:val="99"/>
        <w:sz w:val="24"/>
        <w:szCs w:val="24"/>
      </w:rPr>
    </w:lvl>
    <w:lvl w:ilvl="1" w:tplc="71EE3404">
      <w:start w:val="1"/>
      <w:numFmt w:val="bullet"/>
      <w:lvlText w:val="•"/>
      <w:lvlJc w:val="left"/>
      <w:pPr>
        <w:ind w:left="2460" w:hanging="275"/>
      </w:pPr>
      <w:rPr>
        <w:rFonts w:hint="default"/>
      </w:rPr>
    </w:lvl>
    <w:lvl w:ilvl="2" w:tplc="DADCCF7A">
      <w:start w:val="1"/>
      <w:numFmt w:val="bullet"/>
      <w:lvlText w:val="•"/>
      <w:lvlJc w:val="left"/>
      <w:pPr>
        <w:ind w:left="3410" w:hanging="275"/>
      </w:pPr>
      <w:rPr>
        <w:rFonts w:hint="default"/>
      </w:rPr>
    </w:lvl>
    <w:lvl w:ilvl="3" w:tplc="FDFE9648">
      <w:start w:val="1"/>
      <w:numFmt w:val="bullet"/>
      <w:lvlText w:val="•"/>
      <w:lvlJc w:val="left"/>
      <w:pPr>
        <w:ind w:left="4359" w:hanging="275"/>
      </w:pPr>
      <w:rPr>
        <w:rFonts w:hint="default"/>
      </w:rPr>
    </w:lvl>
    <w:lvl w:ilvl="4" w:tplc="BCFEE060">
      <w:start w:val="1"/>
      <w:numFmt w:val="bullet"/>
      <w:lvlText w:val="•"/>
      <w:lvlJc w:val="left"/>
      <w:pPr>
        <w:ind w:left="5308" w:hanging="275"/>
      </w:pPr>
      <w:rPr>
        <w:rFonts w:hint="default"/>
      </w:rPr>
    </w:lvl>
    <w:lvl w:ilvl="5" w:tplc="74EE3386">
      <w:start w:val="1"/>
      <w:numFmt w:val="bullet"/>
      <w:lvlText w:val="•"/>
      <w:lvlJc w:val="left"/>
      <w:pPr>
        <w:ind w:left="6258" w:hanging="275"/>
      </w:pPr>
      <w:rPr>
        <w:rFonts w:hint="default"/>
      </w:rPr>
    </w:lvl>
    <w:lvl w:ilvl="6" w:tplc="2B28F1E2">
      <w:start w:val="1"/>
      <w:numFmt w:val="bullet"/>
      <w:lvlText w:val="•"/>
      <w:lvlJc w:val="left"/>
      <w:pPr>
        <w:ind w:left="7207" w:hanging="275"/>
      </w:pPr>
      <w:rPr>
        <w:rFonts w:hint="default"/>
      </w:rPr>
    </w:lvl>
    <w:lvl w:ilvl="7" w:tplc="3490E77C">
      <w:start w:val="1"/>
      <w:numFmt w:val="bullet"/>
      <w:lvlText w:val="•"/>
      <w:lvlJc w:val="left"/>
      <w:pPr>
        <w:ind w:left="8157" w:hanging="275"/>
      </w:pPr>
      <w:rPr>
        <w:rFonts w:hint="default"/>
      </w:rPr>
    </w:lvl>
    <w:lvl w:ilvl="8" w:tplc="3AEE50EC">
      <w:start w:val="1"/>
      <w:numFmt w:val="bullet"/>
      <w:lvlText w:val="•"/>
      <w:lvlJc w:val="left"/>
      <w:pPr>
        <w:ind w:left="9106" w:hanging="275"/>
      </w:pPr>
      <w:rPr>
        <w:rFonts w:hint="default"/>
      </w:rPr>
    </w:lvl>
  </w:abstractNum>
  <w:abstractNum w:abstractNumId="28" w15:restartNumberingAfterBreak="0">
    <w:nsid w:val="1B3D1BD9"/>
    <w:multiLevelType w:val="hybridMultilevel"/>
    <w:tmpl w:val="318C1354"/>
    <w:lvl w:ilvl="0" w:tplc="C1AED57C">
      <w:start w:val="1"/>
      <w:numFmt w:val="bullet"/>
      <w:lvlText w:val="-"/>
      <w:lvlJc w:val="left"/>
      <w:pPr>
        <w:ind w:left="1228" w:hanging="426"/>
      </w:pPr>
      <w:rPr>
        <w:rFonts w:ascii="Courier New" w:eastAsia="Courier New" w:hAnsi="Courier New" w:hint="default"/>
        <w:w w:val="99"/>
        <w:sz w:val="22"/>
        <w:szCs w:val="22"/>
      </w:rPr>
    </w:lvl>
    <w:lvl w:ilvl="1" w:tplc="AE3498B6">
      <w:start w:val="1"/>
      <w:numFmt w:val="bullet"/>
      <w:lvlText w:val="•"/>
      <w:lvlJc w:val="left"/>
      <w:pPr>
        <w:ind w:left="1308" w:hanging="426"/>
      </w:pPr>
      <w:rPr>
        <w:rFonts w:hint="default"/>
      </w:rPr>
    </w:lvl>
    <w:lvl w:ilvl="2" w:tplc="F8EAD766">
      <w:start w:val="1"/>
      <w:numFmt w:val="bullet"/>
      <w:lvlText w:val="•"/>
      <w:lvlJc w:val="left"/>
      <w:pPr>
        <w:ind w:left="2385" w:hanging="426"/>
      </w:pPr>
      <w:rPr>
        <w:rFonts w:hint="default"/>
      </w:rPr>
    </w:lvl>
    <w:lvl w:ilvl="3" w:tplc="EEEC813A">
      <w:start w:val="1"/>
      <w:numFmt w:val="bullet"/>
      <w:lvlText w:val="•"/>
      <w:lvlJc w:val="left"/>
      <w:pPr>
        <w:ind w:left="3462" w:hanging="426"/>
      </w:pPr>
      <w:rPr>
        <w:rFonts w:hint="default"/>
      </w:rPr>
    </w:lvl>
    <w:lvl w:ilvl="4" w:tplc="2DE632B8">
      <w:start w:val="1"/>
      <w:numFmt w:val="bullet"/>
      <w:lvlText w:val="•"/>
      <w:lvlJc w:val="left"/>
      <w:pPr>
        <w:ind w:left="4540" w:hanging="426"/>
      </w:pPr>
      <w:rPr>
        <w:rFonts w:hint="default"/>
      </w:rPr>
    </w:lvl>
    <w:lvl w:ilvl="5" w:tplc="045CABB6">
      <w:start w:val="1"/>
      <w:numFmt w:val="bullet"/>
      <w:lvlText w:val="•"/>
      <w:lvlJc w:val="left"/>
      <w:pPr>
        <w:ind w:left="5617" w:hanging="426"/>
      </w:pPr>
      <w:rPr>
        <w:rFonts w:hint="default"/>
      </w:rPr>
    </w:lvl>
    <w:lvl w:ilvl="6" w:tplc="0330BB32">
      <w:start w:val="1"/>
      <w:numFmt w:val="bullet"/>
      <w:lvlText w:val="•"/>
      <w:lvlJc w:val="left"/>
      <w:pPr>
        <w:ind w:left="6695" w:hanging="426"/>
      </w:pPr>
      <w:rPr>
        <w:rFonts w:hint="default"/>
      </w:rPr>
    </w:lvl>
    <w:lvl w:ilvl="7" w:tplc="E00E3E78">
      <w:start w:val="1"/>
      <w:numFmt w:val="bullet"/>
      <w:lvlText w:val="•"/>
      <w:lvlJc w:val="left"/>
      <w:pPr>
        <w:ind w:left="7772" w:hanging="426"/>
      </w:pPr>
      <w:rPr>
        <w:rFonts w:hint="default"/>
      </w:rPr>
    </w:lvl>
    <w:lvl w:ilvl="8" w:tplc="D1C4DA50">
      <w:start w:val="1"/>
      <w:numFmt w:val="bullet"/>
      <w:lvlText w:val="•"/>
      <w:lvlJc w:val="left"/>
      <w:pPr>
        <w:ind w:left="8850" w:hanging="426"/>
      </w:pPr>
      <w:rPr>
        <w:rFonts w:hint="default"/>
      </w:rPr>
    </w:lvl>
  </w:abstractNum>
  <w:abstractNum w:abstractNumId="29" w15:restartNumberingAfterBreak="0">
    <w:nsid w:val="1B523CC0"/>
    <w:multiLevelType w:val="hybridMultilevel"/>
    <w:tmpl w:val="D326EB08"/>
    <w:lvl w:ilvl="0" w:tplc="53BCE238">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C47693AE">
      <w:start w:val="1"/>
      <w:numFmt w:val="bullet"/>
      <w:lvlText w:val="•"/>
      <w:lvlJc w:val="left"/>
      <w:pPr>
        <w:ind w:left="2086" w:hanging="360"/>
      </w:pPr>
      <w:rPr>
        <w:rFonts w:hint="default"/>
      </w:rPr>
    </w:lvl>
    <w:lvl w:ilvl="2" w:tplc="F1225D94">
      <w:start w:val="1"/>
      <w:numFmt w:val="bullet"/>
      <w:lvlText w:val="•"/>
      <w:lvlJc w:val="left"/>
      <w:pPr>
        <w:ind w:left="3070" w:hanging="360"/>
      </w:pPr>
      <w:rPr>
        <w:rFonts w:hint="default"/>
      </w:rPr>
    </w:lvl>
    <w:lvl w:ilvl="3" w:tplc="517EDA1E">
      <w:start w:val="1"/>
      <w:numFmt w:val="bullet"/>
      <w:lvlText w:val="•"/>
      <w:lvlJc w:val="left"/>
      <w:pPr>
        <w:ind w:left="4054" w:hanging="360"/>
      </w:pPr>
      <w:rPr>
        <w:rFonts w:hint="default"/>
      </w:rPr>
    </w:lvl>
    <w:lvl w:ilvl="4" w:tplc="454CE6AC">
      <w:start w:val="1"/>
      <w:numFmt w:val="bullet"/>
      <w:lvlText w:val="•"/>
      <w:lvlJc w:val="left"/>
      <w:pPr>
        <w:ind w:left="5039" w:hanging="360"/>
      </w:pPr>
      <w:rPr>
        <w:rFonts w:hint="default"/>
      </w:rPr>
    </w:lvl>
    <w:lvl w:ilvl="5" w:tplc="EA881B30">
      <w:start w:val="1"/>
      <w:numFmt w:val="bullet"/>
      <w:lvlText w:val="•"/>
      <w:lvlJc w:val="left"/>
      <w:pPr>
        <w:ind w:left="6023" w:hanging="360"/>
      </w:pPr>
      <w:rPr>
        <w:rFonts w:hint="default"/>
      </w:rPr>
    </w:lvl>
    <w:lvl w:ilvl="6" w:tplc="6644ADD2">
      <w:start w:val="1"/>
      <w:numFmt w:val="bullet"/>
      <w:lvlText w:val="•"/>
      <w:lvlJc w:val="left"/>
      <w:pPr>
        <w:ind w:left="7007" w:hanging="360"/>
      </w:pPr>
      <w:rPr>
        <w:rFonts w:hint="default"/>
      </w:rPr>
    </w:lvl>
    <w:lvl w:ilvl="7" w:tplc="BEFEA660">
      <w:start w:val="1"/>
      <w:numFmt w:val="bullet"/>
      <w:lvlText w:val="•"/>
      <w:lvlJc w:val="left"/>
      <w:pPr>
        <w:ind w:left="7992" w:hanging="360"/>
      </w:pPr>
      <w:rPr>
        <w:rFonts w:hint="default"/>
      </w:rPr>
    </w:lvl>
    <w:lvl w:ilvl="8" w:tplc="2E4A2304">
      <w:start w:val="1"/>
      <w:numFmt w:val="bullet"/>
      <w:lvlText w:val="•"/>
      <w:lvlJc w:val="left"/>
      <w:pPr>
        <w:ind w:left="8976" w:hanging="360"/>
      </w:pPr>
      <w:rPr>
        <w:rFonts w:hint="default"/>
      </w:rPr>
    </w:lvl>
  </w:abstractNum>
  <w:abstractNum w:abstractNumId="30" w15:restartNumberingAfterBreak="0">
    <w:nsid w:val="1B8C0CAB"/>
    <w:multiLevelType w:val="hybridMultilevel"/>
    <w:tmpl w:val="4D2E6560"/>
    <w:lvl w:ilvl="0" w:tplc="84843778">
      <w:start w:val="1"/>
      <w:numFmt w:val="lowerLetter"/>
      <w:lvlText w:val="%1)"/>
      <w:lvlJc w:val="left"/>
      <w:pPr>
        <w:ind w:left="1462" w:hanging="294"/>
      </w:pPr>
      <w:rPr>
        <w:rFonts w:ascii="Times New Roman" w:eastAsia="Arial" w:hAnsi="Times New Roman" w:cs="Times New Roman" w:hint="default"/>
        <w:w w:val="99"/>
        <w:sz w:val="24"/>
        <w:szCs w:val="24"/>
      </w:rPr>
    </w:lvl>
    <w:lvl w:ilvl="1" w:tplc="28662B74">
      <w:start w:val="1"/>
      <w:numFmt w:val="bullet"/>
      <w:lvlText w:val="•"/>
      <w:lvlJc w:val="left"/>
      <w:pPr>
        <w:ind w:left="2410" w:hanging="294"/>
      </w:pPr>
      <w:rPr>
        <w:rFonts w:hint="default"/>
      </w:rPr>
    </w:lvl>
    <w:lvl w:ilvl="2" w:tplc="527CE3D6">
      <w:start w:val="1"/>
      <w:numFmt w:val="bullet"/>
      <w:lvlText w:val="•"/>
      <w:lvlJc w:val="left"/>
      <w:pPr>
        <w:ind w:left="3358" w:hanging="294"/>
      </w:pPr>
      <w:rPr>
        <w:rFonts w:hint="default"/>
      </w:rPr>
    </w:lvl>
    <w:lvl w:ilvl="3" w:tplc="05945ED0">
      <w:start w:val="1"/>
      <w:numFmt w:val="bullet"/>
      <w:lvlText w:val="•"/>
      <w:lvlJc w:val="left"/>
      <w:pPr>
        <w:ind w:left="4307" w:hanging="294"/>
      </w:pPr>
      <w:rPr>
        <w:rFonts w:hint="default"/>
      </w:rPr>
    </w:lvl>
    <w:lvl w:ilvl="4" w:tplc="CB5E8F44">
      <w:start w:val="1"/>
      <w:numFmt w:val="bullet"/>
      <w:lvlText w:val="•"/>
      <w:lvlJc w:val="left"/>
      <w:pPr>
        <w:ind w:left="5255" w:hanging="294"/>
      </w:pPr>
      <w:rPr>
        <w:rFonts w:hint="default"/>
      </w:rPr>
    </w:lvl>
    <w:lvl w:ilvl="5" w:tplc="C3DC63A0">
      <w:start w:val="1"/>
      <w:numFmt w:val="bullet"/>
      <w:lvlText w:val="•"/>
      <w:lvlJc w:val="left"/>
      <w:pPr>
        <w:ind w:left="6204" w:hanging="294"/>
      </w:pPr>
      <w:rPr>
        <w:rFonts w:hint="default"/>
      </w:rPr>
    </w:lvl>
    <w:lvl w:ilvl="6" w:tplc="7B7A8E7C">
      <w:start w:val="1"/>
      <w:numFmt w:val="bullet"/>
      <w:lvlText w:val="•"/>
      <w:lvlJc w:val="left"/>
      <w:pPr>
        <w:ind w:left="7152" w:hanging="294"/>
      </w:pPr>
      <w:rPr>
        <w:rFonts w:hint="default"/>
      </w:rPr>
    </w:lvl>
    <w:lvl w:ilvl="7" w:tplc="B16052B4">
      <w:start w:val="1"/>
      <w:numFmt w:val="bullet"/>
      <w:lvlText w:val="•"/>
      <w:lvlJc w:val="left"/>
      <w:pPr>
        <w:ind w:left="8101" w:hanging="294"/>
      </w:pPr>
      <w:rPr>
        <w:rFonts w:hint="default"/>
      </w:rPr>
    </w:lvl>
    <w:lvl w:ilvl="8" w:tplc="19CCF6DA">
      <w:start w:val="1"/>
      <w:numFmt w:val="bullet"/>
      <w:lvlText w:val="•"/>
      <w:lvlJc w:val="left"/>
      <w:pPr>
        <w:ind w:left="9049" w:hanging="294"/>
      </w:pPr>
      <w:rPr>
        <w:rFonts w:hint="default"/>
      </w:rPr>
    </w:lvl>
  </w:abstractNum>
  <w:abstractNum w:abstractNumId="31" w15:restartNumberingAfterBreak="0">
    <w:nsid w:val="1D4E7BC7"/>
    <w:multiLevelType w:val="hybridMultilevel"/>
    <w:tmpl w:val="F27C28EC"/>
    <w:lvl w:ilvl="0" w:tplc="50FC6AE4">
      <w:start w:val="1"/>
      <w:numFmt w:val="decimal"/>
      <w:lvlText w:val="%1."/>
      <w:lvlJc w:val="left"/>
      <w:pPr>
        <w:ind w:left="1202" w:hanging="360"/>
        <w:jc w:val="right"/>
      </w:pPr>
      <w:rPr>
        <w:rFonts w:ascii="Times New Roman" w:eastAsia="Arial" w:hAnsi="Times New Roman" w:cs="Times New Roman" w:hint="default"/>
        <w:b w:val="0"/>
        <w:w w:val="99"/>
        <w:sz w:val="24"/>
        <w:szCs w:val="24"/>
      </w:rPr>
    </w:lvl>
    <w:lvl w:ilvl="1" w:tplc="33C2063A">
      <w:start w:val="1"/>
      <w:numFmt w:val="bullet"/>
      <w:lvlText w:val="-"/>
      <w:lvlJc w:val="left"/>
      <w:pPr>
        <w:ind w:left="1551" w:hanging="284"/>
      </w:pPr>
      <w:rPr>
        <w:rFonts w:ascii="Courier New" w:eastAsia="Courier New" w:hAnsi="Courier New" w:hint="default"/>
        <w:w w:val="99"/>
        <w:sz w:val="22"/>
        <w:szCs w:val="22"/>
      </w:rPr>
    </w:lvl>
    <w:lvl w:ilvl="2" w:tplc="253A9E52">
      <w:start w:val="1"/>
      <w:numFmt w:val="bullet"/>
      <w:lvlText w:val="•"/>
      <w:lvlJc w:val="left"/>
      <w:pPr>
        <w:ind w:left="2606" w:hanging="284"/>
      </w:pPr>
      <w:rPr>
        <w:rFonts w:hint="default"/>
      </w:rPr>
    </w:lvl>
    <w:lvl w:ilvl="3" w:tplc="1E9EED24">
      <w:start w:val="1"/>
      <w:numFmt w:val="bullet"/>
      <w:lvlText w:val="•"/>
      <w:lvlJc w:val="left"/>
      <w:pPr>
        <w:ind w:left="3660" w:hanging="284"/>
      </w:pPr>
      <w:rPr>
        <w:rFonts w:hint="default"/>
      </w:rPr>
    </w:lvl>
    <w:lvl w:ilvl="4" w:tplc="1C706FF8">
      <w:start w:val="1"/>
      <w:numFmt w:val="bullet"/>
      <w:lvlText w:val="•"/>
      <w:lvlJc w:val="left"/>
      <w:pPr>
        <w:ind w:left="4715" w:hanging="284"/>
      </w:pPr>
      <w:rPr>
        <w:rFonts w:hint="default"/>
      </w:rPr>
    </w:lvl>
    <w:lvl w:ilvl="5" w:tplc="1E8C5136">
      <w:start w:val="1"/>
      <w:numFmt w:val="bullet"/>
      <w:lvlText w:val="•"/>
      <w:lvlJc w:val="left"/>
      <w:pPr>
        <w:ind w:left="5770" w:hanging="284"/>
      </w:pPr>
      <w:rPr>
        <w:rFonts w:hint="default"/>
      </w:rPr>
    </w:lvl>
    <w:lvl w:ilvl="6" w:tplc="1C98473E">
      <w:start w:val="1"/>
      <w:numFmt w:val="bullet"/>
      <w:lvlText w:val="•"/>
      <w:lvlJc w:val="left"/>
      <w:pPr>
        <w:ind w:left="6825" w:hanging="284"/>
      </w:pPr>
      <w:rPr>
        <w:rFonts w:hint="default"/>
      </w:rPr>
    </w:lvl>
    <w:lvl w:ilvl="7" w:tplc="6248FD4C">
      <w:start w:val="1"/>
      <w:numFmt w:val="bullet"/>
      <w:lvlText w:val="•"/>
      <w:lvlJc w:val="left"/>
      <w:pPr>
        <w:ind w:left="7880" w:hanging="284"/>
      </w:pPr>
      <w:rPr>
        <w:rFonts w:hint="default"/>
      </w:rPr>
    </w:lvl>
    <w:lvl w:ilvl="8" w:tplc="EC120860">
      <w:start w:val="1"/>
      <w:numFmt w:val="bullet"/>
      <w:lvlText w:val="•"/>
      <w:lvlJc w:val="left"/>
      <w:pPr>
        <w:ind w:left="8935" w:hanging="284"/>
      </w:pPr>
      <w:rPr>
        <w:rFonts w:hint="default"/>
      </w:rPr>
    </w:lvl>
  </w:abstractNum>
  <w:abstractNum w:abstractNumId="32" w15:restartNumberingAfterBreak="0">
    <w:nsid w:val="1E2C3B65"/>
    <w:multiLevelType w:val="hybridMultilevel"/>
    <w:tmpl w:val="7A2C7D3C"/>
    <w:lvl w:ilvl="0" w:tplc="FD006E68">
      <w:start w:val="1"/>
      <w:numFmt w:val="decimal"/>
      <w:lvlText w:val="%1."/>
      <w:lvlJc w:val="left"/>
      <w:pPr>
        <w:ind w:left="901" w:hanging="245"/>
      </w:pPr>
      <w:rPr>
        <w:rFonts w:ascii="Times New Roman" w:eastAsia="Arial" w:hAnsi="Times New Roman" w:cs="Times New Roman" w:hint="default"/>
        <w:b/>
        <w:bCs/>
        <w:w w:val="99"/>
        <w:sz w:val="24"/>
        <w:szCs w:val="24"/>
      </w:rPr>
    </w:lvl>
    <w:lvl w:ilvl="1" w:tplc="898E9662">
      <w:start w:val="1"/>
      <w:numFmt w:val="bullet"/>
      <w:lvlText w:val="•"/>
      <w:lvlJc w:val="left"/>
      <w:pPr>
        <w:ind w:left="1922" w:hanging="245"/>
      </w:pPr>
      <w:rPr>
        <w:rFonts w:hint="default"/>
      </w:rPr>
    </w:lvl>
    <w:lvl w:ilvl="2" w:tplc="94E001EA">
      <w:start w:val="1"/>
      <w:numFmt w:val="bullet"/>
      <w:lvlText w:val="•"/>
      <w:lvlJc w:val="left"/>
      <w:pPr>
        <w:ind w:left="2943" w:hanging="245"/>
      </w:pPr>
      <w:rPr>
        <w:rFonts w:hint="default"/>
      </w:rPr>
    </w:lvl>
    <w:lvl w:ilvl="3" w:tplc="B9E40202">
      <w:start w:val="1"/>
      <w:numFmt w:val="bullet"/>
      <w:lvlText w:val="•"/>
      <w:lvlJc w:val="left"/>
      <w:pPr>
        <w:ind w:left="3963" w:hanging="245"/>
      </w:pPr>
      <w:rPr>
        <w:rFonts w:hint="default"/>
      </w:rPr>
    </w:lvl>
    <w:lvl w:ilvl="4" w:tplc="6B5C4388">
      <w:start w:val="1"/>
      <w:numFmt w:val="bullet"/>
      <w:lvlText w:val="•"/>
      <w:lvlJc w:val="left"/>
      <w:pPr>
        <w:ind w:left="4984" w:hanging="245"/>
      </w:pPr>
      <w:rPr>
        <w:rFonts w:hint="default"/>
      </w:rPr>
    </w:lvl>
    <w:lvl w:ilvl="5" w:tplc="1012F2E0">
      <w:start w:val="1"/>
      <w:numFmt w:val="bullet"/>
      <w:lvlText w:val="•"/>
      <w:lvlJc w:val="left"/>
      <w:pPr>
        <w:ind w:left="6005" w:hanging="245"/>
      </w:pPr>
      <w:rPr>
        <w:rFonts w:hint="default"/>
      </w:rPr>
    </w:lvl>
    <w:lvl w:ilvl="6" w:tplc="0BC4B20A">
      <w:start w:val="1"/>
      <w:numFmt w:val="bullet"/>
      <w:lvlText w:val="•"/>
      <w:lvlJc w:val="left"/>
      <w:pPr>
        <w:ind w:left="7025" w:hanging="245"/>
      </w:pPr>
      <w:rPr>
        <w:rFonts w:hint="default"/>
      </w:rPr>
    </w:lvl>
    <w:lvl w:ilvl="7" w:tplc="B55E8406">
      <w:start w:val="1"/>
      <w:numFmt w:val="bullet"/>
      <w:lvlText w:val="•"/>
      <w:lvlJc w:val="left"/>
      <w:pPr>
        <w:ind w:left="8046" w:hanging="245"/>
      </w:pPr>
      <w:rPr>
        <w:rFonts w:hint="default"/>
      </w:rPr>
    </w:lvl>
    <w:lvl w:ilvl="8" w:tplc="57BAD31A">
      <w:start w:val="1"/>
      <w:numFmt w:val="bullet"/>
      <w:lvlText w:val="•"/>
      <w:lvlJc w:val="left"/>
      <w:pPr>
        <w:ind w:left="9067" w:hanging="245"/>
      </w:pPr>
      <w:rPr>
        <w:rFonts w:hint="default"/>
      </w:rPr>
    </w:lvl>
  </w:abstractNum>
  <w:abstractNum w:abstractNumId="33" w15:restartNumberingAfterBreak="0">
    <w:nsid w:val="1E804C7F"/>
    <w:multiLevelType w:val="hybridMultilevel"/>
    <w:tmpl w:val="47F025EC"/>
    <w:lvl w:ilvl="0" w:tplc="2A067082">
      <w:start w:val="1"/>
      <w:numFmt w:val="decimal"/>
      <w:lvlText w:val="%1."/>
      <w:lvlJc w:val="left"/>
      <w:pPr>
        <w:ind w:left="1228" w:hanging="426"/>
      </w:pPr>
      <w:rPr>
        <w:rFonts w:ascii="Times New Roman" w:eastAsia="Arial" w:hAnsi="Times New Roman" w:cs="Times New Roman" w:hint="default"/>
        <w:w w:val="99"/>
        <w:sz w:val="24"/>
        <w:szCs w:val="24"/>
      </w:rPr>
    </w:lvl>
    <w:lvl w:ilvl="1" w:tplc="A63A6DEC">
      <w:start w:val="1"/>
      <w:numFmt w:val="bullet"/>
      <w:lvlText w:val="•"/>
      <w:lvlJc w:val="left"/>
      <w:pPr>
        <w:ind w:left="2205" w:hanging="426"/>
      </w:pPr>
      <w:rPr>
        <w:rFonts w:hint="default"/>
      </w:rPr>
    </w:lvl>
    <w:lvl w:ilvl="2" w:tplc="8EB66AE8">
      <w:start w:val="1"/>
      <w:numFmt w:val="bullet"/>
      <w:lvlText w:val="•"/>
      <w:lvlJc w:val="left"/>
      <w:pPr>
        <w:ind w:left="3183" w:hanging="426"/>
      </w:pPr>
      <w:rPr>
        <w:rFonts w:hint="default"/>
      </w:rPr>
    </w:lvl>
    <w:lvl w:ilvl="3" w:tplc="BD781624">
      <w:start w:val="1"/>
      <w:numFmt w:val="bullet"/>
      <w:lvlText w:val="•"/>
      <w:lvlJc w:val="left"/>
      <w:pPr>
        <w:ind w:left="4161" w:hanging="426"/>
      </w:pPr>
      <w:rPr>
        <w:rFonts w:hint="default"/>
      </w:rPr>
    </w:lvl>
    <w:lvl w:ilvl="4" w:tplc="AD04F0E8">
      <w:start w:val="1"/>
      <w:numFmt w:val="bullet"/>
      <w:lvlText w:val="•"/>
      <w:lvlJc w:val="left"/>
      <w:pPr>
        <w:ind w:left="5139" w:hanging="426"/>
      </w:pPr>
      <w:rPr>
        <w:rFonts w:hint="default"/>
      </w:rPr>
    </w:lvl>
    <w:lvl w:ilvl="5" w:tplc="AB80C7EC">
      <w:start w:val="1"/>
      <w:numFmt w:val="bullet"/>
      <w:lvlText w:val="•"/>
      <w:lvlJc w:val="left"/>
      <w:pPr>
        <w:ind w:left="6117" w:hanging="426"/>
      </w:pPr>
      <w:rPr>
        <w:rFonts w:hint="default"/>
      </w:rPr>
    </w:lvl>
    <w:lvl w:ilvl="6" w:tplc="42B0CC74">
      <w:start w:val="1"/>
      <w:numFmt w:val="bullet"/>
      <w:lvlText w:val="•"/>
      <w:lvlJc w:val="left"/>
      <w:pPr>
        <w:ind w:left="7095" w:hanging="426"/>
      </w:pPr>
      <w:rPr>
        <w:rFonts w:hint="default"/>
      </w:rPr>
    </w:lvl>
    <w:lvl w:ilvl="7" w:tplc="0EF898B8">
      <w:start w:val="1"/>
      <w:numFmt w:val="bullet"/>
      <w:lvlText w:val="•"/>
      <w:lvlJc w:val="left"/>
      <w:pPr>
        <w:ind w:left="8072" w:hanging="426"/>
      </w:pPr>
      <w:rPr>
        <w:rFonts w:hint="default"/>
      </w:rPr>
    </w:lvl>
    <w:lvl w:ilvl="8" w:tplc="724C34C8">
      <w:start w:val="1"/>
      <w:numFmt w:val="bullet"/>
      <w:lvlText w:val="•"/>
      <w:lvlJc w:val="left"/>
      <w:pPr>
        <w:ind w:left="9050" w:hanging="426"/>
      </w:pPr>
      <w:rPr>
        <w:rFonts w:hint="default"/>
      </w:rPr>
    </w:lvl>
  </w:abstractNum>
  <w:abstractNum w:abstractNumId="34" w15:restartNumberingAfterBreak="0">
    <w:nsid w:val="1FF22F90"/>
    <w:multiLevelType w:val="hybridMultilevel"/>
    <w:tmpl w:val="42DEC6E2"/>
    <w:lvl w:ilvl="0" w:tplc="44723B40">
      <w:start w:val="1"/>
      <w:numFmt w:val="decimal"/>
      <w:lvlText w:val="%1."/>
      <w:lvlJc w:val="left"/>
      <w:pPr>
        <w:ind w:left="1307" w:hanging="426"/>
      </w:pPr>
      <w:rPr>
        <w:rFonts w:ascii="Times New Roman" w:eastAsia="Arial" w:hAnsi="Times New Roman" w:cs="Times New Roman" w:hint="default"/>
        <w:w w:val="99"/>
        <w:sz w:val="24"/>
        <w:szCs w:val="24"/>
      </w:rPr>
    </w:lvl>
    <w:lvl w:ilvl="1" w:tplc="565EE6BE">
      <w:start w:val="1"/>
      <w:numFmt w:val="lowerLetter"/>
      <w:lvlText w:val="%2)"/>
      <w:lvlJc w:val="left"/>
      <w:pPr>
        <w:ind w:left="1599" w:hanging="292"/>
      </w:pPr>
      <w:rPr>
        <w:rFonts w:ascii="Times New Roman" w:eastAsia="Arial" w:hAnsi="Times New Roman" w:cs="Times New Roman" w:hint="default"/>
        <w:w w:val="99"/>
        <w:sz w:val="24"/>
        <w:szCs w:val="24"/>
      </w:rPr>
    </w:lvl>
    <w:lvl w:ilvl="2" w:tplc="FCD624C0">
      <w:start w:val="1"/>
      <w:numFmt w:val="bullet"/>
      <w:lvlText w:val=""/>
      <w:lvlJc w:val="left"/>
      <w:pPr>
        <w:ind w:left="2016" w:hanging="417"/>
      </w:pPr>
      <w:rPr>
        <w:rFonts w:ascii="Symbol" w:eastAsia="Symbol" w:hAnsi="Symbol" w:hint="default"/>
        <w:w w:val="99"/>
        <w:sz w:val="22"/>
        <w:szCs w:val="22"/>
      </w:rPr>
    </w:lvl>
    <w:lvl w:ilvl="3" w:tplc="55506BDA">
      <w:start w:val="1"/>
      <w:numFmt w:val="bullet"/>
      <w:lvlText w:val="•"/>
      <w:lvlJc w:val="left"/>
      <w:pPr>
        <w:ind w:left="3150" w:hanging="417"/>
      </w:pPr>
      <w:rPr>
        <w:rFonts w:hint="default"/>
      </w:rPr>
    </w:lvl>
    <w:lvl w:ilvl="4" w:tplc="FEE2BABE">
      <w:start w:val="1"/>
      <w:numFmt w:val="bullet"/>
      <w:lvlText w:val="•"/>
      <w:lvlJc w:val="left"/>
      <w:pPr>
        <w:ind w:left="4284" w:hanging="417"/>
      </w:pPr>
      <w:rPr>
        <w:rFonts w:hint="default"/>
      </w:rPr>
    </w:lvl>
    <w:lvl w:ilvl="5" w:tplc="A074EF6A">
      <w:start w:val="1"/>
      <w:numFmt w:val="bullet"/>
      <w:lvlText w:val="•"/>
      <w:lvlJc w:val="left"/>
      <w:pPr>
        <w:ind w:left="5418" w:hanging="417"/>
      </w:pPr>
      <w:rPr>
        <w:rFonts w:hint="default"/>
      </w:rPr>
    </w:lvl>
    <w:lvl w:ilvl="6" w:tplc="4D90EE04">
      <w:start w:val="1"/>
      <w:numFmt w:val="bullet"/>
      <w:lvlText w:val="•"/>
      <w:lvlJc w:val="left"/>
      <w:pPr>
        <w:ind w:left="6552" w:hanging="417"/>
      </w:pPr>
      <w:rPr>
        <w:rFonts w:hint="default"/>
      </w:rPr>
    </w:lvl>
    <w:lvl w:ilvl="7" w:tplc="AF12D2D6">
      <w:start w:val="1"/>
      <w:numFmt w:val="bullet"/>
      <w:lvlText w:val="•"/>
      <w:lvlJc w:val="left"/>
      <w:pPr>
        <w:ind w:left="7686" w:hanging="417"/>
      </w:pPr>
      <w:rPr>
        <w:rFonts w:hint="default"/>
      </w:rPr>
    </w:lvl>
    <w:lvl w:ilvl="8" w:tplc="16D65BE4">
      <w:start w:val="1"/>
      <w:numFmt w:val="bullet"/>
      <w:lvlText w:val="•"/>
      <w:lvlJc w:val="left"/>
      <w:pPr>
        <w:ind w:left="8820" w:hanging="417"/>
      </w:pPr>
      <w:rPr>
        <w:rFonts w:hint="default"/>
      </w:rPr>
    </w:lvl>
  </w:abstractNum>
  <w:abstractNum w:abstractNumId="35" w15:restartNumberingAfterBreak="0">
    <w:nsid w:val="22B230FB"/>
    <w:multiLevelType w:val="hybridMultilevel"/>
    <w:tmpl w:val="1BAA97D0"/>
    <w:lvl w:ilvl="0" w:tplc="B3DC932E">
      <w:start w:val="1"/>
      <w:numFmt w:val="decimal"/>
      <w:lvlText w:val="%1)"/>
      <w:lvlJc w:val="left"/>
      <w:pPr>
        <w:ind w:left="1451" w:hanging="284"/>
      </w:pPr>
      <w:rPr>
        <w:rFonts w:ascii="Times New Roman" w:eastAsia="Arial" w:hAnsi="Times New Roman" w:cs="Times New Roman" w:hint="default"/>
        <w:w w:val="99"/>
        <w:sz w:val="24"/>
        <w:szCs w:val="24"/>
      </w:rPr>
    </w:lvl>
    <w:lvl w:ilvl="1" w:tplc="14CC52D0">
      <w:start w:val="1"/>
      <w:numFmt w:val="bullet"/>
      <w:lvlText w:val="•"/>
      <w:lvlJc w:val="left"/>
      <w:pPr>
        <w:ind w:left="2400" w:hanging="284"/>
      </w:pPr>
      <w:rPr>
        <w:rFonts w:hint="default"/>
      </w:rPr>
    </w:lvl>
    <w:lvl w:ilvl="2" w:tplc="4EFEC29C">
      <w:start w:val="1"/>
      <w:numFmt w:val="bullet"/>
      <w:lvlText w:val="•"/>
      <w:lvlJc w:val="left"/>
      <w:pPr>
        <w:ind w:left="3350" w:hanging="284"/>
      </w:pPr>
      <w:rPr>
        <w:rFonts w:hint="default"/>
      </w:rPr>
    </w:lvl>
    <w:lvl w:ilvl="3" w:tplc="57E0C1C6">
      <w:start w:val="1"/>
      <w:numFmt w:val="bullet"/>
      <w:lvlText w:val="•"/>
      <w:lvlJc w:val="left"/>
      <w:pPr>
        <w:ind w:left="4299" w:hanging="284"/>
      </w:pPr>
      <w:rPr>
        <w:rFonts w:hint="default"/>
      </w:rPr>
    </w:lvl>
    <w:lvl w:ilvl="4" w:tplc="5066E2E4">
      <w:start w:val="1"/>
      <w:numFmt w:val="bullet"/>
      <w:lvlText w:val="•"/>
      <w:lvlJc w:val="left"/>
      <w:pPr>
        <w:ind w:left="5248" w:hanging="284"/>
      </w:pPr>
      <w:rPr>
        <w:rFonts w:hint="default"/>
      </w:rPr>
    </w:lvl>
    <w:lvl w:ilvl="5" w:tplc="D04ED45E">
      <w:start w:val="1"/>
      <w:numFmt w:val="bullet"/>
      <w:lvlText w:val="•"/>
      <w:lvlJc w:val="left"/>
      <w:pPr>
        <w:ind w:left="6198" w:hanging="284"/>
      </w:pPr>
      <w:rPr>
        <w:rFonts w:hint="default"/>
      </w:rPr>
    </w:lvl>
    <w:lvl w:ilvl="6" w:tplc="AC26CF98">
      <w:start w:val="1"/>
      <w:numFmt w:val="bullet"/>
      <w:lvlText w:val="•"/>
      <w:lvlJc w:val="left"/>
      <w:pPr>
        <w:ind w:left="7147" w:hanging="284"/>
      </w:pPr>
      <w:rPr>
        <w:rFonts w:hint="default"/>
      </w:rPr>
    </w:lvl>
    <w:lvl w:ilvl="7" w:tplc="9E34C888">
      <w:start w:val="1"/>
      <w:numFmt w:val="bullet"/>
      <w:lvlText w:val="•"/>
      <w:lvlJc w:val="left"/>
      <w:pPr>
        <w:ind w:left="8097" w:hanging="284"/>
      </w:pPr>
      <w:rPr>
        <w:rFonts w:hint="default"/>
      </w:rPr>
    </w:lvl>
    <w:lvl w:ilvl="8" w:tplc="9938A5D4">
      <w:start w:val="1"/>
      <w:numFmt w:val="bullet"/>
      <w:lvlText w:val="•"/>
      <w:lvlJc w:val="left"/>
      <w:pPr>
        <w:ind w:left="9046" w:hanging="284"/>
      </w:pPr>
      <w:rPr>
        <w:rFonts w:hint="default"/>
      </w:rPr>
    </w:lvl>
  </w:abstractNum>
  <w:abstractNum w:abstractNumId="36" w15:restartNumberingAfterBreak="0">
    <w:nsid w:val="266777C0"/>
    <w:multiLevelType w:val="hybridMultilevel"/>
    <w:tmpl w:val="03181ACC"/>
    <w:lvl w:ilvl="0" w:tplc="4540FC48">
      <w:start w:val="1"/>
      <w:numFmt w:val="lowerLetter"/>
      <w:lvlText w:val="%1)"/>
      <w:lvlJc w:val="left"/>
      <w:pPr>
        <w:ind w:left="1259" w:hanging="418"/>
        <w:jc w:val="right"/>
      </w:pPr>
      <w:rPr>
        <w:rFonts w:ascii="Times New Roman" w:eastAsia="Arial" w:hAnsi="Times New Roman" w:cs="Times New Roman" w:hint="default"/>
        <w:b/>
        <w:bCs/>
        <w:w w:val="99"/>
        <w:sz w:val="24"/>
        <w:szCs w:val="24"/>
      </w:rPr>
    </w:lvl>
    <w:lvl w:ilvl="1" w:tplc="DF4E6830">
      <w:start w:val="1"/>
      <w:numFmt w:val="bullet"/>
      <w:lvlText w:val="•"/>
      <w:lvlJc w:val="left"/>
      <w:pPr>
        <w:ind w:left="2238" w:hanging="418"/>
      </w:pPr>
      <w:rPr>
        <w:rFonts w:hint="default"/>
      </w:rPr>
    </w:lvl>
    <w:lvl w:ilvl="2" w:tplc="97865D78">
      <w:start w:val="1"/>
      <w:numFmt w:val="bullet"/>
      <w:lvlText w:val="•"/>
      <w:lvlJc w:val="left"/>
      <w:pPr>
        <w:ind w:left="3216" w:hanging="418"/>
      </w:pPr>
      <w:rPr>
        <w:rFonts w:hint="default"/>
      </w:rPr>
    </w:lvl>
    <w:lvl w:ilvl="3" w:tplc="3CDC153E">
      <w:start w:val="1"/>
      <w:numFmt w:val="bullet"/>
      <w:lvlText w:val="•"/>
      <w:lvlJc w:val="left"/>
      <w:pPr>
        <w:ind w:left="4195" w:hanging="418"/>
      </w:pPr>
      <w:rPr>
        <w:rFonts w:hint="default"/>
      </w:rPr>
    </w:lvl>
    <w:lvl w:ilvl="4" w:tplc="5EB48EBA">
      <w:start w:val="1"/>
      <w:numFmt w:val="bullet"/>
      <w:lvlText w:val="•"/>
      <w:lvlJc w:val="left"/>
      <w:pPr>
        <w:ind w:left="5173" w:hanging="418"/>
      </w:pPr>
      <w:rPr>
        <w:rFonts w:hint="default"/>
      </w:rPr>
    </w:lvl>
    <w:lvl w:ilvl="5" w:tplc="1E46E7A2">
      <w:start w:val="1"/>
      <w:numFmt w:val="bullet"/>
      <w:lvlText w:val="•"/>
      <w:lvlJc w:val="left"/>
      <w:pPr>
        <w:ind w:left="6152" w:hanging="418"/>
      </w:pPr>
      <w:rPr>
        <w:rFonts w:hint="default"/>
      </w:rPr>
    </w:lvl>
    <w:lvl w:ilvl="6" w:tplc="B32C49BC">
      <w:start w:val="1"/>
      <w:numFmt w:val="bullet"/>
      <w:lvlText w:val="•"/>
      <w:lvlJc w:val="left"/>
      <w:pPr>
        <w:ind w:left="7130" w:hanging="418"/>
      </w:pPr>
      <w:rPr>
        <w:rFonts w:hint="default"/>
      </w:rPr>
    </w:lvl>
    <w:lvl w:ilvl="7" w:tplc="15E686B6">
      <w:start w:val="1"/>
      <w:numFmt w:val="bullet"/>
      <w:lvlText w:val="•"/>
      <w:lvlJc w:val="left"/>
      <w:pPr>
        <w:ind w:left="8109" w:hanging="418"/>
      </w:pPr>
      <w:rPr>
        <w:rFonts w:hint="default"/>
      </w:rPr>
    </w:lvl>
    <w:lvl w:ilvl="8" w:tplc="6BA29F12">
      <w:start w:val="1"/>
      <w:numFmt w:val="bullet"/>
      <w:lvlText w:val="•"/>
      <w:lvlJc w:val="left"/>
      <w:pPr>
        <w:ind w:left="9088" w:hanging="418"/>
      </w:pPr>
      <w:rPr>
        <w:rFonts w:hint="default"/>
      </w:rPr>
    </w:lvl>
  </w:abstractNum>
  <w:abstractNum w:abstractNumId="37" w15:restartNumberingAfterBreak="0">
    <w:nsid w:val="29735214"/>
    <w:multiLevelType w:val="hybridMultilevel"/>
    <w:tmpl w:val="443C0980"/>
    <w:lvl w:ilvl="0" w:tplc="ED7E8D4A">
      <w:start w:val="1"/>
      <w:numFmt w:val="bullet"/>
      <w:lvlText w:val=""/>
      <w:lvlJc w:val="left"/>
      <w:pPr>
        <w:ind w:left="1451" w:hanging="284"/>
      </w:pPr>
      <w:rPr>
        <w:rFonts w:ascii="Symbol" w:eastAsia="Symbol" w:hAnsi="Symbol" w:hint="default"/>
        <w:w w:val="99"/>
        <w:sz w:val="22"/>
        <w:szCs w:val="22"/>
      </w:rPr>
    </w:lvl>
    <w:lvl w:ilvl="1" w:tplc="F0326E58">
      <w:start w:val="1"/>
      <w:numFmt w:val="bullet"/>
      <w:lvlText w:val=""/>
      <w:lvlJc w:val="left"/>
      <w:pPr>
        <w:ind w:left="1511" w:hanging="284"/>
      </w:pPr>
      <w:rPr>
        <w:rFonts w:ascii="Symbol" w:eastAsia="Symbol" w:hAnsi="Symbol" w:hint="default"/>
        <w:w w:val="99"/>
        <w:sz w:val="22"/>
        <w:szCs w:val="22"/>
      </w:rPr>
    </w:lvl>
    <w:lvl w:ilvl="2" w:tplc="B07AE90A">
      <w:start w:val="1"/>
      <w:numFmt w:val="bullet"/>
      <w:lvlText w:val="•"/>
      <w:lvlJc w:val="left"/>
      <w:pPr>
        <w:ind w:left="2559" w:hanging="284"/>
      </w:pPr>
      <w:rPr>
        <w:rFonts w:hint="default"/>
      </w:rPr>
    </w:lvl>
    <w:lvl w:ilvl="3" w:tplc="B6DE18C4">
      <w:start w:val="1"/>
      <w:numFmt w:val="bullet"/>
      <w:lvlText w:val="•"/>
      <w:lvlJc w:val="left"/>
      <w:pPr>
        <w:ind w:left="3607" w:hanging="284"/>
      </w:pPr>
      <w:rPr>
        <w:rFonts w:hint="default"/>
      </w:rPr>
    </w:lvl>
    <w:lvl w:ilvl="4" w:tplc="8C400C20">
      <w:start w:val="1"/>
      <w:numFmt w:val="bullet"/>
      <w:lvlText w:val="•"/>
      <w:lvlJc w:val="left"/>
      <w:pPr>
        <w:ind w:left="4655" w:hanging="284"/>
      </w:pPr>
      <w:rPr>
        <w:rFonts w:hint="default"/>
      </w:rPr>
    </w:lvl>
    <w:lvl w:ilvl="5" w:tplc="A46C5A48">
      <w:start w:val="1"/>
      <w:numFmt w:val="bullet"/>
      <w:lvlText w:val="•"/>
      <w:lvlJc w:val="left"/>
      <w:pPr>
        <w:ind w:left="5704" w:hanging="284"/>
      </w:pPr>
      <w:rPr>
        <w:rFonts w:hint="default"/>
      </w:rPr>
    </w:lvl>
    <w:lvl w:ilvl="6" w:tplc="DA8E28EE">
      <w:start w:val="1"/>
      <w:numFmt w:val="bullet"/>
      <w:lvlText w:val="•"/>
      <w:lvlJc w:val="left"/>
      <w:pPr>
        <w:ind w:left="6752" w:hanging="284"/>
      </w:pPr>
      <w:rPr>
        <w:rFonts w:hint="default"/>
      </w:rPr>
    </w:lvl>
    <w:lvl w:ilvl="7" w:tplc="94CAAAA4">
      <w:start w:val="1"/>
      <w:numFmt w:val="bullet"/>
      <w:lvlText w:val="•"/>
      <w:lvlJc w:val="left"/>
      <w:pPr>
        <w:ind w:left="7800" w:hanging="284"/>
      </w:pPr>
      <w:rPr>
        <w:rFonts w:hint="default"/>
      </w:rPr>
    </w:lvl>
    <w:lvl w:ilvl="8" w:tplc="F2B0D9B4">
      <w:start w:val="1"/>
      <w:numFmt w:val="bullet"/>
      <w:lvlText w:val="•"/>
      <w:lvlJc w:val="left"/>
      <w:pPr>
        <w:ind w:left="8848" w:hanging="284"/>
      </w:pPr>
      <w:rPr>
        <w:rFonts w:hint="default"/>
      </w:rPr>
    </w:lvl>
  </w:abstractNum>
  <w:abstractNum w:abstractNumId="38" w15:restartNumberingAfterBreak="0">
    <w:nsid w:val="2A250901"/>
    <w:multiLevelType w:val="hybridMultilevel"/>
    <w:tmpl w:val="B2B45330"/>
    <w:lvl w:ilvl="0" w:tplc="70DABE7C">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CF406FD2">
      <w:start w:val="1"/>
      <w:numFmt w:val="decimal"/>
      <w:lvlText w:val="%2)"/>
      <w:lvlJc w:val="left"/>
      <w:pPr>
        <w:ind w:left="1451" w:hanging="284"/>
      </w:pPr>
      <w:rPr>
        <w:rFonts w:ascii="Times New Roman" w:eastAsia="Arial" w:hAnsi="Times New Roman" w:cs="Times New Roman" w:hint="default"/>
        <w:w w:val="99"/>
        <w:sz w:val="24"/>
        <w:szCs w:val="24"/>
      </w:rPr>
    </w:lvl>
    <w:lvl w:ilvl="2" w:tplc="4ED25D96">
      <w:start w:val="1"/>
      <w:numFmt w:val="bullet"/>
      <w:lvlText w:val="•"/>
      <w:lvlJc w:val="left"/>
      <w:pPr>
        <w:ind w:left="2506" w:hanging="284"/>
      </w:pPr>
      <w:rPr>
        <w:rFonts w:hint="default"/>
      </w:rPr>
    </w:lvl>
    <w:lvl w:ilvl="3" w:tplc="9C18AC8A">
      <w:start w:val="1"/>
      <w:numFmt w:val="bullet"/>
      <w:lvlText w:val="•"/>
      <w:lvlJc w:val="left"/>
      <w:pPr>
        <w:ind w:left="3560" w:hanging="284"/>
      </w:pPr>
      <w:rPr>
        <w:rFonts w:hint="default"/>
      </w:rPr>
    </w:lvl>
    <w:lvl w:ilvl="4" w:tplc="DCD0D9C0">
      <w:start w:val="1"/>
      <w:numFmt w:val="bullet"/>
      <w:lvlText w:val="•"/>
      <w:lvlJc w:val="left"/>
      <w:pPr>
        <w:ind w:left="4615" w:hanging="284"/>
      </w:pPr>
      <w:rPr>
        <w:rFonts w:hint="default"/>
      </w:rPr>
    </w:lvl>
    <w:lvl w:ilvl="5" w:tplc="4CC23194">
      <w:start w:val="1"/>
      <w:numFmt w:val="bullet"/>
      <w:lvlText w:val="•"/>
      <w:lvlJc w:val="left"/>
      <w:pPr>
        <w:ind w:left="5670" w:hanging="284"/>
      </w:pPr>
      <w:rPr>
        <w:rFonts w:hint="default"/>
      </w:rPr>
    </w:lvl>
    <w:lvl w:ilvl="6" w:tplc="84E26CEE">
      <w:start w:val="1"/>
      <w:numFmt w:val="bullet"/>
      <w:lvlText w:val="•"/>
      <w:lvlJc w:val="left"/>
      <w:pPr>
        <w:ind w:left="6725" w:hanging="284"/>
      </w:pPr>
      <w:rPr>
        <w:rFonts w:hint="default"/>
      </w:rPr>
    </w:lvl>
    <w:lvl w:ilvl="7" w:tplc="4BFED504">
      <w:start w:val="1"/>
      <w:numFmt w:val="bullet"/>
      <w:lvlText w:val="•"/>
      <w:lvlJc w:val="left"/>
      <w:pPr>
        <w:ind w:left="7780" w:hanging="284"/>
      </w:pPr>
      <w:rPr>
        <w:rFonts w:hint="default"/>
      </w:rPr>
    </w:lvl>
    <w:lvl w:ilvl="8" w:tplc="B1548688">
      <w:start w:val="1"/>
      <w:numFmt w:val="bullet"/>
      <w:lvlText w:val="•"/>
      <w:lvlJc w:val="left"/>
      <w:pPr>
        <w:ind w:left="8835" w:hanging="284"/>
      </w:pPr>
      <w:rPr>
        <w:rFonts w:hint="default"/>
      </w:rPr>
    </w:lvl>
  </w:abstractNum>
  <w:abstractNum w:abstractNumId="39" w15:restartNumberingAfterBreak="0">
    <w:nsid w:val="2C003008"/>
    <w:multiLevelType w:val="hybridMultilevel"/>
    <w:tmpl w:val="D312E8CA"/>
    <w:lvl w:ilvl="0" w:tplc="2592DA82">
      <w:start w:val="1"/>
      <w:numFmt w:val="bullet"/>
      <w:lvlText w:val=""/>
      <w:lvlJc w:val="left"/>
      <w:pPr>
        <w:ind w:left="1602" w:hanging="294"/>
      </w:pPr>
      <w:rPr>
        <w:rFonts w:ascii="Symbol" w:eastAsia="Symbol" w:hAnsi="Symbol" w:hint="default"/>
        <w:w w:val="99"/>
        <w:sz w:val="22"/>
        <w:szCs w:val="22"/>
      </w:rPr>
    </w:lvl>
    <w:lvl w:ilvl="1" w:tplc="577E18FC">
      <w:start w:val="1"/>
      <w:numFmt w:val="bullet"/>
      <w:lvlText w:val="•"/>
      <w:lvlJc w:val="left"/>
      <w:pPr>
        <w:ind w:left="2550" w:hanging="294"/>
      </w:pPr>
      <w:rPr>
        <w:rFonts w:hint="default"/>
      </w:rPr>
    </w:lvl>
    <w:lvl w:ilvl="2" w:tplc="E0FA9630">
      <w:start w:val="1"/>
      <w:numFmt w:val="bullet"/>
      <w:lvlText w:val="•"/>
      <w:lvlJc w:val="left"/>
      <w:pPr>
        <w:ind w:left="3498" w:hanging="294"/>
      </w:pPr>
      <w:rPr>
        <w:rFonts w:hint="default"/>
      </w:rPr>
    </w:lvl>
    <w:lvl w:ilvl="3" w:tplc="37A64D1E">
      <w:start w:val="1"/>
      <w:numFmt w:val="bullet"/>
      <w:lvlText w:val="•"/>
      <w:lvlJc w:val="left"/>
      <w:pPr>
        <w:ind w:left="4446" w:hanging="294"/>
      </w:pPr>
      <w:rPr>
        <w:rFonts w:hint="default"/>
      </w:rPr>
    </w:lvl>
    <w:lvl w:ilvl="4" w:tplc="C5B08100">
      <w:start w:val="1"/>
      <w:numFmt w:val="bullet"/>
      <w:lvlText w:val="•"/>
      <w:lvlJc w:val="left"/>
      <w:pPr>
        <w:ind w:left="5395" w:hanging="294"/>
      </w:pPr>
      <w:rPr>
        <w:rFonts w:hint="default"/>
      </w:rPr>
    </w:lvl>
    <w:lvl w:ilvl="5" w:tplc="7C4CF522">
      <w:start w:val="1"/>
      <w:numFmt w:val="bullet"/>
      <w:lvlText w:val="•"/>
      <w:lvlJc w:val="left"/>
      <w:pPr>
        <w:ind w:left="6343" w:hanging="294"/>
      </w:pPr>
      <w:rPr>
        <w:rFonts w:hint="default"/>
      </w:rPr>
    </w:lvl>
    <w:lvl w:ilvl="6" w:tplc="9FF27362">
      <w:start w:val="1"/>
      <w:numFmt w:val="bullet"/>
      <w:lvlText w:val="•"/>
      <w:lvlJc w:val="left"/>
      <w:pPr>
        <w:ind w:left="7291" w:hanging="294"/>
      </w:pPr>
      <w:rPr>
        <w:rFonts w:hint="default"/>
      </w:rPr>
    </w:lvl>
    <w:lvl w:ilvl="7" w:tplc="F65E30D4">
      <w:start w:val="1"/>
      <w:numFmt w:val="bullet"/>
      <w:lvlText w:val="•"/>
      <w:lvlJc w:val="left"/>
      <w:pPr>
        <w:ind w:left="8240" w:hanging="294"/>
      </w:pPr>
      <w:rPr>
        <w:rFonts w:hint="default"/>
      </w:rPr>
    </w:lvl>
    <w:lvl w:ilvl="8" w:tplc="A888EB2A">
      <w:start w:val="1"/>
      <w:numFmt w:val="bullet"/>
      <w:lvlText w:val="•"/>
      <w:lvlJc w:val="left"/>
      <w:pPr>
        <w:ind w:left="9188" w:hanging="294"/>
      </w:pPr>
      <w:rPr>
        <w:rFonts w:hint="default"/>
      </w:rPr>
    </w:lvl>
  </w:abstractNum>
  <w:abstractNum w:abstractNumId="40" w15:restartNumberingAfterBreak="0">
    <w:nsid w:val="2C2376D2"/>
    <w:multiLevelType w:val="hybridMultilevel"/>
    <w:tmpl w:val="1144DA9A"/>
    <w:lvl w:ilvl="0" w:tplc="E3D64994">
      <w:start w:val="1"/>
      <w:numFmt w:val="decimal"/>
      <w:lvlText w:val="%1."/>
      <w:lvlJc w:val="left"/>
      <w:pPr>
        <w:ind w:left="1162" w:hanging="360"/>
        <w:jc w:val="right"/>
      </w:pPr>
      <w:rPr>
        <w:rFonts w:ascii="Times New Roman" w:eastAsia="Arial" w:hAnsi="Times New Roman" w:cs="Times New Roman" w:hint="default"/>
        <w:w w:val="99"/>
        <w:sz w:val="24"/>
        <w:szCs w:val="24"/>
      </w:rPr>
    </w:lvl>
    <w:lvl w:ilvl="1" w:tplc="0F9402CC">
      <w:start w:val="1"/>
      <w:numFmt w:val="bullet"/>
      <w:lvlText w:val="•"/>
      <w:lvlJc w:val="left"/>
      <w:pPr>
        <w:ind w:left="2146" w:hanging="360"/>
      </w:pPr>
      <w:rPr>
        <w:rFonts w:hint="default"/>
      </w:rPr>
    </w:lvl>
    <w:lvl w:ilvl="2" w:tplc="B5D416A4">
      <w:start w:val="1"/>
      <w:numFmt w:val="bullet"/>
      <w:lvlText w:val="•"/>
      <w:lvlJc w:val="left"/>
      <w:pPr>
        <w:ind w:left="3130" w:hanging="360"/>
      </w:pPr>
      <w:rPr>
        <w:rFonts w:hint="default"/>
      </w:rPr>
    </w:lvl>
    <w:lvl w:ilvl="3" w:tplc="F1E6A23A">
      <w:start w:val="1"/>
      <w:numFmt w:val="bullet"/>
      <w:lvlText w:val="•"/>
      <w:lvlJc w:val="left"/>
      <w:pPr>
        <w:ind w:left="4114" w:hanging="360"/>
      </w:pPr>
      <w:rPr>
        <w:rFonts w:hint="default"/>
      </w:rPr>
    </w:lvl>
    <w:lvl w:ilvl="4" w:tplc="21646D10">
      <w:start w:val="1"/>
      <w:numFmt w:val="bullet"/>
      <w:lvlText w:val="•"/>
      <w:lvlJc w:val="left"/>
      <w:pPr>
        <w:ind w:left="5099" w:hanging="360"/>
      </w:pPr>
      <w:rPr>
        <w:rFonts w:hint="default"/>
      </w:rPr>
    </w:lvl>
    <w:lvl w:ilvl="5" w:tplc="77800828">
      <w:start w:val="1"/>
      <w:numFmt w:val="bullet"/>
      <w:lvlText w:val="•"/>
      <w:lvlJc w:val="left"/>
      <w:pPr>
        <w:ind w:left="6083" w:hanging="360"/>
      </w:pPr>
      <w:rPr>
        <w:rFonts w:hint="default"/>
      </w:rPr>
    </w:lvl>
    <w:lvl w:ilvl="6" w:tplc="37B2FB32">
      <w:start w:val="1"/>
      <w:numFmt w:val="bullet"/>
      <w:lvlText w:val="•"/>
      <w:lvlJc w:val="left"/>
      <w:pPr>
        <w:ind w:left="7067" w:hanging="360"/>
      </w:pPr>
      <w:rPr>
        <w:rFonts w:hint="default"/>
      </w:rPr>
    </w:lvl>
    <w:lvl w:ilvl="7" w:tplc="5E3CB1E8">
      <w:start w:val="1"/>
      <w:numFmt w:val="bullet"/>
      <w:lvlText w:val="•"/>
      <w:lvlJc w:val="left"/>
      <w:pPr>
        <w:ind w:left="8052" w:hanging="360"/>
      </w:pPr>
      <w:rPr>
        <w:rFonts w:hint="default"/>
      </w:rPr>
    </w:lvl>
    <w:lvl w:ilvl="8" w:tplc="7E6434E4">
      <w:start w:val="1"/>
      <w:numFmt w:val="bullet"/>
      <w:lvlText w:val="•"/>
      <w:lvlJc w:val="left"/>
      <w:pPr>
        <w:ind w:left="9036" w:hanging="360"/>
      </w:pPr>
      <w:rPr>
        <w:rFonts w:hint="default"/>
      </w:rPr>
    </w:lvl>
  </w:abstractNum>
  <w:abstractNum w:abstractNumId="41" w15:restartNumberingAfterBreak="0">
    <w:nsid w:val="2C5445FF"/>
    <w:multiLevelType w:val="hybridMultilevel"/>
    <w:tmpl w:val="1A882240"/>
    <w:lvl w:ilvl="0" w:tplc="40D8FFB2">
      <w:start w:val="1"/>
      <w:numFmt w:val="bullet"/>
      <w:lvlText w:val="*"/>
      <w:lvlJc w:val="left"/>
      <w:pPr>
        <w:ind w:left="948" w:hanging="147"/>
      </w:pPr>
      <w:rPr>
        <w:rFonts w:ascii="Arial" w:eastAsia="Arial" w:hAnsi="Arial" w:hint="default"/>
        <w:w w:val="99"/>
        <w:sz w:val="22"/>
        <w:szCs w:val="22"/>
      </w:rPr>
    </w:lvl>
    <w:lvl w:ilvl="1" w:tplc="D9C2A23A">
      <w:start w:val="1"/>
      <w:numFmt w:val="bullet"/>
      <w:lvlText w:val="•"/>
      <w:lvlJc w:val="left"/>
      <w:pPr>
        <w:ind w:left="1954" w:hanging="147"/>
      </w:pPr>
      <w:rPr>
        <w:rFonts w:hint="default"/>
      </w:rPr>
    </w:lvl>
    <w:lvl w:ilvl="2" w:tplc="3A486F68">
      <w:start w:val="1"/>
      <w:numFmt w:val="bullet"/>
      <w:lvlText w:val="•"/>
      <w:lvlJc w:val="left"/>
      <w:pPr>
        <w:ind w:left="2960" w:hanging="147"/>
      </w:pPr>
      <w:rPr>
        <w:rFonts w:hint="default"/>
      </w:rPr>
    </w:lvl>
    <w:lvl w:ilvl="3" w:tplc="4FD4DBBA">
      <w:start w:val="1"/>
      <w:numFmt w:val="bullet"/>
      <w:lvlText w:val="•"/>
      <w:lvlJc w:val="left"/>
      <w:pPr>
        <w:ind w:left="3965" w:hanging="147"/>
      </w:pPr>
      <w:rPr>
        <w:rFonts w:hint="default"/>
      </w:rPr>
    </w:lvl>
    <w:lvl w:ilvl="4" w:tplc="15EA1496">
      <w:start w:val="1"/>
      <w:numFmt w:val="bullet"/>
      <w:lvlText w:val="•"/>
      <w:lvlJc w:val="left"/>
      <w:pPr>
        <w:ind w:left="4971" w:hanging="147"/>
      </w:pPr>
      <w:rPr>
        <w:rFonts w:hint="default"/>
      </w:rPr>
    </w:lvl>
    <w:lvl w:ilvl="5" w:tplc="0C6A99DC">
      <w:start w:val="1"/>
      <w:numFmt w:val="bullet"/>
      <w:lvlText w:val="•"/>
      <w:lvlJc w:val="left"/>
      <w:pPr>
        <w:ind w:left="5977" w:hanging="147"/>
      </w:pPr>
      <w:rPr>
        <w:rFonts w:hint="default"/>
      </w:rPr>
    </w:lvl>
    <w:lvl w:ilvl="6" w:tplc="29D42D2E">
      <w:start w:val="1"/>
      <w:numFmt w:val="bullet"/>
      <w:lvlText w:val="•"/>
      <w:lvlJc w:val="left"/>
      <w:pPr>
        <w:ind w:left="6983" w:hanging="147"/>
      </w:pPr>
      <w:rPr>
        <w:rFonts w:hint="default"/>
      </w:rPr>
    </w:lvl>
    <w:lvl w:ilvl="7" w:tplc="911C4DBC">
      <w:start w:val="1"/>
      <w:numFmt w:val="bullet"/>
      <w:lvlText w:val="•"/>
      <w:lvlJc w:val="left"/>
      <w:pPr>
        <w:ind w:left="7989" w:hanging="147"/>
      </w:pPr>
      <w:rPr>
        <w:rFonts w:hint="default"/>
      </w:rPr>
    </w:lvl>
    <w:lvl w:ilvl="8" w:tplc="80A0EA50">
      <w:start w:val="1"/>
      <w:numFmt w:val="bullet"/>
      <w:lvlText w:val="•"/>
      <w:lvlJc w:val="left"/>
      <w:pPr>
        <w:ind w:left="8994" w:hanging="147"/>
      </w:pPr>
      <w:rPr>
        <w:rFonts w:hint="default"/>
      </w:rPr>
    </w:lvl>
  </w:abstractNum>
  <w:abstractNum w:abstractNumId="42" w15:restartNumberingAfterBreak="0">
    <w:nsid w:val="2C824432"/>
    <w:multiLevelType w:val="hybridMultilevel"/>
    <w:tmpl w:val="3DB25D54"/>
    <w:lvl w:ilvl="0" w:tplc="EA7E9B52">
      <w:start w:val="1"/>
      <w:numFmt w:val="decimal"/>
      <w:lvlText w:val="%1."/>
      <w:lvlJc w:val="left"/>
      <w:pPr>
        <w:ind w:left="1281" w:hanging="360"/>
      </w:pPr>
      <w:rPr>
        <w:rFonts w:ascii="Times New Roman" w:eastAsia="Arial" w:hAnsi="Times New Roman" w:cs="Times New Roman" w:hint="default"/>
        <w:w w:val="99"/>
        <w:sz w:val="24"/>
        <w:szCs w:val="24"/>
      </w:rPr>
    </w:lvl>
    <w:lvl w:ilvl="1" w:tplc="821627B0">
      <w:start w:val="1"/>
      <w:numFmt w:val="bullet"/>
      <w:lvlText w:val=""/>
      <w:lvlJc w:val="left"/>
      <w:pPr>
        <w:ind w:left="1951" w:hanging="360"/>
      </w:pPr>
      <w:rPr>
        <w:rFonts w:ascii="Symbol" w:eastAsia="Symbol" w:hAnsi="Symbol" w:hint="default"/>
        <w:w w:val="99"/>
        <w:sz w:val="22"/>
        <w:szCs w:val="22"/>
      </w:rPr>
    </w:lvl>
    <w:lvl w:ilvl="2" w:tplc="E8801B46">
      <w:start w:val="1"/>
      <w:numFmt w:val="bullet"/>
      <w:lvlText w:val="•"/>
      <w:lvlJc w:val="left"/>
      <w:pPr>
        <w:ind w:left="2966" w:hanging="360"/>
      </w:pPr>
      <w:rPr>
        <w:rFonts w:hint="default"/>
      </w:rPr>
    </w:lvl>
    <w:lvl w:ilvl="3" w:tplc="9EFA7E30">
      <w:start w:val="1"/>
      <w:numFmt w:val="bullet"/>
      <w:lvlText w:val="•"/>
      <w:lvlJc w:val="left"/>
      <w:pPr>
        <w:ind w:left="3981" w:hanging="360"/>
      </w:pPr>
      <w:rPr>
        <w:rFonts w:hint="default"/>
      </w:rPr>
    </w:lvl>
    <w:lvl w:ilvl="4" w:tplc="6ED09928">
      <w:start w:val="1"/>
      <w:numFmt w:val="bullet"/>
      <w:lvlText w:val="•"/>
      <w:lvlJc w:val="left"/>
      <w:pPr>
        <w:ind w:left="4997" w:hanging="360"/>
      </w:pPr>
      <w:rPr>
        <w:rFonts w:hint="default"/>
      </w:rPr>
    </w:lvl>
    <w:lvl w:ilvl="5" w:tplc="259666AE">
      <w:start w:val="1"/>
      <w:numFmt w:val="bullet"/>
      <w:lvlText w:val="•"/>
      <w:lvlJc w:val="left"/>
      <w:pPr>
        <w:ind w:left="6012" w:hanging="360"/>
      </w:pPr>
      <w:rPr>
        <w:rFonts w:hint="default"/>
      </w:rPr>
    </w:lvl>
    <w:lvl w:ilvl="6" w:tplc="84DEA73E">
      <w:start w:val="1"/>
      <w:numFmt w:val="bullet"/>
      <w:lvlText w:val="•"/>
      <w:lvlJc w:val="left"/>
      <w:pPr>
        <w:ind w:left="7027" w:hanging="360"/>
      </w:pPr>
      <w:rPr>
        <w:rFonts w:hint="default"/>
      </w:rPr>
    </w:lvl>
    <w:lvl w:ilvl="7" w:tplc="905E131E">
      <w:start w:val="1"/>
      <w:numFmt w:val="bullet"/>
      <w:lvlText w:val="•"/>
      <w:lvlJc w:val="left"/>
      <w:pPr>
        <w:ind w:left="8042" w:hanging="360"/>
      </w:pPr>
      <w:rPr>
        <w:rFonts w:hint="default"/>
      </w:rPr>
    </w:lvl>
    <w:lvl w:ilvl="8" w:tplc="AD96C8C2">
      <w:start w:val="1"/>
      <w:numFmt w:val="bullet"/>
      <w:lvlText w:val="•"/>
      <w:lvlJc w:val="left"/>
      <w:pPr>
        <w:ind w:left="9058" w:hanging="360"/>
      </w:pPr>
      <w:rPr>
        <w:rFonts w:hint="default"/>
      </w:rPr>
    </w:lvl>
  </w:abstractNum>
  <w:abstractNum w:abstractNumId="43" w15:restartNumberingAfterBreak="0">
    <w:nsid w:val="2DAF4610"/>
    <w:multiLevelType w:val="hybridMultilevel"/>
    <w:tmpl w:val="2C16B62E"/>
    <w:lvl w:ilvl="0" w:tplc="76CE3026">
      <w:start w:val="1"/>
      <w:numFmt w:val="decimal"/>
      <w:lvlText w:val="%1)"/>
      <w:lvlJc w:val="left"/>
      <w:pPr>
        <w:ind w:left="1602" w:hanging="276"/>
      </w:pPr>
      <w:rPr>
        <w:rFonts w:ascii="Times New Roman" w:eastAsia="Arial" w:hAnsi="Times New Roman" w:cs="Times New Roman" w:hint="default"/>
        <w:w w:val="99"/>
        <w:sz w:val="24"/>
        <w:szCs w:val="24"/>
      </w:rPr>
    </w:lvl>
    <w:lvl w:ilvl="1" w:tplc="D31C6B2E">
      <w:start w:val="1"/>
      <w:numFmt w:val="bullet"/>
      <w:lvlText w:val="•"/>
      <w:lvlJc w:val="left"/>
      <w:pPr>
        <w:ind w:left="2553" w:hanging="276"/>
      </w:pPr>
      <w:rPr>
        <w:rFonts w:hint="default"/>
      </w:rPr>
    </w:lvl>
    <w:lvl w:ilvl="2" w:tplc="56C8B2C2">
      <w:start w:val="1"/>
      <w:numFmt w:val="bullet"/>
      <w:lvlText w:val="•"/>
      <w:lvlJc w:val="left"/>
      <w:pPr>
        <w:ind w:left="3504" w:hanging="276"/>
      </w:pPr>
      <w:rPr>
        <w:rFonts w:hint="default"/>
      </w:rPr>
    </w:lvl>
    <w:lvl w:ilvl="3" w:tplc="57C0F084">
      <w:start w:val="1"/>
      <w:numFmt w:val="bullet"/>
      <w:lvlText w:val="•"/>
      <w:lvlJc w:val="left"/>
      <w:pPr>
        <w:ind w:left="4454" w:hanging="276"/>
      </w:pPr>
      <w:rPr>
        <w:rFonts w:hint="default"/>
      </w:rPr>
    </w:lvl>
    <w:lvl w:ilvl="4" w:tplc="9430A3C0">
      <w:start w:val="1"/>
      <w:numFmt w:val="bullet"/>
      <w:lvlText w:val="•"/>
      <w:lvlJc w:val="left"/>
      <w:pPr>
        <w:ind w:left="5405" w:hanging="276"/>
      </w:pPr>
      <w:rPr>
        <w:rFonts w:hint="default"/>
      </w:rPr>
    </w:lvl>
    <w:lvl w:ilvl="5" w:tplc="870A0056">
      <w:start w:val="1"/>
      <w:numFmt w:val="bullet"/>
      <w:lvlText w:val="•"/>
      <w:lvlJc w:val="left"/>
      <w:pPr>
        <w:ind w:left="6355" w:hanging="276"/>
      </w:pPr>
      <w:rPr>
        <w:rFonts w:hint="default"/>
      </w:rPr>
    </w:lvl>
    <w:lvl w:ilvl="6" w:tplc="3E48E29E">
      <w:start w:val="1"/>
      <w:numFmt w:val="bullet"/>
      <w:lvlText w:val="•"/>
      <w:lvlJc w:val="left"/>
      <w:pPr>
        <w:ind w:left="7306" w:hanging="276"/>
      </w:pPr>
      <w:rPr>
        <w:rFonts w:hint="default"/>
      </w:rPr>
    </w:lvl>
    <w:lvl w:ilvl="7" w:tplc="693A5B1C">
      <w:start w:val="1"/>
      <w:numFmt w:val="bullet"/>
      <w:lvlText w:val="•"/>
      <w:lvlJc w:val="left"/>
      <w:pPr>
        <w:ind w:left="8257" w:hanging="276"/>
      </w:pPr>
      <w:rPr>
        <w:rFonts w:hint="default"/>
      </w:rPr>
    </w:lvl>
    <w:lvl w:ilvl="8" w:tplc="D458BB92">
      <w:start w:val="1"/>
      <w:numFmt w:val="bullet"/>
      <w:lvlText w:val="•"/>
      <w:lvlJc w:val="left"/>
      <w:pPr>
        <w:ind w:left="9207" w:hanging="276"/>
      </w:pPr>
      <w:rPr>
        <w:rFonts w:hint="default"/>
      </w:rPr>
    </w:lvl>
  </w:abstractNum>
  <w:abstractNum w:abstractNumId="44" w15:restartNumberingAfterBreak="0">
    <w:nsid w:val="2E007169"/>
    <w:multiLevelType w:val="hybridMultilevel"/>
    <w:tmpl w:val="55DEC146"/>
    <w:lvl w:ilvl="0" w:tplc="50821B74">
      <w:start w:val="1"/>
      <w:numFmt w:val="decimal"/>
      <w:lvlText w:val="%1."/>
      <w:lvlJc w:val="left"/>
      <w:pPr>
        <w:ind w:left="1302" w:hanging="360"/>
        <w:jc w:val="right"/>
      </w:pPr>
      <w:rPr>
        <w:rFonts w:ascii="Times New Roman" w:eastAsia="Arial" w:hAnsi="Times New Roman" w:cs="Times New Roman" w:hint="default"/>
        <w:w w:val="99"/>
        <w:sz w:val="24"/>
        <w:szCs w:val="24"/>
      </w:rPr>
    </w:lvl>
    <w:lvl w:ilvl="1" w:tplc="9CE0C314">
      <w:start w:val="1"/>
      <w:numFmt w:val="bullet"/>
      <w:lvlText w:val="•"/>
      <w:lvlJc w:val="left"/>
      <w:pPr>
        <w:ind w:left="2286" w:hanging="360"/>
      </w:pPr>
      <w:rPr>
        <w:rFonts w:hint="default"/>
      </w:rPr>
    </w:lvl>
    <w:lvl w:ilvl="2" w:tplc="55287A0E">
      <w:start w:val="1"/>
      <w:numFmt w:val="bullet"/>
      <w:lvlText w:val="•"/>
      <w:lvlJc w:val="left"/>
      <w:pPr>
        <w:ind w:left="3270" w:hanging="360"/>
      </w:pPr>
      <w:rPr>
        <w:rFonts w:hint="default"/>
      </w:rPr>
    </w:lvl>
    <w:lvl w:ilvl="3" w:tplc="0B16AA46">
      <w:start w:val="1"/>
      <w:numFmt w:val="bullet"/>
      <w:lvlText w:val="•"/>
      <w:lvlJc w:val="left"/>
      <w:pPr>
        <w:ind w:left="4254" w:hanging="360"/>
      </w:pPr>
      <w:rPr>
        <w:rFonts w:hint="default"/>
      </w:rPr>
    </w:lvl>
    <w:lvl w:ilvl="4" w:tplc="AAD88BAC">
      <w:start w:val="1"/>
      <w:numFmt w:val="bullet"/>
      <w:lvlText w:val="•"/>
      <w:lvlJc w:val="left"/>
      <w:pPr>
        <w:ind w:left="5239" w:hanging="360"/>
      </w:pPr>
      <w:rPr>
        <w:rFonts w:hint="default"/>
      </w:rPr>
    </w:lvl>
    <w:lvl w:ilvl="5" w:tplc="BCE2C438">
      <w:start w:val="1"/>
      <w:numFmt w:val="bullet"/>
      <w:lvlText w:val="•"/>
      <w:lvlJc w:val="left"/>
      <w:pPr>
        <w:ind w:left="6223" w:hanging="360"/>
      </w:pPr>
      <w:rPr>
        <w:rFonts w:hint="default"/>
      </w:rPr>
    </w:lvl>
    <w:lvl w:ilvl="6" w:tplc="111E024C">
      <w:start w:val="1"/>
      <w:numFmt w:val="bullet"/>
      <w:lvlText w:val="•"/>
      <w:lvlJc w:val="left"/>
      <w:pPr>
        <w:ind w:left="7207" w:hanging="360"/>
      </w:pPr>
      <w:rPr>
        <w:rFonts w:hint="default"/>
      </w:rPr>
    </w:lvl>
    <w:lvl w:ilvl="7" w:tplc="6FE2B130">
      <w:start w:val="1"/>
      <w:numFmt w:val="bullet"/>
      <w:lvlText w:val="•"/>
      <w:lvlJc w:val="left"/>
      <w:pPr>
        <w:ind w:left="8192" w:hanging="360"/>
      </w:pPr>
      <w:rPr>
        <w:rFonts w:hint="default"/>
      </w:rPr>
    </w:lvl>
    <w:lvl w:ilvl="8" w:tplc="F8604706">
      <w:start w:val="1"/>
      <w:numFmt w:val="bullet"/>
      <w:lvlText w:val="•"/>
      <w:lvlJc w:val="left"/>
      <w:pPr>
        <w:ind w:left="9176" w:hanging="360"/>
      </w:pPr>
      <w:rPr>
        <w:rFonts w:hint="default"/>
      </w:rPr>
    </w:lvl>
  </w:abstractNum>
  <w:abstractNum w:abstractNumId="45" w15:restartNumberingAfterBreak="0">
    <w:nsid w:val="2F452A52"/>
    <w:multiLevelType w:val="hybridMultilevel"/>
    <w:tmpl w:val="A8B0F908"/>
    <w:lvl w:ilvl="0" w:tplc="3034B1EA">
      <w:start w:val="1"/>
      <w:numFmt w:val="bullet"/>
      <w:lvlText w:val="-"/>
      <w:lvlJc w:val="left"/>
      <w:pPr>
        <w:ind w:left="935" w:hanging="177"/>
      </w:pPr>
      <w:rPr>
        <w:rFonts w:ascii="Arial" w:eastAsia="Arial" w:hAnsi="Arial" w:hint="default"/>
        <w:sz w:val="20"/>
        <w:szCs w:val="20"/>
      </w:rPr>
    </w:lvl>
    <w:lvl w:ilvl="1" w:tplc="FA2E7690">
      <w:start w:val="1"/>
      <w:numFmt w:val="bullet"/>
      <w:lvlText w:val="•"/>
      <w:lvlJc w:val="left"/>
      <w:pPr>
        <w:ind w:left="1950" w:hanging="177"/>
      </w:pPr>
      <w:rPr>
        <w:rFonts w:hint="default"/>
      </w:rPr>
    </w:lvl>
    <w:lvl w:ilvl="2" w:tplc="CF8E0F4A">
      <w:start w:val="1"/>
      <w:numFmt w:val="bullet"/>
      <w:lvlText w:val="•"/>
      <w:lvlJc w:val="left"/>
      <w:pPr>
        <w:ind w:left="2966" w:hanging="177"/>
      </w:pPr>
      <w:rPr>
        <w:rFonts w:hint="default"/>
      </w:rPr>
    </w:lvl>
    <w:lvl w:ilvl="3" w:tplc="0C9034D4">
      <w:start w:val="1"/>
      <w:numFmt w:val="bullet"/>
      <w:lvlText w:val="•"/>
      <w:lvlJc w:val="left"/>
      <w:pPr>
        <w:ind w:left="3981" w:hanging="177"/>
      </w:pPr>
      <w:rPr>
        <w:rFonts w:hint="default"/>
      </w:rPr>
    </w:lvl>
    <w:lvl w:ilvl="4" w:tplc="0BCE28BE">
      <w:start w:val="1"/>
      <w:numFmt w:val="bullet"/>
      <w:lvlText w:val="•"/>
      <w:lvlJc w:val="left"/>
      <w:pPr>
        <w:ind w:left="4996" w:hanging="177"/>
      </w:pPr>
      <w:rPr>
        <w:rFonts w:hint="default"/>
      </w:rPr>
    </w:lvl>
    <w:lvl w:ilvl="5" w:tplc="6CF2FF02">
      <w:start w:val="1"/>
      <w:numFmt w:val="bullet"/>
      <w:lvlText w:val="•"/>
      <w:lvlJc w:val="left"/>
      <w:pPr>
        <w:ind w:left="6012" w:hanging="177"/>
      </w:pPr>
      <w:rPr>
        <w:rFonts w:hint="default"/>
      </w:rPr>
    </w:lvl>
    <w:lvl w:ilvl="6" w:tplc="9FBA4D62">
      <w:start w:val="1"/>
      <w:numFmt w:val="bullet"/>
      <w:lvlText w:val="•"/>
      <w:lvlJc w:val="left"/>
      <w:pPr>
        <w:ind w:left="7027" w:hanging="177"/>
      </w:pPr>
      <w:rPr>
        <w:rFonts w:hint="default"/>
      </w:rPr>
    </w:lvl>
    <w:lvl w:ilvl="7" w:tplc="2DEE5B0E">
      <w:start w:val="1"/>
      <w:numFmt w:val="bullet"/>
      <w:lvlText w:val="•"/>
      <w:lvlJc w:val="left"/>
      <w:pPr>
        <w:ind w:left="8042" w:hanging="177"/>
      </w:pPr>
      <w:rPr>
        <w:rFonts w:hint="default"/>
      </w:rPr>
    </w:lvl>
    <w:lvl w:ilvl="8" w:tplc="7E18BF40">
      <w:start w:val="1"/>
      <w:numFmt w:val="bullet"/>
      <w:lvlText w:val="•"/>
      <w:lvlJc w:val="left"/>
      <w:pPr>
        <w:ind w:left="9058" w:hanging="177"/>
      </w:pPr>
      <w:rPr>
        <w:rFonts w:hint="default"/>
      </w:rPr>
    </w:lvl>
  </w:abstractNum>
  <w:abstractNum w:abstractNumId="46" w15:restartNumberingAfterBreak="0">
    <w:nsid w:val="30490AC4"/>
    <w:multiLevelType w:val="hybridMultilevel"/>
    <w:tmpl w:val="2C426078"/>
    <w:lvl w:ilvl="0" w:tplc="561E4158">
      <w:start w:val="1"/>
      <w:numFmt w:val="decimal"/>
      <w:lvlText w:val="%1."/>
      <w:lvlJc w:val="left"/>
      <w:pPr>
        <w:ind w:left="1302" w:hanging="360"/>
        <w:jc w:val="right"/>
      </w:pPr>
      <w:rPr>
        <w:rFonts w:ascii="Times New Roman" w:eastAsia="Arial" w:hAnsi="Times New Roman" w:cs="Times New Roman" w:hint="default"/>
        <w:w w:val="99"/>
        <w:sz w:val="24"/>
        <w:szCs w:val="24"/>
      </w:rPr>
    </w:lvl>
    <w:lvl w:ilvl="1" w:tplc="FE80F8CA">
      <w:start w:val="1"/>
      <w:numFmt w:val="bullet"/>
      <w:lvlText w:val="•"/>
      <w:lvlJc w:val="left"/>
      <w:pPr>
        <w:ind w:left="2286" w:hanging="360"/>
      </w:pPr>
      <w:rPr>
        <w:rFonts w:hint="default"/>
      </w:rPr>
    </w:lvl>
    <w:lvl w:ilvl="2" w:tplc="DFA2F412">
      <w:start w:val="1"/>
      <w:numFmt w:val="bullet"/>
      <w:lvlText w:val="•"/>
      <w:lvlJc w:val="left"/>
      <w:pPr>
        <w:ind w:left="3270" w:hanging="360"/>
      </w:pPr>
      <w:rPr>
        <w:rFonts w:hint="default"/>
      </w:rPr>
    </w:lvl>
    <w:lvl w:ilvl="3" w:tplc="EA9601B8">
      <w:start w:val="1"/>
      <w:numFmt w:val="bullet"/>
      <w:lvlText w:val="•"/>
      <w:lvlJc w:val="left"/>
      <w:pPr>
        <w:ind w:left="4254" w:hanging="360"/>
      </w:pPr>
      <w:rPr>
        <w:rFonts w:hint="default"/>
      </w:rPr>
    </w:lvl>
    <w:lvl w:ilvl="4" w:tplc="3852F060">
      <w:start w:val="1"/>
      <w:numFmt w:val="bullet"/>
      <w:lvlText w:val="•"/>
      <w:lvlJc w:val="left"/>
      <w:pPr>
        <w:ind w:left="5239" w:hanging="360"/>
      </w:pPr>
      <w:rPr>
        <w:rFonts w:hint="default"/>
      </w:rPr>
    </w:lvl>
    <w:lvl w:ilvl="5" w:tplc="174E7B14">
      <w:start w:val="1"/>
      <w:numFmt w:val="bullet"/>
      <w:lvlText w:val="•"/>
      <w:lvlJc w:val="left"/>
      <w:pPr>
        <w:ind w:left="6223" w:hanging="360"/>
      </w:pPr>
      <w:rPr>
        <w:rFonts w:hint="default"/>
      </w:rPr>
    </w:lvl>
    <w:lvl w:ilvl="6" w:tplc="34ECAA40">
      <w:start w:val="1"/>
      <w:numFmt w:val="bullet"/>
      <w:lvlText w:val="•"/>
      <w:lvlJc w:val="left"/>
      <w:pPr>
        <w:ind w:left="7207" w:hanging="360"/>
      </w:pPr>
      <w:rPr>
        <w:rFonts w:hint="default"/>
      </w:rPr>
    </w:lvl>
    <w:lvl w:ilvl="7" w:tplc="0B52C9C8">
      <w:start w:val="1"/>
      <w:numFmt w:val="bullet"/>
      <w:lvlText w:val="•"/>
      <w:lvlJc w:val="left"/>
      <w:pPr>
        <w:ind w:left="8192" w:hanging="360"/>
      </w:pPr>
      <w:rPr>
        <w:rFonts w:hint="default"/>
      </w:rPr>
    </w:lvl>
    <w:lvl w:ilvl="8" w:tplc="A3B622B4">
      <w:start w:val="1"/>
      <w:numFmt w:val="bullet"/>
      <w:lvlText w:val="•"/>
      <w:lvlJc w:val="left"/>
      <w:pPr>
        <w:ind w:left="9176" w:hanging="360"/>
      </w:pPr>
      <w:rPr>
        <w:rFonts w:hint="default"/>
      </w:rPr>
    </w:lvl>
  </w:abstractNum>
  <w:abstractNum w:abstractNumId="47" w15:restartNumberingAfterBreak="0">
    <w:nsid w:val="32F7604E"/>
    <w:multiLevelType w:val="multilevel"/>
    <w:tmpl w:val="E3C45F3A"/>
    <w:lvl w:ilvl="0">
      <w:start w:val="5"/>
      <w:numFmt w:val="upperRoman"/>
      <w:lvlText w:val="%1"/>
      <w:lvlJc w:val="left"/>
      <w:pPr>
        <w:ind w:left="1511" w:hanging="710"/>
      </w:pPr>
      <w:rPr>
        <w:rFonts w:hint="default"/>
      </w:rPr>
    </w:lvl>
    <w:lvl w:ilvl="1">
      <w:start w:val="5"/>
      <w:numFmt w:val="decimal"/>
      <w:lvlText w:val="%1.%2"/>
      <w:lvlJc w:val="left"/>
      <w:pPr>
        <w:ind w:left="1511" w:hanging="710"/>
      </w:pPr>
      <w:rPr>
        <w:rFonts w:hint="default"/>
      </w:rPr>
    </w:lvl>
    <w:lvl w:ilvl="2">
      <w:start w:val="6"/>
      <w:numFmt w:val="decimal"/>
      <w:lvlText w:val="%1.%2.%3"/>
      <w:lvlJc w:val="left"/>
      <w:pPr>
        <w:ind w:left="1511" w:hanging="710"/>
      </w:pPr>
      <w:rPr>
        <w:rFonts w:ascii="Arial" w:eastAsia="Arial" w:hAnsi="Arial" w:hint="default"/>
        <w:b/>
        <w:bCs/>
        <w:sz w:val="24"/>
        <w:szCs w:val="24"/>
      </w:rPr>
    </w:lvl>
    <w:lvl w:ilvl="3">
      <w:start w:val="1"/>
      <w:numFmt w:val="bullet"/>
      <w:lvlText w:val=""/>
      <w:lvlJc w:val="left"/>
      <w:pPr>
        <w:ind w:left="1451" w:hanging="294"/>
      </w:pPr>
      <w:rPr>
        <w:rFonts w:ascii="Symbol" w:eastAsia="Symbol" w:hAnsi="Symbol" w:hint="default"/>
        <w:w w:val="99"/>
        <w:sz w:val="22"/>
        <w:szCs w:val="22"/>
      </w:rPr>
    </w:lvl>
    <w:lvl w:ilvl="4">
      <w:start w:val="1"/>
      <w:numFmt w:val="bullet"/>
      <w:lvlText w:val=""/>
      <w:lvlJc w:val="left"/>
      <w:pPr>
        <w:ind w:left="1511" w:hanging="284"/>
      </w:pPr>
      <w:rPr>
        <w:rFonts w:ascii="Symbol" w:eastAsia="Symbol" w:hAnsi="Symbol" w:hint="default"/>
        <w:w w:val="99"/>
        <w:sz w:val="22"/>
        <w:szCs w:val="22"/>
      </w:rPr>
    </w:lvl>
    <w:lvl w:ilvl="5">
      <w:start w:val="1"/>
      <w:numFmt w:val="bullet"/>
      <w:lvlText w:val="•"/>
      <w:lvlJc w:val="left"/>
      <w:pPr>
        <w:ind w:left="5704" w:hanging="284"/>
      </w:pPr>
      <w:rPr>
        <w:rFonts w:hint="default"/>
      </w:rPr>
    </w:lvl>
    <w:lvl w:ilvl="6">
      <w:start w:val="1"/>
      <w:numFmt w:val="bullet"/>
      <w:lvlText w:val="•"/>
      <w:lvlJc w:val="left"/>
      <w:pPr>
        <w:ind w:left="6752" w:hanging="284"/>
      </w:pPr>
      <w:rPr>
        <w:rFonts w:hint="default"/>
      </w:rPr>
    </w:lvl>
    <w:lvl w:ilvl="7">
      <w:start w:val="1"/>
      <w:numFmt w:val="bullet"/>
      <w:lvlText w:val="•"/>
      <w:lvlJc w:val="left"/>
      <w:pPr>
        <w:ind w:left="7800" w:hanging="284"/>
      </w:pPr>
      <w:rPr>
        <w:rFonts w:hint="default"/>
      </w:rPr>
    </w:lvl>
    <w:lvl w:ilvl="8">
      <w:start w:val="1"/>
      <w:numFmt w:val="bullet"/>
      <w:lvlText w:val="•"/>
      <w:lvlJc w:val="left"/>
      <w:pPr>
        <w:ind w:left="8848" w:hanging="284"/>
      </w:pPr>
      <w:rPr>
        <w:rFonts w:hint="default"/>
      </w:rPr>
    </w:lvl>
  </w:abstractNum>
  <w:abstractNum w:abstractNumId="48" w15:restartNumberingAfterBreak="0">
    <w:nsid w:val="33161488"/>
    <w:multiLevelType w:val="hybridMultilevel"/>
    <w:tmpl w:val="B2A86DF2"/>
    <w:lvl w:ilvl="0" w:tplc="44B666C2">
      <w:start w:val="1"/>
      <w:numFmt w:val="bullet"/>
      <w:lvlText w:val=""/>
      <w:lvlJc w:val="left"/>
      <w:pPr>
        <w:ind w:left="1462" w:hanging="294"/>
      </w:pPr>
      <w:rPr>
        <w:rFonts w:ascii="Symbol" w:eastAsia="Symbol" w:hAnsi="Symbol" w:hint="default"/>
        <w:w w:val="99"/>
        <w:sz w:val="22"/>
        <w:szCs w:val="22"/>
      </w:rPr>
    </w:lvl>
    <w:lvl w:ilvl="1" w:tplc="8CA4DD2A">
      <w:start w:val="1"/>
      <w:numFmt w:val="bullet"/>
      <w:lvlText w:val="•"/>
      <w:lvlJc w:val="left"/>
      <w:pPr>
        <w:ind w:left="2410" w:hanging="294"/>
      </w:pPr>
      <w:rPr>
        <w:rFonts w:hint="default"/>
      </w:rPr>
    </w:lvl>
    <w:lvl w:ilvl="2" w:tplc="45427DE2">
      <w:start w:val="1"/>
      <w:numFmt w:val="bullet"/>
      <w:lvlText w:val="•"/>
      <w:lvlJc w:val="left"/>
      <w:pPr>
        <w:ind w:left="3358" w:hanging="294"/>
      </w:pPr>
      <w:rPr>
        <w:rFonts w:hint="default"/>
      </w:rPr>
    </w:lvl>
    <w:lvl w:ilvl="3" w:tplc="C95C5704">
      <w:start w:val="1"/>
      <w:numFmt w:val="bullet"/>
      <w:lvlText w:val="•"/>
      <w:lvlJc w:val="left"/>
      <w:pPr>
        <w:ind w:left="4306" w:hanging="294"/>
      </w:pPr>
      <w:rPr>
        <w:rFonts w:hint="default"/>
      </w:rPr>
    </w:lvl>
    <w:lvl w:ilvl="4" w:tplc="87B0E7D6">
      <w:start w:val="1"/>
      <w:numFmt w:val="bullet"/>
      <w:lvlText w:val="•"/>
      <w:lvlJc w:val="left"/>
      <w:pPr>
        <w:ind w:left="5255" w:hanging="294"/>
      </w:pPr>
      <w:rPr>
        <w:rFonts w:hint="default"/>
      </w:rPr>
    </w:lvl>
    <w:lvl w:ilvl="5" w:tplc="8BBAEC6A">
      <w:start w:val="1"/>
      <w:numFmt w:val="bullet"/>
      <w:lvlText w:val="•"/>
      <w:lvlJc w:val="left"/>
      <w:pPr>
        <w:ind w:left="6203" w:hanging="294"/>
      </w:pPr>
      <w:rPr>
        <w:rFonts w:hint="default"/>
      </w:rPr>
    </w:lvl>
    <w:lvl w:ilvl="6" w:tplc="2A36DF04">
      <w:start w:val="1"/>
      <w:numFmt w:val="bullet"/>
      <w:lvlText w:val="•"/>
      <w:lvlJc w:val="left"/>
      <w:pPr>
        <w:ind w:left="7151" w:hanging="294"/>
      </w:pPr>
      <w:rPr>
        <w:rFonts w:hint="default"/>
      </w:rPr>
    </w:lvl>
    <w:lvl w:ilvl="7" w:tplc="56CC68D4">
      <w:start w:val="1"/>
      <w:numFmt w:val="bullet"/>
      <w:lvlText w:val="•"/>
      <w:lvlJc w:val="left"/>
      <w:pPr>
        <w:ind w:left="8100" w:hanging="294"/>
      </w:pPr>
      <w:rPr>
        <w:rFonts w:hint="default"/>
      </w:rPr>
    </w:lvl>
    <w:lvl w:ilvl="8" w:tplc="F0EE779E">
      <w:start w:val="1"/>
      <w:numFmt w:val="bullet"/>
      <w:lvlText w:val="•"/>
      <w:lvlJc w:val="left"/>
      <w:pPr>
        <w:ind w:left="9048" w:hanging="294"/>
      </w:pPr>
      <w:rPr>
        <w:rFonts w:hint="default"/>
      </w:rPr>
    </w:lvl>
  </w:abstractNum>
  <w:abstractNum w:abstractNumId="49" w15:restartNumberingAfterBreak="0">
    <w:nsid w:val="336A31B3"/>
    <w:multiLevelType w:val="hybridMultilevel"/>
    <w:tmpl w:val="371A29F0"/>
    <w:lvl w:ilvl="0" w:tplc="5818F68A">
      <w:start w:val="1"/>
      <w:numFmt w:val="decimal"/>
      <w:lvlText w:val="%1)"/>
      <w:lvlJc w:val="left"/>
      <w:pPr>
        <w:ind w:left="1168" w:hanging="426"/>
        <w:jc w:val="right"/>
      </w:pPr>
      <w:rPr>
        <w:rFonts w:ascii="Times New Roman" w:eastAsia="Arial" w:hAnsi="Times New Roman" w:cs="Times New Roman" w:hint="default"/>
        <w:w w:val="99"/>
        <w:sz w:val="24"/>
        <w:szCs w:val="24"/>
      </w:rPr>
    </w:lvl>
    <w:lvl w:ilvl="1" w:tplc="A9222720">
      <w:start w:val="1"/>
      <w:numFmt w:val="bullet"/>
      <w:lvlText w:val="•"/>
      <w:lvlJc w:val="left"/>
      <w:pPr>
        <w:ind w:left="4337" w:hanging="426"/>
      </w:pPr>
      <w:rPr>
        <w:rFonts w:hint="default"/>
      </w:rPr>
    </w:lvl>
    <w:lvl w:ilvl="2" w:tplc="776E4AB4">
      <w:start w:val="1"/>
      <w:numFmt w:val="bullet"/>
      <w:lvlText w:val="•"/>
      <w:lvlJc w:val="left"/>
      <w:pPr>
        <w:ind w:left="4495" w:hanging="426"/>
      </w:pPr>
      <w:rPr>
        <w:rFonts w:hint="default"/>
      </w:rPr>
    </w:lvl>
    <w:lvl w:ilvl="3" w:tplc="61349758">
      <w:start w:val="1"/>
      <w:numFmt w:val="bullet"/>
      <w:lvlText w:val="•"/>
      <w:lvlJc w:val="left"/>
      <w:pPr>
        <w:ind w:left="5301" w:hanging="426"/>
      </w:pPr>
      <w:rPr>
        <w:rFonts w:hint="default"/>
      </w:rPr>
    </w:lvl>
    <w:lvl w:ilvl="4" w:tplc="B5DEBA7A">
      <w:start w:val="1"/>
      <w:numFmt w:val="bullet"/>
      <w:lvlText w:val="•"/>
      <w:lvlJc w:val="left"/>
      <w:pPr>
        <w:ind w:left="6108" w:hanging="426"/>
      </w:pPr>
      <w:rPr>
        <w:rFonts w:hint="default"/>
      </w:rPr>
    </w:lvl>
    <w:lvl w:ilvl="5" w:tplc="674417F0">
      <w:start w:val="1"/>
      <w:numFmt w:val="bullet"/>
      <w:lvlText w:val="•"/>
      <w:lvlJc w:val="left"/>
      <w:pPr>
        <w:ind w:left="6914" w:hanging="426"/>
      </w:pPr>
      <w:rPr>
        <w:rFonts w:hint="default"/>
      </w:rPr>
    </w:lvl>
    <w:lvl w:ilvl="6" w:tplc="B7F02754">
      <w:start w:val="1"/>
      <w:numFmt w:val="bullet"/>
      <w:lvlText w:val="•"/>
      <w:lvlJc w:val="left"/>
      <w:pPr>
        <w:ind w:left="7721" w:hanging="426"/>
      </w:pPr>
      <w:rPr>
        <w:rFonts w:hint="default"/>
      </w:rPr>
    </w:lvl>
    <w:lvl w:ilvl="7" w:tplc="170A4062">
      <w:start w:val="1"/>
      <w:numFmt w:val="bullet"/>
      <w:lvlText w:val="•"/>
      <w:lvlJc w:val="left"/>
      <w:pPr>
        <w:ind w:left="8527" w:hanging="426"/>
      </w:pPr>
      <w:rPr>
        <w:rFonts w:hint="default"/>
      </w:rPr>
    </w:lvl>
    <w:lvl w:ilvl="8" w:tplc="65F86D00">
      <w:start w:val="1"/>
      <w:numFmt w:val="bullet"/>
      <w:lvlText w:val="•"/>
      <w:lvlJc w:val="left"/>
      <w:pPr>
        <w:ind w:left="9333" w:hanging="426"/>
      </w:pPr>
      <w:rPr>
        <w:rFonts w:hint="default"/>
      </w:rPr>
    </w:lvl>
  </w:abstractNum>
  <w:abstractNum w:abstractNumId="50" w15:restartNumberingAfterBreak="0">
    <w:nsid w:val="338366DE"/>
    <w:multiLevelType w:val="hybridMultilevel"/>
    <w:tmpl w:val="60FE6ED6"/>
    <w:lvl w:ilvl="0" w:tplc="9F203D00">
      <w:start w:val="1"/>
      <w:numFmt w:val="lowerRoman"/>
      <w:lvlText w:val="%1."/>
      <w:lvlJc w:val="left"/>
      <w:pPr>
        <w:ind w:left="742" w:hanging="184"/>
        <w:jc w:val="right"/>
      </w:pPr>
      <w:rPr>
        <w:rFonts w:ascii="Times New Roman" w:eastAsia="Arial" w:hAnsi="Times New Roman" w:cs="Times New Roman" w:hint="default"/>
        <w:b/>
        <w:bCs/>
        <w:w w:val="99"/>
        <w:sz w:val="24"/>
        <w:szCs w:val="24"/>
      </w:rPr>
    </w:lvl>
    <w:lvl w:ilvl="1" w:tplc="D128A5B4">
      <w:start w:val="1"/>
      <w:numFmt w:val="bullet"/>
      <w:lvlText w:val="•"/>
      <w:lvlJc w:val="left"/>
      <w:pPr>
        <w:ind w:left="1768" w:hanging="184"/>
      </w:pPr>
      <w:rPr>
        <w:rFonts w:hint="default"/>
      </w:rPr>
    </w:lvl>
    <w:lvl w:ilvl="2" w:tplc="98E40870">
      <w:start w:val="1"/>
      <w:numFmt w:val="bullet"/>
      <w:lvlText w:val="•"/>
      <w:lvlJc w:val="left"/>
      <w:pPr>
        <w:ind w:left="2794" w:hanging="184"/>
      </w:pPr>
      <w:rPr>
        <w:rFonts w:hint="default"/>
      </w:rPr>
    </w:lvl>
    <w:lvl w:ilvl="3" w:tplc="2D06CDA0">
      <w:start w:val="1"/>
      <w:numFmt w:val="bullet"/>
      <w:lvlText w:val="•"/>
      <w:lvlJc w:val="left"/>
      <w:pPr>
        <w:ind w:left="3820" w:hanging="184"/>
      </w:pPr>
      <w:rPr>
        <w:rFonts w:hint="default"/>
      </w:rPr>
    </w:lvl>
    <w:lvl w:ilvl="4" w:tplc="338280FA">
      <w:start w:val="1"/>
      <w:numFmt w:val="bullet"/>
      <w:lvlText w:val="•"/>
      <w:lvlJc w:val="left"/>
      <w:pPr>
        <w:ind w:left="4847" w:hanging="184"/>
      </w:pPr>
      <w:rPr>
        <w:rFonts w:hint="default"/>
      </w:rPr>
    </w:lvl>
    <w:lvl w:ilvl="5" w:tplc="9EF46798">
      <w:start w:val="1"/>
      <w:numFmt w:val="bullet"/>
      <w:lvlText w:val="•"/>
      <w:lvlJc w:val="left"/>
      <w:pPr>
        <w:ind w:left="5873" w:hanging="184"/>
      </w:pPr>
      <w:rPr>
        <w:rFonts w:hint="default"/>
      </w:rPr>
    </w:lvl>
    <w:lvl w:ilvl="6" w:tplc="B7D04836">
      <w:start w:val="1"/>
      <w:numFmt w:val="bullet"/>
      <w:lvlText w:val="•"/>
      <w:lvlJc w:val="left"/>
      <w:pPr>
        <w:ind w:left="6899" w:hanging="184"/>
      </w:pPr>
      <w:rPr>
        <w:rFonts w:hint="default"/>
      </w:rPr>
    </w:lvl>
    <w:lvl w:ilvl="7" w:tplc="8DF8FA4A">
      <w:start w:val="1"/>
      <w:numFmt w:val="bullet"/>
      <w:lvlText w:val="•"/>
      <w:lvlJc w:val="left"/>
      <w:pPr>
        <w:ind w:left="7926" w:hanging="184"/>
      </w:pPr>
      <w:rPr>
        <w:rFonts w:hint="default"/>
      </w:rPr>
    </w:lvl>
    <w:lvl w:ilvl="8" w:tplc="AA2834F2">
      <w:start w:val="1"/>
      <w:numFmt w:val="bullet"/>
      <w:lvlText w:val="•"/>
      <w:lvlJc w:val="left"/>
      <w:pPr>
        <w:ind w:left="8952" w:hanging="184"/>
      </w:pPr>
      <w:rPr>
        <w:rFonts w:hint="default"/>
      </w:rPr>
    </w:lvl>
  </w:abstractNum>
  <w:abstractNum w:abstractNumId="51" w15:restartNumberingAfterBreak="0">
    <w:nsid w:val="3446322B"/>
    <w:multiLevelType w:val="hybridMultilevel"/>
    <w:tmpl w:val="C8CA8B20"/>
    <w:lvl w:ilvl="0" w:tplc="F4448462">
      <w:start w:val="1"/>
      <w:numFmt w:val="bullet"/>
      <w:lvlText w:val=""/>
      <w:lvlJc w:val="left"/>
      <w:pPr>
        <w:ind w:left="1602" w:hanging="295"/>
      </w:pPr>
      <w:rPr>
        <w:rFonts w:ascii="Symbol" w:eastAsia="Symbol" w:hAnsi="Symbol" w:hint="default"/>
        <w:w w:val="99"/>
        <w:sz w:val="22"/>
        <w:szCs w:val="22"/>
      </w:rPr>
    </w:lvl>
    <w:lvl w:ilvl="1" w:tplc="1D74497E">
      <w:start w:val="1"/>
      <w:numFmt w:val="bullet"/>
      <w:lvlText w:val="•"/>
      <w:lvlJc w:val="left"/>
      <w:pPr>
        <w:ind w:left="2550" w:hanging="295"/>
      </w:pPr>
      <w:rPr>
        <w:rFonts w:hint="default"/>
      </w:rPr>
    </w:lvl>
    <w:lvl w:ilvl="2" w:tplc="B9B83854">
      <w:start w:val="1"/>
      <w:numFmt w:val="bullet"/>
      <w:lvlText w:val="•"/>
      <w:lvlJc w:val="left"/>
      <w:pPr>
        <w:ind w:left="3499" w:hanging="295"/>
      </w:pPr>
      <w:rPr>
        <w:rFonts w:hint="default"/>
      </w:rPr>
    </w:lvl>
    <w:lvl w:ilvl="3" w:tplc="7EBC7C98">
      <w:start w:val="1"/>
      <w:numFmt w:val="bullet"/>
      <w:lvlText w:val="•"/>
      <w:lvlJc w:val="left"/>
      <w:pPr>
        <w:ind w:left="4448" w:hanging="295"/>
      </w:pPr>
      <w:rPr>
        <w:rFonts w:hint="default"/>
      </w:rPr>
    </w:lvl>
    <w:lvl w:ilvl="4" w:tplc="71DEC7C2">
      <w:start w:val="1"/>
      <w:numFmt w:val="bullet"/>
      <w:lvlText w:val="•"/>
      <w:lvlJc w:val="left"/>
      <w:pPr>
        <w:ind w:left="5396" w:hanging="295"/>
      </w:pPr>
      <w:rPr>
        <w:rFonts w:hint="default"/>
      </w:rPr>
    </w:lvl>
    <w:lvl w:ilvl="5" w:tplc="126E8CF6">
      <w:start w:val="1"/>
      <w:numFmt w:val="bullet"/>
      <w:lvlText w:val="•"/>
      <w:lvlJc w:val="left"/>
      <w:pPr>
        <w:ind w:left="6345" w:hanging="295"/>
      </w:pPr>
      <w:rPr>
        <w:rFonts w:hint="default"/>
      </w:rPr>
    </w:lvl>
    <w:lvl w:ilvl="6" w:tplc="53BCC6D4">
      <w:start w:val="1"/>
      <w:numFmt w:val="bullet"/>
      <w:lvlText w:val="•"/>
      <w:lvlJc w:val="left"/>
      <w:pPr>
        <w:ind w:left="7294" w:hanging="295"/>
      </w:pPr>
      <w:rPr>
        <w:rFonts w:hint="default"/>
      </w:rPr>
    </w:lvl>
    <w:lvl w:ilvl="7" w:tplc="3A346C2E">
      <w:start w:val="1"/>
      <w:numFmt w:val="bullet"/>
      <w:lvlText w:val="•"/>
      <w:lvlJc w:val="left"/>
      <w:pPr>
        <w:ind w:left="8242" w:hanging="295"/>
      </w:pPr>
      <w:rPr>
        <w:rFonts w:hint="default"/>
      </w:rPr>
    </w:lvl>
    <w:lvl w:ilvl="8" w:tplc="7D40A290">
      <w:start w:val="1"/>
      <w:numFmt w:val="bullet"/>
      <w:lvlText w:val="•"/>
      <w:lvlJc w:val="left"/>
      <w:pPr>
        <w:ind w:left="9191" w:hanging="295"/>
      </w:pPr>
      <w:rPr>
        <w:rFonts w:hint="default"/>
      </w:rPr>
    </w:lvl>
  </w:abstractNum>
  <w:abstractNum w:abstractNumId="52" w15:restartNumberingAfterBreak="0">
    <w:nsid w:val="35E42F23"/>
    <w:multiLevelType w:val="hybridMultilevel"/>
    <w:tmpl w:val="A82C3CA0"/>
    <w:lvl w:ilvl="0" w:tplc="39D2B312">
      <w:start w:val="1"/>
      <w:numFmt w:val="decimal"/>
      <w:lvlText w:val="%1."/>
      <w:lvlJc w:val="left"/>
      <w:pPr>
        <w:ind w:left="1182" w:hanging="360"/>
      </w:pPr>
      <w:rPr>
        <w:rFonts w:ascii="Times New Roman" w:eastAsia="Arial" w:hAnsi="Times New Roman" w:cs="Times New Roman" w:hint="default"/>
        <w:w w:val="99"/>
        <w:sz w:val="24"/>
        <w:szCs w:val="24"/>
      </w:rPr>
    </w:lvl>
    <w:lvl w:ilvl="1" w:tplc="15664D0A">
      <w:start w:val="1"/>
      <w:numFmt w:val="bullet"/>
      <w:lvlText w:val="•"/>
      <w:lvlJc w:val="left"/>
      <w:pPr>
        <w:ind w:left="2166" w:hanging="360"/>
      </w:pPr>
      <w:rPr>
        <w:rFonts w:hint="default"/>
      </w:rPr>
    </w:lvl>
    <w:lvl w:ilvl="2" w:tplc="F83811B2">
      <w:start w:val="1"/>
      <w:numFmt w:val="bullet"/>
      <w:lvlText w:val="•"/>
      <w:lvlJc w:val="left"/>
      <w:pPr>
        <w:ind w:left="3150" w:hanging="360"/>
      </w:pPr>
      <w:rPr>
        <w:rFonts w:hint="default"/>
      </w:rPr>
    </w:lvl>
    <w:lvl w:ilvl="3" w:tplc="5D1C50F6">
      <w:start w:val="1"/>
      <w:numFmt w:val="bullet"/>
      <w:lvlText w:val="•"/>
      <w:lvlJc w:val="left"/>
      <w:pPr>
        <w:ind w:left="4135" w:hanging="360"/>
      </w:pPr>
      <w:rPr>
        <w:rFonts w:hint="default"/>
      </w:rPr>
    </w:lvl>
    <w:lvl w:ilvl="4" w:tplc="4D62112E">
      <w:start w:val="1"/>
      <w:numFmt w:val="bullet"/>
      <w:lvlText w:val="•"/>
      <w:lvlJc w:val="left"/>
      <w:pPr>
        <w:ind w:left="5119" w:hanging="360"/>
      </w:pPr>
      <w:rPr>
        <w:rFonts w:hint="default"/>
      </w:rPr>
    </w:lvl>
    <w:lvl w:ilvl="5" w:tplc="5BF2CC74">
      <w:start w:val="1"/>
      <w:numFmt w:val="bullet"/>
      <w:lvlText w:val="•"/>
      <w:lvlJc w:val="left"/>
      <w:pPr>
        <w:ind w:left="6104" w:hanging="360"/>
      </w:pPr>
      <w:rPr>
        <w:rFonts w:hint="default"/>
      </w:rPr>
    </w:lvl>
    <w:lvl w:ilvl="6" w:tplc="371A6374">
      <w:start w:val="1"/>
      <w:numFmt w:val="bullet"/>
      <w:lvlText w:val="•"/>
      <w:lvlJc w:val="left"/>
      <w:pPr>
        <w:ind w:left="7088" w:hanging="360"/>
      </w:pPr>
      <w:rPr>
        <w:rFonts w:hint="default"/>
      </w:rPr>
    </w:lvl>
    <w:lvl w:ilvl="7" w:tplc="C5CCD116">
      <w:start w:val="1"/>
      <w:numFmt w:val="bullet"/>
      <w:lvlText w:val="•"/>
      <w:lvlJc w:val="left"/>
      <w:pPr>
        <w:ind w:left="8073" w:hanging="360"/>
      </w:pPr>
      <w:rPr>
        <w:rFonts w:hint="default"/>
      </w:rPr>
    </w:lvl>
    <w:lvl w:ilvl="8" w:tplc="D21E65A6">
      <w:start w:val="1"/>
      <w:numFmt w:val="bullet"/>
      <w:lvlText w:val="•"/>
      <w:lvlJc w:val="left"/>
      <w:pPr>
        <w:ind w:left="9057" w:hanging="360"/>
      </w:pPr>
      <w:rPr>
        <w:rFonts w:hint="default"/>
      </w:rPr>
    </w:lvl>
  </w:abstractNum>
  <w:abstractNum w:abstractNumId="53" w15:restartNumberingAfterBreak="0">
    <w:nsid w:val="395A6977"/>
    <w:multiLevelType w:val="hybridMultilevel"/>
    <w:tmpl w:val="2FB6E90A"/>
    <w:lvl w:ilvl="0" w:tplc="C40E078E">
      <w:start w:val="1"/>
      <w:numFmt w:val="lowerRoman"/>
      <w:lvlText w:val="%1."/>
      <w:lvlJc w:val="left"/>
      <w:pPr>
        <w:ind w:left="1463" w:hanging="252"/>
      </w:pPr>
      <w:rPr>
        <w:rFonts w:ascii="Times New Roman" w:eastAsia="Arial" w:hAnsi="Times New Roman" w:cs="Times New Roman" w:hint="default"/>
        <w:w w:val="99"/>
        <w:sz w:val="24"/>
        <w:szCs w:val="24"/>
      </w:rPr>
    </w:lvl>
    <w:lvl w:ilvl="1" w:tplc="E0687C6E">
      <w:start w:val="1"/>
      <w:numFmt w:val="bullet"/>
      <w:lvlText w:val="•"/>
      <w:lvlJc w:val="left"/>
      <w:pPr>
        <w:ind w:left="2411" w:hanging="252"/>
      </w:pPr>
      <w:rPr>
        <w:rFonts w:hint="default"/>
      </w:rPr>
    </w:lvl>
    <w:lvl w:ilvl="2" w:tplc="EF6477DE">
      <w:start w:val="1"/>
      <w:numFmt w:val="bullet"/>
      <w:lvlText w:val="•"/>
      <w:lvlJc w:val="left"/>
      <w:pPr>
        <w:ind w:left="3359" w:hanging="252"/>
      </w:pPr>
      <w:rPr>
        <w:rFonts w:hint="default"/>
      </w:rPr>
    </w:lvl>
    <w:lvl w:ilvl="3" w:tplc="E416BB18">
      <w:start w:val="1"/>
      <w:numFmt w:val="bullet"/>
      <w:lvlText w:val="•"/>
      <w:lvlJc w:val="left"/>
      <w:pPr>
        <w:ind w:left="4307" w:hanging="252"/>
      </w:pPr>
      <w:rPr>
        <w:rFonts w:hint="default"/>
      </w:rPr>
    </w:lvl>
    <w:lvl w:ilvl="4" w:tplc="2E04D5E0">
      <w:start w:val="1"/>
      <w:numFmt w:val="bullet"/>
      <w:lvlText w:val="•"/>
      <w:lvlJc w:val="left"/>
      <w:pPr>
        <w:ind w:left="5256" w:hanging="252"/>
      </w:pPr>
      <w:rPr>
        <w:rFonts w:hint="default"/>
      </w:rPr>
    </w:lvl>
    <w:lvl w:ilvl="5" w:tplc="8B3A9104">
      <w:start w:val="1"/>
      <w:numFmt w:val="bullet"/>
      <w:lvlText w:val="•"/>
      <w:lvlJc w:val="left"/>
      <w:pPr>
        <w:ind w:left="6204" w:hanging="252"/>
      </w:pPr>
      <w:rPr>
        <w:rFonts w:hint="default"/>
      </w:rPr>
    </w:lvl>
    <w:lvl w:ilvl="6" w:tplc="E1B2246E">
      <w:start w:val="1"/>
      <w:numFmt w:val="bullet"/>
      <w:lvlText w:val="•"/>
      <w:lvlJc w:val="left"/>
      <w:pPr>
        <w:ind w:left="7152" w:hanging="252"/>
      </w:pPr>
      <w:rPr>
        <w:rFonts w:hint="default"/>
      </w:rPr>
    </w:lvl>
    <w:lvl w:ilvl="7" w:tplc="DAA0D724">
      <w:start w:val="1"/>
      <w:numFmt w:val="bullet"/>
      <w:lvlText w:val="•"/>
      <w:lvlJc w:val="left"/>
      <w:pPr>
        <w:ind w:left="8100" w:hanging="252"/>
      </w:pPr>
      <w:rPr>
        <w:rFonts w:hint="default"/>
      </w:rPr>
    </w:lvl>
    <w:lvl w:ilvl="8" w:tplc="0F687572">
      <w:start w:val="1"/>
      <w:numFmt w:val="bullet"/>
      <w:lvlText w:val="•"/>
      <w:lvlJc w:val="left"/>
      <w:pPr>
        <w:ind w:left="9048" w:hanging="252"/>
      </w:pPr>
      <w:rPr>
        <w:rFonts w:hint="default"/>
      </w:rPr>
    </w:lvl>
  </w:abstractNum>
  <w:abstractNum w:abstractNumId="54" w15:restartNumberingAfterBreak="0">
    <w:nsid w:val="3A825B8A"/>
    <w:multiLevelType w:val="hybridMultilevel"/>
    <w:tmpl w:val="02F25C32"/>
    <w:lvl w:ilvl="0" w:tplc="5EC8912C">
      <w:start w:val="1"/>
      <w:numFmt w:val="decimal"/>
      <w:lvlText w:val="%1."/>
      <w:lvlJc w:val="left"/>
      <w:pPr>
        <w:ind w:left="1281" w:hanging="360"/>
      </w:pPr>
      <w:rPr>
        <w:rFonts w:ascii="Times New Roman" w:eastAsia="Arial" w:hAnsi="Times New Roman" w:cs="Times New Roman" w:hint="default"/>
        <w:w w:val="99"/>
        <w:sz w:val="24"/>
        <w:szCs w:val="24"/>
      </w:rPr>
    </w:lvl>
    <w:lvl w:ilvl="1" w:tplc="F5D826B4">
      <w:start w:val="1"/>
      <w:numFmt w:val="bullet"/>
      <w:lvlText w:val="•"/>
      <w:lvlJc w:val="left"/>
      <w:pPr>
        <w:ind w:left="2266" w:hanging="360"/>
      </w:pPr>
      <w:rPr>
        <w:rFonts w:hint="default"/>
      </w:rPr>
    </w:lvl>
    <w:lvl w:ilvl="2" w:tplc="3B162D7C">
      <w:start w:val="1"/>
      <w:numFmt w:val="bullet"/>
      <w:lvlText w:val="•"/>
      <w:lvlJc w:val="left"/>
      <w:pPr>
        <w:ind w:left="3251" w:hanging="360"/>
      </w:pPr>
      <w:rPr>
        <w:rFonts w:hint="default"/>
      </w:rPr>
    </w:lvl>
    <w:lvl w:ilvl="3" w:tplc="716A769C">
      <w:start w:val="1"/>
      <w:numFmt w:val="bullet"/>
      <w:lvlText w:val="•"/>
      <w:lvlJc w:val="left"/>
      <w:pPr>
        <w:ind w:left="4235" w:hanging="360"/>
      </w:pPr>
      <w:rPr>
        <w:rFonts w:hint="default"/>
      </w:rPr>
    </w:lvl>
    <w:lvl w:ilvl="4" w:tplc="BD6A46A8">
      <w:start w:val="1"/>
      <w:numFmt w:val="bullet"/>
      <w:lvlText w:val="•"/>
      <w:lvlJc w:val="left"/>
      <w:pPr>
        <w:ind w:left="5220" w:hanging="360"/>
      </w:pPr>
      <w:rPr>
        <w:rFonts w:hint="default"/>
      </w:rPr>
    </w:lvl>
    <w:lvl w:ilvl="5" w:tplc="E954BDD0">
      <w:start w:val="1"/>
      <w:numFmt w:val="bullet"/>
      <w:lvlText w:val="•"/>
      <w:lvlJc w:val="left"/>
      <w:pPr>
        <w:ind w:left="6205" w:hanging="360"/>
      </w:pPr>
      <w:rPr>
        <w:rFonts w:hint="default"/>
      </w:rPr>
    </w:lvl>
    <w:lvl w:ilvl="6" w:tplc="69E2964C">
      <w:start w:val="1"/>
      <w:numFmt w:val="bullet"/>
      <w:lvlText w:val="•"/>
      <w:lvlJc w:val="left"/>
      <w:pPr>
        <w:ind w:left="7189" w:hanging="360"/>
      </w:pPr>
      <w:rPr>
        <w:rFonts w:hint="default"/>
      </w:rPr>
    </w:lvl>
    <w:lvl w:ilvl="7" w:tplc="44CCB6C6">
      <w:start w:val="1"/>
      <w:numFmt w:val="bullet"/>
      <w:lvlText w:val="•"/>
      <w:lvlJc w:val="left"/>
      <w:pPr>
        <w:ind w:left="8174" w:hanging="360"/>
      </w:pPr>
      <w:rPr>
        <w:rFonts w:hint="default"/>
      </w:rPr>
    </w:lvl>
    <w:lvl w:ilvl="8" w:tplc="3F6EE1D4">
      <w:start w:val="1"/>
      <w:numFmt w:val="bullet"/>
      <w:lvlText w:val="•"/>
      <w:lvlJc w:val="left"/>
      <w:pPr>
        <w:ind w:left="9159" w:hanging="360"/>
      </w:pPr>
      <w:rPr>
        <w:rFonts w:hint="default"/>
      </w:rPr>
    </w:lvl>
  </w:abstractNum>
  <w:abstractNum w:abstractNumId="55" w15:restartNumberingAfterBreak="0">
    <w:nsid w:val="3B864B7B"/>
    <w:multiLevelType w:val="multilevel"/>
    <w:tmpl w:val="6B66B000"/>
    <w:lvl w:ilvl="0">
      <w:start w:val="6"/>
      <w:numFmt w:val="upperRoman"/>
      <w:lvlText w:val="%1"/>
      <w:lvlJc w:val="left"/>
      <w:pPr>
        <w:ind w:left="1500" w:hanging="798"/>
      </w:pPr>
      <w:rPr>
        <w:rFonts w:hint="default"/>
      </w:rPr>
    </w:lvl>
    <w:lvl w:ilvl="1">
      <w:start w:val="5"/>
      <w:numFmt w:val="decimal"/>
      <w:lvlText w:val="%1.%2"/>
      <w:lvlJc w:val="left"/>
      <w:pPr>
        <w:ind w:left="1500" w:hanging="798"/>
      </w:pPr>
      <w:rPr>
        <w:rFonts w:ascii="Arial" w:eastAsia="Arial" w:hAnsi="Arial" w:hint="default"/>
        <w:b/>
        <w:bCs/>
        <w:spacing w:val="-1"/>
        <w:sz w:val="32"/>
        <w:szCs w:val="32"/>
      </w:rPr>
    </w:lvl>
    <w:lvl w:ilvl="2">
      <w:start w:val="1"/>
      <w:numFmt w:val="decimal"/>
      <w:lvlText w:val="%1.%2.%3"/>
      <w:lvlJc w:val="left"/>
      <w:pPr>
        <w:ind w:left="1411" w:hanging="710"/>
      </w:pPr>
      <w:rPr>
        <w:rFonts w:ascii="Arial" w:eastAsia="Arial" w:hAnsi="Arial" w:hint="default"/>
        <w:b/>
        <w:bCs/>
        <w:sz w:val="24"/>
        <w:szCs w:val="24"/>
      </w:rPr>
    </w:lvl>
    <w:lvl w:ilvl="3">
      <w:start w:val="1"/>
      <w:numFmt w:val="decimal"/>
      <w:lvlText w:val="%4."/>
      <w:lvlJc w:val="left"/>
      <w:pPr>
        <w:ind w:left="1168" w:hanging="342"/>
        <w:jc w:val="right"/>
      </w:pPr>
      <w:rPr>
        <w:rFonts w:ascii="Times New Roman" w:eastAsia="Arial" w:hAnsi="Times New Roman" w:cs="Times New Roman" w:hint="default"/>
        <w:b/>
        <w:bCs/>
        <w:spacing w:val="-1"/>
        <w:sz w:val="24"/>
        <w:szCs w:val="24"/>
      </w:rPr>
    </w:lvl>
    <w:lvl w:ilvl="4">
      <w:start w:val="1"/>
      <w:numFmt w:val="bullet"/>
      <w:lvlText w:val=""/>
      <w:lvlJc w:val="left"/>
      <w:pPr>
        <w:ind w:left="1462" w:hanging="294"/>
      </w:pPr>
      <w:rPr>
        <w:rFonts w:ascii="Symbol" w:eastAsia="Symbol" w:hAnsi="Symbol" w:hint="default"/>
        <w:w w:val="99"/>
        <w:sz w:val="22"/>
        <w:szCs w:val="22"/>
      </w:rPr>
    </w:lvl>
    <w:lvl w:ilvl="5">
      <w:start w:val="1"/>
      <w:numFmt w:val="bullet"/>
      <w:lvlText w:val=""/>
      <w:lvlJc w:val="left"/>
      <w:pPr>
        <w:ind w:left="1822" w:hanging="360"/>
      </w:pPr>
      <w:rPr>
        <w:rFonts w:ascii="Symbol" w:eastAsia="Symbol" w:hAnsi="Symbol" w:hint="default"/>
        <w:w w:val="99"/>
        <w:sz w:val="22"/>
        <w:szCs w:val="22"/>
      </w:rPr>
    </w:lvl>
    <w:lvl w:ilvl="6">
      <w:start w:val="1"/>
      <w:numFmt w:val="bullet"/>
      <w:lvlText w:val="•"/>
      <w:lvlJc w:val="left"/>
      <w:pPr>
        <w:ind w:left="3638" w:hanging="360"/>
      </w:pPr>
      <w:rPr>
        <w:rFonts w:hint="default"/>
      </w:rPr>
    </w:lvl>
    <w:lvl w:ilvl="7">
      <w:start w:val="1"/>
      <w:numFmt w:val="bullet"/>
      <w:lvlText w:val="•"/>
      <w:lvlJc w:val="left"/>
      <w:pPr>
        <w:ind w:left="5455" w:hanging="360"/>
      </w:pPr>
      <w:rPr>
        <w:rFonts w:hint="default"/>
      </w:rPr>
    </w:lvl>
    <w:lvl w:ilvl="8">
      <w:start w:val="1"/>
      <w:numFmt w:val="bullet"/>
      <w:lvlText w:val="•"/>
      <w:lvlJc w:val="left"/>
      <w:pPr>
        <w:ind w:left="7271" w:hanging="360"/>
      </w:pPr>
      <w:rPr>
        <w:rFonts w:hint="default"/>
      </w:rPr>
    </w:lvl>
  </w:abstractNum>
  <w:abstractNum w:abstractNumId="56" w15:restartNumberingAfterBreak="0">
    <w:nsid w:val="3C030158"/>
    <w:multiLevelType w:val="hybridMultilevel"/>
    <w:tmpl w:val="70FE1F3A"/>
    <w:lvl w:ilvl="0" w:tplc="69204E00">
      <w:start w:val="1"/>
      <w:numFmt w:val="bullet"/>
      <w:lvlText w:val=""/>
      <w:lvlJc w:val="left"/>
      <w:pPr>
        <w:ind w:left="1462" w:hanging="360"/>
      </w:pPr>
      <w:rPr>
        <w:rFonts w:ascii="Symbol" w:eastAsia="Symbol" w:hAnsi="Symbol" w:hint="default"/>
        <w:w w:val="99"/>
        <w:sz w:val="22"/>
        <w:szCs w:val="22"/>
      </w:rPr>
    </w:lvl>
    <w:lvl w:ilvl="1" w:tplc="BEA8DDE4">
      <w:start w:val="1"/>
      <w:numFmt w:val="bullet"/>
      <w:lvlText w:val="•"/>
      <w:lvlJc w:val="left"/>
      <w:pPr>
        <w:ind w:left="2410" w:hanging="360"/>
      </w:pPr>
      <w:rPr>
        <w:rFonts w:hint="default"/>
      </w:rPr>
    </w:lvl>
    <w:lvl w:ilvl="2" w:tplc="35987F38">
      <w:start w:val="1"/>
      <w:numFmt w:val="bullet"/>
      <w:lvlText w:val="•"/>
      <w:lvlJc w:val="left"/>
      <w:pPr>
        <w:ind w:left="3358" w:hanging="360"/>
      </w:pPr>
      <w:rPr>
        <w:rFonts w:hint="default"/>
      </w:rPr>
    </w:lvl>
    <w:lvl w:ilvl="3" w:tplc="0CD6EF50">
      <w:start w:val="1"/>
      <w:numFmt w:val="bullet"/>
      <w:lvlText w:val="•"/>
      <w:lvlJc w:val="left"/>
      <w:pPr>
        <w:ind w:left="4307" w:hanging="360"/>
      </w:pPr>
      <w:rPr>
        <w:rFonts w:hint="default"/>
      </w:rPr>
    </w:lvl>
    <w:lvl w:ilvl="4" w:tplc="510467D6">
      <w:start w:val="1"/>
      <w:numFmt w:val="bullet"/>
      <w:lvlText w:val="•"/>
      <w:lvlJc w:val="left"/>
      <w:pPr>
        <w:ind w:left="5255" w:hanging="360"/>
      </w:pPr>
      <w:rPr>
        <w:rFonts w:hint="default"/>
      </w:rPr>
    </w:lvl>
    <w:lvl w:ilvl="5" w:tplc="12F83208">
      <w:start w:val="1"/>
      <w:numFmt w:val="bullet"/>
      <w:lvlText w:val="•"/>
      <w:lvlJc w:val="left"/>
      <w:pPr>
        <w:ind w:left="6204" w:hanging="360"/>
      </w:pPr>
      <w:rPr>
        <w:rFonts w:hint="default"/>
      </w:rPr>
    </w:lvl>
    <w:lvl w:ilvl="6" w:tplc="B77A6DAE">
      <w:start w:val="1"/>
      <w:numFmt w:val="bullet"/>
      <w:lvlText w:val="•"/>
      <w:lvlJc w:val="left"/>
      <w:pPr>
        <w:ind w:left="7152" w:hanging="360"/>
      </w:pPr>
      <w:rPr>
        <w:rFonts w:hint="default"/>
      </w:rPr>
    </w:lvl>
    <w:lvl w:ilvl="7" w:tplc="2962EF5A">
      <w:start w:val="1"/>
      <w:numFmt w:val="bullet"/>
      <w:lvlText w:val="•"/>
      <w:lvlJc w:val="left"/>
      <w:pPr>
        <w:ind w:left="8101" w:hanging="360"/>
      </w:pPr>
      <w:rPr>
        <w:rFonts w:hint="default"/>
      </w:rPr>
    </w:lvl>
    <w:lvl w:ilvl="8" w:tplc="D51E5DAE">
      <w:start w:val="1"/>
      <w:numFmt w:val="bullet"/>
      <w:lvlText w:val="•"/>
      <w:lvlJc w:val="left"/>
      <w:pPr>
        <w:ind w:left="9049" w:hanging="360"/>
      </w:pPr>
      <w:rPr>
        <w:rFonts w:hint="default"/>
      </w:rPr>
    </w:lvl>
  </w:abstractNum>
  <w:abstractNum w:abstractNumId="57" w15:restartNumberingAfterBreak="0">
    <w:nsid w:val="3C0E2A4D"/>
    <w:multiLevelType w:val="hybridMultilevel"/>
    <w:tmpl w:val="2B40A3DE"/>
    <w:lvl w:ilvl="0" w:tplc="0C4897FC">
      <w:start w:val="1"/>
      <w:numFmt w:val="lowerLetter"/>
      <w:lvlText w:val="%1)"/>
      <w:lvlJc w:val="left"/>
      <w:pPr>
        <w:ind w:left="1602" w:hanging="295"/>
      </w:pPr>
      <w:rPr>
        <w:rFonts w:ascii="Times New Roman" w:eastAsia="Arial" w:hAnsi="Times New Roman" w:cs="Times New Roman" w:hint="default"/>
        <w:w w:val="99"/>
        <w:sz w:val="24"/>
        <w:szCs w:val="24"/>
      </w:rPr>
    </w:lvl>
    <w:lvl w:ilvl="1" w:tplc="A914F10A">
      <w:start w:val="1"/>
      <w:numFmt w:val="bullet"/>
      <w:lvlText w:val="•"/>
      <w:lvlJc w:val="left"/>
      <w:pPr>
        <w:ind w:left="2550" w:hanging="295"/>
      </w:pPr>
      <w:rPr>
        <w:rFonts w:hint="default"/>
      </w:rPr>
    </w:lvl>
    <w:lvl w:ilvl="2" w:tplc="B8122C86">
      <w:start w:val="1"/>
      <w:numFmt w:val="bullet"/>
      <w:lvlText w:val="•"/>
      <w:lvlJc w:val="left"/>
      <w:pPr>
        <w:ind w:left="3499" w:hanging="295"/>
      </w:pPr>
      <w:rPr>
        <w:rFonts w:hint="default"/>
      </w:rPr>
    </w:lvl>
    <w:lvl w:ilvl="3" w:tplc="57167B32">
      <w:start w:val="1"/>
      <w:numFmt w:val="bullet"/>
      <w:lvlText w:val="•"/>
      <w:lvlJc w:val="left"/>
      <w:pPr>
        <w:ind w:left="4448" w:hanging="295"/>
      </w:pPr>
      <w:rPr>
        <w:rFonts w:hint="default"/>
      </w:rPr>
    </w:lvl>
    <w:lvl w:ilvl="4" w:tplc="C0C24D52">
      <w:start w:val="1"/>
      <w:numFmt w:val="bullet"/>
      <w:lvlText w:val="•"/>
      <w:lvlJc w:val="left"/>
      <w:pPr>
        <w:ind w:left="5396" w:hanging="295"/>
      </w:pPr>
      <w:rPr>
        <w:rFonts w:hint="default"/>
      </w:rPr>
    </w:lvl>
    <w:lvl w:ilvl="5" w:tplc="AF026B2E">
      <w:start w:val="1"/>
      <w:numFmt w:val="bullet"/>
      <w:lvlText w:val="•"/>
      <w:lvlJc w:val="left"/>
      <w:pPr>
        <w:ind w:left="6345" w:hanging="295"/>
      </w:pPr>
      <w:rPr>
        <w:rFonts w:hint="default"/>
      </w:rPr>
    </w:lvl>
    <w:lvl w:ilvl="6" w:tplc="4E10290E">
      <w:start w:val="1"/>
      <w:numFmt w:val="bullet"/>
      <w:lvlText w:val="•"/>
      <w:lvlJc w:val="left"/>
      <w:pPr>
        <w:ind w:left="7294" w:hanging="295"/>
      </w:pPr>
      <w:rPr>
        <w:rFonts w:hint="default"/>
      </w:rPr>
    </w:lvl>
    <w:lvl w:ilvl="7" w:tplc="501A8486">
      <w:start w:val="1"/>
      <w:numFmt w:val="bullet"/>
      <w:lvlText w:val="•"/>
      <w:lvlJc w:val="left"/>
      <w:pPr>
        <w:ind w:left="8242" w:hanging="295"/>
      </w:pPr>
      <w:rPr>
        <w:rFonts w:hint="default"/>
      </w:rPr>
    </w:lvl>
    <w:lvl w:ilvl="8" w:tplc="B23A1026">
      <w:start w:val="1"/>
      <w:numFmt w:val="bullet"/>
      <w:lvlText w:val="•"/>
      <w:lvlJc w:val="left"/>
      <w:pPr>
        <w:ind w:left="9191" w:hanging="295"/>
      </w:pPr>
      <w:rPr>
        <w:rFonts w:hint="default"/>
      </w:rPr>
    </w:lvl>
  </w:abstractNum>
  <w:abstractNum w:abstractNumId="58" w15:restartNumberingAfterBreak="0">
    <w:nsid w:val="3C5841C4"/>
    <w:multiLevelType w:val="hybridMultilevel"/>
    <w:tmpl w:val="4670C0B4"/>
    <w:lvl w:ilvl="0" w:tplc="DF6E2F4C">
      <w:start w:val="24"/>
      <w:numFmt w:val="decimal"/>
      <w:lvlText w:val="%1."/>
      <w:lvlJc w:val="left"/>
      <w:pPr>
        <w:ind w:left="1241" w:hanging="360"/>
      </w:pPr>
      <w:rPr>
        <w:rFonts w:ascii="Times New Roman" w:eastAsia="Arial" w:hAnsi="Times New Roman" w:cs="Times New Roman" w:hint="default"/>
        <w:w w:val="99"/>
        <w:sz w:val="24"/>
        <w:szCs w:val="24"/>
      </w:rPr>
    </w:lvl>
    <w:lvl w:ilvl="1" w:tplc="2D406452">
      <w:start w:val="1"/>
      <w:numFmt w:val="decimal"/>
      <w:lvlText w:val="%2."/>
      <w:lvlJc w:val="left"/>
      <w:pPr>
        <w:ind w:left="2340" w:hanging="852"/>
      </w:pPr>
      <w:rPr>
        <w:rFonts w:ascii="Times New Roman" w:eastAsia="Arial" w:hAnsi="Times New Roman" w:cs="Times New Roman" w:hint="default"/>
        <w:w w:val="99"/>
        <w:sz w:val="24"/>
        <w:szCs w:val="24"/>
      </w:rPr>
    </w:lvl>
    <w:lvl w:ilvl="2" w:tplc="CACC7CD2">
      <w:start w:val="1"/>
      <w:numFmt w:val="bullet"/>
      <w:lvlText w:val="-"/>
      <w:lvlJc w:val="left"/>
      <w:pPr>
        <w:ind w:left="2765" w:hanging="425"/>
      </w:pPr>
      <w:rPr>
        <w:rFonts w:ascii="Courier New" w:eastAsia="Courier New" w:hAnsi="Courier New" w:hint="default"/>
        <w:w w:val="99"/>
        <w:sz w:val="22"/>
        <w:szCs w:val="22"/>
      </w:rPr>
    </w:lvl>
    <w:lvl w:ilvl="3" w:tplc="F8209A30">
      <w:start w:val="1"/>
      <w:numFmt w:val="bullet"/>
      <w:lvlText w:val="•"/>
      <w:lvlJc w:val="left"/>
      <w:pPr>
        <w:ind w:left="3805" w:hanging="425"/>
      </w:pPr>
      <w:rPr>
        <w:rFonts w:hint="default"/>
      </w:rPr>
    </w:lvl>
    <w:lvl w:ilvl="4" w:tplc="B2608BBC">
      <w:start w:val="1"/>
      <w:numFmt w:val="bullet"/>
      <w:lvlText w:val="•"/>
      <w:lvlJc w:val="left"/>
      <w:pPr>
        <w:ind w:left="4846" w:hanging="425"/>
      </w:pPr>
      <w:rPr>
        <w:rFonts w:hint="default"/>
      </w:rPr>
    </w:lvl>
    <w:lvl w:ilvl="5" w:tplc="15D291AE">
      <w:start w:val="1"/>
      <w:numFmt w:val="bullet"/>
      <w:lvlText w:val="•"/>
      <w:lvlJc w:val="left"/>
      <w:pPr>
        <w:ind w:left="5886" w:hanging="425"/>
      </w:pPr>
      <w:rPr>
        <w:rFonts w:hint="default"/>
      </w:rPr>
    </w:lvl>
    <w:lvl w:ilvl="6" w:tplc="6504A154">
      <w:start w:val="1"/>
      <w:numFmt w:val="bullet"/>
      <w:lvlText w:val="•"/>
      <w:lvlJc w:val="left"/>
      <w:pPr>
        <w:ind w:left="6927" w:hanging="425"/>
      </w:pPr>
      <w:rPr>
        <w:rFonts w:hint="default"/>
      </w:rPr>
    </w:lvl>
    <w:lvl w:ilvl="7" w:tplc="98022812">
      <w:start w:val="1"/>
      <w:numFmt w:val="bullet"/>
      <w:lvlText w:val="•"/>
      <w:lvlJc w:val="left"/>
      <w:pPr>
        <w:ind w:left="7967" w:hanging="425"/>
      </w:pPr>
      <w:rPr>
        <w:rFonts w:hint="default"/>
      </w:rPr>
    </w:lvl>
    <w:lvl w:ilvl="8" w:tplc="AB94FB44">
      <w:start w:val="1"/>
      <w:numFmt w:val="bullet"/>
      <w:lvlText w:val="•"/>
      <w:lvlJc w:val="left"/>
      <w:pPr>
        <w:ind w:left="9007" w:hanging="425"/>
      </w:pPr>
      <w:rPr>
        <w:rFonts w:hint="default"/>
      </w:rPr>
    </w:lvl>
  </w:abstractNum>
  <w:abstractNum w:abstractNumId="59" w15:restartNumberingAfterBreak="0">
    <w:nsid w:val="3CA95BC3"/>
    <w:multiLevelType w:val="hybridMultilevel"/>
    <w:tmpl w:val="678000AC"/>
    <w:lvl w:ilvl="0" w:tplc="1DBABCA4">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34BCA0FC">
      <w:start w:val="1"/>
      <w:numFmt w:val="bullet"/>
      <w:lvlText w:val=""/>
      <w:lvlJc w:val="left"/>
      <w:pPr>
        <w:ind w:left="1462" w:hanging="294"/>
      </w:pPr>
      <w:rPr>
        <w:rFonts w:ascii="Symbol" w:eastAsia="Symbol" w:hAnsi="Symbol" w:hint="default"/>
        <w:w w:val="99"/>
        <w:sz w:val="22"/>
        <w:szCs w:val="22"/>
      </w:rPr>
    </w:lvl>
    <w:lvl w:ilvl="2" w:tplc="55D2BCEC">
      <w:start w:val="1"/>
      <w:numFmt w:val="bullet"/>
      <w:lvlText w:val="•"/>
      <w:lvlJc w:val="left"/>
      <w:pPr>
        <w:ind w:left="1522" w:hanging="294"/>
      </w:pPr>
      <w:rPr>
        <w:rFonts w:hint="default"/>
      </w:rPr>
    </w:lvl>
    <w:lvl w:ilvl="3" w:tplc="20DC1E86">
      <w:start w:val="1"/>
      <w:numFmt w:val="bullet"/>
      <w:lvlText w:val="•"/>
      <w:lvlJc w:val="left"/>
      <w:pPr>
        <w:ind w:left="2699" w:hanging="294"/>
      </w:pPr>
      <w:rPr>
        <w:rFonts w:hint="default"/>
      </w:rPr>
    </w:lvl>
    <w:lvl w:ilvl="4" w:tplc="7B08678A">
      <w:start w:val="1"/>
      <w:numFmt w:val="bullet"/>
      <w:lvlText w:val="•"/>
      <w:lvlJc w:val="left"/>
      <w:pPr>
        <w:ind w:left="3877" w:hanging="294"/>
      </w:pPr>
      <w:rPr>
        <w:rFonts w:hint="default"/>
      </w:rPr>
    </w:lvl>
    <w:lvl w:ilvl="5" w:tplc="B5F87AE8">
      <w:start w:val="1"/>
      <w:numFmt w:val="bullet"/>
      <w:lvlText w:val="•"/>
      <w:lvlJc w:val="left"/>
      <w:pPr>
        <w:ind w:left="5055" w:hanging="294"/>
      </w:pPr>
      <w:rPr>
        <w:rFonts w:hint="default"/>
      </w:rPr>
    </w:lvl>
    <w:lvl w:ilvl="6" w:tplc="8FFE71F8">
      <w:start w:val="1"/>
      <w:numFmt w:val="bullet"/>
      <w:lvlText w:val="•"/>
      <w:lvlJc w:val="left"/>
      <w:pPr>
        <w:ind w:left="6233" w:hanging="294"/>
      </w:pPr>
      <w:rPr>
        <w:rFonts w:hint="default"/>
      </w:rPr>
    </w:lvl>
    <w:lvl w:ilvl="7" w:tplc="8FD08C34">
      <w:start w:val="1"/>
      <w:numFmt w:val="bullet"/>
      <w:lvlText w:val="•"/>
      <w:lvlJc w:val="left"/>
      <w:pPr>
        <w:ind w:left="7411" w:hanging="294"/>
      </w:pPr>
      <w:rPr>
        <w:rFonts w:hint="default"/>
      </w:rPr>
    </w:lvl>
    <w:lvl w:ilvl="8" w:tplc="31A018B6">
      <w:start w:val="1"/>
      <w:numFmt w:val="bullet"/>
      <w:lvlText w:val="•"/>
      <w:lvlJc w:val="left"/>
      <w:pPr>
        <w:ind w:left="8589" w:hanging="294"/>
      </w:pPr>
      <w:rPr>
        <w:rFonts w:hint="default"/>
      </w:rPr>
    </w:lvl>
  </w:abstractNum>
  <w:abstractNum w:abstractNumId="60" w15:restartNumberingAfterBreak="0">
    <w:nsid w:val="3CBE7E2D"/>
    <w:multiLevelType w:val="hybridMultilevel"/>
    <w:tmpl w:val="9EB02D80"/>
    <w:lvl w:ilvl="0" w:tplc="FEFC953C">
      <w:start w:val="1"/>
      <w:numFmt w:val="lowerLetter"/>
      <w:lvlText w:val="%1."/>
      <w:lvlJc w:val="left"/>
      <w:pPr>
        <w:ind w:left="1047" w:hanging="246"/>
        <w:jc w:val="right"/>
      </w:pPr>
      <w:rPr>
        <w:rFonts w:ascii="Times New Roman" w:eastAsia="Arial" w:hAnsi="Times New Roman" w:cs="Times New Roman" w:hint="default"/>
        <w:b/>
        <w:bCs/>
        <w:w w:val="99"/>
        <w:sz w:val="24"/>
        <w:szCs w:val="24"/>
      </w:rPr>
    </w:lvl>
    <w:lvl w:ilvl="1" w:tplc="52E464B4">
      <w:start w:val="1"/>
      <w:numFmt w:val="bullet"/>
      <w:lvlText w:val=""/>
      <w:lvlJc w:val="left"/>
      <w:pPr>
        <w:ind w:left="1522" w:hanging="360"/>
      </w:pPr>
      <w:rPr>
        <w:rFonts w:ascii="Symbol" w:eastAsia="Symbol" w:hAnsi="Symbol" w:hint="default"/>
        <w:w w:val="99"/>
        <w:sz w:val="22"/>
        <w:szCs w:val="22"/>
      </w:rPr>
    </w:lvl>
    <w:lvl w:ilvl="2" w:tplc="B65A1C3C">
      <w:start w:val="1"/>
      <w:numFmt w:val="bullet"/>
      <w:lvlText w:val="•"/>
      <w:lvlJc w:val="left"/>
      <w:pPr>
        <w:ind w:left="2575" w:hanging="360"/>
      </w:pPr>
      <w:rPr>
        <w:rFonts w:hint="default"/>
      </w:rPr>
    </w:lvl>
    <w:lvl w:ilvl="3" w:tplc="8AF456B6">
      <w:start w:val="1"/>
      <w:numFmt w:val="bullet"/>
      <w:lvlText w:val="•"/>
      <w:lvlJc w:val="left"/>
      <w:pPr>
        <w:ind w:left="3629" w:hanging="360"/>
      </w:pPr>
      <w:rPr>
        <w:rFonts w:hint="default"/>
      </w:rPr>
    </w:lvl>
    <w:lvl w:ilvl="4" w:tplc="F7E0119C">
      <w:start w:val="1"/>
      <w:numFmt w:val="bullet"/>
      <w:lvlText w:val="•"/>
      <w:lvlJc w:val="left"/>
      <w:pPr>
        <w:ind w:left="4683" w:hanging="360"/>
      </w:pPr>
      <w:rPr>
        <w:rFonts w:hint="default"/>
      </w:rPr>
    </w:lvl>
    <w:lvl w:ilvl="5" w:tplc="D41AA886">
      <w:start w:val="1"/>
      <w:numFmt w:val="bullet"/>
      <w:lvlText w:val="•"/>
      <w:lvlJc w:val="left"/>
      <w:pPr>
        <w:ind w:left="5737" w:hanging="360"/>
      </w:pPr>
      <w:rPr>
        <w:rFonts w:hint="default"/>
      </w:rPr>
    </w:lvl>
    <w:lvl w:ilvl="6" w:tplc="AEEE7972">
      <w:start w:val="1"/>
      <w:numFmt w:val="bullet"/>
      <w:lvlText w:val="•"/>
      <w:lvlJc w:val="left"/>
      <w:pPr>
        <w:ind w:left="6791" w:hanging="360"/>
      </w:pPr>
      <w:rPr>
        <w:rFonts w:hint="default"/>
      </w:rPr>
    </w:lvl>
    <w:lvl w:ilvl="7" w:tplc="8F0A0C5C">
      <w:start w:val="1"/>
      <w:numFmt w:val="bullet"/>
      <w:lvlText w:val="•"/>
      <w:lvlJc w:val="left"/>
      <w:pPr>
        <w:ind w:left="7844" w:hanging="360"/>
      </w:pPr>
      <w:rPr>
        <w:rFonts w:hint="default"/>
      </w:rPr>
    </w:lvl>
    <w:lvl w:ilvl="8" w:tplc="A00206F0">
      <w:start w:val="1"/>
      <w:numFmt w:val="bullet"/>
      <w:lvlText w:val="•"/>
      <w:lvlJc w:val="left"/>
      <w:pPr>
        <w:ind w:left="8898" w:hanging="360"/>
      </w:pPr>
      <w:rPr>
        <w:rFonts w:hint="default"/>
      </w:rPr>
    </w:lvl>
  </w:abstractNum>
  <w:abstractNum w:abstractNumId="61" w15:restartNumberingAfterBreak="0">
    <w:nsid w:val="3DDF43DB"/>
    <w:multiLevelType w:val="hybridMultilevel"/>
    <w:tmpl w:val="BC5EE0AC"/>
    <w:lvl w:ilvl="0" w:tplc="DC1E1568">
      <w:start w:val="1"/>
      <w:numFmt w:val="bullet"/>
      <w:lvlText w:val=""/>
      <w:lvlJc w:val="left"/>
      <w:pPr>
        <w:ind w:left="1522" w:hanging="294"/>
      </w:pPr>
      <w:rPr>
        <w:rFonts w:ascii="Symbol" w:eastAsia="Symbol" w:hAnsi="Symbol" w:hint="default"/>
        <w:w w:val="99"/>
        <w:sz w:val="22"/>
        <w:szCs w:val="22"/>
      </w:rPr>
    </w:lvl>
    <w:lvl w:ilvl="1" w:tplc="7DE2E8A2">
      <w:start w:val="1"/>
      <w:numFmt w:val="bullet"/>
      <w:lvlText w:val="•"/>
      <w:lvlJc w:val="left"/>
      <w:pPr>
        <w:ind w:left="2470" w:hanging="294"/>
      </w:pPr>
      <w:rPr>
        <w:rFonts w:hint="default"/>
      </w:rPr>
    </w:lvl>
    <w:lvl w:ilvl="2" w:tplc="32AEA1F2">
      <w:start w:val="1"/>
      <w:numFmt w:val="bullet"/>
      <w:lvlText w:val="•"/>
      <w:lvlJc w:val="left"/>
      <w:pPr>
        <w:ind w:left="3418" w:hanging="294"/>
      </w:pPr>
      <w:rPr>
        <w:rFonts w:hint="default"/>
      </w:rPr>
    </w:lvl>
    <w:lvl w:ilvl="3" w:tplc="2D78E496">
      <w:start w:val="1"/>
      <w:numFmt w:val="bullet"/>
      <w:lvlText w:val="•"/>
      <w:lvlJc w:val="left"/>
      <w:pPr>
        <w:ind w:left="4366" w:hanging="294"/>
      </w:pPr>
      <w:rPr>
        <w:rFonts w:hint="default"/>
      </w:rPr>
    </w:lvl>
    <w:lvl w:ilvl="4" w:tplc="E6A845E2">
      <w:start w:val="1"/>
      <w:numFmt w:val="bullet"/>
      <w:lvlText w:val="•"/>
      <w:lvlJc w:val="left"/>
      <w:pPr>
        <w:ind w:left="5315" w:hanging="294"/>
      </w:pPr>
      <w:rPr>
        <w:rFonts w:hint="default"/>
      </w:rPr>
    </w:lvl>
    <w:lvl w:ilvl="5" w:tplc="56345EBA">
      <w:start w:val="1"/>
      <w:numFmt w:val="bullet"/>
      <w:lvlText w:val="•"/>
      <w:lvlJc w:val="left"/>
      <w:pPr>
        <w:ind w:left="6263" w:hanging="294"/>
      </w:pPr>
      <w:rPr>
        <w:rFonts w:hint="default"/>
      </w:rPr>
    </w:lvl>
    <w:lvl w:ilvl="6" w:tplc="5EAE9264">
      <w:start w:val="1"/>
      <w:numFmt w:val="bullet"/>
      <w:lvlText w:val="•"/>
      <w:lvlJc w:val="left"/>
      <w:pPr>
        <w:ind w:left="7211" w:hanging="294"/>
      </w:pPr>
      <w:rPr>
        <w:rFonts w:hint="default"/>
      </w:rPr>
    </w:lvl>
    <w:lvl w:ilvl="7" w:tplc="A6F6A464">
      <w:start w:val="1"/>
      <w:numFmt w:val="bullet"/>
      <w:lvlText w:val="•"/>
      <w:lvlJc w:val="left"/>
      <w:pPr>
        <w:ind w:left="8160" w:hanging="294"/>
      </w:pPr>
      <w:rPr>
        <w:rFonts w:hint="default"/>
      </w:rPr>
    </w:lvl>
    <w:lvl w:ilvl="8" w:tplc="0E2E43D4">
      <w:start w:val="1"/>
      <w:numFmt w:val="bullet"/>
      <w:lvlText w:val="•"/>
      <w:lvlJc w:val="left"/>
      <w:pPr>
        <w:ind w:left="9108" w:hanging="294"/>
      </w:pPr>
      <w:rPr>
        <w:rFonts w:hint="default"/>
      </w:rPr>
    </w:lvl>
  </w:abstractNum>
  <w:abstractNum w:abstractNumId="62" w15:restartNumberingAfterBreak="0">
    <w:nsid w:val="414B1AE5"/>
    <w:multiLevelType w:val="hybridMultilevel"/>
    <w:tmpl w:val="02D2A7BA"/>
    <w:lvl w:ilvl="0" w:tplc="1AFC7A02">
      <w:start w:val="1"/>
      <w:numFmt w:val="bullet"/>
      <w:lvlText w:val="-"/>
      <w:lvlJc w:val="left"/>
      <w:pPr>
        <w:ind w:left="1602" w:hanging="295"/>
      </w:pPr>
      <w:rPr>
        <w:rFonts w:ascii="Courier New" w:eastAsia="Courier New" w:hAnsi="Courier New" w:hint="default"/>
        <w:w w:val="99"/>
        <w:sz w:val="22"/>
        <w:szCs w:val="22"/>
      </w:rPr>
    </w:lvl>
    <w:lvl w:ilvl="1" w:tplc="0AD04840">
      <w:start w:val="1"/>
      <w:numFmt w:val="bullet"/>
      <w:lvlText w:val="•"/>
      <w:lvlJc w:val="left"/>
      <w:pPr>
        <w:ind w:left="2550" w:hanging="295"/>
      </w:pPr>
      <w:rPr>
        <w:rFonts w:hint="default"/>
      </w:rPr>
    </w:lvl>
    <w:lvl w:ilvl="2" w:tplc="1748A508">
      <w:start w:val="1"/>
      <w:numFmt w:val="bullet"/>
      <w:lvlText w:val="•"/>
      <w:lvlJc w:val="left"/>
      <w:pPr>
        <w:ind w:left="3499" w:hanging="295"/>
      </w:pPr>
      <w:rPr>
        <w:rFonts w:hint="default"/>
      </w:rPr>
    </w:lvl>
    <w:lvl w:ilvl="3" w:tplc="9022FA3C">
      <w:start w:val="1"/>
      <w:numFmt w:val="bullet"/>
      <w:lvlText w:val="•"/>
      <w:lvlJc w:val="left"/>
      <w:pPr>
        <w:ind w:left="4448" w:hanging="295"/>
      </w:pPr>
      <w:rPr>
        <w:rFonts w:hint="default"/>
      </w:rPr>
    </w:lvl>
    <w:lvl w:ilvl="4" w:tplc="6DA8685C">
      <w:start w:val="1"/>
      <w:numFmt w:val="bullet"/>
      <w:lvlText w:val="•"/>
      <w:lvlJc w:val="left"/>
      <w:pPr>
        <w:ind w:left="5396" w:hanging="295"/>
      </w:pPr>
      <w:rPr>
        <w:rFonts w:hint="default"/>
      </w:rPr>
    </w:lvl>
    <w:lvl w:ilvl="5" w:tplc="ECB4503E">
      <w:start w:val="1"/>
      <w:numFmt w:val="bullet"/>
      <w:lvlText w:val="•"/>
      <w:lvlJc w:val="left"/>
      <w:pPr>
        <w:ind w:left="6345" w:hanging="295"/>
      </w:pPr>
      <w:rPr>
        <w:rFonts w:hint="default"/>
      </w:rPr>
    </w:lvl>
    <w:lvl w:ilvl="6" w:tplc="C7105660">
      <w:start w:val="1"/>
      <w:numFmt w:val="bullet"/>
      <w:lvlText w:val="•"/>
      <w:lvlJc w:val="left"/>
      <w:pPr>
        <w:ind w:left="7294" w:hanging="295"/>
      </w:pPr>
      <w:rPr>
        <w:rFonts w:hint="default"/>
      </w:rPr>
    </w:lvl>
    <w:lvl w:ilvl="7" w:tplc="F35CD274">
      <w:start w:val="1"/>
      <w:numFmt w:val="bullet"/>
      <w:lvlText w:val="•"/>
      <w:lvlJc w:val="left"/>
      <w:pPr>
        <w:ind w:left="8242" w:hanging="295"/>
      </w:pPr>
      <w:rPr>
        <w:rFonts w:hint="default"/>
      </w:rPr>
    </w:lvl>
    <w:lvl w:ilvl="8" w:tplc="62AA86FC">
      <w:start w:val="1"/>
      <w:numFmt w:val="bullet"/>
      <w:lvlText w:val="•"/>
      <w:lvlJc w:val="left"/>
      <w:pPr>
        <w:ind w:left="9191" w:hanging="295"/>
      </w:pPr>
      <w:rPr>
        <w:rFonts w:hint="default"/>
      </w:rPr>
    </w:lvl>
  </w:abstractNum>
  <w:abstractNum w:abstractNumId="63" w15:restartNumberingAfterBreak="0">
    <w:nsid w:val="417C02A8"/>
    <w:multiLevelType w:val="hybridMultilevel"/>
    <w:tmpl w:val="284A1700"/>
    <w:lvl w:ilvl="0" w:tplc="CE82CFE6">
      <w:start w:val="1"/>
      <w:numFmt w:val="decimal"/>
      <w:lvlText w:val="%1."/>
      <w:lvlJc w:val="left"/>
      <w:pPr>
        <w:ind w:left="1281" w:hanging="360"/>
      </w:pPr>
      <w:rPr>
        <w:rFonts w:ascii="Times New Roman" w:eastAsia="Arial" w:hAnsi="Times New Roman" w:cs="Times New Roman" w:hint="default"/>
        <w:w w:val="99"/>
        <w:sz w:val="24"/>
        <w:szCs w:val="24"/>
      </w:rPr>
    </w:lvl>
    <w:lvl w:ilvl="1" w:tplc="ED0806D8">
      <w:start w:val="1"/>
      <w:numFmt w:val="bullet"/>
      <w:lvlText w:val="•"/>
      <w:lvlJc w:val="left"/>
      <w:pPr>
        <w:ind w:left="2266" w:hanging="360"/>
      </w:pPr>
      <w:rPr>
        <w:rFonts w:hint="default"/>
      </w:rPr>
    </w:lvl>
    <w:lvl w:ilvl="2" w:tplc="C7B4D2A8">
      <w:start w:val="1"/>
      <w:numFmt w:val="bullet"/>
      <w:lvlText w:val="•"/>
      <w:lvlJc w:val="left"/>
      <w:pPr>
        <w:ind w:left="3251" w:hanging="360"/>
      </w:pPr>
      <w:rPr>
        <w:rFonts w:hint="default"/>
      </w:rPr>
    </w:lvl>
    <w:lvl w:ilvl="3" w:tplc="F238D706">
      <w:start w:val="1"/>
      <w:numFmt w:val="bullet"/>
      <w:lvlText w:val="•"/>
      <w:lvlJc w:val="left"/>
      <w:pPr>
        <w:ind w:left="4235" w:hanging="360"/>
      </w:pPr>
      <w:rPr>
        <w:rFonts w:hint="default"/>
      </w:rPr>
    </w:lvl>
    <w:lvl w:ilvl="4" w:tplc="BFB8973E">
      <w:start w:val="1"/>
      <w:numFmt w:val="bullet"/>
      <w:lvlText w:val="•"/>
      <w:lvlJc w:val="left"/>
      <w:pPr>
        <w:ind w:left="5220" w:hanging="360"/>
      </w:pPr>
      <w:rPr>
        <w:rFonts w:hint="default"/>
      </w:rPr>
    </w:lvl>
    <w:lvl w:ilvl="5" w:tplc="A1FCD380">
      <w:start w:val="1"/>
      <w:numFmt w:val="bullet"/>
      <w:lvlText w:val="•"/>
      <w:lvlJc w:val="left"/>
      <w:pPr>
        <w:ind w:left="6205" w:hanging="360"/>
      </w:pPr>
      <w:rPr>
        <w:rFonts w:hint="default"/>
      </w:rPr>
    </w:lvl>
    <w:lvl w:ilvl="6" w:tplc="4BAEAC22">
      <w:start w:val="1"/>
      <w:numFmt w:val="bullet"/>
      <w:lvlText w:val="•"/>
      <w:lvlJc w:val="left"/>
      <w:pPr>
        <w:ind w:left="7189" w:hanging="360"/>
      </w:pPr>
      <w:rPr>
        <w:rFonts w:hint="default"/>
      </w:rPr>
    </w:lvl>
    <w:lvl w:ilvl="7" w:tplc="42C61316">
      <w:start w:val="1"/>
      <w:numFmt w:val="bullet"/>
      <w:lvlText w:val="•"/>
      <w:lvlJc w:val="left"/>
      <w:pPr>
        <w:ind w:left="8174" w:hanging="360"/>
      </w:pPr>
      <w:rPr>
        <w:rFonts w:hint="default"/>
      </w:rPr>
    </w:lvl>
    <w:lvl w:ilvl="8" w:tplc="8B4432EA">
      <w:start w:val="1"/>
      <w:numFmt w:val="bullet"/>
      <w:lvlText w:val="•"/>
      <w:lvlJc w:val="left"/>
      <w:pPr>
        <w:ind w:left="9159" w:hanging="360"/>
      </w:pPr>
      <w:rPr>
        <w:rFonts w:hint="default"/>
      </w:rPr>
    </w:lvl>
  </w:abstractNum>
  <w:abstractNum w:abstractNumId="64" w15:restartNumberingAfterBreak="0">
    <w:nsid w:val="41BE63E9"/>
    <w:multiLevelType w:val="hybridMultilevel"/>
    <w:tmpl w:val="439054F6"/>
    <w:lvl w:ilvl="0" w:tplc="BAF4BE30">
      <w:start w:val="1"/>
      <w:numFmt w:val="decimal"/>
      <w:lvlText w:val="%1."/>
      <w:lvlJc w:val="left"/>
      <w:pPr>
        <w:ind w:left="1168" w:hanging="426"/>
        <w:jc w:val="right"/>
      </w:pPr>
      <w:rPr>
        <w:rFonts w:ascii="Times New Roman" w:eastAsia="Arial" w:hAnsi="Times New Roman" w:cs="Times New Roman" w:hint="default"/>
        <w:w w:val="99"/>
        <w:sz w:val="24"/>
        <w:szCs w:val="24"/>
      </w:rPr>
    </w:lvl>
    <w:lvl w:ilvl="1" w:tplc="1C5C5546">
      <w:start w:val="1"/>
      <w:numFmt w:val="bullet"/>
      <w:lvlText w:val="-"/>
      <w:lvlJc w:val="left"/>
      <w:pPr>
        <w:ind w:left="1462" w:hanging="294"/>
      </w:pPr>
      <w:rPr>
        <w:rFonts w:ascii="Courier New" w:eastAsia="Courier New" w:hAnsi="Courier New" w:hint="default"/>
        <w:w w:val="99"/>
        <w:sz w:val="22"/>
        <w:szCs w:val="22"/>
      </w:rPr>
    </w:lvl>
    <w:lvl w:ilvl="2" w:tplc="B482829C">
      <w:start w:val="1"/>
      <w:numFmt w:val="bullet"/>
      <w:lvlText w:val="•"/>
      <w:lvlJc w:val="left"/>
      <w:pPr>
        <w:ind w:left="2515" w:hanging="294"/>
      </w:pPr>
      <w:rPr>
        <w:rFonts w:hint="default"/>
      </w:rPr>
    </w:lvl>
    <w:lvl w:ilvl="3" w:tplc="F97A648C">
      <w:start w:val="1"/>
      <w:numFmt w:val="bullet"/>
      <w:lvlText w:val="•"/>
      <w:lvlJc w:val="left"/>
      <w:pPr>
        <w:ind w:left="3569" w:hanging="294"/>
      </w:pPr>
      <w:rPr>
        <w:rFonts w:hint="default"/>
      </w:rPr>
    </w:lvl>
    <w:lvl w:ilvl="4" w:tplc="E56AD23E">
      <w:start w:val="1"/>
      <w:numFmt w:val="bullet"/>
      <w:lvlText w:val="•"/>
      <w:lvlJc w:val="left"/>
      <w:pPr>
        <w:ind w:left="4623" w:hanging="294"/>
      </w:pPr>
      <w:rPr>
        <w:rFonts w:hint="default"/>
      </w:rPr>
    </w:lvl>
    <w:lvl w:ilvl="5" w:tplc="4948BB74">
      <w:start w:val="1"/>
      <w:numFmt w:val="bullet"/>
      <w:lvlText w:val="•"/>
      <w:lvlJc w:val="left"/>
      <w:pPr>
        <w:ind w:left="5677" w:hanging="294"/>
      </w:pPr>
      <w:rPr>
        <w:rFonts w:hint="default"/>
      </w:rPr>
    </w:lvl>
    <w:lvl w:ilvl="6" w:tplc="FEBAC0F6">
      <w:start w:val="1"/>
      <w:numFmt w:val="bullet"/>
      <w:lvlText w:val="•"/>
      <w:lvlJc w:val="left"/>
      <w:pPr>
        <w:ind w:left="6731" w:hanging="294"/>
      </w:pPr>
      <w:rPr>
        <w:rFonts w:hint="default"/>
      </w:rPr>
    </w:lvl>
    <w:lvl w:ilvl="7" w:tplc="56CC2CE6">
      <w:start w:val="1"/>
      <w:numFmt w:val="bullet"/>
      <w:lvlText w:val="•"/>
      <w:lvlJc w:val="left"/>
      <w:pPr>
        <w:ind w:left="7784" w:hanging="294"/>
      </w:pPr>
      <w:rPr>
        <w:rFonts w:hint="default"/>
      </w:rPr>
    </w:lvl>
    <w:lvl w:ilvl="8" w:tplc="BDB2E49C">
      <w:start w:val="1"/>
      <w:numFmt w:val="bullet"/>
      <w:lvlText w:val="•"/>
      <w:lvlJc w:val="left"/>
      <w:pPr>
        <w:ind w:left="8838" w:hanging="294"/>
      </w:pPr>
      <w:rPr>
        <w:rFonts w:hint="default"/>
      </w:rPr>
    </w:lvl>
  </w:abstractNum>
  <w:abstractNum w:abstractNumId="65" w15:restartNumberingAfterBreak="0">
    <w:nsid w:val="420D301F"/>
    <w:multiLevelType w:val="hybridMultilevel"/>
    <w:tmpl w:val="79E2676C"/>
    <w:lvl w:ilvl="0" w:tplc="FA66B3F8">
      <w:start w:val="1"/>
      <w:numFmt w:val="decimal"/>
      <w:lvlText w:val="%1."/>
      <w:lvlJc w:val="left"/>
      <w:pPr>
        <w:ind w:left="1281" w:hanging="360"/>
      </w:pPr>
      <w:rPr>
        <w:rFonts w:ascii="Times New Roman" w:eastAsia="Arial" w:hAnsi="Times New Roman" w:cs="Times New Roman" w:hint="default"/>
        <w:w w:val="99"/>
        <w:sz w:val="24"/>
        <w:szCs w:val="24"/>
      </w:rPr>
    </w:lvl>
    <w:lvl w:ilvl="1" w:tplc="25104EC8">
      <w:start w:val="1"/>
      <w:numFmt w:val="bullet"/>
      <w:lvlText w:val="•"/>
      <w:lvlJc w:val="left"/>
      <w:pPr>
        <w:ind w:left="2266" w:hanging="360"/>
      </w:pPr>
      <w:rPr>
        <w:rFonts w:hint="default"/>
      </w:rPr>
    </w:lvl>
    <w:lvl w:ilvl="2" w:tplc="B9801144">
      <w:start w:val="1"/>
      <w:numFmt w:val="bullet"/>
      <w:lvlText w:val="•"/>
      <w:lvlJc w:val="left"/>
      <w:pPr>
        <w:ind w:left="3251" w:hanging="360"/>
      </w:pPr>
      <w:rPr>
        <w:rFonts w:hint="default"/>
      </w:rPr>
    </w:lvl>
    <w:lvl w:ilvl="3" w:tplc="AEC64CA6">
      <w:start w:val="1"/>
      <w:numFmt w:val="bullet"/>
      <w:lvlText w:val="•"/>
      <w:lvlJc w:val="left"/>
      <w:pPr>
        <w:ind w:left="4235" w:hanging="360"/>
      </w:pPr>
      <w:rPr>
        <w:rFonts w:hint="default"/>
      </w:rPr>
    </w:lvl>
    <w:lvl w:ilvl="4" w:tplc="E5AC9788">
      <w:start w:val="1"/>
      <w:numFmt w:val="bullet"/>
      <w:lvlText w:val="•"/>
      <w:lvlJc w:val="left"/>
      <w:pPr>
        <w:ind w:left="5220" w:hanging="360"/>
      </w:pPr>
      <w:rPr>
        <w:rFonts w:hint="default"/>
      </w:rPr>
    </w:lvl>
    <w:lvl w:ilvl="5" w:tplc="DBDAD1CA">
      <w:start w:val="1"/>
      <w:numFmt w:val="bullet"/>
      <w:lvlText w:val="•"/>
      <w:lvlJc w:val="left"/>
      <w:pPr>
        <w:ind w:left="6205" w:hanging="360"/>
      </w:pPr>
      <w:rPr>
        <w:rFonts w:hint="default"/>
      </w:rPr>
    </w:lvl>
    <w:lvl w:ilvl="6" w:tplc="A99AEE84">
      <w:start w:val="1"/>
      <w:numFmt w:val="bullet"/>
      <w:lvlText w:val="•"/>
      <w:lvlJc w:val="left"/>
      <w:pPr>
        <w:ind w:left="7189" w:hanging="360"/>
      </w:pPr>
      <w:rPr>
        <w:rFonts w:hint="default"/>
      </w:rPr>
    </w:lvl>
    <w:lvl w:ilvl="7" w:tplc="E834A05E">
      <w:start w:val="1"/>
      <w:numFmt w:val="bullet"/>
      <w:lvlText w:val="•"/>
      <w:lvlJc w:val="left"/>
      <w:pPr>
        <w:ind w:left="8174" w:hanging="360"/>
      </w:pPr>
      <w:rPr>
        <w:rFonts w:hint="default"/>
      </w:rPr>
    </w:lvl>
    <w:lvl w:ilvl="8" w:tplc="E140E65E">
      <w:start w:val="1"/>
      <w:numFmt w:val="bullet"/>
      <w:lvlText w:val="•"/>
      <w:lvlJc w:val="left"/>
      <w:pPr>
        <w:ind w:left="9159" w:hanging="360"/>
      </w:pPr>
      <w:rPr>
        <w:rFonts w:hint="default"/>
      </w:rPr>
    </w:lvl>
  </w:abstractNum>
  <w:abstractNum w:abstractNumId="66" w15:restartNumberingAfterBreak="0">
    <w:nsid w:val="422244BA"/>
    <w:multiLevelType w:val="hybridMultilevel"/>
    <w:tmpl w:val="34480D6A"/>
    <w:lvl w:ilvl="0" w:tplc="D954E656">
      <w:start w:val="1"/>
      <w:numFmt w:val="decimal"/>
      <w:lvlText w:val="%1."/>
      <w:lvlJc w:val="left"/>
      <w:pPr>
        <w:ind w:left="1241" w:hanging="360"/>
      </w:pPr>
      <w:rPr>
        <w:rFonts w:ascii="Times New Roman" w:eastAsia="Arial" w:hAnsi="Times New Roman" w:cs="Times New Roman" w:hint="default"/>
        <w:w w:val="99"/>
        <w:sz w:val="24"/>
        <w:szCs w:val="24"/>
      </w:rPr>
    </w:lvl>
    <w:lvl w:ilvl="1" w:tplc="5B8CA7DE">
      <w:start w:val="1"/>
      <w:numFmt w:val="bullet"/>
      <w:lvlText w:val="•"/>
      <w:lvlJc w:val="left"/>
      <w:pPr>
        <w:ind w:left="2226" w:hanging="360"/>
      </w:pPr>
      <w:rPr>
        <w:rFonts w:hint="default"/>
      </w:rPr>
    </w:lvl>
    <w:lvl w:ilvl="2" w:tplc="9E84BCEC">
      <w:start w:val="1"/>
      <w:numFmt w:val="bullet"/>
      <w:lvlText w:val="•"/>
      <w:lvlJc w:val="left"/>
      <w:pPr>
        <w:ind w:left="3211" w:hanging="360"/>
      </w:pPr>
      <w:rPr>
        <w:rFonts w:hint="default"/>
      </w:rPr>
    </w:lvl>
    <w:lvl w:ilvl="3" w:tplc="1D72105E">
      <w:start w:val="1"/>
      <w:numFmt w:val="bullet"/>
      <w:lvlText w:val="•"/>
      <w:lvlJc w:val="left"/>
      <w:pPr>
        <w:ind w:left="4195" w:hanging="360"/>
      </w:pPr>
      <w:rPr>
        <w:rFonts w:hint="default"/>
      </w:rPr>
    </w:lvl>
    <w:lvl w:ilvl="4" w:tplc="3E3013D8">
      <w:start w:val="1"/>
      <w:numFmt w:val="bullet"/>
      <w:lvlText w:val="•"/>
      <w:lvlJc w:val="left"/>
      <w:pPr>
        <w:ind w:left="5180" w:hanging="360"/>
      </w:pPr>
      <w:rPr>
        <w:rFonts w:hint="default"/>
      </w:rPr>
    </w:lvl>
    <w:lvl w:ilvl="5" w:tplc="8744C1F2">
      <w:start w:val="1"/>
      <w:numFmt w:val="bullet"/>
      <w:lvlText w:val="•"/>
      <w:lvlJc w:val="left"/>
      <w:pPr>
        <w:ind w:left="6165" w:hanging="360"/>
      </w:pPr>
      <w:rPr>
        <w:rFonts w:hint="default"/>
      </w:rPr>
    </w:lvl>
    <w:lvl w:ilvl="6" w:tplc="D9C25EE6">
      <w:start w:val="1"/>
      <w:numFmt w:val="bullet"/>
      <w:lvlText w:val="•"/>
      <w:lvlJc w:val="left"/>
      <w:pPr>
        <w:ind w:left="7149" w:hanging="360"/>
      </w:pPr>
      <w:rPr>
        <w:rFonts w:hint="default"/>
      </w:rPr>
    </w:lvl>
    <w:lvl w:ilvl="7" w:tplc="00F4DD8C">
      <w:start w:val="1"/>
      <w:numFmt w:val="bullet"/>
      <w:lvlText w:val="•"/>
      <w:lvlJc w:val="left"/>
      <w:pPr>
        <w:ind w:left="8134" w:hanging="360"/>
      </w:pPr>
      <w:rPr>
        <w:rFonts w:hint="default"/>
      </w:rPr>
    </w:lvl>
    <w:lvl w:ilvl="8" w:tplc="C8E47E72">
      <w:start w:val="1"/>
      <w:numFmt w:val="bullet"/>
      <w:lvlText w:val="•"/>
      <w:lvlJc w:val="left"/>
      <w:pPr>
        <w:ind w:left="9119" w:hanging="360"/>
      </w:pPr>
      <w:rPr>
        <w:rFonts w:hint="default"/>
      </w:rPr>
    </w:lvl>
  </w:abstractNum>
  <w:abstractNum w:abstractNumId="67" w15:restartNumberingAfterBreak="0">
    <w:nsid w:val="423352DB"/>
    <w:multiLevelType w:val="hybridMultilevel"/>
    <w:tmpl w:val="B3A68B88"/>
    <w:lvl w:ilvl="0" w:tplc="676288A6">
      <w:start w:val="30"/>
      <w:numFmt w:val="decimal"/>
      <w:lvlText w:val="%1."/>
      <w:lvlJc w:val="left"/>
      <w:pPr>
        <w:ind w:left="1102" w:hanging="360"/>
        <w:jc w:val="right"/>
      </w:pPr>
      <w:rPr>
        <w:rFonts w:ascii="Times New Roman" w:eastAsia="Arial" w:hAnsi="Times New Roman" w:cs="Times New Roman" w:hint="default"/>
        <w:w w:val="99"/>
        <w:sz w:val="24"/>
        <w:szCs w:val="24"/>
      </w:rPr>
    </w:lvl>
    <w:lvl w:ilvl="1" w:tplc="5870437C">
      <w:start w:val="1"/>
      <w:numFmt w:val="lowerLetter"/>
      <w:lvlText w:val="%2)"/>
      <w:lvlJc w:val="left"/>
      <w:pPr>
        <w:ind w:left="1462" w:hanging="294"/>
        <w:jc w:val="right"/>
      </w:pPr>
      <w:rPr>
        <w:rFonts w:ascii="Times New Roman" w:eastAsia="Arial" w:hAnsi="Times New Roman" w:cs="Times New Roman" w:hint="default"/>
        <w:w w:val="99"/>
        <w:sz w:val="24"/>
        <w:szCs w:val="24"/>
      </w:rPr>
    </w:lvl>
    <w:lvl w:ilvl="2" w:tplc="14E86AA4">
      <w:start w:val="1"/>
      <w:numFmt w:val="bullet"/>
      <w:lvlText w:val="•"/>
      <w:lvlJc w:val="left"/>
      <w:pPr>
        <w:ind w:left="2515" w:hanging="294"/>
      </w:pPr>
      <w:rPr>
        <w:rFonts w:hint="default"/>
      </w:rPr>
    </w:lvl>
    <w:lvl w:ilvl="3" w:tplc="8E468AD6">
      <w:start w:val="1"/>
      <w:numFmt w:val="bullet"/>
      <w:lvlText w:val="•"/>
      <w:lvlJc w:val="left"/>
      <w:pPr>
        <w:ind w:left="3569" w:hanging="294"/>
      </w:pPr>
      <w:rPr>
        <w:rFonts w:hint="default"/>
      </w:rPr>
    </w:lvl>
    <w:lvl w:ilvl="4" w:tplc="ADB68E14">
      <w:start w:val="1"/>
      <w:numFmt w:val="bullet"/>
      <w:lvlText w:val="•"/>
      <w:lvlJc w:val="left"/>
      <w:pPr>
        <w:ind w:left="4623" w:hanging="294"/>
      </w:pPr>
      <w:rPr>
        <w:rFonts w:hint="default"/>
      </w:rPr>
    </w:lvl>
    <w:lvl w:ilvl="5" w:tplc="3D7ABAC0">
      <w:start w:val="1"/>
      <w:numFmt w:val="bullet"/>
      <w:lvlText w:val="•"/>
      <w:lvlJc w:val="left"/>
      <w:pPr>
        <w:ind w:left="5677" w:hanging="294"/>
      </w:pPr>
      <w:rPr>
        <w:rFonts w:hint="default"/>
      </w:rPr>
    </w:lvl>
    <w:lvl w:ilvl="6" w:tplc="D4126CD0">
      <w:start w:val="1"/>
      <w:numFmt w:val="bullet"/>
      <w:lvlText w:val="•"/>
      <w:lvlJc w:val="left"/>
      <w:pPr>
        <w:ind w:left="6731" w:hanging="294"/>
      </w:pPr>
      <w:rPr>
        <w:rFonts w:hint="default"/>
      </w:rPr>
    </w:lvl>
    <w:lvl w:ilvl="7" w:tplc="DF88E388">
      <w:start w:val="1"/>
      <w:numFmt w:val="bullet"/>
      <w:lvlText w:val="•"/>
      <w:lvlJc w:val="left"/>
      <w:pPr>
        <w:ind w:left="7784" w:hanging="294"/>
      </w:pPr>
      <w:rPr>
        <w:rFonts w:hint="default"/>
      </w:rPr>
    </w:lvl>
    <w:lvl w:ilvl="8" w:tplc="6CC2C6E8">
      <w:start w:val="1"/>
      <w:numFmt w:val="bullet"/>
      <w:lvlText w:val="•"/>
      <w:lvlJc w:val="left"/>
      <w:pPr>
        <w:ind w:left="8838" w:hanging="294"/>
      </w:pPr>
      <w:rPr>
        <w:rFonts w:hint="default"/>
      </w:rPr>
    </w:lvl>
  </w:abstractNum>
  <w:abstractNum w:abstractNumId="68" w15:restartNumberingAfterBreak="0">
    <w:nsid w:val="4241751A"/>
    <w:multiLevelType w:val="hybridMultilevel"/>
    <w:tmpl w:val="868AE11A"/>
    <w:lvl w:ilvl="0" w:tplc="5B1CB10A">
      <w:start w:val="1"/>
      <w:numFmt w:val="decimal"/>
      <w:lvlText w:val="%1."/>
      <w:lvlJc w:val="left"/>
      <w:pPr>
        <w:ind w:left="1261" w:hanging="360"/>
      </w:pPr>
      <w:rPr>
        <w:rFonts w:ascii="Times New Roman" w:eastAsia="Arial" w:hAnsi="Times New Roman" w:cs="Times New Roman" w:hint="default"/>
        <w:w w:val="99"/>
        <w:sz w:val="24"/>
        <w:szCs w:val="24"/>
      </w:rPr>
    </w:lvl>
    <w:lvl w:ilvl="1" w:tplc="837A6A4A">
      <w:start w:val="1"/>
      <w:numFmt w:val="bullet"/>
      <w:lvlText w:val=""/>
      <w:lvlJc w:val="left"/>
      <w:pPr>
        <w:ind w:left="1622" w:hanging="295"/>
      </w:pPr>
      <w:rPr>
        <w:rFonts w:ascii="Symbol" w:eastAsia="Symbol" w:hAnsi="Symbol" w:hint="default"/>
        <w:w w:val="99"/>
        <w:sz w:val="22"/>
        <w:szCs w:val="22"/>
      </w:rPr>
    </w:lvl>
    <w:lvl w:ilvl="2" w:tplc="FD82F6B2">
      <w:start w:val="1"/>
      <w:numFmt w:val="bullet"/>
      <w:lvlText w:val="•"/>
      <w:lvlJc w:val="left"/>
      <w:pPr>
        <w:ind w:left="1622" w:hanging="295"/>
      </w:pPr>
      <w:rPr>
        <w:rFonts w:hint="default"/>
      </w:rPr>
    </w:lvl>
    <w:lvl w:ilvl="3" w:tplc="B2841A14">
      <w:start w:val="1"/>
      <w:numFmt w:val="bullet"/>
      <w:lvlText w:val="•"/>
      <w:lvlJc w:val="left"/>
      <w:pPr>
        <w:ind w:left="2805" w:hanging="295"/>
      </w:pPr>
      <w:rPr>
        <w:rFonts w:hint="default"/>
      </w:rPr>
    </w:lvl>
    <w:lvl w:ilvl="4" w:tplc="D20A5FB8">
      <w:start w:val="1"/>
      <w:numFmt w:val="bullet"/>
      <w:lvlText w:val="•"/>
      <w:lvlJc w:val="left"/>
      <w:pPr>
        <w:ind w:left="3988" w:hanging="295"/>
      </w:pPr>
      <w:rPr>
        <w:rFonts w:hint="default"/>
      </w:rPr>
    </w:lvl>
    <w:lvl w:ilvl="5" w:tplc="A766884A">
      <w:start w:val="1"/>
      <w:numFmt w:val="bullet"/>
      <w:lvlText w:val="•"/>
      <w:lvlJc w:val="left"/>
      <w:pPr>
        <w:ind w:left="5172" w:hanging="295"/>
      </w:pPr>
      <w:rPr>
        <w:rFonts w:hint="default"/>
      </w:rPr>
    </w:lvl>
    <w:lvl w:ilvl="6" w:tplc="F7A64BD0">
      <w:start w:val="1"/>
      <w:numFmt w:val="bullet"/>
      <w:lvlText w:val="•"/>
      <w:lvlJc w:val="left"/>
      <w:pPr>
        <w:ind w:left="6355" w:hanging="295"/>
      </w:pPr>
      <w:rPr>
        <w:rFonts w:hint="default"/>
      </w:rPr>
    </w:lvl>
    <w:lvl w:ilvl="7" w:tplc="CC185D3E">
      <w:start w:val="1"/>
      <w:numFmt w:val="bullet"/>
      <w:lvlText w:val="•"/>
      <w:lvlJc w:val="left"/>
      <w:pPr>
        <w:ind w:left="7538" w:hanging="295"/>
      </w:pPr>
      <w:rPr>
        <w:rFonts w:hint="default"/>
      </w:rPr>
    </w:lvl>
    <w:lvl w:ilvl="8" w:tplc="6E842C1A">
      <w:start w:val="1"/>
      <w:numFmt w:val="bullet"/>
      <w:lvlText w:val="•"/>
      <w:lvlJc w:val="left"/>
      <w:pPr>
        <w:ind w:left="8722" w:hanging="295"/>
      </w:pPr>
      <w:rPr>
        <w:rFonts w:hint="default"/>
      </w:rPr>
    </w:lvl>
  </w:abstractNum>
  <w:abstractNum w:abstractNumId="69" w15:restartNumberingAfterBreak="0">
    <w:nsid w:val="42561625"/>
    <w:multiLevelType w:val="hybridMultilevel"/>
    <w:tmpl w:val="79EE1548"/>
    <w:lvl w:ilvl="0" w:tplc="B9B6FB9E">
      <w:start w:val="1"/>
      <w:numFmt w:val="bullet"/>
      <w:lvlText w:val=""/>
      <w:lvlJc w:val="left"/>
      <w:pPr>
        <w:ind w:left="1602" w:hanging="361"/>
      </w:pPr>
      <w:rPr>
        <w:rFonts w:ascii="Symbol" w:eastAsia="Symbol" w:hAnsi="Symbol" w:hint="default"/>
        <w:w w:val="99"/>
        <w:sz w:val="22"/>
        <w:szCs w:val="22"/>
      </w:rPr>
    </w:lvl>
    <w:lvl w:ilvl="1" w:tplc="9E6AB34E">
      <w:start w:val="1"/>
      <w:numFmt w:val="bullet"/>
      <w:lvlText w:val="•"/>
      <w:lvlJc w:val="left"/>
      <w:pPr>
        <w:ind w:left="2550" w:hanging="361"/>
      </w:pPr>
      <w:rPr>
        <w:rFonts w:hint="default"/>
      </w:rPr>
    </w:lvl>
    <w:lvl w:ilvl="2" w:tplc="66761D50">
      <w:start w:val="1"/>
      <w:numFmt w:val="bullet"/>
      <w:lvlText w:val="•"/>
      <w:lvlJc w:val="left"/>
      <w:pPr>
        <w:ind w:left="3499" w:hanging="361"/>
      </w:pPr>
      <w:rPr>
        <w:rFonts w:hint="default"/>
      </w:rPr>
    </w:lvl>
    <w:lvl w:ilvl="3" w:tplc="DA382F92">
      <w:start w:val="1"/>
      <w:numFmt w:val="bullet"/>
      <w:lvlText w:val="•"/>
      <w:lvlJc w:val="left"/>
      <w:pPr>
        <w:ind w:left="4448" w:hanging="361"/>
      </w:pPr>
      <w:rPr>
        <w:rFonts w:hint="default"/>
      </w:rPr>
    </w:lvl>
    <w:lvl w:ilvl="4" w:tplc="454CD6B6">
      <w:start w:val="1"/>
      <w:numFmt w:val="bullet"/>
      <w:lvlText w:val="•"/>
      <w:lvlJc w:val="left"/>
      <w:pPr>
        <w:ind w:left="5396" w:hanging="361"/>
      </w:pPr>
      <w:rPr>
        <w:rFonts w:hint="default"/>
      </w:rPr>
    </w:lvl>
    <w:lvl w:ilvl="5" w:tplc="B224A3E2">
      <w:start w:val="1"/>
      <w:numFmt w:val="bullet"/>
      <w:lvlText w:val="•"/>
      <w:lvlJc w:val="left"/>
      <w:pPr>
        <w:ind w:left="6345" w:hanging="361"/>
      </w:pPr>
      <w:rPr>
        <w:rFonts w:hint="default"/>
      </w:rPr>
    </w:lvl>
    <w:lvl w:ilvl="6" w:tplc="81422788">
      <w:start w:val="1"/>
      <w:numFmt w:val="bullet"/>
      <w:lvlText w:val="•"/>
      <w:lvlJc w:val="left"/>
      <w:pPr>
        <w:ind w:left="7294" w:hanging="361"/>
      </w:pPr>
      <w:rPr>
        <w:rFonts w:hint="default"/>
      </w:rPr>
    </w:lvl>
    <w:lvl w:ilvl="7" w:tplc="FAFC2932">
      <w:start w:val="1"/>
      <w:numFmt w:val="bullet"/>
      <w:lvlText w:val="•"/>
      <w:lvlJc w:val="left"/>
      <w:pPr>
        <w:ind w:left="8242" w:hanging="361"/>
      </w:pPr>
      <w:rPr>
        <w:rFonts w:hint="default"/>
      </w:rPr>
    </w:lvl>
    <w:lvl w:ilvl="8" w:tplc="B8F88B32">
      <w:start w:val="1"/>
      <w:numFmt w:val="bullet"/>
      <w:lvlText w:val="•"/>
      <w:lvlJc w:val="left"/>
      <w:pPr>
        <w:ind w:left="9191" w:hanging="361"/>
      </w:pPr>
      <w:rPr>
        <w:rFonts w:hint="default"/>
      </w:rPr>
    </w:lvl>
  </w:abstractNum>
  <w:abstractNum w:abstractNumId="70" w15:restartNumberingAfterBreak="0">
    <w:nsid w:val="42C7164B"/>
    <w:multiLevelType w:val="hybridMultilevel"/>
    <w:tmpl w:val="1F4AE05C"/>
    <w:lvl w:ilvl="0" w:tplc="E95638EC">
      <w:start w:val="1"/>
      <w:numFmt w:val="decimal"/>
      <w:lvlText w:val="%1."/>
      <w:lvlJc w:val="left"/>
      <w:pPr>
        <w:ind w:left="1102" w:hanging="360"/>
        <w:jc w:val="right"/>
      </w:pPr>
      <w:rPr>
        <w:rFonts w:ascii="Times New Roman" w:eastAsia="Arial" w:hAnsi="Times New Roman" w:cs="Times New Roman" w:hint="default"/>
        <w:b/>
        <w:bCs/>
        <w:w w:val="99"/>
        <w:sz w:val="24"/>
        <w:szCs w:val="24"/>
      </w:rPr>
    </w:lvl>
    <w:lvl w:ilvl="1" w:tplc="3F7E219C">
      <w:start w:val="1"/>
      <w:numFmt w:val="bullet"/>
      <w:lvlText w:val="•"/>
      <w:lvlJc w:val="left"/>
      <w:pPr>
        <w:ind w:left="2086" w:hanging="360"/>
      </w:pPr>
      <w:rPr>
        <w:rFonts w:hint="default"/>
      </w:rPr>
    </w:lvl>
    <w:lvl w:ilvl="2" w:tplc="CED43842">
      <w:start w:val="1"/>
      <w:numFmt w:val="bullet"/>
      <w:lvlText w:val="•"/>
      <w:lvlJc w:val="left"/>
      <w:pPr>
        <w:ind w:left="3070" w:hanging="360"/>
      </w:pPr>
      <w:rPr>
        <w:rFonts w:hint="default"/>
      </w:rPr>
    </w:lvl>
    <w:lvl w:ilvl="3" w:tplc="B98A5110">
      <w:start w:val="1"/>
      <w:numFmt w:val="bullet"/>
      <w:lvlText w:val="•"/>
      <w:lvlJc w:val="left"/>
      <w:pPr>
        <w:ind w:left="4055" w:hanging="360"/>
      </w:pPr>
      <w:rPr>
        <w:rFonts w:hint="default"/>
      </w:rPr>
    </w:lvl>
    <w:lvl w:ilvl="4" w:tplc="4680FA18">
      <w:start w:val="1"/>
      <w:numFmt w:val="bullet"/>
      <w:lvlText w:val="•"/>
      <w:lvlJc w:val="left"/>
      <w:pPr>
        <w:ind w:left="5039" w:hanging="360"/>
      </w:pPr>
      <w:rPr>
        <w:rFonts w:hint="default"/>
      </w:rPr>
    </w:lvl>
    <w:lvl w:ilvl="5" w:tplc="19E60E0E">
      <w:start w:val="1"/>
      <w:numFmt w:val="bullet"/>
      <w:lvlText w:val="•"/>
      <w:lvlJc w:val="left"/>
      <w:pPr>
        <w:ind w:left="6024" w:hanging="360"/>
      </w:pPr>
      <w:rPr>
        <w:rFonts w:hint="default"/>
      </w:rPr>
    </w:lvl>
    <w:lvl w:ilvl="6" w:tplc="6A5221D8">
      <w:start w:val="1"/>
      <w:numFmt w:val="bullet"/>
      <w:lvlText w:val="•"/>
      <w:lvlJc w:val="left"/>
      <w:pPr>
        <w:ind w:left="7008" w:hanging="360"/>
      </w:pPr>
      <w:rPr>
        <w:rFonts w:hint="default"/>
      </w:rPr>
    </w:lvl>
    <w:lvl w:ilvl="7" w:tplc="E15AF5D4">
      <w:start w:val="1"/>
      <w:numFmt w:val="bullet"/>
      <w:lvlText w:val="•"/>
      <w:lvlJc w:val="left"/>
      <w:pPr>
        <w:ind w:left="7993" w:hanging="360"/>
      </w:pPr>
      <w:rPr>
        <w:rFonts w:hint="default"/>
      </w:rPr>
    </w:lvl>
    <w:lvl w:ilvl="8" w:tplc="77846BCE">
      <w:start w:val="1"/>
      <w:numFmt w:val="bullet"/>
      <w:lvlText w:val="•"/>
      <w:lvlJc w:val="left"/>
      <w:pPr>
        <w:ind w:left="8977" w:hanging="360"/>
      </w:pPr>
      <w:rPr>
        <w:rFonts w:hint="default"/>
      </w:rPr>
    </w:lvl>
  </w:abstractNum>
  <w:abstractNum w:abstractNumId="71" w15:restartNumberingAfterBreak="0">
    <w:nsid w:val="44C8718F"/>
    <w:multiLevelType w:val="hybridMultilevel"/>
    <w:tmpl w:val="D87C9368"/>
    <w:lvl w:ilvl="0" w:tplc="66042F1A">
      <w:start w:val="1"/>
      <w:numFmt w:val="decimal"/>
      <w:lvlText w:val="%1."/>
      <w:lvlJc w:val="left"/>
      <w:pPr>
        <w:ind w:left="1242" w:hanging="360"/>
        <w:jc w:val="right"/>
      </w:pPr>
      <w:rPr>
        <w:rFonts w:ascii="Times New Roman" w:eastAsia="Arial" w:hAnsi="Times New Roman" w:cs="Times New Roman" w:hint="default"/>
        <w:w w:val="99"/>
        <w:sz w:val="24"/>
        <w:szCs w:val="24"/>
      </w:rPr>
    </w:lvl>
    <w:lvl w:ilvl="1" w:tplc="12964932">
      <w:start w:val="1"/>
      <w:numFmt w:val="bullet"/>
      <w:lvlText w:val="•"/>
      <w:lvlJc w:val="left"/>
      <w:pPr>
        <w:ind w:left="2226" w:hanging="360"/>
      </w:pPr>
      <w:rPr>
        <w:rFonts w:hint="default"/>
      </w:rPr>
    </w:lvl>
    <w:lvl w:ilvl="2" w:tplc="6270CCAC">
      <w:start w:val="1"/>
      <w:numFmt w:val="bullet"/>
      <w:lvlText w:val="•"/>
      <w:lvlJc w:val="left"/>
      <w:pPr>
        <w:ind w:left="3210" w:hanging="360"/>
      </w:pPr>
      <w:rPr>
        <w:rFonts w:hint="default"/>
      </w:rPr>
    </w:lvl>
    <w:lvl w:ilvl="3" w:tplc="87D80AFC">
      <w:start w:val="1"/>
      <w:numFmt w:val="bullet"/>
      <w:lvlText w:val="•"/>
      <w:lvlJc w:val="left"/>
      <w:pPr>
        <w:ind w:left="4194" w:hanging="360"/>
      </w:pPr>
      <w:rPr>
        <w:rFonts w:hint="default"/>
      </w:rPr>
    </w:lvl>
    <w:lvl w:ilvl="4" w:tplc="9F44859E">
      <w:start w:val="1"/>
      <w:numFmt w:val="bullet"/>
      <w:lvlText w:val="•"/>
      <w:lvlJc w:val="left"/>
      <w:pPr>
        <w:ind w:left="5179" w:hanging="360"/>
      </w:pPr>
      <w:rPr>
        <w:rFonts w:hint="default"/>
      </w:rPr>
    </w:lvl>
    <w:lvl w:ilvl="5" w:tplc="7A6E6550">
      <w:start w:val="1"/>
      <w:numFmt w:val="bullet"/>
      <w:lvlText w:val="•"/>
      <w:lvlJc w:val="left"/>
      <w:pPr>
        <w:ind w:left="6163" w:hanging="360"/>
      </w:pPr>
      <w:rPr>
        <w:rFonts w:hint="default"/>
      </w:rPr>
    </w:lvl>
    <w:lvl w:ilvl="6" w:tplc="47341E18">
      <w:start w:val="1"/>
      <w:numFmt w:val="bullet"/>
      <w:lvlText w:val="•"/>
      <w:lvlJc w:val="left"/>
      <w:pPr>
        <w:ind w:left="7147" w:hanging="360"/>
      </w:pPr>
      <w:rPr>
        <w:rFonts w:hint="default"/>
      </w:rPr>
    </w:lvl>
    <w:lvl w:ilvl="7" w:tplc="CD9EB830">
      <w:start w:val="1"/>
      <w:numFmt w:val="bullet"/>
      <w:lvlText w:val="•"/>
      <w:lvlJc w:val="left"/>
      <w:pPr>
        <w:ind w:left="8132" w:hanging="360"/>
      </w:pPr>
      <w:rPr>
        <w:rFonts w:hint="default"/>
      </w:rPr>
    </w:lvl>
    <w:lvl w:ilvl="8" w:tplc="8B92E294">
      <w:start w:val="1"/>
      <w:numFmt w:val="bullet"/>
      <w:lvlText w:val="•"/>
      <w:lvlJc w:val="left"/>
      <w:pPr>
        <w:ind w:left="9116" w:hanging="360"/>
      </w:pPr>
      <w:rPr>
        <w:rFonts w:hint="default"/>
      </w:rPr>
    </w:lvl>
  </w:abstractNum>
  <w:abstractNum w:abstractNumId="72" w15:restartNumberingAfterBreak="0">
    <w:nsid w:val="475D7F49"/>
    <w:multiLevelType w:val="hybridMultilevel"/>
    <w:tmpl w:val="E6C22898"/>
    <w:lvl w:ilvl="0" w:tplc="163E93BA">
      <w:start w:val="1"/>
      <w:numFmt w:val="decimal"/>
      <w:lvlText w:val="%1."/>
      <w:lvlJc w:val="left"/>
      <w:pPr>
        <w:ind w:left="1102" w:hanging="360"/>
      </w:pPr>
      <w:rPr>
        <w:rFonts w:ascii="Times New Roman" w:eastAsia="Arial" w:hAnsi="Times New Roman" w:cs="Times New Roman" w:hint="default"/>
        <w:w w:val="99"/>
        <w:sz w:val="24"/>
        <w:szCs w:val="24"/>
      </w:rPr>
    </w:lvl>
    <w:lvl w:ilvl="1" w:tplc="CBB2040C">
      <w:start w:val="1"/>
      <w:numFmt w:val="lowerLetter"/>
      <w:lvlText w:val="%2)"/>
      <w:lvlJc w:val="left"/>
      <w:pPr>
        <w:ind w:left="1451" w:hanging="284"/>
      </w:pPr>
      <w:rPr>
        <w:rFonts w:ascii="Times New Roman" w:eastAsia="Arial" w:hAnsi="Times New Roman" w:cs="Times New Roman" w:hint="default"/>
        <w:w w:val="99"/>
        <w:sz w:val="24"/>
        <w:szCs w:val="24"/>
      </w:rPr>
    </w:lvl>
    <w:lvl w:ilvl="2" w:tplc="5D6436D2">
      <w:start w:val="1"/>
      <w:numFmt w:val="bullet"/>
      <w:lvlText w:val="•"/>
      <w:lvlJc w:val="left"/>
      <w:pPr>
        <w:ind w:left="2506" w:hanging="284"/>
      </w:pPr>
      <w:rPr>
        <w:rFonts w:hint="default"/>
      </w:rPr>
    </w:lvl>
    <w:lvl w:ilvl="3" w:tplc="92228A82">
      <w:start w:val="1"/>
      <w:numFmt w:val="bullet"/>
      <w:lvlText w:val="•"/>
      <w:lvlJc w:val="left"/>
      <w:pPr>
        <w:ind w:left="3560" w:hanging="284"/>
      </w:pPr>
      <w:rPr>
        <w:rFonts w:hint="default"/>
      </w:rPr>
    </w:lvl>
    <w:lvl w:ilvl="4" w:tplc="3544C152">
      <w:start w:val="1"/>
      <w:numFmt w:val="bullet"/>
      <w:lvlText w:val="•"/>
      <w:lvlJc w:val="left"/>
      <w:pPr>
        <w:ind w:left="4615" w:hanging="284"/>
      </w:pPr>
      <w:rPr>
        <w:rFonts w:hint="default"/>
      </w:rPr>
    </w:lvl>
    <w:lvl w:ilvl="5" w:tplc="0D04915C">
      <w:start w:val="1"/>
      <w:numFmt w:val="bullet"/>
      <w:lvlText w:val="•"/>
      <w:lvlJc w:val="left"/>
      <w:pPr>
        <w:ind w:left="5670" w:hanging="284"/>
      </w:pPr>
      <w:rPr>
        <w:rFonts w:hint="default"/>
      </w:rPr>
    </w:lvl>
    <w:lvl w:ilvl="6" w:tplc="070CA100">
      <w:start w:val="1"/>
      <w:numFmt w:val="bullet"/>
      <w:lvlText w:val="•"/>
      <w:lvlJc w:val="left"/>
      <w:pPr>
        <w:ind w:left="6725" w:hanging="284"/>
      </w:pPr>
      <w:rPr>
        <w:rFonts w:hint="default"/>
      </w:rPr>
    </w:lvl>
    <w:lvl w:ilvl="7" w:tplc="04D83D18">
      <w:start w:val="1"/>
      <w:numFmt w:val="bullet"/>
      <w:lvlText w:val="•"/>
      <w:lvlJc w:val="left"/>
      <w:pPr>
        <w:ind w:left="7780" w:hanging="284"/>
      </w:pPr>
      <w:rPr>
        <w:rFonts w:hint="default"/>
      </w:rPr>
    </w:lvl>
    <w:lvl w:ilvl="8" w:tplc="4B9C34A0">
      <w:start w:val="1"/>
      <w:numFmt w:val="bullet"/>
      <w:lvlText w:val="•"/>
      <w:lvlJc w:val="left"/>
      <w:pPr>
        <w:ind w:left="8835" w:hanging="284"/>
      </w:pPr>
      <w:rPr>
        <w:rFonts w:hint="default"/>
      </w:rPr>
    </w:lvl>
  </w:abstractNum>
  <w:abstractNum w:abstractNumId="73" w15:restartNumberingAfterBreak="0">
    <w:nsid w:val="47890347"/>
    <w:multiLevelType w:val="hybridMultilevel"/>
    <w:tmpl w:val="C37ACDE2"/>
    <w:lvl w:ilvl="0" w:tplc="00FC2A7A">
      <w:start w:val="1"/>
      <w:numFmt w:val="decimal"/>
      <w:lvlText w:val="%1."/>
      <w:lvlJc w:val="left"/>
      <w:pPr>
        <w:ind w:left="1182" w:hanging="360"/>
      </w:pPr>
      <w:rPr>
        <w:rFonts w:ascii="Times New Roman" w:eastAsia="Arial" w:hAnsi="Times New Roman" w:cs="Times New Roman" w:hint="default"/>
        <w:w w:val="99"/>
        <w:sz w:val="24"/>
        <w:szCs w:val="24"/>
      </w:rPr>
    </w:lvl>
    <w:lvl w:ilvl="1" w:tplc="E5324BB4">
      <w:start w:val="1"/>
      <w:numFmt w:val="bullet"/>
      <w:lvlText w:val="•"/>
      <w:lvlJc w:val="left"/>
      <w:pPr>
        <w:ind w:left="2166" w:hanging="360"/>
      </w:pPr>
      <w:rPr>
        <w:rFonts w:hint="default"/>
      </w:rPr>
    </w:lvl>
    <w:lvl w:ilvl="2" w:tplc="AE600640">
      <w:start w:val="1"/>
      <w:numFmt w:val="bullet"/>
      <w:lvlText w:val="•"/>
      <w:lvlJc w:val="left"/>
      <w:pPr>
        <w:ind w:left="3150" w:hanging="360"/>
      </w:pPr>
      <w:rPr>
        <w:rFonts w:hint="default"/>
      </w:rPr>
    </w:lvl>
    <w:lvl w:ilvl="3" w:tplc="40D69BA0">
      <w:start w:val="1"/>
      <w:numFmt w:val="bullet"/>
      <w:lvlText w:val="•"/>
      <w:lvlJc w:val="left"/>
      <w:pPr>
        <w:ind w:left="4135" w:hanging="360"/>
      </w:pPr>
      <w:rPr>
        <w:rFonts w:hint="default"/>
      </w:rPr>
    </w:lvl>
    <w:lvl w:ilvl="4" w:tplc="C5748B44">
      <w:start w:val="1"/>
      <w:numFmt w:val="bullet"/>
      <w:lvlText w:val="•"/>
      <w:lvlJc w:val="left"/>
      <w:pPr>
        <w:ind w:left="5119" w:hanging="360"/>
      </w:pPr>
      <w:rPr>
        <w:rFonts w:hint="default"/>
      </w:rPr>
    </w:lvl>
    <w:lvl w:ilvl="5" w:tplc="10D40AEC">
      <w:start w:val="1"/>
      <w:numFmt w:val="bullet"/>
      <w:lvlText w:val="•"/>
      <w:lvlJc w:val="left"/>
      <w:pPr>
        <w:ind w:left="6104" w:hanging="360"/>
      </w:pPr>
      <w:rPr>
        <w:rFonts w:hint="default"/>
      </w:rPr>
    </w:lvl>
    <w:lvl w:ilvl="6" w:tplc="8244D5B6">
      <w:start w:val="1"/>
      <w:numFmt w:val="bullet"/>
      <w:lvlText w:val="•"/>
      <w:lvlJc w:val="left"/>
      <w:pPr>
        <w:ind w:left="7088" w:hanging="360"/>
      </w:pPr>
      <w:rPr>
        <w:rFonts w:hint="default"/>
      </w:rPr>
    </w:lvl>
    <w:lvl w:ilvl="7" w:tplc="5AAE4FB8">
      <w:start w:val="1"/>
      <w:numFmt w:val="bullet"/>
      <w:lvlText w:val="•"/>
      <w:lvlJc w:val="left"/>
      <w:pPr>
        <w:ind w:left="8073" w:hanging="360"/>
      </w:pPr>
      <w:rPr>
        <w:rFonts w:hint="default"/>
      </w:rPr>
    </w:lvl>
    <w:lvl w:ilvl="8" w:tplc="9548657E">
      <w:start w:val="1"/>
      <w:numFmt w:val="bullet"/>
      <w:lvlText w:val="•"/>
      <w:lvlJc w:val="left"/>
      <w:pPr>
        <w:ind w:left="9057" w:hanging="360"/>
      </w:pPr>
      <w:rPr>
        <w:rFonts w:hint="default"/>
      </w:rPr>
    </w:lvl>
  </w:abstractNum>
  <w:abstractNum w:abstractNumId="74" w15:restartNumberingAfterBreak="0">
    <w:nsid w:val="47FD688B"/>
    <w:multiLevelType w:val="hybridMultilevel"/>
    <w:tmpl w:val="D9CAD766"/>
    <w:lvl w:ilvl="0" w:tplc="143A588E">
      <w:start w:val="1"/>
      <w:numFmt w:val="decimal"/>
      <w:lvlText w:val="%1."/>
      <w:lvlJc w:val="left"/>
      <w:pPr>
        <w:ind w:left="1162" w:hanging="360"/>
        <w:jc w:val="right"/>
      </w:pPr>
      <w:rPr>
        <w:rFonts w:ascii="Times New Roman" w:eastAsia="Arial" w:hAnsi="Times New Roman" w:cs="Times New Roman" w:hint="default"/>
        <w:w w:val="99"/>
        <w:sz w:val="24"/>
        <w:szCs w:val="24"/>
      </w:rPr>
    </w:lvl>
    <w:lvl w:ilvl="1" w:tplc="FCC83222">
      <w:start w:val="1"/>
      <w:numFmt w:val="lowerLetter"/>
      <w:lvlText w:val="%2)"/>
      <w:lvlJc w:val="left"/>
      <w:pPr>
        <w:ind w:left="1511" w:hanging="284"/>
        <w:jc w:val="right"/>
      </w:pPr>
      <w:rPr>
        <w:rFonts w:ascii="Times New Roman" w:eastAsia="Arial" w:hAnsi="Times New Roman" w:cs="Times New Roman" w:hint="default"/>
        <w:b/>
        <w:bCs/>
        <w:w w:val="99"/>
        <w:sz w:val="24"/>
        <w:szCs w:val="24"/>
      </w:rPr>
    </w:lvl>
    <w:lvl w:ilvl="2" w:tplc="DE2CC074">
      <w:start w:val="1"/>
      <w:numFmt w:val="bullet"/>
      <w:lvlText w:val="•"/>
      <w:lvlJc w:val="left"/>
      <w:pPr>
        <w:ind w:left="1511" w:hanging="284"/>
      </w:pPr>
      <w:rPr>
        <w:rFonts w:hint="default"/>
      </w:rPr>
    </w:lvl>
    <w:lvl w:ilvl="3" w:tplc="A28C7B2A">
      <w:start w:val="1"/>
      <w:numFmt w:val="bullet"/>
      <w:lvlText w:val="•"/>
      <w:lvlJc w:val="left"/>
      <w:pPr>
        <w:ind w:left="2690" w:hanging="284"/>
      </w:pPr>
      <w:rPr>
        <w:rFonts w:hint="default"/>
      </w:rPr>
    </w:lvl>
    <w:lvl w:ilvl="4" w:tplc="885E2858">
      <w:start w:val="1"/>
      <w:numFmt w:val="bullet"/>
      <w:lvlText w:val="•"/>
      <w:lvlJc w:val="left"/>
      <w:pPr>
        <w:ind w:left="3869" w:hanging="284"/>
      </w:pPr>
      <w:rPr>
        <w:rFonts w:hint="default"/>
      </w:rPr>
    </w:lvl>
    <w:lvl w:ilvl="5" w:tplc="0DD4FF86">
      <w:start w:val="1"/>
      <w:numFmt w:val="bullet"/>
      <w:lvlText w:val="•"/>
      <w:lvlJc w:val="left"/>
      <w:pPr>
        <w:ind w:left="5048" w:hanging="284"/>
      </w:pPr>
      <w:rPr>
        <w:rFonts w:hint="default"/>
      </w:rPr>
    </w:lvl>
    <w:lvl w:ilvl="6" w:tplc="4D5427F0">
      <w:start w:val="1"/>
      <w:numFmt w:val="bullet"/>
      <w:lvlText w:val="•"/>
      <w:lvlJc w:val="left"/>
      <w:pPr>
        <w:ind w:left="6228" w:hanging="284"/>
      </w:pPr>
      <w:rPr>
        <w:rFonts w:hint="default"/>
      </w:rPr>
    </w:lvl>
    <w:lvl w:ilvl="7" w:tplc="902EDA62">
      <w:start w:val="1"/>
      <w:numFmt w:val="bullet"/>
      <w:lvlText w:val="•"/>
      <w:lvlJc w:val="left"/>
      <w:pPr>
        <w:ind w:left="7407" w:hanging="284"/>
      </w:pPr>
      <w:rPr>
        <w:rFonts w:hint="default"/>
      </w:rPr>
    </w:lvl>
    <w:lvl w:ilvl="8" w:tplc="9AB0E62C">
      <w:start w:val="1"/>
      <w:numFmt w:val="bullet"/>
      <w:lvlText w:val="•"/>
      <w:lvlJc w:val="left"/>
      <w:pPr>
        <w:ind w:left="8586" w:hanging="284"/>
      </w:pPr>
      <w:rPr>
        <w:rFonts w:hint="default"/>
      </w:rPr>
    </w:lvl>
  </w:abstractNum>
  <w:abstractNum w:abstractNumId="75" w15:restartNumberingAfterBreak="0">
    <w:nsid w:val="4A2668BC"/>
    <w:multiLevelType w:val="hybridMultilevel"/>
    <w:tmpl w:val="4808F1E0"/>
    <w:lvl w:ilvl="0" w:tplc="BBAE88E2">
      <w:start w:val="1"/>
      <w:numFmt w:val="lowerLetter"/>
      <w:lvlText w:val="%1."/>
      <w:lvlJc w:val="left"/>
      <w:pPr>
        <w:ind w:left="1268" w:hanging="426"/>
        <w:jc w:val="right"/>
      </w:pPr>
      <w:rPr>
        <w:rFonts w:ascii="Times New Roman" w:eastAsia="Arial" w:hAnsi="Times New Roman" w:cs="Times New Roman" w:hint="default"/>
        <w:b/>
        <w:bCs/>
        <w:w w:val="99"/>
        <w:sz w:val="24"/>
        <w:szCs w:val="24"/>
      </w:rPr>
    </w:lvl>
    <w:lvl w:ilvl="1" w:tplc="1600580A">
      <w:start w:val="1"/>
      <w:numFmt w:val="bullet"/>
      <w:lvlText w:val="•"/>
      <w:lvlJc w:val="left"/>
      <w:pPr>
        <w:ind w:left="2245" w:hanging="426"/>
      </w:pPr>
      <w:rPr>
        <w:rFonts w:hint="default"/>
      </w:rPr>
    </w:lvl>
    <w:lvl w:ilvl="2" w:tplc="0C742FFA">
      <w:start w:val="1"/>
      <w:numFmt w:val="bullet"/>
      <w:lvlText w:val="•"/>
      <w:lvlJc w:val="left"/>
      <w:pPr>
        <w:ind w:left="3223" w:hanging="426"/>
      </w:pPr>
      <w:rPr>
        <w:rFonts w:hint="default"/>
      </w:rPr>
    </w:lvl>
    <w:lvl w:ilvl="3" w:tplc="D7128A6A">
      <w:start w:val="1"/>
      <w:numFmt w:val="bullet"/>
      <w:lvlText w:val="•"/>
      <w:lvlJc w:val="left"/>
      <w:pPr>
        <w:ind w:left="4201" w:hanging="426"/>
      </w:pPr>
      <w:rPr>
        <w:rFonts w:hint="default"/>
      </w:rPr>
    </w:lvl>
    <w:lvl w:ilvl="4" w:tplc="9732C98E">
      <w:start w:val="1"/>
      <w:numFmt w:val="bullet"/>
      <w:lvlText w:val="•"/>
      <w:lvlJc w:val="left"/>
      <w:pPr>
        <w:ind w:left="5178" w:hanging="426"/>
      </w:pPr>
      <w:rPr>
        <w:rFonts w:hint="default"/>
      </w:rPr>
    </w:lvl>
    <w:lvl w:ilvl="5" w:tplc="D1C88010">
      <w:start w:val="1"/>
      <w:numFmt w:val="bullet"/>
      <w:lvlText w:val="•"/>
      <w:lvlJc w:val="left"/>
      <w:pPr>
        <w:ind w:left="6156" w:hanging="426"/>
      </w:pPr>
      <w:rPr>
        <w:rFonts w:hint="default"/>
      </w:rPr>
    </w:lvl>
    <w:lvl w:ilvl="6" w:tplc="4C3CEA82">
      <w:start w:val="1"/>
      <w:numFmt w:val="bullet"/>
      <w:lvlText w:val="•"/>
      <w:lvlJc w:val="left"/>
      <w:pPr>
        <w:ind w:left="7134" w:hanging="426"/>
      </w:pPr>
      <w:rPr>
        <w:rFonts w:hint="default"/>
      </w:rPr>
    </w:lvl>
    <w:lvl w:ilvl="7" w:tplc="384ACBDA">
      <w:start w:val="1"/>
      <w:numFmt w:val="bullet"/>
      <w:lvlText w:val="•"/>
      <w:lvlJc w:val="left"/>
      <w:pPr>
        <w:ind w:left="8112" w:hanging="426"/>
      </w:pPr>
      <w:rPr>
        <w:rFonts w:hint="default"/>
      </w:rPr>
    </w:lvl>
    <w:lvl w:ilvl="8" w:tplc="286C380C">
      <w:start w:val="1"/>
      <w:numFmt w:val="bullet"/>
      <w:lvlText w:val="•"/>
      <w:lvlJc w:val="left"/>
      <w:pPr>
        <w:ind w:left="9089" w:hanging="426"/>
      </w:pPr>
      <w:rPr>
        <w:rFonts w:hint="default"/>
      </w:rPr>
    </w:lvl>
  </w:abstractNum>
  <w:abstractNum w:abstractNumId="76" w15:restartNumberingAfterBreak="0">
    <w:nsid w:val="4AE329BF"/>
    <w:multiLevelType w:val="hybridMultilevel"/>
    <w:tmpl w:val="362A5412"/>
    <w:lvl w:ilvl="0" w:tplc="BBE84C4A">
      <w:start w:val="1"/>
      <w:numFmt w:val="lowerLetter"/>
      <w:lvlText w:val="%1)"/>
      <w:lvlJc w:val="left"/>
      <w:pPr>
        <w:ind w:left="1602" w:hanging="295"/>
      </w:pPr>
      <w:rPr>
        <w:rFonts w:ascii="Times New Roman" w:eastAsia="Arial" w:hAnsi="Times New Roman" w:cs="Times New Roman" w:hint="default"/>
        <w:w w:val="99"/>
        <w:sz w:val="24"/>
        <w:szCs w:val="24"/>
      </w:rPr>
    </w:lvl>
    <w:lvl w:ilvl="1" w:tplc="C0A64270">
      <w:start w:val="1"/>
      <w:numFmt w:val="bullet"/>
      <w:lvlText w:val="•"/>
      <w:lvlJc w:val="left"/>
      <w:pPr>
        <w:ind w:left="2550" w:hanging="295"/>
      </w:pPr>
      <w:rPr>
        <w:rFonts w:hint="default"/>
      </w:rPr>
    </w:lvl>
    <w:lvl w:ilvl="2" w:tplc="2E084D2E">
      <w:start w:val="1"/>
      <w:numFmt w:val="bullet"/>
      <w:lvlText w:val="•"/>
      <w:lvlJc w:val="left"/>
      <w:pPr>
        <w:ind w:left="3499" w:hanging="295"/>
      </w:pPr>
      <w:rPr>
        <w:rFonts w:hint="default"/>
      </w:rPr>
    </w:lvl>
    <w:lvl w:ilvl="3" w:tplc="5080A3CE">
      <w:start w:val="1"/>
      <w:numFmt w:val="bullet"/>
      <w:lvlText w:val="•"/>
      <w:lvlJc w:val="left"/>
      <w:pPr>
        <w:ind w:left="4448" w:hanging="295"/>
      </w:pPr>
      <w:rPr>
        <w:rFonts w:hint="default"/>
      </w:rPr>
    </w:lvl>
    <w:lvl w:ilvl="4" w:tplc="7D5EF1A2">
      <w:start w:val="1"/>
      <w:numFmt w:val="bullet"/>
      <w:lvlText w:val="•"/>
      <w:lvlJc w:val="left"/>
      <w:pPr>
        <w:ind w:left="5396" w:hanging="295"/>
      </w:pPr>
      <w:rPr>
        <w:rFonts w:hint="default"/>
      </w:rPr>
    </w:lvl>
    <w:lvl w:ilvl="5" w:tplc="6A64EC16">
      <w:start w:val="1"/>
      <w:numFmt w:val="bullet"/>
      <w:lvlText w:val="•"/>
      <w:lvlJc w:val="left"/>
      <w:pPr>
        <w:ind w:left="6345" w:hanging="295"/>
      </w:pPr>
      <w:rPr>
        <w:rFonts w:hint="default"/>
      </w:rPr>
    </w:lvl>
    <w:lvl w:ilvl="6" w:tplc="C83083D0">
      <w:start w:val="1"/>
      <w:numFmt w:val="bullet"/>
      <w:lvlText w:val="•"/>
      <w:lvlJc w:val="left"/>
      <w:pPr>
        <w:ind w:left="7294" w:hanging="295"/>
      </w:pPr>
      <w:rPr>
        <w:rFonts w:hint="default"/>
      </w:rPr>
    </w:lvl>
    <w:lvl w:ilvl="7" w:tplc="3FFAB7D6">
      <w:start w:val="1"/>
      <w:numFmt w:val="bullet"/>
      <w:lvlText w:val="•"/>
      <w:lvlJc w:val="left"/>
      <w:pPr>
        <w:ind w:left="8242" w:hanging="295"/>
      </w:pPr>
      <w:rPr>
        <w:rFonts w:hint="default"/>
      </w:rPr>
    </w:lvl>
    <w:lvl w:ilvl="8" w:tplc="0C16E628">
      <w:start w:val="1"/>
      <w:numFmt w:val="bullet"/>
      <w:lvlText w:val="•"/>
      <w:lvlJc w:val="left"/>
      <w:pPr>
        <w:ind w:left="9191" w:hanging="295"/>
      </w:pPr>
      <w:rPr>
        <w:rFonts w:hint="default"/>
      </w:rPr>
    </w:lvl>
  </w:abstractNum>
  <w:abstractNum w:abstractNumId="77" w15:restartNumberingAfterBreak="0">
    <w:nsid w:val="4B5A7834"/>
    <w:multiLevelType w:val="hybridMultilevel"/>
    <w:tmpl w:val="10CEF194"/>
    <w:lvl w:ilvl="0" w:tplc="CA3289F0">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56F08A74">
      <w:start w:val="1"/>
      <w:numFmt w:val="lowerLetter"/>
      <w:lvlText w:val="%2)"/>
      <w:lvlJc w:val="left"/>
      <w:pPr>
        <w:ind w:left="1451" w:hanging="284"/>
      </w:pPr>
      <w:rPr>
        <w:rFonts w:ascii="Times New Roman" w:eastAsia="Arial" w:hAnsi="Times New Roman" w:cs="Times New Roman" w:hint="default"/>
        <w:w w:val="99"/>
        <w:sz w:val="24"/>
        <w:szCs w:val="24"/>
      </w:rPr>
    </w:lvl>
    <w:lvl w:ilvl="2" w:tplc="D596714A">
      <w:start w:val="1"/>
      <w:numFmt w:val="bullet"/>
      <w:lvlText w:val="•"/>
      <w:lvlJc w:val="left"/>
      <w:pPr>
        <w:ind w:left="2506" w:hanging="284"/>
      </w:pPr>
      <w:rPr>
        <w:rFonts w:hint="default"/>
      </w:rPr>
    </w:lvl>
    <w:lvl w:ilvl="3" w:tplc="955A2ECE">
      <w:start w:val="1"/>
      <w:numFmt w:val="bullet"/>
      <w:lvlText w:val="•"/>
      <w:lvlJc w:val="left"/>
      <w:pPr>
        <w:ind w:left="3560" w:hanging="284"/>
      </w:pPr>
      <w:rPr>
        <w:rFonts w:hint="default"/>
      </w:rPr>
    </w:lvl>
    <w:lvl w:ilvl="4" w:tplc="DC5C499C">
      <w:start w:val="1"/>
      <w:numFmt w:val="bullet"/>
      <w:lvlText w:val="•"/>
      <w:lvlJc w:val="left"/>
      <w:pPr>
        <w:ind w:left="4615" w:hanging="284"/>
      </w:pPr>
      <w:rPr>
        <w:rFonts w:hint="default"/>
      </w:rPr>
    </w:lvl>
    <w:lvl w:ilvl="5" w:tplc="575CE624">
      <w:start w:val="1"/>
      <w:numFmt w:val="bullet"/>
      <w:lvlText w:val="•"/>
      <w:lvlJc w:val="left"/>
      <w:pPr>
        <w:ind w:left="5670" w:hanging="284"/>
      </w:pPr>
      <w:rPr>
        <w:rFonts w:hint="default"/>
      </w:rPr>
    </w:lvl>
    <w:lvl w:ilvl="6" w:tplc="AF142D68">
      <w:start w:val="1"/>
      <w:numFmt w:val="bullet"/>
      <w:lvlText w:val="•"/>
      <w:lvlJc w:val="left"/>
      <w:pPr>
        <w:ind w:left="6725" w:hanging="284"/>
      </w:pPr>
      <w:rPr>
        <w:rFonts w:hint="default"/>
      </w:rPr>
    </w:lvl>
    <w:lvl w:ilvl="7" w:tplc="388E2BD4">
      <w:start w:val="1"/>
      <w:numFmt w:val="bullet"/>
      <w:lvlText w:val="•"/>
      <w:lvlJc w:val="left"/>
      <w:pPr>
        <w:ind w:left="7780" w:hanging="284"/>
      </w:pPr>
      <w:rPr>
        <w:rFonts w:hint="default"/>
      </w:rPr>
    </w:lvl>
    <w:lvl w:ilvl="8" w:tplc="C0003DEE">
      <w:start w:val="1"/>
      <w:numFmt w:val="bullet"/>
      <w:lvlText w:val="•"/>
      <w:lvlJc w:val="left"/>
      <w:pPr>
        <w:ind w:left="8835" w:hanging="284"/>
      </w:pPr>
      <w:rPr>
        <w:rFonts w:hint="default"/>
      </w:rPr>
    </w:lvl>
  </w:abstractNum>
  <w:abstractNum w:abstractNumId="78" w15:restartNumberingAfterBreak="0">
    <w:nsid w:val="4C59344F"/>
    <w:multiLevelType w:val="multilevel"/>
    <w:tmpl w:val="6186A952"/>
    <w:lvl w:ilvl="0">
      <w:start w:val="6"/>
      <w:numFmt w:val="upperRoman"/>
      <w:lvlText w:val="%1"/>
      <w:lvlJc w:val="left"/>
      <w:pPr>
        <w:ind w:left="576" w:hanging="453"/>
      </w:pPr>
      <w:rPr>
        <w:rFonts w:hint="default"/>
      </w:rPr>
    </w:lvl>
    <w:lvl w:ilvl="1">
      <w:start w:val="5"/>
      <w:numFmt w:val="decimal"/>
      <w:lvlText w:val="%1.%2"/>
      <w:lvlJc w:val="left"/>
      <w:pPr>
        <w:ind w:left="576" w:hanging="453"/>
      </w:pPr>
      <w:rPr>
        <w:rFonts w:ascii="Arial" w:eastAsia="Arial" w:hAnsi="Arial" w:hint="default"/>
        <w:w w:val="99"/>
        <w:sz w:val="22"/>
        <w:szCs w:val="22"/>
      </w:rPr>
    </w:lvl>
    <w:lvl w:ilvl="2">
      <w:start w:val="1"/>
      <w:numFmt w:val="bullet"/>
      <w:lvlText w:val=""/>
      <w:lvlJc w:val="left"/>
      <w:pPr>
        <w:ind w:left="1184" w:hanging="360"/>
      </w:pPr>
      <w:rPr>
        <w:rFonts w:ascii="Symbol" w:eastAsia="Symbol" w:hAnsi="Symbol" w:hint="default"/>
        <w:w w:val="99"/>
        <w:sz w:val="22"/>
        <w:szCs w:val="22"/>
      </w:rPr>
    </w:lvl>
    <w:lvl w:ilvl="3">
      <w:start w:val="1"/>
      <w:numFmt w:val="bullet"/>
      <w:lvlText w:val=""/>
      <w:lvlJc w:val="left"/>
      <w:pPr>
        <w:ind w:left="1308" w:hanging="426"/>
      </w:pPr>
      <w:rPr>
        <w:rFonts w:ascii="Symbol" w:eastAsia="Symbol" w:hAnsi="Symbol" w:hint="default"/>
        <w:w w:val="99"/>
        <w:sz w:val="22"/>
        <w:szCs w:val="22"/>
      </w:rPr>
    </w:lvl>
    <w:lvl w:ilvl="4">
      <w:start w:val="1"/>
      <w:numFmt w:val="bullet"/>
      <w:lvlText w:val="•"/>
      <w:lvlJc w:val="left"/>
      <w:pPr>
        <w:ind w:left="3253" w:hanging="426"/>
      </w:pPr>
      <w:rPr>
        <w:rFonts w:hint="default"/>
      </w:rPr>
    </w:lvl>
    <w:lvl w:ilvl="5">
      <w:start w:val="1"/>
      <w:numFmt w:val="bullet"/>
      <w:lvlText w:val="•"/>
      <w:lvlJc w:val="left"/>
      <w:pPr>
        <w:ind w:left="4225" w:hanging="426"/>
      </w:pPr>
      <w:rPr>
        <w:rFonts w:hint="default"/>
      </w:rPr>
    </w:lvl>
    <w:lvl w:ilvl="6">
      <w:start w:val="1"/>
      <w:numFmt w:val="bullet"/>
      <w:lvlText w:val="•"/>
      <w:lvlJc w:val="left"/>
      <w:pPr>
        <w:ind w:left="5198" w:hanging="426"/>
      </w:pPr>
      <w:rPr>
        <w:rFonts w:hint="default"/>
      </w:rPr>
    </w:lvl>
    <w:lvl w:ilvl="7">
      <w:start w:val="1"/>
      <w:numFmt w:val="bullet"/>
      <w:lvlText w:val="•"/>
      <w:lvlJc w:val="left"/>
      <w:pPr>
        <w:ind w:left="6171" w:hanging="426"/>
      </w:pPr>
      <w:rPr>
        <w:rFonts w:hint="default"/>
      </w:rPr>
    </w:lvl>
    <w:lvl w:ilvl="8">
      <w:start w:val="1"/>
      <w:numFmt w:val="bullet"/>
      <w:lvlText w:val="•"/>
      <w:lvlJc w:val="left"/>
      <w:pPr>
        <w:ind w:left="7143" w:hanging="426"/>
      </w:pPr>
      <w:rPr>
        <w:rFonts w:hint="default"/>
      </w:rPr>
    </w:lvl>
  </w:abstractNum>
  <w:abstractNum w:abstractNumId="79" w15:restartNumberingAfterBreak="0">
    <w:nsid w:val="4CC435FC"/>
    <w:multiLevelType w:val="hybridMultilevel"/>
    <w:tmpl w:val="6D745C60"/>
    <w:lvl w:ilvl="0" w:tplc="49F6D8F8">
      <w:start w:val="1"/>
      <w:numFmt w:val="bullet"/>
      <w:lvlText w:val=""/>
      <w:lvlJc w:val="left"/>
      <w:pPr>
        <w:ind w:left="1522" w:hanging="294"/>
      </w:pPr>
      <w:rPr>
        <w:rFonts w:ascii="Symbol" w:eastAsia="Symbol" w:hAnsi="Symbol" w:hint="default"/>
        <w:w w:val="99"/>
        <w:sz w:val="22"/>
        <w:szCs w:val="22"/>
      </w:rPr>
    </w:lvl>
    <w:lvl w:ilvl="1" w:tplc="37F4DFC2">
      <w:start w:val="1"/>
      <w:numFmt w:val="bullet"/>
      <w:lvlText w:val="•"/>
      <w:lvlJc w:val="left"/>
      <w:pPr>
        <w:ind w:left="2470" w:hanging="294"/>
      </w:pPr>
      <w:rPr>
        <w:rFonts w:hint="default"/>
      </w:rPr>
    </w:lvl>
    <w:lvl w:ilvl="2" w:tplc="D4BCECE8">
      <w:start w:val="1"/>
      <w:numFmt w:val="bullet"/>
      <w:lvlText w:val="•"/>
      <w:lvlJc w:val="left"/>
      <w:pPr>
        <w:ind w:left="3418" w:hanging="294"/>
      </w:pPr>
      <w:rPr>
        <w:rFonts w:hint="default"/>
      </w:rPr>
    </w:lvl>
    <w:lvl w:ilvl="3" w:tplc="0DC0C320">
      <w:start w:val="1"/>
      <w:numFmt w:val="bullet"/>
      <w:lvlText w:val="•"/>
      <w:lvlJc w:val="left"/>
      <w:pPr>
        <w:ind w:left="4366" w:hanging="294"/>
      </w:pPr>
      <w:rPr>
        <w:rFonts w:hint="default"/>
      </w:rPr>
    </w:lvl>
    <w:lvl w:ilvl="4" w:tplc="2E027644">
      <w:start w:val="1"/>
      <w:numFmt w:val="bullet"/>
      <w:lvlText w:val="•"/>
      <w:lvlJc w:val="left"/>
      <w:pPr>
        <w:ind w:left="5315" w:hanging="294"/>
      </w:pPr>
      <w:rPr>
        <w:rFonts w:hint="default"/>
      </w:rPr>
    </w:lvl>
    <w:lvl w:ilvl="5" w:tplc="AF805662">
      <w:start w:val="1"/>
      <w:numFmt w:val="bullet"/>
      <w:lvlText w:val="•"/>
      <w:lvlJc w:val="left"/>
      <w:pPr>
        <w:ind w:left="6263" w:hanging="294"/>
      </w:pPr>
      <w:rPr>
        <w:rFonts w:hint="default"/>
      </w:rPr>
    </w:lvl>
    <w:lvl w:ilvl="6" w:tplc="45461792">
      <w:start w:val="1"/>
      <w:numFmt w:val="bullet"/>
      <w:lvlText w:val="•"/>
      <w:lvlJc w:val="left"/>
      <w:pPr>
        <w:ind w:left="7211" w:hanging="294"/>
      </w:pPr>
      <w:rPr>
        <w:rFonts w:hint="default"/>
      </w:rPr>
    </w:lvl>
    <w:lvl w:ilvl="7" w:tplc="AD0C496E">
      <w:start w:val="1"/>
      <w:numFmt w:val="bullet"/>
      <w:lvlText w:val="•"/>
      <w:lvlJc w:val="left"/>
      <w:pPr>
        <w:ind w:left="8160" w:hanging="294"/>
      </w:pPr>
      <w:rPr>
        <w:rFonts w:hint="default"/>
      </w:rPr>
    </w:lvl>
    <w:lvl w:ilvl="8" w:tplc="5E22CAAA">
      <w:start w:val="1"/>
      <w:numFmt w:val="bullet"/>
      <w:lvlText w:val="•"/>
      <w:lvlJc w:val="left"/>
      <w:pPr>
        <w:ind w:left="9108" w:hanging="294"/>
      </w:pPr>
      <w:rPr>
        <w:rFonts w:hint="default"/>
      </w:rPr>
    </w:lvl>
  </w:abstractNum>
  <w:abstractNum w:abstractNumId="80" w15:restartNumberingAfterBreak="0">
    <w:nsid w:val="4CF63D80"/>
    <w:multiLevelType w:val="hybridMultilevel"/>
    <w:tmpl w:val="5712CB70"/>
    <w:lvl w:ilvl="0" w:tplc="35B2385E">
      <w:start w:val="1"/>
      <w:numFmt w:val="lowerLetter"/>
      <w:lvlText w:val="%1."/>
      <w:lvlJc w:val="left"/>
      <w:pPr>
        <w:ind w:left="802" w:hanging="300"/>
      </w:pPr>
      <w:rPr>
        <w:rFonts w:ascii="Times New Roman" w:eastAsia="Arial" w:hAnsi="Times New Roman" w:cs="Times New Roman" w:hint="default"/>
        <w:w w:val="99"/>
        <w:sz w:val="24"/>
        <w:szCs w:val="24"/>
      </w:rPr>
    </w:lvl>
    <w:lvl w:ilvl="1" w:tplc="4D9267EE">
      <w:start w:val="1"/>
      <w:numFmt w:val="bullet"/>
      <w:lvlText w:val="•"/>
      <w:lvlJc w:val="left"/>
      <w:pPr>
        <w:ind w:left="1822" w:hanging="300"/>
      </w:pPr>
      <w:rPr>
        <w:rFonts w:hint="default"/>
      </w:rPr>
    </w:lvl>
    <w:lvl w:ilvl="2" w:tplc="74AA1B1E">
      <w:start w:val="1"/>
      <w:numFmt w:val="bullet"/>
      <w:lvlText w:val="•"/>
      <w:lvlJc w:val="left"/>
      <w:pPr>
        <w:ind w:left="2842" w:hanging="300"/>
      </w:pPr>
      <w:rPr>
        <w:rFonts w:hint="default"/>
      </w:rPr>
    </w:lvl>
    <w:lvl w:ilvl="3" w:tplc="A47CB1E6">
      <w:start w:val="1"/>
      <w:numFmt w:val="bullet"/>
      <w:lvlText w:val="•"/>
      <w:lvlJc w:val="left"/>
      <w:pPr>
        <w:ind w:left="3863" w:hanging="300"/>
      </w:pPr>
      <w:rPr>
        <w:rFonts w:hint="default"/>
      </w:rPr>
    </w:lvl>
    <w:lvl w:ilvl="4" w:tplc="7C2290C0">
      <w:start w:val="1"/>
      <w:numFmt w:val="bullet"/>
      <w:lvlText w:val="•"/>
      <w:lvlJc w:val="left"/>
      <w:pPr>
        <w:ind w:left="4883" w:hanging="300"/>
      </w:pPr>
      <w:rPr>
        <w:rFonts w:hint="default"/>
      </w:rPr>
    </w:lvl>
    <w:lvl w:ilvl="5" w:tplc="8CC02374">
      <w:start w:val="1"/>
      <w:numFmt w:val="bullet"/>
      <w:lvlText w:val="•"/>
      <w:lvlJc w:val="left"/>
      <w:pPr>
        <w:ind w:left="5904" w:hanging="300"/>
      </w:pPr>
      <w:rPr>
        <w:rFonts w:hint="default"/>
      </w:rPr>
    </w:lvl>
    <w:lvl w:ilvl="6" w:tplc="5E2079EA">
      <w:start w:val="1"/>
      <w:numFmt w:val="bullet"/>
      <w:lvlText w:val="•"/>
      <w:lvlJc w:val="left"/>
      <w:pPr>
        <w:ind w:left="6924" w:hanging="300"/>
      </w:pPr>
      <w:rPr>
        <w:rFonts w:hint="default"/>
      </w:rPr>
    </w:lvl>
    <w:lvl w:ilvl="7" w:tplc="6B82E2DA">
      <w:start w:val="1"/>
      <w:numFmt w:val="bullet"/>
      <w:lvlText w:val="•"/>
      <w:lvlJc w:val="left"/>
      <w:pPr>
        <w:ind w:left="7945" w:hanging="300"/>
      </w:pPr>
      <w:rPr>
        <w:rFonts w:hint="default"/>
      </w:rPr>
    </w:lvl>
    <w:lvl w:ilvl="8" w:tplc="82EAB0F0">
      <w:start w:val="1"/>
      <w:numFmt w:val="bullet"/>
      <w:lvlText w:val="•"/>
      <w:lvlJc w:val="left"/>
      <w:pPr>
        <w:ind w:left="8965" w:hanging="300"/>
      </w:pPr>
      <w:rPr>
        <w:rFonts w:hint="default"/>
      </w:rPr>
    </w:lvl>
  </w:abstractNum>
  <w:abstractNum w:abstractNumId="81" w15:restartNumberingAfterBreak="0">
    <w:nsid w:val="4F960562"/>
    <w:multiLevelType w:val="hybridMultilevel"/>
    <w:tmpl w:val="FCEC8B80"/>
    <w:lvl w:ilvl="0" w:tplc="32C4DD48">
      <w:start w:val="1"/>
      <w:numFmt w:val="decimal"/>
      <w:lvlText w:val="%1."/>
      <w:lvlJc w:val="left"/>
      <w:pPr>
        <w:ind w:left="1241" w:hanging="360"/>
      </w:pPr>
      <w:rPr>
        <w:rFonts w:ascii="Times New Roman" w:eastAsia="Arial" w:hAnsi="Times New Roman" w:cs="Times New Roman" w:hint="default"/>
        <w:w w:val="99"/>
        <w:sz w:val="24"/>
        <w:szCs w:val="24"/>
      </w:rPr>
    </w:lvl>
    <w:lvl w:ilvl="1" w:tplc="67242B9C">
      <w:start w:val="1"/>
      <w:numFmt w:val="bullet"/>
      <w:lvlText w:val=""/>
      <w:lvlJc w:val="left"/>
      <w:pPr>
        <w:ind w:left="1596" w:hanging="289"/>
      </w:pPr>
      <w:rPr>
        <w:rFonts w:ascii="Symbol" w:eastAsia="Symbol" w:hAnsi="Symbol" w:hint="default"/>
        <w:w w:val="99"/>
        <w:sz w:val="22"/>
        <w:szCs w:val="22"/>
      </w:rPr>
    </w:lvl>
    <w:lvl w:ilvl="2" w:tplc="460E13B8">
      <w:start w:val="1"/>
      <w:numFmt w:val="bullet"/>
      <w:lvlText w:val="•"/>
      <w:lvlJc w:val="left"/>
      <w:pPr>
        <w:ind w:left="1602" w:hanging="289"/>
      </w:pPr>
      <w:rPr>
        <w:rFonts w:hint="default"/>
      </w:rPr>
    </w:lvl>
    <w:lvl w:ilvl="3" w:tplc="F8349E56">
      <w:start w:val="1"/>
      <w:numFmt w:val="bullet"/>
      <w:lvlText w:val="•"/>
      <w:lvlJc w:val="left"/>
      <w:pPr>
        <w:ind w:left="2787" w:hanging="289"/>
      </w:pPr>
      <w:rPr>
        <w:rFonts w:hint="default"/>
      </w:rPr>
    </w:lvl>
    <w:lvl w:ilvl="4" w:tplc="C30AFA3C">
      <w:start w:val="1"/>
      <w:numFmt w:val="bullet"/>
      <w:lvlText w:val="•"/>
      <w:lvlJc w:val="left"/>
      <w:pPr>
        <w:ind w:left="3973" w:hanging="289"/>
      </w:pPr>
      <w:rPr>
        <w:rFonts w:hint="default"/>
      </w:rPr>
    </w:lvl>
    <w:lvl w:ilvl="5" w:tplc="97AAD08A">
      <w:start w:val="1"/>
      <w:numFmt w:val="bullet"/>
      <w:lvlText w:val="•"/>
      <w:lvlJc w:val="left"/>
      <w:pPr>
        <w:ind w:left="5159" w:hanging="289"/>
      </w:pPr>
      <w:rPr>
        <w:rFonts w:hint="default"/>
      </w:rPr>
    </w:lvl>
    <w:lvl w:ilvl="6" w:tplc="F4BA1EF2">
      <w:start w:val="1"/>
      <w:numFmt w:val="bullet"/>
      <w:lvlText w:val="•"/>
      <w:lvlJc w:val="left"/>
      <w:pPr>
        <w:ind w:left="6345" w:hanging="289"/>
      </w:pPr>
      <w:rPr>
        <w:rFonts w:hint="default"/>
      </w:rPr>
    </w:lvl>
    <w:lvl w:ilvl="7" w:tplc="7452D04E">
      <w:start w:val="1"/>
      <w:numFmt w:val="bullet"/>
      <w:lvlText w:val="•"/>
      <w:lvlJc w:val="left"/>
      <w:pPr>
        <w:ind w:left="7531" w:hanging="289"/>
      </w:pPr>
      <w:rPr>
        <w:rFonts w:hint="default"/>
      </w:rPr>
    </w:lvl>
    <w:lvl w:ilvl="8" w:tplc="FCD2CE8E">
      <w:start w:val="1"/>
      <w:numFmt w:val="bullet"/>
      <w:lvlText w:val="•"/>
      <w:lvlJc w:val="left"/>
      <w:pPr>
        <w:ind w:left="8717" w:hanging="289"/>
      </w:pPr>
      <w:rPr>
        <w:rFonts w:hint="default"/>
      </w:rPr>
    </w:lvl>
  </w:abstractNum>
  <w:abstractNum w:abstractNumId="82" w15:restartNumberingAfterBreak="0">
    <w:nsid w:val="4FCB76B7"/>
    <w:multiLevelType w:val="hybridMultilevel"/>
    <w:tmpl w:val="049646F0"/>
    <w:lvl w:ilvl="0" w:tplc="C17420D2">
      <w:start w:val="1"/>
      <w:numFmt w:val="decimal"/>
      <w:lvlText w:val="%1."/>
      <w:lvlJc w:val="left"/>
      <w:pPr>
        <w:ind w:left="1302" w:hanging="360"/>
        <w:jc w:val="right"/>
      </w:pPr>
      <w:rPr>
        <w:rFonts w:ascii="Times New Roman" w:eastAsia="Arial" w:hAnsi="Times New Roman" w:cs="Times New Roman" w:hint="default"/>
        <w:w w:val="99"/>
        <w:sz w:val="24"/>
        <w:szCs w:val="24"/>
      </w:rPr>
    </w:lvl>
    <w:lvl w:ilvl="1" w:tplc="DB6E931C">
      <w:start w:val="1"/>
      <w:numFmt w:val="lowerLetter"/>
      <w:lvlText w:val="%2)"/>
      <w:lvlJc w:val="left"/>
      <w:pPr>
        <w:ind w:left="1662" w:hanging="294"/>
        <w:jc w:val="right"/>
      </w:pPr>
      <w:rPr>
        <w:rFonts w:ascii="Times New Roman" w:eastAsia="Arial" w:hAnsi="Times New Roman" w:cs="Times New Roman" w:hint="default"/>
        <w:w w:val="99"/>
        <w:sz w:val="24"/>
        <w:szCs w:val="24"/>
      </w:rPr>
    </w:lvl>
    <w:lvl w:ilvl="2" w:tplc="AECC6A1E">
      <w:start w:val="1"/>
      <w:numFmt w:val="bullet"/>
      <w:lvlText w:val="•"/>
      <w:lvlJc w:val="left"/>
      <w:pPr>
        <w:ind w:left="2715" w:hanging="294"/>
      </w:pPr>
      <w:rPr>
        <w:rFonts w:hint="default"/>
      </w:rPr>
    </w:lvl>
    <w:lvl w:ilvl="3" w:tplc="59300150">
      <w:start w:val="1"/>
      <w:numFmt w:val="bullet"/>
      <w:lvlText w:val="•"/>
      <w:lvlJc w:val="left"/>
      <w:pPr>
        <w:ind w:left="3769" w:hanging="294"/>
      </w:pPr>
      <w:rPr>
        <w:rFonts w:hint="default"/>
      </w:rPr>
    </w:lvl>
    <w:lvl w:ilvl="4" w:tplc="A2344F9E">
      <w:start w:val="1"/>
      <w:numFmt w:val="bullet"/>
      <w:lvlText w:val="•"/>
      <w:lvlJc w:val="left"/>
      <w:pPr>
        <w:ind w:left="4823" w:hanging="294"/>
      </w:pPr>
      <w:rPr>
        <w:rFonts w:hint="default"/>
      </w:rPr>
    </w:lvl>
    <w:lvl w:ilvl="5" w:tplc="C0029496">
      <w:start w:val="1"/>
      <w:numFmt w:val="bullet"/>
      <w:lvlText w:val="•"/>
      <w:lvlJc w:val="left"/>
      <w:pPr>
        <w:ind w:left="5876" w:hanging="294"/>
      </w:pPr>
      <w:rPr>
        <w:rFonts w:hint="default"/>
      </w:rPr>
    </w:lvl>
    <w:lvl w:ilvl="6" w:tplc="C5F273DE">
      <w:start w:val="1"/>
      <w:numFmt w:val="bullet"/>
      <w:lvlText w:val="•"/>
      <w:lvlJc w:val="left"/>
      <w:pPr>
        <w:ind w:left="6930" w:hanging="294"/>
      </w:pPr>
      <w:rPr>
        <w:rFonts w:hint="default"/>
      </w:rPr>
    </w:lvl>
    <w:lvl w:ilvl="7" w:tplc="7898C8CA">
      <w:start w:val="1"/>
      <w:numFmt w:val="bullet"/>
      <w:lvlText w:val="•"/>
      <w:lvlJc w:val="left"/>
      <w:pPr>
        <w:ind w:left="7984" w:hanging="294"/>
      </w:pPr>
      <w:rPr>
        <w:rFonts w:hint="default"/>
      </w:rPr>
    </w:lvl>
    <w:lvl w:ilvl="8" w:tplc="6DBC31E6">
      <w:start w:val="1"/>
      <w:numFmt w:val="bullet"/>
      <w:lvlText w:val="•"/>
      <w:lvlJc w:val="left"/>
      <w:pPr>
        <w:ind w:left="9037" w:hanging="294"/>
      </w:pPr>
      <w:rPr>
        <w:rFonts w:hint="default"/>
      </w:rPr>
    </w:lvl>
  </w:abstractNum>
  <w:abstractNum w:abstractNumId="83" w15:restartNumberingAfterBreak="0">
    <w:nsid w:val="4FCC1245"/>
    <w:multiLevelType w:val="hybridMultilevel"/>
    <w:tmpl w:val="EE106DF2"/>
    <w:lvl w:ilvl="0" w:tplc="1E1EA994">
      <w:start w:val="1"/>
      <w:numFmt w:val="decimal"/>
      <w:lvlText w:val="%1."/>
      <w:lvlJc w:val="left"/>
      <w:pPr>
        <w:ind w:left="1102" w:hanging="360"/>
      </w:pPr>
      <w:rPr>
        <w:rFonts w:ascii="Times New Roman" w:eastAsia="Arial" w:hAnsi="Times New Roman" w:cs="Times New Roman" w:hint="default"/>
        <w:w w:val="99"/>
        <w:sz w:val="24"/>
        <w:szCs w:val="24"/>
      </w:rPr>
    </w:lvl>
    <w:lvl w:ilvl="1" w:tplc="58EE20BC">
      <w:start w:val="1"/>
      <w:numFmt w:val="decimal"/>
      <w:lvlText w:val="%2."/>
      <w:lvlJc w:val="left"/>
      <w:pPr>
        <w:ind w:left="1182" w:hanging="360"/>
      </w:pPr>
      <w:rPr>
        <w:rFonts w:ascii="Times New Roman" w:eastAsia="Arial" w:hAnsi="Times New Roman" w:cs="Times New Roman" w:hint="default"/>
        <w:w w:val="99"/>
        <w:sz w:val="24"/>
        <w:szCs w:val="24"/>
      </w:rPr>
    </w:lvl>
    <w:lvl w:ilvl="2" w:tplc="CFFA429E">
      <w:start w:val="1"/>
      <w:numFmt w:val="bullet"/>
      <w:lvlText w:val="•"/>
      <w:lvlJc w:val="left"/>
      <w:pPr>
        <w:ind w:left="2266" w:hanging="360"/>
      </w:pPr>
      <w:rPr>
        <w:rFonts w:hint="default"/>
      </w:rPr>
    </w:lvl>
    <w:lvl w:ilvl="3" w:tplc="0E0EB390">
      <w:start w:val="1"/>
      <w:numFmt w:val="bullet"/>
      <w:lvlText w:val="•"/>
      <w:lvlJc w:val="left"/>
      <w:pPr>
        <w:ind w:left="3351" w:hanging="360"/>
      </w:pPr>
      <w:rPr>
        <w:rFonts w:hint="default"/>
      </w:rPr>
    </w:lvl>
    <w:lvl w:ilvl="4" w:tplc="3DE02916">
      <w:start w:val="1"/>
      <w:numFmt w:val="bullet"/>
      <w:lvlText w:val="•"/>
      <w:lvlJc w:val="left"/>
      <w:pPr>
        <w:ind w:left="4436" w:hanging="360"/>
      </w:pPr>
      <w:rPr>
        <w:rFonts w:hint="default"/>
      </w:rPr>
    </w:lvl>
    <w:lvl w:ilvl="5" w:tplc="9E6E7C3E">
      <w:start w:val="1"/>
      <w:numFmt w:val="bullet"/>
      <w:lvlText w:val="•"/>
      <w:lvlJc w:val="left"/>
      <w:pPr>
        <w:ind w:left="5521" w:hanging="360"/>
      </w:pPr>
      <w:rPr>
        <w:rFonts w:hint="default"/>
      </w:rPr>
    </w:lvl>
    <w:lvl w:ilvl="6" w:tplc="ED3CACE8">
      <w:start w:val="1"/>
      <w:numFmt w:val="bullet"/>
      <w:lvlText w:val="•"/>
      <w:lvlJc w:val="left"/>
      <w:pPr>
        <w:ind w:left="6606" w:hanging="360"/>
      </w:pPr>
      <w:rPr>
        <w:rFonts w:hint="default"/>
      </w:rPr>
    </w:lvl>
    <w:lvl w:ilvl="7" w:tplc="F67EC0A6">
      <w:start w:val="1"/>
      <w:numFmt w:val="bullet"/>
      <w:lvlText w:val="•"/>
      <w:lvlJc w:val="left"/>
      <w:pPr>
        <w:ind w:left="7691" w:hanging="360"/>
      </w:pPr>
      <w:rPr>
        <w:rFonts w:hint="default"/>
      </w:rPr>
    </w:lvl>
    <w:lvl w:ilvl="8" w:tplc="4E0C8256">
      <w:start w:val="1"/>
      <w:numFmt w:val="bullet"/>
      <w:lvlText w:val="•"/>
      <w:lvlJc w:val="left"/>
      <w:pPr>
        <w:ind w:left="8776" w:hanging="360"/>
      </w:pPr>
      <w:rPr>
        <w:rFonts w:hint="default"/>
      </w:rPr>
    </w:lvl>
  </w:abstractNum>
  <w:abstractNum w:abstractNumId="84" w15:restartNumberingAfterBreak="0">
    <w:nsid w:val="50A33704"/>
    <w:multiLevelType w:val="hybridMultilevel"/>
    <w:tmpl w:val="9728747A"/>
    <w:lvl w:ilvl="0" w:tplc="01A092E0">
      <w:start w:val="1"/>
      <w:numFmt w:val="bullet"/>
      <w:lvlText w:val=""/>
      <w:lvlJc w:val="left"/>
      <w:pPr>
        <w:ind w:left="1651" w:hanging="284"/>
      </w:pPr>
      <w:rPr>
        <w:rFonts w:ascii="Symbol" w:eastAsia="Symbol" w:hAnsi="Symbol" w:hint="default"/>
        <w:w w:val="99"/>
        <w:sz w:val="22"/>
        <w:szCs w:val="22"/>
      </w:rPr>
    </w:lvl>
    <w:lvl w:ilvl="1" w:tplc="1520D826">
      <w:start w:val="1"/>
      <w:numFmt w:val="bullet"/>
      <w:lvlText w:val="•"/>
      <w:lvlJc w:val="left"/>
      <w:pPr>
        <w:ind w:left="2600" w:hanging="284"/>
      </w:pPr>
      <w:rPr>
        <w:rFonts w:hint="default"/>
      </w:rPr>
    </w:lvl>
    <w:lvl w:ilvl="2" w:tplc="BAFE3E9E">
      <w:start w:val="1"/>
      <w:numFmt w:val="bullet"/>
      <w:lvlText w:val="•"/>
      <w:lvlJc w:val="left"/>
      <w:pPr>
        <w:ind w:left="3550" w:hanging="284"/>
      </w:pPr>
      <w:rPr>
        <w:rFonts w:hint="default"/>
      </w:rPr>
    </w:lvl>
    <w:lvl w:ilvl="3" w:tplc="C44E77FC">
      <w:start w:val="1"/>
      <w:numFmt w:val="bullet"/>
      <w:lvlText w:val="•"/>
      <w:lvlJc w:val="left"/>
      <w:pPr>
        <w:ind w:left="4499" w:hanging="284"/>
      </w:pPr>
      <w:rPr>
        <w:rFonts w:hint="default"/>
      </w:rPr>
    </w:lvl>
    <w:lvl w:ilvl="4" w:tplc="65BC5B90">
      <w:start w:val="1"/>
      <w:numFmt w:val="bullet"/>
      <w:lvlText w:val="•"/>
      <w:lvlJc w:val="left"/>
      <w:pPr>
        <w:ind w:left="5448" w:hanging="284"/>
      </w:pPr>
      <w:rPr>
        <w:rFonts w:hint="default"/>
      </w:rPr>
    </w:lvl>
    <w:lvl w:ilvl="5" w:tplc="0E08B1AC">
      <w:start w:val="1"/>
      <w:numFmt w:val="bullet"/>
      <w:lvlText w:val="•"/>
      <w:lvlJc w:val="left"/>
      <w:pPr>
        <w:ind w:left="6398" w:hanging="284"/>
      </w:pPr>
      <w:rPr>
        <w:rFonts w:hint="default"/>
      </w:rPr>
    </w:lvl>
    <w:lvl w:ilvl="6" w:tplc="84A080AC">
      <w:start w:val="1"/>
      <w:numFmt w:val="bullet"/>
      <w:lvlText w:val="•"/>
      <w:lvlJc w:val="left"/>
      <w:pPr>
        <w:ind w:left="7347" w:hanging="284"/>
      </w:pPr>
      <w:rPr>
        <w:rFonts w:hint="default"/>
      </w:rPr>
    </w:lvl>
    <w:lvl w:ilvl="7" w:tplc="BAD88734">
      <w:start w:val="1"/>
      <w:numFmt w:val="bullet"/>
      <w:lvlText w:val="•"/>
      <w:lvlJc w:val="left"/>
      <w:pPr>
        <w:ind w:left="8297" w:hanging="284"/>
      </w:pPr>
      <w:rPr>
        <w:rFonts w:hint="default"/>
      </w:rPr>
    </w:lvl>
    <w:lvl w:ilvl="8" w:tplc="741E20AE">
      <w:start w:val="1"/>
      <w:numFmt w:val="bullet"/>
      <w:lvlText w:val="•"/>
      <w:lvlJc w:val="left"/>
      <w:pPr>
        <w:ind w:left="9246" w:hanging="284"/>
      </w:pPr>
      <w:rPr>
        <w:rFonts w:hint="default"/>
      </w:rPr>
    </w:lvl>
  </w:abstractNum>
  <w:abstractNum w:abstractNumId="85" w15:restartNumberingAfterBreak="0">
    <w:nsid w:val="51557FD7"/>
    <w:multiLevelType w:val="hybridMultilevel"/>
    <w:tmpl w:val="D9AC37A4"/>
    <w:lvl w:ilvl="0" w:tplc="F2AA2BC2">
      <w:start w:val="1"/>
      <w:numFmt w:val="decimal"/>
      <w:lvlText w:val="%1."/>
      <w:lvlJc w:val="left"/>
      <w:pPr>
        <w:ind w:left="1162" w:hanging="360"/>
        <w:jc w:val="right"/>
      </w:pPr>
      <w:rPr>
        <w:rFonts w:ascii="Times New Roman" w:eastAsia="Arial" w:hAnsi="Times New Roman" w:cs="Times New Roman" w:hint="default"/>
        <w:w w:val="99"/>
        <w:sz w:val="24"/>
        <w:szCs w:val="24"/>
      </w:rPr>
    </w:lvl>
    <w:lvl w:ilvl="1" w:tplc="503A5A06">
      <w:start w:val="1"/>
      <w:numFmt w:val="bullet"/>
      <w:lvlText w:val="-"/>
      <w:lvlJc w:val="left"/>
      <w:pPr>
        <w:ind w:left="1168" w:hanging="176"/>
      </w:pPr>
      <w:rPr>
        <w:rFonts w:ascii="Arial" w:eastAsia="Arial" w:hAnsi="Arial" w:hint="default"/>
        <w:i/>
        <w:w w:val="99"/>
        <w:sz w:val="22"/>
        <w:szCs w:val="22"/>
      </w:rPr>
    </w:lvl>
    <w:lvl w:ilvl="2" w:tplc="1FB8200E">
      <w:start w:val="1"/>
      <w:numFmt w:val="bullet"/>
      <w:lvlText w:val="•"/>
      <w:lvlJc w:val="left"/>
      <w:pPr>
        <w:ind w:left="1451" w:hanging="176"/>
      </w:pPr>
      <w:rPr>
        <w:rFonts w:hint="default"/>
      </w:rPr>
    </w:lvl>
    <w:lvl w:ilvl="3" w:tplc="16562C12">
      <w:start w:val="1"/>
      <w:numFmt w:val="bullet"/>
      <w:lvlText w:val="•"/>
      <w:lvlJc w:val="left"/>
      <w:pPr>
        <w:ind w:left="1511" w:hanging="176"/>
      </w:pPr>
      <w:rPr>
        <w:rFonts w:hint="default"/>
      </w:rPr>
    </w:lvl>
    <w:lvl w:ilvl="4" w:tplc="35E28C68">
      <w:start w:val="1"/>
      <w:numFmt w:val="bullet"/>
      <w:lvlText w:val="•"/>
      <w:lvlJc w:val="left"/>
      <w:pPr>
        <w:ind w:left="2859" w:hanging="176"/>
      </w:pPr>
      <w:rPr>
        <w:rFonts w:hint="default"/>
      </w:rPr>
    </w:lvl>
    <w:lvl w:ilvl="5" w:tplc="110AEB80">
      <w:start w:val="1"/>
      <w:numFmt w:val="bullet"/>
      <w:lvlText w:val="•"/>
      <w:lvlJc w:val="left"/>
      <w:pPr>
        <w:ind w:left="4206" w:hanging="176"/>
      </w:pPr>
      <w:rPr>
        <w:rFonts w:hint="default"/>
      </w:rPr>
    </w:lvl>
    <w:lvl w:ilvl="6" w:tplc="54DE60CE">
      <w:start w:val="1"/>
      <w:numFmt w:val="bullet"/>
      <w:lvlText w:val="•"/>
      <w:lvlJc w:val="left"/>
      <w:pPr>
        <w:ind w:left="5554" w:hanging="176"/>
      </w:pPr>
      <w:rPr>
        <w:rFonts w:hint="default"/>
      </w:rPr>
    </w:lvl>
    <w:lvl w:ilvl="7" w:tplc="5E78B93E">
      <w:start w:val="1"/>
      <w:numFmt w:val="bullet"/>
      <w:lvlText w:val="•"/>
      <w:lvlJc w:val="left"/>
      <w:pPr>
        <w:ind w:left="6902" w:hanging="176"/>
      </w:pPr>
      <w:rPr>
        <w:rFonts w:hint="default"/>
      </w:rPr>
    </w:lvl>
    <w:lvl w:ilvl="8" w:tplc="19424978">
      <w:start w:val="1"/>
      <w:numFmt w:val="bullet"/>
      <w:lvlText w:val="•"/>
      <w:lvlJc w:val="left"/>
      <w:pPr>
        <w:ind w:left="8250" w:hanging="176"/>
      </w:pPr>
      <w:rPr>
        <w:rFonts w:hint="default"/>
      </w:rPr>
    </w:lvl>
  </w:abstractNum>
  <w:abstractNum w:abstractNumId="86" w15:restartNumberingAfterBreak="0">
    <w:nsid w:val="53AE78B6"/>
    <w:multiLevelType w:val="hybridMultilevel"/>
    <w:tmpl w:val="EA52FABC"/>
    <w:lvl w:ilvl="0" w:tplc="B3929F2C">
      <w:start w:val="1"/>
      <w:numFmt w:val="lowerRoman"/>
      <w:lvlText w:val="%1."/>
      <w:lvlJc w:val="left"/>
      <w:pPr>
        <w:ind w:left="1168" w:hanging="407"/>
      </w:pPr>
      <w:rPr>
        <w:rFonts w:ascii="Times New Roman" w:eastAsia="Arial" w:hAnsi="Times New Roman" w:cs="Times New Roman" w:hint="default"/>
        <w:b/>
        <w:bCs/>
        <w:w w:val="99"/>
        <w:sz w:val="24"/>
        <w:szCs w:val="24"/>
      </w:rPr>
    </w:lvl>
    <w:lvl w:ilvl="1" w:tplc="FE62BB28">
      <w:start w:val="1"/>
      <w:numFmt w:val="bullet"/>
      <w:lvlText w:val="•"/>
      <w:lvlJc w:val="left"/>
      <w:pPr>
        <w:ind w:left="2145" w:hanging="407"/>
      </w:pPr>
      <w:rPr>
        <w:rFonts w:hint="default"/>
      </w:rPr>
    </w:lvl>
    <w:lvl w:ilvl="2" w:tplc="76F86582">
      <w:start w:val="1"/>
      <w:numFmt w:val="bullet"/>
      <w:lvlText w:val="•"/>
      <w:lvlJc w:val="left"/>
      <w:pPr>
        <w:ind w:left="3123" w:hanging="407"/>
      </w:pPr>
      <w:rPr>
        <w:rFonts w:hint="default"/>
      </w:rPr>
    </w:lvl>
    <w:lvl w:ilvl="3" w:tplc="8B7A5218">
      <w:start w:val="1"/>
      <w:numFmt w:val="bullet"/>
      <w:lvlText w:val="•"/>
      <w:lvlJc w:val="left"/>
      <w:pPr>
        <w:ind w:left="4101" w:hanging="407"/>
      </w:pPr>
      <w:rPr>
        <w:rFonts w:hint="default"/>
      </w:rPr>
    </w:lvl>
    <w:lvl w:ilvl="4" w:tplc="C9F8DBB6">
      <w:start w:val="1"/>
      <w:numFmt w:val="bullet"/>
      <w:lvlText w:val="•"/>
      <w:lvlJc w:val="left"/>
      <w:pPr>
        <w:ind w:left="5078" w:hanging="407"/>
      </w:pPr>
      <w:rPr>
        <w:rFonts w:hint="default"/>
      </w:rPr>
    </w:lvl>
    <w:lvl w:ilvl="5" w:tplc="680E7AF4">
      <w:start w:val="1"/>
      <w:numFmt w:val="bullet"/>
      <w:lvlText w:val="•"/>
      <w:lvlJc w:val="left"/>
      <w:pPr>
        <w:ind w:left="6056" w:hanging="407"/>
      </w:pPr>
      <w:rPr>
        <w:rFonts w:hint="default"/>
      </w:rPr>
    </w:lvl>
    <w:lvl w:ilvl="6" w:tplc="480AF7B6">
      <w:start w:val="1"/>
      <w:numFmt w:val="bullet"/>
      <w:lvlText w:val="•"/>
      <w:lvlJc w:val="left"/>
      <w:pPr>
        <w:ind w:left="7034" w:hanging="407"/>
      </w:pPr>
      <w:rPr>
        <w:rFonts w:hint="default"/>
      </w:rPr>
    </w:lvl>
    <w:lvl w:ilvl="7" w:tplc="95683E2C">
      <w:start w:val="1"/>
      <w:numFmt w:val="bullet"/>
      <w:lvlText w:val="•"/>
      <w:lvlJc w:val="left"/>
      <w:pPr>
        <w:ind w:left="8012" w:hanging="407"/>
      </w:pPr>
      <w:rPr>
        <w:rFonts w:hint="default"/>
      </w:rPr>
    </w:lvl>
    <w:lvl w:ilvl="8" w:tplc="6BE2474C">
      <w:start w:val="1"/>
      <w:numFmt w:val="bullet"/>
      <w:lvlText w:val="•"/>
      <w:lvlJc w:val="left"/>
      <w:pPr>
        <w:ind w:left="8989" w:hanging="407"/>
      </w:pPr>
      <w:rPr>
        <w:rFonts w:hint="default"/>
      </w:rPr>
    </w:lvl>
  </w:abstractNum>
  <w:abstractNum w:abstractNumId="87" w15:restartNumberingAfterBreak="0">
    <w:nsid w:val="543829E9"/>
    <w:multiLevelType w:val="hybridMultilevel"/>
    <w:tmpl w:val="FB404E9E"/>
    <w:lvl w:ilvl="0" w:tplc="5380BF2C">
      <w:start w:val="1"/>
      <w:numFmt w:val="bullet"/>
      <w:lvlText w:val=""/>
      <w:lvlJc w:val="left"/>
      <w:pPr>
        <w:ind w:left="1308" w:hanging="426"/>
      </w:pPr>
      <w:rPr>
        <w:rFonts w:ascii="Symbol" w:eastAsia="Symbol" w:hAnsi="Symbol" w:hint="default"/>
        <w:w w:val="99"/>
        <w:sz w:val="22"/>
        <w:szCs w:val="22"/>
      </w:rPr>
    </w:lvl>
    <w:lvl w:ilvl="1" w:tplc="718C8A1C">
      <w:start w:val="1"/>
      <w:numFmt w:val="bullet"/>
      <w:lvlText w:val="•"/>
      <w:lvlJc w:val="left"/>
      <w:pPr>
        <w:ind w:left="2285" w:hanging="426"/>
      </w:pPr>
      <w:rPr>
        <w:rFonts w:hint="default"/>
      </w:rPr>
    </w:lvl>
    <w:lvl w:ilvl="2" w:tplc="D41A9680">
      <w:start w:val="1"/>
      <w:numFmt w:val="bullet"/>
      <w:lvlText w:val="•"/>
      <w:lvlJc w:val="left"/>
      <w:pPr>
        <w:ind w:left="3263" w:hanging="426"/>
      </w:pPr>
      <w:rPr>
        <w:rFonts w:hint="default"/>
      </w:rPr>
    </w:lvl>
    <w:lvl w:ilvl="3" w:tplc="44E216A0">
      <w:start w:val="1"/>
      <w:numFmt w:val="bullet"/>
      <w:lvlText w:val="•"/>
      <w:lvlJc w:val="left"/>
      <w:pPr>
        <w:ind w:left="4241" w:hanging="426"/>
      </w:pPr>
      <w:rPr>
        <w:rFonts w:hint="default"/>
      </w:rPr>
    </w:lvl>
    <w:lvl w:ilvl="4" w:tplc="5A8AB8C0">
      <w:start w:val="1"/>
      <w:numFmt w:val="bullet"/>
      <w:lvlText w:val="•"/>
      <w:lvlJc w:val="left"/>
      <w:pPr>
        <w:ind w:left="5218" w:hanging="426"/>
      </w:pPr>
      <w:rPr>
        <w:rFonts w:hint="default"/>
      </w:rPr>
    </w:lvl>
    <w:lvl w:ilvl="5" w:tplc="463A8C38">
      <w:start w:val="1"/>
      <w:numFmt w:val="bullet"/>
      <w:lvlText w:val="•"/>
      <w:lvlJc w:val="left"/>
      <w:pPr>
        <w:ind w:left="6196" w:hanging="426"/>
      </w:pPr>
      <w:rPr>
        <w:rFonts w:hint="default"/>
      </w:rPr>
    </w:lvl>
    <w:lvl w:ilvl="6" w:tplc="C73A967A">
      <w:start w:val="1"/>
      <w:numFmt w:val="bullet"/>
      <w:lvlText w:val="•"/>
      <w:lvlJc w:val="left"/>
      <w:pPr>
        <w:ind w:left="7174" w:hanging="426"/>
      </w:pPr>
      <w:rPr>
        <w:rFonts w:hint="default"/>
      </w:rPr>
    </w:lvl>
    <w:lvl w:ilvl="7" w:tplc="74787AC8">
      <w:start w:val="1"/>
      <w:numFmt w:val="bullet"/>
      <w:lvlText w:val="•"/>
      <w:lvlJc w:val="left"/>
      <w:pPr>
        <w:ind w:left="8152" w:hanging="426"/>
      </w:pPr>
      <w:rPr>
        <w:rFonts w:hint="default"/>
      </w:rPr>
    </w:lvl>
    <w:lvl w:ilvl="8" w:tplc="C49C23E4">
      <w:start w:val="1"/>
      <w:numFmt w:val="bullet"/>
      <w:lvlText w:val="•"/>
      <w:lvlJc w:val="left"/>
      <w:pPr>
        <w:ind w:left="9129" w:hanging="426"/>
      </w:pPr>
      <w:rPr>
        <w:rFonts w:hint="default"/>
      </w:rPr>
    </w:lvl>
  </w:abstractNum>
  <w:abstractNum w:abstractNumId="88" w15:restartNumberingAfterBreak="0">
    <w:nsid w:val="54A915ED"/>
    <w:multiLevelType w:val="hybridMultilevel"/>
    <w:tmpl w:val="50880146"/>
    <w:lvl w:ilvl="0" w:tplc="2374627E">
      <w:start w:val="1"/>
      <w:numFmt w:val="lowerLetter"/>
      <w:lvlText w:val="%1)"/>
      <w:lvlJc w:val="left"/>
      <w:pPr>
        <w:ind w:left="1602" w:hanging="295"/>
      </w:pPr>
      <w:rPr>
        <w:rFonts w:ascii="Times New Roman" w:eastAsia="Arial" w:hAnsi="Times New Roman" w:cs="Times New Roman" w:hint="default"/>
        <w:w w:val="99"/>
        <w:sz w:val="24"/>
        <w:szCs w:val="24"/>
      </w:rPr>
    </w:lvl>
    <w:lvl w:ilvl="1" w:tplc="2A3C90EE">
      <w:start w:val="1"/>
      <w:numFmt w:val="bullet"/>
      <w:lvlText w:val="•"/>
      <w:lvlJc w:val="left"/>
      <w:pPr>
        <w:ind w:left="2550" w:hanging="295"/>
      </w:pPr>
      <w:rPr>
        <w:rFonts w:hint="default"/>
      </w:rPr>
    </w:lvl>
    <w:lvl w:ilvl="2" w:tplc="90E2B116">
      <w:start w:val="1"/>
      <w:numFmt w:val="bullet"/>
      <w:lvlText w:val="•"/>
      <w:lvlJc w:val="left"/>
      <w:pPr>
        <w:ind w:left="3499" w:hanging="295"/>
      </w:pPr>
      <w:rPr>
        <w:rFonts w:hint="default"/>
      </w:rPr>
    </w:lvl>
    <w:lvl w:ilvl="3" w:tplc="2C1444A2">
      <w:start w:val="1"/>
      <w:numFmt w:val="bullet"/>
      <w:lvlText w:val="•"/>
      <w:lvlJc w:val="left"/>
      <w:pPr>
        <w:ind w:left="4448" w:hanging="295"/>
      </w:pPr>
      <w:rPr>
        <w:rFonts w:hint="default"/>
      </w:rPr>
    </w:lvl>
    <w:lvl w:ilvl="4" w:tplc="917835F0">
      <w:start w:val="1"/>
      <w:numFmt w:val="bullet"/>
      <w:lvlText w:val="•"/>
      <w:lvlJc w:val="left"/>
      <w:pPr>
        <w:ind w:left="5396" w:hanging="295"/>
      </w:pPr>
      <w:rPr>
        <w:rFonts w:hint="default"/>
      </w:rPr>
    </w:lvl>
    <w:lvl w:ilvl="5" w:tplc="878A1DA8">
      <w:start w:val="1"/>
      <w:numFmt w:val="bullet"/>
      <w:lvlText w:val="•"/>
      <w:lvlJc w:val="left"/>
      <w:pPr>
        <w:ind w:left="6345" w:hanging="295"/>
      </w:pPr>
      <w:rPr>
        <w:rFonts w:hint="default"/>
      </w:rPr>
    </w:lvl>
    <w:lvl w:ilvl="6" w:tplc="148A424C">
      <w:start w:val="1"/>
      <w:numFmt w:val="bullet"/>
      <w:lvlText w:val="•"/>
      <w:lvlJc w:val="left"/>
      <w:pPr>
        <w:ind w:left="7294" w:hanging="295"/>
      </w:pPr>
      <w:rPr>
        <w:rFonts w:hint="default"/>
      </w:rPr>
    </w:lvl>
    <w:lvl w:ilvl="7" w:tplc="AB020EA4">
      <w:start w:val="1"/>
      <w:numFmt w:val="bullet"/>
      <w:lvlText w:val="•"/>
      <w:lvlJc w:val="left"/>
      <w:pPr>
        <w:ind w:left="8242" w:hanging="295"/>
      </w:pPr>
      <w:rPr>
        <w:rFonts w:hint="default"/>
      </w:rPr>
    </w:lvl>
    <w:lvl w:ilvl="8" w:tplc="E9089376">
      <w:start w:val="1"/>
      <w:numFmt w:val="bullet"/>
      <w:lvlText w:val="•"/>
      <w:lvlJc w:val="left"/>
      <w:pPr>
        <w:ind w:left="9191" w:hanging="295"/>
      </w:pPr>
      <w:rPr>
        <w:rFonts w:hint="default"/>
      </w:rPr>
    </w:lvl>
  </w:abstractNum>
  <w:abstractNum w:abstractNumId="89" w15:restartNumberingAfterBreak="0">
    <w:nsid w:val="54C12A1D"/>
    <w:multiLevelType w:val="hybridMultilevel"/>
    <w:tmpl w:val="C1BCF0E8"/>
    <w:lvl w:ilvl="0" w:tplc="797E7DD0">
      <w:start w:val="1"/>
      <w:numFmt w:val="bullet"/>
      <w:lvlText w:val="-"/>
      <w:lvlJc w:val="left"/>
      <w:pPr>
        <w:ind w:left="1611" w:hanging="296"/>
      </w:pPr>
      <w:rPr>
        <w:rFonts w:ascii="Courier New" w:eastAsia="Courier New" w:hAnsi="Courier New" w:hint="default"/>
        <w:w w:val="99"/>
        <w:sz w:val="22"/>
        <w:szCs w:val="22"/>
      </w:rPr>
    </w:lvl>
    <w:lvl w:ilvl="1" w:tplc="359AAF04">
      <w:start w:val="1"/>
      <w:numFmt w:val="bullet"/>
      <w:lvlText w:val="•"/>
      <w:lvlJc w:val="left"/>
      <w:pPr>
        <w:ind w:left="2560" w:hanging="296"/>
      </w:pPr>
      <w:rPr>
        <w:rFonts w:hint="default"/>
      </w:rPr>
    </w:lvl>
    <w:lvl w:ilvl="2" w:tplc="C2D025B2">
      <w:start w:val="1"/>
      <w:numFmt w:val="bullet"/>
      <w:lvlText w:val="•"/>
      <w:lvlJc w:val="left"/>
      <w:pPr>
        <w:ind w:left="3510" w:hanging="296"/>
      </w:pPr>
      <w:rPr>
        <w:rFonts w:hint="default"/>
      </w:rPr>
    </w:lvl>
    <w:lvl w:ilvl="3" w:tplc="80942304">
      <w:start w:val="1"/>
      <w:numFmt w:val="bullet"/>
      <w:lvlText w:val="•"/>
      <w:lvlJc w:val="left"/>
      <w:pPr>
        <w:ind w:left="4460" w:hanging="296"/>
      </w:pPr>
      <w:rPr>
        <w:rFonts w:hint="default"/>
      </w:rPr>
    </w:lvl>
    <w:lvl w:ilvl="4" w:tplc="9A5A13D4">
      <w:start w:val="1"/>
      <w:numFmt w:val="bullet"/>
      <w:lvlText w:val="•"/>
      <w:lvlJc w:val="left"/>
      <w:pPr>
        <w:ind w:left="5410" w:hanging="296"/>
      </w:pPr>
      <w:rPr>
        <w:rFonts w:hint="default"/>
      </w:rPr>
    </w:lvl>
    <w:lvl w:ilvl="5" w:tplc="0DB09E9C">
      <w:start w:val="1"/>
      <w:numFmt w:val="bullet"/>
      <w:lvlText w:val="•"/>
      <w:lvlJc w:val="left"/>
      <w:pPr>
        <w:ind w:left="6360" w:hanging="296"/>
      </w:pPr>
      <w:rPr>
        <w:rFonts w:hint="default"/>
      </w:rPr>
    </w:lvl>
    <w:lvl w:ilvl="6" w:tplc="3BD4B19E">
      <w:start w:val="1"/>
      <w:numFmt w:val="bullet"/>
      <w:lvlText w:val="•"/>
      <w:lvlJc w:val="left"/>
      <w:pPr>
        <w:ind w:left="7309" w:hanging="296"/>
      </w:pPr>
      <w:rPr>
        <w:rFonts w:hint="default"/>
      </w:rPr>
    </w:lvl>
    <w:lvl w:ilvl="7" w:tplc="8682B528">
      <w:start w:val="1"/>
      <w:numFmt w:val="bullet"/>
      <w:lvlText w:val="•"/>
      <w:lvlJc w:val="left"/>
      <w:pPr>
        <w:ind w:left="8259" w:hanging="296"/>
      </w:pPr>
      <w:rPr>
        <w:rFonts w:hint="default"/>
      </w:rPr>
    </w:lvl>
    <w:lvl w:ilvl="8" w:tplc="6E6ED6EC">
      <w:start w:val="1"/>
      <w:numFmt w:val="bullet"/>
      <w:lvlText w:val="•"/>
      <w:lvlJc w:val="left"/>
      <w:pPr>
        <w:ind w:left="9209" w:hanging="296"/>
      </w:pPr>
      <w:rPr>
        <w:rFonts w:hint="default"/>
      </w:rPr>
    </w:lvl>
  </w:abstractNum>
  <w:abstractNum w:abstractNumId="90" w15:restartNumberingAfterBreak="0">
    <w:nsid w:val="56123519"/>
    <w:multiLevelType w:val="hybridMultilevel"/>
    <w:tmpl w:val="AF9A148A"/>
    <w:lvl w:ilvl="0" w:tplc="361E7DA2">
      <w:start w:val="1"/>
      <w:numFmt w:val="decimal"/>
      <w:lvlText w:val="%1."/>
      <w:lvlJc w:val="left"/>
      <w:pPr>
        <w:ind w:left="1202" w:hanging="360"/>
        <w:jc w:val="right"/>
      </w:pPr>
      <w:rPr>
        <w:rFonts w:ascii="Times New Roman" w:eastAsia="Arial" w:hAnsi="Times New Roman" w:cs="Times New Roman" w:hint="default"/>
        <w:w w:val="99"/>
        <w:sz w:val="24"/>
        <w:szCs w:val="24"/>
      </w:rPr>
    </w:lvl>
    <w:lvl w:ilvl="1" w:tplc="41EC672C">
      <w:start w:val="1"/>
      <w:numFmt w:val="bullet"/>
      <w:lvlText w:val="•"/>
      <w:lvlJc w:val="left"/>
      <w:pPr>
        <w:ind w:left="2186" w:hanging="360"/>
      </w:pPr>
      <w:rPr>
        <w:rFonts w:hint="default"/>
      </w:rPr>
    </w:lvl>
    <w:lvl w:ilvl="2" w:tplc="A0626E8C">
      <w:start w:val="1"/>
      <w:numFmt w:val="bullet"/>
      <w:lvlText w:val="•"/>
      <w:lvlJc w:val="left"/>
      <w:pPr>
        <w:ind w:left="3170" w:hanging="360"/>
      </w:pPr>
      <w:rPr>
        <w:rFonts w:hint="default"/>
      </w:rPr>
    </w:lvl>
    <w:lvl w:ilvl="3" w:tplc="586218B0">
      <w:start w:val="1"/>
      <w:numFmt w:val="bullet"/>
      <w:lvlText w:val="•"/>
      <w:lvlJc w:val="left"/>
      <w:pPr>
        <w:ind w:left="4154" w:hanging="360"/>
      </w:pPr>
      <w:rPr>
        <w:rFonts w:hint="default"/>
      </w:rPr>
    </w:lvl>
    <w:lvl w:ilvl="4" w:tplc="92483F0A">
      <w:start w:val="1"/>
      <w:numFmt w:val="bullet"/>
      <w:lvlText w:val="•"/>
      <w:lvlJc w:val="left"/>
      <w:pPr>
        <w:ind w:left="5139" w:hanging="360"/>
      </w:pPr>
      <w:rPr>
        <w:rFonts w:hint="default"/>
      </w:rPr>
    </w:lvl>
    <w:lvl w:ilvl="5" w:tplc="DA6E2BD6">
      <w:start w:val="1"/>
      <w:numFmt w:val="bullet"/>
      <w:lvlText w:val="•"/>
      <w:lvlJc w:val="left"/>
      <w:pPr>
        <w:ind w:left="6123" w:hanging="360"/>
      </w:pPr>
      <w:rPr>
        <w:rFonts w:hint="default"/>
      </w:rPr>
    </w:lvl>
    <w:lvl w:ilvl="6" w:tplc="285491A8">
      <w:start w:val="1"/>
      <w:numFmt w:val="bullet"/>
      <w:lvlText w:val="•"/>
      <w:lvlJc w:val="left"/>
      <w:pPr>
        <w:ind w:left="7107" w:hanging="360"/>
      </w:pPr>
      <w:rPr>
        <w:rFonts w:hint="default"/>
      </w:rPr>
    </w:lvl>
    <w:lvl w:ilvl="7" w:tplc="7F22C130">
      <w:start w:val="1"/>
      <w:numFmt w:val="bullet"/>
      <w:lvlText w:val="•"/>
      <w:lvlJc w:val="left"/>
      <w:pPr>
        <w:ind w:left="8092" w:hanging="360"/>
      </w:pPr>
      <w:rPr>
        <w:rFonts w:hint="default"/>
      </w:rPr>
    </w:lvl>
    <w:lvl w:ilvl="8" w:tplc="DB0CE0C0">
      <w:start w:val="1"/>
      <w:numFmt w:val="bullet"/>
      <w:lvlText w:val="•"/>
      <w:lvlJc w:val="left"/>
      <w:pPr>
        <w:ind w:left="9076" w:hanging="360"/>
      </w:pPr>
      <w:rPr>
        <w:rFonts w:hint="default"/>
      </w:rPr>
    </w:lvl>
  </w:abstractNum>
  <w:abstractNum w:abstractNumId="91" w15:restartNumberingAfterBreak="0">
    <w:nsid w:val="58115100"/>
    <w:multiLevelType w:val="hybridMultilevel"/>
    <w:tmpl w:val="79E487A8"/>
    <w:lvl w:ilvl="0" w:tplc="CE18F110">
      <w:start w:val="1"/>
      <w:numFmt w:val="decimal"/>
      <w:lvlText w:val="%1)"/>
      <w:lvlJc w:val="left"/>
      <w:pPr>
        <w:ind w:left="1462" w:hanging="294"/>
      </w:pPr>
      <w:rPr>
        <w:rFonts w:ascii="Times New Roman" w:eastAsia="Arial" w:hAnsi="Times New Roman" w:cs="Times New Roman" w:hint="default"/>
        <w:w w:val="99"/>
        <w:sz w:val="24"/>
        <w:szCs w:val="24"/>
      </w:rPr>
    </w:lvl>
    <w:lvl w:ilvl="1" w:tplc="A148EF52">
      <w:start w:val="1"/>
      <w:numFmt w:val="bullet"/>
      <w:lvlText w:val=""/>
      <w:lvlJc w:val="left"/>
      <w:pPr>
        <w:ind w:left="1734" w:hanging="273"/>
      </w:pPr>
      <w:rPr>
        <w:rFonts w:ascii="Symbol" w:eastAsia="Symbol" w:hAnsi="Symbol" w:hint="default"/>
        <w:w w:val="99"/>
        <w:sz w:val="22"/>
        <w:szCs w:val="22"/>
      </w:rPr>
    </w:lvl>
    <w:lvl w:ilvl="2" w:tplc="C1FEA6A0">
      <w:start w:val="1"/>
      <w:numFmt w:val="bullet"/>
      <w:lvlText w:val="•"/>
      <w:lvlJc w:val="left"/>
      <w:pPr>
        <w:ind w:left="2757" w:hanging="273"/>
      </w:pPr>
      <w:rPr>
        <w:rFonts w:hint="default"/>
      </w:rPr>
    </w:lvl>
    <w:lvl w:ilvl="3" w:tplc="EF10B850">
      <w:start w:val="1"/>
      <w:numFmt w:val="bullet"/>
      <w:lvlText w:val="•"/>
      <w:lvlJc w:val="left"/>
      <w:pPr>
        <w:ind w:left="3781" w:hanging="273"/>
      </w:pPr>
      <w:rPr>
        <w:rFonts w:hint="default"/>
      </w:rPr>
    </w:lvl>
    <w:lvl w:ilvl="4" w:tplc="6DD860C2">
      <w:start w:val="1"/>
      <w:numFmt w:val="bullet"/>
      <w:lvlText w:val="•"/>
      <w:lvlJc w:val="left"/>
      <w:pPr>
        <w:ind w:left="4804" w:hanging="273"/>
      </w:pPr>
      <w:rPr>
        <w:rFonts w:hint="default"/>
      </w:rPr>
    </w:lvl>
    <w:lvl w:ilvl="5" w:tplc="6EBC7A06">
      <w:start w:val="1"/>
      <w:numFmt w:val="bullet"/>
      <w:lvlText w:val="•"/>
      <w:lvlJc w:val="left"/>
      <w:pPr>
        <w:ind w:left="5828" w:hanging="273"/>
      </w:pPr>
      <w:rPr>
        <w:rFonts w:hint="default"/>
      </w:rPr>
    </w:lvl>
    <w:lvl w:ilvl="6" w:tplc="A190794E">
      <w:start w:val="1"/>
      <w:numFmt w:val="bullet"/>
      <w:lvlText w:val="•"/>
      <w:lvlJc w:val="left"/>
      <w:pPr>
        <w:ind w:left="6851" w:hanging="273"/>
      </w:pPr>
      <w:rPr>
        <w:rFonts w:hint="default"/>
      </w:rPr>
    </w:lvl>
    <w:lvl w:ilvl="7" w:tplc="2C8C3CDA">
      <w:start w:val="1"/>
      <w:numFmt w:val="bullet"/>
      <w:lvlText w:val="•"/>
      <w:lvlJc w:val="left"/>
      <w:pPr>
        <w:ind w:left="7874" w:hanging="273"/>
      </w:pPr>
      <w:rPr>
        <w:rFonts w:hint="default"/>
      </w:rPr>
    </w:lvl>
    <w:lvl w:ilvl="8" w:tplc="E4AE6F34">
      <w:start w:val="1"/>
      <w:numFmt w:val="bullet"/>
      <w:lvlText w:val="•"/>
      <w:lvlJc w:val="left"/>
      <w:pPr>
        <w:ind w:left="8898" w:hanging="273"/>
      </w:pPr>
      <w:rPr>
        <w:rFonts w:hint="default"/>
      </w:rPr>
    </w:lvl>
  </w:abstractNum>
  <w:abstractNum w:abstractNumId="92" w15:restartNumberingAfterBreak="0">
    <w:nsid w:val="586D1699"/>
    <w:multiLevelType w:val="hybridMultilevel"/>
    <w:tmpl w:val="1460F7AE"/>
    <w:lvl w:ilvl="0" w:tplc="6BDEB64A">
      <w:start w:val="1"/>
      <w:numFmt w:val="lowerLetter"/>
      <w:lvlText w:val="%1."/>
      <w:lvlJc w:val="left"/>
      <w:pPr>
        <w:ind w:left="1228" w:hanging="426"/>
        <w:jc w:val="right"/>
      </w:pPr>
      <w:rPr>
        <w:rFonts w:ascii="Times New Roman" w:eastAsia="Arial" w:hAnsi="Times New Roman" w:cs="Times New Roman" w:hint="default"/>
        <w:b/>
        <w:bCs/>
        <w:w w:val="99"/>
        <w:sz w:val="24"/>
        <w:szCs w:val="24"/>
      </w:rPr>
    </w:lvl>
    <w:lvl w:ilvl="1" w:tplc="FF2CD9CC">
      <w:start w:val="1"/>
      <w:numFmt w:val="bullet"/>
      <w:lvlText w:val="•"/>
      <w:lvlJc w:val="left"/>
      <w:pPr>
        <w:ind w:left="2205" w:hanging="426"/>
      </w:pPr>
      <w:rPr>
        <w:rFonts w:hint="default"/>
      </w:rPr>
    </w:lvl>
    <w:lvl w:ilvl="2" w:tplc="2702D408">
      <w:start w:val="1"/>
      <w:numFmt w:val="bullet"/>
      <w:lvlText w:val="•"/>
      <w:lvlJc w:val="left"/>
      <w:pPr>
        <w:ind w:left="3183" w:hanging="426"/>
      </w:pPr>
      <w:rPr>
        <w:rFonts w:hint="default"/>
      </w:rPr>
    </w:lvl>
    <w:lvl w:ilvl="3" w:tplc="EB744F90">
      <w:start w:val="1"/>
      <w:numFmt w:val="bullet"/>
      <w:lvlText w:val="•"/>
      <w:lvlJc w:val="left"/>
      <w:pPr>
        <w:ind w:left="4161" w:hanging="426"/>
      </w:pPr>
      <w:rPr>
        <w:rFonts w:hint="default"/>
      </w:rPr>
    </w:lvl>
    <w:lvl w:ilvl="4" w:tplc="A50EBA7E">
      <w:start w:val="1"/>
      <w:numFmt w:val="bullet"/>
      <w:lvlText w:val="•"/>
      <w:lvlJc w:val="left"/>
      <w:pPr>
        <w:ind w:left="5138" w:hanging="426"/>
      </w:pPr>
      <w:rPr>
        <w:rFonts w:hint="default"/>
      </w:rPr>
    </w:lvl>
    <w:lvl w:ilvl="5" w:tplc="EFC84B4A">
      <w:start w:val="1"/>
      <w:numFmt w:val="bullet"/>
      <w:lvlText w:val="•"/>
      <w:lvlJc w:val="left"/>
      <w:pPr>
        <w:ind w:left="6116" w:hanging="426"/>
      </w:pPr>
      <w:rPr>
        <w:rFonts w:hint="default"/>
      </w:rPr>
    </w:lvl>
    <w:lvl w:ilvl="6" w:tplc="EC121866">
      <w:start w:val="1"/>
      <w:numFmt w:val="bullet"/>
      <w:lvlText w:val="•"/>
      <w:lvlJc w:val="left"/>
      <w:pPr>
        <w:ind w:left="7094" w:hanging="426"/>
      </w:pPr>
      <w:rPr>
        <w:rFonts w:hint="default"/>
      </w:rPr>
    </w:lvl>
    <w:lvl w:ilvl="7" w:tplc="834806C0">
      <w:start w:val="1"/>
      <w:numFmt w:val="bullet"/>
      <w:lvlText w:val="•"/>
      <w:lvlJc w:val="left"/>
      <w:pPr>
        <w:ind w:left="8072" w:hanging="426"/>
      </w:pPr>
      <w:rPr>
        <w:rFonts w:hint="default"/>
      </w:rPr>
    </w:lvl>
    <w:lvl w:ilvl="8" w:tplc="50B24DA8">
      <w:start w:val="1"/>
      <w:numFmt w:val="bullet"/>
      <w:lvlText w:val="•"/>
      <w:lvlJc w:val="left"/>
      <w:pPr>
        <w:ind w:left="9049" w:hanging="426"/>
      </w:pPr>
      <w:rPr>
        <w:rFonts w:hint="default"/>
      </w:rPr>
    </w:lvl>
  </w:abstractNum>
  <w:abstractNum w:abstractNumId="93" w15:restartNumberingAfterBreak="0">
    <w:nsid w:val="5922471C"/>
    <w:multiLevelType w:val="hybridMultilevel"/>
    <w:tmpl w:val="793A2E78"/>
    <w:lvl w:ilvl="0" w:tplc="0F242854">
      <w:start w:val="1"/>
      <w:numFmt w:val="bullet"/>
      <w:lvlText w:val="-"/>
      <w:lvlJc w:val="left"/>
      <w:pPr>
        <w:ind w:left="1462" w:hanging="294"/>
      </w:pPr>
      <w:rPr>
        <w:rFonts w:ascii="Courier New" w:eastAsia="Courier New" w:hAnsi="Courier New" w:hint="default"/>
        <w:w w:val="99"/>
        <w:sz w:val="22"/>
        <w:szCs w:val="22"/>
      </w:rPr>
    </w:lvl>
    <w:lvl w:ilvl="1" w:tplc="6F687390">
      <w:start w:val="1"/>
      <w:numFmt w:val="bullet"/>
      <w:lvlText w:val=""/>
      <w:lvlJc w:val="left"/>
      <w:pPr>
        <w:ind w:left="1822" w:hanging="360"/>
      </w:pPr>
      <w:rPr>
        <w:rFonts w:ascii="Symbol" w:eastAsia="Symbol" w:hAnsi="Symbol" w:hint="default"/>
        <w:w w:val="99"/>
        <w:sz w:val="22"/>
        <w:szCs w:val="22"/>
      </w:rPr>
    </w:lvl>
    <w:lvl w:ilvl="2" w:tplc="D610E090">
      <w:start w:val="1"/>
      <w:numFmt w:val="bullet"/>
      <w:lvlText w:val="•"/>
      <w:lvlJc w:val="left"/>
      <w:pPr>
        <w:ind w:left="2835" w:hanging="360"/>
      </w:pPr>
      <w:rPr>
        <w:rFonts w:hint="default"/>
      </w:rPr>
    </w:lvl>
    <w:lvl w:ilvl="3" w:tplc="A8122ABA">
      <w:start w:val="1"/>
      <w:numFmt w:val="bullet"/>
      <w:lvlText w:val="•"/>
      <w:lvlJc w:val="left"/>
      <w:pPr>
        <w:ind w:left="3849" w:hanging="360"/>
      </w:pPr>
      <w:rPr>
        <w:rFonts w:hint="default"/>
      </w:rPr>
    </w:lvl>
    <w:lvl w:ilvl="4" w:tplc="7630777E">
      <w:start w:val="1"/>
      <w:numFmt w:val="bullet"/>
      <w:lvlText w:val="•"/>
      <w:lvlJc w:val="left"/>
      <w:pPr>
        <w:ind w:left="4863" w:hanging="360"/>
      </w:pPr>
      <w:rPr>
        <w:rFonts w:hint="default"/>
      </w:rPr>
    </w:lvl>
    <w:lvl w:ilvl="5" w:tplc="961A0012">
      <w:start w:val="1"/>
      <w:numFmt w:val="bullet"/>
      <w:lvlText w:val="•"/>
      <w:lvlJc w:val="left"/>
      <w:pPr>
        <w:ind w:left="5877" w:hanging="360"/>
      </w:pPr>
      <w:rPr>
        <w:rFonts w:hint="default"/>
      </w:rPr>
    </w:lvl>
    <w:lvl w:ilvl="6" w:tplc="34BA2CAA">
      <w:start w:val="1"/>
      <w:numFmt w:val="bullet"/>
      <w:lvlText w:val="•"/>
      <w:lvlJc w:val="left"/>
      <w:pPr>
        <w:ind w:left="6891" w:hanging="360"/>
      </w:pPr>
      <w:rPr>
        <w:rFonts w:hint="default"/>
      </w:rPr>
    </w:lvl>
    <w:lvl w:ilvl="7" w:tplc="DB98142C">
      <w:start w:val="1"/>
      <w:numFmt w:val="bullet"/>
      <w:lvlText w:val="•"/>
      <w:lvlJc w:val="left"/>
      <w:pPr>
        <w:ind w:left="7904" w:hanging="360"/>
      </w:pPr>
      <w:rPr>
        <w:rFonts w:hint="default"/>
      </w:rPr>
    </w:lvl>
    <w:lvl w:ilvl="8" w:tplc="641ABE80">
      <w:start w:val="1"/>
      <w:numFmt w:val="bullet"/>
      <w:lvlText w:val="•"/>
      <w:lvlJc w:val="left"/>
      <w:pPr>
        <w:ind w:left="8918" w:hanging="360"/>
      </w:pPr>
      <w:rPr>
        <w:rFonts w:hint="default"/>
      </w:rPr>
    </w:lvl>
  </w:abstractNum>
  <w:abstractNum w:abstractNumId="94" w15:restartNumberingAfterBreak="0">
    <w:nsid w:val="597A57D9"/>
    <w:multiLevelType w:val="hybridMultilevel"/>
    <w:tmpl w:val="BFB04A30"/>
    <w:lvl w:ilvl="0" w:tplc="A6FEF220">
      <w:start w:val="1"/>
      <w:numFmt w:val="decimal"/>
      <w:lvlText w:val="%1."/>
      <w:lvlJc w:val="left"/>
      <w:pPr>
        <w:ind w:left="1242" w:hanging="360"/>
      </w:pPr>
      <w:rPr>
        <w:rFonts w:ascii="Times New Roman" w:eastAsia="Arial" w:hAnsi="Times New Roman" w:cs="Times New Roman" w:hint="default"/>
        <w:w w:val="99"/>
        <w:sz w:val="24"/>
        <w:szCs w:val="24"/>
      </w:rPr>
    </w:lvl>
    <w:lvl w:ilvl="1" w:tplc="B756F664">
      <w:start w:val="1"/>
      <w:numFmt w:val="bullet"/>
      <w:lvlText w:val="•"/>
      <w:lvlJc w:val="left"/>
      <w:pPr>
        <w:ind w:left="2226" w:hanging="360"/>
      </w:pPr>
      <w:rPr>
        <w:rFonts w:hint="default"/>
      </w:rPr>
    </w:lvl>
    <w:lvl w:ilvl="2" w:tplc="14AEC880">
      <w:start w:val="1"/>
      <w:numFmt w:val="bullet"/>
      <w:lvlText w:val="•"/>
      <w:lvlJc w:val="left"/>
      <w:pPr>
        <w:ind w:left="3210" w:hanging="360"/>
      </w:pPr>
      <w:rPr>
        <w:rFonts w:hint="default"/>
      </w:rPr>
    </w:lvl>
    <w:lvl w:ilvl="3" w:tplc="63841CBA">
      <w:start w:val="1"/>
      <w:numFmt w:val="bullet"/>
      <w:lvlText w:val="•"/>
      <w:lvlJc w:val="left"/>
      <w:pPr>
        <w:ind w:left="4194" w:hanging="360"/>
      </w:pPr>
      <w:rPr>
        <w:rFonts w:hint="default"/>
      </w:rPr>
    </w:lvl>
    <w:lvl w:ilvl="4" w:tplc="73585E42">
      <w:start w:val="1"/>
      <w:numFmt w:val="bullet"/>
      <w:lvlText w:val="•"/>
      <w:lvlJc w:val="left"/>
      <w:pPr>
        <w:ind w:left="5179" w:hanging="360"/>
      </w:pPr>
      <w:rPr>
        <w:rFonts w:hint="default"/>
      </w:rPr>
    </w:lvl>
    <w:lvl w:ilvl="5" w:tplc="8D06C988">
      <w:start w:val="1"/>
      <w:numFmt w:val="bullet"/>
      <w:lvlText w:val="•"/>
      <w:lvlJc w:val="left"/>
      <w:pPr>
        <w:ind w:left="6163" w:hanging="360"/>
      </w:pPr>
      <w:rPr>
        <w:rFonts w:hint="default"/>
      </w:rPr>
    </w:lvl>
    <w:lvl w:ilvl="6" w:tplc="D97AD460">
      <w:start w:val="1"/>
      <w:numFmt w:val="bullet"/>
      <w:lvlText w:val="•"/>
      <w:lvlJc w:val="left"/>
      <w:pPr>
        <w:ind w:left="7147" w:hanging="360"/>
      </w:pPr>
      <w:rPr>
        <w:rFonts w:hint="default"/>
      </w:rPr>
    </w:lvl>
    <w:lvl w:ilvl="7" w:tplc="E382AE68">
      <w:start w:val="1"/>
      <w:numFmt w:val="bullet"/>
      <w:lvlText w:val="•"/>
      <w:lvlJc w:val="left"/>
      <w:pPr>
        <w:ind w:left="8132" w:hanging="360"/>
      </w:pPr>
      <w:rPr>
        <w:rFonts w:hint="default"/>
      </w:rPr>
    </w:lvl>
    <w:lvl w:ilvl="8" w:tplc="40184CC0">
      <w:start w:val="1"/>
      <w:numFmt w:val="bullet"/>
      <w:lvlText w:val="•"/>
      <w:lvlJc w:val="left"/>
      <w:pPr>
        <w:ind w:left="9116" w:hanging="360"/>
      </w:pPr>
      <w:rPr>
        <w:rFonts w:hint="default"/>
      </w:rPr>
    </w:lvl>
  </w:abstractNum>
  <w:abstractNum w:abstractNumId="95" w15:restartNumberingAfterBreak="0">
    <w:nsid w:val="59944406"/>
    <w:multiLevelType w:val="hybridMultilevel"/>
    <w:tmpl w:val="1C4849E2"/>
    <w:lvl w:ilvl="0" w:tplc="CBC4DAA2">
      <w:start w:val="1"/>
      <w:numFmt w:val="decimal"/>
      <w:lvlText w:val="%1."/>
      <w:lvlJc w:val="left"/>
      <w:pPr>
        <w:ind w:left="1062" w:hanging="360"/>
      </w:pPr>
      <w:rPr>
        <w:rFonts w:ascii="Times New Roman" w:eastAsia="Arial" w:hAnsi="Times New Roman" w:cs="Times New Roman" w:hint="default"/>
        <w:w w:val="99"/>
        <w:sz w:val="24"/>
        <w:szCs w:val="24"/>
      </w:rPr>
    </w:lvl>
    <w:lvl w:ilvl="1" w:tplc="2624AB30">
      <w:start w:val="1"/>
      <w:numFmt w:val="bullet"/>
      <w:lvlText w:val=""/>
      <w:lvlJc w:val="left"/>
      <w:pPr>
        <w:ind w:left="1422" w:hanging="296"/>
      </w:pPr>
      <w:rPr>
        <w:rFonts w:ascii="Symbol" w:eastAsia="Symbol" w:hAnsi="Symbol" w:hint="default"/>
        <w:w w:val="99"/>
        <w:sz w:val="22"/>
        <w:szCs w:val="22"/>
      </w:rPr>
    </w:lvl>
    <w:lvl w:ilvl="2" w:tplc="ED2A0372">
      <w:start w:val="1"/>
      <w:numFmt w:val="bullet"/>
      <w:lvlText w:val="•"/>
      <w:lvlJc w:val="left"/>
      <w:pPr>
        <w:ind w:left="1422" w:hanging="296"/>
      </w:pPr>
      <w:rPr>
        <w:rFonts w:hint="default"/>
      </w:rPr>
    </w:lvl>
    <w:lvl w:ilvl="3" w:tplc="71D0A0FC">
      <w:start w:val="1"/>
      <w:numFmt w:val="bullet"/>
      <w:lvlText w:val="•"/>
      <w:lvlJc w:val="left"/>
      <w:pPr>
        <w:ind w:left="1451" w:hanging="296"/>
      </w:pPr>
      <w:rPr>
        <w:rFonts w:hint="default"/>
      </w:rPr>
    </w:lvl>
    <w:lvl w:ilvl="4" w:tplc="78283194">
      <w:start w:val="1"/>
      <w:numFmt w:val="bullet"/>
      <w:lvlText w:val="•"/>
      <w:lvlJc w:val="left"/>
      <w:pPr>
        <w:ind w:left="2801" w:hanging="296"/>
      </w:pPr>
      <w:rPr>
        <w:rFonts w:hint="default"/>
      </w:rPr>
    </w:lvl>
    <w:lvl w:ilvl="5" w:tplc="5F06D7F8">
      <w:start w:val="1"/>
      <w:numFmt w:val="bullet"/>
      <w:lvlText w:val="•"/>
      <w:lvlJc w:val="left"/>
      <w:pPr>
        <w:ind w:left="4152" w:hanging="296"/>
      </w:pPr>
      <w:rPr>
        <w:rFonts w:hint="default"/>
      </w:rPr>
    </w:lvl>
    <w:lvl w:ilvl="6" w:tplc="F0BC10BA">
      <w:start w:val="1"/>
      <w:numFmt w:val="bullet"/>
      <w:lvlText w:val="•"/>
      <w:lvlJc w:val="left"/>
      <w:pPr>
        <w:ind w:left="5502" w:hanging="296"/>
      </w:pPr>
      <w:rPr>
        <w:rFonts w:hint="default"/>
      </w:rPr>
    </w:lvl>
    <w:lvl w:ilvl="7" w:tplc="FC74AAFA">
      <w:start w:val="1"/>
      <w:numFmt w:val="bullet"/>
      <w:lvlText w:val="•"/>
      <w:lvlJc w:val="left"/>
      <w:pPr>
        <w:ind w:left="6853" w:hanging="296"/>
      </w:pPr>
      <w:rPr>
        <w:rFonts w:hint="default"/>
      </w:rPr>
    </w:lvl>
    <w:lvl w:ilvl="8" w:tplc="C1BCE7BE">
      <w:start w:val="1"/>
      <w:numFmt w:val="bullet"/>
      <w:lvlText w:val="•"/>
      <w:lvlJc w:val="left"/>
      <w:pPr>
        <w:ind w:left="8204" w:hanging="296"/>
      </w:pPr>
      <w:rPr>
        <w:rFonts w:hint="default"/>
      </w:rPr>
    </w:lvl>
  </w:abstractNum>
  <w:abstractNum w:abstractNumId="96" w15:restartNumberingAfterBreak="0">
    <w:nsid w:val="59DE6D76"/>
    <w:multiLevelType w:val="hybridMultilevel"/>
    <w:tmpl w:val="3D6A79FC"/>
    <w:lvl w:ilvl="0" w:tplc="45BE02FA">
      <w:start w:val="1"/>
      <w:numFmt w:val="bullet"/>
      <w:lvlText w:val=""/>
      <w:lvlJc w:val="left"/>
      <w:pPr>
        <w:ind w:left="1462" w:hanging="296"/>
      </w:pPr>
      <w:rPr>
        <w:rFonts w:ascii="Symbol" w:eastAsia="Symbol" w:hAnsi="Symbol" w:hint="default"/>
        <w:w w:val="99"/>
        <w:sz w:val="22"/>
        <w:szCs w:val="22"/>
      </w:rPr>
    </w:lvl>
    <w:lvl w:ilvl="1" w:tplc="80DC1C4C">
      <w:start w:val="1"/>
      <w:numFmt w:val="bullet"/>
      <w:lvlText w:val="•"/>
      <w:lvlJc w:val="left"/>
      <w:pPr>
        <w:ind w:left="2410" w:hanging="296"/>
      </w:pPr>
      <w:rPr>
        <w:rFonts w:hint="default"/>
      </w:rPr>
    </w:lvl>
    <w:lvl w:ilvl="2" w:tplc="D542E53E">
      <w:start w:val="1"/>
      <w:numFmt w:val="bullet"/>
      <w:lvlText w:val="•"/>
      <w:lvlJc w:val="left"/>
      <w:pPr>
        <w:ind w:left="3358" w:hanging="296"/>
      </w:pPr>
      <w:rPr>
        <w:rFonts w:hint="default"/>
      </w:rPr>
    </w:lvl>
    <w:lvl w:ilvl="3" w:tplc="243A5048">
      <w:start w:val="1"/>
      <w:numFmt w:val="bullet"/>
      <w:lvlText w:val="•"/>
      <w:lvlJc w:val="left"/>
      <w:pPr>
        <w:ind w:left="4307" w:hanging="296"/>
      </w:pPr>
      <w:rPr>
        <w:rFonts w:hint="default"/>
      </w:rPr>
    </w:lvl>
    <w:lvl w:ilvl="4" w:tplc="4F6AEE0E">
      <w:start w:val="1"/>
      <w:numFmt w:val="bullet"/>
      <w:lvlText w:val="•"/>
      <w:lvlJc w:val="left"/>
      <w:pPr>
        <w:ind w:left="5255" w:hanging="296"/>
      </w:pPr>
      <w:rPr>
        <w:rFonts w:hint="default"/>
      </w:rPr>
    </w:lvl>
    <w:lvl w:ilvl="5" w:tplc="4CBAE390">
      <w:start w:val="1"/>
      <w:numFmt w:val="bullet"/>
      <w:lvlText w:val="•"/>
      <w:lvlJc w:val="left"/>
      <w:pPr>
        <w:ind w:left="6204" w:hanging="296"/>
      </w:pPr>
      <w:rPr>
        <w:rFonts w:hint="default"/>
      </w:rPr>
    </w:lvl>
    <w:lvl w:ilvl="6" w:tplc="CD48004E">
      <w:start w:val="1"/>
      <w:numFmt w:val="bullet"/>
      <w:lvlText w:val="•"/>
      <w:lvlJc w:val="left"/>
      <w:pPr>
        <w:ind w:left="7152" w:hanging="296"/>
      </w:pPr>
      <w:rPr>
        <w:rFonts w:hint="default"/>
      </w:rPr>
    </w:lvl>
    <w:lvl w:ilvl="7" w:tplc="F642FAA2">
      <w:start w:val="1"/>
      <w:numFmt w:val="bullet"/>
      <w:lvlText w:val="•"/>
      <w:lvlJc w:val="left"/>
      <w:pPr>
        <w:ind w:left="8101" w:hanging="296"/>
      </w:pPr>
      <w:rPr>
        <w:rFonts w:hint="default"/>
      </w:rPr>
    </w:lvl>
    <w:lvl w:ilvl="8" w:tplc="A7F86FA0">
      <w:start w:val="1"/>
      <w:numFmt w:val="bullet"/>
      <w:lvlText w:val="•"/>
      <w:lvlJc w:val="left"/>
      <w:pPr>
        <w:ind w:left="9049" w:hanging="296"/>
      </w:pPr>
      <w:rPr>
        <w:rFonts w:hint="default"/>
      </w:rPr>
    </w:lvl>
  </w:abstractNum>
  <w:abstractNum w:abstractNumId="97" w15:restartNumberingAfterBreak="0">
    <w:nsid w:val="59F6788D"/>
    <w:multiLevelType w:val="hybridMultilevel"/>
    <w:tmpl w:val="F8FECA9C"/>
    <w:lvl w:ilvl="0" w:tplc="5C54804E">
      <w:start w:val="1"/>
      <w:numFmt w:val="lowerLetter"/>
      <w:lvlText w:val="%1)"/>
      <w:lvlJc w:val="left"/>
      <w:pPr>
        <w:ind w:left="1357" w:hanging="257"/>
      </w:pPr>
      <w:rPr>
        <w:rFonts w:ascii="Times New Roman" w:eastAsia="Arial" w:hAnsi="Times New Roman" w:cs="Times New Roman" w:hint="default"/>
        <w:w w:val="99"/>
        <w:sz w:val="24"/>
        <w:szCs w:val="24"/>
      </w:rPr>
    </w:lvl>
    <w:lvl w:ilvl="1" w:tplc="4B0A46F6">
      <w:start w:val="1"/>
      <w:numFmt w:val="bullet"/>
      <w:lvlText w:val="•"/>
      <w:lvlJc w:val="left"/>
      <w:pPr>
        <w:ind w:left="2093" w:hanging="257"/>
      </w:pPr>
      <w:rPr>
        <w:rFonts w:hint="default"/>
      </w:rPr>
    </w:lvl>
    <w:lvl w:ilvl="2" w:tplc="E278D814">
      <w:start w:val="1"/>
      <w:numFmt w:val="bullet"/>
      <w:lvlText w:val="•"/>
      <w:lvlJc w:val="left"/>
      <w:pPr>
        <w:ind w:left="2830" w:hanging="257"/>
      </w:pPr>
      <w:rPr>
        <w:rFonts w:hint="default"/>
      </w:rPr>
    </w:lvl>
    <w:lvl w:ilvl="3" w:tplc="29CCDF64">
      <w:start w:val="1"/>
      <w:numFmt w:val="bullet"/>
      <w:lvlText w:val="•"/>
      <w:lvlJc w:val="left"/>
      <w:pPr>
        <w:ind w:left="3567" w:hanging="257"/>
      </w:pPr>
      <w:rPr>
        <w:rFonts w:hint="default"/>
      </w:rPr>
    </w:lvl>
    <w:lvl w:ilvl="4" w:tplc="99AE546E">
      <w:start w:val="1"/>
      <w:numFmt w:val="bullet"/>
      <w:lvlText w:val="•"/>
      <w:lvlJc w:val="left"/>
      <w:pPr>
        <w:ind w:left="4303" w:hanging="257"/>
      </w:pPr>
      <w:rPr>
        <w:rFonts w:hint="default"/>
      </w:rPr>
    </w:lvl>
    <w:lvl w:ilvl="5" w:tplc="77F2F2F6">
      <w:start w:val="1"/>
      <w:numFmt w:val="bullet"/>
      <w:lvlText w:val="•"/>
      <w:lvlJc w:val="left"/>
      <w:pPr>
        <w:ind w:left="5040" w:hanging="257"/>
      </w:pPr>
      <w:rPr>
        <w:rFonts w:hint="default"/>
      </w:rPr>
    </w:lvl>
    <w:lvl w:ilvl="6" w:tplc="7284CCC6">
      <w:start w:val="1"/>
      <w:numFmt w:val="bullet"/>
      <w:lvlText w:val="•"/>
      <w:lvlJc w:val="left"/>
      <w:pPr>
        <w:ind w:left="5777" w:hanging="257"/>
      </w:pPr>
      <w:rPr>
        <w:rFonts w:hint="default"/>
      </w:rPr>
    </w:lvl>
    <w:lvl w:ilvl="7" w:tplc="4006B068">
      <w:start w:val="1"/>
      <w:numFmt w:val="bullet"/>
      <w:lvlText w:val="•"/>
      <w:lvlJc w:val="left"/>
      <w:pPr>
        <w:ind w:left="6514" w:hanging="257"/>
      </w:pPr>
      <w:rPr>
        <w:rFonts w:hint="default"/>
      </w:rPr>
    </w:lvl>
    <w:lvl w:ilvl="8" w:tplc="24705EFC">
      <w:start w:val="1"/>
      <w:numFmt w:val="bullet"/>
      <w:lvlText w:val="•"/>
      <w:lvlJc w:val="left"/>
      <w:pPr>
        <w:ind w:left="7250" w:hanging="257"/>
      </w:pPr>
      <w:rPr>
        <w:rFonts w:hint="default"/>
      </w:rPr>
    </w:lvl>
  </w:abstractNum>
  <w:abstractNum w:abstractNumId="98" w15:restartNumberingAfterBreak="0">
    <w:nsid w:val="5AEC5A5B"/>
    <w:multiLevelType w:val="hybridMultilevel"/>
    <w:tmpl w:val="F18E9CA2"/>
    <w:lvl w:ilvl="0" w:tplc="0BA63B32">
      <w:start w:val="1"/>
      <w:numFmt w:val="decimal"/>
      <w:lvlText w:val="%1)"/>
      <w:lvlJc w:val="left"/>
      <w:pPr>
        <w:ind w:left="1591" w:hanging="284"/>
      </w:pPr>
      <w:rPr>
        <w:rFonts w:ascii="Times New Roman" w:eastAsia="Arial" w:hAnsi="Times New Roman" w:cs="Times New Roman" w:hint="default"/>
        <w:w w:val="99"/>
        <w:sz w:val="24"/>
        <w:szCs w:val="24"/>
      </w:rPr>
    </w:lvl>
    <w:lvl w:ilvl="1" w:tplc="68B2D00C">
      <w:start w:val="1"/>
      <w:numFmt w:val="lowerLetter"/>
      <w:lvlText w:val="%2)"/>
      <w:lvlJc w:val="left"/>
      <w:pPr>
        <w:ind w:left="2028" w:hanging="437"/>
      </w:pPr>
      <w:rPr>
        <w:rFonts w:ascii="Times New Roman" w:eastAsia="Arial" w:hAnsi="Times New Roman" w:cs="Times New Roman" w:hint="default"/>
        <w:w w:val="99"/>
        <w:sz w:val="24"/>
        <w:szCs w:val="24"/>
      </w:rPr>
    </w:lvl>
    <w:lvl w:ilvl="2" w:tplc="B874E4F8">
      <w:start w:val="1"/>
      <w:numFmt w:val="bullet"/>
      <w:lvlText w:val="•"/>
      <w:lvlJc w:val="left"/>
      <w:pPr>
        <w:ind w:left="3034" w:hanging="437"/>
      </w:pPr>
      <w:rPr>
        <w:rFonts w:hint="default"/>
      </w:rPr>
    </w:lvl>
    <w:lvl w:ilvl="3" w:tplc="9B94F178">
      <w:start w:val="1"/>
      <w:numFmt w:val="bullet"/>
      <w:lvlText w:val="•"/>
      <w:lvlJc w:val="left"/>
      <w:pPr>
        <w:ind w:left="4040" w:hanging="437"/>
      </w:pPr>
      <w:rPr>
        <w:rFonts w:hint="default"/>
      </w:rPr>
    </w:lvl>
    <w:lvl w:ilvl="4" w:tplc="4D4AA63A">
      <w:start w:val="1"/>
      <w:numFmt w:val="bullet"/>
      <w:lvlText w:val="•"/>
      <w:lvlJc w:val="left"/>
      <w:pPr>
        <w:ind w:left="5047" w:hanging="437"/>
      </w:pPr>
      <w:rPr>
        <w:rFonts w:hint="default"/>
      </w:rPr>
    </w:lvl>
    <w:lvl w:ilvl="5" w:tplc="A4E22026">
      <w:start w:val="1"/>
      <w:numFmt w:val="bullet"/>
      <w:lvlText w:val="•"/>
      <w:lvlJc w:val="left"/>
      <w:pPr>
        <w:ind w:left="6053" w:hanging="437"/>
      </w:pPr>
      <w:rPr>
        <w:rFonts w:hint="default"/>
      </w:rPr>
    </w:lvl>
    <w:lvl w:ilvl="6" w:tplc="B0C29788">
      <w:start w:val="1"/>
      <w:numFmt w:val="bullet"/>
      <w:lvlText w:val="•"/>
      <w:lvlJc w:val="left"/>
      <w:pPr>
        <w:ind w:left="7059" w:hanging="437"/>
      </w:pPr>
      <w:rPr>
        <w:rFonts w:hint="default"/>
      </w:rPr>
    </w:lvl>
    <w:lvl w:ilvl="7" w:tplc="A23EBDBA">
      <w:start w:val="1"/>
      <w:numFmt w:val="bullet"/>
      <w:lvlText w:val="•"/>
      <w:lvlJc w:val="left"/>
      <w:pPr>
        <w:ind w:left="8066" w:hanging="437"/>
      </w:pPr>
      <w:rPr>
        <w:rFonts w:hint="default"/>
      </w:rPr>
    </w:lvl>
    <w:lvl w:ilvl="8" w:tplc="3F54E6B2">
      <w:start w:val="1"/>
      <w:numFmt w:val="bullet"/>
      <w:lvlText w:val="•"/>
      <w:lvlJc w:val="left"/>
      <w:pPr>
        <w:ind w:left="9072" w:hanging="437"/>
      </w:pPr>
      <w:rPr>
        <w:rFonts w:hint="default"/>
      </w:rPr>
    </w:lvl>
  </w:abstractNum>
  <w:abstractNum w:abstractNumId="99" w15:restartNumberingAfterBreak="0">
    <w:nsid w:val="5C795043"/>
    <w:multiLevelType w:val="hybridMultilevel"/>
    <w:tmpl w:val="DC38F092"/>
    <w:lvl w:ilvl="0" w:tplc="A776F1D8">
      <w:start w:val="1"/>
      <w:numFmt w:val="lowerLetter"/>
      <w:lvlText w:val="%1)"/>
      <w:lvlJc w:val="left"/>
      <w:pPr>
        <w:ind w:left="1602" w:hanging="295"/>
      </w:pPr>
      <w:rPr>
        <w:rFonts w:ascii="Times New Roman" w:eastAsia="Arial" w:hAnsi="Times New Roman" w:cs="Times New Roman" w:hint="default"/>
        <w:w w:val="99"/>
        <w:sz w:val="24"/>
        <w:szCs w:val="24"/>
      </w:rPr>
    </w:lvl>
    <w:lvl w:ilvl="1" w:tplc="77FEA812">
      <w:start w:val="1"/>
      <w:numFmt w:val="bullet"/>
      <w:lvlText w:val="●"/>
      <w:lvlJc w:val="left"/>
      <w:pPr>
        <w:ind w:left="2342" w:hanging="720"/>
      </w:pPr>
      <w:rPr>
        <w:rFonts w:ascii="Arial" w:eastAsia="Arial" w:hAnsi="Arial" w:hint="default"/>
        <w:w w:val="99"/>
        <w:sz w:val="22"/>
        <w:szCs w:val="22"/>
      </w:rPr>
    </w:lvl>
    <w:lvl w:ilvl="2" w:tplc="5EB26B22">
      <w:start w:val="1"/>
      <w:numFmt w:val="bullet"/>
      <w:lvlText w:val="•"/>
      <w:lvlJc w:val="left"/>
      <w:pPr>
        <w:ind w:left="3313" w:hanging="720"/>
      </w:pPr>
      <w:rPr>
        <w:rFonts w:hint="default"/>
      </w:rPr>
    </w:lvl>
    <w:lvl w:ilvl="3" w:tplc="74B826B0">
      <w:start w:val="1"/>
      <w:numFmt w:val="bullet"/>
      <w:lvlText w:val="•"/>
      <w:lvlJc w:val="left"/>
      <w:pPr>
        <w:ind w:left="4285" w:hanging="720"/>
      </w:pPr>
      <w:rPr>
        <w:rFonts w:hint="default"/>
      </w:rPr>
    </w:lvl>
    <w:lvl w:ilvl="4" w:tplc="7048FD6E">
      <w:start w:val="1"/>
      <w:numFmt w:val="bullet"/>
      <w:lvlText w:val="•"/>
      <w:lvlJc w:val="left"/>
      <w:pPr>
        <w:ind w:left="5257" w:hanging="720"/>
      </w:pPr>
      <w:rPr>
        <w:rFonts w:hint="default"/>
      </w:rPr>
    </w:lvl>
    <w:lvl w:ilvl="5" w:tplc="03F29A5A">
      <w:start w:val="1"/>
      <w:numFmt w:val="bullet"/>
      <w:lvlText w:val="•"/>
      <w:lvlJc w:val="left"/>
      <w:pPr>
        <w:ind w:left="6229" w:hanging="720"/>
      </w:pPr>
      <w:rPr>
        <w:rFonts w:hint="default"/>
      </w:rPr>
    </w:lvl>
    <w:lvl w:ilvl="6" w:tplc="E17289B4">
      <w:start w:val="1"/>
      <w:numFmt w:val="bullet"/>
      <w:lvlText w:val="•"/>
      <w:lvlJc w:val="left"/>
      <w:pPr>
        <w:ind w:left="7201" w:hanging="720"/>
      </w:pPr>
      <w:rPr>
        <w:rFonts w:hint="default"/>
      </w:rPr>
    </w:lvl>
    <w:lvl w:ilvl="7" w:tplc="69160B52">
      <w:start w:val="1"/>
      <w:numFmt w:val="bullet"/>
      <w:lvlText w:val="•"/>
      <w:lvlJc w:val="left"/>
      <w:pPr>
        <w:ind w:left="8173" w:hanging="720"/>
      </w:pPr>
      <w:rPr>
        <w:rFonts w:hint="default"/>
      </w:rPr>
    </w:lvl>
    <w:lvl w:ilvl="8" w:tplc="86E0B01A">
      <w:start w:val="1"/>
      <w:numFmt w:val="bullet"/>
      <w:lvlText w:val="•"/>
      <w:lvlJc w:val="left"/>
      <w:pPr>
        <w:ind w:left="9145" w:hanging="720"/>
      </w:pPr>
      <w:rPr>
        <w:rFonts w:hint="default"/>
      </w:rPr>
    </w:lvl>
  </w:abstractNum>
  <w:abstractNum w:abstractNumId="100" w15:restartNumberingAfterBreak="0">
    <w:nsid w:val="5C8B19BD"/>
    <w:multiLevelType w:val="hybridMultilevel"/>
    <w:tmpl w:val="97F4124C"/>
    <w:lvl w:ilvl="0" w:tplc="67663AC2">
      <w:start w:val="1"/>
      <w:numFmt w:val="decimal"/>
      <w:lvlText w:val="%1."/>
      <w:lvlJc w:val="left"/>
      <w:pPr>
        <w:ind w:left="1124" w:hanging="303"/>
      </w:pPr>
      <w:rPr>
        <w:rFonts w:ascii="Times New Roman" w:eastAsia="Arial" w:hAnsi="Times New Roman" w:cs="Times New Roman" w:hint="default"/>
        <w:sz w:val="24"/>
        <w:szCs w:val="24"/>
      </w:rPr>
    </w:lvl>
    <w:lvl w:ilvl="1" w:tplc="8FFE7534">
      <w:start w:val="1"/>
      <w:numFmt w:val="lowerLetter"/>
      <w:lvlText w:val="%2)"/>
      <w:lvlJc w:val="left"/>
      <w:pPr>
        <w:ind w:left="1776" w:hanging="235"/>
      </w:pPr>
      <w:rPr>
        <w:rFonts w:ascii="Arial" w:eastAsia="Arial" w:hAnsi="Arial" w:hint="default"/>
        <w:sz w:val="20"/>
        <w:szCs w:val="20"/>
      </w:rPr>
    </w:lvl>
    <w:lvl w:ilvl="2" w:tplc="EA648836">
      <w:start w:val="1"/>
      <w:numFmt w:val="bullet"/>
      <w:lvlText w:val="•"/>
      <w:lvlJc w:val="left"/>
      <w:pPr>
        <w:ind w:left="1776" w:hanging="235"/>
      </w:pPr>
      <w:rPr>
        <w:rFonts w:hint="default"/>
      </w:rPr>
    </w:lvl>
    <w:lvl w:ilvl="3" w:tplc="1F6854D6">
      <w:start w:val="1"/>
      <w:numFmt w:val="bullet"/>
      <w:lvlText w:val="•"/>
      <w:lvlJc w:val="left"/>
      <w:pPr>
        <w:ind w:left="2932" w:hanging="235"/>
      </w:pPr>
      <w:rPr>
        <w:rFonts w:hint="default"/>
      </w:rPr>
    </w:lvl>
    <w:lvl w:ilvl="4" w:tplc="F4144E06">
      <w:start w:val="1"/>
      <w:numFmt w:val="bullet"/>
      <w:lvlText w:val="•"/>
      <w:lvlJc w:val="left"/>
      <w:pPr>
        <w:ind w:left="4088" w:hanging="235"/>
      </w:pPr>
      <w:rPr>
        <w:rFonts w:hint="default"/>
      </w:rPr>
    </w:lvl>
    <w:lvl w:ilvl="5" w:tplc="A148D31A">
      <w:start w:val="1"/>
      <w:numFmt w:val="bullet"/>
      <w:lvlText w:val="•"/>
      <w:lvlJc w:val="left"/>
      <w:pPr>
        <w:ind w:left="5245" w:hanging="235"/>
      </w:pPr>
      <w:rPr>
        <w:rFonts w:hint="default"/>
      </w:rPr>
    </w:lvl>
    <w:lvl w:ilvl="6" w:tplc="16783866">
      <w:start w:val="1"/>
      <w:numFmt w:val="bullet"/>
      <w:lvlText w:val="•"/>
      <w:lvlJc w:val="left"/>
      <w:pPr>
        <w:ind w:left="6401" w:hanging="235"/>
      </w:pPr>
      <w:rPr>
        <w:rFonts w:hint="default"/>
      </w:rPr>
    </w:lvl>
    <w:lvl w:ilvl="7" w:tplc="FF74A0B2">
      <w:start w:val="1"/>
      <w:numFmt w:val="bullet"/>
      <w:lvlText w:val="•"/>
      <w:lvlJc w:val="left"/>
      <w:pPr>
        <w:ind w:left="7557" w:hanging="235"/>
      </w:pPr>
      <w:rPr>
        <w:rFonts w:hint="default"/>
      </w:rPr>
    </w:lvl>
    <w:lvl w:ilvl="8" w:tplc="5ABC5FE8">
      <w:start w:val="1"/>
      <w:numFmt w:val="bullet"/>
      <w:lvlText w:val="•"/>
      <w:lvlJc w:val="left"/>
      <w:pPr>
        <w:ind w:left="8713" w:hanging="235"/>
      </w:pPr>
      <w:rPr>
        <w:rFonts w:hint="default"/>
      </w:rPr>
    </w:lvl>
  </w:abstractNum>
  <w:abstractNum w:abstractNumId="101" w15:restartNumberingAfterBreak="0">
    <w:nsid w:val="5E9B1A06"/>
    <w:multiLevelType w:val="hybridMultilevel"/>
    <w:tmpl w:val="0270D906"/>
    <w:lvl w:ilvl="0" w:tplc="4F2264CA">
      <w:start w:val="1"/>
      <w:numFmt w:val="bullet"/>
      <w:lvlText w:val=""/>
      <w:lvlJc w:val="left"/>
      <w:pPr>
        <w:ind w:left="2103" w:hanging="360"/>
      </w:pPr>
      <w:rPr>
        <w:rFonts w:ascii="Symbol" w:eastAsia="Symbol" w:hAnsi="Symbol" w:hint="default"/>
        <w:w w:val="99"/>
        <w:sz w:val="22"/>
        <w:szCs w:val="22"/>
      </w:rPr>
    </w:lvl>
    <w:lvl w:ilvl="1" w:tplc="15CCA2CC">
      <w:start w:val="1"/>
      <w:numFmt w:val="bullet"/>
      <w:lvlText w:val="•"/>
      <w:lvlJc w:val="left"/>
      <w:pPr>
        <w:ind w:left="3002" w:hanging="360"/>
      </w:pPr>
      <w:rPr>
        <w:rFonts w:hint="default"/>
      </w:rPr>
    </w:lvl>
    <w:lvl w:ilvl="2" w:tplc="DA8E255C">
      <w:start w:val="1"/>
      <w:numFmt w:val="bullet"/>
      <w:lvlText w:val="•"/>
      <w:lvlJc w:val="left"/>
      <w:pPr>
        <w:ind w:left="3900" w:hanging="360"/>
      </w:pPr>
      <w:rPr>
        <w:rFonts w:hint="default"/>
      </w:rPr>
    </w:lvl>
    <w:lvl w:ilvl="3" w:tplc="80D4A5AE">
      <w:start w:val="1"/>
      <w:numFmt w:val="bullet"/>
      <w:lvlText w:val="•"/>
      <w:lvlJc w:val="left"/>
      <w:pPr>
        <w:ind w:left="4799" w:hanging="360"/>
      </w:pPr>
      <w:rPr>
        <w:rFonts w:hint="default"/>
      </w:rPr>
    </w:lvl>
    <w:lvl w:ilvl="4" w:tplc="9A706BC2">
      <w:start w:val="1"/>
      <w:numFmt w:val="bullet"/>
      <w:lvlText w:val="•"/>
      <w:lvlJc w:val="left"/>
      <w:pPr>
        <w:ind w:left="5697" w:hanging="360"/>
      </w:pPr>
      <w:rPr>
        <w:rFonts w:hint="default"/>
      </w:rPr>
    </w:lvl>
    <w:lvl w:ilvl="5" w:tplc="5D4A7E90">
      <w:start w:val="1"/>
      <w:numFmt w:val="bullet"/>
      <w:lvlText w:val="•"/>
      <w:lvlJc w:val="left"/>
      <w:pPr>
        <w:ind w:left="6596" w:hanging="360"/>
      </w:pPr>
      <w:rPr>
        <w:rFonts w:hint="default"/>
      </w:rPr>
    </w:lvl>
    <w:lvl w:ilvl="6" w:tplc="F3906494">
      <w:start w:val="1"/>
      <w:numFmt w:val="bullet"/>
      <w:lvlText w:val="•"/>
      <w:lvlJc w:val="left"/>
      <w:pPr>
        <w:ind w:left="7494" w:hanging="360"/>
      </w:pPr>
      <w:rPr>
        <w:rFonts w:hint="default"/>
      </w:rPr>
    </w:lvl>
    <w:lvl w:ilvl="7" w:tplc="0EFAC76C">
      <w:start w:val="1"/>
      <w:numFmt w:val="bullet"/>
      <w:lvlText w:val="•"/>
      <w:lvlJc w:val="left"/>
      <w:pPr>
        <w:ind w:left="8393" w:hanging="360"/>
      </w:pPr>
      <w:rPr>
        <w:rFonts w:hint="default"/>
      </w:rPr>
    </w:lvl>
    <w:lvl w:ilvl="8" w:tplc="099E5328">
      <w:start w:val="1"/>
      <w:numFmt w:val="bullet"/>
      <w:lvlText w:val="•"/>
      <w:lvlJc w:val="left"/>
      <w:pPr>
        <w:ind w:left="9291" w:hanging="360"/>
      </w:pPr>
      <w:rPr>
        <w:rFonts w:hint="default"/>
      </w:rPr>
    </w:lvl>
  </w:abstractNum>
  <w:abstractNum w:abstractNumId="102" w15:restartNumberingAfterBreak="0">
    <w:nsid w:val="5F94748A"/>
    <w:multiLevelType w:val="hybridMultilevel"/>
    <w:tmpl w:val="D8943606"/>
    <w:lvl w:ilvl="0" w:tplc="DD58F8FE">
      <w:start w:val="1"/>
      <w:numFmt w:val="lowerLetter"/>
      <w:lvlText w:val="%1)"/>
      <w:lvlJc w:val="left"/>
      <w:pPr>
        <w:ind w:left="1602" w:hanging="295"/>
      </w:pPr>
      <w:rPr>
        <w:rFonts w:ascii="Times New Roman" w:eastAsia="Arial" w:hAnsi="Times New Roman" w:cs="Times New Roman" w:hint="default"/>
        <w:w w:val="99"/>
        <w:sz w:val="24"/>
        <w:szCs w:val="24"/>
      </w:rPr>
    </w:lvl>
    <w:lvl w:ilvl="1" w:tplc="51386A5A">
      <w:start w:val="1"/>
      <w:numFmt w:val="bullet"/>
      <w:lvlText w:val="•"/>
      <w:lvlJc w:val="left"/>
      <w:pPr>
        <w:ind w:left="2550" w:hanging="295"/>
      </w:pPr>
      <w:rPr>
        <w:rFonts w:hint="default"/>
      </w:rPr>
    </w:lvl>
    <w:lvl w:ilvl="2" w:tplc="85DE0090">
      <w:start w:val="1"/>
      <w:numFmt w:val="bullet"/>
      <w:lvlText w:val="•"/>
      <w:lvlJc w:val="left"/>
      <w:pPr>
        <w:ind w:left="3499" w:hanging="295"/>
      </w:pPr>
      <w:rPr>
        <w:rFonts w:hint="default"/>
      </w:rPr>
    </w:lvl>
    <w:lvl w:ilvl="3" w:tplc="E8D23F4E">
      <w:start w:val="1"/>
      <w:numFmt w:val="bullet"/>
      <w:lvlText w:val="•"/>
      <w:lvlJc w:val="left"/>
      <w:pPr>
        <w:ind w:left="4448" w:hanging="295"/>
      </w:pPr>
      <w:rPr>
        <w:rFonts w:hint="default"/>
      </w:rPr>
    </w:lvl>
    <w:lvl w:ilvl="4" w:tplc="04CE921A">
      <w:start w:val="1"/>
      <w:numFmt w:val="bullet"/>
      <w:lvlText w:val="•"/>
      <w:lvlJc w:val="left"/>
      <w:pPr>
        <w:ind w:left="5396" w:hanging="295"/>
      </w:pPr>
      <w:rPr>
        <w:rFonts w:hint="default"/>
      </w:rPr>
    </w:lvl>
    <w:lvl w:ilvl="5" w:tplc="9DDA3256">
      <w:start w:val="1"/>
      <w:numFmt w:val="bullet"/>
      <w:lvlText w:val="•"/>
      <w:lvlJc w:val="left"/>
      <w:pPr>
        <w:ind w:left="6345" w:hanging="295"/>
      </w:pPr>
      <w:rPr>
        <w:rFonts w:hint="default"/>
      </w:rPr>
    </w:lvl>
    <w:lvl w:ilvl="6" w:tplc="5502A22A">
      <w:start w:val="1"/>
      <w:numFmt w:val="bullet"/>
      <w:lvlText w:val="•"/>
      <w:lvlJc w:val="left"/>
      <w:pPr>
        <w:ind w:left="7294" w:hanging="295"/>
      </w:pPr>
      <w:rPr>
        <w:rFonts w:hint="default"/>
      </w:rPr>
    </w:lvl>
    <w:lvl w:ilvl="7" w:tplc="C3B21D6C">
      <w:start w:val="1"/>
      <w:numFmt w:val="bullet"/>
      <w:lvlText w:val="•"/>
      <w:lvlJc w:val="left"/>
      <w:pPr>
        <w:ind w:left="8242" w:hanging="295"/>
      </w:pPr>
      <w:rPr>
        <w:rFonts w:hint="default"/>
      </w:rPr>
    </w:lvl>
    <w:lvl w:ilvl="8" w:tplc="4114F548">
      <w:start w:val="1"/>
      <w:numFmt w:val="bullet"/>
      <w:lvlText w:val="•"/>
      <w:lvlJc w:val="left"/>
      <w:pPr>
        <w:ind w:left="9191" w:hanging="295"/>
      </w:pPr>
      <w:rPr>
        <w:rFonts w:hint="default"/>
      </w:rPr>
    </w:lvl>
  </w:abstractNum>
  <w:abstractNum w:abstractNumId="103" w15:restartNumberingAfterBreak="0">
    <w:nsid w:val="608B7653"/>
    <w:multiLevelType w:val="hybridMultilevel"/>
    <w:tmpl w:val="2F26304E"/>
    <w:lvl w:ilvl="0" w:tplc="72F0C0FE">
      <w:start w:val="1"/>
      <w:numFmt w:val="bullet"/>
      <w:lvlText w:val=""/>
      <w:lvlJc w:val="left"/>
      <w:pPr>
        <w:ind w:left="1522" w:hanging="294"/>
      </w:pPr>
      <w:rPr>
        <w:rFonts w:ascii="Symbol" w:eastAsia="Symbol" w:hAnsi="Symbol" w:hint="default"/>
        <w:w w:val="99"/>
        <w:sz w:val="22"/>
        <w:szCs w:val="22"/>
      </w:rPr>
    </w:lvl>
    <w:lvl w:ilvl="1" w:tplc="828E010E">
      <w:start w:val="1"/>
      <w:numFmt w:val="bullet"/>
      <w:lvlText w:val="•"/>
      <w:lvlJc w:val="left"/>
      <w:pPr>
        <w:ind w:left="2470" w:hanging="294"/>
      </w:pPr>
      <w:rPr>
        <w:rFonts w:hint="default"/>
      </w:rPr>
    </w:lvl>
    <w:lvl w:ilvl="2" w:tplc="CA3E4B50">
      <w:start w:val="1"/>
      <w:numFmt w:val="bullet"/>
      <w:lvlText w:val="•"/>
      <w:lvlJc w:val="left"/>
      <w:pPr>
        <w:ind w:left="3418" w:hanging="294"/>
      </w:pPr>
      <w:rPr>
        <w:rFonts w:hint="default"/>
      </w:rPr>
    </w:lvl>
    <w:lvl w:ilvl="3" w:tplc="D06E9E1A">
      <w:start w:val="1"/>
      <w:numFmt w:val="bullet"/>
      <w:lvlText w:val="•"/>
      <w:lvlJc w:val="left"/>
      <w:pPr>
        <w:ind w:left="4366" w:hanging="294"/>
      </w:pPr>
      <w:rPr>
        <w:rFonts w:hint="default"/>
      </w:rPr>
    </w:lvl>
    <w:lvl w:ilvl="4" w:tplc="DC487230">
      <w:start w:val="1"/>
      <w:numFmt w:val="bullet"/>
      <w:lvlText w:val="•"/>
      <w:lvlJc w:val="left"/>
      <w:pPr>
        <w:ind w:left="5315" w:hanging="294"/>
      </w:pPr>
      <w:rPr>
        <w:rFonts w:hint="default"/>
      </w:rPr>
    </w:lvl>
    <w:lvl w:ilvl="5" w:tplc="29063D48">
      <w:start w:val="1"/>
      <w:numFmt w:val="bullet"/>
      <w:lvlText w:val="•"/>
      <w:lvlJc w:val="left"/>
      <w:pPr>
        <w:ind w:left="6263" w:hanging="294"/>
      </w:pPr>
      <w:rPr>
        <w:rFonts w:hint="default"/>
      </w:rPr>
    </w:lvl>
    <w:lvl w:ilvl="6" w:tplc="54CC7B56">
      <w:start w:val="1"/>
      <w:numFmt w:val="bullet"/>
      <w:lvlText w:val="•"/>
      <w:lvlJc w:val="left"/>
      <w:pPr>
        <w:ind w:left="7211" w:hanging="294"/>
      </w:pPr>
      <w:rPr>
        <w:rFonts w:hint="default"/>
      </w:rPr>
    </w:lvl>
    <w:lvl w:ilvl="7" w:tplc="2E70DA2E">
      <w:start w:val="1"/>
      <w:numFmt w:val="bullet"/>
      <w:lvlText w:val="•"/>
      <w:lvlJc w:val="left"/>
      <w:pPr>
        <w:ind w:left="8160" w:hanging="294"/>
      </w:pPr>
      <w:rPr>
        <w:rFonts w:hint="default"/>
      </w:rPr>
    </w:lvl>
    <w:lvl w:ilvl="8" w:tplc="96D4E90E">
      <w:start w:val="1"/>
      <w:numFmt w:val="bullet"/>
      <w:lvlText w:val="•"/>
      <w:lvlJc w:val="left"/>
      <w:pPr>
        <w:ind w:left="9108" w:hanging="294"/>
      </w:pPr>
      <w:rPr>
        <w:rFonts w:hint="default"/>
      </w:rPr>
    </w:lvl>
  </w:abstractNum>
  <w:abstractNum w:abstractNumId="104" w15:restartNumberingAfterBreak="0">
    <w:nsid w:val="60FD02EE"/>
    <w:multiLevelType w:val="hybridMultilevel"/>
    <w:tmpl w:val="1D0A6C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638D56CB"/>
    <w:multiLevelType w:val="hybridMultilevel"/>
    <w:tmpl w:val="E4C62622"/>
    <w:lvl w:ilvl="0" w:tplc="42CAA126">
      <w:start w:val="1"/>
      <w:numFmt w:val="bullet"/>
      <w:lvlText w:val=""/>
      <w:lvlJc w:val="left"/>
      <w:pPr>
        <w:ind w:left="1451" w:hanging="284"/>
      </w:pPr>
      <w:rPr>
        <w:rFonts w:ascii="Symbol" w:eastAsia="Symbol" w:hAnsi="Symbol" w:hint="default"/>
        <w:w w:val="99"/>
        <w:sz w:val="22"/>
        <w:szCs w:val="22"/>
      </w:rPr>
    </w:lvl>
    <w:lvl w:ilvl="1" w:tplc="BEC664F4">
      <w:start w:val="1"/>
      <w:numFmt w:val="bullet"/>
      <w:lvlText w:val="•"/>
      <w:lvlJc w:val="left"/>
      <w:pPr>
        <w:ind w:left="2400" w:hanging="284"/>
      </w:pPr>
      <w:rPr>
        <w:rFonts w:hint="default"/>
      </w:rPr>
    </w:lvl>
    <w:lvl w:ilvl="2" w:tplc="3B9E7F3C">
      <w:start w:val="1"/>
      <w:numFmt w:val="bullet"/>
      <w:lvlText w:val="•"/>
      <w:lvlJc w:val="left"/>
      <w:pPr>
        <w:ind w:left="3350" w:hanging="284"/>
      </w:pPr>
      <w:rPr>
        <w:rFonts w:hint="default"/>
      </w:rPr>
    </w:lvl>
    <w:lvl w:ilvl="3" w:tplc="ACAEFF88">
      <w:start w:val="1"/>
      <w:numFmt w:val="bullet"/>
      <w:lvlText w:val="•"/>
      <w:lvlJc w:val="left"/>
      <w:pPr>
        <w:ind w:left="4299" w:hanging="284"/>
      </w:pPr>
      <w:rPr>
        <w:rFonts w:hint="default"/>
      </w:rPr>
    </w:lvl>
    <w:lvl w:ilvl="4" w:tplc="90C69FBE">
      <w:start w:val="1"/>
      <w:numFmt w:val="bullet"/>
      <w:lvlText w:val="•"/>
      <w:lvlJc w:val="left"/>
      <w:pPr>
        <w:ind w:left="5248" w:hanging="284"/>
      </w:pPr>
      <w:rPr>
        <w:rFonts w:hint="default"/>
      </w:rPr>
    </w:lvl>
    <w:lvl w:ilvl="5" w:tplc="A832F55A">
      <w:start w:val="1"/>
      <w:numFmt w:val="bullet"/>
      <w:lvlText w:val="•"/>
      <w:lvlJc w:val="left"/>
      <w:pPr>
        <w:ind w:left="6198" w:hanging="284"/>
      </w:pPr>
      <w:rPr>
        <w:rFonts w:hint="default"/>
      </w:rPr>
    </w:lvl>
    <w:lvl w:ilvl="6" w:tplc="40F44728">
      <w:start w:val="1"/>
      <w:numFmt w:val="bullet"/>
      <w:lvlText w:val="•"/>
      <w:lvlJc w:val="left"/>
      <w:pPr>
        <w:ind w:left="7147" w:hanging="284"/>
      </w:pPr>
      <w:rPr>
        <w:rFonts w:hint="default"/>
      </w:rPr>
    </w:lvl>
    <w:lvl w:ilvl="7" w:tplc="39968A3E">
      <w:start w:val="1"/>
      <w:numFmt w:val="bullet"/>
      <w:lvlText w:val="•"/>
      <w:lvlJc w:val="left"/>
      <w:pPr>
        <w:ind w:left="8097" w:hanging="284"/>
      </w:pPr>
      <w:rPr>
        <w:rFonts w:hint="default"/>
      </w:rPr>
    </w:lvl>
    <w:lvl w:ilvl="8" w:tplc="EDD0C97A">
      <w:start w:val="1"/>
      <w:numFmt w:val="bullet"/>
      <w:lvlText w:val="•"/>
      <w:lvlJc w:val="left"/>
      <w:pPr>
        <w:ind w:left="9046" w:hanging="284"/>
      </w:pPr>
      <w:rPr>
        <w:rFonts w:hint="default"/>
      </w:rPr>
    </w:lvl>
  </w:abstractNum>
  <w:abstractNum w:abstractNumId="106" w15:restartNumberingAfterBreak="0">
    <w:nsid w:val="66633593"/>
    <w:multiLevelType w:val="hybridMultilevel"/>
    <w:tmpl w:val="92BEFE04"/>
    <w:lvl w:ilvl="0" w:tplc="90442BD8">
      <w:start w:val="1"/>
      <w:numFmt w:val="decimal"/>
      <w:lvlText w:val="%1."/>
      <w:lvlJc w:val="left"/>
      <w:pPr>
        <w:ind w:left="1241" w:hanging="360"/>
      </w:pPr>
      <w:rPr>
        <w:rFonts w:ascii="Times New Roman" w:eastAsia="Arial" w:hAnsi="Times New Roman" w:cs="Times New Roman" w:hint="default"/>
        <w:w w:val="99"/>
        <w:sz w:val="24"/>
        <w:szCs w:val="24"/>
      </w:rPr>
    </w:lvl>
    <w:lvl w:ilvl="1" w:tplc="3AE6D88E">
      <w:start w:val="1"/>
      <w:numFmt w:val="bullet"/>
      <w:lvlText w:val=""/>
      <w:lvlJc w:val="left"/>
      <w:pPr>
        <w:ind w:left="1642" w:hanging="295"/>
      </w:pPr>
      <w:rPr>
        <w:rFonts w:ascii="Symbol" w:eastAsia="Symbol" w:hAnsi="Symbol" w:hint="default"/>
        <w:w w:val="99"/>
        <w:sz w:val="22"/>
        <w:szCs w:val="22"/>
      </w:rPr>
    </w:lvl>
    <w:lvl w:ilvl="2" w:tplc="7F820F0C">
      <w:start w:val="1"/>
      <w:numFmt w:val="bullet"/>
      <w:lvlText w:val="•"/>
      <w:lvlJc w:val="left"/>
      <w:pPr>
        <w:ind w:left="2691" w:hanging="295"/>
      </w:pPr>
      <w:rPr>
        <w:rFonts w:hint="default"/>
      </w:rPr>
    </w:lvl>
    <w:lvl w:ilvl="3" w:tplc="A61AD7D8">
      <w:start w:val="1"/>
      <w:numFmt w:val="bullet"/>
      <w:lvlText w:val="•"/>
      <w:lvlJc w:val="left"/>
      <w:pPr>
        <w:ind w:left="3741" w:hanging="295"/>
      </w:pPr>
      <w:rPr>
        <w:rFonts w:hint="default"/>
      </w:rPr>
    </w:lvl>
    <w:lvl w:ilvl="4" w:tplc="0C624EFC">
      <w:start w:val="1"/>
      <w:numFmt w:val="bullet"/>
      <w:lvlText w:val="•"/>
      <w:lvlJc w:val="left"/>
      <w:pPr>
        <w:ind w:left="4790" w:hanging="295"/>
      </w:pPr>
      <w:rPr>
        <w:rFonts w:hint="default"/>
      </w:rPr>
    </w:lvl>
    <w:lvl w:ilvl="5" w:tplc="6BA04BF0">
      <w:start w:val="1"/>
      <w:numFmt w:val="bullet"/>
      <w:lvlText w:val="•"/>
      <w:lvlJc w:val="left"/>
      <w:pPr>
        <w:ind w:left="5840" w:hanging="295"/>
      </w:pPr>
      <w:rPr>
        <w:rFonts w:hint="default"/>
      </w:rPr>
    </w:lvl>
    <w:lvl w:ilvl="6" w:tplc="BF5C9EB4">
      <w:start w:val="1"/>
      <w:numFmt w:val="bullet"/>
      <w:lvlText w:val="•"/>
      <w:lvlJc w:val="left"/>
      <w:pPr>
        <w:ind w:left="6890" w:hanging="295"/>
      </w:pPr>
      <w:rPr>
        <w:rFonts w:hint="default"/>
      </w:rPr>
    </w:lvl>
    <w:lvl w:ilvl="7" w:tplc="EBDACC8A">
      <w:start w:val="1"/>
      <w:numFmt w:val="bullet"/>
      <w:lvlText w:val="•"/>
      <w:lvlJc w:val="left"/>
      <w:pPr>
        <w:ind w:left="7939" w:hanging="295"/>
      </w:pPr>
      <w:rPr>
        <w:rFonts w:hint="default"/>
      </w:rPr>
    </w:lvl>
    <w:lvl w:ilvl="8" w:tplc="6DFE3016">
      <w:start w:val="1"/>
      <w:numFmt w:val="bullet"/>
      <w:lvlText w:val="•"/>
      <w:lvlJc w:val="left"/>
      <w:pPr>
        <w:ind w:left="8989" w:hanging="295"/>
      </w:pPr>
      <w:rPr>
        <w:rFonts w:hint="default"/>
      </w:rPr>
    </w:lvl>
  </w:abstractNum>
  <w:abstractNum w:abstractNumId="107" w15:restartNumberingAfterBreak="0">
    <w:nsid w:val="66F64091"/>
    <w:multiLevelType w:val="hybridMultilevel"/>
    <w:tmpl w:val="0A221952"/>
    <w:lvl w:ilvl="0" w:tplc="D4987DD8">
      <w:start w:val="1"/>
      <w:numFmt w:val="decimal"/>
      <w:lvlText w:val="%1)"/>
      <w:lvlJc w:val="left"/>
      <w:pPr>
        <w:ind w:left="1168" w:hanging="426"/>
        <w:jc w:val="right"/>
      </w:pPr>
      <w:rPr>
        <w:rFonts w:ascii="Times New Roman" w:eastAsia="Arial" w:hAnsi="Times New Roman" w:cs="Times New Roman" w:hint="default"/>
        <w:w w:val="99"/>
        <w:sz w:val="24"/>
        <w:szCs w:val="24"/>
      </w:rPr>
    </w:lvl>
    <w:lvl w:ilvl="1" w:tplc="D3727A38">
      <w:start w:val="1"/>
      <w:numFmt w:val="bullet"/>
      <w:lvlText w:val="•"/>
      <w:lvlJc w:val="left"/>
      <w:pPr>
        <w:ind w:left="4437" w:hanging="426"/>
      </w:pPr>
      <w:rPr>
        <w:rFonts w:hint="default"/>
      </w:rPr>
    </w:lvl>
    <w:lvl w:ilvl="2" w:tplc="12408548">
      <w:start w:val="1"/>
      <w:numFmt w:val="bullet"/>
      <w:lvlText w:val="•"/>
      <w:lvlJc w:val="left"/>
      <w:pPr>
        <w:ind w:left="4570" w:hanging="426"/>
      </w:pPr>
      <w:rPr>
        <w:rFonts w:hint="default"/>
      </w:rPr>
    </w:lvl>
    <w:lvl w:ilvl="3" w:tplc="9D123724">
      <w:start w:val="1"/>
      <w:numFmt w:val="bullet"/>
      <w:lvlText w:val="•"/>
      <w:lvlJc w:val="left"/>
      <w:pPr>
        <w:ind w:left="4837" w:hanging="426"/>
      </w:pPr>
      <w:rPr>
        <w:rFonts w:hint="default"/>
      </w:rPr>
    </w:lvl>
    <w:lvl w:ilvl="4" w:tplc="A8A69A86">
      <w:start w:val="1"/>
      <w:numFmt w:val="bullet"/>
      <w:lvlText w:val="•"/>
      <w:lvlJc w:val="left"/>
      <w:pPr>
        <w:ind w:left="5710" w:hanging="426"/>
      </w:pPr>
      <w:rPr>
        <w:rFonts w:hint="default"/>
      </w:rPr>
    </w:lvl>
    <w:lvl w:ilvl="5" w:tplc="B50C41A4">
      <w:start w:val="1"/>
      <w:numFmt w:val="bullet"/>
      <w:lvlText w:val="•"/>
      <w:lvlJc w:val="left"/>
      <w:pPr>
        <w:ind w:left="6582" w:hanging="426"/>
      </w:pPr>
      <w:rPr>
        <w:rFonts w:hint="default"/>
      </w:rPr>
    </w:lvl>
    <w:lvl w:ilvl="6" w:tplc="910E6E0C">
      <w:start w:val="1"/>
      <w:numFmt w:val="bullet"/>
      <w:lvlText w:val="•"/>
      <w:lvlJc w:val="left"/>
      <w:pPr>
        <w:ind w:left="7455" w:hanging="426"/>
      </w:pPr>
      <w:rPr>
        <w:rFonts w:hint="default"/>
      </w:rPr>
    </w:lvl>
    <w:lvl w:ilvl="7" w:tplc="32380080">
      <w:start w:val="1"/>
      <w:numFmt w:val="bullet"/>
      <w:lvlText w:val="•"/>
      <w:lvlJc w:val="left"/>
      <w:pPr>
        <w:ind w:left="8328" w:hanging="426"/>
      </w:pPr>
      <w:rPr>
        <w:rFonts w:hint="default"/>
      </w:rPr>
    </w:lvl>
    <w:lvl w:ilvl="8" w:tplc="762048A4">
      <w:start w:val="1"/>
      <w:numFmt w:val="bullet"/>
      <w:lvlText w:val="•"/>
      <w:lvlJc w:val="left"/>
      <w:pPr>
        <w:ind w:left="9201" w:hanging="426"/>
      </w:pPr>
      <w:rPr>
        <w:rFonts w:hint="default"/>
      </w:rPr>
    </w:lvl>
  </w:abstractNum>
  <w:abstractNum w:abstractNumId="108" w15:restartNumberingAfterBreak="0">
    <w:nsid w:val="6854336E"/>
    <w:multiLevelType w:val="hybridMultilevel"/>
    <w:tmpl w:val="96B0832C"/>
    <w:lvl w:ilvl="0" w:tplc="997CC202">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F2FE8006">
      <w:start w:val="1"/>
      <w:numFmt w:val="bullet"/>
      <w:lvlText w:val=""/>
      <w:lvlJc w:val="left"/>
      <w:pPr>
        <w:ind w:left="1462" w:hanging="294"/>
      </w:pPr>
      <w:rPr>
        <w:rFonts w:ascii="Symbol" w:eastAsia="Symbol" w:hAnsi="Symbol" w:hint="default"/>
        <w:w w:val="99"/>
        <w:sz w:val="22"/>
        <w:szCs w:val="22"/>
      </w:rPr>
    </w:lvl>
    <w:lvl w:ilvl="2" w:tplc="0A86FEE6">
      <w:start w:val="1"/>
      <w:numFmt w:val="bullet"/>
      <w:lvlText w:val="•"/>
      <w:lvlJc w:val="left"/>
      <w:pPr>
        <w:ind w:left="2515" w:hanging="294"/>
      </w:pPr>
      <w:rPr>
        <w:rFonts w:hint="default"/>
      </w:rPr>
    </w:lvl>
    <w:lvl w:ilvl="3" w:tplc="4E965BAE">
      <w:start w:val="1"/>
      <w:numFmt w:val="bullet"/>
      <w:lvlText w:val="•"/>
      <w:lvlJc w:val="left"/>
      <w:pPr>
        <w:ind w:left="3569" w:hanging="294"/>
      </w:pPr>
      <w:rPr>
        <w:rFonts w:hint="default"/>
      </w:rPr>
    </w:lvl>
    <w:lvl w:ilvl="4" w:tplc="ABE4FFDC">
      <w:start w:val="1"/>
      <w:numFmt w:val="bullet"/>
      <w:lvlText w:val="•"/>
      <w:lvlJc w:val="left"/>
      <w:pPr>
        <w:ind w:left="4623" w:hanging="294"/>
      </w:pPr>
      <w:rPr>
        <w:rFonts w:hint="default"/>
      </w:rPr>
    </w:lvl>
    <w:lvl w:ilvl="5" w:tplc="3D5A025C">
      <w:start w:val="1"/>
      <w:numFmt w:val="bullet"/>
      <w:lvlText w:val="•"/>
      <w:lvlJc w:val="left"/>
      <w:pPr>
        <w:ind w:left="5677" w:hanging="294"/>
      </w:pPr>
      <w:rPr>
        <w:rFonts w:hint="default"/>
      </w:rPr>
    </w:lvl>
    <w:lvl w:ilvl="6" w:tplc="CA62CBB2">
      <w:start w:val="1"/>
      <w:numFmt w:val="bullet"/>
      <w:lvlText w:val="•"/>
      <w:lvlJc w:val="left"/>
      <w:pPr>
        <w:ind w:left="6731" w:hanging="294"/>
      </w:pPr>
      <w:rPr>
        <w:rFonts w:hint="default"/>
      </w:rPr>
    </w:lvl>
    <w:lvl w:ilvl="7" w:tplc="1A42D944">
      <w:start w:val="1"/>
      <w:numFmt w:val="bullet"/>
      <w:lvlText w:val="•"/>
      <w:lvlJc w:val="left"/>
      <w:pPr>
        <w:ind w:left="7784" w:hanging="294"/>
      </w:pPr>
      <w:rPr>
        <w:rFonts w:hint="default"/>
      </w:rPr>
    </w:lvl>
    <w:lvl w:ilvl="8" w:tplc="903E0A84">
      <w:start w:val="1"/>
      <w:numFmt w:val="bullet"/>
      <w:lvlText w:val="•"/>
      <w:lvlJc w:val="left"/>
      <w:pPr>
        <w:ind w:left="8838" w:hanging="294"/>
      </w:pPr>
      <w:rPr>
        <w:rFonts w:hint="default"/>
      </w:rPr>
    </w:lvl>
  </w:abstractNum>
  <w:abstractNum w:abstractNumId="109" w15:restartNumberingAfterBreak="0">
    <w:nsid w:val="689E3796"/>
    <w:multiLevelType w:val="hybridMultilevel"/>
    <w:tmpl w:val="605E729E"/>
    <w:lvl w:ilvl="0" w:tplc="2240677C">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B1F23EF4">
      <w:start w:val="1"/>
      <w:numFmt w:val="lowerLetter"/>
      <w:lvlText w:val="%2."/>
      <w:lvlJc w:val="left"/>
      <w:pPr>
        <w:ind w:left="1522" w:hanging="294"/>
      </w:pPr>
      <w:rPr>
        <w:rFonts w:ascii="Times New Roman" w:eastAsia="Arial" w:hAnsi="Times New Roman" w:cs="Times New Roman" w:hint="default"/>
        <w:w w:val="99"/>
        <w:sz w:val="24"/>
        <w:szCs w:val="24"/>
      </w:rPr>
    </w:lvl>
    <w:lvl w:ilvl="2" w:tplc="26D881B0">
      <w:start w:val="1"/>
      <w:numFmt w:val="bullet"/>
      <w:lvlText w:val="•"/>
      <w:lvlJc w:val="left"/>
      <w:pPr>
        <w:ind w:left="2569" w:hanging="294"/>
      </w:pPr>
      <w:rPr>
        <w:rFonts w:hint="default"/>
      </w:rPr>
    </w:lvl>
    <w:lvl w:ilvl="3" w:tplc="B10C8F06">
      <w:start w:val="1"/>
      <w:numFmt w:val="bullet"/>
      <w:lvlText w:val="•"/>
      <w:lvlJc w:val="left"/>
      <w:pPr>
        <w:ind w:left="3616" w:hanging="294"/>
      </w:pPr>
      <w:rPr>
        <w:rFonts w:hint="default"/>
      </w:rPr>
    </w:lvl>
    <w:lvl w:ilvl="4" w:tplc="4F328BDE">
      <w:start w:val="1"/>
      <w:numFmt w:val="bullet"/>
      <w:lvlText w:val="•"/>
      <w:lvlJc w:val="left"/>
      <w:pPr>
        <w:ind w:left="4663" w:hanging="294"/>
      </w:pPr>
      <w:rPr>
        <w:rFonts w:hint="default"/>
      </w:rPr>
    </w:lvl>
    <w:lvl w:ilvl="5" w:tplc="4A0C45C4">
      <w:start w:val="1"/>
      <w:numFmt w:val="bullet"/>
      <w:lvlText w:val="•"/>
      <w:lvlJc w:val="left"/>
      <w:pPr>
        <w:ind w:left="5710" w:hanging="294"/>
      </w:pPr>
      <w:rPr>
        <w:rFonts w:hint="default"/>
      </w:rPr>
    </w:lvl>
    <w:lvl w:ilvl="6" w:tplc="F47A757A">
      <w:start w:val="1"/>
      <w:numFmt w:val="bullet"/>
      <w:lvlText w:val="•"/>
      <w:lvlJc w:val="left"/>
      <w:pPr>
        <w:ind w:left="6757" w:hanging="294"/>
      </w:pPr>
      <w:rPr>
        <w:rFonts w:hint="default"/>
      </w:rPr>
    </w:lvl>
    <w:lvl w:ilvl="7" w:tplc="2A684E52">
      <w:start w:val="1"/>
      <w:numFmt w:val="bullet"/>
      <w:lvlText w:val="•"/>
      <w:lvlJc w:val="left"/>
      <w:pPr>
        <w:ind w:left="7804" w:hanging="294"/>
      </w:pPr>
      <w:rPr>
        <w:rFonts w:hint="default"/>
      </w:rPr>
    </w:lvl>
    <w:lvl w:ilvl="8" w:tplc="FB4053A8">
      <w:start w:val="1"/>
      <w:numFmt w:val="bullet"/>
      <w:lvlText w:val="•"/>
      <w:lvlJc w:val="left"/>
      <w:pPr>
        <w:ind w:left="8852" w:hanging="294"/>
      </w:pPr>
      <w:rPr>
        <w:rFonts w:hint="default"/>
      </w:rPr>
    </w:lvl>
  </w:abstractNum>
  <w:abstractNum w:abstractNumId="110" w15:restartNumberingAfterBreak="0">
    <w:nsid w:val="691C3438"/>
    <w:multiLevelType w:val="hybridMultilevel"/>
    <w:tmpl w:val="FF121AAE"/>
    <w:lvl w:ilvl="0" w:tplc="31669E3E">
      <w:start w:val="1"/>
      <w:numFmt w:val="decimal"/>
      <w:lvlText w:val="%1."/>
      <w:lvlJc w:val="left"/>
      <w:pPr>
        <w:ind w:left="1241" w:hanging="360"/>
      </w:pPr>
      <w:rPr>
        <w:rFonts w:ascii="Arial" w:eastAsia="Arial" w:hAnsi="Arial" w:hint="default"/>
        <w:w w:val="99"/>
        <w:sz w:val="22"/>
        <w:szCs w:val="22"/>
      </w:rPr>
    </w:lvl>
    <w:lvl w:ilvl="1" w:tplc="02EC7480">
      <w:start w:val="1"/>
      <w:numFmt w:val="bullet"/>
      <w:lvlText w:val=""/>
      <w:lvlJc w:val="left"/>
      <w:pPr>
        <w:ind w:left="1674" w:hanging="361"/>
      </w:pPr>
      <w:rPr>
        <w:rFonts w:ascii="Symbol" w:eastAsia="Symbol" w:hAnsi="Symbol" w:hint="default"/>
        <w:w w:val="99"/>
        <w:sz w:val="24"/>
        <w:szCs w:val="24"/>
      </w:rPr>
    </w:lvl>
    <w:lvl w:ilvl="2" w:tplc="A7E0D3F2">
      <w:start w:val="1"/>
      <w:numFmt w:val="bullet"/>
      <w:lvlText w:val=""/>
      <w:lvlJc w:val="left"/>
      <w:pPr>
        <w:ind w:left="2682" w:hanging="360"/>
      </w:pPr>
      <w:rPr>
        <w:rFonts w:ascii="Symbol" w:eastAsia="Symbol" w:hAnsi="Symbol" w:hint="default"/>
        <w:w w:val="99"/>
        <w:sz w:val="22"/>
        <w:szCs w:val="22"/>
      </w:rPr>
    </w:lvl>
    <w:lvl w:ilvl="3" w:tplc="9BE2D2EA">
      <w:start w:val="1"/>
      <w:numFmt w:val="bullet"/>
      <w:lvlText w:val="•"/>
      <w:lvlJc w:val="left"/>
      <w:pPr>
        <w:ind w:left="3732" w:hanging="360"/>
      </w:pPr>
      <w:rPr>
        <w:rFonts w:hint="default"/>
      </w:rPr>
    </w:lvl>
    <w:lvl w:ilvl="4" w:tplc="0D8051F6">
      <w:start w:val="1"/>
      <w:numFmt w:val="bullet"/>
      <w:lvlText w:val="•"/>
      <w:lvlJc w:val="left"/>
      <w:pPr>
        <w:ind w:left="4783" w:hanging="360"/>
      </w:pPr>
      <w:rPr>
        <w:rFonts w:hint="default"/>
      </w:rPr>
    </w:lvl>
    <w:lvl w:ilvl="5" w:tplc="D7BAAF94">
      <w:start w:val="1"/>
      <w:numFmt w:val="bullet"/>
      <w:lvlText w:val="•"/>
      <w:lvlJc w:val="left"/>
      <w:pPr>
        <w:ind w:left="5834" w:hanging="360"/>
      </w:pPr>
      <w:rPr>
        <w:rFonts w:hint="default"/>
      </w:rPr>
    </w:lvl>
    <w:lvl w:ilvl="6" w:tplc="3954A234">
      <w:start w:val="1"/>
      <w:numFmt w:val="bullet"/>
      <w:lvlText w:val="•"/>
      <w:lvlJc w:val="left"/>
      <w:pPr>
        <w:ind w:left="6885" w:hanging="360"/>
      </w:pPr>
      <w:rPr>
        <w:rFonts w:hint="default"/>
      </w:rPr>
    </w:lvl>
    <w:lvl w:ilvl="7" w:tplc="419C4B04">
      <w:start w:val="1"/>
      <w:numFmt w:val="bullet"/>
      <w:lvlText w:val="•"/>
      <w:lvlJc w:val="left"/>
      <w:pPr>
        <w:ind w:left="7936" w:hanging="360"/>
      </w:pPr>
      <w:rPr>
        <w:rFonts w:hint="default"/>
      </w:rPr>
    </w:lvl>
    <w:lvl w:ilvl="8" w:tplc="2C96F77A">
      <w:start w:val="1"/>
      <w:numFmt w:val="bullet"/>
      <w:lvlText w:val="•"/>
      <w:lvlJc w:val="left"/>
      <w:pPr>
        <w:ind w:left="8987" w:hanging="360"/>
      </w:pPr>
      <w:rPr>
        <w:rFonts w:hint="default"/>
      </w:rPr>
    </w:lvl>
  </w:abstractNum>
  <w:abstractNum w:abstractNumId="111" w15:restartNumberingAfterBreak="0">
    <w:nsid w:val="69535CAC"/>
    <w:multiLevelType w:val="hybridMultilevel"/>
    <w:tmpl w:val="8BDAD2B2"/>
    <w:lvl w:ilvl="0" w:tplc="B442CFCE">
      <w:start w:val="1"/>
      <w:numFmt w:val="bullet"/>
      <w:lvlText w:val="-"/>
      <w:lvlJc w:val="left"/>
      <w:pPr>
        <w:ind w:left="108" w:hanging="172"/>
      </w:pPr>
      <w:rPr>
        <w:rFonts w:ascii="Times New Roman" w:eastAsia="Arial" w:hAnsi="Times New Roman" w:cs="Times New Roman" w:hint="default"/>
        <w:sz w:val="24"/>
        <w:szCs w:val="24"/>
      </w:rPr>
    </w:lvl>
    <w:lvl w:ilvl="1" w:tplc="C7DA7AC0">
      <w:start w:val="1"/>
      <w:numFmt w:val="bullet"/>
      <w:lvlText w:val="•"/>
      <w:lvlJc w:val="left"/>
      <w:pPr>
        <w:ind w:left="969" w:hanging="172"/>
      </w:pPr>
      <w:rPr>
        <w:rFonts w:hint="default"/>
      </w:rPr>
    </w:lvl>
    <w:lvl w:ilvl="2" w:tplc="BCCE9E12">
      <w:start w:val="1"/>
      <w:numFmt w:val="bullet"/>
      <w:lvlText w:val="•"/>
      <w:lvlJc w:val="left"/>
      <w:pPr>
        <w:ind w:left="1831" w:hanging="172"/>
      </w:pPr>
      <w:rPr>
        <w:rFonts w:hint="default"/>
      </w:rPr>
    </w:lvl>
    <w:lvl w:ilvl="3" w:tplc="93D849A4">
      <w:start w:val="1"/>
      <w:numFmt w:val="bullet"/>
      <w:lvlText w:val="•"/>
      <w:lvlJc w:val="left"/>
      <w:pPr>
        <w:ind w:left="2692" w:hanging="172"/>
      </w:pPr>
      <w:rPr>
        <w:rFonts w:hint="default"/>
      </w:rPr>
    </w:lvl>
    <w:lvl w:ilvl="4" w:tplc="9AA2A16E">
      <w:start w:val="1"/>
      <w:numFmt w:val="bullet"/>
      <w:lvlText w:val="•"/>
      <w:lvlJc w:val="left"/>
      <w:pPr>
        <w:ind w:left="3554" w:hanging="172"/>
      </w:pPr>
      <w:rPr>
        <w:rFonts w:hint="default"/>
      </w:rPr>
    </w:lvl>
    <w:lvl w:ilvl="5" w:tplc="8382B636">
      <w:start w:val="1"/>
      <w:numFmt w:val="bullet"/>
      <w:lvlText w:val="•"/>
      <w:lvlJc w:val="left"/>
      <w:pPr>
        <w:ind w:left="4416" w:hanging="172"/>
      </w:pPr>
      <w:rPr>
        <w:rFonts w:hint="default"/>
      </w:rPr>
    </w:lvl>
    <w:lvl w:ilvl="6" w:tplc="D3DC3686">
      <w:start w:val="1"/>
      <w:numFmt w:val="bullet"/>
      <w:lvlText w:val="•"/>
      <w:lvlJc w:val="left"/>
      <w:pPr>
        <w:ind w:left="5277" w:hanging="172"/>
      </w:pPr>
      <w:rPr>
        <w:rFonts w:hint="default"/>
      </w:rPr>
    </w:lvl>
    <w:lvl w:ilvl="7" w:tplc="4126D7A2">
      <w:start w:val="1"/>
      <w:numFmt w:val="bullet"/>
      <w:lvlText w:val="•"/>
      <w:lvlJc w:val="left"/>
      <w:pPr>
        <w:ind w:left="6139" w:hanging="172"/>
      </w:pPr>
      <w:rPr>
        <w:rFonts w:hint="default"/>
      </w:rPr>
    </w:lvl>
    <w:lvl w:ilvl="8" w:tplc="E61C3C7C">
      <w:start w:val="1"/>
      <w:numFmt w:val="bullet"/>
      <w:lvlText w:val="•"/>
      <w:lvlJc w:val="left"/>
      <w:pPr>
        <w:ind w:left="7000" w:hanging="172"/>
      </w:pPr>
      <w:rPr>
        <w:rFonts w:hint="default"/>
      </w:rPr>
    </w:lvl>
  </w:abstractNum>
  <w:abstractNum w:abstractNumId="112" w15:restartNumberingAfterBreak="0">
    <w:nsid w:val="69D60AFB"/>
    <w:multiLevelType w:val="hybridMultilevel"/>
    <w:tmpl w:val="8AE26E6E"/>
    <w:lvl w:ilvl="0" w:tplc="D4C4E58C">
      <w:start w:val="1"/>
      <w:numFmt w:val="lowerLetter"/>
      <w:lvlText w:val="%1)"/>
      <w:lvlJc w:val="left"/>
      <w:pPr>
        <w:ind w:left="1268" w:hanging="426"/>
        <w:jc w:val="right"/>
      </w:pPr>
      <w:rPr>
        <w:rFonts w:ascii="Times New Roman" w:eastAsia="Arial" w:hAnsi="Times New Roman" w:cs="Times New Roman" w:hint="default"/>
        <w:b/>
        <w:bCs/>
        <w:w w:val="99"/>
        <w:sz w:val="24"/>
        <w:szCs w:val="24"/>
      </w:rPr>
    </w:lvl>
    <w:lvl w:ilvl="1" w:tplc="04BCD800">
      <w:start w:val="1"/>
      <w:numFmt w:val="bullet"/>
      <w:lvlText w:val="•"/>
      <w:lvlJc w:val="left"/>
      <w:pPr>
        <w:ind w:left="2245" w:hanging="426"/>
      </w:pPr>
      <w:rPr>
        <w:rFonts w:hint="default"/>
      </w:rPr>
    </w:lvl>
    <w:lvl w:ilvl="2" w:tplc="32845C3A">
      <w:start w:val="1"/>
      <w:numFmt w:val="bullet"/>
      <w:lvlText w:val="•"/>
      <w:lvlJc w:val="left"/>
      <w:pPr>
        <w:ind w:left="3223" w:hanging="426"/>
      </w:pPr>
      <w:rPr>
        <w:rFonts w:hint="default"/>
      </w:rPr>
    </w:lvl>
    <w:lvl w:ilvl="3" w:tplc="83D85764">
      <w:start w:val="1"/>
      <w:numFmt w:val="bullet"/>
      <w:lvlText w:val="•"/>
      <w:lvlJc w:val="left"/>
      <w:pPr>
        <w:ind w:left="4201" w:hanging="426"/>
      </w:pPr>
      <w:rPr>
        <w:rFonts w:hint="default"/>
      </w:rPr>
    </w:lvl>
    <w:lvl w:ilvl="4" w:tplc="F7B6AE6C">
      <w:start w:val="1"/>
      <w:numFmt w:val="bullet"/>
      <w:lvlText w:val="•"/>
      <w:lvlJc w:val="left"/>
      <w:pPr>
        <w:ind w:left="5178" w:hanging="426"/>
      </w:pPr>
      <w:rPr>
        <w:rFonts w:hint="default"/>
      </w:rPr>
    </w:lvl>
    <w:lvl w:ilvl="5" w:tplc="0C14BEA8">
      <w:start w:val="1"/>
      <w:numFmt w:val="bullet"/>
      <w:lvlText w:val="•"/>
      <w:lvlJc w:val="left"/>
      <w:pPr>
        <w:ind w:left="6156" w:hanging="426"/>
      </w:pPr>
      <w:rPr>
        <w:rFonts w:hint="default"/>
      </w:rPr>
    </w:lvl>
    <w:lvl w:ilvl="6" w:tplc="B6462A56">
      <w:start w:val="1"/>
      <w:numFmt w:val="bullet"/>
      <w:lvlText w:val="•"/>
      <w:lvlJc w:val="left"/>
      <w:pPr>
        <w:ind w:left="7134" w:hanging="426"/>
      </w:pPr>
      <w:rPr>
        <w:rFonts w:hint="default"/>
      </w:rPr>
    </w:lvl>
    <w:lvl w:ilvl="7" w:tplc="B298EB4E">
      <w:start w:val="1"/>
      <w:numFmt w:val="bullet"/>
      <w:lvlText w:val="•"/>
      <w:lvlJc w:val="left"/>
      <w:pPr>
        <w:ind w:left="8112" w:hanging="426"/>
      </w:pPr>
      <w:rPr>
        <w:rFonts w:hint="default"/>
      </w:rPr>
    </w:lvl>
    <w:lvl w:ilvl="8" w:tplc="D88E478C">
      <w:start w:val="1"/>
      <w:numFmt w:val="bullet"/>
      <w:lvlText w:val="•"/>
      <w:lvlJc w:val="left"/>
      <w:pPr>
        <w:ind w:left="9089" w:hanging="426"/>
      </w:pPr>
      <w:rPr>
        <w:rFonts w:hint="default"/>
      </w:rPr>
    </w:lvl>
  </w:abstractNum>
  <w:abstractNum w:abstractNumId="113" w15:restartNumberingAfterBreak="0">
    <w:nsid w:val="6AC67D41"/>
    <w:multiLevelType w:val="hybridMultilevel"/>
    <w:tmpl w:val="104803E4"/>
    <w:lvl w:ilvl="0" w:tplc="7B5029CA">
      <w:start w:val="1"/>
      <w:numFmt w:val="bullet"/>
      <w:lvlText w:val=""/>
      <w:lvlJc w:val="left"/>
      <w:pPr>
        <w:ind w:left="1511" w:hanging="284"/>
      </w:pPr>
      <w:rPr>
        <w:rFonts w:ascii="Symbol" w:eastAsia="Symbol" w:hAnsi="Symbol" w:hint="default"/>
        <w:w w:val="99"/>
        <w:sz w:val="22"/>
        <w:szCs w:val="22"/>
      </w:rPr>
    </w:lvl>
    <w:lvl w:ilvl="1" w:tplc="9B9ACE92">
      <w:start w:val="1"/>
      <w:numFmt w:val="bullet"/>
      <w:lvlText w:val="•"/>
      <w:lvlJc w:val="left"/>
      <w:pPr>
        <w:ind w:left="2460" w:hanging="284"/>
      </w:pPr>
      <w:rPr>
        <w:rFonts w:hint="default"/>
      </w:rPr>
    </w:lvl>
    <w:lvl w:ilvl="2" w:tplc="510A582E">
      <w:start w:val="1"/>
      <w:numFmt w:val="bullet"/>
      <w:lvlText w:val="•"/>
      <w:lvlJc w:val="left"/>
      <w:pPr>
        <w:ind w:left="3410" w:hanging="284"/>
      </w:pPr>
      <w:rPr>
        <w:rFonts w:hint="default"/>
      </w:rPr>
    </w:lvl>
    <w:lvl w:ilvl="3" w:tplc="2E5002E2">
      <w:start w:val="1"/>
      <w:numFmt w:val="bullet"/>
      <w:lvlText w:val="•"/>
      <w:lvlJc w:val="left"/>
      <w:pPr>
        <w:ind w:left="4359" w:hanging="284"/>
      </w:pPr>
      <w:rPr>
        <w:rFonts w:hint="default"/>
      </w:rPr>
    </w:lvl>
    <w:lvl w:ilvl="4" w:tplc="F6EA0C52">
      <w:start w:val="1"/>
      <w:numFmt w:val="bullet"/>
      <w:lvlText w:val="•"/>
      <w:lvlJc w:val="left"/>
      <w:pPr>
        <w:ind w:left="5308" w:hanging="284"/>
      </w:pPr>
      <w:rPr>
        <w:rFonts w:hint="default"/>
      </w:rPr>
    </w:lvl>
    <w:lvl w:ilvl="5" w:tplc="1F5C6086">
      <w:start w:val="1"/>
      <w:numFmt w:val="bullet"/>
      <w:lvlText w:val="•"/>
      <w:lvlJc w:val="left"/>
      <w:pPr>
        <w:ind w:left="6258" w:hanging="284"/>
      </w:pPr>
      <w:rPr>
        <w:rFonts w:hint="default"/>
      </w:rPr>
    </w:lvl>
    <w:lvl w:ilvl="6" w:tplc="508ECC4A">
      <w:start w:val="1"/>
      <w:numFmt w:val="bullet"/>
      <w:lvlText w:val="•"/>
      <w:lvlJc w:val="left"/>
      <w:pPr>
        <w:ind w:left="7207" w:hanging="284"/>
      </w:pPr>
      <w:rPr>
        <w:rFonts w:hint="default"/>
      </w:rPr>
    </w:lvl>
    <w:lvl w:ilvl="7" w:tplc="B7049D8E">
      <w:start w:val="1"/>
      <w:numFmt w:val="bullet"/>
      <w:lvlText w:val="•"/>
      <w:lvlJc w:val="left"/>
      <w:pPr>
        <w:ind w:left="8157" w:hanging="284"/>
      </w:pPr>
      <w:rPr>
        <w:rFonts w:hint="default"/>
      </w:rPr>
    </w:lvl>
    <w:lvl w:ilvl="8" w:tplc="E6EA62F2">
      <w:start w:val="1"/>
      <w:numFmt w:val="bullet"/>
      <w:lvlText w:val="•"/>
      <w:lvlJc w:val="left"/>
      <w:pPr>
        <w:ind w:left="9106" w:hanging="284"/>
      </w:pPr>
      <w:rPr>
        <w:rFonts w:hint="default"/>
      </w:rPr>
    </w:lvl>
  </w:abstractNum>
  <w:abstractNum w:abstractNumId="114" w15:restartNumberingAfterBreak="0">
    <w:nsid w:val="6B0D22A0"/>
    <w:multiLevelType w:val="hybridMultilevel"/>
    <w:tmpl w:val="854C4FE6"/>
    <w:lvl w:ilvl="0" w:tplc="82FC804E">
      <w:start w:val="1"/>
      <w:numFmt w:val="lowerLetter"/>
      <w:lvlText w:val="%1)"/>
      <w:lvlJc w:val="left"/>
      <w:pPr>
        <w:ind w:left="1602" w:hanging="295"/>
      </w:pPr>
      <w:rPr>
        <w:rFonts w:ascii="Times New Roman" w:eastAsia="Arial" w:hAnsi="Times New Roman" w:cs="Times New Roman" w:hint="default"/>
        <w:w w:val="99"/>
        <w:sz w:val="24"/>
        <w:szCs w:val="24"/>
      </w:rPr>
    </w:lvl>
    <w:lvl w:ilvl="1" w:tplc="F0B01E48">
      <w:start w:val="1"/>
      <w:numFmt w:val="bullet"/>
      <w:lvlText w:val="•"/>
      <w:lvlJc w:val="left"/>
      <w:pPr>
        <w:ind w:left="2550" w:hanging="295"/>
      </w:pPr>
      <w:rPr>
        <w:rFonts w:hint="default"/>
      </w:rPr>
    </w:lvl>
    <w:lvl w:ilvl="2" w:tplc="09DECEB4">
      <w:start w:val="1"/>
      <w:numFmt w:val="bullet"/>
      <w:lvlText w:val="•"/>
      <w:lvlJc w:val="left"/>
      <w:pPr>
        <w:ind w:left="3499" w:hanging="295"/>
      </w:pPr>
      <w:rPr>
        <w:rFonts w:hint="default"/>
      </w:rPr>
    </w:lvl>
    <w:lvl w:ilvl="3" w:tplc="60C4A598">
      <w:start w:val="1"/>
      <w:numFmt w:val="bullet"/>
      <w:lvlText w:val="•"/>
      <w:lvlJc w:val="left"/>
      <w:pPr>
        <w:ind w:left="4448" w:hanging="295"/>
      </w:pPr>
      <w:rPr>
        <w:rFonts w:hint="default"/>
      </w:rPr>
    </w:lvl>
    <w:lvl w:ilvl="4" w:tplc="5F56EE4E">
      <w:start w:val="1"/>
      <w:numFmt w:val="bullet"/>
      <w:lvlText w:val="•"/>
      <w:lvlJc w:val="left"/>
      <w:pPr>
        <w:ind w:left="5396" w:hanging="295"/>
      </w:pPr>
      <w:rPr>
        <w:rFonts w:hint="default"/>
      </w:rPr>
    </w:lvl>
    <w:lvl w:ilvl="5" w:tplc="AABEE8C0">
      <w:start w:val="1"/>
      <w:numFmt w:val="bullet"/>
      <w:lvlText w:val="•"/>
      <w:lvlJc w:val="left"/>
      <w:pPr>
        <w:ind w:left="6345" w:hanging="295"/>
      </w:pPr>
      <w:rPr>
        <w:rFonts w:hint="default"/>
      </w:rPr>
    </w:lvl>
    <w:lvl w:ilvl="6" w:tplc="B888D310">
      <w:start w:val="1"/>
      <w:numFmt w:val="bullet"/>
      <w:lvlText w:val="•"/>
      <w:lvlJc w:val="left"/>
      <w:pPr>
        <w:ind w:left="7294" w:hanging="295"/>
      </w:pPr>
      <w:rPr>
        <w:rFonts w:hint="default"/>
      </w:rPr>
    </w:lvl>
    <w:lvl w:ilvl="7" w:tplc="9042B7E8">
      <w:start w:val="1"/>
      <w:numFmt w:val="bullet"/>
      <w:lvlText w:val="•"/>
      <w:lvlJc w:val="left"/>
      <w:pPr>
        <w:ind w:left="8242" w:hanging="295"/>
      </w:pPr>
      <w:rPr>
        <w:rFonts w:hint="default"/>
      </w:rPr>
    </w:lvl>
    <w:lvl w:ilvl="8" w:tplc="F2AEB41A">
      <w:start w:val="1"/>
      <w:numFmt w:val="bullet"/>
      <w:lvlText w:val="•"/>
      <w:lvlJc w:val="left"/>
      <w:pPr>
        <w:ind w:left="9191" w:hanging="295"/>
      </w:pPr>
      <w:rPr>
        <w:rFonts w:hint="default"/>
      </w:rPr>
    </w:lvl>
  </w:abstractNum>
  <w:abstractNum w:abstractNumId="115" w15:restartNumberingAfterBreak="0">
    <w:nsid w:val="6BD9355D"/>
    <w:multiLevelType w:val="hybridMultilevel"/>
    <w:tmpl w:val="CC347A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6CED08B1"/>
    <w:multiLevelType w:val="hybridMultilevel"/>
    <w:tmpl w:val="33A6ADEA"/>
    <w:lvl w:ilvl="0" w:tplc="9E943C26">
      <w:start w:val="1"/>
      <w:numFmt w:val="decimal"/>
      <w:lvlText w:val="%1."/>
      <w:lvlJc w:val="left"/>
      <w:pPr>
        <w:ind w:left="1102" w:hanging="360"/>
      </w:pPr>
      <w:rPr>
        <w:rFonts w:ascii="Times New Roman" w:eastAsia="Arial" w:hAnsi="Times New Roman" w:cs="Times New Roman" w:hint="default"/>
        <w:w w:val="99"/>
        <w:sz w:val="24"/>
        <w:szCs w:val="24"/>
      </w:rPr>
    </w:lvl>
    <w:lvl w:ilvl="1" w:tplc="D500E920">
      <w:start w:val="1"/>
      <w:numFmt w:val="bullet"/>
      <w:lvlText w:val="•"/>
      <w:lvlJc w:val="left"/>
      <w:pPr>
        <w:ind w:left="2086" w:hanging="360"/>
      </w:pPr>
      <w:rPr>
        <w:rFonts w:hint="default"/>
      </w:rPr>
    </w:lvl>
    <w:lvl w:ilvl="2" w:tplc="1AB4D3AA">
      <w:start w:val="1"/>
      <w:numFmt w:val="bullet"/>
      <w:lvlText w:val="•"/>
      <w:lvlJc w:val="left"/>
      <w:pPr>
        <w:ind w:left="3070" w:hanging="360"/>
      </w:pPr>
      <w:rPr>
        <w:rFonts w:hint="default"/>
      </w:rPr>
    </w:lvl>
    <w:lvl w:ilvl="3" w:tplc="AA04D69C">
      <w:start w:val="1"/>
      <w:numFmt w:val="bullet"/>
      <w:lvlText w:val="•"/>
      <w:lvlJc w:val="left"/>
      <w:pPr>
        <w:ind w:left="4054" w:hanging="360"/>
      </w:pPr>
      <w:rPr>
        <w:rFonts w:hint="default"/>
      </w:rPr>
    </w:lvl>
    <w:lvl w:ilvl="4" w:tplc="D670FFC8">
      <w:start w:val="1"/>
      <w:numFmt w:val="bullet"/>
      <w:lvlText w:val="•"/>
      <w:lvlJc w:val="left"/>
      <w:pPr>
        <w:ind w:left="5039" w:hanging="360"/>
      </w:pPr>
      <w:rPr>
        <w:rFonts w:hint="default"/>
      </w:rPr>
    </w:lvl>
    <w:lvl w:ilvl="5" w:tplc="4F4EB684">
      <w:start w:val="1"/>
      <w:numFmt w:val="bullet"/>
      <w:lvlText w:val="•"/>
      <w:lvlJc w:val="left"/>
      <w:pPr>
        <w:ind w:left="6023" w:hanging="360"/>
      </w:pPr>
      <w:rPr>
        <w:rFonts w:hint="default"/>
      </w:rPr>
    </w:lvl>
    <w:lvl w:ilvl="6" w:tplc="52D8BC98">
      <w:start w:val="1"/>
      <w:numFmt w:val="bullet"/>
      <w:lvlText w:val="•"/>
      <w:lvlJc w:val="left"/>
      <w:pPr>
        <w:ind w:left="7007" w:hanging="360"/>
      </w:pPr>
      <w:rPr>
        <w:rFonts w:hint="default"/>
      </w:rPr>
    </w:lvl>
    <w:lvl w:ilvl="7" w:tplc="CD14FE8C">
      <w:start w:val="1"/>
      <w:numFmt w:val="bullet"/>
      <w:lvlText w:val="•"/>
      <w:lvlJc w:val="left"/>
      <w:pPr>
        <w:ind w:left="7992" w:hanging="360"/>
      </w:pPr>
      <w:rPr>
        <w:rFonts w:hint="default"/>
      </w:rPr>
    </w:lvl>
    <w:lvl w:ilvl="8" w:tplc="D8A0F6EC">
      <w:start w:val="1"/>
      <w:numFmt w:val="bullet"/>
      <w:lvlText w:val="•"/>
      <w:lvlJc w:val="left"/>
      <w:pPr>
        <w:ind w:left="8976" w:hanging="360"/>
      </w:pPr>
      <w:rPr>
        <w:rFonts w:hint="default"/>
      </w:rPr>
    </w:lvl>
  </w:abstractNum>
  <w:abstractNum w:abstractNumId="117" w15:restartNumberingAfterBreak="0">
    <w:nsid w:val="6CFC50B1"/>
    <w:multiLevelType w:val="hybridMultilevel"/>
    <w:tmpl w:val="A06033B2"/>
    <w:lvl w:ilvl="0" w:tplc="9FAABCF4">
      <w:start w:val="1"/>
      <w:numFmt w:val="decimal"/>
      <w:lvlText w:val="%1)"/>
      <w:lvlJc w:val="left"/>
      <w:pPr>
        <w:ind w:left="1542" w:hanging="294"/>
      </w:pPr>
      <w:rPr>
        <w:rFonts w:ascii="Times New Roman" w:eastAsia="Arial" w:hAnsi="Times New Roman" w:cs="Times New Roman" w:hint="default"/>
        <w:w w:val="99"/>
        <w:sz w:val="24"/>
        <w:szCs w:val="24"/>
      </w:rPr>
    </w:lvl>
    <w:lvl w:ilvl="1" w:tplc="39D86438">
      <w:start w:val="1"/>
      <w:numFmt w:val="bullet"/>
      <w:lvlText w:val="•"/>
      <w:lvlJc w:val="left"/>
      <w:pPr>
        <w:ind w:left="2490" w:hanging="294"/>
      </w:pPr>
      <w:rPr>
        <w:rFonts w:hint="default"/>
      </w:rPr>
    </w:lvl>
    <w:lvl w:ilvl="2" w:tplc="2398DE4A">
      <w:start w:val="1"/>
      <w:numFmt w:val="bullet"/>
      <w:lvlText w:val="•"/>
      <w:lvlJc w:val="left"/>
      <w:pPr>
        <w:ind w:left="3438" w:hanging="294"/>
      </w:pPr>
      <w:rPr>
        <w:rFonts w:hint="default"/>
      </w:rPr>
    </w:lvl>
    <w:lvl w:ilvl="3" w:tplc="80B87916">
      <w:start w:val="1"/>
      <w:numFmt w:val="bullet"/>
      <w:lvlText w:val="•"/>
      <w:lvlJc w:val="left"/>
      <w:pPr>
        <w:ind w:left="4387" w:hanging="294"/>
      </w:pPr>
      <w:rPr>
        <w:rFonts w:hint="default"/>
      </w:rPr>
    </w:lvl>
    <w:lvl w:ilvl="4" w:tplc="E25215FC">
      <w:start w:val="1"/>
      <w:numFmt w:val="bullet"/>
      <w:lvlText w:val="•"/>
      <w:lvlJc w:val="left"/>
      <w:pPr>
        <w:ind w:left="5335" w:hanging="294"/>
      </w:pPr>
      <w:rPr>
        <w:rFonts w:hint="default"/>
      </w:rPr>
    </w:lvl>
    <w:lvl w:ilvl="5" w:tplc="A6F6CB10">
      <w:start w:val="1"/>
      <w:numFmt w:val="bullet"/>
      <w:lvlText w:val="•"/>
      <w:lvlJc w:val="left"/>
      <w:pPr>
        <w:ind w:left="6284" w:hanging="294"/>
      </w:pPr>
      <w:rPr>
        <w:rFonts w:hint="default"/>
      </w:rPr>
    </w:lvl>
    <w:lvl w:ilvl="6" w:tplc="C01474AA">
      <w:start w:val="1"/>
      <w:numFmt w:val="bullet"/>
      <w:lvlText w:val="•"/>
      <w:lvlJc w:val="left"/>
      <w:pPr>
        <w:ind w:left="7232" w:hanging="294"/>
      </w:pPr>
      <w:rPr>
        <w:rFonts w:hint="default"/>
      </w:rPr>
    </w:lvl>
    <w:lvl w:ilvl="7" w:tplc="13FC0174">
      <w:start w:val="1"/>
      <w:numFmt w:val="bullet"/>
      <w:lvlText w:val="•"/>
      <w:lvlJc w:val="left"/>
      <w:pPr>
        <w:ind w:left="8181" w:hanging="294"/>
      </w:pPr>
      <w:rPr>
        <w:rFonts w:hint="default"/>
      </w:rPr>
    </w:lvl>
    <w:lvl w:ilvl="8" w:tplc="278447F0">
      <w:start w:val="1"/>
      <w:numFmt w:val="bullet"/>
      <w:lvlText w:val="•"/>
      <w:lvlJc w:val="left"/>
      <w:pPr>
        <w:ind w:left="9129" w:hanging="294"/>
      </w:pPr>
      <w:rPr>
        <w:rFonts w:hint="default"/>
      </w:rPr>
    </w:lvl>
  </w:abstractNum>
  <w:abstractNum w:abstractNumId="118" w15:restartNumberingAfterBreak="0">
    <w:nsid w:val="6F1C6322"/>
    <w:multiLevelType w:val="hybridMultilevel"/>
    <w:tmpl w:val="E464515C"/>
    <w:lvl w:ilvl="0" w:tplc="4762FF62">
      <w:start w:val="2"/>
      <w:numFmt w:val="lowerLetter"/>
      <w:lvlText w:val="%1)"/>
      <w:lvlJc w:val="left"/>
      <w:pPr>
        <w:ind w:left="1241" w:hanging="271"/>
      </w:pPr>
      <w:rPr>
        <w:rFonts w:ascii="Arial" w:eastAsia="Arial" w:hAnsi="Arial" w:hint="default"/>
        <w:w w:val="99"/>
        <w:sz w:val="22"/>
        <w:szCs w:val="22"/>
      </w:rPr>
    </w:lvl>
    <w:lvl w:ilvl="1" w:tplc="CF9655D0">
      <w:start w:val="1"/>
      <w:numFmt w:val="lowerLetter"/>
      <w:lvlText w:val="%2)"/>
      <w:lvlJc w:val="left"/>
      <w:pPr>
        <w:ind w:left="1591" w:hanging="284"/>
      </w:pPr>
      <w:rPr>
        <w:rFonts w:ascii="Times New Roman" w:eastAsia="Arial" w:hAnsi="Times New Roman" w:cs="Times New Roman" w:hint="default"/>
        <w:w w:val="99"/>
        <w:sz w:val="24"/>
        <w:szCs w:val="24"/>
      </w:rPr>
    </w:lvl>
    <w:lvl w:ilvl="2" w:tplc="6F023DF8">
      <w:start w:val="1"/>
      <w:numFmt w:val="bullet"/>
      <w:lvlText w:val="•"/>
      <w:lvlJc w:val="left"/>
      <w:pPr>
        <w:ind w:left="2646" w:hanging="284"/>
      </w:pPr>
      <w:rPr>
        <w:rFonts w:hint="default"/>
      </w:rPr>
    </w:lvl>
    <w:lvl w:ilvl="3" w:tplc="D100A7D0">
      <w:start w:val="1"/>
      <w:numFmt w:val="bullet"/>
      <w:lvlText w:val="•"/>
      <w:lvlJc w:val="left"/>
      <w:pPr>
        <w:ind w:left="3701" w:hanging="284"/>
      </w:pPr>
      <w:rPr>
        <w:rFonts w:hint="default"/>
      </w:rPr>
    </w:lvl>
    <w:lvl w:ilvl="4" w:tplc="50228D72">
      <w:start w:val="1"/>
      <w:numFmt w:val="bullet"/>
      <w:lvlText w:val="•"/>
      <w:lvlJc w:val="left"/>
      <w:pPr>
        <w:ind w:left="4757" w:hanging="284"/>
      </w:pPr>
      <w:rPr>
        <w:rFonts w:hint="default"/>
      </w:rPr>
    </w:lvl>
    <w:lvl w:ilvl="5" w:tplc="F670F17A">
      <w:start w:val="1"/>
      <w:numFmt w:val="bullet"/>
      <w:lvlText w:val="•"/>
      <w:lvlJc w:val="left"/>
      <w:pPr>
        <w:ind w:left="5812" w:hanging="284"/>
      </w:pPr>
      <w:rPr>
        <w:rFonts w:hint="default"/>
      </w:rPr>
    </w:lvl>
    <w:lvl w:ilvl="6" w:tplc="65E459AA">
      <w:start w:val="1"/>
      <w:numFmt w:val="bullet"/>
      <w:lvlText w:val="•"/>
      <w:lvlJc w:val="left"/>
      <w:pPr>
        <w:ind w:left="6867" w:hanging="284"/>
      </w:pPr>
      <w:rPr>
        <w:rFonts w:hint="default"/>
      </w:rPr>
    </w:lvl>
    <w:lvl w:ilvl="7" w:tplc="4F8E4B0A">
      <w:start w:val="1"/>
      <w:numFmt w:val="bullet"/>
      <w:lvlText w:val="•"/>
      <w:lvlJc w:val="left"/>
      <w:pPr>
        <w:ind w:left="7922" w:hanging="284"/>
      </w:pPr>
      <w:rPr>
        <w:rFonts w:hint="default"/>
      </w:rPr>
    </w:lvl>
    <w:lvl w:ilvl="8" w:tplc="3A12229A">
      <w:start w:val="1"/>
      <w:numFmt w:val="bullet"/>
      <w:lvlText w:val="•"/>
      <w:lvlJc w:val="left"/>
      <w:pPr>
        <w:ind w:left="8978" w:hanging="284"/>
      </w:pPr>
      <w:rPr>
        <w:rFonts w:hint="default"/>
      </w:rPr>
    </w:lvl>
  </w:abstractNum>
  <w:abstractNum w:abstractNumId="119" w15:restartNumberingAfterBreak="0">
    <w:nsid w:val="6F903141"/>
    <w:multiLevelType w:val="hybridMultilevel"/>
    <w:tmpl w:val="CF267044"/>
    <w:lvl w:ilvl="0" w:tplc="408EE01C">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804C7684">
      <w:start w:val="1"/>
      <w:numFmt w:val="bullet"/>
      <w:lvlText w:val=""/>
      <w:lvlJc w:val="left"/>
      <w:pPr>
        <w:ind w:left="1168" w:hanging="294"/>
      </w:pPr>
      <w:rPr>
        <w:rFonts w:ascii="Symbol" w:eastAsia="Symbol" w:hAnsi="Symbol" w:hint="default"/>
        <w:w w:val="99"/>
        <w:sz w:val="22"/>
        <w:szCs w:val="22"/>
      </w:rPr>
    </w:lvl>
    <w:lvl w:ilvl="2" w:tplc="2138D764">
      <w:start w:val="1"/>
      <w:numFmt w:val="bullet"/>
      <w:lvlText w:val="•"/>
      <w:lvlJc w:val="left"/>
      <w:pPr>
        <w:ind w:left="1462" w:hanging="294"/>
      </w:pPr>
      <w:rPr>
        <w:rFonts w:hint="default"/>
      </w:rPr>
    </w:lvl>
    <w:lvl w:ilvl="3" w:tplc="955ED4A6">
      <w:start w:val="1"/>
      <w:numFmt w:val="bullet"/>
      <w:lvlText w:val="•"/>
      <w:lvlJc w:val="left"/>
      <w:pPr>
        <w:ind w:left="2647" w:hanging="294"/>
      </w:pPr>
      <w:rPr>
        <w:rFonts w:hint="default"/>
      </w:rPr>
    </w:lvl>
    <w:lvl w:ilvl="4" w:tplc="6CAA0F7C">
      <w:start w:val="1"/>
      <w:numFmt w:val="bullet"/>
      <w:lvlText w:val="•"/>
      <w:lvlJc w:val="left"/>
      <w:pPr>
        <w:ind w:left="3833" w:hanging="294"/>
      </w:pPr>
      <w:rPr>
        <w:rFonts w:hint="default"/>
      </w:rPr>
    </w:lvl>
    <w:lvl w:ilvl="5" w:tplc="7272FA60">
      <w:start w:val="1"/>
      <w:numFmt w:val="bullet"/>
      <w:lvlText w:val="•"/>
      <w:lvlJc w:val="left"/>
      <w:pPr>
        <w:ind w:left="5018" w:hanging="294"/>
      </w:pPr>
      <w:rPr>
        <w:rFonts w:hint="default"/>
      </w:rPr>
    </w:lvl>
    <w:lvl w:ilvl="6" w:tplc="FAE6DBE6">
      <w:start w:val="1"/>
      <w:numFmt w:val="bullet"/>
      <w:lvlText w:val="•"/>
      <w:lvlJc w:val="left"/>
      <w:pPr>
        <w:ind w:left="6204" w:hanging="294"/>
      </w:pPr>
      <w:rPr>
        <w:rFonts w:hint="default"/>
      </w:rPr>
    </w:lvl>
    <w:lvl w:ilvl="7" w:tplc="B978D820">
      <w:start w:val="1"/>
      <w:numFmt w:val="bullet"/>
      <w:lvlText w:val="•"/>
      <w:lvlJc w:val="left"/>
      <w:pPr>
        <w:ind w:left="7389" w:hanging="294"/>
      </w:pPr>
      <w:rPr>
        <w:rFonts w:hint="default"/>
      </w:rPr>
    </w:lvl>
    <w:lvl w:ilvl="8" w:tplc="F16A2798">
      <w:start w:val="1"/>
      <w:numFmt w:val="bullet"/>
      <w:lvlText w:val="•"/>
      <w:lvlJc w:val="left"/>
      <w:pPr>
        <w:ind w:left="8575" w:hanging="294"/>
      </w:pPr>
      <w:rPr>
        <w:rFonts w:hint="default"/>
      </w:rPr>
    </w:lvl>
  </w:abstractNum>
  <w:abstractNum w:abstractNumId="120" w15:restartNumberingAfterBreak="0">
    <w:nsid w:val="71186F04"/>
    <w:multiLevelType w:val="hybridMultilevel"/>
    <w:tmpl w:val="E4B20A68"/>
    <w:lvl w:ilvl="0" w:tplc="9F6C7E1C">
      <w:start w:val="1"/>
      <w:numFmt w:val="lowerLetter"/>
      <w:lvlText w:val="%1)"/>
      <w:lvlJc w:val="left"/>
      <w:pPr>
        <w:ind w:left="1631" w:hanging="284"/>
      </w:pPr>
      <w:rPr>
        <w:rFonts w:ascii="Times New Roman" w:eastAsia="Arial" w:hAnsi="Times New Roman" w:cs="Times New Roman" w:hint="default"/>
        <w:w w:val="99"/>
        <w:sz w:val="24"/>
        <w:szCs w:val="24"/>
      </w:rPr>
    </w:lvl>
    <w:lvl w:ilvl="1" w:tplc="96967EC4">
      <w:start w:val="1"/>
      <w:numFmt w:val="bullet"/>
      <w:lvlText w:val=""/>
      <w:lvlJc w:val="left"/>
      <w:pPr>
        <w:ind w:left="2056" w:hanging="425"/>
      </w:pPr>
      <w:rPr>
        <w:rFonts w:ascii="Symbol" w:eastAsia="Symbol" w:hAnsi="Symbol" w:hint="default"/>
        <w:w w:val="99"/>
        <w:sz w:val="22"/>
        <w:szCs w:val="22"/>
      </w:rPr>
    </w:lvl>
    <w:lvl w:ilvl="2" w:tplc="86F03D7C">
      <w:start w:val="1"/>
      <w:numFmt w:val="bullet"/>
      <w:lvlText w:val="•"/>
      <w:lvlJc w:val="left"/>
      <w:pPr>
        <w:ind w:left="3064" w:hanging="425"/>
      </w:pPr>
      <w:rPr>
        <w:rFonts w:hint="default"/>
      </w:rPr>
    </w:lvl>
    <w:lvl w:ilvl="3" w:tplc="0E9E31AC">
      <w:start w:val="1"/>
      <w:numFmt w:val="bullet"/>
      <w:lvlText w:val="•"/>
      <w:lvlJc w:val="left"/>
      <w:pPr>
        <w:ind w:left="4072" w:hanging="425"/>
      </w:pPr>
      <w:rPr>
        <w:rFonts w:hint="default"/>
      </w:rPr>
    </w:lvl>
    <w:lvl w:ilvl="4" w:tplc="1A4C29B2">
      <w:start w:val="1"/>
      <w:numFmt w:val="bullet"/>
      <w:lvlText w:val="•"/>
      <w:lvlJc w:val="left"/>
      <w:pPr>
        <w:ind w:left="5080" w:hanging="425"/>
      </w:pPr>
      <w:rPr>
        <w:rFonts w:hint="default"/>
      </w:rPr>
    </w:lvl>
    <w:lvl w:ilvl="5" w:tplc="05943CB6">
      <w:start w:val="1"/>
      <w:numFmt w:val="bullet"/>
      <w:lvlText w:val="•"/>
      <w:lvlJc w:val="left"/>
      <w:pPr>
        <w:ind w:left="6088" w:hanging="425"/>
      </w:pPr>
      <w:rPr>
        <w:rFonts w:hint="default"/>
      </w:rPr>
    </w:lvl>
    <w:lvl w:ilvl="6" w:tplc="A710C01E">
      <w:start w:val="1"/>
      <w:numFmt w:val="bullet"/>
      <w:lvlText w:val="•"/>
      <w:lvlJc w:val="left"/>
      <w:pPr>
        <w:ind w:left="7096" w:hanging="425"/>
      </w:pPr>
      <w:rPr>
        <w:rFonts w:hint="default"/>
      </w:rPr>
    </w:lvl>
    <w:lvl w:ilvl="7" w:tplc="C318FD40">
      <w:start w:val="1"/>
      <w:numFmt w:val="bullet"/>
      <w:lvlText w:val="•"/>
      <w:lvlJc w:val="left"/>
      <w:pPr>
        <w:ind w:left="8104" w:hanging="425"/>
      </w:pPr>
      <w:rPr>
        <w:rFonts w:hint="default"/>
      </w:rPr>
    </w:lvl>
    <w:lvl w:ilvl="8" w:tplc="0A801858">
      <w:start w:val="1"/>
      <w:numFmt w:val="bullet"/>
      <w:lvlText w:val="•"/>
      <w:lvlJc w:val="left"/>
      <w:pPr>
        <w:ind w:left="9112" w:hanging="425"/>
      </w:pPr>
      <w:rPr>
        <w:rFonts w:hint="default"/>
      </w:rPr>
    </w:lvl>
  </w:abstractNum>
  <w:abstractNum w:abstractNumId="121" w15:restartNumberingAfterBreak="0">
    <w:nsid w:val="7193776F"/>
    <w:multiLevelType w:val="hybridMultilevel"/>
    <w:tmpl w:val="61D000CE"/>
    <w:lvl w:ilvl="0" w:tplc="526684C4">
      <w:start w:val="1"/>
      <w:numFmt w:val="bullet"/>
      <w:lvlText w:val=""/>
      <w:lvlJc w:val="left"/>
      <w:pPr>
        <w:ind w:left="1462" w:hanging="294"/>
      </w:pPr>
      <w:rPr>
        <w:rFonts w:ascii="Symbol" w:eastAsia="Symbol" w:hAnsi="Symbol" w:hint="default"/>
        <w:w w:val="99"/>
        <w:sz w:val="22"/>
        <w:szCs w:val="22"/>
      </w:rPr>
    </w:lvl>
    <w:lvl w:ilvl="1" w:tplc="D56288EE">
      <w:start w:val="1"/>
      <w:numFmt w:val="bullet"/>
      <w:lvlText w:val="•"/>
      <w:lvlJc w:val="left"/>
      <w:pPr>
        <w:ind w:left="2410" w:hanging="294"/>
      </w:pPr>
      <w:rPr>
        <w:rFonts w:hint="default"/>
      </w:rPr>
    </w:lvl>
    <w:lvl w:ilvl="2" w:tplc="A8E27702">
      <w:start w:val="1"/>
      <w:numFmt w:val="bullet"/>
      <w:lvlText w:val="•"/>
      <w:lvlJc w:val="left"/>
      <w:pPr>
        <w:ind w:left="3358" w:hanging="294"/>
      </w:pPr>
      <w:rPr>
        <w:rFonts w:hint="default"/>
      </w:rPr>
    </w:lvl>
    <w:lvl w:ilvl="3" w:tplc="2924B646">
      <w:start w:val="1"/>
      <w:numFmt w:val="bullet"/>
      <w:lvlText w:val="•"/>
      <w:lvlJc w:val="left"/>
      <w:pPr>
        <w:ind w:left="4306" w:hanging="294"/>
      </w:pPr>
      <w:rPr>
        <w:rFonts w:hint="default"/>
      </w:rPr>
    </w:lvl>
    <w:lvl w:ilvl="4" w:tplc="448C1D44">
      <w:start w:val="1"/>
      <w:numFmt w:val="bullet"/>
      <w:lvlText w:val="•"/>
      <w:lvlJc w:val="left"/>
      <w:pPr>
        <w:ind w:left="5255" w:hanging="294"/>
      </w:pPr>
      <w:rPr>
        <w:rFonts w:hint="default"/>
      </w:rPr>
    </w:lvl>
    <w:lvl w:ilvl="5" w:tplc="0C0CA994">
      <w:start w:val="1"/>
      <w:numFmt w:val="bullet"/>
      <w:lvlText w:val="•"/>
      <w:lvlJc w:val="left"/>
      <w:pPr>
        <w:ind w:left="6203" w:hanging="294"/>
      </w:pPr>
      <w:rPr>
        <w:rFonts w:hint="default"/>
      </w:rPr>
    </w:lvl>
    <w:lvl w:ilvl="6" w:tplc="2E82AAF0">
      <w:start w:val="1"/>
      <w:numFmt w:val="bullet"/>
      <w:lvlText w:val="•"/>
      <w:lvlJc w:val="left"/>
      <w:pPr>
        <w:ind w:left="7151" w:hanging="294"/>
      </w:pPr>
      <w:rPr>
        <w:rFonts w:hint="default"/>
      </w:rPr>
    </w:lvl>
    <w:lvl w:ilvl="7" w:tplc="63BA57DA">
      <w:start w:val="1"/>
      <w:numFmt w:val="bullet"/>
      <w:lvlText w:val="•"/>
      <w:lvlJc w:val="left"/>
      <w:pPr>
        <w:ind w:left="8100" w:hanging="294"/>
      </w:pPr>
      <w:rPr>
        <w:rFonts w:hint="default"/>
      </w:rPr>
    </w:lvl>
    <w:lvl w:ilvl="8" w:tplc="CDCC8FF4">
      <w:start w:val="1"/>
      <w:numFmt w:val="bullet"/>
      <w:lvlText w:val="•"/>
      <w:lvlJc w:val="left"/>
      <w:pPr>
        <w:ind w:left="9048" w:hanging="294"/>
      </w:pPr>
      <w:rPr>
        <w:rFonts w:hint="default"/>
      </w:rPr>
    </w:lvl>
  </w:abstractNum>
  <w:abstractNum w:abstractNumId="122" w15:restartNumberingAfterBreak="0">
    <w:nsid w:val="72A7502C"/>
    <w:multiLevelType w:val="hybridMultilevel"/>
    <w:tmpl w:val="0A303BC0"/>
    <w:lvl w:ilvl="0" w:tplc="9EDCDE82">
      <w:start w:val="1"/>
      <w:numFmt w:val="lowerLetter"/>
      <w:lvlText w:val="%1."/>
      <w:lvlJc w:val="left"/>
      <w:pPr>
        <w:ind w:left="1168" w:hanging="426"/>
      </w:pPr>
      <w:rPr>
        <w:rFonts w:ascii="Times New Roman" w:eastAsia="Arial" w:hAnsi="Times New Roman" w:cs="Times New Roman" w:hint="default"/>
        <w:b/>
        <w:bCs/>
        <w:w w:val="99"/>
        <w:sz w:val="24"/>
        <w:szCs w:val="24"/>
      </w:rPr>
    </w:lvl>
    <w:lvl w:ilvl="1" w:tplc="FBFA40EC">
      <w:start w:val="1"/>
      <w:numFmt w:val="bullet"/>
      <w:lvlText w:val="•"/>
      <w:lvlJc w:val="left"/>
      <w:pPr>
        <w:ind w:left="2145" w:hanging="426"/>
      </w:pPr>
      <w:rPr>
        <w:rFonts w:hint="default"/>
      </w:rPr>
    </w:lvl>
    <w:lvl w:ilvl="2" w:tplc="2D16F312">
      <w:start w:val="1"/>
      <w:numFmt w:val="bullet"/>
      <w:lvlText w:val="•"/>
      <w:lvlJc w:val="left"/>
      <w:pPr>
        <w:ind w:left="3123" w:hanging="426"/>
      </w:pPr>
      <w:rPr>
        <w:rFonts w:hint="default"/>
      </w:rPr>
    </w:lvl>
    <w:lvl w:ilvl="3" w:tplc="B9F225B0">
      <w:start w:val="1"/>
      <w:numFmt w:val="bullet"/>
      <w:lvlText w:val="•"/>
      <w:lvlJc w:val="left"/>
      <w:pPr>
        <w:ind w:left="4101" w:hanging="426"/>
      </w:pPr>
      <w:rPr>
        <w:rFonts w:hint="default"/>
      </w:rPr>
    </w:lvl>
    <w:lvl w:ilvl="4" w:tplc="4BF69ADA">
      <w:start w:val="1"/>
      <w:numFmt w:val="bullet"/>
      <w:lvlText w:val="•"/>
      <w:lvlJc w:val="left"/>
      <w:pPr>
        <w:ind w:left="5078" w:hanging="426"/>
      </w:pPr>
      <w:rPr>
        <w:rFonts w:hint="default"/>
      </w:rPr>
    </w:lvl>
    <w:lvl w:ilvl="5" w:tplc="038A2F7A">
      <w:start w:val="1"/>
      <w:numFmt w:val="bullet"/>
      <w:lvlText w:val="•"/>
      <w:lvlJc w:val="left"/>
      <w:pPr>
        <w:ind w:left="6056" w:hanging="426"/>
      </w:pPr>
      <w:rPr>
        <w:rFonts w:hint="default"/>
      </w:rPr>
    </w:lvl>
    <w:lvl w:ilvl="6" w:tplc="BAF6015A">
      <w:start w:val="1"/>
      <w:numFmt w:val="bullet"/>
      <w:lvlText w:val="•"/>
      <w:lvlJc w:val="left"/>
      <w:pPr>
        <w:ind w:left="7034" w:hanging="426"/>
      </w:pPr>
      <w:rPr>
        <w:rFonts w:hint="default"/>
      </w:rPr>
    </w:lvl>
    <w:lvl w:ilvl="7" w:tplc="2DFEF5E0">
      <w:start w:val="1"/>
      <w:numFmt w:val="bullet"/>
      <w:lvlText w:val="•"/>
      <w:lvlJc w:val="left"/>
      <w:pPr>
        <w:ind w:left="8012" w:hanging="426"/>
      </w:pPr>
      <w:rPr>
        <w:rFonts w:hint="default"/>
      </w:rPr>
    </w:lvl>
    <w:lvl w:ilvl="8" w:tplc="37562CCC">
      <w:start w:val="1"/>
      <w:numFmt w:val="bullet"/>
      <w:lvlText w:val="•"/>
      <w:lvlJc w:val="left"/>
      <w:pPr>
        <w:ind w:left="8989" w:hanging="426"/>
      </w:pPr>
      <w:rPr>
        <w:rFonts w:hint="default"/>
      </w:rPr>
    </w:lvl>
  </w:abstractNum>
  <w:abstractNum w:abstractNumId="123" w15:restartNumberingAfterBreak="0">
    <w:nsid w:val="72AF7DC8"/>
    <w:multiLevelType w:val="hybridMultilevel"/>
    <w:tmpl w:val="80A60270"/>
    <w:lvl w:ilvl="0" w:tplc="EDCC6FAE">
      <w:start w:val="1"/>
      <w:numFmt w:val="decimal"/>
      <w:lvlText w:val="%1."/>
      <w:lvlJc w:val="left"/>
      <w:pPr>
        <w:ind w:left="1182" w:hanging="360"/>
        <w:jc w:val="right"/>
      </w:pPr>
      <w:rPr>
        <w:rFonts w:ascii="Times New Roman" w:eastAsia="Arial" w:hAnsi="Times New Roman" w:cs="Times New Roman" w:hint="default"/>
        <w:w w:val="99"/>
        <w:sz w:val="24"/>
        <w:szCs w:val="24"/>
      </w:rPr>
    </w:lvl>
    <w:lvl w:ilvl="1" w:tplc="80EA11B4">
      <w:start w:val="1"/>
      <w:numFmt w:val="bullet"/>
      <w:lvlText w:val="•"/>
      <w:lvlJc w:val="left"/>
      <w:pPr>
        <w:ind w:left="2166" w:hanging="360"/>
      </w:pPr>
      <w:rPr>
        <w:rFonts w:hint="default"/>
      </w:rPr>
    </w:lvl>
    <w:lvl w:ilvl="2" w:tplc="90A4744C">
      <w:start w:val="1"/>
      <w:numFmt w:val="bullet"/>
      <w:lvlText w:val="•"/>
      <w:lvlJc w:val="left"/>
      <w:pPr>
        <w:ind w:left="3150" w:hanging="360"/>
      </w:pPr>
      <w:rPr>
        <w:rFonts w:hint="default"/>
      </w:rPr>
    </w:lvl>
    <w:lvl w:ilvl="3" w:tplc="E8548494">
      <w:start w:val="1"/>
      <w:numFmt w:val="bullet"/>
      <w:lvlText w:val="•"/>
      <w:lvlJc w:val="left"/>
      <w:pPr>
        <w:ind w:left="4135" w:hanging="360"/>
      </w:pPr>
      <w:rPr>
        <w:rFonts w:hint="default"/>
      </w:rPr>
    </w:lvl>
    <w:lvl w:ilvl="4" w:tplc="8146CF3E">
      <w:start w:val="1"/>
      <w:numFmt w:val="bullet"/>
      <w:lvlText w:val="•"/>
      <w:lvlJc w:val="left"/>
      <w:pPr>
        <w:ind w:left="5119" w:hanging="360"/>
      </w:pPr>
      <w:rPr>
        <w:rFonts w:hint="default"/>
      </w:rPr>
    </w:lvl>
    <w:lvl w:ilvl="5" w:tplc="FABA606A">
      <w:start w:val="1"/>
      <w:numFmt w:val="bullet"/>
      <w:lvlText w:val="•"/>
      <w:lvlJc w:val="left"/>
      <w:pPr>
        <w:ind w:left="6104" w:hanging="360"/>
      </w:pPr>
      <w:rPr>
        <w:rFonts w:hint="default"/>
      </w:rPr>
    </w:lvl>
    <w:lvl w:ilvl="6" w:tplc="3AD692A4">
      <w:start w:val="1"/>
      <w:numFmt w:val="bullet"/>
      <w:lvlText w:val="•"/>
      <w:lvlJc w:val="left"/>
      <w:pPr>
        <w:ind w:left="7088" w:hanging="360"/>
      </w:pPr>
      <w:rPr>
        <w:rFonts w:hint="default"/>
      </w:rPr>
    </w:lvl>
    <w:lvl w:ilvl="7" w:tplc="25FC895C">
      <w:start w:val="1"/>
      <w:numFmt w:val="bullet"/>
      <w:lvlText w:val="•"/>
      <w:lvlJc w:val="left"/>
      <w:pPr>
        <w:ind w:left="8073" w:hanging="360"/>
      </w:pPr>
      <w:rPr>
        <w:rFonts w:hint="default"/>
      </w:rPr>
    </w:lvl>
    <w:lvl w:ilvl="8" w:tplc="291EDA3A">
      <w:start w:val="1"/>
      <w:numFmt w:val="bullet"/>
      <w:lvlText w:val="•"/>
      <w:lvlJc w:val="left"/>
      <w:pPr>
        <w:ind w:left="9057" w:hanging="360"/>
      </w:pPr>
      <w:rPr>
        <w:rFonts w:hint="default"/>
      </w:rPr>
    </w:lvl>
  </w:abstractNum>
  <w:abstractNum w:abstractNumId="124" w15:restartNumberingAfterBreak="0">
    <w:nsid w:val="738914ED"/>
    <w:multiLevelType w:val="hybridMultilevel"/>
    <w:tmpl w:val="FBB2A18A"/>
    <w:lvl w:ilvl="0" w:tplc="D6C61E6C">
      <w:start w:val="1"/>
      <w:numFmt w:val="decimal"/>
      <w:lvlText w:val="%1."/>
      <w:lvlJc w:val="left"/>
      <w:pPr>
        <w:ind w:left="1241" w:hanging="360"/>
      </w:pPr>
      <w:rPr>
        <w:rFonts w:ascii="Times New Roman" w:eastAsia="Arial" w:hAnsi="Times New Roman" w:cs="Times New Roman" w:hint="default"/>
        <w:w w:val="99"/>
        <w:sz w:val="24"/>
        <w:szCs w:val="24"/>
      </w:rPr>
    </w:lvl>
    <w:lvl w:ilvl="1" w:tplc="AFD62F78">
      <w:start w:val="1"/>
      <w:numFmt w:val="lowerLetter"/>
      <w:lvlText w:val="%2)"/>
      <w:lvlJc w:val="left"/>
      <w:pPr>
        <w:ind w:left="1591" w:hanging="284"/>
      </w:pPr>
      <w:rPr>
        <w:rFonts w:ascii="Times New Roman" w:eastAsia="Arial" w:hAnsi="Times New Roman" w:cs="Times New Roman" w:hint="default"/>
        <w:w w:val="99"/>
        <w:sz w:val="24"/>
        <w:szCs w:val="24"/>
      </w:rPr>
    </w:lvl>
    <w:lvl w:ilvl="2" w:tplc="F5FC5830">
      <w:start w:val="1"/>
      <w:numFmt w:val="bullet"/>
      <w:lvlText w:val="•"/>
      <w:lvlJc w:val="left"/>
      <w:pPr>
        <w:ind w:left="1611" w:hanging="284"/>
      </w:pPr>
      <w:rPr>
        <w:rFonts w:hint="default"/>
      </w:rPr>
    </w:lvl>
    <w:lvl w:ilvl="3" w:tplc="B8DC4A14">
      <w:start w:val="1"/>
      <w:numFmt w:val="bullet"/>
      <w:lvlText w:val="•"/>
      <w:lvlJc w:val="left"/>
      <w:pPr>
        <w:ind w:left="1874" w:hanging="284"/>
      </w:pPr>
      <w:rPr>
        <w:rFonts w:hint="default"/>
      </w:rPr>
    </w:lvl>
    <w:lvl w:ilvl="4" w:tplc="795C5F04">
      <w:start w:val="1"/>
      <w:numFmt w:val="bullet"/>
      <w:lvlText w:val="•"/>
      <w:lvlJc w:val="left"/>
      <w:pPr>
        <w:ind w:left="3190" w:hanging="284"/>
      </w:pPr>
      <w:rPr>
        <w:rFonts w:hint="default"/>
      </w:rPr>
    </w:lvl>
    <w:lvl w:ilvl="5" w:tplc="B6E4DA1A">
      <w:start w:val="1"/>
      <w:numFmt w:val="bullet"/>
      <w:lvlText w:val="•"/>
      <w:lvlJc w:val="left"/>
      <w:pPr>
        <w:ind w:left="4507" w:hanging="284"/>
      </w:pPr>
      <w:rPr>
        <w:rFonts w:hint="default"/>
      </w:rPr>
    </w:lvl>
    <w:lvl w:ilvl="6" w:tplc="C898FA0C">
      <w:start w:val="1"/>
      <w:numFmt w:val="bullet"/>
      <w:lvlText w:val="•"/>
      <w:lvlJc w:val="left"/>
      <w:pPr>
        <w:ind w:left="5823" w:hanging="284"/>
      </w:pPr>
      <w:rPr>
        <w:rFonts w:hint="default"/>
      </w:rPr>
    </w:lvl>
    <w:lvl w:ilvl="7" w:tplc="238C1AF0">
      <w:start w:val="1"/>
      <w:numFmt w:val="bullet"/>
      <w:lvlText w:val="•"/>
      <w:lvlJc w:val="left"/>
      <w:pPr>
        <w:ind w:left="7139" w:hanging="284"/>
      </w:pPr>
      <w:rPr>
        <w:rFonts w:hint="default"/>
      </w:rPr>
    </w:lvl>
    <w:lvl w:ilvl="8" w:tplc="F2F092EC">
      <w:start w:val="1"/>
      <w:numFmt w:val="bullet"/>
      <w:lvlText w:val="•"/>
      <w:lvlJc w:val="left"/>
      <w:pPr>
        <w:ind w:left="8456" w:hanging="284"/>
      </w:pPr>
      <w:rPr>
        <w:rFonts w:hint="default"/>
      </w:rPr>
    </w:lvl>
  </w:abstractNum>
  <w:abstractNum w:abstractNumId="125" w15:restartNumberingAfterBreak="0">
    <w:nsid w:val="74233D57"/>
    <w:multiLevelType w:val="hybridMultilevel"/>
    <w:tmpl w:val="6BDE9720"/>
    <w:lvl w:ilvl="0" w:tplc="2EEC7772">
      <w:start w:val="1"/>
      <w:numFmt w:val="decimal"/>
      <w:lvlText w:val="%1."/>
      <w:lvlJc w:val="left"/>
      <w:pPr>
        <w:ind w:left="1242" w:hanging="360"/>
        <w:jc w:val="right"/>
      </w:pPr>
      <w:rPr>
        <w:rFonts w:ascii="Times New Roman" w:eastAsia="Arial" w:hAnsi="Times New Roman" w:cs="Times New Roman" w:hint="default"/>
        <w:w w:val="99"/>
        <w:sz w:val="24"/>
        <w:szCs w:val="24"/>
      </w:rPr>
    </w:lvl>
    <w:lvl w:ilvl="1" w:tplc="6074D86A">
      <w:start w:val="1"/>
      <w:numFmt w:val="bullet"/>
      <w:lvlText w:val=""/>
      <w:lvlJc w:val="left"/>
      <w:pPr>
        <w:ind w:left="1666" w:hanging="360"/>
      </w:pPr>
      <w:rPr>
        <w:rFonts w:ascii="Symbol" w:eastAsia="Symbol" w:hAnsi="Symbol" w:hint="default"/>
        <w:w w:val="99"/>
        <w:sz w:val="22"/>
        <w:szCs w:val="22"/>
      </w:rPr>
    </w:lvl>
    <w:lvl w:ilvl="2" w:tplc="09A8D908">
      <w:start w:val="1"/>
      <w:numFmt w:val="bullet"/>
      <w:lvlText w:val=""/>
      <w:lvlJc w:val="left"/>
      <w:pPr>
        <w:ind w:left="1936" w:hanging="425"/>
      </w:pPr>
      <w:rPr>
        <w:rFonts w:ascii="Symbol" w:eastAsia="Symbol" w:hAnsi="Symbol" w:hint="default"/>
        <w:w w:val="99"/>
        <w:sz w:val="22"/>
        <w:szCs w:val="22"/>
      </w:rPr>
    </w:lvl>
    <w:lvl w:ilvl="3" w:tplc="A2FE608A">
      <w:start w:val="1"/>
      <w:numFmt w:val="bullet"/>
      <w:lvlText w:val="•"/>
      <w:lvlJc w:val="left"/>
      <w:pPr>
        <w:ind w:left="1666" w:hanging="425"/>
      </w:pPr>
      <w:rPr>
        <w:rFonts w:hint="default"/>
      </w:rPr>
    </w:lvl>
    <w:lvl w:ilvl="4" w:tplc="170EB5B4">
      <w:start w:val="1"/>
      <w:numFmt w:val="bullet"/>
      <w:lvlText w:val="•"/>
      <w:lvlJc w:val="left"/>
      <w:pPr>
        <w:ind w:left="1936" w:hanging="425"/>
      </w:pPr>
      <w:rPr>
        <w:rFonts w:hint="default"/>
      </w:rPr>
    </w:lvl>
    <w:lvl w:ilvl="5" w:tplc="7316AD6E">
      <w:start w:val="1"/>
      <w:numFmt w:val="bullet"/>
      <w:lvlText w:val="•"/>
      <w:lvlJc w:val="left"/>
      <w:pPr>
        <w:ind w:left="3447" w:hanging="425"/>
      </w:pPr>
      <w:rPr>
        <w:rFonts w:hint="default"/>
      </w:rPr>
    </w:lvl>
    <w:lvl w:ilvl="6" w:tplc="D73CBD7A">
      <w:start w:val="1"/>
      <w:numFmt w:val="bullet"/>
      <w:lvlText w:val="•"/>
      <w:lvlJc w:val="left"/>
      <w:pPr>
        <w:ind w:left="4959" w:hanging="425"/>
      </w:pPr>
      <w:rPr>
        <w:rFonts w:hint="default"/>
      </w:rPr>
    </w:lvl>
    <w:lvl w:ilvl="7" w:tplc="647C58D2">
      <w:start w:val="1"/>
      <w:numFmt w:val="bullet"/>
      <w:lvlText w:val="•"/>
      <w:lvlJc w:val="left"/>
      <w:pPr>
        <w:ind w:left="6470" w:hanging="425"/>
      </w:pPr>
      <w:rPr>
        <w:rFonts w:hint="default"/>
      </w:rPr>
    </w:lvl>
    <w:lvl w:ilvl="8" w:tplc="DB04D220">
      <w:start w:val="1"/>
      <w:numFmt w:val="bullet"/>
      <w:lvlText w:val="•"/>
      <w:lvlJc w:val="left"/>
      <w:pPr>
        <w:ind w:left="7982" w:hanging="425"/>
      </w:pPr>
      <w:rPr>
        <w:rFonts w:hint="default"/>
      </w:rPr>
    </w:lvl>
  </w:abstractNum>
  <w:abstractNum w:abstractNumId="126" w15:restartNumberingAfterBreak="0">
    <w:nsid w:val="7526030D"/>
    <w:multiLevelType w:val="hybridMultilevel"/>
    <w:tmpl w:val="746A7990"/>
    <w:lvl w:ilvl="0" w:tplc="08B44E3C">
      <w:start w:val="1"/>
      <w:numFmt w:val="bullet"/>
      <w:lvlText w:val="•"/>
      <w:lvlJc w:val="left"/>
      <w:pPr>
        <w:ind w:left="433" w:hanging="285"/>
      </w:pPr>
      <w:rPr>
        <w:rFonts w:ascii="Arial" w:eastAsia="Arial" w:hAnsi="Arial" w:hint="default"/>
        <w:w w:val="99"/>
        <w:sz w:val="22"/>
        <w:szCs w:val="22"/>
      </w:rPr>
    </w:lvl>
    <w:lvl w:ilvl="1" w:tplc="ABFA429A">
      <w:start w:val="1"/>
      <w:numFmt w:val="bullet"/>
      <w:lvlText w:val="•"/>
      <w:lvlJc w:val="left"/>
      <w:pPr>
        <w:ind w:left="1327" w:hanging="285"/>
      </w:pPr>
      <w:rPr>
        <w:rFonts w:hint="default"/>
      </w:rPr>
    </w:lvl>
    <w:lvl w:ilvl="2" w:tplc="6C706988">
      <w:start w:val="1"/>
      <w:numFmt w:val="bullet"/>
      <w:lvlText w:val="•"/>
      <w:lvlJc w:val="left"/>
      <w:pPr>
        <w:ind w:left="2220" w:hanging="285"/>
      </w:pPr>
      <w:rPr>
        <w:rFonts w:hint="default"/>
      </w:rPr>
    </w:lvl>
    <w:lvl w:ilvl="3" w:tplc="1F82417C">
      <w:start w:val="1"/>
      <w:numFmt w:val="bullet"/>
      <w:lvlText w:val="•"/>
      <w:lvlJc w:val="left"/>
      <w:pPr>
        <w:ind w:left="3114" w:hanging="285"/>
      </w:pPr>
      <w:rPr>
        <w:rFonts w:hint="default"/>
      </w:rPr>
    </w:lvl>
    <w:lvl w:ilvl="4" w:tplc="B038DBE6">
      <w:start w:val="1"/>
      <w:numFmt w:val="bullet"/>
      <w:lvlText w:val="•"/>
      <w:lvlJc w:val="left"/>
      <w:pPr>
        <w:ind w:left="4008" w:hanging="285"/>
      </w:pPr>
      <w:rPr>
        <w:rFonts w:hint="default"/>
      </w:rPr>
    </w:lvl>
    <w:lvl w:ilvl="5" w:tplc="90F0DC62">
      <w:start w:val="1"/>
      <w:numFmt w:val="bullet"/>
      <w:lvlText w:val="•"/>
      <w:lvlJc w:val="left"/>
      <w:pPr>
        <w:ind w:left="4901" w:hanging="285"/>
      </w:pPr>
      <w:rPr>
        <w:rFonts w:hint="default"/>
      </w:rPr>
    </w:lvl>
    <w:lvl w:ilvl="6" w:tplc="5CA48F9E">
      <w:start w:val="1"/>
      <w:numFmt w:val="bullet"/>
      <w:lvlText w:val="•"/>
      <w:lvlJc w:val="left"/>
      <w:pPr>
        <w:ind w:left="5795" w:hanging="285"/>
      </w:pPr>
      <w:rPr>
        <w:rFonts w:hint="default"/>
      </w:rPr>
    </w:lvl>
    <w:lvl w:ilvl="7" w:tplc="05A4DF48">
      <w:start w:val="1"/>
      <w:numFmt w:val="bullet"/>
      <w:lvlText w:val="•"/>
      <w:lvlJc w:val="left"/>
      <w:pPr>
        <w:ind w:left="6689" w:hanging="285"/>
      </w:pPr>
      <w:rPr>
        <w:rFonts w:hint="default"/>
      </w:rPr>
    </w:lvl>
    <w:lvl w:ilvl="8" w:tplc="52F4BF2A">
      <w:start w:val="1"/>
      <w:numFmt w:val="bullet"/>
      <w:lvlText w:val="•"/>
      <w:lvlJc w:val="left"/>
      <w:pPr>
        <w:ind w:left="7582" w:hanging="285"/>
      </w:pPr>
      <w:rPr>
        <w:rFonts w:hint="default"/>
      </w:rPr>
    </w:lvl>
  </w:abstractNum>
  <w:abstractNum w:abstractNumId="127" w15:restartNumberingAfterBreak="0">
    <w:nsid w:val="75F33043"/>
    <w:multiLevelType w:val="hybridMultilevel"/>
    <w:tmpl w:val="E4A29B3E"/>
    <w:lvl w:ilvl="0" w:tplc="3338353C">
      <w:start w:val="1"/>
      <w:numFmt w:val="decimal"/>
      <w:lvlText w:val="%1."/>
      <w:lvlJc w:val="left"/>
      <w:pPr>
        <w:ind w:left="1261" w:hanging="360"/>
      </w:pPr>
      <w:rPr>
        <w:rFonts w:ascii="Times New Roman" w:eastAsia="Arial" w:hAnsi="Times New Roman" w:cs="Times New Roman" w:hint="default"/>
        <w:w w:val="99"/>
        <w:sz w:val="24"/>
        <w:szCs w:val="24"/>
      </w:rPr>
    </w:lvl>
    <w:lvl w:ilvl="1" w:tplc="C0AC00BE">
      <w:start w:val="1"/>
      <w:numFmt w:val="bullet"/>
      <w:lvlText w:val="-"/>
      <w:lvlJc w:val="left"/>
      <w:pPr>
        <w:ind w:left="1602" w:hanging="296"/>
      </w:pPr>
      <w:rPr>
        <w:rFonts w:ascii="Courier New" w:eastAsia="Courier New" w:hAnsi="Courier New" w:hint="default"/>
        <w:w w:val="99"/>
        <w:sz w:val="22"/>
        <w:szCs w:val="22"/>
      </w:rPr>
    </w:lvl>
    <w:lvl w:ilvl="2" w:tplc="CD4EAA4A">
      <w:start w:val="1"/>
      <w:numFmt w:val="bullet"/>
      <w:lvlText w:val="•"/>
      <w:lvlJc w:val="left"/>
      <w:pPr>
        <w:ind w:left="2656" w:hanging="296"/>
      </w:pPr>
      <w:rPr>
        <w:rFonts w:hint="default"/>
      </w:rPr>
    </w:lvl>
    <w:lvl w:ilvl="3" w:tplc="67E67B0E">
      <w:start w:val="1"/>
      <w:numFmt w:val="bullet"/>
      <w:lvlText w:val="•"/>
      <w:lvlJc w:val="left"/>
      <w:pPr>
        <w:ind w:left="3710" w:hanging="296"/>
      </w:pPr>
      <w:rPr>
        <w:rFonts w:hint="default"/>
      </w:rPr>
    </w:lvl>
    <w:lvl w:ilvl="4" w:tplc="657EEF74">
      <w:start w:val="1"/>
      <w:numFmt w:val="bullet"/>
      <w:lvlText w:val="•"/>
      <w:lvlJc w:val="left"/>
      <w:pPr>
        <w:ind w:left="4764" w:hanging="296"/>
      </w:pPr>
      <w:rPr>
        <w:rFonts w:hint="default"/>
      </w:rPr>
    </w:lvl>
    <w:lvl w:ilvl="5" w:tplc="C4244406">
      <w:start w:val="1"/>
      <w:numFmt w:val="bullet"/>
      <w:lvlText w:val="•"/>
      <w:lvlJc w:val="left"/>
      <w:pPr>
        <w:ind w:left="5818" w:hanging="296"/>
      </w:pPr>
      <w:rPr>
        <w:rFonts w:hint="default"/>
      </w:rPr>
    </w:lvl>
    <w:lvl w:ilvl="6" w:tplc="141840F4">
      <w:start w:val="1"/>
      <w:numFmt w:val="bullet"/>
      <w:lvlText w:val="•"/>
      <w:lvlJc w:val="left"/>
      <w:pPr>
        <w:ind w:left="6872" w:hanging="296"/>
      </w:pPr>
      <w:rPr>
        <w:rFonts w:hint="default"/>
      </w:rPr>
    </w:lvl>
    <w:lvl w:ilvl="7" w:tplc="581CAF4A">
      <w:start w:val="1"/>
      <w:numFmt w:val="bullet"/>
      <w:lvlText w:val="•"/>
      <w:lvlJc w:val="left"/>
      <w:pPr>
        <w:ind w:left="7926" w:hanging="296"/>
      </w:pPr>
      <w:rPr>
        <w:rFonts w:hint="default"/>
      </w:rPr>
    </w:lvl>
    <w:lvl w:ilvl="8" w:tplc="50B0C1B8">
      <w:start w:val="1"/>
      <w:numFmt w:val="bullet"/>
      <w:lvlText w:val="•"/>
      <w:lvlJc w:val="left"/>
      <w:pPr>
        <w:ind w:left="8980" w:hanging="296"/>
      </w:pPr>
      <w:rPr>
        <w:rFonts w:hint="default"/>
      </w:rPr>
    </w:lvl>
  </w:abstractNum>
  <w:abstractNum w:abstractNumId="128" w15:restartNumberingAfterBreak="0">
    <w:nsid w:val="76101AAC"/>
    <w:multiLevelType w:val="hybridMultilevel"/>
    <w:tmpl w:val="643E355A"/>
    <w:lvl w:ilvl="0" w:tplc="500421F0">
      <w:start w:val="1"/>
      <w:numFmt w:val="decimal"/>
      <w:lvlText w:val="%1."/>
      <w:lvlJc w:val="left"/>
      <w:pPr>
        <w:ind w:left="1166" w:hanging="425"/>
      </w:pPr>
      <w:rPr>
        <w:rFonts w:ascii="Times New Roman" w:eastAsia="Arial" w:hAnsi="Times New Roman" w:cs="Times New Roman" w:hint="default"/>
        <w:w w:val="99"/>
        <w:sz w:val="24"/>
        <w:szCs w:val="24"/>
      </w:rPr>
    </w:lvl>
    <w:lvl w:ilvl="1" w:tplc="110ECB10">
      <w:start w:val="1"/>
      <w:numFmt w:val="bullet"/>
      <w:lvlText w:val="•"/>
      <w:lvlJc w:val="left"/>
      <w:pPr>
        <w:ind w:left="2144" w:hanging="425"/>
      </w:pPr>
      <w:rPr>
        <w:rFonts w:hint="default"/>
      </w:rPr>
    </w:lvl>
    <w:lvl w:ilvl="2" w:tplc="D144AE12">
      <w:start w:val="1"/>
      <w:numFmt w:val="bullet"/>
      <w:lvlText w:val="•"/>
      <w:lvlJc w:val="left"/>
      <w:pPr>
        <w:ind w:left="3122" w:hanging="425"/>
      </w:pPr>
      <w:rPr>
        <w:rFonts w:hint="default"/>
      </w:rPr>
    </w:lvl>
    <w:lvl w:ilvl="3" w:tplc="901C2E10">
      <w:start w:val="1"/>
      <w:numFmt w:val="bullet"/>
      <w:lvlText w:val="•"/>
      <w:lvlJc w:val="left"/>
      <w:pPr>
        <w:ind w:left="4100" w:hanging="425"/>
      </w:pPr>
      <w:rPr>
        <w:rFonts w:hint="default"/>
      </w:rPr>
    </w:lvl>
    <w:lvl w:ilvl="4" w:tplc="6D50F598">
      <w:start w:val="1"/>
      <w:numFmt w:val="bullet"/>
      <w:lvlText w:val="•"/>
      <w:lvlJc w:val="left"/>
      <w:pPr>
        <w:ind w:left="5078" w:hanging="425"/>
      </w:pPr>
      <w:rPr>
        <w:rFonts w:hint="default"/>
      </w:rPr>
    </w:lvl>
    <w:lvl w:ilvl="5" w:tplc="53E03074">
      <w:start w:val="1"/>
      <w:numFmt w:val="bullet"/>
      <w:lvlText w:val="•"/>
      <w:lvlJc w:val="left"/>
      <w:pPr>
        <w:ind w:left="6056" w:hanging="425"/>
      </w:pPr>
      <w:rPr>
        <w:rFonts w:hint="default"/>
      </w:rPr>
    </w:lvl>
    <w:lvl w:ilvl="6" w:tplc="55480F3C">
      <w:start w:val="1"/>
      <w:numFmt w:val="bullet"/>
      <w:lvlText w:val="•"/>
      <w:lvlJc w:val="left"/>
      <w:pPr>
        <w:ind w:left="7034" w:hanging="425"/>
      </w:pPr>
      <w:rPr>
        <w:rFonts w:hint="default"/>
      </w:rPr>
    </w:lvl>
    <w:lvl w:ilvl="7" w:tplc="ECFE5332">
      <w:start w:val="1"/>
      <w:numFmt w:val="bullet"/>
      <w:lvlText w:val="•"/>
      <w:lvlJc w:val="left"/>
      <w:pPr>
        <w:ind w:left="8012" w:hanging="425"/>
      </w:pPr>
      <w:rPr>
        <w:rFonts w:hint="default"/>
      </w:rPr>
    </w:lvl>
    <w:lvl w:ilvl="8" w:tplc="3E34E444">
      <w:start w:val="1"/>
      <w:numFmt w:val="bullet"/>
      <w:lvlText w:val="•"/>
      <w:lvlJc w:val="left"/>
      <w:pPr>
        <w:ind w:left="8990" w:hanging="425"/>
      </w:pPr>
      <w:rPr>
        <w:rFonts w:hint="default"/>
      </w:rPr>
    </w:lvl>
  </w:abstractNum>
  <w:abstractNum w:abstractNumId="129" w15:restartNumberingAfterBreak="0">
    <w:nsid w:val="76D770DD"/>
    <w:multiLevelType w:val="hybridMultilevel"/>
    <w:tmpl w:val="2660B194"/>
    <w:lvl w:ilvl="0" w:tplc="2D3A7C78">
      <w:start w:val="1"/>
      <w:numFmt w:val="bullet"/>
      <w:lvlText w:val=""/>
      <w:lvlJc w:val="left"/>
      <w:pPr>
        <w:ind w:left="1522" w:hanging="294"/>
      </w:pPr>
      <w:rPr>
        <w:rFonts w:ascii="Symbol" w:eastAsia="Symbol" w:hAnsi="Symbol" w:hint="default"/>
        <w:w w:val="99"/>
        <w:sz w:val="22"/>
        <w:szCs w:val="22"/>
      </w:rPr>
    </w:lvl>
    <w:lvl w:ilvl="1" w:tplc="897CD730">
      <w:start w:val="1"/>
      <w:numFmt w:val="bullet"/>
      <w:lvlText w:val="•"/>
      <w:lvlJc w:val="left"/>
      <w:pPr>
        <w:ind w:left="2470" w:hanging="294"/>
      </w:pPr>
      <w:rPr>
        <w:rFonts w:hint="default"/>
      </w:rPr>
    </w:lvl>
    <w:lvl w:ilvl="2" w:tplc="CFF464D4">
      <w:start w:val="1"/>
      <w:numFmt w:val="bullet"/>
      <w:lvlText w:val="•"/>
      <w:lvlJc w:val="left"/>
      <w:pPr>
        <w:ind w:left="3418" w:hanging="294"/>
      </w:pPr>
      <w:rPr>
        <w:rFonts w:hint="default"/>
      </w:rPr>
    </w:lvl>
    <w:lvl w:ilvl="3" w:tplc="975E88A8">
      <w:start w:val="1"/>
      <w:numFmt w:val="bullet"/>
      <w:lvlText w:val="•"/>
      <w:lvlJc w:val="left"/>
      <w:pPr>
        <w:ind w:left="4367" w:hanging="294"/>
      </w:pPr>
      <w:rPr>
        <w:rFonts w:hint="default"/>
      </w:rPr>
    </w:lvl>
    <w:lvl w:ilvl="4" w:tplc="F4B430F0">
      <w:start w:val="1"/>
      <w:numFmt w:val="bullet"/>
      <w:lvlText w:val="•"/>
      <w:lvlJc w:val="left"/>
      <w:pPr>
        <w:ind w:left="5315" w:hanging="294"/>
      </w:pPr>
      <w:rPr>
        <w:rFonts w:hint="default"/>
      </w:rPr>
    </w:lvl>
    <w:lvl w:ilvl="5" w:tplc="B942B6F0">
      <w:start w:val="1"/>
      <w:numFmt w:val="bullet"/>
      <w:lvlText w:val="•"/>
      <w:lvlJc w:val="left"/>
      <w:pPr>
        <w:ind w:left="6264" w:hanging="294"/>
      </w:pPr>
      <w:rPr>
        <w:rFonts w:hint="default"/>
      </w:rPr>
    </w:lvl>
    <w:lvl w:ilvl="6" w:tplc="CEB6BD98">
      <w:start w:val="1"/>
      <w:numFmt w:val="bullet"/>
      <w:lvlText w:val="•"/>
      <w:lvlJc w:val="left"/>
      <w:pPr>
        <w:ind w:left="7212" w:hanging="294"/>
      </w:pPr>
      <w:rPr>
        <w:rFonts w:hint="default"/>
      </w:rPr>
    </w:lvl>
    <w:lvl w:ilvl="7" w:tplc="E02C82FE">
      <w:start w:val="1"/>
      <w:numFmt w:val="bullet"/>
      <w:lvlText w:val="•"/>
      <w:lvlJc w:val="left"/>
      <w:pPr>
        <w:ind w:left="8161" w:hanging="294"/>
      </w:pPr>
      <w:rPr>
        <w:rFonts w:hint="default"/>
      </w:rPr>
    </w:lvl>
    <w:lvl w:ilvl="8" w:tplc="B6A6797A">
      <w:start w:val="1"/>
      <w:numFmt w:val="bullet"/>
      <w:lvlText w:val="•"/>
      <w:lvlJc w:val="left"/>
      <w:pPr>
        <w:ind w:left="9109" w:hanging="294"/>
      </w:pPr>
      <w:rPr>
        <w:rFonts w:hint="default"/>
      </w:rPr>
    </w:lvl>
  </w:abstractNum>
  <w:abstractNum w:abstractNumId="130" w15:restartNumberingAfterBreak="0">
    <w:nsid w:val="770D11CB"/>
    <w:multiLevelType w:val="hybridMultilevel"/>
    <w:tmpl w:val="7876BC86"/>
    <w:lvl w:ilvl="0" w:tplc="F760CE2E">
      <w:start w:val="1"/>
      <w:numFmt w:val="bullet"/>
      <w:lvlText w:val="-"/>
      <w:lvlJc w:val="left"/>
      <w:pPr>
        <w:ind w:left="1451" w:hanging="284"/>
      </w:pPr>
      <w:rPr>
        <w:rFonts w:ascii="Courier New" w:eastAsia="Courier New" w:hAnsi="Courier New" w:hint="default"/>
        <w:w w:val="99"/>
        <w:sz w:val="22"/>
        <w:szCs w:val="22"/>
      </w:rPr>
    </w:lvl>
    <w:lvl w:ilvl="1" w:tplc="36722EC4">
      <w:start w:val="1"/>
      <w:numFmt w:val="bullet"/>
      <w:lvlText w:val="•"/>
      <w:lvlJc w:val="left"/>
      <w:pPr>
        <w:ind w:left="2400" w:hanging="284"/>
      </w:pPr>
      <w:rPr>
        <w:rFonts w:hint="default"/>
      </w:rPr>
    </w:lvl>
    <w:lvl w:ilvl="2" w:tplc="5F28E342">
      <w:start w:val="1"/>
      <w:numFmt w:val="bullet"/>
      <w:lvlText w:val="•"/>
      <w:lvlJc w:val="left"/>
      <w:pPr>
        <w:ind w:left="3350" w:hanging="284"/>
      </w:pPr>
      <w:rPr>
        <w:rFonts w:hint="default"/>
      </w:rPr>
    </w:lvl>
    <w:lvl w:ilvl="3" w:tplc="0DEC5DD4">
      <w:start w:val="1"/>
      <w:numFmt w:val="bullet"/>
      <w:lvlText w:val="•"/>
      <w:lvlJc w:val="left"/>
      <w:pPr>
        <w:ind w:left="4299" w:hanging="284"/>
      </w:pPr>
      <w:rPr>
        <w:rFonts w:hint="default"/>
      </w:rPr>
    </w:lvl>
    <w:lvl w:ilvl="4" w:tplc="29D2A944">
      <w:start w:val="1"/>
      <w:numFmt w:val="bullet"/>
      <w:lvlText w:val="•"/>
      <w:lvlJc w:val="left"/>
      <w:pPr>
        <w:ind w:left="5248" w:hanging="284"/>
      </w:pPr>
      <w:rPr>
        <w:rFonts w:hint="default"/>
      </w:rPr>
    </w:lvl>
    <w:lvl w:ilvl="5" w:tplc="047A0986">
      <w:start w:val="1"/>
      <w:numFmt w:val="bullet"/>
      <w:lvlText w:val="•"/>
      <w:lvlJc w:val="left"/>
      <w:pPr>
        <w:ind w:left="6198" w:hanging="284"/>
      </w:pPr>
      <w:rPr>
        <w:rFonts w:hint="default"/>
      </w:rPr>
    </w:lvl>
    <w:lvl w:ilvl="6" w:tplc="974E1B9C">
      <w:start w:val="1"/>
      <w:numFmt w:val="bullet"/>
      <w:lvlText w:val="•"/>
      <w:lvlJc w:val="left"/>
      <w:pPr>
        <w:ind w:left="7147" w:hanging="284"/>
      </w:pPr>
      <w:rPr>
        <w:rFonts w:hint="default"/>
      </w:rPr>
    </w:lvl>
    <w:lvl w:ilvl="7" w:tplc="98D6F61C">
      <w:start w:val="1"/>
      <w:numFmt w:val="bullet"/>
      <w:lvlText w:val="•"/>
      <w:lvlJc w:val="left"/>
      <w:pPr>
        <w:ind w:left="8097" w:hanging="284"/>
      </w:pPr>
      <w:rPr>
        <w:rFonts w:hint="default"/>
      </w:rPr>
    </w:lvl>
    <w:lvl w:ilvl="8" w:tplc="2D9C067E">
      <w:start w:val="1"/>
      <w:numFmt w:val="bullet"/>
      <w:lvlText w:val="•"/>
      <w:lvlJc w:val="left"/>
      <w:pPr>
        <w:ind w:left="9046" w:hanging="284"/>
      </w:pPr>
      <w:rPr>
        <w:rFonts w:hint="default"/>
      </w:rPr>
    </w:lvl>
  </w:abstractNum>
  <w:abstractNum w:abstractNumId="131" w15:restartNumberingAfterBreak="0">
    <w:nsid w:val="77B641EA"/>
    <w:multiLevelType w:val="hybridMultilevel"/>
    <w:tmpl w:val="006EFC04"/>
    <w:lvl w:ilvl="0" w:tplc="ECF2B816">
      <w:start w:val="1"/>
      <w:numFmt w:val="bullet"/>
      <w:lvlText w:val="-"/>
      <w:lvlJc w:val="left"/>
      <w:pPr>
        <w:ind w:left="1411" w:hanging="284"/>
      </w:pPr>
      <w:rPr>
        <w:rFonts w:ascii="Courier New" w:eastAsia="Courier New" w:hAnsi="Courier New" w:hint="default"/>
        <w:w w:val="99"/>
        <w:sz w:val="22"/>
        <w:szCs w:val="22"/>
      </w:rPr>
    </w:lvl>
    <w:lvl w:ilvl="1" w:tplc="915C216C">
      <w:start w:val="1"/>
      <w:numFmt w:val="bullet"/>
      <w:lvlText w:val="•"/>
      <w:lvlJc w:val="left"/>
      <w:pPr>
        <w:ind w:left="2360" w:hanging="284"/>
      </w:pPr>
      <w:rPr>
        <w:rFonts w:hint="default"/>
      </w:rPr>
    </w:lvl>
    <w:lvl w:ilvl="2" w:tplc="B24A4D02">
      <w:start w:val="1"/>
      <w:numFmt w:val="bullet"/>
      <w:lvlText w:val="•"/>
      <w:lvlJc w:val="left"/>
      <w:pPr>
        <w:ind w:left="3310" w:hanging="284"/>
      </w:pPr>
      <w:rPr>
        <w:rFonts w:hint="default"/>
      </w:rPr>
    </w:lvl>
    <w:lvl w:ilvl="3" w:tplc="96084422">
      <w:start w:val="1"/>
      <w:numFmt w:val="bullet"/>
      <w:lvlText w:val="•"/>
      <w:lvlJc w:val="left"/>
      <w:pPr>
        <w:ind w:left="4259" w:hanging="284"/>
      </w:pPr>
      <w:rPr>
        <w:rFonts w:hint="default"/>
      </w:rPr>
    </w:lvl>
    <w:lvl w:ilvl="4" w:tplc="3E440224">
      <w:start w:val="1"/>
      <w:numFmt w:val="bullet"/>
      <w:lvlText w:val="•"/>
      <w:lvlJc w:val="left"/>
      <w:pPr>
        <w:ind w:left="5208" w:hanging="284"/>
      </w:pPr>
      <w:rPr>
        <w:rFonts w:hint="default"/>
      </w:rPr>
    </w:lvl>
    <w:lvl w:ilvl="5" w:tplc="9B324DA6">
      <w:start w:val="1"/>
      <w:numFmt w:val="bullet"/>
      <w:lvlText w:val="•"/>
      <w:lvlJc w:val="left"/>
      <w:pPr>
        <w:ind w:left="6158" w:hanging="284"/>
      </w:pPr>
      <w:rPr>
        <w:rFonts w:hint="default"/>
      </w:rPr>
    </w:lvl>
    <w:lvl w:ilvl="6" w:tplc="27ECD44A">
      <w:start w:val="1"/>
      <w:numFmt w:val="bullet"/>
      <w:lvlText w:val="•"/>
      <w:lvlJc w:val="left"/>
      <w:pPr>
        <w:ind w:left="7107" w:hanging="284"/>
      </w:pPr>
      <w:rPr>
        <w:rFonts w:hint="default"/>
      </w:rPr>
    </w:lvl>
    <w:lvl w:ilvl="7" w:tplc="B7280E16">
      <w:start w:val="1"/>
      <w:numFmt w:val="bullet"/>
      <w:lvlText w:val="•"/>
      <w:lvlJc w:val="left"/>
      <w:pPr>
        <w:ind w:left="8057" w:hanging="284"/>
      </w:pPr>
      <w:rPr>
        <w:rFonts w:hint="default"/>
      </w:rPr>
    </w:lvl>
    <w:lvl w:ilvl="8" w:tplc="E85A82E2">
      <w:start w:val="1"/>
      <w:numFmt w:val="bullet"/>
      <w:lvlText w:val="•"/>
      <w:lvlJc w:val="left"/>
      <w:pPr>
        <w:ind w:left="9006" w:hanging="284"/>
      </w:pPr>
      <w:rPr>
        <w:rFonts w:hint="default"/>
      </w:rPr>
    </w:lvl>
  </w:abstractNum>
  <w:abstractNum w:abstractNumId="132" w15:restartNumberingAfterBreak="0">
    <w:nsid w:val="78EA77C4"/>
    <w:multiLevelType w:val="hybridMultilevel"/>
    <w:tmpl w:val="FDCAD1D0"/>
    <w:lvl w:ilvl="0" w:tplc="D04EF294">
      <w:start w:val="1"/>
      <w:numFmt w:val="bullet"/>
      <w:lvlText w:val=""/>
      <w:lvlJc w:val="left"/>
      <w:pPr>
        <w:ind w:left="1128" w:hanging="426"/>
      </w:pPr>
      <w:rPr>
        <w:rFonts w:ascii="Symbol" w:eastAsia="Symbol" w:hAnsi="Symbol" w:hint="default"/>
        <w:w w:val="99"/>
        <w:sz w:val="22"/>
        <w:szCs w:val="22"/>
      </w:rPr>
    </w:lvl>
    <w:lvl w:ilvl="1" w:tplc="CCBE303E">
      <w:start w:val="1"/>
      <w:numFmt w:val="bullet"/>
      <w:lvlText w:val="•"/>
      <w:lvlJc w:val="left"/>
      <w:pPr>
        <w:ind w:left="2105" w:hanging="426"/>
      </w:pPr>
      <w:rPr>
        <w:rFonts w:hint="default"/>
      </w:rPr>
    </w:lvl>
    <w:lvl w:ilvl="2" w:tplc="378C626E">
      <w:start w:val="1"/>
      <w:numFmt w:val="bullet"/>
      <w:lvlText w:val="•"/>
      <w:lvlJc w:val="left"/>
      <w:pPr>
        <w:ind w:left="3083" w:hanging="426"/>
      </w:pPr>
      <w:rPr>
        <w:rFonts w:hint="default"/>
      </w:rPr>
    </w:lvl>
    <w:lvl w:ilvl="3" w:tplc="8000F3DC">
      <w:start w:val="1"/>
      <w:numFmt w:val="bullet"/>
      <w:lvlText w:val="•"/>
      <w:lvlJc w:val="left"/>
      <w:pPr>
        <w:ind w:left="4061" w:hanging="426"/>
      </w:pPr>
      <w:rPr>
        <w:rFonts w:hint="default"/>
      </w:rPr>
    </w:lvl>
    <w:lvl w:ilvl="4" w:tplc="E2DA4048">
      <w:start w:val="1"/>
      <w:numFmt w:val="bullet"/>
      <w:lvlText w:val="•"/>
      <w:lvlJc w:val="left"/>
      <w:pPr>
        <w:ind w:left="5038" w:hanging="426"/>
      </w:pPr>
      <w:rPr>
        <w:rFonts w:hint="default"/>
      </w:rPr>
    </w:lvl>
    <w:lvl w:ilvl="5" w:tplc="5E789C58">
      <w:start w:val="1"/>
      <w:numFmt w:val="bullet"/>
      <w:lvlText w:val="•"/>
      <w:lvlJc w:val="left"/>
      <w:pPr>
        <w:ind w:left="6016" w:hanging="426"/>
      </w:pPr>
      <w:rPr>
        <w:rFonts w:hint="default"/>
      </w:rPr>
    </w:lvl>
    <w:lvl w:ilvl="6" w:tplc="4386DF7E">
      <w:start w:val="1"/>
      <w:numFmt w:val="bullet"/>
      <w:lvlText w:val="•"/>
      <w:lvlJc w:val="left"/>
      <w:pPr>
        <w:ind w:left="6994" w:hanging="426"/>
      </w:pPr>
      <w:rPr>
        <w:rFonts w:hint="default"/>
      </w:rPr>
    </w:lvl>
    <w:lvl w:ilvl="7" w:tplc="8822FAF4">
      <w:start w:val="1"/>
      <w:numFmt w:val="bullet"/>
      <w:lvlText w:val="•"/>
      <w:lvlJc w:val="left"/>
      <w:pPr>
        <w:ind w:left="7972" w:hanging="426"/>
      </w:pPr>
      <w:rPr>
        <w:rFonts w:hint="default"/>
      </w:rPr>
    </w:lvl>
    <w:lvl w:ilvl="8" w:tplc="0DF008C6">
      <w:start w:val="1"/>
      <w:numFmt w:val="bullet"/>
      <w:lvlText w:val="•"/>
      <w:lvlJc w:val="left"/>
      <w:pPr>
        <w:ind w:left="8949" w:hanging="426"/>
      </w:pPr>
      <w:rPr>
        <w:rFonts w:hint="default"/>
      </w:rPr>
    </w:lvl>
  </w:abstractNum>
  <w:abstractNum w:abstractNumId="133" w15:restartNumberingAfterBreak="0">
    <w:nsid w:val="79797916"/>
    <w:multiLevelType w:val="hybridMultilevel"/>
    <w:tmpl w:val="32F664D0"/>
    <w:lvl w:ilvl="0" w:tplc="17603188">
      <w:start w:val="1"/>
      <w:numFmt w:val="bullet"/>
      <w:lvlText w:val=""/>
      <w:lvlJc w:val="left"/>
      <w:pPr>
        <w:ind w:left="1522" w:hanging="294"/>
      </w:pPr>
      <w:rPr>
        <w:rFonts w:ascii="Symbol" w:eastAsia="Symbol" w:hAnsi="Symbol" w:hint="default"/>
        <w:w w:val="99"/>
        <w:sz w:val="22"/>
        <w:szCs w:val="22"/>
      </w:rPr>
    </w:lvl>
    <w:lvl w:ilvl="1" w:tplc="7DCC8B7C">
      <w:start w:val="1"/>
      <w:numFmt w:val="bullet"/>
      <w:lvlText w:val=""/>
      <w:lvlJc w:val="left"/>
      <w:pPr>
        <w:ind w:left="1602" w:hanging="294"/>
      </w:pPr>
      <w:rPr>
        <w:rFonts w:ascii="Symbol" w:eastAsia="Symbol" w:hAnsi="Symbol" w:hint="default"/>
        <w:w w:val="99"/>
        <w:sz w:val="22"/>
        <w:szCs w:val="22"/>
      </w:rPr>
    </w:lvl>
    <w:lvl w:ilvl="2" w:tplc="B6544E9A">
      <w:start w:val="1"/>
      <w:numFmt w:val="bullet"/>
      <w:lvlText w:val="•"/>
      <w:lvlJc w:val="left"/>
      <w:pPr>
        <w:ind w:left="2646" w:hanging="294"/>
      </w:pPr>
      <w:rPr>
        <w:rFonts w:hint="default"/>
      </w:rPr>
    </w:lvl>
    <w:lvl w:ilvl="3" w:tplc="F6D848A8">
      <w:start w:val="1"/>
      <w:numFmt w:val="bullet"/>
      <w:lvlText w:val="•"/>
      <w:lvlJc w:val="left"/>
      <w:pPr>
        <w:ind w:left="3691" w:hanging="294"/>
      </w:pPr>
      <w:rPr>
        <w:rFonts w:hint="default"/>
      </w:rPr>
    </w:lvl>
    <w:lvl w:ilvl="4" w:tplc="EA821152">
      <w:start w:val="1"/>
      <w:numFmt w:val="bullet"/>
      <w:lvlText w:val="•"/>
      <w:lvlJc w:val="left"/>
      <w:pPr>
        <w:ind w:left="4736" w:hanging="294"/>
      </w:pPr>
      <w:rPr>
        <w:rFonts w:hint="default"/>
      </w:rPr>
    </w:lvl>
    <w:lvl w:ilvl="5" w:tplc="D6E6AC62">
      <w:start w:val="1"/>
      <w:numFmt w:val="bullet"/>
      <w:lvlText w:val="•"/>
      <w:lvlJc w:val="left"/>
      <w:pPr>
        <w:ind w:left="5781" w:hanging="294"/>
      </w:pPr>
      <w:rPr>
        <w:rFonts w:hint="default"/>
      </w:rPr>
    </w:lvl>
    <w:lvl w:ilvl="6" w:tplc="ACE09DB4">
      <w:start w:val="1"/>
      <w:numFmt w:val="bullet"/>
      <w:lvlText w:val="•"/>
      <w:lvlJc w:val="left"/>
      <w:pPr>
        <w:ind w:left="6826" w:hanging="294"/>
      </w:pPr>
      <w:rPr>
        <w:rFonts w:hint="default"/>
      </w:rPr>
    </w:lvl>
    <w:lvl w:ilvl="7" w:tplc="898407BC">
      <w:start w:val="1"/>
      <w:numFmt w:val="bullet"/>
      <w:lvlText w:val="•"/>
      <w:lvlJc w:val="left"/>
      <w:pPr>
        <w:ind w:left="7870" w:hanging="294"/>
      </w:pPr>
      <w:rPr>
        <w:rFonts w:hint="default"/>
      </w:rPr>
    </w:lvl>
    <w:lvl w:ilvl="8" w:tplc="1552633E">
      <w:start w:val="1"/>
      <w:numFmt w:val="bullet"/>
      <w:lvlText w:val="•"/>
      <w:lvlJc w:val="left"/>
      <w:pPr>
        <w:ind w:left="8915" w:hanging="294"/>
      </w:pPr>
      <w:rPr>
        <w:rFonts w:hint="default"/>
      </w:rPr>
    </w:lvl>
  </w:abstractNum>
  <w:abstractNum w:abstractNumId="134" w15:restartNumberingAfterBreak="0">
    <w:nsid w:val="79C67377"/>
    <w:multiLevelType w:val="hybridMultilevel"/>
    <w:tmpl w:val="24DA304A"/>
    <w:lvl w:ilvl="0" w:tplc="F2ECCF06">
      <w:start w:val="1"/>
      <w:numFmt w:val="decimal"/>
      <w:lvlText w:val="%1."/>
      <w:lvlJc w:val="left"/>
      <w:pPr>
        <w:ind w:left="1281" w:hanging="360"/>
      </w:pPr>
      <w:rPr>
        <w:rFonts w:ascii="Times New Roman" w:eastAsia="Arial" w:hAnsi="Times New Roman" w:cs="Times New Roman" w:hint="default"/>
        <w:w w:val="99"/>
        <w:sz w:val="24"/>
        <w:szCs w:val="24"/>
      </w:rPr>
    </w:lvl>
    <w:lvl w:ilvl="1" w:tplc="0BF2C37E">
      <w:start w:val="1"/>
      <w:numFmt w:val="lowerLetter"/>
      <w:lvlText w:val="%2)"/>
      <w:lvlJc w:val="left"/>
      <w:pPr>
        <w:ind w:left="1642" w:hanging="295"/>
      </w:pPr>
      <w:rPr>
        <w:rFonts w:ascii="Times New Roman" w:eastAsia="Arial" w:hAnsi="Times New Roman" w:cs="Times New Roman" w:hint="default"/>
        <w:w w:val="99"/>
        <w:sz w:val="24"/>
        <w:szCs w:val="24"/>
      </w:rPr>
    </w:lvl>
    <w:lvl w:ilvl="2" w:tplc="2F983166">
      <w:start w:val="1"/>
      <w:numFmt w:val="bullet"/>
      <w:lvlText w:val=""/>
      <w:lvlJc w:val="left"/>
      <w:pPr>
        <w:ind w:left="2016" w:hanging="425"/>
      </w:pPr>
      <w:rPr>
        <w:rFonts w:ascii="Symbol" w:eastAsia="Symbol" w:hAnsi="Symbol" w:hint="default"/>
        <w:w w:val="99"/>
        <w:sz w:val="22"/>
        <w:szCs w:val="22"/>
      </w:rPr>
    </w:lvl>
    <w:lvl w:ilvl="3" w:tplc="67EC5510">
      <w:start w:val="1"/>
      <w:numFmt w:val="bullet"/>
      <w:lvlText w:val="•"/>
      <w:lvlJc w:val="left"/>
      <w:pPr>
        <w:ind w:left="1642" w:hanging="425"/>
      </w:pPr>
      <w:rPr>
        <w:rFonts w:hint="default"/>
      </w:rPr>
    </w:lvl>
    <w:lvl w:ilvl="4" w:tplc="D21E7C7C">
      <w:start w:val="1"/>
      <w:numFmt w:val="bullet"/>
      <w:lvlText w:val="•"/>
      <w:lvlJc w:val="left"/>
      <w:pPr>
        <w:ind w:left="1914" w:hanging="425"/>
      </w:pPr>
      <w:rPr>
        <w:rFonts w:hint="default"/>
      </w:rPr>
    </w:lvl>
    <w:lvl w:ilvl="5" w:tplc="472831FC">
      <w:start w:val="1"/>
      <w:numFmt w:val="bullet"/>
      <w:lvlText w:val="•"/>
      <w:lvlJc w:val="left"/>
      <w:pPr>
        <w:ind w:left="2016" w:hanging="425"/>
      </w:pPr>
      <w:rPr>
        <w:rFonts w:hint="default"/>
      </w:rPr>
    </w:lvl>
    <w:lvl w:ilvl="6" w:tplc="14287EBA">
      <w:start w:val="1"/>
      <w:numFmt w:val="bullet"/>
      <w:lvlText w:val="•"/>
      <w:lvlJc w:val="left"/>
      <w:pPr>
        <w:ind w:left="3830" w:hanging="425"/>
      </w:pPr>
      <w:rPr>
        <w:rFonts w:hint="default"/>
      </w:rPr>
    </w:lvl>
    <w:lvl w:ilvl="7" w:tplc="154C8A80">
      <w:start w:val="1"/>
      <w:numFmt w:val="bullet"/>
      <w:lvlText w:val="•"/>
      <w:lvlJc w:val="left"/>
      <w:pPr>
        <w:ind w:left="5645" w:hanging="425"/>
      </w:pPr>
      <w:rPr>
        <w:rFonts w:hint="default"/>
      </w:rPr>
    </w:lvl>
    <w:lvl w:ilvl="8" w:tplc="F9C8FE66">
      <w:start w:val="1"/>
      <w:numFmt w:val="bullet"/>
      <w:lvlText w:val="•"/>
      <w:lvlJc w:val="left"/>
      <w:pPr>
        <w:ind w:left="7459" w:hanging="425"/>
      </w:pPr>
      <w:rPr>
        <w:rFonts w:hint="default"/>
      </w:rPr>
    </w:lvl>
  </w:abstractNum>
  <w:abstractNum w:abstractNumId="135" w15:restartNumberingAfterBreak="0">
    <w:nsid w:val="7B1E7675"/>
    <w:multiLevelType w:val="hybridMultilevel"/>
    <w:tmpl w:val="84203782"/>
    <w:lvl w:ilvl="0" w:tplc="05B2EB24">
      <w:start w:val="1"/>
      <w:numFmt w:val="decimal"/>
      <w:lvlText w:val="%1)"/>
      <w:lvlJc w:val="left"/>
      <w:pPr>
        <w:ind w:left="1168" w:hanging="426"/>
        <w:jc w:val="right"/>
      </w:pPr>
      <w:rPr>
        <w:rFonts w:ascii="Times New Roman" w:eastAsia="Arial" w:hAnsi="Times New Roman" w:cs="Times New Roman" w:hint="default"/>
        <w:w w:val="99"/>
        <w:sz w:val="24"/>
        <w:szCs w:val="24"/>
      </w:rPr>
    </w:lvl>
    <w:lvl w:ilvl="1" w:tplc="A70282C6">
      <w:start w:val="1"/>
      <w:numFmt w:val="bullet"/>
      <w:lvlText w:val="•"/>
      <w:lvlJc w:val="left"/>
      <w:pPr>
        <w:ind w:left="4571" w:hanging="426"/>
      </w:pPr>
      <w:rPr>
        <w:rFonts w:hint="default"/>
      </w:rPr>
    </w:lvl>
    <w:lvl w:ilvl="2" w:tplc="61E4DADA">
      <w:start w:val="1"/>
      <w:numFmt w:val="bullet"/>
      <w:lvlText w:val="•"/>
      <w:lvlJc w:val="left"/>
      <w:pPr>
        <w:ind w:left="4836" w:hanging="426"/>
      </w:pPr>
      <w:rPr>
        <w:rFonts w:hint="default"/>
      </w:rPr>
    </w:lvl>
    <w:lvl w:ilvl="3" w:tplc="87B0E89E">
      <w:start w:val="1"/>
      <w:numFmt w:val="bullet"/>
      <w:lvlText w:val="•"/>
      <w:lvlJc w:val="left"/>
      <w:pPr>
        <w:ind w:left="5600" w:hanging="426"/>
      </w:pPr>
      <w:rPr>
        <w:rFonts w:hint="default"/>
      </w:rPr>
    </w:lvl>
    <w:lvl w:ilvl="4" w:tplc="782A7E8E">
      <w:start w:val="1"/>
      <w:numFmt w:val="bullet"/>
      <w:lvlText w:val="•"/>
      <w:lvlJc w:val="left"/>
      <w:pPr>
        <w:ind w:left="6363" w:hanging="426"/>
      </w:pPr>
      <w:rPr>
        <w:rFonts w:hint="default"/>
      </w:rPr>
    </w:lvl>
    <w:lvl w:ilvl="5" w:tplc="7EC00C06">
      <w:start w:val="1"/>
      <w:numFmt w:val="bullet"/>
      <w:lvlText w:val="•"/>
      <w:lvlJc w:val="left"/>
      <w:pPr>
        <w:ind w:left="7127" w:hanging="426"/>
      </w:pPr>
      <w:rPr>
        <w:rFonts w:hint="default"/>
      </w:rPr>
    </w:lvl>
    <w:lvl w:ilvl="6" w:tplc="A210DB6E">
      <w:start w:val="1"/>
      <w:numFmt w:val="bullet"/>
      <w:lvlText w:val="•"/>
      <w:lvlJc w:val="left"/>
      <w:pPr>
        <w:ind w:left="7891" w:hanging="426"/>
      </w:pPr>
      <w:rPr>
        <w:rFonts w:hint="default"/>
      </w:rPr>
    </w:lvl>
    <w:lvl w:ilvl="7" w:tplc="BA5CF554">
      <w:start w:val="1"/>
      <w:numFmt w:val="bullet"/>
      <w:lvlText w:val="•"/>
      <w:lvlJc w:val="left"/>
      <w:pPr>
        <w:ind w:left="8655" w:hanging="426"/>
      </w:pPr>
      <w:rPr>
        <w:rFonts w:hint="default"/>
      </w:rPr>
    </w:lvl>
    <w:lvl w:ilvl="8" w:tplc="28E8A65E">
      <w:start w:val="1"/>
      <w:numFmt w:val="bullet"/>
      <w:lvlText w:val="•"/>
      <w:lvlJc w:val="left"/>
      <w:pPr>
        <w:ind w:left="9418" w:hanging="426"/>
      </w:pPr>
      <w:rPr>
        <w:rFonts w:hint="default"/>
      </w:rPr>
    </w:lvl>
  </w:abstractNum>
  <w:abstractNum w:abstractNumId="136" w15:restartNumberingAfterBreak="0">
    <w:nsid w:val="7C150BC1"/>
    <w:multiLevelType w:val="hybridMultilevel"/>
    <w:tmpl w:val="F6327DD4"/>
    <w:lvl w:ilvl="0" w:tplc="CD1EABC6">
      <w:start w:val="1"/>
      <w:numFmt w:val="decimal"/>
      <w:lvlText w:val="%1."/>
      <w:lvlJc w:val="left"/>
      <w:pPr>
        <w:ind w:left="1242" w:hanging="360"/>
        <w:jc w:val="right"/>
      </w:pPr>
      <w:rPr>
        <w:rFonts w:ascii="Times New Roman" w:eastAsia="Arial" w:hAnsi="Times New Roman" w:cs="Times New Roman" w:hint="default"/>
        <w:w w:val="99"/>
        <w:sz w:val="24"/>
        <w:szCs w:val="24"/>
      </w:rPr>
    </w:lvl>
    <w:lvl w:ilvl="1" w:tplc="B92E8ED2">
      <w:start w:val="1"/>
      <w:numFmt w:val="lowerLetter"/>
      <w:lvlText w:val="%2)"/>
      <w:lvlJc w:val="left"/>
      <w:pPr>
        <w:ind w:left="1596" w:hanging="290"/>
      </w:pPr>
      <w:rPr>
        <w:rFonts w:ascii="Times New Roman" w:eastAsia="Arial" w:hAnsi="Times New Roman" w:cs="Times New Roman" w:hint="default"/>
        <w:w w:val="99"/>
        <w:sz w:val="24"/>
        <w:szCs w:val="24"/>
      </w:rPr>
    </w:lvl>
    <w:lvl w:ilvl="2" w:tplc="A7B8BE18">
      <w:start w:val="1"/>
      <w:numFmt w:val="bullet"/>
      <w:lvlText w:val="•"/>
      <w:lvlJc w:val="left"/>
      <w:pPr>
        <w:ind w:left="2650" w:hanging="290"/>
      </w:pPr>
      <w:rPr>
        <w:rFonts w:hint="default"/>
      </w:rPr>
    </w:lvl>
    <w:lvl w:ilvl="3" w:tplc="41F47F74">
      <w:start w:val="1"/>
      <w:numFmt w:val="bullet"/>
      <w:lvlText w:val="•"/>
      <w:lvlJc w:val="left"/>
      <w:pPr>
        <w:ind w:left="3704" w:hanging="290"/>
      </w:pPr>
      <w:rPr>
        <w:rFonts w:hint="default"/>
      </w:rPr>
    </w:lvl>
    <w:lvl w:ilvl="4" w:tplc="1FCE8784">
      <w:start w:val="1"/>
      <w:numFmt w:val="bullet"/>
      <w:lvlText w:val="•"/>
      <w:lvlJc w:val="left"/>
      <w:pPr>
        <w:ind w:left="4759" w:hanging="290"/>
      </w:pPr>
      <w:rPr>
        <w:rFonts w:hint="default"/>
      </w:rPr>
    </w:lvl>
    <w:lvl w:ilvl="5" w:tplc="5822781E">
      <w:start w:val="1"/>
      <w:numFmt w:val="bullet"/>
      <w:lvlText w:val="•"/>
      <w:lvlJc w:val="left"/>
      <w:pPr>
        <w:ind w:left="5813" w:hanging="290"/>
      </w:pPr>
      <w:rPr>
        <w:rFonts w:hint="default"/>
      </w:rPr>
    </w:lvl>
    <w:lvl w:ilvl="6" w:tplc="AAAAD01A">
      <w:start w:val="1"/>
      <w:numFmt w:val="bullet"/>
      <w:lvlText w:val="•"/>
      <w:lvlJc w:val="left"/>
      <w:pPr>
        <w:ind w:left="6867" w:hanging="290"/>
      </w:pPr>
      <w:rPr>
        <w:rFonts w:hint="default"/>
      </w:rPr>
    </w:lvl>
    <w:lvl w:ilvl="7" w:tplc="214CDC52">
      <w:start w:val="1"/>
      <w:numFmt w:val="bullet"/>
      <w:lvlText w:val="•"/>
      <w:lvlJc w:val="left"/>
      <w:pPr>
        <w:ind w:left="7922" w:hanging="290"/>
      </w:pPr>
      <w:rPr>
        <w:rFonts w:hint="default"/>
      </w:rPr>
    </w:lvl>
    <w:lvl w:ilvl="8" w:tplc="E6480A40">
      <w:start w:val="1"/>
      <w:numFmt w:val="bullet"/>
      <w:lvlText w:val="•"/>
      <w:lvlJc w:val="left"/>
      <w:pPr>
        <w:ind w:left="8976" w:hanging="290"/>
      </w:pPr>
      <w:rPr>
        <w:rFonts w:hint="default"/>
      </w:rPr>
    </w:lvl>
  </w:abstractNum>
  <w:abstractNum w:abstractNumId="137" w15:restartNumberingAfterBreak="0">
    <w:nsid w:val="7C547271"/>
    <w:multiLevelType w:val="hybridMultilevel"/>
    <w:tmpl w:val="3FFC3162"/>
    <w:lvl w:ilvl="0" w:tplc="CF884C78">
      <w:start w:val="1"/>
      <w:numFmt w:val="decimal"/>
      <w:lvlText w:val="%1."/>
      <w:lvlJc w:val="left"/>
      <w:pPr>
        <w:ind w:left="1062" w:hanging="360"/>
      </w:pPr>
      <w:rPr>
        <w:rFonts w:ascii="Times New Roman" w:eastAsia="Arial" w:hAnsi="Times New Roman" w:cs="Times New Roman" w:hint="default"/>
        <w:w w:val="99"/>
        <w:sz w:val="24"/>
        <w:szCs w:val="24"/>
      </w:rPr>
    </w:lvl>
    <w:lvl w:ilvl="1" w:tplc="FBEE7772">
      <w:start w:val="1"/>
      <w:numFmt w:val="bullet"/>
      <w:lvlText w:val=""/>
      <w:lvlJc w:val="left"/>
      <w:pPr>
        <w:ind w:left="1422" w:hanging="294"/>
      </w:pPr>
      <w:rPr>
        <w:rFonts w:ascii="Symbol" w:eastAsia="Symbol" w:hAnsi="Symbol" w:hint="default"/>
        <w:w w:val="99"/>
        <w:sz w:val="22"/>
        <w:szCs w:val="22"/>
      </w:rPr>
    </w:lvl>
    <w:lvl w:ilvl="2" w:tplc="AC1E973E">
      <w:start w:val="1"/>
      <w:numFmt w:val="bullet"/>
      <w:lvlText w:val="•"/>
      <w:lvlJc w:val="left"/>
      <w:pPr>
        <w:ind w:left="2475" w:hanging="294"/>
      </w:pPr>
      <w:rPr>
        <w:rFonts w:hint="default"/>
      </w:rPr>
    </w:lvl>
    <w:lvl w:ilvl="3" w:tplc="AFCE0754">
      <w:start w:val="1"/>
      <w:numFmt w:val="bullet"/>
      <w:lvlText w:val="•"/>
      <w:lvlJc w:val="left"/>
      <w:pPr>
        <w:ind w:left="3529" w:hanging="294"/>
      </w:pPr>
      <w:rPr>
        <w:rFonts w:hint="default"/>
      </w:rPr>
    </w:lvl>
    <w:lvl w:ilvl="4" w:tplc="86FACF7E">
      <w:start w:val="1"/>
      <w:numFmt w:val="bullet"/>
      <w:lvlText w:val="•"/>
      <w:lvlJc w:val="left"/>
      <w:pPr>
        <w:ind w:left="4583" w:hanging="294"/>
      </w:pPr>
      <w:rPr>
        <w:rFonts w:hint="default"/>
      </w:rPr>
    </w:lvl>
    <w:lvl w:ilvl="5" w:tplc="BE78AF78">
      <w:start w:val="1"/>
      <w:numFmt w:val="bullet"/>
      <w:lvlText w:val="•"/>
      <w:lvlJc w:val="left"/>
      <w:pPr>
        <w:ind w:left="5636" w:hanging="294"/>
      </w:pPr>
      <w:rPr>
        <w:rFonts w:hint="default"/>
      </w:rPr>
    </w:lvl>
    <w:lvl w:ilvl="6" w:tplc="2BA01732">
      <w:start w:val="1"/>
      <w:numFmt w:val="bullet"/>
      <w:lvlText w:val="•"/>
      <w:lvlJc w:val="left"/>
      <w:pPr>
        <w:ind w:left="6690" w:hanging="294"/>
      </w:pPr>
      <w:rPr>
        <w:rFonts w:hint="default"/>
      </w:rPr>
    </w:lvl>
    <w:lvl w:ilvl="7" w:tplc="5C68687E">
      <w:start w:val="1"/>
      <w:numFmt w:val="bullet"/>
      <w:lvlText w:val="•"/>
      <w:lvlJc w:val="left"/>
      <w:pPr>
        <w:ind w:left="7744" w:hanging="294"/>
      </w:pPr>
      <w:rPr>
        <w:rFonts w:hint="default"/>
      </w:rPr>
    </w:lvl>
    <w:lvl w:ilvl="8" w:tplc="1C9A9AC8">
      <w:start w:val="1"/>
      <w:numFmt w:val="bullet"/>
      <w:lvlText w:val="•"/>
      <w:lvlJc w:val="left"/>
      <w:pPr>
        <w:ind w:left="8797" w:hanging="294"/>
      </w:pPr>
      <w:rPr>
        <w:rFonts w:hint="default"/>
      </w:rPr>
    </w:lvl>
  </w:abstractNum>
  <w:abstractNum w:abstractNumId="138" w15:restartNumberingAfterBreak="0">
    <w:nsid w:val="7D99281E"/>
    <w:multiLevelType w:val="hybridMultilevel"/>
    <w:tmpl w:val="D7405DF8"/>
    <w:lvl w:ilvl="0" w:tplc="8E804EFC">
      <w:start w:val="1"/>
      <w:numFmt w:val="decimal"/>
      <w:lvlText w:val="%1."/>
      <w:lvlJc w:val="left"/>
      <w:pPr>
        <w:ind w:left="1102" w:hanging="360"/>
        <w:jc w:val="right"/>
      </w:pPr>
      <w:rPr>
        <w:rFonts w:ascii="Times New Roman" w:eastAsia="Arial" w:hAnsi="Times New Roman" w:cs="Times New Roman" w:hint="default"/>
        <w:w w:val="99"/>
        <w:sz w:val="24"/>
        <w:szCs w:val="24"/>
      </w:rPr>
    </w:lvl>
    <w:lvl w:ilvl="1" w:tplc="E1668122">
      <w:start w:val="1"/>
      <w:numFmt w:val="bullet"/>
      <w:lvlText w:val=""/>
      <w:lvlJc w:val="left"/>
      <w:pPr>
        <w:ind w:left="1422" w:hanging="296"/>
      </w:pPr>
      <w:rPr>
        <w:rFonts w:ascii="Symbol" w:eastAsia="Symbol" w:hAnsi="Symbol" w:hint="default"/>
        <w:w w:val="99"/>
        <w:sz w:val="22"/>
        <w:szCs w:val="22"/>
      </w:rPr>
    </w:lvl>
    <w:lvl w:ilvl="2" w:tplc="61BAAF18">
      <w:start w:val="1"/>
      <w:numFmt w:val="bullet"/>
      <w:lvlText w:val="•"/>
      <w:lvlJc w:val="left"/>
      <w:pPr>
        <w:ind w:left="1462" w:hanging="296"/>
      </w:pPr>
      <w:rPr>
        <w:rFonts w:hint="default"/>
      </w:rPr>
    </w:lvl>
    <w:lvl w:ilvl="3" w:tplc="D848EF08">
      <w:start w:val="1"/>
      <w:numFmt w:val="bullet"/>
      <w:lvlText w:val="•"/>
      <w:lvlJc w:val="left"/>
      <w:pPr>
        <w:ind w:left="2642" w:hanging="296"/>
      </w:pPr>
      <w:rPr>
        <w:rFonts w:hint="default"/>
      </w:rPr>
    </w:lvl>
    <w:lvl w:ilvl="4" w:tplc="CF9ABF14">
      <w:start w:val="1"/>
      <w:numFmt w:val="bullet"/>
      <w:lvlText w:val="•"/>
      <w:lvlJc w:val="left"/>
      <w:pPr>
        <w:ind w:left="3822" w:hanging="296"/>
      </w:pPr>
      <w:rPr>
        <w:rFonts w:hint="default"/>
      </w:rPr>
    </w:lvl>
    <w:lvl w:ilvl="5" w:tplc="14F8B356">
      <w:start w:val="1"/>
      <w:numFmt w:val="bullet"/>
      <w:lvlText w:val="•"/>
      <w:lvlJc w:val="left"/>
      <w:pPr>
        <w:ind w:left="5003" w:hanging="296"/>
      </w:pPr>
      <w:rPr>
        <w:rFonts w:hint="default"/>
      </w:rPr>
    </w:lvl>
    <w:lvl w:ilvl="6" w:tplc="93409800">
      <w:start w:val="1"/>
      <w:numFmt w:val="bullet"/>
      <w:lvlText w:val="•"/>
      <w:lvlJc w:val="left"/>
      <w:pPr>
        <w:ind w:left="6183" w:hanging="296"/>
      </w:pPr>
      <w:rPr>
        <w:rFonts w:hint="default"/>
      </w:rPr>
    </w:lvl>
    <w:lvl w:ilvl="7" w:tplc="D25EF8FA">
      <w:start w:val="1"/>
      <w:numFmt w:val="bullet"/>
      <w:lvlText w:val="•"/>
      <w:lvlJc w:val="left"/>
      <w:pPr>
        <w:ind w:left="7364" w:hanging="296"/>
      </w:pPr>
      <w:rPr>
        <w:rFonts w:hint="default"/>
      </w:rPr>
    </w:lvl>
    <w:lvl w:ilvl="8" w:tplc="3F2041A0">
      <w:start w:val="1"/>
      <w:numFmt w:val="bullet"/>
      <w:lvlText w:val="•"/>
      <w:lvlJc w:val="left"/>
      <w:pPr>
        <w:ind w:left="8544" w:hanging="296"/>
      </w:pPr>
      <w:rPr>
        <w:rFonts w:hint="default"/>
      </w:rPr>
    </w:lvl>
  </w:abstractNum>
  <w:abstractNum w:abstractNumId="139" w15:restartNumberingAfterBreak="0">
    <w:nsid w:val="7DE509EF"/>
    <w:multiLevelType w:val="hybridMultilevel"/>
    <w:tmpl w:val="89F867BE"/>
    <w:lvl w:ilvl="0" w:tplc="3A4034AA">
      <w:start w:val="1"/>
      <w:numFmt w:val="decimal"/>
      <w:lvlText w:val="%1."/>
      <w:lvlJc w:val="left"/>
      <w:pPr>
        <w:ind w:left="1241" w:hanging="360"/>
      </w:pPr>
      <w:rPr>
        <w:rFonts w:ascii="Times New Roman" w:eastAsia="Arial" w:hAnsi="Times New Roman" w:cs="Times New Roman" w:hint="default"/>
        <w:w w:val="99"/>
        <w:sz w:val="24"/>
        <w:szCs w:val="24"/>
      </w:rPr>
    </w:lvl>
    <w:lvl w:ilvl="1" w:tplc="69BA88AE">
      <w:start w:val="1"/>
      <w:numFmt w:val="bullet"/>
      <w:lvlText w:val="•"/>
      <w:lvlJc w:val="left"/>
      <w:pPr>
        <w:ind w:left="2226" w:hanging="360"/>
      </w:pPr>
      <w:rPr>
        <w:rFonts w:hint="default"/>
      </w:rPr>
    </w:lvl>
    <w:lvl w:ilvl="2" w:tplc="E312CD5C">
      <w:start w:val="1"/>
      <w:numFmt w:val="bullet"/>
      <w:lvlText w:val="•"/>
      <w:lvlJc w:val="left"/>
      <w:pPr>
        <w:ind w:left="3211" w:hanging="360"/>
      </w:pPr>
      <w:rPr>
        <w:rFonts w:hint="default"/>
      </w:rPr>
    </w:lvl>
    <w:lvl w:ilvl="3" w:tplc="BDFCE966">
      <w:start w:val="1"/>
      <w:numFmt w:val="bullet"/>
      <w:lvlText w:val="•"/>
      <w:lvlJc w:val="left"/>
      <w:pPr>
        <w:ind w:left="4195" w:hanging="360"/>
      </w:pPr>
      <w:rPr>
        <w:rFonts w:hint="default"/>
      </w:rPr>
    </w:lvl>
    <w:lvl w:ilvl="4" w:tplc="9326B892">
      <w:start w:val="1"/>
      <w:numFmt w:val="bullet"/>
      <w:lvlText w:val="•"/>
      <w:lvlJc w:val="left"/>
      <w:pPr>
        <w:ind w:left="5180" w:hanging="360"/>
      </w:pPr>
      <w:rPr>
        <w:rFonts w:hint="default"/>
      </w:rPr>
    </w:lvl>
    <w:lvl w:ilvl="5" w:tplc="3D7288D2">
      <w:start w:val="1"/>
      <w:numFmt w:val="bullet"/>
      <w:lvlText w:val="•"/>
      <w:lvlJc w:val="left"/>
      <w:pPr>
        <w:ind w:left="6165" w:hanging="360"/>
      </w:pPr>
      <w:rPr>
        <w:rFonts w:hint="default"/>
      </w:rPr>
    </w:lvl>
    <w:lvl w:ilvl="6" w:tplc="46B87D0C">
      <w:start w:val="1"/>
      <w:numFmt w:val="bullet"/>
      <w:lvlText w:val="•"/>
      <w:lvlJc w:val="left"/>
      <w:pPr>
        <w:ind w:left="7149" w:hanging="360"/>
      </w:pPr>
      <w:rPr>
        <w:rFonts w:hint="default"/>
      </w:rPr>
    </w:lvl>
    <w:lvl w:ilvl="7" w:tplc="B0CCEDAE">
      <w:start w:val="1"/>
      <w:numFmt w:val="bullet"/>
      <w:lvlText w:val="•"/>
      <w:lvlJc w:val="left"/>
      <w:pPr>
        <w:ind w:left="8134" w:hanging="360"/>
      </w:pPr>
      <w:rPr>
        <w:rFonts w:hint="default"/>
      </w:rPr>
    </w:lvl>
    <w:lvl w:ilvl="8" w:tplc="EE6E9B0C">
      <w:start w:val="1"/>
      <w:numFmt w:val="bullet"/>
      <w:lvlText w:val="•"/>
      <w:lvlJc w:val="left"/>
      <w:pPr>
        <w:ind w:left="9119" w:hanging="360"/>
      </w:pPr>
      <w:rPr>
        <w:rFonts w:hint="default"/>
      </w:rPr>
    </w:lvl>
  </w:abstractNum>
  <w:abstractNum w:abstractNumId="140" w15:restartNumberingAfterBreak="0">
    <w:nsid w:val="7FD42CA3"/>
    <w:multiLevelType w:val="hybridMultilevel"/>
    <w:tmpl w:val="3866148E"/>
    <w:lvl w:ilvl="0" w:tplc="FFB0D226">
      <w:start w:val="1"/>
      <w:numFmt w:val="bullet"/>
      <w:lvlText w:val=""/>
      <w:lvlJc w:val="left"/>
      <w:pPr>
        <w:ind w:left="1542" w:hanging="294"/>
      </w:pPr>
      <w:rPr>
        <w:rFonts w:ascii="Symbol" w:eastAsia="Symbol" w:hAnsi="Symbol" w:hint="default"/>
        <w:w w:val="99"/>
        <w:sz w:val="22"/>
        <w:szCs w:val="22"/>
      </w:rPr>
    </w:lvl>
    <w:lvl w:ilvl="1" w:tplc="8BA47B96">
      <w:start w:val="1"/>
      <w:numFmt w:val="bullet"/>
      <w:lvlText w:val="•"/>
      <w:lvlJc w:val="left"/>
      <w:pPr>
        <w:ind w:left="2490" w:hanging="294"/>
      </w:pPr>
      <w:rPr>
        <w:rFonts w:hint="default"/>
      </w:rPr>
    </w:lvl>
    <w:lvl w:ilvl="2" w:tplc="942C02D2">
      <w:start w:val="1"/>
      <w:numFmt w:val="bullet"/>
      <w:lvlText w:val="•"/>
      <w:lvlJc w:val="left"/>
      <w:pPr>
        <w:ind w:left="3438" w:hanging="294"/>
      </w:pPr>
      <w:rPr>
        <w:rFonts w:hint="default"/>
      </w:rPr>
    </w:lvl>
    <w:lvl w:ilvl="3" w:tplc="ABC41C9E">
      <w:start w:val="1"/>
      <w:numFmt w:val="bullet"/>
      <w:lvlText w:val="•"/>
      <w:lvlJc w:val="left"/>
      <w:pPr>
        <w:ind w:left="4387" w:hanging="294"/>
      </w:pPr>
      <w:rPr>
        <w:rFonts w:hint="default"/>
      </w:rPr>
    </w:lvl>
    <w:lvl w:ilvl="4" w:tplc="4B8A6B8A">
      <w:start w:val="1"/>
      <w:numFmt w:val="bullet"/>
      <w:lvlText w:val="•"/>
      <w:lvlJc w:val="left"/>
      <w:pPr>
        <w:ind w:left="5335" w:hanging="294"/>
      </w:pPr>
      <w:rPr>
        <w:rFonts w:hint="default"/>
      </w:rPr>
    </w:lvl>
    <w:lvl w:ilvl="5" w:tplc="0378621A">
      <w:start w:val="1"/>
      <w:numFmt w:val="bullet"/>
      <w:lvlText w:val="•"/>
      <w:lvlJc w:val="left"/>
      <w:pPr>
        <w:ind w:left="6284" w:hanging="294"/>
      </w:pPr>
      <w:rPr>
        <w:rFonts w:hint="default"/>
      </w:rPr>
    </w:lvl>
    <w:lvl w:ilvl="6" w:tplc="F198EFFC">
      <w:start w:val="1"/>
      <w:numFmt w:val="bullet"/>
      <w:lvlText w:val="•"/>
      <w:lvlJc w:val="left"/>
      <w:pPr>
        <w:ind w:left="7232" w:hanging="294"/>
      </w:pPr>
      <w:rPr>
        <w:rFonts w:hint="default"/>
      </w:rPr>
    </w:lvl>
    <w:lvl w:ilvl="7" w:tplc="1C7C35A8">
      <w:start w:val="1"/>
      <w:numFmt w:val="bullet"/>
      <w:lvlText w:val="•"/>
      <w:lvlJc w:val="left"/>
      <w:pPr>
        <w:ind w:left="8181" w:hanging="294"/>
      </w:pPr>
      <w:rPr>
        <w:rFonts w:hint="default"/>
      </w:rPr>
    </w:lvl>
    <w:lvl w:ilvl="8" w:tplc="DE7E3980">
      <w:start w:val="1"/>
      <w:numFmt w:val="bullet"/>
      <w:lvlText w:val="•"/>
      <w:lvlJc w:val="left"/>
      <w:pPr>
        <w:ind w:left="9129" w:hanging="294"/>
      </w:pPr>
      <w:rPr>
        <w:rFonts w:hint="default"/>
      </w:rPr>
    </w:lvl>
  </w:abstractNum>
  <w:num w:numId="1">
    <w:abstractNumId w:val="1"/>
  </w:num>
  <w:num w:numId="2">
    <w:abstractNumId w:val="32"/>
  </w:num>
  <w:num w:numId="3">
    <w:abstractNumId w:val="127"/>
  </w:num>
  <w:num w:numId="4">
    <w:abstractNumId w:val="7"/>
  </w:num>
  <w:num w:numId="5">
    <w:abstractNumId w:val="69"/>
  </w:num>
  <w:num w:numId="6">
    <w:abstractNumId w:val="81"/>
  </w:num>
  <w:num w:numId="7">
    <w:abstractNumId w:val="88"/>
  </w:num>
  <w:num w:numId="8">
    <w:abstractNumId w:val="89"/>
  </w:num>
  <w:num w:numId="9">
    <w:abstractNumId w:val="99"/>
  </w:num>
  <w:num w:numId="10">
    <w:abstractNumId w:val="68"/>
  </w:num>
  <w:num w:numId="11">
    <w:abstractNumId w:val="17"/>
  </w:num>
  <w:num w:numId="12">
    <w:abstractNumId w:val="97"/>
  </w:num>
  <w:num w:numId="13">
    <w:abstractNumId w:val="43"/>
  </w:num>
  <w:num w:numId="14">
    <w:abstractNumId w:val="62"/>
  </w:num>
  <w:num w:numId="15">
    <w:abstractNumId w:val="124"/>
  </w:num>
  <w:num w:numId="16">
    <w:abstractNumId w:val="139"/>
  </w:num>
  <w:num w:numId="17">
    <w:abstractNumId w:val="65"/>
  </w:num>
  <w:num w:numId="18">
    <w:abstractNumId w:val="63"/>
  </w:num>
  <w:num w:numId="19">
    <w:abstractNumId w:val="66"/>
  </w:num>
  <w:num w:numId="20">
    <w:abstractNumId w:val="101"/>
  </w:num>
  <w:num w:numId="21">
    <w:abstractNumId w:val="58"/>
  </w:num>
  <w:num w:numId="22">
    <w:abstractNumId w:val="120"/>
  </w:num>
  <w:num w:numId="23">
    <w:abstractNumId w:val="42"/>
  </w:num>
  <w:num w:numId="24">
    <w:abstractNumId w:val="54"/>
  </w:num>
  <w:num w:numId="25">
    <w:abstractNumId w:val="106"/>
  </w:num>
  <w:num w:numId="26">
    <w:abstractNumId w:val="10"/>
  </w:num>
  <w:num w:numId="27">
    <w:abstractNumId w:val="5"/>
  </w:num>
  <w:num w:numId="28">
    <w:abstractNumId w:val="24"/>
  </w:num>
  <w:num w:numId="29">
    <w:abstractNumId w:val="51"/>
  </w:num>
  <w:num w:numId="30">
    <w:abstractNumId w:val="134"/>
  </w:num>
  <w:num w:numId="31">
    <w:abstractNumId w:val="34"/>
  </w:num>
  <w:num w:numId="32">
    <w:abstractNumId w:val="78"/>
  </w:num>
  <w:num w:numId="33">
    <w:abstractNumId w:val="115"/>
  </w:num>
  <w:num w:numId="34">
    <w:abstractNumId w:val="2"/>
  </w:num>
  <w:num w:numId="35">
    <w:abstractNumId w:val="29"/>
  </w:num>
  <w:num w:numId="36">
    <w:abstractNumId w:val="79"/>
  </w:num>
  <w:num w:numId="37">
    <w:abstractNumId w:val="47"/>
  </w:num>
  <w:num w:numId="38">
    <w:abstractNumId w:val="48"/>
  </w:num>
  <w:num w:numId="39">
    <w:abstractNumId w:val="37"/>
  </w:num>
  <w:num w:numId="40">
    <w:abstractNumId w:val="130"/>
  </w:num>
  <w:num w:numId="41">
    <w:abstractNumId w:val="59"/>
  </w:num>
  <w:num w:numId="42">
    <w:abstractNumId w:val="50"/>
  </w:num>
  <w:num w:numId="43">
    <w:abstractNumId w:val="86"/>
  </w:num>
  <w:num w:numId="44">
    <w:abstractNumId w:val="35"/>
  </w:num>
  <w:num w:numId="45">
    <w:abstractNumId w:val="105"/>
  </w:num>
  <w:num w:numId="46">
    <w:abstractNumId w:val="74"/>
  </w:num>
  <w:num w:numId="47">
    <w:abstractNumId w:val="113"/>
  </w:num>
  <w:num w:numId="48">
    <w:abstractNumId w:val="38"/>
  </w:num>
  <w:num w:numId="49">
    <w:abstractNumId w:val="61"/>
  </w:num>
  <w:num w:numId="50">
    <w:abstractNumId w:val="77"/>
  </w:num>
  <w:num w:numId="51">
    <w:abstractNumId w:val="12"/>
  </w:num>
  <w:num w:numId="52">
    <w:abstractNumId w:val="20"/>
  </w:num>
  <w:num w:numId="53">
    <w:abstractNumId w:val="19"/>
  </w:num>
  <w:num w:numId="54">
    <w:abstractNumId w:val="28"/>
  </w:num>
  <w:num w:numId="55">
    <w:abstractNumId w:val="92"/>
  </w:num>
  <w:num w:numId="56">
    <w:abstractNumId w:val="98"/>
  </w:num>
  <w:num w:numId="57">
    <w:abstractNumId w:val="125"/>
  </w:num>
  <w:num w:numId="58">
    <w:abstractNumId w:val="87"/>
  </w:num>
  <w:num w:numId="59">
    <w:abstractNumId w:val="40"/>
  </w:num>
  <w:num w:numId="60">
    <w:abstractNumId w:val="71"/>
  </w:num>
  <w:num w:numId="61">
    <w:abstractNumId w:val="103"/>
  </w:num>
  <w:num w:numId="62">
    <w:abstractNumId w:val="133"/>
  </w:num>
  <w:num w:numId="63">
    <w:abstractNumId w:val="39"/>
  </w:num>
  <w:num w:numId="64">
    <w:abstractNumId w:val="27"/>
  </w:num>
  <w:num w:numId="65">
    <w:abstractNumId w:val="136"/>
  </w:num>
  <w:num w:numId="66">
    <w:abstractNumId w:val="94"/>
  </w:num>
  <w:num w:numId="67">
    <w:abstractNumId w:val="84"/>
  </w:num>
  <w:num w:numId="68">
    <w:abstractNumId w:val="31"/>
  </w:num>
  <w:num w:numId="69">
    <w:abstractNumId w:val="46"/>
  </w:num>
  <w:num w:numId="70">
    <w:abstractNumId w:val="112"/>
  </w:num>
  <w:num w:numId="71">
    <w:abstractNumId w:val="36"/>
  </w:num>
  <w:num w:numId="72">
    <w:abstractNumId w:val="44"/>
  </w:num>
  <w:num w:numId="73">
    <w:abstractNumId w:val="21"/>
  </w:num>
  <w:num w:numId="74">
    <w:abstractNumId w:val="75"/>
  </w:num>
  <w:num w:numId="75">
    <w:abstractNumId w:val="90"/>
  </w:num>
  <w:num w:numId="76">
    <w:abstractNumId w:val="82"/>
  </w:num>
  <w:num w:numId="77">
    <w:abstractNumId w:val="16"/>
  </w:num>
  <w:num w:numId="78">
    <w:abstractNumId w:val="57"/>
  </w:num>
  <w:num w:numId="79">
    <w:abstractNumId w:val="111"/>
  </w:num>
  <w:num w:numId="80">
    <w:abstractNumId w:val="118"/>
  </w:num>
  <w:num w:numId="81">
    <w:abstractNumId w:val="45"/>
  </w:num>
  <w:num w:numId="82">
    <w:abstractNumId w:val="102"/>
  </w:num>
  <w:num w:numId="83">
    <w:abstractNumId w:val="76"/>
  </w:num>
  <w:num w:numId="84">
    <w:abstractNumId w:val="8"/>
  </w:num>
  <w:num w:numId="85">
    <w:abstractNumId w:val="114"/>
  </w:num>
  <w:num w:numId="86">
    <w:abstractNumId w:val="110"/>
  </w:num>
  <w:num w:numId="87">
    <w:abstractNumId w:val="104"/>
  </w:num>
  <w:num w:numId="88">
    <w:abstractNumId w:val="13"/>
  </w:num>
  <w:num w:numId="89">
    <w:abstractNumId w:val="132"/>
  </w:num>
  <w:num w:numId="90">
    <w:abstractNumId w:val="126"/>
  </w:num>
  <w:num w:numId="91">
    <w:abstractNumId w:val="33"/>
  </w:num>
  <w:num w:numId="92">
    <w:abstractNumId w:val="26"/>
  </w:num>
  <w:num w:numId="93">
    <w:abstractNumId w:val="96"/>
  </w:num>
  <w:num w:numId="94">
    <w:abstractNumId w:val="93"/>
  </w:num>
  <w:num w:numId="95">
    <w:abstractNumId w:val="109"/>
  </w:num>
  <w:num w:numId="96">
    <w:abstractNumId w:val="56"/>
  </w:num>
  <w:num w:numId="97">
    <w:abstractNumId w:val="60"/>
  </w:num>
  <w:num w:numId="98">
    <w:abstractNumId w:val="67"/>
  </w:num>
  <w:num w:numId="99">
    <w:abstractNumId w:val="41"/>
  </w:num>
  <w:num w:numId="100">
    <w:abstractNumId w:val="80"/>
  </w:num>
  <w:num w:numId="101">
    <w:abstractNumId w:val="70"/>
  </w:num>
  <w:num w:numId="102">
    <w:abstractNumId w:val="30"/>
  </w:num>
  <w:num w:numId="103">
    <w:abstractNumId w:val="85"/>
  </w:num>
  <w:num w:numId="104">
    <w:abstractNumId w:val="15"/>
  </w:num>
  <w:num w:numId="105">
    <w:abstractNumId w:val="129"/>
  </w:num>
  <w:num w:numId="106">
    <w:abstractNumId w:val="64"/>
  </w:num>
  <w:num w:numId="107">
    <w:abstractNumId w:val="128"/>
  </w:num>
  <w:num w:numId="108">
    <w:abstractNumId w:val="49"/>
  </w:num>
  <w:num w:numId="109">
    <w:abstractNumId w:val="135"/>
  </w:num>
  <w:num w:numId="110">
    <w:abstractNumId w:val="107"/>
  </w:num>
  <w:num w:numId="111">
    <w:abstractNumId w:val="25"/>
  </w:num>
  <w:num w:numId="112">
    <w:abstractNumId w:val="140"/>
  </w:num>
  <w:num w:numId="113">
    <w:abstractNumId w:val="22"/>
  </w:num>
  <w:num w:numId="114">
    <w:abstractNumId w:val="52"/>
  </w:num>
  <w:num w:numId="115">
    <w:abstractNumId w:val="9"/>
  </w:num>
  <w:num w:numId="116">
    <w:abstractNumId w:val="123"/>
  </w:num>
  <w:num w:numId="117">
    <w:abstractNumId w:val="83"/>
  </w:num>
  <w:num w:numId="118">
    <w:abstractNumId w:val="73"/>
  </w:num>
  <w:num w:numId="119">
    <w:abstractNumId w:val="0"/>
  </w:num>
  <w:num w:numId="120">
    <w:abstractNumId w:val="4"/>
  </w:num>
  <w:num w:numId="121">
    <w:abstractNumId w:val="100"/>
  </w:num>
  <w:num w:numId="122">
    <w:abstractNumId w:val="117"/>
  </w:num>
  <w:num w:numId="123">
    <w:abstractNumId w:val="119"/>
  </w:num>
  <w:num w:numId="124">
    <w:abstractNumId w:val="108"/>
  </w:num>
  <w:num w:numId="125">
    <w:abstractNumId w:val="116"/>
  </w:num>
  <w:num w:numId="126">
    <w:abstractNumId w:val="137"/>
  </w:num>
  <w:num w:numId="127">
    <w:abstractNumId w:val="55"/>
  </w:num>
  <w:num w:numId="128">
    <w:abstractNumId w:val="3"/>
  </w:num>
  <w:num w:numId="129">
    <w:abstractNumId w:val="138"/>
  </w:num>
  <w:num w:numId="130">
    <w:abstractNumId w:val="53"/>
  </w:num>
  <w:num w:numId="131">
    <w:abstractNumId w:val="23"/>
  </w:num>
  <w:num w:numId="132">
    <w:abstractNumId w:val="11"/>
  </w:num>
  <w:num w:numId="133">
    <w:abstractNumId w:val="95"/>
  </w:num>
  <w:num w:numId="134">
    <w:abstractNumId w:val="18"/>
  </w:num>
  <w:num w:numId="135">
    <w:abstractNumId w:val="131"/>
  </w:num>
  <w:num w:numId="136">
    <w:abstractNumId w:val="91"/>
  </w:num>
  <w:num w:numId="137">
    <w:abstractNumId w:val="122"/>
  </w:num>
  <w:num w:numId="138">
    <w:abstractNumId w:val="6"/>
  </w:num>
  <w:num w:numId="139">
    <w:abstractNumId w:val="121"/>
  </w:num>
  <w:num w:numId="140">
    <w:abstractNumId w:val="14"/>
  </w:num>
  <w:num w:numId="141">
    <w:abstractNumId w:val="72"/>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FEC"/>
    <w:rsid w:val="000017F1"/>
    <w:rsid w:val="0000682C"/>
    <w:rsid w:val="000220CE"/>
    <w:rsid w:val="00027D9B"/>
    <w:rsid w:val="0006414A"/>
    <w:rsid w:val="000652D6"/>
    <w:rsid w:val="0006739A"/>
    <w:rsid w:val="00073FEC"/>
    <w:rsid w:val="00091195"/>
    <w:rsid w:val="00091CA7"/>
    <w:rsid w:val="000A0865"/>
    <w:rsid w:val="000A143A"/>
    <w:rsid w:val="000A706B"/>
    <w:rsid w:val="000C5FD1"/>
    <w:rsid w:val="000D4C0B"/>
    <w:rsid w:val="000E498E"/>
    <w:rsid w:val="00106B7A"/>
    <w:rsid w:val="00111A7B"/>
    <w:rsid w:val="00122CCC"/>
    <w:rsid w:val="001270D7"/>
    <w:rsid w:val="00147672"/>
    <w:rsid w:val="00154156"/>
    <w:rsid w:val="00194E48"/>
    <w:rsid w:val="001B0687"/>
    <w:rsid w:val="001B3ECD"/>
    <w:rsid w:val="001B5996"/>
    <w:rsid w:val="001C544B"/>
    <w:rsid w:val="001D4DB1"/>
    <w:rsid w:val="001E139B"/>
    <w:rsid w:val="001E2EA1"/>
    <w:rsid w:val="001F5CF9"/>
    <w:rsid w:val="0021579A"/>
    <w:rsid w:val="00220955"/>
    <w:rsid w:val="00246EA1"/>
    <w:rsid w:val="00251A15"/>
    <w:rsid w:val="0025677E"/>
    <w:rsid w:val="002771CC"/>
    <w:rsid w:val="00282E8B"/>
    <w:rsid w:val="002879C0"/>
    <w:rsid w:val="002D7A1C"/>
    <w:rsid w:val="002E0202"/>
    <w:rsid w:val="00311997"/>
    <w:rsid w:val="003310CB"/>
    <w:rsid w:val="00345AF2"/>
    <w:rsid w:val="003473E9"/>
    <w:rsid w:val="00372B0D"/>
    <w:rsid w:val="00374367"/>
    <w:rsid w:val="003A54F7"/>
    <w:rsid w:val="003B17E6"/>
    <w:rsid w:val="003D6F24"/>
    <w:rsid w:val="003D7E05"/>
    <w:rsid w:val="003E4CAF"/>
    <w:rsid w:val="003E5E5B"/>
    <w:rsid w:val="003F673B"/>
    <w:rsid w:val="003F6F5C"/>
    <w:rsid w:val="003F7DE8"/>
    <w:rsid w:val="00407C0E"/>
    <w:rsid w:val="004120C1"/>
    <w:rsid w:val="00451ADF"/>
    <w:rsid w:val="00455C2F"/>
    <w:rsid w:val="0046147C"/>
    <w:rsid w:val="00480E89"/>
    <w:rsid w:val="004A267D"/>
    <w:rsid w:val="004B4DC8"/>
    <w:rsid w:val="004D7F98"/>
    <w:rsid w:val="00506AA9"/>
    <w:rsid w:val="005168BD"/>
    <w:rsid w:val="00516AB5"/>
    <w:rsid w:val="00523A0A"/>
    <w:rsid w:val="005303DD"/>
    <w:rsid w:val="00535B40"/>
    <w:rsid w:val="00536492"/>
    <w:rsid w:val="00565513"/>
    <w:rsid w:val="00574606"/>
    <w:rsid w:val="0057710B"/>
    <w:rsid w:val="00577337"/>
    <w:rsid w:val="00593350"/>
    <w:rsid w:val="005A191D"/>
    <w:rsid w:val="005A67A8"/>
    <w:rsid w:val="005A7579"/>
    <w:rsid w:val="005E1429"/>
    <w:rsid w:val="005F424C"/>
    <w:rsid w:val="005F64D6"/>
    <w:rsid w:val="006013BA"/>
    <w:rsid w:val="006069A6"/>
    <w:rsid w:val="0062218A"/>
    <w:rsid w:val="006608FF"/>
    <w:rsid w:val="00681853"/>
    <w:rsid w:val="006A7AD4"/>
    <w:rsid w:val="006B5E51"/>
    <w:rsid w:val="006D580D"/>
    <w:rsid w:val="006E42D8"/>
    <w:rsid w:val="006F4F9B"/>
    <w:rsid w:val="006F616C"/>
    <w:rsid w:val="00703F03"/>
    <w:rsid w:val="00752AB7"/>
    <w:rsid w:val="00764274"/>
    <w:rsid w:val="007753C4"/>
    <w:rsid w:val="00793609"/>
    <w:rsid w:val="00794CD4"/>
    <w:rsid w:val="007A3F57"/>
    <w:rsid w:val="007B2FAF"/>
    <w:rsid w:val="007C140F"/>
    <w:rsid w:val="00826349"/>
    <w:rsid w:val="00853CC5"/>
    <w:rsid w:val="00865E2A"/>
    <w:rsid w:val="008862BF"/>
    <w:rsid w:val="008C1D66"/>
    <w:rsid w:val="008D3039"/>
    <w:rsid w:val="008D5F2F"/>
    <w:rsid w:val="008E1226"/>
    <w:rsid w:val="008F11FC"/>
    <w:rsid w:val="008F2A74"/>
    <w:rsid w:val="008F33D8"/>
    <w:rsid w:val="008F7036"/>
    <w:rsid w:val="00902321"/>
    <w:rsid w:val="00961A14"/>
    <w:rsid w:val="009804C1"/>
    <w:rsid w:val="009B71FA"/>
    <w:rsid w:val="00A17C13"/>
    <w:rsid w:val="00A27EA6"/>
    <w:rsid w:val="00A35742"/>
    <w:rsid w:val="00A864D1"/>
    <w:rsid w:val="00A91AD9"/>
    <w:rsid w:val="00AA1194"/>
    <w:rsid w:val="00AA2FE3"/>
    <w:rsid w:val="00AB5F24"/>
    <w:rsid w:val="00AF685A"/>
    <w:rsid w:val="00B244CD"/>
    <w:rsid w:val="00B56A78"/>
    <w:rsid w:val="00B669C0"/>
    <w:rsid w:val="00B809FA"/>
    <w:rsid w:val="00BC2CD1"/>
    <w:rsid w:val="00BF5106"/>
    <w:rsid w:val="00C02C02"/>
    <w:rsid w:val="00C34C45"/>
    <w:rsid w:val="00C36592"/>
    <w:rsid w:val="00C5605C"/>
    <w:rsid w:val="00C65F65"/>
    <w:rsid w:val="00C663F0"/>
    <w:rsid w:val="00C978A9"/>
    <w:rsid w:val="00CA7911"/>
    <w:rsid w:val="00CD478D"/>
    <w:rsid w:val="00D06750"/>
    <w:rsid w:val="00D10B33"/>
    <w:rsid w:val="00D11C91"/>
    <w:rsid w:val="00D12FAB"/>
    <w:rsid w:val="00D2398A"/>
    <w:rsid w:val="00D326C6"/>
    <w:rsid w:val="00D60523"/>
    <w:rsid w:val="00D82FF7"/>
    <w:rsid w:val="00D86920"/>
    <w:rsid w:val="00DD0CA3"/>
    <w:rsid w:val="00DE437D"/>
    <w:rsid w:val="00E0064A"/>
    <w:rsid w:val="00E0093A"/>
    <w:rsid w:val="00E129C2"/>
    <w:rsid w:val="00E20FB9"/>
    <w:rsid w:val="00E65317"/>
    <w:rsid w:val="00EA118C"/>
    <w:rsid w:val="00EA4D3E"/>
    <w:rsid w:val="00EA6A81"/>
    <w:rsid w:val="00EC08AA"/>
    <w:rsid w:val="00EC4008"/>
    <w:rsid w:val="00EE6A0A"/>
    <w:rsid w:val="00F12820"/>
    <w:rsid w:val="00F12D95"/>
    <w:rsid w:val="00F13572"/>
    <w:rsid w:val="00F22F29"/>
    <w:rsid w:val="00F3294B"/>
    <w:rsid w:val="00F454B7"/>
    <w:rsid w:val="00F50295"/>
    <w:rsid w:val="00F519D5"/>
    <w:rsid w:val="00FB19E2"/>
    <w:rsid w:val="00FC43C0"/>
    <w:rsid w:val="00FE6D82"/>
    <w:rsid w:val="00FF05B1"/>
    <w:rsid w:val="00FF6F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81CAB-A439-4866-9C20-BEFF3CC2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73FEC"/>
    <w:pPr>
      <w:widowControl w:val="0"/>
      <w:spacing w:after="0" w:line="240" w:lineRule="auto"/>
    </w:pPr>
  </w:style>
  <w:style w:type="paragraph" w:styleId="Heading1">
    <w:name w:val="heading 1"/>
    <w:basedOn w:val="Normal"/>
    <w:link w:val="Heading1Char"/>
    <w:uiPriority w:val="1"/>
    <w:qFormat/>
    <w:rsid w:val="0006739A"/>
    <w:pPr>
      <w:jc w:val="both"/>
      <w:outlineLvl w:val="0"/>
    </w:pPr>
    <w:rPr>
      <w:rFonts w:ascii="Times New Roman" w:eastAsia="Arial" w:hAnsi="Times New Roman"/>
      <w:b/>
      <w:bCs/>
      <w:sz w:val="32"/>
      <w:szCs w:val="36"/>
    </w:rPr>
  </w:style>
  <w:style w:type="paragraph" w:styleId="Heading2">
    <w:name w:val="heading 2"/>
    <w:basedOn w:val="Normal"/>
    <w:link w:val="Heading2Char"/>
    <w:uiPriority w:val="1"/>
    <w:qFormat/>
    <w:rsid w:val="0006739A"/>
    <w:pPr>
      <w:outlineLvl w:val="1"/>
    </w:pPr>
    <w:rPr>
      <w:rFonts w:ascii="Times New Roman" w:eastAsia="Arial" w:hAnsi="Times New Roman"/>
      <w:b/>
      <w:bCs/>
      <w:sz w:val="28"/>
      <w:szCs w:val="32"/>
    </w:rPr>
  </w:style>
  <w:style w:type="paragraph" w:styleId="Heading3">
    <w:name w:val="heading 3"/>
    <w:basedOn w:val="Normal"/>
    <w:link w:val="Heading3Char"/>
    <w:uiPriority w:val="1"/>
    <w:qFormat/>
    <w:rsid w:val="00073FEC"/>
    <w:pPr>
      <w:ind w:left="20"/>
      <w:outlineLvl w:val="2"/>
    </w:pPr>
    <w:rPr>
      <w:rFonts w:ascii="Calibri" w:eastAsia="Calibri" w:hAnsi="Calibri"/>
      <w:b/>
      <w:bCs/>
      <w:sz w:val="28"/>
      <w:szCs w:val="28"/>
    </w:rPr>
  </w:style>
  <w:style w:type="paragraph" w:styleId="Heading4">
    <w:name w:val="heading 4"/>
    <w:basedOn w:val="Normal"/>
    <w:link w:val="Heading4Char"/>
    <w:uiPriority w:val="1"/>
    <w:qFormat/>
    <w:rsid w:val="00073FEC"/>
    <w:pPr>
      <w:ind w:left="1451" w:hanging="709"/>
      <w:outlineLvl w:val="3"/>
    </w:pPr>
    <w:rPr>
      <w:rFonts w:ascii="Arial" w:eastAsia="Arial" w:hAnsi="Arial"/>
      <w:b/>
      <w:bCs/>
      <w:sz w:val="24"/>
      <w:szCs w:val="24"/>
      <w:u w:val="single"/>
    </w:rPr>
  </w:style>
  <w:style w:type="paragraph" w:styleId="Heading5">
    <w:name w:val="heading 5"/>
    <w:basedOn w:val="Normal"/>
    <w:link w:val="Heading5Char"/>
    <w:uiPriority w:val="1"/>
    <w:qFormat/>
    <w:rsid w:val="00073FEC"/>
    <w:pPr>
      <w:outlineLvl w:val="4"/>
    </w:pPr>
    <w:rPr>
      <w:rFonts w:ascii="Arial" w:eastAsia="Arial" w:hAnsi="Arial"/>
      <w:sz w:val="24"/>
      <w:szCs w:val="24"/>
    </w:rPr>
  </w:style>
  <w:style w:type="paragraph" w:styleId="Heading6">
    <w:name w:val="heading 6"/>
    <w:basedOn w:val="Normal"/>
    <w:link w:val="Heading6Char"/>
    <w:uiPriority w:val="1"/>
    <w:qFormat/>
    <w:rsid w:val="00073FEC"/>
    <w:pPr>
      <w:outlineLvl w:val="5"/>
    </w:pPr>
    <w:rPr>
      <w:rFonts w:ascii="Arial" w:eastAsia="Arial" w:hAnsi="Arial"/>
      <w:b/>
      <w:bCs/>
    </w:rPr>
  </w:style>
  <w:style w:type="paragraph" w:styleId="Heading7">
    <w:name w:val="heading 7"/>
    <w:basedOn w:val="Normal"/>
    <w:link w:val="Heading7Char"/>
    <w:uiPriority w:val="1"/>
    <w:qFormat/>
    <w:rsid w:val="00073FEC"/>
    <w:pPr>
      <w:spacing w:before="180"/>
      <w:ind w:left="881"/>
      <w:outlineLvl w:val="6"/>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6739A"/>
    <w:rPr>
      <w:rFonts w:ascii="Times New Roman" w:eastAsia="Arial" w:hAnsi="Times New Roman"/>
      <w:b/>
      <w:bCs/>
      <w:sz w:val="32"/>
      <w:szCs w:val="36"/>
    </w:rPr>
  </w:style>
  <w:style w:type="character" w:customStyle="1" w:styleId="Heading2Char">
    <w:name w:val="Heading 2 Char"/>
    <w:basedOn w:val="DefaultParagraphFont"/>
    <w:link w:val="Heading2"/>
    <w:uiPriority w:val="1"/>
    <w:rsid w:val="0006739A"/>
    <w:rPr>
      <w:rFonts w:ascii="Times New Roman" w:eastAsia="Arial" w:hAnsi="Times New Roman"/>
      <w:b/>
      <w:bCs/>
      <w:sz w:val="28"/>
      <w:szCs w:val="32"/>
    </w:rPr>
  </w:style>
  <w:style w:type="character" w:customStyle="1" w:styleId="Heading3Char">
    <w:name w:val="Heading 3 Char"/>
    <w:basedOn w:val="DefaultParagraphFont"/>
    <w:link w:val="Heading3"/>
    <w:uiPriority w:val="1"/>
    <w:rsid w:val="00073FEC"/>
    <w:rPr>
      <w:rFonts w:ascii="Calibri" w:eastAsia="Calibri" w:hAnsi="Calibri"/>
      <w:b/>
      <w:bCs/>
      <w:sz w:val="28"/>
      <w:szCs w:val="28"/>
      <w:lang w:val="lv-LV"/>
    </w:rPr>
  </w:style>
  <w:style w:type="character" w:customStyle="1" w:styleId="Heading4Char">
    <w:name w:val="Heading 4 Char"/>
    <w:basedOn w:val="DefaultParagraphFont"/>
    <w:link w:val="Heading4"/>
    <w:uiPriority w:val="1"/>
    <w:rsid w:val="00073FEC"/>
    <w:rPr>
      <w:rFonts w:ascii="Arial" w:eastAsia="Arial" w:hAnsi="Arial"/>
      <w:b/>
      <w:bCs/>
      <w:sz w:val="24"/>
      <w:szCs w:val="24"/>
      <w:u w:val="single"/>
      <w:lang w:val="lv-LV"/>
    </w:rPr>
  </w:style>
  <w:style w:type="character" w:customStyle="1" w:styleId="Heading5Char">
    <w:name w:val="Heading 5 Char"/>
    <w:basedOn w:val="DefaultParagraphFont"/>
    <w:link w:val="Heading5"/>
    <w:uiPriority w:val="1"/>
    <w:rsid w:val="00073FEC"/>
    <w:rPr>
      <w:rFonts w:ascii="Arial" w:eastAsia="Arial" w:hAnsi="Arial"/>
      <w:sz w:val="24"/>
      <w:szCs w:val="24"/>
      <w:lang w:val="lv-LV"/>
    </w:rPr>
  </w:style>
  <w:style w:type="character" w:customStyle="1" w:styleId="Heading6Char">
    <w:name w:val="Heading 6 Char"/>
    <w:basedOn w:val="DefaultParagraphFont"/>
    <w:link w:val="Heading6"/>
    <w:uiPriority w:val="1"/>
    <w:rsid w:val="00073FEC"/>
    <w:rPr>
      <w:rFonts w:ascii="Arial" w:eastAsia="Arial" w:hAnsi="Arial"/>
      <w:b/>
      <w:bCs/>
      <w:lang w:val="lv-LV"/>
    </w:rPr>
  </w:style>
  <w:style w:type="character" w:customStyle="1" w:styleId="Heading7Char">
    <w:name w:val="Heading 7 Char"/>
    <w:basedOn w:val="DefaultParagraphFont"/>
    <w:link w:val="Heading7"/>
    <w:uiPriority w:val="1"/>
    <w:rsid w:val="00073FEC"/>
    <w:rPr>
      <w:rFonts w:ascii="Arial" w:eastAsia="Arial" w:hAnsi="Arial"/>
      <w:b/>
      <w:bCs/>
      <w:i/>
      <w:lang w:val="lv-LV"/>
    </w:rPr>
  </w:style>
  <w:style w:type="paragraph" w:styleId="TOC1">
    <w:name w:val="toc 1"/>
    <w:basedOn w:val="Normal"/>
    <w:uiPriority w:val="39"/>
    <w:qFormat/>
    <w:rsid w:val="00073FEC"/>
    <w:pPr>
      <w:spacing w:before="122"/>
      <w:ind w:left="824"/>
    </w:pPr>
    <w:rPr>
      <w:rFonts w:ascii="Arial" w:eastAsia="Arial" w:hAnsi="Arial"/>
      <w:b/>
      <w:bCs/>
    </w:rPr>
  </w:style>
  <w:style w:type="paragraph" w:styleId="TOC2">
    <w:name w:val="toc 2"/>
    <w:basedOn w:val="Normal"/>
    <w:uiPriority w:val="39"/>
    <w:qFormat/>
    <w:rsid w:val="00073FEC"/>
    <w:pPr>
      <w:spacing w:before="120"/>
      <w:ind w:left="1904" w:hanging="860"/>
    </w:pPr>
    <w:rPr>
      <w:rFonts w:ascii="Arial" w:eastAsia="Arial" w:hAnsi="Arial"/>
      <w:sz w:val="20"/>
      <w:szCs w:val="20"/>
    </w:rPr>
  </w:style>
  <w:style w:type="paragraph" w:styleId="BodyText">
    <w:name w:val="Body Text"/>
    <w:basedOn w:val="Normal"/>
    <w:link w:val="BodyTextChar"/>
    <w:uiPriority w:val="1"/>
    <w:qFormat/>
    <w:rsid w:val="00073FEC"/>
    <w:pPr>
      <w:spacing w:before="60"/>
      <w:ind w:left="1241" w:hanging="360"/>
    </w:pPr>
    <w:rPr>
      <w:rFonts w:ascii="Arial" w:eastAsia="Arial" w:hAnsi="Arial"/>
    </w:rPr>
  </w:style>
  <w:style w:type="character" w:customStyle="1" w:styleId="BodyTextChar">
    <w:name w:val="Body Text Char"/>
    <w:basedOn w:val="DefaultParagraphFont"/>
    <w:link w:val="BodyText"/>
    <w:uiPriority w:val="1"/>
    <w:rsid w:val="00073FEC"/>
    <w:rPr>
      <w:rFonts w:ascii="Arial" w:eastAsia="Arial" w:hAnsi="Arial"/>
      <w:lang w:val="lv-LV"/>
    </w:rPr>
  </w:style>
  <w:style w:type="paragraph" w:styleId="ListParagraph">
    <w:name w:val="List Paragraph"/>
    <w:basedOn w:val="Normal"/>
    <w:uiPriority w:val="1"/>
    <w:qFormat/>
    <w:rsid w:val="00073FEC"/>
  </w:style>
  <w:style w:type="paragraph" w:customStyle="1" w:styleId="TableParagraph">
    <w:name w:val="Table Paragraph"/>
    <w:basedOn w:val="Normal"/>
    <w:uiPriority w:val="1"/>
    <w:qFormat/>
    <w:rsid w:val="00073FEC"/>
  </w:style>
  <w:style w:type="paragraph" w:styleId="Header">
    <w:name w:val="header"/>
    <w:basedOn w:val="Normal"/>
    <w:link w:val="HeaderChar"/>
    <w:unhideWhenUsed/>
    <w:rsid w:val="00073FEC"/>
    <w:pPr>
      <w:tabs>
        <w:tab w:val="center" w:pos="4153"/>
        <w:tab w:val="right" w:pos="8306"/>
      </w:tabs>
    </w:pPr>
  </w:style>
  <w:style w:type="character" w:customStyle="1" w:styleId="HeaderChar">
    <w:name w:val="Header Char"/>
    <w:basedOn w:val="DefaultParagraphFont"/>
    <w:link w:val="Header"/>
    <w:uiPriority w:val="99"/>
    <w:rsid w:val="00073FEC"/>
    <w:rPr>
      <w:lang w:val="lv-LV"/>
    </w:rPr>
  </w:style>
  <w:style w:type="paragraph" w:styleId="Footer">
    <w:name w:val="footer"/>
    <w:basedOn w:val="Normal"/>
    <w:link w:val="FooterChar"/>
    <w:unhideWhenUsed/>
    <w:rsid w:val="00073FEC"/>
    <w:pPr>
      <w:tabs>
        <w:tab w:val="center" w:pos="4153"/>
        <w:tab w:val="right" w:pos="8306"/>
      </w:tabs>
    </w:pPr>
  </w:style>
  <w:style w:type="character" w:customStyle="1" w:styleId="FooterChar">
    <w:name w:val="Footer Char"/>
    <w:basedOn w:val="DefaultParagraphFont"/>
    <w:link w:val="Footer"/>
    <w:uiPriority w:val="99"/>
    <w:rsid w:val="00073FEC"/>
    <w:rPr>
      <w:lang w:val="lv-LV"/>
    </w:rPr>
  </w:style>
  <w:style w:type="table" w:styleId="TableGrid">
    <w:name w:val="Table Grid"/>
    <w:basedOn w:val="TableNormal"/>
    <w:uiPriority w:val="39"/>
    <w:rsid w:val="00073FEC"/>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73FEC"/>
    <w:rPr>
      <w:sz w:val="20"/>
      <w:szCs w:val="20"/>
    </w:rPr>
  </w:style>
  <w:style w:type="character" w:customStyle="1" w:styleId="FootnoteTextChar">
    <w:name w:val="Footnote Text Char"/>
    <w:basedOn w:val="DefaultParagraphFont"/>
    <w:link w:val="FootnoteText"/>
    <w:uiPriority w:val="99"/>
    <w:semiHidden/>
    <w:rsid w:val="00073FEC"/>
    <w:rPr>
      <w:sz w:val="20"/>
      <w:szCs w:val="20"/>
      <w:lang w:val="lv-LV"/>
    </w:rPr>
  </w:style>
  <w:style w:type="character" w:styleId="FootnoteReference">
    <w:name w:val="footnote reference"/>
    <w:basedOn w:val="DefaultParagraphFont"/>
    <w:uiPriority w:val="99"/>
    <w:semiHidden/>
    <w:unhideWhenUsed/>
    <w:rsid w:val="00073FEC"/>
    <w:rPr>
      <w:vertAlign w:val="superscript"/>
    </w:rPr>
  </w:style>
  <w:style w:type="character" w:styleId="PlaceholderText">
    <w:name w:val="Placeholder Text"/>
    <w:basedOn w:val="DefaultParagraphFont"/>
    <w:uiPriority w:val="99"/>
    <w:semiHidden/>
    <w:rsid w:val="00506AA9"/>
    <w:rPr>
      <w:color w:val="808080"/>
    </w:rPr>
  </w:style>
  <w:style w:type="character" w:styleId="Hyperlink">
    <w:name w:val="Hyperlink"/>
    <w:basedOn w:val="DefaultParagraphFont"/>
    <w:uiPriority w:val="99"/>
    <w:unhideWhenUsed/>
    <w:rsid w:val="005A7579"/>
    <w:rPr>
      <w:color w:val="0563C1" w:themeColor="hyperlink"/>
      <w:u w:val="single"/>
    </w:rPr>
  </w:style>
  <w:style w:type="character" w:styleId="PageNumber">
    <w:name w:val="page number"/>
    <w:basedOn w:val="DefaultParagraphFont"/>
    <w:semiHidden/>
    <w:rsid w:val="00282E8B"/>
  </w:style>
  <w:style w:type="paragraph" w:styleId="TOCHeading">
    <w:name w:val="TOC Heading"/>
    <w:basedOn w:val="Heading1"/>
    <w:next w:val="Normal"/>
    <w:uiPriority w:val="39"/>
    <w:unhideWhenUsed/>
    <w:qFormat/>
    <w:rsid w:val="001F5CF9"/>
    <w:pPr>
      <w:keepNext/>
      <w:keepLines/>
      <w:widowControl/>
      <w:spacing w:before="240" w:line="259" w:lineRule="auto"/>
      <w:jc w:val="left"/>
      <w:outlineLvl w:val="9"/>
    </w:pPr>
    <w:rPr>
      <w:rFonts w:asciiTheme="majorHAnsi" w:eastAsiaTheme="majorEastAsia" w:hAnsiTheme="majorHAnsi" w:cstheme="majorBidi"/>
      <w:b w:val="0"/>
      <w:bCs w:val="0"/>
      <w:color w:val="2E74B5" w:themeColor="accent1" w:themeShade="BF"/>
      <w:szCs w:val="32"/>
      <w:lang w:val="en-US" w:eastAsia="en-US" w:bidi="ar-SA"/>
    </w:rPr>
  </w:style>
  <w:style w:type="paragraph" w:styleId="TOC3">
    <w:name w:val="toc 3"/>
    <w:basedOn w:val="Normal"/>
    <w:next w:val="Normal"/>
    <w:autoRedefine/>
    <w:uiPriority w:val="39"/>
    <w:unhideWhenUsed/>
    <w:rsid w:val="001F5CF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emf"/><Relationship Id="rId21" Type="http://schemas.openxmlformats.org/officeDocument/2006/relationships/image" Target="media/image13.emf"/><Relationship Id="rId42" Type="http://schemas.openxmlformats.org/officeDocument/2006/relationships/image" Target="media/image34.emf"/><Relationship Id="rId63" Type="http://schemas.openxmlformats.org/officeDocument/2006/relationships/footer" Target="footer3.xml"/><Relationship Id="rId84" Type="http://schemas.openxmlformats.org/officeDocument/2006/relationships/image" Target="media/image69.emf"/><Relationship Id="rId138" Type="http://schemas.openxmlformats.org/officeDocument/2006/relationships/image" Target="media/image123.emf"/><Relationship Id="rId159" Type="http://schemas.openxmlformats.org/officeDocument/2006/relationships/image" Target="media/image144.emf"/><Relationship Id="rId170" Type="http://schemas.openxmlformats.org/officeDocument/2006/relationships/image" Target="media/image155.emf"/><Relationship Id="rId191" Type="http://schemas.openxmlformats.org/officeDocument/2006/relationships/hyperlink" Target="http://europa.eu/europedirect/index_en.htm" TargetMode="External"/><Relationship Id="rId107" Type="http://schemas.openxmlformats.org/officeDocument/2006/relationships/image" Target="media/image92.emf"/><Relationship Id="rId11" Type="http://schemas.openxmlformats.org/officeDocument/2006/relationships/image" Target="media/image4.png"/><Relationship Id="rId32" Type="http://schemas.openxmlformats.org/officeDocument/2006/relationships/image" Target="media/image24.emf"/><Relationship Id="rId53" Type="http://schemas.openxmlformats.org/officeDocument/2006/relationships/image" Target="media/image45.emf"/><Relationship Id="rId74" Type="http://schemas.openxmlformats.org/officeDocument/2006/relationships/image" Target="media/image59.emf"/><Relationship Id="rId128" Type="http://schemas.openxmlformats.org/officeDocument/2006/relationships/image" Target="media/image113.emf"/><Relationship Id="rId149" Type="http://schemas.openxmlformats.org/officeDocument/2006/relationships/image" Target="media/image134.emf"/><Relationship Id="rId5" Type="http://schemas.openxmlformats.org/officeDocument/2006/relationships/webSettings" Target="webSettings.xml"/><Relationship Id="rId95" Type="http://schemas.openxmlformats.org/officeDocument/2006/relationships/image" Target="media/image80.emf"/><Relationship Id="rId160" Type="http://schemas.openxmlformats.org/officeDocument/2006/relationships/image" Target="media/image145.emf"/><Relationship Id="rId181" Type="http://schemas.openxmlformats.org/officeDocument/2006/relationships/image" Target="media/image166.emf"/><Relationship Id="rId22" Type="http://schemas.openxmlformats.org/officeDocument/2006/relationships/image" Target="media/image14.emf"/><Relationship Id="rId43" Type="http://schemas.openxmlformats.org/officeDocument/2006/relationships/image" Target="media/image35.emf"/><Relationship Id="rId64" Type="http://schemas.openxmlformats.org/officeDocument/2006/relationships/header" Target="header4.xml"/><Relationship Id="rId118" Type="http://schemas.openxmlformats.org/officeDocument/2006/relationships/image" Target="media/image103.emf"/><Relationship Id="rId139" Type="http://schemas.openxmlformats.org/officeDocument/2006/relationships/image" Target="media/image124.emf"/><Relationship Id="rId85" Type="http://schemas.openxmlformats.org/officeDocument/2006/relationships/image" Target="media/image70.emf"/><Relationship Id="rId150" Type="http://schemas.openxmlformats.org/officeDocument/2006/relationships/image" Target="media/image135.emf"/><Relationship Id="rId171" Type="http://schemas.openxmlformats.org/officeDocument/2006/relationships/image" Target="media/image156.emf"/><Relationship Id="rId192" Type="http://schemas.openxmlformats.org/officeDocument/2006/relationships/hyperlink" Target="http://europa.eu.int/citizensrights/signpost/about/index_en.htm" TargetMode="External"/><Relationship Id="rId12" Type="http://schemas.openxmlformats.org/officeDocument/2006/relationships/image" Target="media/image5.png"/><Relationship Id="rId33" Type="http://schemas.openxmlformats.org/officeDocument/2006/relationships/image" Target="media/image25.emf"/><Relationship Id="rId108" Type="http://schemas.openxmlformats.org/officeDocument/2006/relationships/image" Target="media/image93.emf"/><Relationship Id="rId129" Type="http://schemas.openxmlformats.org/officeDocument/2006/relationships/image" Target="media/image114.emf"/><Relationship Id="rId54" Type="http://schemas.openxmlformats.org/officeDocument/2006/relationships/image" Target="media/image46.emf"/><Relationship Id="rId75" Type="http://schemas.openxmlformats.org/officeDocument/2006/relationships/image" Target="media/image60.emf"/><Relationship Id="rId96" Type="http://schemas.openxmlformats.org/officeDocument/2006/relationships/image" Target="media/image81.emf"/><Relationship Id="rId140" Type="http://schemas.openxmlformats.org/officeDocument/2006/relationships/image" Target="media/image125.emf"/><Relationship Id="rId161" Type="http://schemas.openxmlformats.org/officeDocument/2006/relationships/image" Target="media/image146.emf"/><Relationship Id="rId182" Type="http://schemas.openxmlformats.org/officeDocument/2006/relationships/image" Target="media/image167.emf"/><Relationship Id="rId6" Type="http://schemas.openxmlformats.org/officeDocument/2006/relationships/footnotes" Target="footnotes.xml"/><Relationship Id="rId23" Type="http://schemas.openxmlformats.org/officeDocument/2006/relationships/image" Target="media/image15.emf"/><Relationship Id="rId119" Type="http://schemas.openxmlformats.org/officeDocument/2006/relationships/image" Target="media/image104.emf"/><Relationship Id="rId44" Type="http://schemas.openxmlformats.org/officeDocument/2006/relationships/image" Target="media/image36.emf"/><Relationship Id="rId65" Type="http://schemas.openxmlformats.org/officeDocument/2006/relationships/image" Target="media/image50.emf"/><Relationship Id="rId86" Type="http://schemas.openxmlformats.org/officeDocument/2006/relationships/image" Target="media/image71.emf"/><Relationship Id="rId130" Type="http://schemas.openxmlformats.org/officeDocument/2006/relationships/image" Target="media/image115.emf"/><Relationship Id="rId151" Type="http://schemas.openxmlformats.org/officeDocument/2006/relationships/image" Target="media/image136.emf"/><Relationship Id="rId172" Type="http://schemas.openxmlformats.org/officeDocument/2006/relationships/image" Target="media/image157.emf"/><Relationship Id="rId193" Type="http://schemas.openxmlformats.org/officeDocument/2006/relationships/hyperlink" Target="http://bookshop.europa.eu/" TargetMode="External"/><Relationship Id="rId13" Type="http://schemas.openxmlformats.org/officeDocument/2006/relationships/image" Target="media/image6.png"/><Relationship Id="rId109" Type="http://schemas.openxmlformats.org/officeDocument/2006/relationships/image" Target="media/image94.emf"/><Relationship Id="rId34" Type="http://schemas.openxmlformats.org/officeDocument/2006/relationships/image" Target="media/image26.emf"/><Relationship Id="rId55" Type="http://schemas.openxmlformats.org/officeDocument/2006/relationships/image" Target="media/image47.emf"/><Relationship Id="rId76" Type="http://schemas.openxmlformats.org/officeDocument/2006/relationships/image" Target="media/image61.emf"/><Relationship Id="rId97" Type="http://schemas.openxmlformats.org/officeDocument/2006/relationships/image" Target="media/image82.emf"/><Relationship Id="rId120" Type="http://schemas.openxmlformats.org/officeDocument/2006/relationships/image" Target="media/image105.emf"/><Relationship Id="rId141" Type="http://schemas.openxmlformats.org/officeDocument/2006/relationships/image" Target="media/image126.emf"/><Relationship Id="rId7" Type="http://schemas.openxmlformats.org/officeDocument/2006/relationships/endnotes" Target="endnotes.xml"/><Relationship Id="rId71" Type="http://schemas.openxmlformats.org/officeDocument/2006/relationships/image" Target="media/image56.emf"/><Relationship Id="rId92" Type="http://schemas.openxmlformats.org/officeDocument/2006/relationships/image" Target="media/image77.emf"/><Relationship Id="rId162" Type="http://schemas.openxmlformats.org/officeDocument/2006/relationships/image" Target="media/image147.emf"/><Relationship Id="rId183" Type="http://schemas.openxmlformats.org/officeDocument/2006/relationships/image" Target="media/image168.emf"/><Relationship Id="rId2" Type="http://schemas.openxmlformats.org/officeDocument/2006/relationships/numbering" Target="numbering.xml"/><Relationship Id="rId29" Type="http://schemas.openxmlformats.org/officeDocument/2006/relationships/image" Target="media/image21.emf"/><Relationship Id="rId24" Type="http://schemas.openxmlformats.org/officeDocument/2006/relationships/image" Target="media/image16.emf"/><Relationship Id="rId40" Type="http://schemas.openxmlformats.org/officeDocument/2006/relationships/image" Target="media/image32.emf"/><Relationship Id="rId45" Type="http://schemas.openxmlformats.org/officeDocument/2006/relationships/image" Target="media/image37.emf"/><Relationship Id="rId66" Type="http://schemas.openxmlformats.org/officeDocument/2006/relationships/image" Target="media/image51.emf"/><Relationship Id="rId87" Type="http://schemas.openxmlformats.org/officeDocument/2006/relationships/image" Target="media/image72.emf"/><Relationship Id="rId110" Type="http://schemas.openxmlformats.org/officeDocument/2006/relationships/image" Target="media/image95.emf"/><Relationship Id="rId115" Type="http://schemas.openxmlformats.org/officeDocument/2006/relationships/image" Target="media/image100.emf"/><Relationship Id="rId131" Type="http://schemas.openxmlformats.org/officeDocument/2006/relationships/image" Target="media/image116.emf"/><Relationship Id="rId136" Type="http://schemas.openxmlformats.org/officeDocument/2006/relationships/image" Target="media/image121.emf"/><Relationship Id="rId157" Type="http://schemas.openxmlformats.org/officeDocument/2006/relationships/image" Target="media/image142.emf"/><Relationship Id="rId178" Type="http://schemas.openxmlformats.org/officeDocument/2006/relationships/image" Target="media/image163.emf"/><Relationship Id="rId61" Type="http://schemas.openxmlformats.org/officeDocument/2006/relationships/image" Target="media/image49.emf"/><Relationship Id="rId82" Type="http://schemas.openxmlformats.org/officeDocument/2006/relationships/image" Target="media/image67.emf"/><Relationship Id="rId152" Type="http://schemas.openxmlformats.org/officeDocument/2006/relationships/image" Target="media/image137.emf"/><Relationship Id="rId173" Type="http://schemas.openxmlformats.org/officeDocument/2006/relationships/image" Target="media/image158.emf"/><Relationship Id="rId194" Type="http://schemas.openxmlformats.org/officeDocument/2006/relationships/hyperlink" Target="http://publications.europa.eu/others/agents/index_en.htm" TargetMode="External"/><Relationship Id="rId19" Type="http://schemas.openxmlformats.org/officeDocument/2006/relationships/image" Target="media/image11.emf"/><Relationship Id="rId14" Type="http://schemas.openxmlformats.org/officeDocument/2006/relationships/hyperlink" Target="http://europa.eu" TargetMode="External"/><Relationship Id="rId30" Type="http://schemas.openxmlformats.org/officeDocument/2006/relationships/image" Target="media/image22.emf"/><Relationship Id="rId35" Type="http://schemas.openxmlformats.org/officeDocument/2006/relationships/image" Target="media/image27.emf"/><Relationship Id="rId56" Type="http://schemas.openxmlformats.org/officeDocument/2006/relationships/image" Target="media/image48.emf"/><Relationship Id="rId77" Type="http://schemas.openxmlformats.org/officeDocument/2006/relationships/image" Target="media/image62.emf"/><Relationship Id="rId100" Type="http://schemas.openxmlformats.org/officeDocument/2006/relationships/image" Target="media/image85.emf"/><Relationship Id="rId105" Type="http://schemas.openxmlformats.org/officeDocument/2006/relationships/image" Target="media/image90.emf"/><Relationship Id="rId126" Type="http://schemas.openxmlformats.org/officeDocument/2006/relationships/image" Target="media/image111.emf"/><Relationship Id="rId147" Type="http://schemas.openxmlformats.org/officeDocument/2006/relationships/image" Target="media/image132.emf"/><Relationship Id="rId168" Type="http://schemas.openxmlformats.org/officeDocument/2006/relationships/image" Target="media/image153.emf"/><Relationship Id="rId8" Type="http://schemas.openxmlformats.org/officeDocument/2006/relationships/image" Target="media/image1.png"/><Relationship Id="rId51" Type="http://schemas.openxmlformats.org/officeDocument/2006/relationships/image" Target="media/image43.emf"/><Relationship Id="rId72" Type="http://schemas.openxmlformats.org/officeDocument/2006/relationships/image" Target="media/image57.emf"/><Relationship Id="rId93" Type="http://schemas.openxmlformats.org/officeDocument/2006/relationships/image" Target="media/image78.emf"/><Relationship Id="rId98" Type="http://schemas.openxmlformats.org/officeDocument/2006/relationships/image" Target="media/image83.emf"/><Relationship Id="rId121" Type="http://schemas.openxmlformats.org/officeDocument/2006/relationships/image" Target="media/image106.emf"/><Relationship Id="rId142" Type="http://schemas.openxmlformats.org/officeDocument/2006/relationships/image" Target="media/image127.emf"/><Relationship Id="rId163" Type="http://schemas.openxmlformats.org/officeDocument/2006/relationships/image" Target="media/image148.emf"/><Relationship Id="rId184" Type="http://schemas.openxmlformats.org/officeDocument/2006/relationships/image" Target="media/image169.emf"/><Relationship Id="rId189" Type="http://schemas.openxmlformats.org/officeDocument/2006/relationships/hyperlink" Target="http://ec.europa.eu/represent_en.htm" TargetMode="External"/><Relationship Id="rId3" Type="http://schemas.openxmlformats.org/officeDocument/2006/relationships/styles" Target="styles.xml"/><Relationship Id="rId25" Type="http://schemas.openxmlformats.org/officeDocument/2006/relationships/image" Target="media/image17.emf"/><Relationship Id="rId46" Type="http://schemas.openxmlformats.org/officeDocument/2006/relationships/image" Target="media/image38.emf"/><Relationship Id="rId67" Type="http://schemas.openxmlformats.org/officeDocument/2006/relationships/image" Target="media/image52.emf"/><Relationship Id="rId116" Type="http://schemas.openxmlformats.org/officeDocument/2006/relationships/image" Target="media/image101.emf"/><Relationship Id="rId137" Type="http://schemas.openxmlformats.org/officeDocument/2006/relationships/image" Target="media/image122.emf"/><Relationship Id="rId158" Type="http://schemas.openxmlformats.org/officeDocument/2006/relationships/image" Target="media/image143.emf"/><Relationship Id="rId20" Type="http://schemas.openxmlformats.org/officeDocument/2006/relationships/image" Target="media/image12.emf"/><Relationship Id="rId41" Type="http://schemas.openxmlformats.org/officeDocument/2006/relationships/image" Target="media/image33.emf"/><Relationship Id="rId62" Type="http://schemas.openxmlformats.org/officeDocument/2006/relationships/header" Target="header3.xml"/><Relationship Id="rId83" Type="http://schemas.openxmlformats.org/officeDocument/2006/relationships/image" Target="media/image68.emf"/><Relationship Id="rId88" Type="http://schemas.openxmlformats.org/officeDocument/2006/relationships/image" Target="media/image73.emf"/><Relationship Id="rId111" Type="http://schemas.openxmlformats.org/officeDocument/2006/relationships/image" Target="media/image96.emf"/><Relationship Id="rId132" Type="http://schemas.openxmlformats.org/officeDocument/2006/relationships/image" Target="media/image117.emf"/><Relationship Id="rId153" Type="http://schemas.openxmlformats.org/officeDocument/2006/relationships/image" Target="media/image138.emf"/><Relationship Id="rId174" Type="http://schemas.openxmlformats.org/officeDocument/2006/relationships/image" Target="media/image159.emf"/><Relationship Id="rId179" Type="http://schemas.openxmlformats.org/officeDocument/2006/relationships/image" Target="media/image164.emf"/><Relationship Id="rId195" Type="http://schemas.openxmlformats.org/officeDocument/2006/relationships/header" Target="header5.xml"/><Relationship Id="rId190" Type="http://schemas.openxmlformats.org/officeDocument/2006/relationships/hyperlink" Target="http://eeas.europa.eu/delegations/index_en.htm" TargetMode="External"/><Relationship Id="rId15" Type="http://schemas.openxmlformats.org/officeDocument/2006/relationships/image" Target="media/image7.emf"/><Relationship Id="rId36" Type="http://schemas.openxmlformats.org/officeDocument/2006/relationships/image" Target="media/image28.emf"/><Relationship Id="rId57" Type="http://schemas.openxmlformats.org/officeDocument/2006/relationships/header" Target="header1.xml"/><Relationship Id="rId106" Type="http://schemas.openxmlformats.org/officeDocument/2006/relationships/image" Target="media/image91.emf"/><Relationship Id="rId127" Type="http://schemas.openxmlformats.org/officeDocument/2006/relationships/image" Target="media/image112.emf"/><Relationship Id="rId10" Type="http://schemas.openxmlformats.org/officeDocument/2006/relationships/image" Target="media/image3.png"/><Relationship Id="rId31" Type="http://schemas.openxmlformats.org/officeDocument/2006/relationships/image" Target="media/image23.emf"/><Relationship Id="rId52" Type="http://schemas.openxmlformats.org/officeDocument/2006/relationships/image" Target="media/image44.emf"/><Relationship Id="rId73" Type="http://schemas.openxmlformats.org/officeDocument/2006/relationships/image" Target="media/image58.emf"/><Relationship Id="rId78" Type="http://schemas.openxmlformats.org/officeDocument/2006/relationships/image" Target="media/image63.emf"/><Relationship Id="rId94" Type="http://schemas.openxmlformats.org/officeDocument/2006/relationships/image" Target="media/image79.emf"/><Relationship Id="rId99" Type="http://schemas.openxmlformats.org/officeDocument/2006/relationships/image" Target="media/image84.emf"/><Relationship Id="rId101" Type="http://schemas.openxmlformats.org/officeDocument/2006/relationships/image" Target="media/image86.emf"/><Relationship Id="rId122" Type="http://schemas.openxmlformats.org/officeDocument/2006/relationships/image" Target="media/image107.emf"/><Relationship Id="rId143" Type="http://schemas.openxmlformats.org/officeDocument/2006/relationships/image" Target="media/image128.emf"/><Relationship Id="rId148" Type="http://schemas.openxmlformats.org/officeDocument/2006/relationships/image" Target="media/image133.emf"/><Relationship Id="rId164" Type="http://schemas.openxmlformats.org/officeDocument/2006/relationships/image" Target="media/image149.emf"/><Relationship Id="rId169" Type="http://schemas.openxmlformats.org/officeDocument/2006/relationships/image" Target="media/image154.emf"/><Relationship Id="rId185" Type="http://schemas.openxmlformats.org/officeDocument/2006/relationships/image" Target="media/image170.emf"/><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5.emf"/><Relationship Id="rId26" Type="http://schemas.openxmlformats.org/officeDocument/2006/relationships/image" Target="media/image18.emf"/><Relationship Id="rId47" Type="http://schemas.openxmlformats.org/officeDocument/2006/relationships/image" Target="media/image39.emf"/><Relationship Id="rId68" Type="http://schemas.openxmlformats.org/officeDocument/2006/relationships/image" Target="media/image53.emf"/><Relationship Id="rId89" Type="http://schemas.openxmlformats.org/officeDocument/2006/relationships/image" Target="media/image74.emf"/><Relationship Id="rId112" Type="http://schemas.openxmlformats.org/officeDocument/2006/relationships/image" Target="media/image97.emf"/><Relationship Id="rId133" Type="http://schemas.openxmlformats.org/officeDocument/2006/relationships/image" Target="media/image118.emf"/><Relationship Id="rId154" Type="http://schemas.openxmlformats.org/officeDocument/2006/relationships/image" Target="media/image139.emf"/><Relationship Id="rId175" Type="http://schemas.openxmlformats.org/officeDocument/2006/relationships/image" Target="media/image160.emf"/><Relationship Id="rId196" Type="http://schemas.openxmlformats.org/officeDocument/2006/relationships/footer" Target="footer4.xml"/><Relationship Id="rId16" Type="http://schemas.openxmlformats.org/officeDocument/2006/relationships/image" Target="media/image8.emf"/><Relationship Id="rId37" Type="http://schemas.openxmlformats.org/officeDocument/2006/relationships/image" Target="media/image29.emf"/><Relationship Id="rId58" Type="http://schemas.openxmlformats.org/officeDocument/2006/relationships/footer" Target="footer1.xml"/><Relationship Id="rId79" Type="http://schemas.openxmlformats.org/officeDocument/2006/relationships/image" Target="media/image64.emf"/><Relationship Id="rId102" Type="http://schemas.openxmlformats.org/officeDocument/2006/relationships/image" Target="media/image87.emf"/><Relationship Id="rId123" Type="http://schemas.openxmlformats.org/officeDocument/2006/relationships/image" Target="media/image108.emf"/><Relationship Id="rId144" Type="http://schemas.openxmlformats.org/officeDocument/2006/relationships/image" Target="media/image129.emf"/><Relationship Id="rId90" Type="http://schemas.openxmlformats.org/officeDocument/2006/relationships/image" Target="media/image75.emf"/><Relationship Id="rId165" Type="http://schemas.openxmlformats.org/officeDocument/2006/relationships/image" Target="media/image150.emf"/><Relationship Id="rId186" Type="http://schemas.openxmlformats.org/officeDocument/2006/relationships/image" Target="media/image171.emf"/><Relationship Id="rId27" Type="http://schemas.openxmlformats.org/officeDocument/2006/relationships/image" Target="media/image19.emf"/><Relationship Id="rId48" Type="http://schemas.openxmlformats.org/officeDocument/2006/relationships/image" Target="media/image40.emf"/><Relationship Id="rId69" Type="http://schemas.openxmlformats.org/officeDocument/2006/relationships/image" Target="media/image54.emf"/><Relationship Id="rId113" Type="http://schemas.openxmlformats.org/officeDocument/2006/relationships/image" Target="media/image98.emf"/><Relationship Id="rId134" Type="http://schemas.openxmlformats.org/officeDocument/2006/relationships/image" Target="media/image119.emf"/><Relationship Id="rId80" Type="http://schemas.openxmlformats.org/officeDocument/2006/relationships/image" Target="media/image65.emf"/><Relationship Id="rId155" Type="http://schemas.openxmlformats.org/officeDocument/2006/relationships/image" Target="media/image140.emf"/><Relationship Id="rId176" Type="http://schemas.openxmlformats.org/officeDocument/2006/relationships/image" Target="media/image161.emf"/><Relationship Id="rId197" Type="http://schemas.openxmlformats.org/officeDocument/2006/relationships/fontTable" Target="fontTable.xml"/><Relationship Id="rId17" Type="http://schemas.openxmlformats.org/officeDocument/2006/relationships/image" Target="media/image9.png"/><Relationship Id="rId38" Type="http://schemas.openxmlformats.org/officeDocument/2006/relationships/image" Target="media/image30.emf"/><Relationship Id="rId59" Type="http://schemas.openxmlformats.org/officeDocument/2006/relationships/header" Target="header2.xml"/><Relationship Id="rId103" Type="http://schemas.openxmlformats.org/officeDocument/2006/relationships/image" Target="media/image88.emf"/><Relationship Id="rId124" Type="http://schemas.openxmlformats.org/officeDocument/2006/relationships/image" Target="media/image109.emf"/><Relationship Id="rId70" Type="http://schemas.openxmlformats.org/officeDocument/2006/relationships/image" Target="media/image55.emf"/><Relationship Id="rId91" Type="http://schemas.openxmlformats.org/officeDocument/2006/relationships/image" Target="media/image76.emf"/><Relationship Id="rId145" Type="http://schemas.openxmlformats.org/officeDocument/2006/relationships/image" Target="media/image130.emf"/><Relationship Id="rId166" Type="http://schemas.openxmlformats.org/officeDocument/2006/relationships/image" Target="media/image151.emf"/><Relationship Id="rId187" Type="http://schemas.openxmlformats.org/officeDocument/2006/relationships/image" Target="media/image172.emf"/><Relationship Id="rId1" Type="http://schemas.openxmlformats.org/officeDocument/2006/relationships/customXml" Target="../customXml/item1.xml"/><Relationship Id="rId28" Type="http://schemas.openxmlformats.org/officeDocument/2006/relationships/image" Target="media/image20.emf"/><Relationship Id="rId49" Type="http://schemas.openxmlformats.org/officeDocument/2006/relationships/image" Target="media/image41.emf"/><Relationship Id="rId114" Type="http://schemas.openxmlformats.org/officeDocument/2006/relationships/image" Target="media/image99.emf"/><Relationship Id="rId60" Type="http://schemas.openxmlformats.org/officeDocument/2006/relationships/footer" Target="footer2.xml"/><Relationship Id="rId81" Type="http://schemas.openxmlformats.org/officeDocument/2006/relationships/image" Target="media/image66.emf"/><Relationship Id="rId135" Type="http://schemas.openxmlformats.org/officeDocument/2006/relationships/image" Target="media/image120.emf"/><Relationship Id="rId156" Type="http://schemas.openxmlformats.org/officeDocument/2006/relationships/image" Target="media/image141.emf"/><Relationship Id="rId177" Type="http://schemas.openxmlformats.org/officeDocument/2006/relationships/image" Target="media/image162.emf"/><Relationship Id="rId198" Type="http://schemas.openxmlformats.org/officeDocument/2006/relationships/theme" Target="theme/theme1.xml"/><Relationship Id="rId18" Type="http://schemas.openxmlformats.org/officeDocument/2006/relationships/image" Target="media/image10.emf"/><Relationship Id="rId39" Type="http://schemas.openxmlformats.org/officeDocument/2006/relationships/image" Target="media/image31.emf"/><Relationship Id="rId50" Type="http://schemas.openxmlformats.org/officeDocument/2006/relationships/image" Target="media/image42.emf"/><Relationship Id="rId104" Type="http://schemas.openxmlformats.org/officeDocument/2006/relationships/image" Target="media/image89.emf"/><Relationship Id="rId125" Type="http://schemas.openxmlformats.org/officeDocument/2006/relationships/image" Target="media/image110.emf"/><Relationship Id="rId146" Type="http://schemas.openxmlformats.org/officeDocument/2006/relationships/image" Target="media/image131.emf"/><Relationship Id="rId167" Type="http://schemas.openxmlformats.org/officeDocument/2006/relationships/image" Target="media/image152.emf"/><Relationship Id="rId188" Type="http://schemas.openxmlformats.org/officeDocument/2006/relationships/hyperlink" Target="http://bookshop.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B0BC6-19F9-4638-BA8C-76AB48812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2569</TotalTime>
  <Pages>420</Pages>
  <Words>607964</Words>
  <Characters>346541</Characters>
  <Application>Microsoft Office Word</Application>
  <DocSecurity>0</DocSecurity>
  <Lines>2887</Lines>
  <Paragraphs>1905</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952600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49</cp:revision>
  <dcterms:created xsi:type="dcterms:W3CDTF">2016-12-28T10:58:00Z</dcterms:created>
  <dcterms:modified xsi:type="dcterms:W3CDTF">2017-05-18T10:45:00Z</dcterms:modified>
</cp:coreProperties>
</file>