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91A33" w14:textId="77777777" w:rsidR="0030303D" w:rsidRPr="0030303D" w:rsidRDefault="0030303D" w:rsidP="0030303D">
      <w:pPr>
        <w:pStyle w:val="Heading3"/>
        <w:spacing w:before="0"/>
        <w:ind w:left="0"/>
        <w:jc w:val="center"/>
        <w:rPr>
          <w:rFonts w:ascii="Times New Roman" w:hAnsi="Times New Roman" w:cs="Times New Roman"/>
          <w:noProof/>
          <w:sz w:val="24"/>
          <w:szCs w:val="24"/>
          <w:u w:val="thick" w:color="000000"/>
        </w:rPr>
      </w:pPr>
      <w:r>
        <w:rPr>
          <w:rFonts w:ascii="Times New Roman" w:hAnsi="Times New Roman"/>
          <w:sz w:val="24"/>
          <w:u w:val="thick" w:color="000000"/>
        </w:rPr>
        <w:t>Secinājums Nr. 36. Maksa par pārsniegtajām CO</w:t>
      </w:r>
      <w:r>
        <w:rPr>
          <w:rFonts w:ascii="Times New Roman" w:hAnsi="Times New Roman"/>
          <w:sz w:val="24"/>
          <w:u w:val="thick" w:color="000000"/>
          <w:vertAlign w:val="subscript"/>
        </w:rPr>
        <w:t>2</w:t>
      </w:r>
      <w:r>
        <w:rPr>
          <w:rFonts w:ascii="Times New Roman" w:hAnsi="Times New Roman"/>
          <w:sz w:val="24"/>
          <w:u w:val="thick" w:color="000000"/>
        </w:rPr>
        <w:t xml:space="preserve"> emisijām</w:t>
      </w:r>
      <w:bookmarkStart w:id="0" w:name="_bookmark63"/>
      <w:bookmarkEnd w:id="0"/>
    </w:p>
    <w:p w14:paraId="167EE3A2" w14:textId="77777777" w:rsidR="0030303D" w:rsidRPr="0030303D" w:rsidRDefault="0030303D" w:rsidP="0030303D">
      <w:pPr>
        <w:jc w:val="both"/>
        <w:rPr>
          <w:rFonts w:ascii="Times New Roman" w:eastAsia="Calibri" w:hAnsi="Times New Roman" w:cs="Times New Roman"/>
          <w:b/>
          <w:bCs/>
          <w:noProof/>
          <w:sz w:val="24"/>
          <w:szCs w:val="24"/>
        </w:rPr>
      </w:pPr>
    </w:p>
    <w:p w14:paraId="1CEF6DCF" w14:textId="77777777" w:rsidR="0030303D" w:rsidRPr="0030303D" w:rsidRDefault="0030303D" w:rsidP="0030303D">
      <w:pPr>
        <w:pStyle w:val="Heading5"/>
        <w:tabs>
          <w:tab w:val="left" w:pos="238"/>
        </w:tabs>
        <w:ind w:left="0" w:firstLine="0"/>
        <w:jc w:val="both"/>
        <w:rPr>
          <w:rFonts w:ascii="Times New Roman" w:hAnsi="Times New Roman" w:cs="Times New Roman"/>
          <w:noProof/>
          <w:u w:val="single" w:color="000000"/>
        </w:rPr>
      </w:pPr>
      <w:r>
        <w:rPr>
          <w:rFonts w:ascii="Times New Roman" w:hAnsi="Times New Roman"/>
        </w:rPr>
        <w:t>I. Priekšvēsture</w:t>
      </w:r>
    </w:p>
    <w:p w14:paraId="28545B44" w14:textId="77777777" w:rsidR="0030303D" w:rsidRPr="0030303D" w:rsidRDefault="0030303D" w:rsidP="0030303D">
      <w:pPr>
        <w:jc w:val="both"/>
        <w:rPr>
          <w:rFonts w:ascii="Times New Roman" w:hAnsi="Times New Roman" w:cs="Times New Roman"/>
          <w:noProof/>
          <w:u w:val="single" w:color="000000"/>
        </w:rPr>
      </w:pPr>
    </w:p>
    <w:p w14:paraId="473E1AF7" w14:textId="77777777" w:rsidR="0030303D" w:rsidRPr="0030303D" w:rsidRDefault="0030303D" w:rsidP="0030303D">
      <w:pPr>
        <w:pStyle w:val="BodyText"/>
        <w:tabs>
          <w:tab w:val="left" w:pos="470"/>
        </w:tabs>
        <w:ind w:left="0"/>
        <w:jc w:val="both"/>
        <w:rPr>
          <w:rFonts w:ascii="Times New Roman" w:hAnsi="Times New Roman" w:cs="Times New Roman"/>
          <w:noProof/>
        </w:rPr>
      </w:pPr>
      <w:r>
        <w:rPr>
          <w:rFonts w:ascii="Times New Roman" w:hAnsi="Times New Roman"/>
        </w:rPr>
        <w:t>1. Mehānisko transportlīdzekļu ražotājam trešā valstī (</w:t>
      </w:r>
      <w:r>
        <w:rPr>
          <w:rFonts w:ascii="Times New Roman" w:hAnsi="Times New Roman"/>
          <w:b/>
        </w:rPr>
        <w:t>X</w:t>
      </w:r>
      <w:r>
        <w:rPr>
          <w:rFonts w:ascii="Times New Roman" w:hAnsi="Times New Roman"/>
        </w:rPr>
        <w:t>) no 2020. gada tiks piemērota maksa par pārsniegtajām CO</w:t>
      </w:r>
      <w:r>
        <w:rPr>
          <w:rFonts w:ascii="Times New Roman" w:hAnsi="Times New Roman"/>
          <w:vertAlign w:val="subscript"/>
        </w:rPr>
        <w:t>2</w:t>
      </w:r>
      <w:r>
        <w:rPr>
          <w:rFonts w:ascii="Times New Roman" w:hAnsi="Times New Roman"/>
        </w:rPr>
        <w:t xml:space="preserve"> emisijām (t. i., “maksa par pārsniegtajām emisijām”) saskaņā ar Regulu (EK) Nr. 443/2009 (CO</w:t>
      </w:r>
      <w:r>
        <w:rPr>
          <w:rFonts w:ascii="Times New Roman" w:hAnsi="Times New Roman"/>
          <w:vertAlign w:val="subscript"/>
        </w:rPr>
        <w:t>2</w:t>
      </w:r>
      <w:r>
        <w:rPr>
          <w:rFonts w:ascii="Times New Roman" w:hAnsi="Times New Roman"/>
        </w:rPr>
        <w:t xml:space="preserve"> no vieglajiem automobiļiem) un Regulu (ES) Nr. 510/2011 (CO</w:t>
      </w:r>
      <w:r>
        <w:rPr>
          <w:rFonts w:ascii="Times New Roman" w:hAnsi="Times New Roman"/>
          <w:vertAlign w:val="subscript"/>
        </w:rPr>
        <w:t>2</w:t>
      </w:r>
      <w:r>
        <w:rPr>
          <w:rFonts w:ascii="Times New Roman" w:hAnsi="Times New Roman"/>
        </w:rPr>
        <w:t xml:space="preserve"> no nelieliem kravas automobiļiem) attiecībā uz mehāniskajiem transportlīdzekļiem, kurus tas eksportē uz Savienību. Mehāniskos transportlīdzekļus Savienībā importē izplatītājs (</w:t>
      </w:r>
      <w:r>
        <w:rPr>
          <w:rFonts w:ascii="Times New Roman" w:hAnsi="Times New Roman"/>
          <w:b/>
        </w:rPr>
        <w:t>Y</w:t>
      </w:r>
      <w:r>
        <w:rPr>
          <w:rFonts w:ascii="Times New Roman" w:hAnsi="Times New Roman"/>
        </w:rPr>
        <w:t>).</w:t>
      </w:r>
    </w:p>
    <w:p w14:paraId="349D58B6" w14:textId="77777777" w:rsidR="0030303D" w:rsidRPr="0030303D" w:rsidRDefault="0030303D" w:rsidP="0030303D">
      <w:pPr>
        <w:pStyle w:val="BodyText"/>
        <w:tabs>
          <w:tab w:val="left" w:pos="470"/>
        </w:tabs>
        <w:ind w:left="0"/>
        <w:jc w:val="both"/>
        <w:rPr>
          <w:rFonts w:ascii="Times New Roman" w:hAnsi="Times New Roman" w:cs="Times New Roman"/>
          <w:noProof/>
        </w:rPr>
      </w:pPr>
    </w:p>
    <w:p w14:paraId="136115F0" w14:textId="77777777" w:rsidR="0030303D" w:rsidRPr="0030303D" w:rsidRDefault="0030303D" w:rsidP="0030303D">
      <w:pPr>
        <w:pStyle w:val="BodyText"/>
        <w:tabs>
          <w:tab w:val="left" w:pos="470"/>
        </w:tabs>
        <w:ind w:left="0"/>
        <w:jc w:val="both"/>
        <w:rPr>
          <w:rFonts w:ascii="Times New Roman" w:hAnsi="Times New Roman" w:cs="Times New Roman"/>
          <w:noProof/>
        </w:rPr>
      </w:pPr>
      <w:r>
        <w:rPr>
          <w:rFonts w:ascii="Times New Roman" w:hAnsi="Times New Roman"/>
        </w:rPr>
        <w:t>2. Ražotājs X plāno no 2020. gada iekļaut maksu par pārsniegtajām emisijām atsevišķajos rēķinos, kurus tas izsniedz izplatītājam Y par katru Savienībā importēto mehānisko transportlīdzekli.</w:t>
      </w:r>
    </w:p>
    <w:p w14:paraId="0E93472C" w14:textId="77777777" w:rsidR="0030303D" w:rsidRPr="0030303D" w:rsidRDefault="0030303D" w:rsidP="0030303D">
      <w:pPr>
        <w:pStyle w:val="BodyText"/>
        <w:tabs>
          <w:tab w:val="left" w:pos="470"/>
        </w:tabs>
        <w:ind w:left="0"/>
        <w:jc w:val="both"/>
        <w:rPr>
          <w:rFonts w:ascii="Times New Roman" w:hAnsi="Times New Roman" w:cs="Times New Roman"/>
          <w:noProof/>
        </w:rPr>
      </w:pPr>
    </w:p>
    <w:p w14:paraId="431E1230" w14:textId="77777777" w:rsidR="0030303D" w:rsidRPr="0030303D" w:rsidRDefault="0030303D" w:rsidP="0030303D">
      <w:pPr>
        <w:pStyle w:val="BodyText"/>
        <w:tabs>
          <w:tab w:val="left" w:pos="470"/>
        </w:tabs>
        <w:ind w:left="0"/>
        <w:jc w:val="both"/>
        <w:rPr>
          <w:rFonts w:ascii="Times New Roman" w:hAnsi="Times New Roman" w:cs="Times New Roman"/>
          <w:noProof/>
        </w:rPr>
      </w:pPr>
      <w:r>
        <w:rPr>
          <w:rFonts w:ascii="Times New Roman" w:hAnsi="Times New Roman"/>
        </w:rPr>
        <w:t>3. Ražotājs iekļauj maksu par pārsniegtajām emisijām atsevišķos rēķinos, kurus izsniedz izplatītājam Y, pamatojoties uz aplēsēm (precīza maksa par pārsniegtajām emisijām, kas jāmaksā 2020. gadā, būs zināma 2021. gadā).</w:t>
      </w:r>
    </w:p>
    <w:p w14:paraId="73ACA5E8" w14:textId="77777777" w:rsidR="0030303D" w:rsidRPr="0030303D" w:rsidRDefault="0030303D" w:rsidP="0030303D">
      <w:pPr>
        <w:pStyle w:val="Heading5"/>
        <w:tabs>
          <w:tab w:val="left" w:pos="303"/>
        </w:tabs>
        <w:ind w:left="0" w:firstLine="0"/>
        <w:jc w:val="both"/>
        <w:rPr>
          <w:rFonts w:ascii="Times New Roman" w:hAnsi="Times New Roman" w:cs="Times New Roman"/>
          <w:noProof/>
          <w:u w:val="single" w:color="000000"/>
        </w:rPr>
      </w:pPr>
    </w:p>
    <w:p w14:paraId="4165B9C1" w14:textId="77777777" w:rsidR="0030303D" w:rsidRPr="0030303D" w:rsidRDefault="0030303D" w:rsidP="0030303D">
      <w:pPr>
        <w:pStyle w:val="Heading5"/>
        <w:tabs>
          <w:tab w:val="left" w:pos="303"/>
        </w:tabs>
        <w:ind w:left="0" w:firstLine="0"/>
        <w:jc w:val="both"/>
        <w:rPr>
          <w:rFonts w:ascii="Times New Roman" w:hAnsi="Times New Roman" w:cs="Times New Roman"/>
          <w:noProof/>
          <w:u w:val="single" w:color="000000"/>
        </w:rPr>
      </w:pPr>
      <w:r>
        <w:rPr>
          <w:rFonts w:ascii="Times New Roman" w:hAnsi="Times New Roman"/>
          <w:iCs/>
          <w:u w:color="000000"/>
        </w:rPr>
        <w:t>II</w:t>
      </w:r>
      <w:r>
        <w:rPr>
          <w:rFonts w:ascii="Times New Roman" w:hAnsi="Times New Roman"/>
          <w:u w:color="000000"/>
        </w:rPr>
        <w:t xml:space="preserve">. </w:t>
      </w:r>
      <w:r>
        <w:rPr>
          <w:rFonts w:ascii="Times New Roman" w:hAnsi="Times New Roman"/>
          <w:u w:val="single" w:color="000000"/>
        </w:rPr>
        <w:t>Apspriežamais jautājums</w:t>
      </w:r>
    </w:p>
    <w:p w14:paraId="76940058" w14:textId="77777777" w:rsidR="0030303D" w:rsidRPr="0030303D" w:rsidRDefault="0030303D" w:rsidP="0030303D">
      <w:pPr>
        <w:jc w:val="both"/>
        <w:rPr>
          <w:rFonts w:ascii="Times New Roman" w:hAnsi="Times New Roman" w:cs="Times New Roman"/>
          <w:noProof/>
          <w:u w:val="single" w:color="000000"/>
        </w:rPr>
      </w:pPr>
    </w:p>
    <w:p w14:paraId="26DE2B01" w14:textId="77777777" w:rsidR="0030303D" w:rsidRPr="0030303D" w:rsidRDefault="0030303D" w:rsidP="0030303D">
      <w:pPr>
        <w:pStyle w:val="BodyText"/>
        <w:ind w:left="0"/>
        <w:jc w:val="both"/>
        <w:rPr>
          <w:rFonts w:ascii="Times New Roman" w:hAnsi="Times New Roman" w:cs="Times New Roman"/>
          <w:noProof/>
        </w:rPr>
      </w:pPr>
      <w:r>
        <w:rPr>
          <w:rFonts w:ascii="Times New Roman" w:hAnsi="Times New Roman"/>
        </w:rPr>
        <w:t>Kā jāaprēķina muitas vērtība gadījumā, kad maksa par pārsniegtajām emisijām ir iekļauta atsevišķos rēķinos par katru mehānisko transportlīdzekli, ko X pārdevis Y un kas ievests Savienībā?</w:t>
      </w:r>
    </w:p>
    <w:p w14:paraId="342482BB" w14:textId="77777777" w:rsidR="0030303D" w:rsidRPr="0030303D" w:rsidRDefault="0030303D" w:rsidP="0030303D">
      <w:pPr>
        <w:jc w:val="both"/>
        <w:rPr>
          <w:rFonts w:ascii="Times New Roman" w:eastAsia="Calibri" w:hAnsi="Times New Roman" w:cs="Times New Roman"/>
          <w:noProof/>
          <w:sz w:val="24"/>
          <w:szCs w:val="24"/>
        </w:rPr>
      </w:pPr>
    </w:p>
    <w:p w14:paraId="77B810B4" w14:textId="77777777" w:rsidR="0030303D" w:rsidRPr="0030303D" w:rsidRDefault="0030303D" w:rsidP="0030303D">
      <w:pPr>
        <w:pStyle w:val="Heading5"/>
        <w:tabs>
          <w:tab w:val="left" w:pos="368"/>
        </w:tabs>
        <w:ind w:left="0" w:firstLine="0"/>
        <w:jc w:val="both"/>
        <w:rPr>
          <w:rFonts w:ascii="Times New Roman" w:hAnsi="Times New Roman" w:cs="Times New Roman"/>
          <w:noProof/>
          <w:u w:val="single" w:color="000000"/>
        </w:rPr>
      </w:pPr>
      <w:r>
        <w:rPr>
          <w:rFonts w:ascii="Times New Roman" w:hAnsi="Times New Roman"/>
          <w:iCs/>
          <w:u w:color="000000"/>
        </w:rPr>
        <w:t>III</w:t>
      </w:r>
      <w:r>
        <w:rPr>
          <w:rFonts w:ascii="Times New Roman" w:hAnsi="Times New Roman"/>
          <w:u w:color="000000"/>
        </w:rPr>
        <w:t xml:space="preserve">. </w:t>
      </w:r>
      <w:r>
        <w:rPr>
          <w:rFonts w:ascii="Times New Roman" w:hAnsi="Times New Roman"/>
          <w:u w:val="single" w:color="000000"/>
        </w:rPr>
        <w:t>Attiecīgās tiesību aktos noteiktās normas</w:t>
      </w:r>
    </w:p>
    <w:p w14:paraId="6B65C23F" w14:textId="77777777" w:rsidR="0030303D" w:rsidRPr="0030303D" w:rsidRDefault="0030303D" w:rsidP="0030303D">
      <w:pPr>
        <w:jc w:val="both"/>
        <w:rPr>
          <w:rFonts w:ascii="Times New Roman" w:hAnsi="Times New Roman" w:cs="Times New Roman"/>
          <w:noProof/>
          <w:u w:val="single" w:color="000000"/>
        </w:rPr>
      </w:pPr>
    </w:p>
    <w:p w14:paraId="39D9EAA4" w14:textId="77777777" w:rsidR="0030303D" w:rsidRPr="0030303D" w:rsidRDefault="0030303D" w:rsidP="0030303D">
      <w:pPr>
        <w:pStyle w:val="BodyText"/>
        <w:ind w:left="0"/>
        <w:jc w:val="both"/>
        <w:rPr>
          <w:rFonts w:ascii="Times New Roman" w:hAnsi="Times New Roman" w:cs="Times New Roman"/>
          <w:noProof/>
        </w:rPr>
      </w:pPr>
      <w:r>
        <w:rPr>
          <w:rFonts w:ascii="Times New Roman" w:hAnsi="Times New Roman"/>
        </w:rPr>
        <w:t>Regula (EK) Nr. 443/2009</w:t>
      </w:r>
      <w:r>
        <w:rPr>
          <w:rStyle w:val="FootnoteReference"/>
          <w:rFonts w:ascii="Times New Roman" w:hAnsi="Times New Roman" w:cs="Times New Roman"/>
          <w:noProof/>
        </w:rPr>
        <w:footnoteReference w:customMarkFollows="1" w:id="1"/>
        <w:t>46</w:t>
      </w:r>
      <w:r>
        <w:rPr>
          <w:rFonts w:ascii="Times New Roman" w:hAnsi="Times New Roman"/>
        </w:rPr>
        <w:t>, Regula (EK) Nr. 510/2011</w:t>
      </w:r>
      <w:r>
        <w:rPr>
          <w:rStyle w:val="FootnoteReference"/>
          <w:rFonts w:ascii="Times New Roman" w:hAnsi="Times New Roman" w:cs="Times New Roman"/>
          <w:noProof/>
        </w:rPr>
        <w:footnoteReference w:customMarkFollows="1" w:id="2"/>
        <w:t>47</w:t>
      </w:r>
    </w:p>
    <w:p w14:paraId="780B63E0" w14:textId="77777777" w:rsidR="0030303D" w:rsidRPr="0030303D" w:rsidRDefault="0030303D" w:rsidP="0030303D">
      <w:pPr>
        <w:jc w:val="both"/>
        <w:rPr>
          <w:rFonts w:ascii="Times New Roman" w:eastAsia="Calibri" w:hAnsi="Times New Roman" w:cs="Times New Roman"/>
          <w:noProof/>
          <w:sz w:val="24"/>
          <w:szCs w:val="24"/>
        </w:rPr>
      </w:pPr>
    </w:p>
    <w:p w14:paraId="68038175" w14:textId="77777777" w:rsidR="0030303D" w:rsidRPr="0030303D" w:rsidRDefault="0030303D" w:rsidP="0030303D">
      <w:pPr>
        <w:pStyle w:val="BodyText"/>
        <w:ind w:left="0"/>
        <w:jc w:val="both"/>
        <w:rPr>
          <w:rFonts w:ascii="Times New Roman" w:hAnsi="Times New Roman" w:cs="Times New Roman"/>
          <w:noProof/>
        </w:rPr>
      </w:pPr>
      <w:r>
        <w:rPr>
          <w:rFonts w:ascii="Times New Roman" w:hAnsi="Times New Roman"/>
        </w:rPr>
        <w:t>No 2020. gada 1. janvāra tiks piemērota jauna regula – Regula (ES) 2019/631</w:t>
      </w:r>
      <w:r>
        <w:rPr>
          <w:rStyle w:val="FootnoteReference"/>
          <w:rFonts w:ascii="Times New Roman" w:hAnsi="Times New Roman" w:cs="Times New Roman"/>
          <w:noProof/>
        </w:rPr>
        <w:footnoteReference w:customMarkFollows="1" w:id="3"/>
        <w:t>48</w:t>
      </w:r>
      <w:r>
        <w:rPr>
          <w:rFonts w:ascii="Times New Roman" w:hAnsi="Times New Roman"/>
        </w:rPr>
        <w:t>. Regula aizstās abus iepriekš minētos tiesību aktus. Atbilstoši šai jaunajai regulai noteikumi par to, kā aprēķināma maksa par pārsniegtajām emisijām, pilnīgi atspoguļo attiecīgos noteikumus par šo maksu Regulā (EK) Nr. 443/2009 un Regulā (EK) Nr. 510/2011.</w:t>
      </w:r>
    </w:p>
    <w:p w14:paraId="698A53B9" w14:textId="77777777" w:rsidR="0030303D" w:rsidRPr="0030303D" w:rsidRDefault="0030303D" w:rsidP="0030303D">
      <w:pPr>
        <w:jc w:val="both"/>
        <w:rPr>
          <w:rFonts w:ascii="Times New Roman" w:hAnsi="Times New Roman" w:cs="Times New Roman"/>
          <w:noProof/>
        </w:rPr>
      </w:pPr>
    </w:p>
    <w:p w14:paraId="7ABAC176" w14:textId="77777777" w:rsidR="0030303D" w:rsidRPr="0030303D" w:rsidRDefault="0030303D" w:rsidP="0030303D">
      <w:pPr>
        <w:pStyle w:val="BodyText"/>
        <w:ind w:left="0"/>
        <w:jc w:val="both"/>
        <w:rPr>
          <w:rFonts w:ascii="Times New Roman" w:hAnsi="Times New Roman" w:cs="Times New Roman"/>
          <w:noProof/>
        </w:rPr>
      </w:pPr>
      <w:r>
        <w:rPr>
          <w:rFonts w:ascii="Times New Roman" w:hAnsi="Times New Roman"/>
        </w:rPr>
        <w:t>SMK 70. pants, 71. panta 3. punkts, 72. panta f) punkts</w:t>
      </w:r>
      <w:r>
        <w:rPr>
          <w:rStyle w:val="FootnoteReference"/>
          <w:rFonts w:ascii="Times New Roman" w:hAnsi="Times New Roman" w:cs="Times New Roman"/>
          <w:noProof/>
        </w:rPr>
        <w:footnoteReference w:customMarkFollows="1" w:id="4"/>
        <w:t>49</w:t>
      </w:r>
      <w:r>
        <w:rPr>
          <w:rFonts w:ascii="Times New Roman" w:hAnsi="Times New Roman"/>
        </w:rPr>
        <w:t xml:space="preserve"> un attiecīgie SMK ĪA īstenošanas noteikumi</w:t>
      </w:r>
      <w:r>
        <w:rPr>
          <w:rStyle w:val="FootnoteReference"/>
          <w:rFonts w:ascii="Times New Roman" w:hAnsi="Times New Roman" w:cs="Times New Roman"/>
          <w:noProof/>
        </w:rPr>
        <w:footnoteReference w:customMarkFollows="1" w:id="5"/>
        <w:t>50</w:t>
      </w:r>
    </w:p>
    <w:p w14:paraId="699CC33A" w14:textId="77777777" w:rsidR="0030303D" w:rsidRPr="0030303D" w:rsidRDefault="0030303D" w:rsidP="0030303D">
      <w:pPr>
        <w:jc w:val="both"/>
        <w:rPr>
          <w:rFonts w:ascii="Times New Roman" w:eastAsia="Calibri" w:hAnsi="Times New Roman" w:cs="Times New Roman"/>
          <w:noProof/>
          <w:sz w:val="24"/>
          <w:szCs w:val="24"/>
        </w:rPr>
      </w:pPr>
    </w:p>
    <w:p w14:paraId="3DFA6F8C" w14:textId="77777777" w:rsidR="0030303D" w:rsidRPr="0030303D" w:rsidRDefault="0030303D" w:rsidP="00661151">
      <w:pPr>
        <w:pStyle w:val="Heading5"/>
        <w:keepNext/>
        <w:keepLines/>
        <w:tabs>
          <w:tab w:val="left" w:pos="380"/>
        </w:tabs>
        <w:ind w:left="0" w:firstLine="0"/>
        <w:jc w:val="both"/>
        <w:rPr>
          <w:rFonts w:ascii="Times New Roman" w:hAnsi="Times New Roman" w:cs="Times New Roman"/>
          <w:noProof/>
          <w:u w:val="single" w:color="000000"/>
        </w:rPr>
      </w:pPr>
      <w:r>
        <w:rPr>
          <w:rFonts w:ascii="Times New Roman" w:hAnsi="Times New Roman"/>
          <w:iCs/>
          <w:u w:color="000000"/>
        </w:rPr>
        <w:t>IV</w:t>
      </w:r>
      <w:r>
        <w:rPr>
          <w:rFonts w:ascii="Times New Roman" w:hAnsi="Times New Roman"/>
          <w:u w:color="000000"/>
        </w:rPr>
        <w:t xml:space="preserve">. </w:t>
      </w:r>
      <w:r>
        <w:rPr>
          <w:rFonts w:ascii="Times New Roman" w:hAnsi="Times New Roman"/>
          <w:u w:val="single" w:color="000000"/>
        </w:rPr>
        <w:t>Iepriekšēji apsvērumi</w:t>
      </w:r>
    </w:p>
    <w:p w14:paraId="4B9621C7" w14:textId="77777777" w:rsidR="0030303D" w:rsidRPr="0030303D" w:rsidRDefault="0030303D" w:rsidP="00661151">
      <w:pPr>
        <w:keepNext/>
        <w:keepLines/>
        <w:jc w:val="both"/>
        <w:rPr>
          <w:rFonts w:ascii="Times New Roman" w:hAnsi="Times New Roman" w:cs="Times New Roman"/>
          <w:noProof/>
          <w:u w:val="single" w:color="000000"/>
        </w:rPr>
      </w:pPr>
    </w:p>
    <w:p w14:paraId="599AB9EA" w14:textId="77777777" w:rsidR="0030303D" w:rsidRPr="0030303D" w:rsidRDefault="0030303D" w:rsidP="00661151">
      <w:pPr>
        <w:pStyle w:val="BodyText"/>
        <w:keepNext/>
        <w:keepLines/>
        <w:tabs>
          <w:tab w:val="left" w:pos="470"/>
        </w:tabs>
        <w:ind w:left="0"/>
        <w:jc w:val="both"/>
        <w:rPr>
          <w:rFonts w:ascii="Times New Roman" w:hAnsi="Times New Roman" w:cs="Times New Roman"/>
          <w:noProof/>
        </w:rPr>
      </w:pPr>
      <w:r>
        <w:rPr>
          <w:rFonts w:ascii="Times New Roman" w:hAnsi="Times New Roman"/>
        </w:rPr>
        <w:lastRenderedPageBreak/>
        <w:t>1. Katru gadu Komisija uzrauga, pārbauda un apstiprina vieglo transportlīdzekļu ražotāju darbības rezultātus CO</w:t>
      </w:r>
      <w:r>
        <w:rPr>
          <w:rFonts w:ascii="Times New Roman" w:hAnsi="Times New Roman"/>
          <w:vertAlign w:val="subscript"/>
        </w:rPr>
        <w:t>2</w:t>
      </w:r>
      <w:r>
        <w:rPr>
          <w:rFonts w:ascii="Times New Roman" w:hAnsi="Times New Roman"/>
        </w:rPr>
        <w:t xml:space="preserve"> emisiju samazināšanā un attiecīgo mērķrādītāju sasniegšanā atbilstoši Regulai (EK) Nr. 443/2009 (CO</w:t>
      </w:r>
      <w:r>
        <w:rPr>
          <w:rFonts w:ascii="Times New Roman" w:hAnsi="Times New Roman"/>
          <w:vertAlign w:val="subscript"/>
        </w:rPr>
        <w:t>2</w:t>
      </w:r>
      <w:r>
        <w:rPr>
          <w:rFonts w:ascii="Times New Roman" w:hAnsi="Times New Roman"/>
        </w:rPr>
        <w:t xml:space="preserve"> no vieglajiem automobiļiem) un Regulai (ES) Nr. 510/2011 (CO</w:t>
      </w:r>
      <w:r>
        <w:rPr>
          <w:rFonts w:ascii="Times New Roman" w:hAnsi="Times New Roman"/>
          <w:vertAlign w:val="subscript"/>
        </w:rPr>
        <w:t>2</w:t>
      </w:r>
      <w:r>
        <w:rPr>
          <w:rFonts w:ascii="Times New Roman" w:hAnsi="Times New Roman"/>
        </w:rPr>
        <w:t xml:space="preserve"> no nelieliem kravas automobiļiem). Vērtības tiek noteiktas, pamatojoties uz iepriekšējā kalendārajā gadā reģistrēto automobiļu skaitu. Datus iesniedz dalībvalstis, un ražotājiem ir iespēja tos pārbaudīt un pēc tam paziņot Komisijai par jebkādām kļūdām.</w:t>
      </w:r>
    </w:p>
    <w:p w14:paraId="1FDB320F" w14:textId="77777777" w:rsidR="0030303D" w:rsidRPr="0030303D" w:rsidRDefault="0030303D" w:rsidP="0030303D">
      <w:pPr>
        <w:jc w:val="both"/>
        <w:rPr>
          <w:rFonts w:ascii="Times New Roman" w:hAnsi="Times New Roman" w:cs="Times New Roman"/>
          <w:noProof/>
        </w:rPr>
      </w:pPr>
    </w:p>
    <w:p w14:paraId="371C1A14" w14:textId="77777777" w:rsidR="0030303D" w:rsidRPr="0030303D" w:rsidRDefault="0030303D" w:rsidP="0030303D">
      <w:pPr>
        <w:pStyle w:val="BodyText"/>
        <w:tabs>
          <w:tab w:val="left" w:pos="470"/>
          <w:tab w:val="left" w:pos="8529"/>
        </w:tabs>
        <w:ind w:left="0"/>
        <w:jc w:val="both"/>
        <w:rPr>
          <w:rFonts w:ascii="Times New Roman" w:hAnsi="Times New Roman" w:cs="Times New Roman"/>
          <w:noProof/>
        </w:rPr>
      </w:pPr>
      <w:r>
        <w:rPr>
          <w:rFonts w:ascii="Times New Roman" w:hAnsi="Times New Roman"/>
        </w:rPr>
        <w:t>2. Ja tiek apstiprināts, ka iepriekšējā kalendārajā gadā ražotāja vidējās īpatnējās CO</w:t>
      </w:r>
      <w:r>
        <w:rPr>
          <w:rFonts w:ascii="Times New Roman" w:hAnsi="Times New Roman"/>
          <w:vertAlign w:val="subscript"/>
        </w:rPr>
        <w:t>2</w:t>
      </w:r>
      <w:r>
        <w:rPr>
          <w:rFonts w:ascii="Times New Roman" w:hAnsi="Times New Roman"/>
        </w:rPr>
        <w:t xml:space="preserve"> emisijas ir pārsniegušas tā īpatnējo emisiju mērķrādītāju, Komisija ražotājam nosaka maksu par pārsniegtajām emisijām. Maksu aprēķina, pamatojoties uz CO</w:t>
      </w:r>
      <w:r>
        <w:rPr>
          <w:rFonts w:ascii="Times New Roman" w:hAnsi="Times New Roman"/>
          <w:vertAlign w:val="subscript"/>
        </w:rPr>
        <w:t>2</w:t>
      </w:r>
      <w:r>
        <w:rPr>
          <w:rFonts w:ascii="Times New Roman" w:hAnsi="Times New Roman"/>
        </w:rPr>
        <w:t xml:space="preserve"> emisiju pārsniegumu un ražotāja reģistrēto automobiļu skaitu attiecīgajā kalendārajā gadā. Maksu atgūst Komisija, nevis muitas dienesti, un iekasētās summas uzskata par ES vispārējā budžeta ieņēmumiem.</w:t>
      </w:r>
    </w:p>
    <w:p w14:paraId="4C2146AF" w14:textId="77777777" w:rsidR="0030303D" w:rsidRPr="0030303D" w:rsidRDefault="0030303D" w:rsidP="0030303D">
      <w:pPr>
        <w:jc w:val="both"/>
        <w:rPr>
          <w:rFonts w:ascii="Times New Roman" w:hAnsi="Times New Roman" w:cs="Times New Roman"/>
          <w:noProof/>
        </w:rPr>
      </w:pPr>
    </w:p>
    <w:p w14:paraId="33A1841D" w14:textId="77777777" w:rsidR="0030303D" w:rsidRPr="0030303D" w:rsidRDefault="0030303D" w:rsidP="0030303D">
      <w:pPr>
        <w:pStyle w:val="BodyText"/>
        <w:tabs>
          <w:tab w:val="left" w:pos="470"/>
        </w:tabs>
        <w:ind w:left="0"/>
        <w:jc w:val="both"/>
        <w:rPr>
          <w:rFonts w:ascii="Times New Roman" w:hAnsi="Times New Roman" w:cs="Times New Roman"/>
          <w:noProof/>
        </w:rPr>
      </w:pPr>
      <w:r>
        <w:rPr>
          <w:rFonts w:ascii="Times New Roman" w:hAnsi="Times New Roman"/>
        </w:rPr>
        <w:t>3. Par pārsniegto emisiju maksas nomaksu ir atbildīgs ražotājs. Ja ražotājs neatrodas ES, tam jāieceļ ES pārstāvis, kas atrodas dalībvalstī un ir atbildīgs par visiem tipa apstiprinājuma aspektiem, kā arī par jebkādas maksas par pārsniegtajām emisijām nomaksu.</w:t>
      </w:r>
    </w:p>
    <w:p w14:paraId="56560C86" w14:textId="77777777" w:rsidR="0030303D" w:rsidRPr="0030303D" w:rsidRDefault="0030303D" w:rsidP="0030303D">
      <w:pPr>
        <w:jc w:val="both"/>
        <w:rPr>
          <w:rFonts w:ascii="Times New Roman" w:eastAsia="Calibri" w:hAnsi="Times New Roman" w:cs="Times New Roman"/>
          <w:noProof/>
          <w:sz w:val="24"/>
          <w:szCs w:val="24"/>
        </w:rPr>
      </w:pPr>
    </w:p>
    <w:p w14:paraId="3E2B4F2A" w14:textId="77777777" w:rsidR="0030303D" w:rsidRPr="0030303D" w:rsidRDefault="0030303D" w:rsidP="0030303D">
      <w:pPr>
        <w:pStyle w:val="BodyText"/>
        <w:tabs>
          <w:tab w:val="left" w:pos="470"/>
        </w:tabs>
        <w:ind w:left="0"/>
        <w:jc w:val="both"/>
        <w:rPr>
          <w:rFonts w:ascii="Times New Roman" w:hAnsi="Times New Roman" w:cs="Times New Roman"/>
          <w:noProof/>
        </w:rPr>
      </w:pPr>
      <w:r>
        <w:rPr>
          <w:rFonts w:ascii="Times New Roman" w:hAnsi="Times New Roman"/>
        </w:rPr>
        <w:t>4. Maksu par pārsniegtajām emisijām aprēķina, pamatojoties uz iepriekšējā kalendārajā gadā ES, Islandē un Norvēģijā reģistrēto transportlīdzekļu CO</w:t>
      </w:r>
      <w:r>
        <w:rPr>
          <w:rFonts w:ascii="Times New Roman" w:hAnsi="Times New Roman"/>
          <w:vertAlign w:val="subscript"/>
        </w:rPr>
        <w:t>2</w:t>
      </w:r>
      <w:r>
        <w:rPr>
          <w:rFonts w:ascii="Times New Roman" w:hAnsi="Times New Roman"/>
        </w:rPr>
        <w:t xml:space="preserve"> emisijām. Maksu par pārsniegtajām emisijām nomaksā kā vienreizēju maksājumu, kas saistīts ar ražotāja reģistrēto transportlīdzekļu kopējo parku, un tā pati par sevi nav tieši saistīta ar atsevišķiem transportlīdzekļiem. Turklāt to nepiemēro nedz tad, kad atsevišķus transportlīdzekļus laiž brīvā apgrozībā Savienības muitas teritorijā, nedz šo transportlīdzekļu reģistrācijas brīdī ES.</w:t>
      </w:r>
    </w:p>
    <w:p w14:paraId="1E88D9F9" w14:textId="77777777" w:rsidR="0030303D" w:rsidRPr="0030303D" w:rsidRDefault="0030303D" w:rsidP="0030303D">
      <w:pPr>
        <w:jc w:val="both"/>
        <w:rPr>
          <w:rFonts w:ascii="Times New Roman" w:hAnsi="Times New Roman" w:cs="Times New Roman"/>
          <w:noProof/>
        </w:rPr>
      </w:pPr>
    </w:p>
    <w:p w14:paraId="031EE586" w14:textId="77777777" w:rsidR="0030303D" w:rsidRPr="0030303D" w:rsidRDefault="0030303D" w:rsidP="0030303D">
      <w:pPr>
        <w:pStyle w:val="BodyText"/>
        <w:tabs>
          <w:tab w:val="left" w:pos="470"/>
        </w:tabs>
        <w:ind w:left="0"/>
        <w:jc w:val="both"/>
        <w:rPr>
          <w:rFonts w:ascii="Times New Roman" w:hAnsi="Times New Roman" w:cs="Times New Roman"/>
          <w:noProof/>
        </w:rPr>
      </w:pPr>
      <w:r>
        <w:rPr>
          <w:rFonts w:ascii="Times New Roman" w:hAnsi="Times New Roman"/>
        </w:rPr>
        <w:t>5. Ņemot vērā iepriekš minēto, ir jāanalizē, vai maksa par pārsniegtajām emisijām var ietekmēt muitas vērtību, pamatojoties uz darījuma vērtības metodi, t. i., vai šo maksu var uzskatīt par muitojamu elementu muitas vērtības noteikšanas vajadzībām? Ja tā nav, vai tad uz šo maksu attiecas SMK 72. panta f) punkts un vai var uzskatīt, ka šī maksa ir “citi maksājumi Savienībā par preču ievešanu vai pārdošanu”, kas nav iekļauti ievesto preču muitas vērtībā?</w:t>
      </w:r>
    </w:p>
    <w:p w14:paraId="535804C5" w14:textId="77777777" w:rsidR="0030303D" w:rsidRPr="0030303D" w:rsidRDefault="0030303D" w:rsidP="0030303D">
      <w:pPr>
        <w:jc w:val="both"/>
        <w:rPr>
          <w:rFonts w:ascii="Times New Roman" w:eastAsia="Calibri" w:hAnsi="Times New Roman" w:cs="Times New Roman"/>
          <w:noProof/>
          <w:sz w:val="24"/>
          <w:szCs w:val="24"/>
        </w:rPr>
      </w:pPr>
    </w:p>
    <w:p w14:paraId="72BBD128" w14:textId="77777777" w:rsidR="0030303D" w:rsidRPr="0030303D" w:rsidRDefault="0030303D" w:rsidP="0030303D">
      <w:pPr>
        <w:pStyle w:val="Heading5"/>
        <w:tabs>
          <w:tab w:val="left" w:pos="316"/>
        </w:tabs>
        <w:ind w:left="0" w:firstLine="0"/>
        <w:jc w:val="both"/>
        <w:rPr>
          <w:rFonts w:ascii="Times New Roman" w:hAnsi="Times New Roman" w:cs="Times New Roman"/>
          <w:noProof/>
          <w:u w:val="single" w:color="000000"/>
        </w:rPr>
      </w:pPr>
      <w:r>
        <w:rPr>
          <w:rFonts w:ascii="Times New Roman" w:hAnsi="Times New Roman"/>
        </w:rPr>
        <w:t xml:space="preserve">V. </w:t>
      </w:r>
      <w:r>
        <w:rPr>
          <w:rFonts w:ascii="Times New Roman" w:hAnsi="Times New Roman"/>
          <w:u w:val="single"/>
        </w:rPr>
        <w:t>Secinājums</w:t>
      </w:r>
    </w:p>
    <w:p w14:paraId="2A53E956" w14:textId="77777777" w:rsidR="0030303D" w:rsidRPr="0030303D" w:rsidRDefault="0030303D" w:rsidP="0030303D">
      <w:pPr>
        <w:jc w:val="both"/>
        <w:rPr>
          <w:rFonts w:ascii="Times New Roman" w:hAnsi="Times New Roman" w:cs="Times New Roman"/>
          <w:noProof/>
          <w:u w:val="single" w:color="000000"/>
        </w:rPr>
      </w:pPr>
    </w:p>
    <w:p w14:paraId="702B612E" w14:textId="77777777" w:rsidR="0030303D" w:rsidRPr="0030303D" w:rsidRDefault="0030303D" w:rsidP="0030303D">
      <w:pPr>
        <w:pStyle w:val="BodyText"/>
        <w:tabs>
          <w:tab w:val="left" w:pos="470"/>
        </w:tabs>
        <w:ind w:left="0"/>
        <w:jc w:val="both"/>
        <w:rPr>
          <w:rFonts w:ascii="Times New Roman" w:hAnsi="Times New Roman" w:cs="Times New Roman"/>
          <w:noProof/>
        </w:rPr>
      </w:pPr>
      <w:r>
        <w:rPr>
          <w:rFonts w:ascii="Times New Roman" w:hAnsi="Times New Roman"/>
        </w:rPr>
        <w:t>1. Maksa par pārsniegtajām emisijām izriet no Savienības politikas par CO</w:t>
      </w:r>
      <w:r>
        <w:rPr>
          <w:rFonts w:ascii="Times New Roman" w:hAnsi="Times New Roman"/>
          <w:vertAlign w:val="subscript"/>
        </w:rPr>
        <w:t>2</w:t>
      </w:r>
      <w:r>
        <w:rPr>
          <w:rFonts w:ascii="Times New Roman" w:hAnsi="Times New Roman"/>
        </w:rPr>
        <w:t xml:space="preserve"> emisiju samazināšanu no vieglajiem transportlīdzekļiem un nelieliem kravas automobiļiem. Regulas (EK) Nr. 443/2009 un Regulas 510/2011 (CO</w:t>
      </w:r>
      <w:r>
        <w:rPr>
          <w:rFonts w:ascii="Times New Roman" w:hAnsi="Times New Roman"/>
          <w:vertAlign w:val="subscript"/>
        </w:rPr>
        <w:t>2</w:t>
      </w:r>
      <w:r>
        <w:rPr>
          <w:rFonts w:ascii="Times New Roman" w:hAnsi="Times New Roman"/>
        </w:rPr>
        <w:t xml:space="preserve"> no nelieliem kravas automobiļiem) pamatmērķi ir samazināt CO</w:t>
      </w:r>
      <w:r>
        <w:rPr>
          <w:rFonts w:ascii="Times New Roman" w:hAnsi="Times New Roman"/>
          <w:vertAlign w:val="subscript"/>
        </w:rPr>
        <w:t>2</w:t>
      </w:r>
      <w:r>
        <w:rPr>
          <w:rFonts w:ascii="Times New Roman" w:hAnsi="Times New Roman"/>
        </w:rPr>
        <w:t xml:space="preserve"> emisijas un veicināt tādu tehnoloģiju izstrādi, kas paredzētas, lai krasi samazinātu CO</w:t>
      </w:r>
      <w:r>
        <w:rPr>
          <w:rFonts w:ascii="Times New Roman" w:hAnsi="Times New Roman"/>
          <w:vertAlign w:val="subscript"/>
        </w:rPr>
        <w:t>2</w:t>
      </w:r>
      <w:r>
        <w:rPr>
          <w:rFonts w:ascii="Times New Roman" w:hAnsi="Times New Roman"/>
        </w:rPr>
        <w:t xml:space="preserve"> emisijas no autotransporta līdzekļiem. Šie mērķi atšķiras no muitas vērtības noteikšanai paredzēto noteikumu mērķa, t. i., izveidot taisnīgu, vienotu un neitrālu preču muitas vērtības noteikšanas sistēmu kopējā muitas tarifa un netarifa pasākumu piemērošanai (SMK 69. pants).</w:t>
      </w:r>
      <w:r>
        <w:rPr>
          <w:rFonts w:ascii="Times New Roman" w:hAnsi="Times New Roman" w:cs="Times New Roman"/>
          <w:noProof/>
          <w:vertAlign w:val="superscript"/>
        </w:rPr>
        <w:footnoteReference w:customMarkFollows="1" w:id="6"/>
        <w:t>51</w:t>
      </w:r>
    </w:p>
    <w:p w14:paraId="4B3C12DA" w14:textId="77777777" w:rsidR="0030303D" w:rsidRPr="0030303D" w:rsidRDefault="0030303D" w:rsidP="0030303D">
      <w:pPr>
        <w:jc w:val="both"/>
        <w:rPr>
          <w:rFonts w:ascii="Times New Roman" w:eastAsia="Calibri" w:hAnsi="Times New Roman" w:cs="Times New Roman"/>
          <w:noProof/>
          <w:sz w:val="24"/>
          <w:szCs w:val="24"/>
        </w:rPr>
      </w:pPr>
    </w:p>
    <w:p w14:paraId="5AAC19D3" w14:textId="77777777" w:rsidR="0030303D" w:rsidRPr="0030303D" w:rsidRDefault="0030303D" w:rsidP="0030303D">
      <w:pPr>
        <w:tabs>
          <w:tab w:val="left" w:pos="470"/>
        </w:tabs>
        <w:jc w:val="both"/>
        <w:rPr>
          <w:rFonts w:ascii="Times New Roman" w:eastAsia="Calibri" w:hAnsi="Times New Roman" w:cs="Times New Roman"/>
          <w:noProof/>
          <w:sz w:val="24"/>
          <w:szCs w:val="24"/>
        </w:rPr>
      </w:pPr>
      <w:r>
        <w:rPr>
          <w:rFonts w:ascii="Times New Roman" w:hAnsi="Times New Roman"/>
          <w:sz w:val="24"/>
        </w:rPr>
        <w:t>2. ES tiesību aktos, ar kuriem reglamentē maksu par pārsniegtajām emisijām, paredzēts, ka</w:t>
      </w:r>
      <w:r>
        <w:rPr>
          <w:rFonts w:ascii="Times New Roman" w:hAnsi="Times New Roman"/>
          <w:b/>
          <w:sz w:val="24"/>
        </w:rPr>
        <w:t xml:space="preserve"> noteicošais faktors, kas izraisa juridiskas sekas, ir jauna mehāniskā transportlīdzekļa reģistrācija dalībvalstī (kā arī Islandē un Norvēģijā); </w:t>
      </w:r>
      <w:r>
        <w:rPr>
          <w:rFonts w:ascii="Times New Roman" w:hAnsi="Times New Roman"/>
          <w:sz w:val="24"/>
        </w:rPr>
        <w:t>šajos tiesību aktos nav aplūkota ievešana ES muitas teritorijā vai jauna mehāniskā transportlīdzekļa laišana brīvā apgrozībā.</w:t>
      </w:r>
      <w:r>
        <w:rPr>
          <w:rStyle w:val="FootnoteReference"/>
          <w:rFonts w:ascii="Times New Roman" w:eastAsia="Calibri" w:hAnsi="Times New Roman" w:cs="Times New Roman"/>
          <w:noProof/>
          <w:sz w:val="24"/>
          <w:szCs w:val="24"/>
        </w:rPr>
        <w:footnoteReference w:customMarkFollows="1" w:id="7"/>
        <w:t>52</w:t>
      </w:r>
      <w:r>
        <w:rPr>
          <w:rFonts w:ascii="Times New Roman" w:hAnsi="Times New Roman"/>
          <w:sz w:val="24"/>
        </w:rPr>
        <w:t xml:space="preserve"> Tāpēc maksa par pārsniegtajām emisijām neietilpst SMK 72. panta f) punkta noteikumu tvērumā, kuros minēti “ievedmuitas nodokļi un citi maksājumi, kas maksājami Savienībā par preču ievešanu vai pārdošanu”.</w:t>
      </w:r>
    </w:p>
    <w:p w14:paraId="17678B52" w14:textId="77777777" w:rsidR="0030303D" w:rsidRPr="0030303D" w:rsidRDefault="0030303D" w:rsidP="0030303D">
      <w:pPr>
        <w:jc w:val="both"/>
        <w:rPr>
          <w:rFonts w:ascii="Times New Roman" w:eastAsia="Calibri" w:hAnsi="Times New Roman" w:cs="Times New Roman"/>
          <w:noProof/>
          <w:sz w:val="24"/>
          <w:szCs w:val="24"/>
        </w:rPr>
      </w:pPr>
    </w:p>
    <w:p w14:paraId="7A589031" w14:textId="77777777" w:rsidR="0030303D" w:rsidRPr="0030303D" w:rsidRDefault="0030303D" w:rsidP="0030303D">
      <w:pPr>
        <w:pStyle w:val="BodyText"/>
        <w:tabs>
          <w:tab w:val="left" w:pos="470"/>
        </w:tabs>
        <w:ind w:left="0"/>
        <w:jc w:val="both"/>
        <w:rPr>
          <w:rFonts w:ascii="Times New Roman" w:hAnsi="Times New Roman" w:cs="Times New Roman"/>
          <w:noProof/>
        </w:rPr>
      </w:pPr>
      <w:r>
        <w:rPr>
          <w:rFonts w:ascii="Times New Roman" w:hAnsi="Times New Roman"/>
        </w:rPr>
        <w:t>3. No otras puses, maksu par pārsniegtajām emisijām maksā ražotājs (vai arī tā tiek maksāta ražotāja vārdā), lai izpildītu ES juridiskās prasības. To maksā neatkarīgi no tā, vai mehāniskais transportlīdzeklis ir ražots Savienībā vai ārpus tās, trešā valstī.</w:t>
      </w:r>
    </w:p>
    <w:p w14:paraId="32A0ABFA" w14:textId="77777777" w:rsidR="0030303D" w:rsidRPr="0030303D" w:rsidRDefault="0030303D" w:rsidP="0030303D">
      <w:pPr>
        <w:jc w:val="both"/>
        <w:rPr>
          <w:rFonts w:ascii="Times New Roman" w:eastAsia="Calibri" w:hAnsi="Times New Roman" w:cs="Times New Roman"/>
          <w:noProof/>
          <w:sz w:val="24"/>
          <w:szCs w:val="24"/>
        </w:rPr>
      </w:pPr>
    </w:p>
    <w:p w14:paraId="58F2592E" w14:textId="77777777" w:rsidR="0030303D" w:rsidRPr="0030303D" w:rsidRDefault="0030303D" w:rsidP="0030303D">
      <w:pPr>
        <w:pStyle w:val="BodyText"/>
        <w:tabs>
          <w:tab w:val="left" w:pos="470"/>
        </w:tabs>
        <w:ind w:left="0"/>
        <w:jc w:val="both"/>
        <w:rPr>
          <w:rFonts w:ascii="Times New Roman" w:hAnsi="Times New Roman" w:cs="Times New Roman"/>
          <w:noProof/>
        </w:rPr>
      </w:pPr>
      <w:r>
        <w:rPr>
          <w:rFonts w:ascii="Times New Roman" w:hAnsi="Times New Roman"/>
        </w:rPr>
        <w:t>4. Saskaņā ar SMK 71. panta 3. punktu, “Nosakot muitas vērtību, pie cenas, kas ir faktiski samaksāta vai maksājama, neko nepieskaita, izņemot šajā pantā paredzētos pieskaitījumus”. Uz maksu par pārsniegtajām emisijām nevar attiecināt SMK 71. pantā noteiktos pieskaitījumus pie cenas, kas ir faktiski samaksāta vai maksājama.</w:t>
      </w:r>
    </w:p>
    <w:p w14:paraId="64541EDD" w14:textId="77777777" w:rsidR="0030303D" w:rsidRPr="0030303D" w:rsidRDefault="0030303D" w:rsidP="0030303D">
      <w:pPr>
        <w:jc w:val="both"/>
        <w:rPr>
          <w:rFonts w:ascii="Times New Roman" w:eastAsia="Calibri" w:hAnsi="Times New Roman" w:cs="Times New Roman"/>
          <w:noProof/>
          <w:sz w:val="24"/>
          <w:szCs w:val="24"/>
        </w:rPr>
      </w:pPr>
    </w:p>
    <w:p w14:paraId="0A30E65F" w14:textId="77777777" w:rsidR="0030303D" w:rsidRPr="0030303D" w:rsidRDefault="0030303D" w:rsidP="0030303D">
      <w:pPr>
        <w:pStyle w:val="BodyText"/>
        <w:tabs>
          <w:tab w:val="left" w:pos="470"/>
        </w:tabs>
        <w:ind w:left="0"/>
        <w:jc w:val="both"/>
        <w:rPr>
          <w:rFonts w:ascii="Times New Roman" w:hAnsi="Times New Roman" w:cs="Times New Roman"/>
          <w:noProof/>
        </w:rPr>
      </w:pPr>
      <w:r>
        <w:rPr>
          <w:rFonts w:ascii="Times New Roman" w:hAnsi="Times New Roman"/>
        </w:rPr>
        <w:t>5. Turklāt maksa par pārsniegtajām emisijām neattiecas uz konkrētu pārdošanas darījumu. Juridiskais pienākums maksāt par emisiju pārsniegumu izriet no mehāniskā transportlīdzekļa reģistrācijas Savienībā, Islandē vai Norvēģijā iepriekšējā kalendārajā gadā, nevis no pārdošanas eksportam uz Savienības muitas teritoriju. Citiem vārdiem sakot, maksa par pārsniegtajām emisijām ir ārpus pašu preču cenas. Tāpēc šī maksa nav daļa no faktiski samaksātās vai maksājamās cenas, kas noteikta SMK 70. panta 2. punktā.</w:t>
      </w:r>
    </w:p>
    <w:p w14:paraId="11027513" w14:textId="77777777" w:rsidR="0030303D" w:rsidRPr="0030303D" w:rsidRDefault="0030303D" w:rsidP="0030303D">
      <w:pPr>
        <w:jc w:val="both"/>
        <w:rPr>
          <w:rFonts w:ascii="Times New Roman" w:eastAsia="Calibri" w:hAnsi="Times New Roman" w:cs="Times New Roman"/>
          <w:noProof/>
          <w:sz w:val="24"/>
          <w:szCs w:val="24"/>
        </w:rPr>
      </w:pPr>
    </w:p>
    <w:p w14:paraId="265213F9" w14:textId="77777777" w:rsidR="0030303D" w:rsidRPr="0030303D" w:rsidRDefault="0030303D" w:rsidP="0030303D">
      <w:pPr>
        <w:pStyle w:val="BodyText"/>
        <w:tabs>
          <w:tab w:val="left" w:pos="470"/>
        </w:tabs>
        <w:ind w:left="0"/>
        <w:jc w:val="both"/>
        <w:rPr>
          <w:rFonts w:ascii="Times New Roman" w:hAnsi="Times New Roman" w:cs="Times New Roman"/>
          <w:noProof/>
        </w:rPr>
      </w:pPr>
      <w:r>
        <w:rPr>
          <w:rFonts w:ascii="Times New Roman" w:hAnsi="Times New Roman"/>
        </w:rPr>
        <w:t>6. Ņemot vērā iepriekš minētos argumentus, maksa par pārsniegtajām emisijām nav būtiska muitas vērtēšanas vajadzībām, un tā nav jāiekļauj ievesto mehānisko transportlīdzekļu muitas vērtībā, ja šī maksa ir skaidri identificējama un norādīta atsevišķi no preču cenas rēķinā, ko izmanto muitas vērtības noteikšanai saskaņā ar darījuma vērtības metodi.</w:t>
      </w:r>
      <w:r>
        <w:rPr>
          <w:rFonts w:ascii="Times New Roman" w:hAnsi="Times New Roman" w:cs="Times New Roman"/>
          <w:noProof/>
          <w:vertAlign w:val="superscript"/>
        </w:rPr>
        <w:footnoteReference w:customMarkFollows="1" w:id="8"/>
        <w:t>53</w:t>
      </w:r>
    </w:p>
    <w:p w14:paraId="35D50888" w14:textId="77777777" w:rsidR="0030303D" w:rsidRPr="0030303D" w:rsidRDefault="0030303D" w:rsidP="0030303D">
      <w:pPr>
        <w:jc w:val="both"/>
        <w:rPr>
          <w:rFonts w:ascii="Times New Roman" w:eastAsia="Calibri" w:hAnsi="Times New Roman" w:cs="Times New Roman"/>
          <w:noProof/>
          <w:sz w:val="24"/>
          <w:szCs w:val="24"/>
        </w:rPr>
      </w:pPr>
    </w:p>
    <w:p w14:paraId="48B5116A" w14:textId="77777777" w:rsidR="0030303D" w:rsidRPr="0030303D" w:rsidRDefault="0030303D" w:rsidP="0030303D">
      <w:pPr>
        <w:pStyle w:val="BodyText"/>
        <w:tabs>
          <w:tab w:val="left" w:pos="470"/>
        </w:tabs>
        <w:ind w:left="0"/>
        <w:jc w:val="both"/>
        <w:rPr>
          <w:rFonts w:ascii="Times New Roman" w:hAnsi="Times New Roman" w:cs="Times New Roman"/>
          <w:noProof/>
        </w:rPr>
      </w:pPr>
      <w:r>
        <w:rPr>
          <w:rFonts w:ascii="Times New Roman" w:hAnsi="Times New Roman"/>
        </w:rPr>
        <w:t>7. Tomēr, ja maksa par pārsniegtajām emisijām jau ir atspoguļota ievesto mehānisko transportlīdzekļu cenā, nav juridiska pamata to neiekļaut muitas vērtībā, jo, kā jau tika uzsvērts, šī maksa neietilpst SMK 72. pantā minētajās izmaksās, to jo īpaši nevar uzskatīt par ievedmuitas nodokli vai citu maksājumu, kas maksājams Savienībā par preču ievešanu vai pārdošanu (SMK 72. panta f) punkts).</w:t>
      </w:r>
    </w:p>
    <w:p w14:paraId="6569D856" w14:textId="77777777" w:rsidR="0030303D" w:rsidRPr="0030303D" w:rsidRDefault="0030303D" w:rsidP="0030303D">
      <w:pPr>
        <w:jc w:val="both"/>
        <w:rPr>
          <w:rFonts w:ascii="Times New Roman" w:eastAsia="Calibri" w:hAnsi="Times New Roman" w:cs="Times New Roman"/>
          <w:noProof/>
          <w:sz w:val="24"/>
          <w:szCs w:val="24"/>
        </w:rPr>
      </w:pPr>
    </w:p>
    <w:sectPr w:rsidR="0030303D" w:rsidRPr="0030303D" w:rsidSect="001453A9">
      <w:headerReference w:type="default" r:id="rId11"/>
      <w:footerReference w:type="default" r:id="rId12"/>
      <w:headerReference w:type="first" r:id="rId13"/>
      <w:footerReference w:type="first" r:id="rId14"/>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82F46" w14:textId="77777777" w:rsidR="002F6D03" w:rsidRPr="0030303D" w:rsidRDefault="002F6D03" w:rsidP="002F6D03">
      <w:pPr>
        <w:rPr>
          <w:noProof/>
        </w:rPr>
      </w:pPr>
      <w:r w:rsidRPr="0030303D">
        <w:rPr>
          <w:noProof/>
        </w:rPr>
        <w:separator/>
      </w:r>
    </w:p>
  </w:endnote>
  <w:endnote w:type="continuationSeparator" w:id="0">
    <w:p w14:paraId="607E0A5B" w14:textId="77777777" w:rsidR="002F6D03" w:rsidRPr="0030303D" w:rsidRDefault="002F6D03" w:rsidP="002F6D03">
      <w:pPr>
        <w:rPr>
          <w:noProof/>
        </w:rPr>
      </w:pPr>
      <w:r w:rsidRPr="0030303D">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0D69A" w14:textId="77777777" w:rsidR="00661151" w:rsidRPr="003E47FA" w:rsidRDefault="00661151" w:rsidP="00661151">
    <w:pPr>
      <w:pStyle w:val="Header"/>
      <w:tabs>
        <w:tab w:val="left" w:pos="9072"/>
      </w:tabs>
      <w:jc w:val="both"/>
      <w:rPr>
        <w:rStyle w:val="PageNumber"/>
        <w:rFonts w:ascii="Times New Roman" w:hAnsi="Times New Roman" w:cs="Times New Roman"/>
        <w:sz w:val="20"/>
        <w:szCs w:val="20"/>
      </w:rPr>
    </w:pPr>
  </w:p>
  <w:p w14:paraId="4505CDA7" w14:textId="77777777" w:rsidR="00661151" w:rsidRPr="003E47FA" w:rsidRDefault="00661151" w:rsidP="00661151">
    <w:pPr>
      <w:pStyle w:val="Header"/>
      <w:tabs>
        <w:tab w:val="clear" w:pos="4513"/>
        <w:tab w:val="clear" w:pos="9026"/>
        <w:tab w:val="right" w:leader="underscore" w:pos="9072"/>
      </w:tabs>
      <w:jc w:val="both"/>
      <w:rPr>
        <w:rStyle w:val="PageNumber"/>
        <w:rFonts w:ascii="Times New Roman" w:hAnsi="Times New Roman" w:cs="Times New Roman"/>
        <w:sz w:val="20"/>
        <w:szCs w:val="20"/>
      </w:rPr>
    </w:pPr>
    <w:r w:rsidRPr="003E47FA">
      <w:rPr>
        <w:rStyle w:val="PageNumber"/>
        <w:rFonts w:ascii="Times New Roman" w:hAnsi="Times New Roman" w:cs="Times New Roman"/>
        <w:sz w:val="20"/>
        <w:szCs w:val="20"/>
      </w:rPr>
      <w:tab/>
    </w:r>
  </w:p>
  <w:p w14:paraId="0AAF5551" w14:textId="77777777" w:rsidR="00661151" w:rsidRPr="003E47FA" w:rsidRDefault="00661151" w:rsidP="00661151">
    <w:pPr>
      <w:pStyle w:val="Header"/>
      <w:tabs>
        <w:tab w:val="right" w:pos="9072"/>
      </w:tabs>
      <w:jc w:val="both"/>
      <w:rPr>
        <w:rStyle w:val="PageNumber"/>
        <w:rFonts w:ascii="Times New Roman" w:hAnsi="Times New Roman" w:cs="Times New Roman"/>
        <w:sz w:val="20"/>
        <w:szCs w:val="20"/>
      </w:rPr>
    </w:pPr>
  </w:p>
  <w:p w14:paraId="078F6B87" w14:textId="5BAC5D4A" w:rsidR="0030303D" w:rsidRPr="00661151" w:rsidRDefault="00661151" w:rsidP="00661151">
    <w:pPr>
      <w:pStyle w:val="Footer"/>
      <w:tabs>
        <w:tab w:val="clear" w:pos="4513"/>
        <w:tab w:val="clear" w:pos="9026"/>
        <w:tab w:val="center" w:pos="9072"/>
      </w:tabs>
      <w:jc w:val="both"/>
      <w:rPr>
        <w:rFonts w:ascii="Times New Roman" w:hAnsi="Times New Roman" w:cs="Times New Roman"/>
        <w:sz w:val="20"/>
        <w:szCs w:val="20"/>
      </w:rPr>
    </w:pPr>
    <w:r w:rsidRPr="003E47FA">
      <w:rPr>
        <w:rFonts w:ascii="Times New Roman" w:hAnsi="Times New Roman" w:cs="Times New Roman"/>
        <w:sz w:val="20"/>
        <w:szCs w:val="20"/>
      </w:rPr>
      <w:t xml:space="preserve">Tulkojums </w:t>
    </w:r>
    <w:r w:rsidRPr="003E47FA">
      <w:rPr>
        <w:rFonts w:ascii="Times New Roman" w:hAnsi="Times New Roman" w:cs="Times New Roman"/>
        <w:sz w:val="20"/>
        <w:szCs w:val="20"/>
      </w:rPr>
      <w:fldChar w:fldCharType="begin"/>
    </w:r>
    <w:r w:rsidRPr="003E47FA">
      <w:rPr>
        <w:rFonts w:ascii="Times New Roman" w:hAnsi="Times New Roman" w:cs="Times New Roman"/>
        <w:sz w:val="20"/>
        <w:szCs w:val="20"/>
      </w:rPr>
      <w:instrText>symbol 211 \f "Symbol" \s 9</w:instrText>
    </w:r>
    <w:r w:rsidRPr="003E47FA">
      <w:rPr>
        <w:rFonts w:ascii="Times New Roman" w:hAnsi="Times New Roman" w:cs="Times New Roman"/>
        <w:sz w:val="20"/>
        <w:szCs w:val="20"/>
      </w:rPr>
      <w:fldChar w:fldCharType="separate"/>
    </w:r>
    <w:r w:rsidRPr="003E47FA">
      <w:rPr>
        <w:rFonts w:ascii="Times New Roman" w:hAnsi="Times New Roman" w:cs="Times New Roman"/>
        <w:sz w:val="20"/>
        <w:szCs w:val="20"/>
      </w:rPr>
      <w:t>Ó</w:t>
    </w:r>
    <w:r w:rsidRPr="003E47FA">
      <w:rPr>
        <w:rFonts w:ascii="Times New Roman" w:hAnsi="Times New Roman" w:cs="Times New Roman"/>
        <w:sz w:val="20"/>
        <w:szCs w:val="20"/>
      </w:rPr>
      <w:fldChar w:fldCharType="end"/>
    </w:r>
    <w:r w:rsidRPr="003E47FA">
      <w:rPr>
        <w:rFonts w:ascii="Times New Roman" w:hAnsi="Times New Roman" w:cs="Times New Roman"/>
        <w:sz w:val="20"/>
        <w:szCs w:val="20"/>
      </w:rPr>
      <w:t xml:space="preserve"> Valsts valodas centrs, 202</w:t>
    </w:r>
    <w:r>
      <w:rPr>
        <w:rFonts w:ascii="Times New Roman" w:hAnsi="Times New Roman" w:cs="Times New Roman"/>
        <w:sz w:val="20"/>
        <w:szCs w:val="20"/>
      </w:rPr>
      <w:t>2</w:t>
    </w:r>
    <w:r w:rsidRPr="003E47FA">
      <w:rPr>
        <w:rFonts w:ascii="Times New Roman" w:hAnsi="Times New Roman" w:cs="Times New Roman"/>
        <w:sz w:val="20"/>
        <w:szCs w:val="20"/>
      </w:rPr>
      <w:tab/>
    </w:r>
    <w:r w:rsidRPr="003E47FA">
      <w:rPr>
        <w:rStyle w:val="PageNumber"/>
        <w:rFonts w:ascii="Times New Roman" w:hAnsi="Times New Roman" w:cs="Times New Roman"/>
        <w:sz w:val="20"/>
        <w:szCs w:val="20"/>
      </w:rPr>
      <w:fldChar w:fldCharType="begin"/>
    </w:r>
    <w:r w:rsidRPr="003E47FA">
      <w:rPr>
        <w:rStyle w:val="PageNumber"/>
        <w:rFonts w:ascii="Times New Roman" w:hAnsi="Times New Roman" w:cs="Times New Roman"/>
        <w:sz w:val="20"/>
        <w:szCs w:val="20"/>
      </w:rPr>
      <w:instrText xml:space="preserve">page </w:instrText>
    </w:r>
    <w:r w:rsidRPr="003E47FA">
      <w:rPr>
        <w:rStyle w:val="PageNumber"/>
        <w:rFonts w:ascii="Times New Roman" w:hAnsi="Times New Roman" w:cs="Times New Roman"/>
        <w:sz w:val="20"/>
        <w:szCs w:val="20"/>
      </w:rPr>
      <w:fldChar w:fldCharType="separate"/>
    </w:r>
    <w:r>
      <w:rPr>
        <w:rStyle w:val="PageNumber"/>
        <w:rFonts w:ascii="Times New Roman" w:hAnsi="Times New Roman" w:cs="Times New Roman"/>
        <w:sz w:val="20"/>
        <w:szCs w:val="20"/>
      </w:rPr>
      <w:t>2</w:t>
    </w:r>
    <w:r w:rsidRPr="003E47FA">
      <w:rPr>
        <w:rStyle w:val="PageNumber"/>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915BF" w14:textId="77777777" w:rsidR="00153C4C" w:rsidRPr="003F25D0" w:rsidRDefault="00153C4C" w:rsidP="00153C4C">
    <w:pPr>
      <w:pStyle w:val="Header"/>
      <w:tabs>
        <w:tab w:val="left" w:pos="9072"/>
      </w:tabs>
      <w:jc w:val="both"/>
      <w:rPr>
        <w:rStyle w:val="PageNumber"/>
        <w:rFonts w:ascii="Times New Roman" w:hAnsi="Times New Roman"/>
        <w:sz w:val="20"/>
        <w:szCs w:val="18"/>
      </w:rPr>
    </w:pPr>
    <w:bookmarkStart w:id="15" w:name="_Hlk496261764"/>
    <w:bookmarkStart w:id="16" w:name="_Hlk496261765"/>
    <w:bookmarkStart w:id="17" w:name="_Hlk496261766"/>
    <w:bookmarkStart w:id="18" w:name="_Hlk30491075"/>
    <w:bookmarkStart w:id="19" w:name="_Hlk30491076"/>
  </w:p>
  <w:p w14:paraId="12C4319B" w14:textId="77777777" w:rsidR="00153C4C" w:rsidRPr="003F25D0" w:rsidRDefault="00153C4C" w:rsidP="00153C4C">
    <w:pPr>
      <w:pStyle w:val="Header"/>
      <w:tabs>
        <w:tab w:val="clear" w:pos="4513"/>
        <w:tab w:val="clear" w:pos="9026"/>
        <w:tab w:val="left" w:leader="underscore" w:pos="9072"/>
      </w:tabs>
      <w:jc w:val="both"/>
      <w:rPr>
        <w:rStyle w:val="PageNumber"/>
        <w:rFonts w:ascii="Times New Roman" w:hAnsi="Times New Roman"/>
        <w:sz w:val="20"/>
        <w:szCs w:val="18"/>
      </w:rPr>
    </w:pPr>
    <w:r w:rsidRPr="003F25D0">
      <w:rPr>
        <w:rStyle w:val="PageNumber"/>
        <w:rFonts w:ascii="Times New Roman" w:hAnsi="Times New Roman"/>
        <w:sz w:val="20"/>
        <w:szCs w:val="18"/>
      </w:rPr>
      <w:tab/>
    </w:r>
  </w:p>
  <w:p w14:paraId="0BAFCC79" w14:textId="77777777" w:rsidR="00153C4C" w:rsidRPr="003F25D0" w:rsidRDefault="00153C4C" w:rsidP="00153C4C">
    <w:pPr>
      <w:pStyle w:val="Header"/>
      <w:tabs>
        <w:tab w:val="left" w:pos="9072"/>
      </w:tabs>
      <w:jc w:val="both"/>
      <w:rPr>
        <w:rStyle w:val="PageNumber"/>
        <w:rFonts w:ascii="Times New Roman" w:hAnsi="Times New Roman"/>
        <w:sz w:val="20"/>
        <w:szCs w:val="18"/>
      </w:rPr>
    </w:pPr>
  </w:p>
  <w:p w14:paraId="6AC153DC" w14:textId="10DC16C1" w:rsidR="0030303D" w:rsidRPr="00153C4C" w:rsidRDefault="00153C4C" w:rsidP="00153C4C">
    <w:pPr>
      <w:pStyle w:val="Footer"/>
      <w:jc w:val="both"/>
      <w:rPr>
        <w:rFonts w:ascii="Times New Roman" w:hAnsi="Times New Roman"/>
        <w:sz w:val="20"/>
        <w:szCs w:val="18"/>
      </w:rPr>
    </w:pPr>
    <w:r w:rsidRPr="003F25D0">
      <w:rPr>
        <w:rFonts w:ascii="Times New Roman" w:hAnsi="Times New Roman"/>
        <w:sz w:val="20"/>
        <w:szCs w:val="18"/>
      </w:rPr>
      <w:t xml:space="preserve">Tulkojums </w:t>
    </w:r>
    <w:r w:rsidRPr="003F25D0">
      <w:rPr>
        <w:rFonts w:ascii="Times New Roman" w:hAnsi="Times New Roman"/>
        <w:sz w:val="20"/>
        <w:szCs w:val="18"/>
      </w:rPr>
      <w:fldChar w:fldCharType="begin"/>
    </w:r>
    <w:r w:rsidRPr="003F25D0">
      <w:rPr>
        <w:rFonts w:ascii="Times New Roman" w:hAnsi="Times New Roman"/>
        <w:sz w:val="20"/>
        <w:szCs w:val="18"/>
      </w:rPr>
      <w:instrText>symbol 211 \f "Symbol" \s 9</w:instrText>
    </w:r>
    <w:r w:rsidRPr="003F25D0">
      <w:rPr>
        <w:rFonts w:ascii="Times New Roman" w:hAnsi="Times New Roman"/>
        <w:sz w:val="20"/>
        <w:szCs w:val="18"/>
      </w:rPr>
      <w:fldChar w:fldCharType="separate"/>
    </w:r>
    <w:r w:rsidRPr="003F25D0">
      <w:rPr>
        <w:rFonts w:ascii="Times New Roman" w:hAnsi="Times New Roman"/>
        <w:sz w:val="20"/>
        <w:szCs w:val="18"/>
      </w:rPr>
      <w:t>Ó</w:t>
    </w:r>
    <w:r w:rsidRPr="003F25D0">
      <w:rPr>
        <w:rFonts w:ascii="Times New Roman" w:hAnsi="Times New Roman"/>
        <w:sz w:val="20"/>
        <w:szCs w:val="18"/>
      </w:rPr>
      <w:fldChar w:fldCharType="end"/>
    </w:r>
    <w:r w:rsidRPr="003F25D0">
      <w:rPr>
        <w:rFonts w:ascii="Times New Roman" w:hAnsi="Times New Roman"/>
        <w:sz w:val="20"/>
        <w:szCs w:val="18"/>
      </w:rPr>
      <w:t xml:space="preserve"> Valsts valodas centrs, 20</w:t>
    </w:r>
    <w:bookmarkEnd w:id="15"/>
    <w:bookmarkEnd w:id="16"/>
    <w:bookmarkEnd w:id="17"/>
    <w:r w:rsidRPr="003F25D0">
      <w:rPr>
        <w:rFonts w:ascii="Times New Roman" w:hAnsi="Times New Roman"/>
        <w:sz w:val="20"/>
        <w:szCs w:val="18"/>
      </w:rPr>
      <w:t>2</w:t>
    </w:r>
    <w:bookmarkEnd w:id="18"/>
    <w:bookmarkEnd w:id="19"/>
    <w:r>
      <w:rPr>
        <w:rFonts w:ascii="Times New Roman" w:hAnsi="Times New Roman"/>
        <w:sz w:val="20"/>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24A1F" w14:textId="77777777" w:rsidR="002F6D03" w:rsidRPr="0030303D" w:rsidRDefault="002F6D03" w:rsidP="002F6D03">
      <w:pPr>
        <w:rPr>
          <w:noProof/>
        </w:rPr>
      </w:pPr>
      <w:r w:rsidRPr="0030303D">
        <w:rPr>
          <w:noProof/>
        </w:rPr>
        <w:separator/>
      </w:r>
    </w:p>
  </w:footnote>
  <w:footnote w:type="continuationSeparator" w:id="0">
    <w:p w14:paraId="2A8BC81D" w14:textId="77777777" w:rsidR="002F6D03" w:rsidRPr="0030303D" w:rsidRDefault="002F6D03" w:rsidP="002F6D03">
      <w:pPr>
        <w:rPr>
          <w:noProof/>
        </w:rPr>
      </w:pPr>
      <w:r w:rsidRPr="0030303D">
        <w:rPr>
          <w:noProof/>
        </w:rPr>
        <w:continuationSeparator/>
      </w:r>
    </w:p>
  </w:footnote>
  <w:footnote w:id="1">
    <w:p w14:paraId="289D4A5D" w14:textId="77777777" w:rsidR="0030303D" w:rsidRPr="0030303D" w:rsidRDefault="0030303D" w:rsidP="0030303D">
      <w:pPr>
        <w:pStyle w:val="FootnoteText"/>
        <w:jc w:val="both"/>
        <w:rPr>
          <w:rFonts w:ascii="Times New Roman" w:hAnsi="Times New Roman" w:cs="Times New Roman"/>
          <w:noProof/>
        </w:rPr>
      </w:pPr>
      <w:r>
        <w:rPr>
          <w:rStyle w:val="FootnoteReference"/>
          <w:rFonts w:ascii="Times New Roman" w:hAnsi="Times New Roman"/>
        </w:rPr>
        <w:t>46</w:t>
      </w:r>
      <w:r>
        <w:rPr>
          <w:rFonts w:ascii="Times New Roman" w:hAnsi="Times New Roman"/>
        </w:rPr>
        <w:t xml:space="preserve"> Eiropas Parlamenta un Padomes 2009. gada 23. aprīļa Regula (EK) Nr. 443/2009, ar ko, īstenojot daļu no Kopienas integrētās pieejas CO</w:t>
      </w:r>
      <w:r>
        <w:rPr>
          <w:rFonts w:ascii="Times New Roman" w:hAnsi="Times New Roman"/>
          <w:vertAlign w:val="subscript"/>
        </w:rPr>
        <w:t>2</w:t>
      </w:r>
      <w:r>
        <w:rPr>
          <w:rFonts w:ascii="Times New Roman" w:hAnsi="Times New Roman"/>
        </w:rPr>
        <w:t xml:space="preserve"> emisiju samazināšanai no vieglajiem transportlīdzekļiem, nosaka emisijas standartus jauniem vieglajiem automobiļiem (dokuments attiecas uz EEZ), OV, L 140, 05.06.2009., 1.–15. lpp.</w:t>
      </w:r>
    </w:p>
  </w:footnote>
  <w:footnote w:id="2">
    <w:p w14:paraId="353A9393" w14:textId="77777777" w:rsidR="0030303D" w:rsidRPr="0030303D" w:rsidRDefault="0030303D" w:rsidP="0030303D">
      <w:pPr>
        <w:pStyle w:val="FootnoteText"/>
        <w:jc w:val="both"/>
        <w:rPr>
          <w:rFonts w:ascii="Times New Roman" w:hAnsi="Times New Roman" w:cs="Times New Roman"/>
          <w:noProof/>
        </w:rPr>
      </w:pPr>
      <w:r>
        <w:rPr>
          <w:rStyle w:val="FootnoteReference"/>
          <w:rFonts w:ascii="Times New Roman" w:hAnsi="Times New Roman"/>
        </w:rPr>
        <w:t>47</w:t>
      </w:r>
      <w:r>
        <w:rPr>
          <w:rFonts w:ascii="Times New Roman" w:hAnsi="Times New Roman"/>
        </w:rPr>
        <w:t xml:space="preserve"> Eiropas Parlamenta un Padomes 2011. gada 11. maija Regula (ES) Nr. 510/2011 par emisiju standartu noteikšanu jauniem vieglajiem kravas automobiļiem saistībā ar Savienības integrēto pieeju vieglo transportlīdzekļu CO</w:t>
      </w:r>
      <w:r>
        <w:rPr>
          <w:rFonts w:ascii="Times New Roman" w:hAnsi="Times New Roman"/>
          <w:vertAlign w:val="subscript"/>
        </w:rPr>
        <w:t>2</w:t>
      </w:r>
      <w:r>
        <w:rPr>
          <w:rFonts w:ascii="Times New Roman" w:hAnsi="Times New Roman"/>
        </w:rPr>
        <w:t xml:space="preserve"> emisiju samazināšanai. Dokuments attiecas uz EEZ, OV, L 145, 31.05.2011., 1.–18. lpp.</w:t>
      </w:r>
    </w:p>
  </w:footnote>
  <w:footnote w:id="3">
    <w:p w14:paraId="233C3450" w14:textId="77777777" w:rsidR="0030303D" w:rsidRPr="0030303D" w:rsidRDefault="0030303D" w:rsidP="0030303D">
      <w:pPr>
        <w:pStyle w:val="FootnoteText"/>
        <w:jc w:val="both"/>
        <w:rPr>
          <w:rFonts w:ascii="Times New Roman" w:hAnsi="Times New Roman" w:cs="Times New Roman"/>
          <w:noProof/>
        </w:rPr>
      </w:pPr>
      <w:r>
        <w:rPr>
          <w:rStyle w:val="FootnoteReference"/>
          <w:rFonts w:ascii="Times New Roman" w:hAnsi="Times New Roman"/>
        </w:rPr>
        <w:t>48</w:t>
      </w:r>
      <w:r>
        <w:rPr>
          <w:rFonts w:ascii="Times New Roman" w:hAnsi="Times New Roman"/>
        </w:rPr>
        <w:t xml:space="preserve"> Eiropas Parlamenta un Padomes 2019. gada 17. aprīļa Regula (ES) 2019/631 par CO</w:t>
      </w:r>
      <w:r>
        <w:rPr>
          <w:rFonts w:ascii="Times New Roman" w:hAnsi="Times New Roman"/>
          <w:vertAlign w:val="subscript"/>
        </w:rPr>
        <w:t>2</w:t>
      </w:r>
      <w:r>
        <w:rPr>
          <w:rFonts w:ascii="Times New Roman" w:hAnsi="Times New Roman"/>
        </w:rPr>
        <w:t xml:space="preserve"> emisiju standartu noteikšanu jauniem vieglajiem pasažieru automobiļiem un jauniem vieglajiem komerciālajiem transportlīdzekļiem un ar kuru atceļ Regulu (EK) Nr. 443/2009 un Regulu (ES) Nr. 510/2011, OV, L 111, 25.04.2019., 13.–53. lpp.</w:t>
      </w:r>
    </w:p>
  </w:footnote>
  <w:footnote w:id="4">
    <w:p w14:paraId="57AFA698" w14:textId="77777777" w:rsidR="0030303D" w:rsidRPr="0030303D" w:rsidRDefault="0030303D" w:rsidP="0030303D">
      <w:pPr>
        <w:pStyle w:val="FootnoteText"/>
        <w:jc w:val="both"/>
        <w:rPr>
          <w:rFonts w:ascii="Times New Roman" w:hAnsi="Times New Roman" w:cs="Times New Roman"/>
          <w:noProof/>
        </w:rPr>
      </w:pPr>
      <w:r>
        <w:rPr>
          <w:rStyle w:val="FootnoteReference"/>
          <w:rFonts w:ascii="Times New Roman" w:hAnsi="Times New Roman"/>
        </w:rPr>
        <w:t>49</w:t>
      </w:r>
      <w:r>
        <w:rPr>
          <w:rFonts w:ascii="Times New Roman" w:hAnsi="Times New Roman"/>
        </w:rPr>
        <w:t xml:space="preserve"> Eiropas Parlamenta un Padomes 2013. gada 9. oktobra Regula (ES) Nr. 952/2013, ar ko izveido Savienības Muitas kodeksu, OV, L 269, 10.10.2013., 1.–101. lpp.</w:t>
      </w:r>
    </w:p>
  </w:footnote>
  <w:footnote w:id="5">
    <w:p w14:paraId="089704A4" w14:textId="77777777" w:rsidR="0030303D" w:rsidRPr="0030303D" w:rsidRDefault="0030303D" w:rsidP="0030303D">
      <w:pPr>
        <w:pStyle w:val="FootnoteText"/>
        <w:jc w:val="both"/>
        <w:rPr>
          <w:rFonts w:ascii="Times New Roman" w:hAnsi="Times New Roman" w:cs="Times New Roman"/>
          <w:noProof/>
        </w:rPr>
      </w:pPr>
      <w:r>
        <w:rPr>
          <w:rStyle w:val="FootnoteReference"/>
          <w:rFonts w:ascii="Times New Roman" w:hAnsi="Times New Roman"/>
        </w:rPr>
        <w:t>50</w:t>
      </w:r>
      <w:r>
        <w:rPr>
          <w:rFonts w:ascii="Times New Roman" w:hAnsi="Times New Roman"/>
        </w:rPr>
        <w:t xml:space="preserve"> Komisijas 2015. gada 24. novembra Īstenošanas regula (ES) 2015/2447, ar ko paredz sīki izstrādātus noteikumus, kas vajadzīgi, lai īstenotu konkrētus noteikumus Eiropas Parlamenta un Padomes Regulā (ES) Nr. 952/2013, ar ko izveido Savienības Muitas kodeksu.</w:t>
      </w:r>
    </w:p>
  </w:footnote>
  <w:footnote w:id="6">
    <w:p w14:paraId="2499BEE1" w14:textId="77777777" w:rsidR="0030303D" w:rsidRPr="0030303D" w:rsidRDefault="0030303D" w:rsidP="0030303D">
      <w:pPr>
        <w:tabs>
          <w:tab w:val="left" w:pos="319"/>
        </w:tabs>
        <w:jc w:val="both"/>
        <w:rPr>
          <w:rFonts w:ascii="Times New Roman" w:hAnsi="Times New Roman" w:cs="Times New Roman"/>
          <w:noProof/>
          <w:sz w:val="20"/>
          <w:szCs w:val="20"/>
        </w:rPr>
      </w:pPr>
      <w:r>
        <w:rPr>
          <w:rStyle w:val="FootnoteReference"/>
          <w:rFonts w:ascii="Times New Roman" w:hAnsi="Times New Roman"/>
          <w:sz w:val="20"/>
        </w:rPr>
        <w:t>51</w:t>
      </w:r>
      <w:r>
        <w:rPr>
          <w:rFonts w:ascii="Times New Roman" w:hAnsi="Times New Roman"/>
          <w:sz w:val="20"/>
        </w:rPr>
        <w:t xml:space="preserve"> Skatīt arī EKT nolēmumu Lietā 7/83 (“Ospig Textilgesellschaft KG W. Ahlers”).</w:t>
      </w:r>
    </w:p>
  </w:footnote>
  <w:footnote w:id="7">
    <w:p w14:paraId="393C732A" w14:textId="77777777" w:rsidR="0030303D" w:rsidRPr="0030303D" w:rsidRDefault="0030303D" w:rsidP="0030303D">
      <w:pPr>
        <w:tabs>
          <w:tab w:val="left" w:pos="323"/>
        </w:tabs>
        <w:jc w:val="both"/>
        <w:rPr>
          <w:rFonts w:ascii="Times New Roman" w:hAnsi="Times New Roman" w:cs="Times New Roman"/>
          <w:noProof/>
          <w:sz w:val="24"/>
          <w:szCs w:val="24"/>
        </w:rPr>
      </w:pPr>
      <w:r>
        <w:rPr>
          <w:rStyle w:val="FootnoteReference"/>
          <w:rFonts w:ascii="Times New Roman" w:hAnsi="Times New Roman"/>
          <w:sz w:val="20"/>
        </w:rPr>
        <w:t>52</w:t>
      </w:r>
      <w:r>
        <w:rPr>
          <w:rFonts w:ascii="Times New Roman" w:hAnsi="Times New Roman"/>
          <w:sz w:val="20"/>
        </w:rPr>
        <w:t xml:space="preserve"> Papildu apsvērumus par automobiļu reģistrāciju ES un saistību ar</w:t>
      </w:r>
      <w:r>
        <w:rPr>
          <w:rFonts w:ascii="Times New Roman" w:hAnsi="Times New Roman"/>
          <w:sz w:val="24"/>
        </w:rPr>
        <w:t xml:space="preserve"> </w:t>
      </w:r>
      <w:r>
        <w:rPr>
          <w:rFonts w:ascii="Times New Roman" w:hAnsi="Times New Roman"/>
          <w:sz w:val="20"/>
        </w:rPr>
        <w:t>ievedmuitas nodokļiem vai līdzvērtīgas iedarbības maksājumu var atrast vairākās EKT lietās (piemēram, C-313/05 “Bžeziņskis [</w:t>
      </w:r>
      <w:r>
        <w:rPr>
          <w:rFonts w:ascii="Times New Roman" w:hAnsi="Times New Roman"/>
          <w:i/>
          <w:iCs/>
          <w:sz w:val="20"/>
        </w:rPr>
        <w:t>Brzeziński</w:t>
      </w:r>
      <w:r>
        <w:rPr>
          <w:rFonts w:ascii="Times New Roman" w:hAnsi="Times New Roman"/>
          <w:sz w:val="20"/>
        </w:rPr>
        <w:t>]” u. c.).</w:t>
      </w:r>
    </w:p>
  </w:footnote>
  <w:footnote w:id="8">
    <w:p w14:paraId="5F1AD94A" w14:textId="77777777" w:rsidR="0030303D" w:rsidRPr="0030303D" w:rsidRDefault="0030303D" w:rsidP="0030303D">
      <w:pPr>
        <w:tabs>
          <w:tab w:val="left" w:pos="319"/>
        </w:tabs>
        <w:jc w:val="both"/>
        <w:rPr>
          <w:rFonts w:ascii="Times New Roman" w:hAnsi="Times New Roman" w:cs="Times New Roman"/>
          <w:noProof/>
          <w:sz w:val="20"/>
          <w:szCs w:val="20"/>
        </w:rPr>
      </w:pPr>
      <w:r>
        <w:rPr>
          <w:rStyle w:val="FootnoteReference"/>
          <w:rFonts w:ascii="Times New Roman" w:hAnsi="Times New Roman"/>
          <w:sz w:val="20"/>
        </w:rPr>
        <w:t>53</w:t>
      </w:r>
      <w:r>
        <w:rPr>
          <w:rFonts w:ascii="Times New Roman" w:hAnsi="Times New Roman"/>
          <w:sz w:val="20"/>
        </w:rPr>
        <w:t xml:space="preserve"> Skatīt arī EKT nolēmumu Lietā C-219/88 (“Malt GmbH”).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0AC89" w14:textId="77777777" w:rsidR="004D5258" w:rsidRPr="0075517C" w:rsidRDefault="004D5258" w:rsidP="004D5258">
    <w:pPr>
      <w:pStyle w:val="Header"/>
      <w:rPr>
        <w:rStyle w:val="PageNumber"/>
        <w:rFonts w:ascii="Times New Roman" w:hAnsi="Times New Roman" w:cs="Times New Roman"/>
        <w:sz w:val="20"/>
        <w:szCs w:val="20"/>
      </w:rPr>
    </w:pPr>
    <w:bookmarkStart w:id="1" w:name="_Hlk496261784"/>
    <w:bookmarkStart w:id="2" w:name="_Hlk496261785"/>
    <w:bookmarkStart w:id="3" w:name="_Hlk496261786"/>
    <w:bookmarkStart w:id="4" w:name="_Hlk502757728"/>
    <w:bookmarkStart w:id="5" w:name="_Hlk502757729"/>
    <w:bookmarkStart w:id="6" w:name="_Hlk502757738"/>
    <w:bookmarkStart w:id="7" w:name="_Hlk502757739"/>
    <w:bookmarkStart w:id="8" w:name="_Hlk30491084"/>
    <w:bookmarkStart w:id="9" w:name="_Hlk30491085"/>
  </w:p>
  <w:p w14:paraId="62B7F68F" w14:textId="77777777" w:rsidR="004D5258" w:rsidRPr="0075517C" w:rsidRDefault="004D5258" w:rsidP="004D5258">
    <w:pPr>
      <w:pStyle w:val="Header"/>
      <w:tabs>
        <w:tab w:val="clear" w:pos="4513"/>
        <w:tab w:val="clear" w:pos="9026"/>
        <w:tab w:val="right" w:leader="underscore" w:pos="9072"/>
      </w:tabs>
      <w:rPr>
        <w:rStyle w:val="PageNumber"/>
        <w:rFonts w:ascii="Times New Roman" w:hAnsi="Times New Roman" w:cs="Times New Roman"/>
        <w:sz w:val="20"/>
        <w:szCs w:val="20"/>
      </w:rPr>
    </w:pPr>
    <w:r w:rsidRPr="0075517C">
      <w:rPr>
        <w:rStyle w:val="PageNumber"/>
        <w:rFonts w:ascii="Times New Roman" w:hAnsi="Times New Roman" w:cs="Times New Roman"/>
        <w:sz w:val="20"/>
        <w:szCs w:val="20"/>
      </w:rPr>
      <w:tab/>
    </w:r>
  </w:p>
  <w:bookmarkEnd w:id="1"/>
  <w:bookmarkEnd w:id="2"/>
  <w:bookmarkEnd w:id="3"/>
  <w:bookmarkEnd w:id="4"/>
  <w:bookmarkEnd w:id="5"/>
  <w:bookmarkEnd w:id="6"/>
  <w:bookmarkEnd w:id="7"/>
  <w:bookmarkEnd w:id="8"/>
  <w:bookmarkEnd w:id="9"/>
  <w:p w14:paraId="5CED57F8" w14:textId="77777777" w:rsidR="0030303D" w:rsidRDefault="003030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65D88" w14:textId="77777777" w:rsidR="00087105" w:rsidRPr="000F66E7" w:rsidRDefault="00087105" w:rsidP="00087105">
    <w:pPr>
      <w:pBdr>
        <w:bottom w:val="single" w:sz="12" w:space="5" w:color="auto"/>
      </w:pBdr>
      <w:rPr>
        <w:rFonts w:ascii="Times New Roman" w:hAnsi="Times New Roman" w:cs="Times New Roman"/>
        <w:spacing w:val="-2"/>
        <w:sz w:val="20"/>
        <w:szCs w:val="20"/>
      </w:rPr>
    </w:pPr>
    <w:bookmarkStart w:id="10" w:name="_Hlk496261745"/>
    <w:bookmarkStart w:id="11" w:name="_Hlk496261746"/>
    <w:bookmarkStart w:id="12" w:name="_Hlk496261747"/>
    <w:bookmarkStart w:id="13" w:name="_Hlk30491063"/>
    <w:bookmarkStart w:id="14" w:name="_Hlk30491064"/>
  </w:p>
  <w:bookmarkEnd w:id="10"/>
  <w:bookmarkEnd w:id="11"/>
  <w:bookmarkEnd w:id="12"/>
  <w:bookmarkEnd w:id="13"/>
  <w:bookmarkEnd w:id="14"/>
  <w:p w14:paraId="7E0E2F9E" w14:textId="77777777" w:rsidR="0030303D" w:rsidRDefault="003030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52C82"/>
    <w:multiLevelType w:val="hybridMultilevel"/>
    <w:tmpl w:val="5A18ACCA"/>
    <w:lvl w:ilvl="0" w:tplc="745C5F22">
      <w:start w:val="46"/>
      <w:numFmt w:val="decimal"/>
      <w:lvlText w:val="%1"/>
      <w:lvlJc w:val="left"/>
      <w:pPr>
        <w:ind w:left="109" w:hanging="226"/>
      </w:pPr>
      <w:rPr>
        <w:rFonts w:ascii="Calibri" w:eastAsia="Calibri" w:hAnsi="Calibri" w:hint="default"/>
        <w:position w:val="6"/>
        <w:sz w:val="16"/>
        <w:szCs w:val="16"/>
      </w:rPr>
    </w:lvl>
    <w:lvl w:ilvl="1" w:tplc="1B5013F8">
      <w:start w:val="1"/>
      <w:numFmt w:val="bullet"/>
      <w:lvlText w:val="•"/>
      <w:lvlJc w:val="left"/>
      <w:pPr>
        <w:ind w:left="983" w:hanging="226"/>
      </w:pPr>
      <w:rPr>
        <w:rFonts w:hint="default"/>
      </w:rPr>
    </w:lvl>
    <w:lvl w:ilvl="2" w:tplc="66147CE2">
      <w:start w:val="1"/>
      <w:numFmt w:val="bullet"/>
      <w:lvlText w:val="•"/>
      <w:lvlJc w:val="left"/>
      <w:pPr>
        <w:ind w:left="1856" w:hanging="226"/>
      </w:pPr>
      <w:rPr>
        <w:rFonts w:hint="default"/>
      </w:rPr>
    </w:lvl>
    <w:lvl w:ilvl="3" w:tplc="69CE9E04">
      <w:start w:val="1"/>
      <w:numFmt w:val="bullet"/>
      <w:lvlText w:val="•"/>
      <w:lvlJc w:val="left"/>
      <w:pPr>
        <w:ind w:left="2730" w:hanging="226"/>
      </w:pPr>
      <w:rPr>
        <w:rFonts w:hint="default"/>
      </w:rPr>
    </w:lvl>
    <w:lvl w:ilvl="4" w:tplc="83025304">
      <w:start w:val="1"/>
      <w:numFmt w:val="bullet"/>
      <w:lvlText w:val="•"/>
      <w:lvlJc w:val="left"/>
      <w:pPr>
        <w:ind w:left="3604" w:hanging="226"/>
      </w:pPr>
      <w:rPr>
        <w:rFonts w:hint="default"/>
      </w:rPr>
    </w:lvl>
    <w:lvl w:ilvl="5" w:tplc="349A58BA">
      <w:start w:val="1"/>
      <w:numFmt w:val="bullet"/>
      <w:lvlText w:val="•"/>
      <w:lvlJc w:val="left"/>
      <w:pPr>
        <w:ind w:left="4477" w:hanging="226"/>
      </w:pPr>
      <w:rPr>
        <w:rFonts w:hint="default"/>
      </w:rPr>
    </w:lvl>
    <w:lvl w:ilvl="6" w:tplc="37B471D4">
      <w:start w:val="1"/>
      <w:numFmt w:val="bullet"/>
      <w:lvlText w:val="•"/>
      <w:lvlJc w:val="left"/>
      <w:pPr>
        <w:ind w:left="5351" w:hanging="226"/>
      </w:pPr>
      <w:rPr>
        <w:rFonts w:hint="default"/>
      </w:rPr>
    </w:lvl>
    <w:lvl w:ilvl="7" w:tplc="3A3C6FE0">
      <w:start w:val="1"/>
      <w:numFmt w:val="bullet"/>
      <w:lvlText w:val="•"/>
      <w:lvlJc w:val="left"/>
      <w:pPr>
        <w:ind w:left="6225" w:hanging="226"/>
      </w:pPr>
      <w:rPr>
        <w:rFonts w:hint="default"/>
      </w:rPr>
    </w:lvl>
    <w:lvl w:ilvl="8" w:tplc="4D005B7A">
      <w:start w:val="1"/>
      <w:numFmt w:val="bullet"/>
      <w:lvlText w:val="•"/>
      <w:lvlJc w:val="left"/>
      <w:pPr>
        <w:ind w:left="7098" w:hanging="226"/>
      </w:pPr>
      <w:rPr>
        <w:rFonts w:hint="default"/>
      </w:rPr>
    </w:lvl>
  </w:abstractNum>
  <w:abstractNum w:abstractNumId="1" w15:restartNumberingAfterBreak="0">
    <w:nsid w:val="0FA909AB"/>
    <w:multiLevelType w:val="hybridMultilevel"/>
    <w:tmpl w:val="1D0476C8"/>
    <w:lvl w:ilvl="0" w:tplc="655E231E">
      <w:start w:val="5"/>
      <w:numFmt w:val="lowerLetter"/>
      <w:lvlText w:val="(%1)"/>
      <w:lvlJc w:val="left"/>
      <w:pPr>
        <w:ind w:left="109" w:hanging="372"/>
      </w:pPr>
      <w:rPr>
        <w:rFonts w:ascii="Calibri" w:eastAsia="Calibri" w:hAnsi="Calibri" w:hint="default"/>
        <w:i/>
        <w:spacing w:val="-1"/>
        <w:w w:val="99"/>
        <w:sz w:val="24"/>
        <w:szCs w:val="24"/>
      </w:rPr>
    </w:lvl>
    <w:lvl w:ilvl="1" w:tplc="B0D0D16E">
      <w:start w:val="1"/>
      <w:numFmt w:val="lowerRoman"/>
      <w:lvlText w:val="(%2)"/>
      <w:lvlJc w:val="left"/>
      <w:pPr>
        <w:ind w:left="829" w:hanging="255"/>
      </w:pPr>
      <w:rPr>
        <w:rFonts w:ascii="Calibri" w:eastAsia="Calibri" w:hAnsi="Calibri" w:hint="default"/>
        <w:i/>
        <w:spacing w:val="-1"/>
        <w:sz w:val="24"/>
        <w:szCs w:val="24"/>
      </w:rPr>
    </w:lvl>
    <w:lvl w:ilvl="2" w:tplc="028E6D2E">
      <w:start w:val="1"/>
      <w:numFmt w:val="bullet"/>
      <w:lvlText w:val="•"/>
      <w:lvlJc w:val="left"/>
      <w:pPr>
        <w:ind w:left="1720" w:hanging="255"/>
      </w:pPr>
      <w:rPr>
        <w:rFonts w:hint="default"/>
      </w:rPr>
    </w:lvl>
    <w:lvl w:ilvl="3" w:tplc="EC202D6E">
      <w:start w:val="1"/>
      <w:numFmt w:val="bullet"/>
      <w:lvlText w:val="•"/>
      <w:lvlJc w:val="left"/>
      <w:pPr>
        <w:ind w:left="2610" w:hanging="255"/>
      </w:pPr>
      <w:rPr>
        <w:rFonts w:hint="default"/>
      </w:rPr>
    </w:lvl>
    <w:lvl w:ilvl="4" w:tplc="481823A8">
      <w:start w:val="1"/>
      <w:numFmt w:val="bullet"/>
      <w:lvlText w:val="•"/>
      <w:lvlJc w:val="left"/>
      <w:pPr>
        <w:ind w:left="3501" w:hanging="255"/>
      </w:pPr>
      <w:rPr>
        <w:rFonts w:hint="default"/>
      </w:rPr>
    </w:lvl>
    <w:lvl w:ilvl="5" w:tplc="4A5E87AC">
      <w:start w:val="1"/>
      <w:numFmt w:val="bullet"/>
      <w:lvlText w:val="•"/>
      <w:lvlJc w:val="left"/>
      <w:pPr>
        <w:ind w:left="4392" w:hanging="255"/>
      </w:pPr>
      <w:rPr>
        <w:rFonts w:hint="default"/>
      </w:rPr>
    </w:lvl>
    <w:lvl w:ilvl="6" w:tplc="324033A0">
      <w:start w:val="1"/>
      <w:numFmt w:val="bullet"/>
      <w:lvlText w:val="•"/>
      <w:lvlJc w:val="left"/>
      <w:pPr>
        <w:ind w:left="5283" w:hanging="255"/>
      </w:pPr>
      <w:rPr>
        <w:rFonts w:hint="default"/>
      </w:rPr>
    </w:lvl>
    <w:lvl w:ilvl="7" w:tplc="E4FC263A">
      <w:start w:val="1"/>
      <w:numFmt w:val="bullet"/>
      <w:lvlText w:val="•"/>
      <w:lvlJc w:val="left"/>
      <w:pPr>
        <w:ind w:left="6174" w:hanging="255"/>
      </w:pPr>
      <w:rPr>
        <w:rFonts w:hint="default"/>
      </w:rPr>
    </w:lvl>
    <w:lvl w:ilvl="8" w:tplc="C5B66F7A">
      <w:start w:val="1"/>
      <w:numFmt w:val="bullet"/>
      <w:lvlText w:val="•"/>
      <w:lvlJc w:val="left"/>
      <w:pPr>
        <w:ind w:left="7064" w:hanging="255"/>
      </w:pPr>
      <w:rPr>
        <w:rFonts w:hint="default"/>
      </w:rPr>
    </w:lvl>
  </w:abstractNum>
  <w:abstractNum w:abstractNumId="2" w15:restartNumberingAfterBreak="0">
    <w:nsid w:val="0FE3240B"/>
    <w:multiLevelType w:val="hybridMultilevel"/>
    <w:tmpl w:val="D8E2E3FC"/>
    <w:lvl w:ilvl="0" w:tplc="B5DA20B2">
      <w:start w:val="1"/>
      <w:numFmt w:val="decimal"/>
      <w:lvlText w:val="%1."/>
      <w:lvlJc w:val="left"/>
      <w:pPr>
        <w:ind w:left="469" w:hanging="360"/>
      </w:pPr>
      <w:rPr>
        <w:rFonts w:ascii="Calibri" w:eastAsia="Calibri" w:hAnsi="Calibri" w:hint="default"/>
        <w:sz w:val="24"/>
        <w:szCs w:val="24"/>
      </w:rPr>
    </w:lvl>
    <w:lvl w:ilvl="1" w:tplc="C80C2B0A">
      <w:start w:val="1"/>
      <w:numFmt w:val="bullet"/>
      <w:lvlText w:val="•"/>
      <w:lvlJc w:val="left"/>
      <w:pPr>
        <w:ind w:left="1307" w:hanging="360"/>
      </w:pPr>
      <w:rPr>
        <w:rFonts w:hint="default"/>
      </w:rPr>
    </w:lvl>
    <w:lvl w:ilvl="2" w:tplc="8BE2EE96">
      <w:start w:val="1"/>
      <w:numFmt w:val="bullet"/>
      <w:lvlText w:val="•"/>
      <w:lvlJc w:val="left"/>
      <w:pPr>
        <w:ind w:left="2144" w:hanging="360"/>
      </w:pPr>
      <w:rPr>
        <w:rFonts w:hint="default"/>
      </w:rPr>
    </w:lvl>
    <w:lvl w:ilvl="3" w:tplc="A3BA8C64">
      <w:start w:val="1"/>
      <w:numFmt w:val="bullet"/>
      <w:lvlText w:val="•"/>
      <w:lvlJc w:val="left"/>
      <w:pPr>
        <w:ind w:left="2982" w:hanging="360"/>
      </w:pPr>
      <w:rPr>
        <w:rFonts w:hint="default"/>
      </w:rPr>
    </w:lvl>
    <w:lvl w:ilvl="4" w:tplc="846A6BCE">
      <w:start w:val="1"/>
      <w:numFmt w:val="bullet"/>
      <w:lvlText w:val="•"/>
      <w:lvlJc w:val="left"/>
      <w:pPr>
        <w:ind w:left="3820" w:hanging="360"/>
      </w:pPr>
      <w:rPr>
        <w:rFonts w:hint="default"/>
      </w:rPr>
    </w:lvl>
    <w:lvl w:ilvl="5" w:tplc="2320E2CA">
      <w:start w:val="1"/>
      <w:numFmt w:val="bullet"/>
      <w:lvlText w:val="•"/>
      <w:lvlJc w:val="left"/>
      <w:pPr>
        <w:ind w:left="4657" w:hanging="360"/>
      </w:pPr>
      <w:rPr>
        <w:rFonts w:hint="default"/>
      </w:rPr>
    </w:lvl>
    <w:lvl w:ilvl="6" w:tplc="0ADA93B2">
      <w:start w:val="1"/>
      <w:numFmt w:val="bullet"/>
      <w:lvlText w:val="•"/>
      <w:lvlJc w:val="left"/>
      <w:pPr>
        <w:ind w:left="5495" w:hanging="360"/>
      </w:pPr>
      <w:rPr>
        <w:rFonts w:hint="default"/>
      </w:rPr>
    </w:lvl>
    <w:lvl w:ilvl="7" w:tplc="A90822D2">
      <w:start w:val="1"/>
      <w:numFmt w:val="bullet"/>
      <w:lvlText w:val="•"/>
      <w:lvlJc w:val="left"/>
      <w:pPr>
        <w:ind w:left="6333" w:hanging="360"/>
      </w:pPr>
      <w:rPr>
        <w:rFonts w:hint="default"/>
      </w:rPr>
    </w:lvl>
    <w:lvl w:ilvl="8" w:tplc="5868F654">
      <w:start w:val="1"/>
      <w:numFmt w:val="bullet"/>
      <w:lvlText w:val="•"/>
      <w:lvlJc w:val="left"/>
      <w:pPr>
        <w:ind w:left="7170" w:hanging="360"/>
      </w:pPr>
      <w:rPr>
        <w:rFonts w:hint="default"/>
      </w:rPr>
    </w:lvl>
  </w:abstractNum>
  <w:abstractNum w:abstractNumId="3" w15:restartNumberingAfterBreak="0">
    <w:nsid w:val="18AB1B44"/>
    <w:multiLevelType w:val="hybridMultilevel"/>
    <w:tmpl w:val="6BC02006"/>
    <w:lvl w:ilvl="0" w:tplc="F39C4004">
      <w:start w:val="1"/>
      <w:numFmt w:val="decimal"/>
      <w:lvlText w:val="%1."/>
      <w:lvlJc w:val="left"/>
      <w:pPr>
        <w:ind w:left="469" w:hanging="360"/>
      </w:pPr>
      <w:rPr>
        <w:rFonts w:ascii="Calibri" w:eastAsia="Calibri" w:hAnsi="Calibri" w:hint="default"/>
        <w:sz w:val="24"/>
        <w:szCs w:val="24"/>
      </w:rPr>
    </w:lvl>
    <w:lvl w:ilvl="1" w:tplc="54E6946A">
      <w:start w:val="4"/>
      <w:numFmt w:val="decimal"/>
      <w:lvlText w:val="%2."/>
      <w:lvlJc w:val="left"/>
      <w:pPr>
        <w:ind w:left="829" w:hanging="360"/>
      </w:pPr>
      <w:rPr>
        <w:rFonts w:ascii="Calibri" w:eastAsia="Calibri" w:hAnsi="Calibri" w:hint="default"/>
        <w:sz w:val="24"/>
        <w:szCs w:val="24"/>
      </w:rPr>
    </w:lvl>
    <w:lvl w:ilvl="2" w:tplc="26028CA8">
      <w:start w:val="1"/>
      <w:numFmt w:val="bullet"/>
      <w:lvlText w:val="•"/>
      <w:lvlJc w:val="left"/>
      <w:pPr>
        <w:ind w:left="1720" w:hanging="360"/>
      </w:pPr>
      <w:rPr>
        <w:rFonts w:hint="default"/>
      </w:rPr>
    </w:lvl>
    <w:lvl w:ilvl="3" w:tplc="7BCE333C">
      <w:start w:val="1"/>
      <w:numFmt w:val="bullet"/>
      <w:lvlText w:val="•"/>
      <w:lvlJc w:val="left"/>
      <w:pPr>
        <w:ind w:left="2610" w:hanging="360"/>
      </w:pPr>
      <w:rPr>
        <w:rFonts w:hint="default"/>
      </w:rPr>
    </w:lvl>
    <w:lvl w:ilvl="4" w:tplc="09E053F8">
      <w:start w:val="1"/>
      <w:numFmt w:val="bullet"/>
      <w:lvlText w:val="•"/>
      <w:lvlJc w:val="left"/>
      <w:pPr>
        <w:ind w:left="3501" w:hanging="360"/>
      </w:pPr>
      <w:rPr>
        <w:rFonts w:hint="default"/>
      </w:rPr>
    </w:lvl>
    <w:lvl w:ilvl="5" w:tplc="BA6EA41E">
      <w:start w:val="1"/>
      <w:numFmt w:val="bullet"/>
      <w:lvlText w:val="•"/>
      <w:lvlJc w:val="left"/>
      <w:pPr>
        <w:ind w:left="4392" w:hanging="360"/>
      </w:pPr>
      <w:rPr>
        <w:rFonts w:hint="default"/>
      </w:rPr>
    </w:lvl>
    <w:lvl w:ilvl="6" w:tplc="8C1A4D28">
      <w:start w:val="1"/>
      <w:numFmt w:val="bullet"/>
      <w:lvlText w:val="•"/>
      <w:lvlJc w:val="left"/>
      <w:pPr>
        <w:ind w:left="5283" w:hanging="360"/>
      </w:pPr>
      <w:rPr>
        <w:rFonts w:hint="default"/>
      </w:rPr>
    </w:lvl>
    <w:lvl w:ilvl="7" w:tplc="4980089E">
      <w:start w:val="1"/>
      <w:numFmt w:val="bullet"/>
      <w:lvlText w:val="•"/>
      <w:lvlJc w:val="left"/>
      <w:pPr>
        <w:ind w:left="6174" w:hanging="360"/>
      </w:pPr>
      <w:rPr>
        <w:rFonts w:hint="default"/>
      </w:rPr>
    </w:lvl>
    <w:lvl w:ilvl="8" w:tplc="E1BA4888">
      <w:start w:val="1"/>
      <w:numFmt w:val="bullet"/>
      <w:lvlText w:val="•"/>
      <w:lvlJc w:val="left"/>
      <w:pPr>
        <w:ind w:left="7064" w:hanging="360"/>
      </w:pPr>
      <w:rPr>
        <w:rFonts w:hint="default"/>
      </w:rPr>
    </w:lvl>
  </w:abstractNum>
  <w:abstractNum w:abstractNumId="4" w15:restartNumberingAfterBreak="0">
    <w:nsid w:val="42917F97"/>
    <w:multiLevelType w:val="hybridMultilevel"/>
    <w:tmpl w:val="33908886"/>
    <w:lvl w:ilvl="0" w:tplc="E654BCFC">
      <w:start w:val="51"/>
      <w:numFmt w:val="decimal"/>
      <w:lvlText w:val="%1"/>
      <w:lvlJc w:val="left"/>
      <w:pPr>
        <w:ind w:left="466" w:hanging="209"/>
      </w:pPr>
      <w:rPr>
        <w:rFonts w:ascii="Calibri" w:eastAsia="Calibri" w:hAnsi="Calibri" w:hint="default"/>
        <w:position w:val="6"/>
        <w:sz w:val="16"/>
        <w:szCs w:val="16"/>
      </w:rPr>
    </w:lvl>
    <w:lvl w:ilvl="1" w:tplc="8B4C5542">
      <w:start w:val="1"/>
      <w:numFmt w:val="bullet"/>
      <w:lvlText w:val="•"/>
      <w:lvlJc w:val="left"/>
      <w:pPr>
        <w:ind w:left="1304" w:hanging="209"/>
      </w:pPr>
      <w:rPr>
        <w:rFonts w:hint="default"/>
      </w:rPr>
    </w:lvl>
    <w:lvl w:ilvl="2" w:tplc="5B2AD288">
      <w:start w:val="1"/>
      <w:numFmt w:val="bullet"/>
      <w:lvlText w:val="•"/>
      <w:lvlJc w:val="left"/>
      <w:pPr>
        <w:ind w:left="2142" w:hanging="209"/>
      </w:pPr>
      <w:rPr>
        <w:rFonts w:hint="default"/>
      </w:rPr>
    </w:lvl>
    <w:lvl w:ilvl="3" w:tplc="367E0DC4">
      <w:start w:val="1"/>
      <w:numFmt w:val="bullet"/>
      <w:lvlText w:val="•"/>
      <w:lvlJc w:val="left"/>
      <w:pPr>
        <w:ind w:left="2980" w:hanging="209"/>
      </w:pPr>
      <w:rPr>
        <w:rFonts w:hint="default"/>
      </w:rPr>
    </w:lvl>
    <w:lvl w:ilvl="4" w:tplc="9BAED5AC">
      <w:start w:val="1"/>
      <w:numFmt w:val="bullet"/>
      <w:lvlText w:val="•"/>
      <w:lvlJc w:val="left"/>
      <w:pPr>
        <w:ind w:left="3818" w:hanging="209"/>
      </w:pPr>
      <w:rPr>
        <w:rFonts w:hint="default"/>
      </w:rPr>
    </w:lvl>
    <w:lvl w:ilvl="5" w:tplc="CEBA49AE">
      <w:start w:val="1"/>
      <w:numFmt w:val="bullet"/>
      <w:lvlText w:val="•"/>
      <w:lvlJc w:val="left"/>
      <w:pPr>
        <w:ind w:left="4656" w:hanging="209"/>
      </w:pPr>
      <w:rPr>
        <w:rFonts w:hint="default"/>
      </w:rPr>
    </w:lvl>
    <w:lvl w:ilvl="6" w:tplc="12246CEE">
      <w:start w:val="1"/>
      <w:numFmt w:val="bullet"/>
      <w:lvlText w:val="•"/>
      <w:lvlJc w:val="left"/>
      <w:pPr>
        <w:ind w:left="5494" w:hanging="209"/>
      </w:pPr>
      <w:rPr>
        <w:rFonts w:hint="default"/>
      </w:rPr>
    </w:lvl>
    <w:lvl w:ilvl="7" w:tplc="7EF05B88">
      <w:start w:val="1"/>
      <w:numFmt w:val="bullet"/>
      <w:lvlText w:val="•"/>
      <w:lvlJc w:val="left"/>
      <w:pPr>
        <w:ind w:left="6332" w:hanging="209"/>
      </w:pPr>
      <w:rPr>
        <w:rFonts w:hint="default"/>
      </w:rPr>
    </w:lvl>
    <w:lvl w:ilvl="8" w:tplc="D91E11B2">
      <w:start w:val="1"/>
      <w:numFmt w:val="bullet"/>
      <w:lvlText w:val="•"/>
      <w:lvlJc w:val="left"/>
      <w:pPr>
        <w:ind w:left="7170" w:hanging="209"/>
      </w:pPr>
      <w:rPr>
        <w:rFonts w:hint="default"/>
      </w:rPr>
    </w:lvl>
  </w:abstractNum>
  <w:abstractNum w:abstractNumId="5" w15:restartNumberingAfterBreak="0">
    <w:nsid w:val="464C2072"/>
    <w:multiLevelType w:val="hybridMultilevel"/>
    <w:tmpl w:val="E0ACBF16"/>
    <w:lvl w:ilvl="0" w:tplc="1EBA15F0">
      <w:start w:val="1"/>
      <w:numFmt w:val="upperRoman"/>
      <w:lvlText w:val="%1."/>
      <w:lvlJc w:val="left"/>
      <w:pPr>
        <w:ind w:left="237" w:hanging="129"/>
      </w:pPr>
      <w:rPr>
        <w:rFonts w:hint="default"/>
        <w:u w:val="single" w:color="000000"/>
      </w:rPr>
    </w:lvl>
    <w:lvl w:ilvl="1" w:tplc="0FD82B64">
      <w:start w:val="1"/>
      <w:numFmt w:val="bullet"/>
      <w:lvlText w:val="•"/>
      <w:lvlJc w:val="left"/>
      <w:pPr>
        <w:ind w:left="1098" w:hanging="129"/>
      </w:pPr>
      <w:rPr>
        <w:rFonts w:hint="default"/>
      </w:rPr>
    </w:lvl>
    <w:lvl w:ilvl="2" w:tplc="E318B15E">
      <w:start w:val="1"/>
      <w:numFmt w:val="bullet"/>
      <w:lvlText w:val="•"/>
      <w:lvlJc w:val="left"/>
      <w:pPr>
        <w:ind w:left="1959" w:hanging="129"/>
      </w:pPr>
      <w:rPr>
        <w:rFonts w:hint="default"/>
      </w:rPr>
    </w:lvl>
    <w:lvl w:ilvl="3" w:tplc="D056F20A">
      <w:start w:val="1"/>
      <w:numFmt w:val="bullet"/>
      <w:lvlText w:val="•"/>
      <w:lvlJc w:val="left"/>
      <w:pPr>
        <w:ind w:left="2820" w:hanging="129"/>
      </w:pPr>
      <w:rPr>
        <w:rFonts w:hint="default"/>
      </w:rPr>
    </w:lvl>
    <w:lvl w:ilvl="4" w:tplc="119E4D12">
      <w:start w:val="1"/>
      <w:numFmt w:val="bullet"/>
      <w:lvlText w:val="•"/>
      <w:lvlJc w:val="left"/>
      <w:pPr>
        <w:ind w:left="3681" w:hanging="129"/>
      </w:pPr>
      <w:rPr>
        <w:rFonts w:hint="default"/>
      </w:rPr>
    </w:lvl>
    <w:lvl w:ilvl="5" w:tplc="14CC37F6">
      <w:start w:val="1"/>
      <w:numFmt w:val="bullet"/>
      <w:lvlText w:val="•"/>
      <w:lvlJc w:val="left"/>
      <w:pPr>
        <w:ind w:left="4542" w:hanging="129"/>
      </w:pPr>
      <w:rPr>
        <w:rFonts w:hint="default"/>
      </w:rPr>
    </w:lvl>
    <w:lvl w:ilvl="6" w:tplc="697AC924">
      <w:start w:val="1"/>
      <w:numFmt w:val="bullet"/>
      <w:lvlText w:val="•"/>
      <w:lvlJc w:val="left"/>
      <w:pPr>
        <w:ind w:left="5403" w:hanging="129"/>
      </w:pPr>
      <w:rPr>
        <w:rFonts w:hint="default"/>
      </w:rPr>
    </w:lvl>
    <w:lvl w:ilvl="7" w:tplc="27F427B0">
      <w:start w:val="1"/>
      <w:numFmt w:val="bullet"/>
      <w:lvlText w:val="•"/>
      <w:lvlJc w:val="left"/>
      <w:pPr>
        <w:ind w:left="6263" w:hanging="129"/>
      </w:pPr>
      <w:rPr>
        <w:rFonts w:hint="default"/>
      </w:rPr>
    </w:lvl>
    <w:lvl w:ilvl="8" w:tplc="D082A288">
      <w:start w:val="1"/>
      <w:numFmt w:val="bullet"/>
      <w:lvlText w:val="•"/>
      <w:lvlJc w:val="left"/>
      <w:pPr>
        <w:ind w:left="7124" w:hanging="129"/>
      </w:pPr>
      <w:rPr>
        <w:rFonts w:hint="default"/>
      </w:rPr>
    </w:lvl>
  </w:abstractNum>
  <w:abstractNum w:abstractNumId="6" w15:restartNumberingAfterBreak="0">
    <w:nsid w:val="4AAE377C"/>
    <w:multiLevelType w:val="hybridMultilevel"/>
    <w:tmpl w:val="7E2CF38E"/>
    <w:lvl w:ilvl="0" w:tplc="31CA6E84">
      <w:start w:val="1"/>
      <w:numFmt w:val="upperRoman"/>
      <w:lvlText w:val="%1."/>
      <w:lvlJc w:val="left"/>
      <w:pPr>
        <w:ind w:left="829" w:hanging="720"/>
      </w:pPr>
      <w:rPr>
        <w:rFonts w:ascii="Calibri" w:eastAsia="Calibri" w:hAnsi="Calibri" w:hint="default"/>
        <w:b/>
        <w:bCs/>
        <w:i/>
        <w:w w:val="99"/>
        <w:sz w:val="24"/>
        <w:szCs w:val="24"/>
      </w:rPr>
    </w:lvl>
    <w:lvl w:ilvl="1" w:tplc="35E613FA">
      <w:start w:val="1"/>
      <w:numFmt w:val="bullet"/>
      <w:lvlText w:val="•"/>
      <w:lvlJc w:val="left"/>
      <w:pPr>
        <w:ind w:left="829" w:hanging="720"/>
      </w:pPr>
      <w:rPr>
        <w:rFonts w:hint="default"/>
      </w:rPr>
    </w:lvl>
    <w:lvl w:ilvl="2" w:tplc="A40283DC">
      <w:start w:val="1"/>
      <w:numFmt w:val="bullet"/>
      <w:lvlText w:val="•"/>
      <w:lvlJc w:val="left"/>
      <w:pPr>
        <w:ind w:left="1720" w:hanging="720"/>
      </w:pPr>
      <w:rPr>
        <w:rFonts w:hint="default"/>
      </w:rPr>
    </w:lvl>
    <w:lvl w:ilvl="3" w:tplc="21E82040">
      <w:start w:val="1"/>
      <w:numFmt w:val="bullet"/>
      <w:lvlText w:val="•"/>
      <w:lvlJc w:val="left"/>
      <w:pPr>
        <w:ind w:left="2610" w:hanging="720"/>
      </w:pPr>
      <w:rPr>
        <w:rFonts w:hint="default"/>
      </w:rPr>
    </w:lvl>
    <w:lvl w:ilvl="4" w:tplc="B7024C6A">
      <w:start w:val="1"/>
      <w:numFmt w:val="bullet"/>
      <w:lvlText w:val="•"/>
      <w:lvlJc w:val="left"/>
      <w:pPr>
        <w:ind w:left="3501" w:hanging="720"/>
      </w:pPr>
      <w:rPr>
        <w:rFonts w:hint="default"/>
      </w:rPr>
    </w:lvl>
    <w:lvl w:ilvl="5" w:tplc="DDBC16DC">
      <w:start w:val="1"/>
      <w:numFmt w:val="bullet"/>
      <w:lvlText w:val="•"/>
      <w:lvlJc w:val="left"/>
      <w:pPr>
        <w:ind w:left="4392" w:hanging="720"/>
      </w:pPr>
      <w:rPr>
        <w:rFonts w:hint="default"/>
      </w:rPr>
    </w:lvl>
    <w:lvl w:ilvl="6" w:tplc="6046C342">
      <w:start w:val="1"/>
      <w:numFmt w:val="bullet"/>
      <w:lvlText w:val="•"/>
      <w:lvlJc w:val="left"/>
      <w:pPr>
        <w:ind w:left="5283" w:hanging="720"/>
      </w:pPr>
      <w:rPr>
        <w:rFonts w:hint="default"/>
      </w:rPr>
    </w:lvl>
    <w:lvl w:ilvl="7" w:tplc="30F20C36">
      <w:start w:val="1"/>
      <w:numFmt w:val="bullet"/>
      <w:lvlText w:val="•"/>
      <w:lvlJc w:val="left"/>
      <w:pPr>
        <w:ind w:left="6174" w:hanging="720"/>
      </w:pPr>
      <w:rPr>
        <w:rFonts w:hint="default"/>
      </w:rPr>
    </w:lvl>
    <w:lvl w:ilvl="8" w:tplc="C32C16E8">
      <w:start w:val="1"/>
      <w:numFmt w:val="bullet"/>
      <w:lvlText w:val="•"/>
      <w:lvlJc w:val="left"/>
      <w:pPr>
        <w:ind w:left="7064" w:hanging="720"/>
      </w:pPr>
      <w:rPr>
        <w:rFonts w:hint="default"/>
      </w:rPr>
    </w:lvl>
  </w:abstractNum>
  <w:abstractNum w:abstractNumId="7" w15:restartNumberingAfterBreak="0">
    <w:nsid w:val="4AFD0127"/>
    <w:multiLevelType w:val="hybridMultilevel"/>
    <w:tmpl w:val="B57AA64A"/>
    <w:lvl w:ilvl="0" w:tplc="D9C2A8D2">
      <w:start w:val="1"/>
      <w:numFmt w:val="upperRoman"/>
      <w:lvlText w:val="%1."/>
      <w:lvlJc w:val="left"/>
      <w:pPr>
        <w:ind w:left="237" w:hanging="129"/>
      </w:pPr>
      <w:rPr>
        <w:rFonts w:hint="default"/>
        <w:u w:val="single" w:color="000000"/>
      </w:rPr>
    </w:lvl>
    <w:lvl w:ilvl="1" w:tplc="1E9481D4">
      <w:start w:val="1"/>
      <w:numFmt w:val="decimal"/>
      <w:lvlText w:val="%2."/>
      <w:lvlJc w:val="left"/>
      <w:pPr>
        <w:ind w:left="829" w:hanging="360"/>
      </w:pPr>
      <w:rPr>
        <w:rFonts w:ascii="Calibri" w:eastAsia="Calibri" w:hAnsi="Calibri" w:hint="default"/>
        <w:sz w:val="24"/>
        <w:szCs w:val="24"/>
      </w:rPr>
    </w:lvl>
    <w:lvl w:ilvl="2" w:tplc="49B03814">
      <w:start w:val="1"/>
      <w:numFmt w:val="bullet"/>
      <w:lvlText w:val="•"/>
      <w:lvlJc w:val="left"/>
      <w:pPr>
        <w:ind w:left="1720" w:hanging="360"/>
      </w:pPr>
      <w:rPr>
        <w:rFonts w:hint="default"/>
      </w:rPr>
    </w:lvl>
    <w:lvl w:ilvl="3" w:tplc="D39C8184">
      <w:start w:val="1"/>
      <w:numFmt w:val="bullet"/>
      <w:lvlText w:val="•"/>
      <w:lvlJc w:val="left"/>
      <w:pPr>
        <w:ind w:left="2610" w:hanging="360"/>
      </w:pPr>
      <w:rPr>
        <w:rFonts w:hint="default"/>
      </w:rPr>
    </w:lvl>
    <w:lvl w:ilvl="4" w:tplc="346EC5C4">
      <w:start w:val="1"/>
      <w:numFmt w:val="bullet"/>
      <w:lvlText w:val="•"/>
      <w:lvlJc w:val="left"/>
      <w:pPr>
        <w:ind w:left="3501" w:hanging="360"/>
      </w:pPr>
      <w:rPr>
        <w:rFonts w:hint="default"/>
      </w:rPr>
    </w:lvl>
    <w:lvl w:ilvl="5" w:tplc="91F4CB1A">
      <w:start w:val="1"/>
      <w:numFmt w:val="bullet"/>
      <w:lvlText w:val="•"/>
      <w:lvlJc w:val="left"/>
      <w:pPr>
        <w:ind w:left="4392" w:hanging="360"/>
      </w:pPr>
      <w:rPr>
        <w:rFonts w:hint="default"/>
      </w:rPr>
    </w:lvl>
    <w:lvl w:ilvl="6" w:tplc="33641264">
      <w:start w:val="1"/>
      <w:numFmt w:val="bullet"/>
      <w:lvlText w:val="•"/>
      <w:lvlJc w:val="left"/>
      <w:pPr>
        <w:ind w:left="5283" w:hanging="360"/>
      </w:pPr>
      <w:rPr>
        <w:rFonts w:hint="default"/>
      </w:rPr>
    </w:lvl>
    <w:lvl w:ilvl="7" w:tplc="D6BA45CA">
      <w:start w:val="1"/>
      <w:numFmt w:val="bullet"/>
      <w:lvlText w:val="•"/>
      <w:lvlJc w:val="left"/>
      <w:pPr>
        <w:ind w:left="6174" w:hanging="360"/>
      </w:pPr>
      <w:rPr>
        <w:rFonts w:hint="default"/>
      </w:rPr>
    </w:lvl>
    <w:lvl w:ilvl="8" w:tplc="CD561226">
      <w:start w:val="1"/>
      <w:numFmt w:val="bullet"/>
      <w:lvlText w:val="•"/>
      <w:lvlJc w:val="left"/>
      <w:pPr>
        <w:ind w:left="7064" w:hanging="360"/>
      </w:pPr>
      <w:rPr>
        <w:rFonts w:hint="default"/>
      </w:rPr>
    </w:lvl>
  </w:abstractNum>
  <w:abstractNum w:abstractNumId="8" w15:restartNumberingAfterBreak="0">
    <w:nsid w:val="554171DD"/>
    <w:multiLevelType w:val="hybridMultilevel"/>
    <w:tmpl w:val="1B142BDA"/>
    <w:lvl w:ilvl="0" w:tplc="C5EA40EE">
      <w:start w:val="1"/>
      <w:numFmt w:val="decimal"/>
      <w:lvlText w:val="%1."/>
      <w:lvlJc w:val="left"/>
      <w:pPr>
        <w:ind w:left="469" w:hanging="360"/>
      </w:pPr>
      <w:rPr>
        <w:rFonts w:ascii="Calibri" w:eastAsia="Calibri" w:hAnsi="Calibri" w:hint="default"/>
        <w:sz w:val="24"/>
        <w:szCs w:val="24"/>
      </w:rPr>
    </w:lvl>
    <w:lvl w:ilvl="1" w:tplc="7000513E">
      <w:start w:val="1"/>
      <w:numFmt w:val="bullet"/>
      <w:lvlText w:val="•"/>
      <w:lvlJc w:val="left"/>
      <w:pPr>
        <w:ind w:left="1307" w:hanging="360"/>
      </w:pPr>
      <w:rPr>
        <w:rFonts w:hint="default"/>
      </w:rPr>
    </w:lvl>
    <w:lvl w:ilvl="2" w:tplc="4668521E">
      <w:start w:val="1"/>
      <w:numFmt w:val="bullet"/>
      <w:lvlText w:val="•"/>
      <w:lvlJc w:val="left"/>
      <w:pPr>
        <w:ind w:left="2144" w:hanging="360"/>
      </w:pPr>
      <w:rPr>
        <w:rFonts w:hint="default"/>
      </w:rPr>
    </w:lvl>
    <w:lvl w:ilvl="3" w:tplc="A3F6BD10">
      <w:start w:val="1"/>
      <w:numFmt w:val="bullet"/>
      <w:lvlText w:val="•"/>
      <w:lvlJc w:val="left"/>
      <w:pPr>
        <w:ind w:left="2982" w:hanging="360"/>
      </w:pPr>
      <w:rPr>
        <w:rFonts w:hint="default"/>
      </w:rPr>
    </w:lvl>
    <w:lvl w:ilvl="4" w:tplc="C9543058">
      <w:start w:val="1"/>
      <w:numFmt w:val="bullet"/>
      <w:lvlText w:val="•"/>
      <w:lvlJc w:val="left"/>
      <w:pPr>
        <w:ind w:left="3820" w:hanging="360"/>
      </w:pPr>
      <w:rPr>
        <w:rFonts w:hint="default"/>
      </w:rPr>
    </w:lvl>
    <w:lvl w:ilvl="5" w:tplc="0CB6205E">
      <w:start w:val="1"/>
      <w:numFmt w:val="bullet"/>
      <w:lvlText w:val="•"/>
      <w:lvlJc w:val="left"/>
      <w:pPr>
        <w:ind w:left="4657" w:hanging="360"/>
      </w:pPr>
      <w:rPr>
        <w:rFonts w:hint="default"/>
      </w:rPr>
    </w:lvl>
    <w:lvl w:ilvl="6" w:tplc="FFB2012C">
      <w:start w:val="1"/>
      <w:numFmt w:val="bullet"/>
      <w:lvlText w:val="•"/>
      <w:lvlJc w:val="left"/>
      <w:pPr>
        <w:ind w:left="5495" w:hanging="360"/>
      </w:pPr>
      <w:rPr>
        <w:rFonts w:hint="default"/>
      </w:rPr>
    </w:lvl>
    <w:lvl w:ilvl="7" w:tplc="4E545C06">
      <w:start w:val="1"/>
      <w:numFmt w:val="bullet"/>
      <w:lvlText w:val="•"/>
      <w:lvlJc w:val="left"/>
      <w:pPr>
        <w:ind w:left="6333" w:hanging="360"/>
      </w:pPr>
      <w:rPr>
        <w:rFonts w:hint="default"/>
      </w:rPr>
    </w:lvl>
    <w:lvl w:ilvl="8" w:tplc="B6D0C296">
      <w:start w:val="1"/>
      <w:numFmt w:val="bullet"/>
      <w:lvlText w:val="•"/>
      <w:lvlJc w:val="left"/>
      <w:pPr>
        <w:ind w:left="7170" w:hanging="360"/>
      </w:pPr>
      <w:rPr>
        <w:rFonts w:hint="default"/>
      </w:rPr>
    </w:lvl>
  </w:abstractNum>
  <w:abstractNum w:abstractNumId="9" w15:restartNumberingAfterBreak="0">
    <w:nsid w:val="559B5F26"/>
    <w:multiLevelType w:val="hybridMultilevel"/>
    <w:tmpl w:val="F4727E7A"/>
    <w:lvl w:ilvl="0" w:tplc="87AC49B6">
      <w:start w:val="1"/>
      <w:numFmt w:val="decimal"/>
      <w:lvlText w:val="%1."/>
      <w:lvlJc w:val="left"/>
      <w:pPr>
        <w:ind w:left="469" w:hanging="360"/>
      </w:pPr>
      <w:rPr>
        <w:rFonts w:ascii="Calibri" w:eastAsia="Calibri" w:hAnsi="Calibri" w:hint="default"/>
        <w:sz w:val="24"/>
        <w:szCs w:val="24"/>
      </w:rPr>
    </w:lvl>
    <w:lvl w:ilvl="1" w:tplc="4E849AFC">
      <w:start w:val="1"/>
      <w:numFmt w:val="lowerLetter"/>
      <w:lvlText w:val="%2)"/>
      <w:lvlJc w:val="left"/>
      <w:pPr>
        <w:ind w:left="865" w:hanging="360"/>
      </w:pPr>
      <w:rPr>
        <w:rFonts w:ascii="Calibri" w:eastAsia="Calibri" w:hAnsi="Calibri" w:hint="default"/>
        <w:sz w:val="24"/>
        <w:szCs w:val="24"/>
      </w:rPr>
    </w:lvl>
    <w:lvl w:ilvl="2" w:tplc="39DC3C8C">
      <w:start w:val="1"/>
      <w:numFmt w:val="bullet"/>
      <w:lvlText w:val="•"/>
      <w:lvlJc w:val="left"/>
      <w:pPr>
        <w:ind w:left="1752" w:hanging="360"/>
      </w:pPr>
      <w:rPr>
        <w:rFonts w:hint="default"/>
      </w:rPr>
    </w:lvl>
    <w:lvl w:ilvl="3" w:tplc="1C66FF8E">
      <w:start w:val="1"/>
      <w:numFmt w:val="bullet"/>
      <w:lvlText w:val="•"/>
      <w:lvlJc w:val="left"/>
      <w:pPr>
        <w:ind w:left="2638" w:hanging="360"/>
      </w:pPr>
      <w:rPr>
        <w:rFonts w:hint="default"/>
      </w:rPr>
    </w:lvl>
    <w:lvl w:ilvl="4" w:tplc="AB788582">
      <w:start w:val="1"/>
      <w:numFmt w:val="bullet"/>
      <w:lvlText w:val="•"/>
      <w:lvlJc w:val="left"/>
      <w:pPr>
        <w:ind w:left="3525" w:hanging="360"/>
      </w:pPr>
      <w:rPr>
        <w:rFonts w:hint="default"/>
      </w:rPr>
    </w:lvl>
    <w:lvl w:ilvl="5" w:tplc="56462AC4">
      <w:start w:val="1"/>
      <w:numFmt w:val="bullet"/>
      <w:lvlText w:val="•"/>
      <w:lvlJc w:val="left"/>
      <w:pPr>
        <w:ind w:left="4412" w:hanging="360"/>
      </w:pPr>
      <w:rPr>
        <w:rFonts w:hint="default"/>
      </w:rPr>
    </w:lvl>
    <w:lvl w:ilvl="6" w:tplc="1ADCE902">
      <w:start w:val="1"/>
      <w:numFmt w:val="bullet"/>
      <w:lvlText w:val="•"/>
      <w:lvlJc w:val="left"/>
      <w:pPr>
        <w:ind w:left="5299" w:hanging="360"/>
      </w:pPr>
      <w:rPr>
        <w:rFonts w:hint="default"/>
      </w:rPr>
    </w:lvl>
    <w:lvl w:ilvl="7" w:tplc="94563760">
      <w:start w:val="1"/>
      <w:numFmt w:val="bullet"/>
      <w:lvlText w:val="•"/>
      <w:lvlJc w:val="left"/>
      <w:pPr>
        <w:ind w:left="6186" w:hanging="360"/>
      </w:pPr>
      <w:rPr>
        <w:rFonts w:hint="default"/>
      </w:rPr>
    </w:lvl>
    <w:lvl w:ilvl="8" w:tplc="E9668982">
      <w:start w:val="1"/>
      <w:numFmt w:val="bullet"/>
      <w:lvlText w:val="•"/>
      <w:lvlJc w:val="left"/>
      <w:pPr>
        <w:ind w:left="7072" w:hanging="360"/>
      </w:pPr>
      <w:rPr>
        <w:rFonts w:hint="default"/>
      </w:rPr>
    </w:lvl>
  </w:abstractNum>
  <w:abstractNum w:abstractNumId="10" w15:restartNumberingAfterBreak="0">
    <w:nsid w:val="56DC73F2"/>
    <w:multiLevelType w:val="hybridMultilevel"/>
    <w:tmpl w:val="D138E982"/>
    <w:lvl w:ilvl="0" w:tplc="BC12B1C0">
      <w:start w:val="48"/>
      <w:numFmt w:val="decimal"/>
      <w:lvlText w:val="%1"/>
      <w:lvlJc w:val="left"/>
      <w:pPr>
        <w:ind w:left="109" w:hanging="272"/>
      </w:pPr>
      <w:rPr>
        <w:rFonts w:ascii="Calibri" w:eastAsia="Calibri" w:hAnsi="Calibri" w:hint="default"/>
        <w:spacing w:val="-1"/>
        <w:w w:val="99"/>
        <w:position w:val="7"/>
        <w:sz w:val="20"/>
        <w:szCs w:val="20"/>
      </w:rPr>
    </w:lvl>
    <w:lvl w:ilvl="1" w:tplc="853A6B3C">
      <w:start w:val="1"/>
      <w:numFmt w:val="bullet"/>
      <w:lvlText w:val="•"/>
      <w:lvlJc w:val="left"/>
      <w:pPr>
        <w:ind w:left="983" w:hanging="272"/>
      </w:pPr>
      <w:rPr>
        <w:rFonts w:hint="default"/>
      </w:rPr>
    </w:lvl>
    <w:lvl w:ilvl="2" w:tplc="6714E2A0">
      <w:start w:val="1"/>
      <w:numFmt w:val="bullet"/>
      <w:lvlText w:val="•"/>
      <w:lvlJc w:val="left"/>
      <w:pPr>
        <w:ind w:left="1856" w:hanging="272"/>
      </w:pPr>
      <w:rPr>
        <w:rFonts w:hint="default"/>
      </w:rPr>
    </w:lvl>
    <w:lvl w:ilvl="3" w:tplc="B574A898">
      <w:start w:val="1"/>
      <w:numFmt w:val="bullet"/>
      <w:lvlText w:val="•"/>
      <w:lvlJc w:val="left"/>
      <w:pPr>
        <w:ind w:left="2730" w:hanging="272"/>
      </w:pPr>
      <w:rPr>
        <w:rFonts w:hint="default"/>
      </w:rPr>
    </w:lvl>
    <w:lvl w:ilvl="4" w:tplc="5EE4E02E">
      <w:start w:val="1"/>
      <w:numFmt w:val="bullet"/>
      <w:lvlText w:val="•"/>
      <w:lvlJc w:val="left"/>
      <w:pPr>
        <w:ind w:left="3604" w:hanging="272"/>
      </w:pPr>
      <w:rPr>
        <w:rFonts w:hint="default"/>
      </w:rPr>
    </w:lvl>
    <w:lvl w:ilvl="5" w:tplc="D6643F9E">
      <w:start w:val="1"/>
      <w:numFmt w:val="bullet"/>
      <w:lvlText w:val="•"/>
      <w:lvlJc w:val="left"/>
      <w:pPr>
        <w:ind w:left="4477" w:hanging="272"/>
      </w:pPr>
      <w:rPr>
        <w:rFonts w:hint="default"/>
      </w:rPr>
    </w:lvl>
    <w:lvl w:ilvl="6" w:tplc="F3B408D8">
      <w:start w:val="1"/>
      <w:numFmt w:val="bullet"/>
      <w:lvlText w:val="•"/>
      <w:lvlJc w:val="left"/>
      <w:pPr>
        <w:ind w:left="5351" w:hanging="272"/>
      </w:pPr>
      <w:rPr>
        <w:rFonts w:hint="default"/>
      </w:rPr>
    </w:lvl>
    <w:lvl w:ilvl="7" w:tplc="8CCE54E4">
      <w:start w:val="1"/>
      <w:numFmt w:val="bullet"/>
      <w:lvlText w:val="•"/>
      <w:lvlJc w:val="left"/>
      <w:pPr>
        <w:ind w:left="6225" w:hanging="272"/>
      </w:pPr>
      <w:rPr>
        <w:rFonts w:hint="default"/>
      </w:rPr>
    </w:lvl>
    <w:lvl w:ilvl="8" w:tplc="1E2A92CC">
      <w:start w:val="1"/>
      <w:numFmt w:val="bullet"/>
      <w:lvlText w:val="•"/>
      <w:lvlJc w:val="left"/>
      <w:pPr>
        <w:ind w:left="7098" w:hanging="272"/>
      </w:pPr>
      <w:rPr>
        <w:rFonts w:hint="default"/>
      </w:rPr>
    </w:lvl>
  </w:abstractNum>
  <w:abstractNum w:abstractNumId="11" w15:restartNumberingAfterBreak="0">
    <w:nsid w:val="5DD50AA9"/>
    <w:multiLevelType w:val="hybridMultilevel"/>
    <w:tmpl w:val="49AE0BF0"/>
    <w:lvl w:ilvl="0" w:tplc="43B01808">
      <w:start w:val="1"/>
      <w:numFmt w:val="decimal"/>
      <w:lvlText w:val="%1."/>
      <w:lvlJc w:val="left"/>
      <w:pPr>
        <w:ind w:left="469" w:hanging="360"/>
      </w:pPr>
      <w:rPr>
        <w:rFonts w:ascii="Calibri" w:eastAsia="Calibri" w:hAnsi="Calibri" w:hint="default"/>
        <w:sz w:val="24"/>
        <w:szCs w:val="24"/>
      </w:rPr>
    </w:lvl>
    <w:lvl w:ilvl="1" w:tplc="4A6A199E">
      <w:start w:val="1"/>
      <w:numFmt w:val="bullet"/>
      <w:lvlText w:val="•"/>
      <w:lvlJc w:val="left"/>
      <w:pPr>
        <w:ind w:left="1307" w:hanging="360"/>
      </w:pPr>
      <w:rPr>
        <w:rFonts w:hint="default"/>
      </w:rPr>
    </w:lvl>
    <w:lvl w:ilvl="2" w:tplc="03400C4A">
      <w:start w:val="1"/>
      <w:numFmt w:val="bullet"/>
      <w:lvlText w:val="•"/>
      <w:lvlJc w:val="left"/>
      <w:pPr>
        <w:ind w:left="2144" w:hanging="360"/>
      </w:pPr>
      <w:rPr>
        <w:rFonts w:hint="default"/>
      </w:rPr>
    </w:lvl>
    <w:lvl w:ilvl="3" w:tplc="CEF290E6">
      <w:start w:val="1"/>
      <w:numFmt w:val="bullet"/>
      <w:lvlText w:val="•"/>
      <w:lvlJc w:val="left"/>
      <w:pPr>
        <w:ind w:left="2982" w:hanging="360"/>
      </w:pPr>
      <w:rPr>
        <w:rFonts w:hint="default"/>
      </w:rPr>
    </w:lvl>
    <w:lvl w:ilvl="4" w:tplc="510A5110">
      <w:start w:val="1"/>
      <w:numFmt w:val="bullet"/>
      <w:lvlText w:val="•"/>
      <w:lvlJc w:val="left"/>
      <w:pPr>
        <w:ind w:left="3820" w:hanging="360"/>
      </w:pPr>
      <w:rPr>
        <w:rFonts w:hint="default"/>
      </w:rPr>
    </w:lvl>
    <w:lvl w:ilvl="5" w:tplc="31028446">
      <w:start w:val="1"/>
      <w:numFmt w:val="bullet"/>
      <w:lvlText w:val="•"/>
      <w:lvlJc w:val="left"/>
      <w:pPr>
        <w:ind w:left="4657" w:hanging="360"/>
      </w:pPr>
      <w:rPr>
        <w:rFonts w:hint="default"/>
      </w:rPr>
    </w:lvl>
    <w:lvl w:ilvl="6" w:tplc="EAA8CE52">
      <w:start w:val="1"/>
      <w:numFmt w:val="bullet"/>
      <w:lvlText w:val="•"/>
      <w:lvlJc w:val="left"/>
      <w:pPr>
        <w:ind w:left="5495" w:hanging="360"/>
      </w:pPr>
      <w:rPr>
        <w:rFonts w:hint="default"/>
      </w:rPr>
    </w:lvl>
    <w:lvl w:ilvl="7" w:tplc="C890B438">
      <w:start w:val="1"/>
      <w:numFmt w:val="bullet"/>
      <w:lvlText w:val="•"/>
      <w:lvlJc w:val="left"/>
      <w:pPr>
        <w:ind w:left="6333" w:hanging="360"/>
      </w:pPr>
      <w:rPr>
        <w:rFonts w:hint="default"/>
      </w:rPr>
    </w:lvl>
    <w:lvl w:ilvl="8" w:tplc="6F768F30">
      <w:start w:val="1"/>
      <w:numFmt w:val="bullet"/>
      <w:lvlText w:val="•"/>
      <w:lvlJc w:val="left"/>
      <w:pPr>
        <w:ind w:left="7170" w:hanging="360"/>
      </w:pPr>
      <w:rPr>
        <w:rFonts w:hint="default"/>
      </w:rPr>
    </w:lvl>
  </w:abstractNum>
  <w:abstractNum w:abstractNumId="12" w15:restartNumberingAfterBreak="0">
    <w:nsid w:val="5EA531D3"/>
    <w:multiLevelType w:val="hybridMultilevel"/>
    <w:tmpl w:val="67F6B0AC"/>
    <w:lvl w:ilvl="0" w:tplc="5D7E038E">
      <w:start w:val="1"/>
      <w:numFmt w:val="decimal"/>
      <w:lvlText w:val="%1."/>
      <w:lvlJc w:val="left"/>
      <w:pPr>
        <w:ind w:left="469" w:hanging="360"/>
      </w:pPr>
      <w:rPr>
        <w:rFonts w:ascii="Calibri" w:eastAsia="Calibri" w:hAnsi="Calibri" w:hint="default"/>
        <w:sz w:val="24"/>
        <w:szCs w:val="24"/>
      </w:rPr>
    </w:lvl>
    <w:lvl w:ilvl="1" w:tplc="BAEA472C">
      <w:start w:val="1"/>
      <w:numFmt w:val="lowerRoman"/>
      <w:lvlText w:val="(%2)"/>
      <w:lvlJc w:val="left"/>
      <w:pPr>
        <w:ind w:left="469" w:hanging="255"/>
      </w:pPr>
      <w:rPr>
        <w:rFonts w:ascii="Calibri" w:eastAsia="Calibri" w:hAnsi="Calibri" w:hint="default"/>
        <w:sz w:val="24"/>
        <w:szCs w:val="24"/>
      </w:rPr>
    </w:lvl>
    <w:lvl w:ilvl="2" w:tplc="B34E5A0E">
      <w:start w:val="1"/>
      <w:numFmt w:val="bullet"/>
      <w:lvlText w:val="•"/>
      <w:lvlJc w:val="left"/>
      <w:pPr>
        <w:ind w:left="2144" w:hanging="255"/>
      </w:pPr>
      <w:rPr>
        <w:rFonts w:hint="default"/>
      </w:rPr>
    </w:lvl>
    <w:lvl w:ilvl="3" w:tplc="2F88FB9E">
      <w:start w:val="1"/>
      <w:numFmt w:val="bullet"/>
      <w:lvlText w:val="•"/>
      <w:lvlJc w:val="left"/>
      <w:pPr>
        <w:ind w:left="2982" w:hanging="255"/>
      </w:pPr>
      <w:rPr>
        <w:rFonts w:hint="default"/>
      </w:rPr>
    </w:lvl>
    <w:lvl w:ilvl="4" w:tplc="9D460600">
      <w:start w:val="1"/>
      <w:numFmt w:val="bullet"/>
      <w:lvlText w:val="•"/>
      <w:lvlJc w:val="left"/>
      <w:pPr>
        <w:ind w:left="3820" w:hanging="255"/>
      </w:pPr>
      <w:rPr>
        <w:rFonts w:hint="default"/>
      </w:rPr>
    </w:lvl>
    <w:lvl w:ilvl="5" w:tplc="88F23092">
      <w:start w:val="1"/>
      <w:numFmt w:val="bullet"/>
      <w:lvlText w:val="•"/>
      <w:lvlJc w:val="left"/>
      <w:pPr>
        <w:ind w:left="4657" w:hanging="255"/>
      </w:pPr>
      <w:rPr>
        <w:rFonts w:hint="default"/>
      </w:rPr>
    </w:lvl>
    <w:lvl w:ilvl="6" w:tplc="E16A2552">
      <w:start w:val="1"/>
      <w:numFmt w:val="bullet"/>
      <w:lvlText w:val="•"/>
      <w:lvlJc w:val="left"/>
      <w:pPr>
        <w:ind w:left="5495" w:hanging="255"/>
      </w:pPr>
      <w:rPr>
        <w:rFonts w:hint="default"/>
      </w:rPr>
    </w:lvl>
    <w:lvl w:ilvl="7" w:tplc="12F0E88E">
      <w:start w:val="1"/>
      <w:numFmt w:val="bullet"/>
      <w:lvlText w:val="•"/>
      <w:lvlJc w:val="left"/>
      <w:pPr>
        <w:ind w:left="6333" w:hanging="255"/>
      </w:pPr>
      <w:rPr>
        <w:rFonts w:hint="default"/>
      </w:rPr>
    </w:lvl>
    <w:lvl w:ilvl="8" w:tplc="41BC1804">
      <w:start w:val="1"/>
      <w:numFmt w:val="bullet"/>
      <w:lvlText w:val="•"/>
      <w:lvlJc w:val="left"/>
      <w:pPr>
        <w:ind w:left="7170" w:hanging="255"/>
      </w:pPr>
      <w:rPr>
        <w:rFonts w:hint="default"/>
      </w:rPr>
    </w:lvl>
  </w:abstractNum>
  <w:abstractNum w:abstractNumId="13" w15:restartNumberingAfterBreak="0">
    <w:nsid w:val="666333F6"/>
    <w:multiLevelType w:val="hybridMultilevel"/>
    <w:tmpl w:val="49B27DE2"/>
    <w:lvl w:ilvl="0" w:tplc="B6FA2C62">
      <w:start w:val="25"/>
      <w:numFmt w:val="decimal"/>
      <w:lvlText w:val="%1"/>
      <w:lvlJc w:val="left"/>
      <w:pPr>
        <w:ind w:left="610" w:hanging="238"/>
        <w:jc w:val="right"/>
      </w:pPr>
      <w:rPr>
        <w:rFonts w:ascii="Calibri" w:eastAsia="Calibri" w:hAnsi="Calibri" w:hint="default"/>
        <w:position w:val="6"/>
        <w:sz w:val="16"/>
        <w:szCs w:val="16"/>
      </w:rPr>
    </w:lvl>
    <w:lvl w:ilvl="1" w:tplc="0CAA4D70">
      <w:start w:val="1"/>
      <w:numFmt w:val="bullet"/>
      <w:lvlText w:val="•"/>
      <w:lvlJc w:val="left"/>
      <w:pPr>
        <w:ind w:left="1470" w:hanging="238"/>
      </w:pPr>
      <w:rPr>
        <w:rFonts w:hint="default"/>
      </w:rPr>
    </w:lvl>
    <w:lvl w:ilvl="2" w:tplc="1F403470">
      <w:start w:val="1"/>
      <w:numFmt w:val="bullet"/>
      <w:lvlText w:val="•"/>
      <w:lvlJc w:val="left"/>
      <w:pPr>
        <w:ind w:left="2330" w:hanging="238"/>
      </w:pPr>
      <w:rPr>
        <w:rFonts w:hint="default"/>
      </w:rPr>
    </w:lvl>
    <w:lvl w:ilvl="3" w:tplc="3CD4FDF6">
      <w:start w:val="1"/>
      <w:numFmt w:val="bullet"/>
      <w:lvlText w:val="•"/>
      <w:lvlJc w:val="left"/>
      <w:pPr>
        <w:ind w:left="3189" w:hanging="238"/>
      </w:pPr>
      <w:rPr>
        <w:rFonts w:hint="default"/>
      </w:rPr>
    </w:lvl>
    <w:lvl w:ilvl="4" w:tplc="687CDBB4">
      <w:start w:val="1"/>
      <w:numFmt w:val="bullet"/>
      <w:lvlText w:val="•"/>
      <w:lvlJc w:val="left"/>
      <w:pPr>
        <w:ind w:left="4049" w:hanging="238"/>
      </w:pPr>
      <w:rPr>
        <w:rFonts w:hint="default"/>
      </w:rPr>
    </w:lvl>
    <w:lvl w:ilvl="5" w:tplc="1DF6A7B8">
      <w:start w:val="1"/>
      <w:numFmt w:val="bullet"/>
      <w:lvlText w:val="•"/>
      <w:lvlJc w:val="left"/>
      <w:pPr>
        <w:ind w:left="4908" w:hanging="238"/>
      </w:pPr>
      <w:rPr>
        <w:rFonts w:hint="default"/>
      </w:rPr>
    </w:lvl>
    <w:lvl w:ilvl="6" w:tplc="D966BF58">
      <w:start w:val="1"/>
      <w:numFmt w:val="bullet"/>
      <w:lvlText w:val="•"/>
      <w:lvlJc w:val="left"/>
      <w:pPr>
        <w:ind w:left="5768" w:hanging="238"/>
      </w:pPr>
      <w:rPr>
        <w:rFonts w:hint="default"/>
      </w:rPr>
    </w:lvl>
    <w:lvl w:ilvl="7" w:tplc="4016EAC0">
      <w:start w:val="1"/>
      <w:numFmt w:val="bullet"/>
      <w:lvlText w:val="•"/>
      <w:lvlJc w:val="left"/>
      <w:pPr>
        <w:ind w:left="6627" w:hanging="238"/>
      </w:pPr>
      <w:rPr>
        <w:rFonts w:hint="default"/>
      </w:rPr>
    </w:lvl>
    <w:lvl w:ilvl="8" w:tplc="7B52822E">
      <w:start w:val="1"/>
      <w:numFmt w:val="bullet"/>
      <w:lvlText w:val="•"/>
      <w:lvlJc w:val="left"/>
      <w:pPr>
        <w:ind w:left="7487" w:hanging="238"/>
      </w:pPr>
      <w:rPr>
        <w:rFonts w:hint="default"/>
      </w:rPr>
    </w:lvl>
  </w:abstractNum>
  <w:abstractNum w:abstractNumId="14" w15:restartNumberingAfterBreak="0">
    <w:nsid w:val="755F1DAD"/>
    <w:multiLevelType w:val="hybridMultilevel"/>
    <w:tmpl w:val="658ABFBC"/>
    <w:lvl w:ilvl="0" w:tplc="3C68EFCE">
      <w:start w:val="1"/>
      <w:numFmt w:val="bullet"/>
      <w:lvlText w:val="-"/>
      <w:lvlJc w:val="left"/>
      <w:pPr>
        <w:ind w:left="109" w:hanging="132"/>
      </w:pPr>
      <w:rPr>
        <w:rFonts w:ascii="Calibri" w:eastAsia="Calibri" w:hAnsi="Calibri" w:hint="default"/>
        <w:sz w:val="24"/>
        <w:szCs w:val="24"/>
      </w:rPr>
    </w:lvl>
    <w:lvl w:ilvl="1" w:tplc="4B8A419C">
      <w:start w:val="1"/>
      <w:numFmt w:val="bullet"/>
      <w:lvlText w:val="•"/>
      <w:lvlJc w:val="left"/>
      <w:pPr>
        <w:ind w:left="983" w:hanging="132"/>
      </w:pPr>
      <w:rPr>
        <w:rFonts w:hint="default"/>
      </w:rPr>
    </w:lvl>
    <w:lvl w:ilvl="2" w:tplc="6AAA6830">
      <w:start w:val="1"/>
      <w:numFmt w:val="bullet"/>
      <w:lvlText w:val="•"/>
      <w:lvlJc w:val="left"/>
      <w:pPr>
        <w:ind w:left="1856" w:hanging="132"/>
      </w:pPr>
      <w:rPr>
        <w:rFonts w:hint="default"/>
      </w:rPr>
    </w:lvl>
    <w:lvl w:ilvl="3" w:tplc="897E17C8">
      <w:start w:val="1"/>
      <w:numFmt w:val="bullet"/>
      <w:lvlText w:val="•"/>
      <w:lvlJc w:val="left"/>
      <w:pPr>
        <w:ind w:left="2730" w:hanging="132"/>
      </w:pPr>
      <w:rPr>
        <w:rFonts w:hint="default"/>
      </w:rPr>
    </w:lvl>
    <w:lvl w:ilvl="4" w:tplc="B426A478">
      <w:start w:val="1"/>
      <w:numFmt w:val="bullet"/>
      <w:lvlText w:val="•"/>
      <w:lvlJc w:val="left"/>
      <w:pPr>
        <w:ind w:left="3604" w:hanging="132"/>
      </w:pPr>
      <w:rPr>
        <w:rFonts w:hint="default"/>
      </w:rPr>
    </w:lvl>
    <w:lvl w:ilvl="5" w:tplc="38625C62">
      <w:start w:val="1"/>
      <w:numFmt w:val="bullet"/>
      <w:lvlText w:val="•"/>
      <w:lvlJc w:val="left"/>
      <w:pPr>
        <w:ind w:left="4477" w:hanging="132"/>
      </w:pPr>
      <w:rPr>
        <w:rFonts w:hint="default"/>
      </w:rPr>
    </w:lvl>
    <w:lvl w:ilvl="6" w:tplc="ACB67192">
      <w:start w:val="1"/>
      <w:numFmt w:val="bullet"/>
      <w:lvlText w:val="•"/>
      <w:lvlJc w:val="left"/>
      <w:pPr>
        <w:ind w:left="5351" w:hanging="132"/>
      </w:pPr>
      <w:rPr>
        <w:rFonts w:hint="default"/>
      </w:rPr>
    </w:lvl>
    <w:lvl w:ilvl="7" w:tplc="8EA84C18">
      <w:start w:val="1"/>
      <w:numFmt w:val="bullet"/>
      <w:lvlText w:val="•"/>
      <w:lvlJc w:val="left"/>
      <w:pPr>
        <w:ind w:left="6225" w:hanging="132"/>
      </w:pPr>
      <w:rPr>
        <w:rFonts w:hint="default"/>
      </w:rPr>
    </w:lvl>
    <w:lvl w:ilvl="8" w:tplc="AFF85040">
      <w:start w:val="1"/>
      <w:numFmt w:val="bullet"/>
      <w:lvlText w:val="•"/>
      <w:lvlJc w:val="left"/>
      <w:pPr>
        <w:ind w:left="7098" w:hanging="132"/>
      </w:pPr>
      <w:rPr>
        <w:rFonts w:hint="default"/>
      </w:rPr>
    </w:lvl>
  </w:abstractNum>
  <w:num w:numId="1">
    <w:abstractNumId w:val="7"/>
  </w:num>
  <w:num w:numId="2">
    <w:abstractNumId w:val="4"/>
  </w:num>
  <w:num w:numId="3">
    <w:abstractNumId w:val="3"/>
  </w:num>
  <w:num w:numId="4">
    <w:abstractNumId w:val="2"/>
  </w:num>
  <w:num w:numId="5">
    <w:abstractNumId w:val="10"/>
  </w:num>
  <w:num w:numId="6">
    <w:abstractNumId w:val="0"/>
  </w:num>
  <w:num w:numId="7">
    <w:abstractNumId w:val="11"/>
  </w:num>
  <w:num w:numId="8">
    <w:abstractNumId w:val="5"/>
  </w:num>
  <w:num w:numId="9">
    <w:abstractNumId w:val="14"/>
  </w:num>
  <w:num w:numId="10">
    <w:abstractNumId w:val="1"/>
  </w:num>
  <w:num w:numId="11">
    <w:abstractNumId w:val="9"/>
  </w:num>
  <w:num w:numId="12">
    <w:abstractNumId w:val="12"/>
  </w:num>
  <w:num w:numId="13">
    <w:abstractNumId w:val="8"/>
  </w:num>
  <w:num w:numId="14">
    <w:abstractNumId w:val="6"/>
  </w:num>
  <w:num w:numId="15">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5E4A70"/>
    <w:rsid w:val="00087105"/>
    <w:rsid w:val="000C30A7"/>
    <w:rsid w:val="00125455"/>
    <w:rsid w:val="001453A9"/>
    <w:rsid w:val="00153C4C"/>
    <w:rsid w:val="001A2013"/>
    <w:rsid w:val="002710F2"/>
    <w:rsid w:val="002F6D03"/>
    <w:rsid w:val="0030303D"/>
    <w:rsid w:val="00334381"/>
    <w:rsid w:val="00334E57"/>
    <w:rsid w:val="00341F9D"/>
    <w:rsid w:val="004A6BB6"/>
    <w:rsid w:val="004C589B"/>
    <w:rsid w:val="004D5258"/>
    <w:rsid w:val="00543D61"/>
    <w:rsid w:val="005E4A70"/>
    <w:rsid w:val="00641E4C"/>
    <w:rsid w:val="00661151"/>
    <w:rsid w:val="007B50FE"/>
    <w:rsid w:val="008128EE"/>
    <w:rsid w:val="008235E2"/>
    <w:rsid w:val="008B5B87"/>
    <w:rsid w:val="00A053B3"/>
    <w:rsid w:val="00A102E6"/>
    <w:rsid w:val="00AA1847"/>
    <w:rsid w:val="00AB31BC"/>
    <w:rsid w:val="00B533CB"/>
    <w:rsid w:val="00B565C4"/>
    <w:rsid w:val="00BF743A"/>
    <w:rsid w:val="00D02A70"/>
    <w:rsid w:val="00D738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D16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27"/>
      <w:ind w:left="1066"/>
      <w:outlineLvl w:val="0"/>
    </w:pPr>
    <w:rPr>
      <w:rFonts w:ascii="Calibri" w:eastAsia="Calibri" w:hAnsi="Calibri"/>
      <w:b/>
      <w:bCs/>
      <w:sz w:val="36"/>
      <w:szCs w:val="36"/>
    </w:rPr>
  </w:style>
  <w:style w:type="paragraph" w:styleId="Heading2">
    <w:name w:val="heading 2"/>
    <w:basedOn w:val="Normal"/>
    <w:uiPriority w:val="9"/>
    <w:unhideWhenUsed/>
    <w:qFormat/>
    <w:pPr>
      <w:ind w:left="2941"/>
      <w:outlineLvl w:val="1"/>
    </w:pPr>
    <w:rPr>
      <w:rFonts w:ascii="Calibri" w:eastAsia="Calibri" w:hAnsi="Calibri"/>
      <w:b/>
      <w:bCs/>
      <w:sz w:val="29"/>
      <w:szCs w:val="29"/>
    </w:rPr>
  </w:style>
  <w:style w:type="paragraph" w:styleId="Heading3">
    <w:name w:val="heading 3"/>
    <w:basedOn w:val="Normal"/>
    <w:uiPriority w:val="9"/>
    <w:unhideWhenUsed/>
    <w:qFormat/>
    <w:pPr>
      <w:spacing w:before="27"/>
      <w:ind w:left="2926"/>
      <w:outlineLvl w:val="2"/>
    </w:pPr>
    <w:rPr>
      <w:rFonts w:ascii="Calibri" w:eastAsia="Calibri" w:hAnsi="Calibri"/>
      <w:b/>
      <w:bCs/>
      <w:sz w:val="28"/>
      <w:szCs w:val="28"/>
      <w:u w:val="single"/>
    </w:rPr>
  </w:style>
  <w:style w:type="paragraph" w:styleId="Heading4">
    <w:name w:val="heading 4"/>
    <w:basedOn w:val="Normal"/>
    <w:uiPriority w:val="9"/>
    <w:unhideWhenUsed/>
    <w:qFormat/>
    <w:pPr>
      <w:ind w:left="109"/>
      <w:outlineLvl w:val="3"/>
    </w:pPr>
    <w:rPr>
      <w:rFonts w:ascii="Calibri" w:eastAsia="Calibri" w:hAnsi="Calibri"/>
      <w:b/>
      <w:bCs/>
      <w:sz w:val="24"/>
      <w:szCs w:val="24"/>
    </w:rPr>
  </w:style>
  <w:style w:type="paragraph" w:styleId="Heading5">
    <w:name w:val="heading 5"/>
    <w:basedOn w:val="Normal"/>
    <w:uiPriority w:val="9"/>
    <w:unhideWhenUsed/>
    <w:qFormat/>
    <w:pPr>
      <w:ind w:left="829" w:hanging="720"/>
      <w:outlineLvl w:val="4"/>
    </w:pPr>
    <w:rPr>
      <w:rFonts w:ascii="Calibri" w:eastAsia="Calibri" w:hAnsi="Calibri"/>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0"/>
      <w:ind w:left="2"/>
    </w:pPr>
    <w:rPr>
      <w:rFonts w:ascii="Calibri" w:eastAsia="Calibri" w:hAnsi="Calibri"/>
      <w:b/>
      <w:bCs/>
      <w:sz w:val="20"/>
      <w:szCs w:val="20"/>
    </w:rPr>
  </w:style>
  <w:style w:type="paragraph" w:styleId="TOC2">
    <w:name w:val="toc 2"/>
    <w:basedOn w:val="Normal"/>
    <w:uiPriority w:val="1"/>
    <w:qFormat/>
    <w:pPr>
      <w:spacing w:before="168"/>
      <w:ind w:left="7"/>
    </w:pPr>
    <w:rPr>
      <w:rFonts w:ascii="Arial" w:eastAsia="Arial" w:hAnsi="Arial"/>
      <w:sz w:val="16"/>
      <w:szCs w:val="16"/>
    </w:rPr>
  </w:style>
  <w:style w:type="paragraph" w:styleId="TOC3">
    <w:name w:val="toc 3"/>
    <w:basedOn w:val="Normal"/>
    <w:uiPriority w:val="1"/>
    <w:qFormat/>
    <w:pPr>
      <w:ind w:left="349"/>
    </w:pPr>
    <w:rPr>
      <w:rFonts w:ascii="Calibri" w:eastAsia="Calibri" w:hAnsi="Calibri"/>
      <w:sz w:val="16"/>
      <w:szCs w:val="16"/>
    </w:rPr>
  </w:style>
  <w:style w:type="paragraph" w:styleId="TOC4">
    <w:name w:val="toc 4"/>
    <w:basedOn w:val="Normal"/>
    <w:uiPriority w:val="1"/>
    <w:qFormat/>
    <w:pPr>
      <w:ind w:left="349"/>
    </w:pPr>
    <w:rPr>
      <w:rFonts w:ascii="Calibri" w:eastAsia="Calibri" w:hAnsi="Calibri"/>
      <w:b/>
      <w:bCs/>
      <w:i/>
    </w:rPr>
  </w:style>
  <w:style w:type="paragraph" w:styleId="TOC5">
    <w:name w:val="toc 5"/>
    <w:basedOn w:val="Normal"/>
    <w:uiPriority w:val="1"/>
    <w:qFormat/>
    <w:pPr>
      <w:ind w:left="385"/>
    </w:pPr>
    <w:rPr>
      <w:rFonts w:ascii="Calibri" w:eastAsia="Calibri" w:hAnsi="Calibri"/>
      <w:sz w:val="20"/>
      <w:szCs w:val="20"/>
    </w:rPr>
  </w:style>
  <w:style w:type="paragraph" w:styleId="BodyText">
    <w:name w:val="Body Text"/>
    <w:basedOn w:val="Normal"/>
    <w:uiPriority w:val="1"/>
    <w:qFormat/>
    <w:pPr>
      <w:ind w:left="109"/>
    </w:pPr>
    <w:rPr>
      <w:rFonts w:ascii="Calibri" w:eastAsia="Calibri" w:hAnsi="Calibr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2F6D03"/>
    <w:pPr>
      <w:tabs>
        <w:tab w:val="center" w:pos="4513"/>
        <w:tab w:val="right" w:pos="9026"/>
      </w:tabs>
    </w:pPr>
  </w:style>
  <w:style w:type="character" w:customStyle="1" w:styleId="HeaderChar">
    <w:name w:val="Header Char"/>
    <w:basedOn w:val="DefaultParagraphFont"/>
    <w:link w:val="Header"/>
    <w:rsid w:val="002F6D03"/>
  </w:style>
  <w:style w:type="paragraph" w:styleId="Footer">
    <w:name w:val="footer"/>
    <w:basedOn w:val="Normal"/>
    <w:link w:val="FooterChar"/>
    <w:unhideWhenUsed/>
    <w:rsid w:val="002F6D03"/>
    <w:pPr>
      <w:tabs>
        <w:tab w:val="center" w:pos="4513"/>
        <w:tab w:val="right" w:pos="9026"/>
      </w:tabs>
    </w:pPr>
  </w:style>
  <w:style w:type="character" w:customStyle="1" w:styleId="FooterChar">
    <w:name w:val="Footer Char"/>
    <w:basedOn w:val="DefaultParagraphFont"/>
    <w:link w:val="Footer"/>
    <w:rsid w:val="002F6D03"/>
  </w:style>
  <w:style w:type="paragraph" w:styleId="FootnoteText">
    <w:name w:val="footnote text"/>
    <w:basedOn w:val="Normal"/>
    <w:link w:val="FootnoteTextChar"/>
    <w:uiPriority w:val="99"/>
    <w:semiHidden/>
    <w:unhideWhenUsed/>
    <w:rsid w:val="007B50FE"/>
    <w:rPr>
      <w:sz w:val="20"/>
      <w:szCs w:val="20"/>
    </w:rPr>
  </w:style>
  <w:style w:type="character" w:customStyle="1" w:styleId="FootnoteTextChar">
    <w:name w:val="Footnote Text Char"/>
    <w:basedOn w:val="DefaultParagraphFont"/>
    <w:link w:val="FootnoteText"/>
    <w:uiPriority w:val="99"/>
    <w:semiHidden/>
    <w:rsid w:val="007B50FE"/>
    <w:rPr>
      <w:sz w:val="20"/>
      <w:szCs w:val="20"/>
    </w:rPr>
  </w:style>
  <w:style w:type="character" w:styleId="FootnoteReference">
    <w:name w:val="footnote reference"/>
    <w:basedOn w:val="DefaultParagraphFont"/>
    <w:uiPriority w:val="99"/>
    <w:semiHidden/>
    <w:unhideWhenUsed/>
    <w:rsid w:val="007B50FE"/>
    <w:rPr>
      <w:vertAlign w:val="superscript"/>
    </w:rPr>
  </w:style>
  <w:style w:type="character" w:styleId="PageNumber">
    <w:name w:val="page number"/>
    <w:basedOn w:val="DefaultParagraphFont"/>
    <w:semiHidden/>
    <w:rsid w:val="00153C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47409639620A48BB08F713A1AC624B" ma:contentTypeVersion="8" ma:contentTypeDescription="Create a new document." ma:contentTypeScope="" ma:versionID="c01e3ee80a278af17bd1cb207621c6fc">
  <xsd:schema xmlns:xsd="http://www.w3.org/2001/XMLSchema" xmlns:xs="http://www.w3.org/2001/XMLSchema" xmlns:p="http://schemas.microsoft.com/office/2006/metadata/properties" xmlns:ns2="1d57a815-79e8-498e-8f04-9c2e9221b678" targetNamespace="http://schemas.microsoft.com/office/2006/metadata/properties" ma:root="true" ma:fieldsID="f9bc4856e7bc64d3e0f82af37302a80f" ns2:_="">
    <xsd:import namespace="1d57a815-79e8-498e-8f04-9c2e9221b6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780372-5956-4CFE-9829-A3D7109A3414}">
  <ds:schemaRefs>
    <ds:schemaRef ds:uri="http://schemas.microsoft.com/sharepoint/v3/contenttype/forms"/>
  </ds:schemaRefs>
</ds:datastoreItem>
</file>

<file path=customXml/itemProps2.xml><?xml version="1.0" encoding="utf-8"?>
<ds:datastoreItem xmlns:ds="http://schemas.openxmlformats.org/officeDocument/2006/customXml" ds:itemID="{E798D543-F9E2-4E67-A4F9-695F944CF3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B75A29-2272-4315-A61C-E1F9DC913D40}">
  <ds:schemaRefs>
    <ds:schemaRef ds:uri="http://schemas.openxmlformats.org/officeDocument/2006/bibliography"/>
  </ds:schemaRefs>
</ds:datastoreItem>
</file>

<file path=customXml/itemProps4.xml><?xml version="1.0" encoding="utf-8"?>
<ds:datastoreItem xmlns:ds="http://schemas.openxmlformats.org/officeDocument/2006/customXml" ds:itemID="{F65338AC-C858-4B27-B9C0-2726E30BE5C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4475</Words>
  <Characters>2551</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2022-01-07T12:51:00Z</dcterms:created>
  <dcterms:modified xsi:type="dcterms:W3CDTF">2022-04-08T13:20:00Z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ies>
</file>