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1B342" w14:textId="005FAFB8" w:rsidR="00660BEC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  <w:szCs w:val="12"/>
        </w:rPr>
      </w:pPr>
    </w:p>
    <w:p w14:paraId="71E4C41D" w14:textId="35F49DA8" w:rsidR="00B03E01" w:rsidRPr="00B03E01" w:rsidRDefault="00B03E01" w:rsidP="00B03E01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12"/>
        </w:rPr>
      </w:pPr>
      <w:r>
        <w:rPr>
          <w:rFonts w:ascii="Times New Roman" w:hAnsi="Times New Roman"/>
          <w:b/>
          <w:i/>
          <w:iCs/>
          <w:sz w:val="24"/>
        </w:rPr>
        <w:t>WADA</w:t>
      </w:r>
      <w:r>
        <w:rPr>
          <w:rFonts w:ascii="Times New Roman" w:hAnsi="Times New Roman"/>
          <w:b/>
          <w:sz w:val="24"/>
        </w:rPr>
        <w:t xml:space="preserve"> tehniskais dokuments – TD2014EPO</w:t>
      </w:r>
    </w:p>
    <w:p w14:paraId="0D4BB7AA" w14:textId="77777777" w:rsidR="00B03E01" w:rsidRPr="00B03E01" w:rsidRDefault="00B03E01" w:rsidP="00B03E01">
      <w:pPr>
        <w:jc w:val="both"/>
        <w:rPr>
          <w:rFonts w:ascii="Times New Roman" w:eastAsia="Times New Roman" w:hAnsi="Times New Roman" w:cs="Times New Roman"/>
          <w:noProof/>
          <w:sz w:val="24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496"/>
        <w:gridCol w:w="1986"/>
        <w:gridCol w:w="2718"/>
      </w:tblGrid>
      <w:tr w:rsidR="00660BEC" w:rsidRPr="00B03E01" w14:paraId="0CECCB0C" w14:textId="77777777" w:rsidTr="00EF52DF"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C21E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Dokumenta numurs:</w:t>
            </w:r>
          </w:p>
        </w:tc>
        <w:tc>
          <w:tcPr>
            <w:tcW w:w="1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1DC41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TD2014EPO</w:t>
            </w:r>
          </w:p>
        </w:tc>
        <w:tc>
          <w:tcPr>
            <w:tcW w:w="10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B7DE9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Kārtas numurs:</w:t>
            </w:r>
          </w:p>
        </w:tc>
        <w:tc>
          <w:tcPr>
            <w:tcW w:w="14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A1462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</w:tr>
      <w:tr w:rsidR="00660BEC" w:rsidRPr="00B03E01" w14:paraId="70C14681" w14:textId="77777777" w:rsidTr="00EF52DF"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63DDC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Sarakstījusi:</w:t>
            </w:r>
          </w:p>
        </w:tc>
        <w:tc>
          <w:tcPr>
            <w:tcW w:w="1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00B19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 EPO</w:t>
            </w:r>
            <w:r>
              <w:rPr>
                <w:rFonts w:ascii="Times New Roman" w:hAnsi="Times New Roman"/>
                <w:sz w:val="20"/>
              </w:rPr>
              <w:t xml:space="preserve"> darba grupa</w:t>
            </w:r>
          </w:p>
        </w:tc>
        <w:tc>
          <w:tcPr>
            <w:tcW w:w="10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68065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Apstiprinājusi:</w:t>
            </w:r>
          </w:p>
        </w:tc>
        <w:tc>
          <w:tcPr>
            <w:tcW w:w="14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7305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> izpildkomiteja</w:t>
            </w:r>
          </w:p>
        </w:tc>
      </w:tr>
      <w:tr w:rsidR="00660BEC" w:rsidRPr="00B03E01" w14:paraId="6D70EA63" w14:textId="77777777" w:rsidTr="00EF52DF"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AABD7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Datums:</w:t>
            </w:r>
          </w:p>
        </w:tc>
        <w:tc>
          <w:tcPr>
            <w:tcW w:w="1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1D04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2014. gada 17. maijs</w:t>
            </w:r>
          </w:p>
        </w:tc>
        <w:tc>
          <w:tcPr>
            <w:tcW w:w="10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8E7FD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Spēkā stāšanās diena:</w:t>
            </w:r>
          </w:p>
        </w:tc>
        <w:tc>
          <w:tcPr>
            <w:tcW w:w="14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89DF8" w14:textId="77777777" w:rsidR="00660BEC" w:rsidRPr="00B03E01" w:rsidRDefault="00660BEC" w:rsidP="00B03E01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2014. gada 1. septembris</w:t>
            </w:r>
          </w:p>
        </w:tc>
      </w:tr>
    </w:tbl>
    <w:p w14:paraId="1FDCDA1E" w14:textId="77777777" w:rsidR="00660BEC" w:rsidRPr="00B03E01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</w:rPr>
      </w:pPr>
    </w:p>
    <w:p w14:paraId="76A87801" w14:textId="77777777" w:rsidR="00660BEC" w:rsidRPr="00B03E01" w:rsidRDefault="00660BEC" w:rsidP="00B03E01">
      <w:pPr>
        <w:pStyle w:val="Heading4"/>
        <w:ind w:left="0"/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ERITROPOĒZI STIMULĒJOŠU LĪDZEKĻU (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>) ANALĪŽU AR ELEKTROFORĒTISKAJĀM METODĒM VEIKŠANAS UN ZIŅOŠANAS SASKAŅOŠANA</w:t>
      </w:r>
    </w:p>
    <w:p w14:paraId="3810A6AA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b/>
          <w:bCs/>
          <w:noProof/>
          <w:sz w:val="24"/>
        </w:rPr>
      </w:pPr>
    </w:p>
    <w:p w14:paraId="511C4699" w14:textId="112AD98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1.0. </w:t>
      </w:r>
      <w:r>
        <w:rPr>
          <w:rFonts w:ascii="Times New Roman" w:hAnsi="Times New Roman"/>
          <w:b/>
          <w:sz w:val="24"/>
          <w:u w:val="thick" w:color="000000"/>
        </w:rPr>
        <w:t>Ievads</w:t>
      </w:r>
    </w:p>
    <w:p w14:paraId="024F421E" w14:textId="77777777" w:rsidR="00B03E01" w:rsidRDefault="00B03E01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44CD4BE6" w14:textId="4F8A28E2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Šis dokuments ir izstrādāts, lai saskaņotu </w:t>
      </w:r>
      <w:r>
        <w:rPr>
          <w:rFonts w:ascii="Times New Roman" w:hAnsi="Times New Roman"/>
          <w:sz w:val="24"/>
          <w:u w:val="single"/>
        </w:rPr>
        <w:t>laboratoriju</w:t>
      </w:r>
      <w:r>
        <w:rPr>
          <w:rFonts w:ascii="Times New Roman" w:hAnsi="Times New Roman"/>
          <w:sz w:val="24"/>
        </w:rPr>
        <w:t xml:space="preserve"> īstenotu rekombinanto eritropoetīnu (</w:t>
      </w:r>
      <w:r>
        <w:rPr>
          <w:rFonts w:ascii="Times New Roman" w:hAnsi="Times New Roman"/>
          <w:i/>
          <w:iCs/>
          <w:sz w:val="24"/>
        </w:rPr>
        <w:t>t. i.</w:t>
      </w:r>
      <w:r>
        <w:rPr>
          <w:rFonts w:ascii="Times New Roman" w:hAnsi="Times New Roman"/>
          <w:sz w:val="24"/>
        </w:rPr>
        <w:t>, epoetīnu) un to analogu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 xml:space="preserve">, darbepoetīna, pegserpoetīna, peginesatīda,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>) noteikšanu un paziņošanu, analizējot tos ar elektroforēzes metodēm. Ikreiz, kad ir pieejamas citas metodes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ELISA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LC/MS</w:t>
      </w:r>
      <w:r>
        <w:rPr>
          <w:rFonts w:ascii="Times New Roman" w:hAnsi="Times New Roman"/>
          <w:sz w:val="24"/>
        </w:rPr>
        <w:t>), tiek sniegta atsauce arī uz piemērojamajiem tehniskajiem dokumentiem.</w:t>
      </w:r>
    </w:p>
    <w:p w14:paraId="12E59B1D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0D7C51E0" w14:textId="7777777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Visām </w:t>
      </w:r>
      <w:r>
        <w:rPr>
          <w:rFonts w:ascii="Times New Roman" w:hAnsi="Times New Roman"/>
          <w:sz w:val="24"/>
          <w:u w:val="single"/>
        </w:rPr>
        <w:t>laboratorijām</w:t>
      </w:r>
      <w:r>
        <w:rPr>
          <w:rFonts w:ascii="Times New Roman" w:hAnsi="Times New Roman"/>
          <w:sz w:val="24"/>
        </w:rPr>
        <w:t xml:space="preserve"> ir jāpiemēro šie kritēriji, ikdienā veicot pārbaudes, lai identificētu minētās vielas.</w:t>
      </w:r>
    </w:p>
    <w:p w14:paraId="755DA389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2457C292" w14:textId="35A82E79" w:rsidR="00660BEC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Šajā dokumentā tiek izmantoti turpmāk minētie saīsinājumi, akronīmi un preču zīmes.</w:t>
      </w:r>
    </w:p>
    <w:p w14:paraId="100BACEE" w14:textId="77777777" w:rsidR="00B03E01" w:rsidRPr="00B03E01" w:rsidRDefault="00B03E01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55D021FF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CERA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iCs/>
          <w:sz w:val="24"/>
        </w:rPr>
        <w:t>Mircera</w:t>
      </w:r>
      <w:r>
        <w:rPr>
          <w:rFonts w:ascii="Times New Roman" w:hAnsi="Times New Roman"/>
          <w:i/>
          <w:iCs/>
          <w:sz w:val="24"/>
          <w:vertAlign w:val="superscript"/>
        </w:rPr>
        <w:t>®</w:t>
      </w:r>
      <w:r>
        <w:rPr>
          <w:rFonts w:ascii="Times New Roman" w:hAnsi="Times New Roman"/>
          <w:i/>
          <w:iCs/>
          <w:sz w:val="24"/>
        </w:rPr>
        <w:t>, Roche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pastāvīgs eritropoetīna receptoru aktivators, eritropoetīna analogs, kas pazīstams ar starptautisko nepatentēto nosaukumu (SNN) kā pegserpoetīns, pegilēts epoetīna-β atvasinājums.</w:t>
      </w:r>
    </w:p>
    <w:p w14:paraId="2CB50E00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EPO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eritropoetīns.</w:t>
      </w:r>
    </w:p>
    <w:p w14:paraId="38E6F216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EPO-Fc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sapludinātais proteīns, saplūstot ar cilvēka imūnglobulīna smagās ķēdes </w:t>
      </w:r>
      <w:r>
        <w:rPr>
          <w:rFonts w:ascii="Times New Roman" w:hAnsi="Times New Roman"/>
          <w:i/>
          <w:iCs/>
          <w:sz w:val="24"/>
        </w:rPr>
        <w:t>Fc</w:t>
      </w:r>
      <w:r>
        <w:rPr>
          <w:rFonts w:ascii="Times New Roman" w:hAnsi="Times New Roman"/>
          <w:sz w:val="24"/>
        </w:rPr>
        <w:t xml:space="preserve"> (fragments, kristalizējams) apgabalu.</w:t>
      </w:r>
    </w:p>
    <w:p w14:paraId="0EE218E7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bEPO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endogēnais eritropoetīns (ko dabiski izdala paša sportista audi), kas atrodams asinīs (serumā vai plazmā).</w:t>
      </w:r>
    </w:p>
    <w:p w14:paraId="12E20068" w14:textId="05241D1E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rEPO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rekombinantais eritropoetīns. Šīs farmaceitiskās vielas pēc to SNN ir pazīstamas kā “epoetīns”. Dažādos preparātus identificē ar grieķu alfabēta burtu, piemēram, epoetīns-α, -β, -ω, -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</w:rPr>
        <w:t>. Citiem preparātiem (piemēram, nepatentētajiem preparātiem vai kopijām), kurus kopā dēvē par “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biolīdziniekiem”, var būt atšķirīgi izoformu profili, kas precīzi neatbilst jau norādītajiem.</w:t>
      </w:r>
    </w:p>
    <w:p w14:paraId="033648E3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uEPO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endogēnais eritropoetīns (ko dabiski izdala paša sportista audi), kas izdalās ar urīnu.</w:t>
      </w:r>
    </w:p>
    <w:p w14:paraId="5496DB4B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i/>
          <w:iCs/>
          <w:sz w:val="24"/>
        </w:rPr>
        <w:t>ESA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eritropoēzi stimulējoši līdzekļi, kuru struktūra vai nu ir saistīta 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(piemēram, </w:t>
      </w:r>
      <w:r>
        <w:rPr>
          <w:rFonts w:ascii="Times New Roman" w:hAnsi="Times New Roman"/>
          <w:i/>
          <w:iCs/>
          <w:sz w:val="24"/>
        </w:rPr>
        <w:t>NESP, CERA, EPO-Fc</w:t>
      </w:r>
      <w:r>
        <w:rPr>
          <w:rFonts w:ascii="Times New Roman" w:hAnsi="Times New Roman"/>
          <w:sz w:val="24"/>
        </w:rPr>
        <w:t>), vai nav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>, peginesatīds).</w:t>
      </w:r>
    </w:p>
    <w:p w14:paraId="3A67BA3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sz w:val="24"/>
        </w:rPr>
        <w:t>IEF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izoelektriskā fokusēšana.</w:t>
      </w:r>
    </w:p>
    <w:p w14:paraId="3860BFE1" w14:textId="357F2C52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NESP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Aranesp</w:t>
      </w:r>
      <w:r>
        <w:rPr>
          <w:rFonts w:ascii="Times New Roman" w:hAnsi="Times New Roman"/>
          <w:i/>
          <w:iCs/>
          <w:sz w:val="24"/>
          <w:vertAlign w:val="superscript"/>
        </w:rPr>
        <w:t>®</w:t>
      </w:r>
      <w:r>
        <w:rPr>
          <w:rFonts w:ascii="Times New Roman" w:hAnsi="Times New Roman"/>
          <w:i/>
          <w:iCs/>
          <w:sz w:val="24"/>
        </w:rPr>
        <w:t>, Amgen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jauns eritropoēzi stimulējošs proteīns, eritropoetīna analogs, ko pēc tā SNN pazīst kā darbepoetīnu-α (</w:t>
      </w:r>
      <w:r>
        <w:rPr>
          <w:rFonts w:ascii="Times New Roman" w:hAnsi="Times New Roman"/>
          <w:i/>
          <w:iCs/>
          <w:sz w:val="24"/>
        </w:rPr>
        <w:t>dEPO</w:t>
      </w:r>
      <w:r>
        <w:rPr>
          <w:rFonts w:ascii="Times New Roman" w:hAnsi="Times New Roman"/>
          <w:sz w:val="24"/>
        </w:rPr>
        <w:t>).</w:t>
      </w:r>
    </w:p>
    <w:p w14:paraId="72ADEF08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Peginesatīds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iCs/>
          <w:sz w:val="24"/>
        </w:rPr>
        <w:t>Omontys</w:t>
      </w:r>
      <w:r>
        <w:rPr>
          <w:rFonts w:ascii="Times New Roman" w:hAnsi="Times New Roman"/>
          <w:i/>
          <w:iCs/>
          <w:sz w:val="24"/>
          <w:vertAlign w:val="superscript"/>
        </w:rPr>
        <w:t>®</w:t>
      </w:r>
      <w:r>
        <w:rPr>
          <w:rFonts w:ascii="Times New Roman" w:hAnsi="Times New Roman"/>
          <w:i/>
          <w:iCs/>
          <w:sz w:val="24"/>
        </w:rPr>
        <w:t>, Affymax Inc.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pegilēts homodimēra peptīds bez strukturālas saistības 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>.</w:t>
      </w:r>
    </w:p>
    <w:p w14:paraId="15B7ED03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SAR-PAGE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nātrija </w:t>
      </w:r>
      <w:r>
        <w:rPr>
          <w:rFonts w:ascii="Times New Roman" w:hAnsi="Times New Roman"/>
          <w:i/>
          <w:iCs/>
          <w:sz w:val="24"/>
        </w:rPr>
        <w:t>N</w:t>
      </w:r>
      <w:r>
        <w:rPr>
          <w:rFonts w:ascii="Times New Roman" w:hAnsi="Times New Roman"/>
          <w:sz w:val="24"/>
        </w:rPr>
        <w:t>-lauroilsarkozināta (“sarkozil-”) poliakrilamīda gela elektroforēze.</w:t>
      </w:r>
    </w:p>
    <w:p w14:paraId="4C0C3D2B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</w:rPr>
        <w:t>SDS-PAGE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nātrija dodecilsulfāta poliakrilamīda gela elektroforēze.</w:t>
      </w:r>
    </w:p>
    <w:p w14:paraId="14648B24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703AAA95" w14:textId="5EF6A375" w:rsidR="00660BEC" w:rsidRPr="00B03E01" w:rsidRDefault="00660BEC" w:rsidP="00B03E01">
      <w:pPr>
        <w:pStyle w:val="Heading2"/>
        <w:ind w:left="0"/>
        <w:jc w:val="both"/>
        <w:rPr>
          <w:rFonts w:ascii="Times New Roman" w:hAnsi="Times New Roman"/>
          <w:b w:val="0"/>
          <w:bCs w:val="0"/>
          <w:noProof/>
          <w:u w:val="none"/>
        </w:rPr>
      </w:pPr>
      <w:r>
        <w:rPr>
          <w:rFonts w:ascii="Times New Roman" w:hAnsi="Times New Roman"/>
          <w:u w:val="none"/>
        </w:rPr>
        <w:t xml:space="preserve">2.0. </w:t>
      </w:r>
      <w:r>
        <w:rPr>
          <w:rFonts w:ascii="Times New Roman" w:hAnsi="Times New Roman"/>
          <w:u w:val="thick" w:color="000000"/>
        </w:rPr>
        <w:t>Analīze</w:t>
      </w:r>
    </w:p>
    <w:p w14:paraId="66EDD3BC" w14:textId="77777777" w:rsidR="00E911B8" w:rsidRDefault="00E911B8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15AF1369" w14:textId="6AD42073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izmanto apstiprinātas un nolūkam atbilstīgas metodes, lai noteiktu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ievadīšanu urīnā vai plazmā/serumā.</w:t>
      </w:r>
    </w:p>
    <w:p w14:paraId="257AB4E1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6F79DB80" w14:textId="2EAC25AD" w:rsidR="00660BEC" w:rsidRPr="00B03E01" w:rsidRDefault="00E911B8" w:rsidP="00E911B8">
      <w:pPr>
        <w:pStyle w:val="Heading3"/>
        <w:tabs>
          <w:tab w:val="left" w:pos="691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2.1. Elektroforēzes metodes</w:t>
      </w:r>
    </w:p>
    <w:p w14:paraId="50B74C79" w14:textId="77777777" w:rsidR="00E911B8" w:rsidRDefault="00E911B8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30E6AD72" w14:textId="41AE246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Analītiskā stratēģija, kas jāievēro, izmantojot 1. tabulā apkopotās elektroforēzes metodes, ir aprakstīta turpmāk.</w:t>
      </w:r>
    </w:p>
    <w:p w14:paraId="28AF60AC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6B1C67E5" w14:textId="62A2A13E" w:rsidR="00660BEC" w:rsidRPr="00B03E01" w:rsidRDefault="00E911B8" w:rsidP="00E911B8">
      <w:pPr>
        <w:pStyle w:val="Heading4"/>
        <w:tabs>
          <w:tab w:val="left" w:pos="911"/>
        </w:tabs>
        <w:ind w:left="0"/>
        <w:jc w:val="both"/>
        <w:rPr>
          <w:rFonts w:ascii="Times New Roman" w:hAnsi="Times New Roman"/>
          <w:noProof/>
          <w:sz w:val="24"/>
          <w:u w:val="thick" w:color="000000"/>
        </w:rPr>
      </w:pPr>
      <w:r>
        <w:rPr>
          <w:rFonts w:ascii="Times New Roman" w:hAnsi="Times New Roman"/>
          <w:sz w:val="24"/>
          <w:u w:color="000000"/>
        </w:rPr>
        <w:t xml:space="preserve">2.1.1. </w:t>
      </w:r>
      <w:r>
        <w:rPr>
          <w:rFonts w:ascii="Times New Roman" w:hAnsi="Times New Roman"/>
          <w:sz w:val="24"/>
          <w:u w:val="thick" w:color="000000"/>
        </w:rPr>
        <w:t>Sākotnējā pārbaudes procedūra</w:t>
      </w:r>
    </w:p>
    <w:p w14:paraId="3FE0C612" w14:textId="77777777" w:rsidR="00E911B8" w:rsidRDefault="00E911B8" w:rsidP="00E911B8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3BCAABFC" w14:textId="3E73611D" w:rsidR="00660BEC" w:rsidRPr="00B03E01" w:rsidRDefault="00660BEC" w:rsidP="00E531C5">
      <w:pPr>
        <w:pStyle w:val="BodyText"/>
        <w:numPr>
          <w:ilvl w:val="3"/>
          <w:numId w:val="2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Analizējot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, kuru struktūra ir saistīta 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(piemēram,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pēc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un/vai tā analogu bagātināšanas piemēro IEF [1] un/vai </w:t>
      </w:r>
      <w:r>
        <w:rPr>
          <w:rFonts w:ascii="Times New Roman" w:hAnsi="Times New Roman"/>
          <w:i/>
          <w:iCs/>
          <w:sz w:val="24"/>
        </w:rPr>
        <w:t xml:space="preserve">SAR-PAGE </w:t>
      </w:r>
      <w:r>
        <w:rPr>
          <w:rFonts w:ascii="Times New Roman" w:hAnsi="Times New Roman"/>
          <w:sz w:val="24"/>
        </w:rPr>
        <w:t>[2, 3], izmantojot nespecifiskas metodes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>, ultrafiltrāciju [1], selektīvu proteīna izpārslošanos [4]) vai pēc imūnafinitātes attīrīšanas</w:t>
      </w:r>
      <w:r w:rsidR="00E911B8"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[5-10].</w:t>
      </w:r>
    </w:p>
    <w:p w14:paraId="6934BCAF" w14:textId="77777777" w:rsidR="00660BEC" w:rsidRPr="00B03E01" w:rsidRDefault="00660BEC" w:rsidP="00E531C5">
      <w:pPr>
        <w:pStyle w:val="BodyText"/>
        <w:numPr>
          <w:ilvl w:val="3"/>
          <w:numId w:val="2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, veicot metodes validāciju, pierāda, ka izmantotā bagātināšanas metodika nemaina IEF izoformu profilus vai analizējamo endogēno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SDS/SAR-PAGE</w:t>
      </w:r>
      <w:r>
        <w:rPr>
          <w:rFonts w:ascii="Times New Roman" w:hAnsi="Times New Roman"/>
          <w:sz w:val="24"/>
        </w:rPr>
        <w:t xml:space="preserve"> uzvedību.</w:t>
      </w:r>
    </w:p>
    <w:p w14:paraId="2737731F" w14:textId="77777777" w:rsidR="00660BEC" w:rsidRPr="00B03E01" w:rsidRDefault="00660BEC" w:rsidP="00E531C5">
      <w:pPr>
        <w:pStyle w:val="BodyText"/>
        <w:numPr>
          <w:ilvl w:val="3"/>
          <w:numId w:val="2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Veicot analīzi attiecībā uz peginesatīdu,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piemēro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[11].</w:t>
      </w:r>
    </w:p>
    <w:p w14:paraId="0E2C8259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5C914DFF" w14:textId="5CB6ACED" w:rsidR="00660BEC" w:rsidRPr="00B03E01" w:rsidRDefault="00E911B8" w:rsidP="00E911B8">
      <w:pPr>
        <w:pStyle w:val="Heading4"/>
        <w:tabs>
          <w:tab w:val="left" w:pos="911"/>
        </w:tabs>
        <w:ind w:left="0"/>
        <w:jc w:val="both"/>
        <w:rPr>
          <w:rFonts w:ascii="Times New Roman" w:hAnsi="Times New Roman"/>
          <w:noProof/>
          <w:sz w:val="24"/>
          <w:u w:val="thick" w:color="000000"/>
        </w:rPr>
      </w:pPr>
      <w:r>
        <w:rPr>
          <w:rFonts w:ascii="Times New Roman" w:hAnsi="Times New Roman"/>
          <w:sz w:val="24"/>
          <w:u w:color="000000"/>
        </w:rPr>
        <w:t xml:space="preserve">2.1.2. </w:t>
      </w:r>
      <w:r>
        <w:rPr>
          <w:rFonts w:ascii="Times New Roman" w:hAnsi="Times New Roman"/>
          <w:sz w:val="24"/>
          <w:u w:val="thick" w:color="000000"/>
        </w:rPr>
        <w:t>Apstiprināšanas procedūra</w:t>
      </w:r>
    </w:p>
    <w:p w14:paraId="0D767B87" w14:textId="77777777" w:rsidR="00E911B8" w:rsidRDefault="00E911B8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4D6A1C48" w14:textId="156DA6F6" w:rsidR="00660BEC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Apstiprināšanas procedūra</w:t>
      </w:r>
      <w:r>
        <w:rPr>
          <w:rFonts w:ascii="Times New Roman" w:hAnsi="Times New Roman"/>
          <w:sz w:val="24"/>
        </w:rPr>
        <w:t xml:space="preserve"> ir atkarīga no iespējami konstatētā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vai tā analoga un no </w:t>
      </w: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 izmantotās metodikas.</w:t>
      </w:r>
    </w:p>
    <w:p w14:paraId="2AAAF8B2" w14:textId="77777777" w:rsidR="00E911B8" w:rsidRPr="00B03E01" w:rsidRDefault="00E911B8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7A24E237" w14:textId="4E1AD655" w:rsidR="00660BEC" w:rsidRPr="00E911B8" w:rsidRDefault="00660BEC" w:rsidP="00E531C5">
      <w:pPr>
        <w:pStyle w:val="BodyText"/>
        <w:numPr>
          <w:ilvl w:val="3"/>
          <w:numId w:val="2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Pirms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apstiprināšanas analīzes ar elektroforēzes metodēm [5–10] veic visu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alikvotu</w:t>
      </w:r>
      <w:r>
        <w:rPr>
          <w:rFonts w:ascii="Times New Roman" w:hAnsi="Times New Roman"/>
          <w:sz w:val="24"/>
        </w:rPr>
        <w:t xml:space="preserve"> imūnafinitātes attīrīšanu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</w:p>
    <w:p w14:paraId="59A94AF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4EAECC69" w14:textId="1F3EDB18" w:rsidR="00660BEC" w:rsidRPr="00B03E01" w:rsidRDefault="00E531C5" w:rsidP="00E531C5">
      <w:pPr>
        <w:pStyle w:val="Heading5"/>
        <w:tabs>
          <w:tab w:val="left" w:pos="1871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2.1.2.1. rEPO</w:t>
      </w:r>
    </w:p>
    <w:p w14:paraId="4CD71BF5" w14:textId="77777777" w:rsidR="00E531C5" w:rsidRP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 w:cs="Verdana"/>
          <w:noProof/>
          <w:sz w:val="24"/>
        </w:rPr>
      </w:pPr>
    </w:p>
    <w:p w14:paraId="22E4C5B1" w14:textId="16797701" w:rsidR="00660BEC" w:rsidRPr="00B03E01" w:rsidRDefault="00660BEC" w:rsidP="00E531C5">
      <w:pPr>
        <w:pStyle w:val="BodyText"/>
        <w:numPr>
          <w:ilvl w:val="3"/>
          <w:numId w:val="22"/>
        </w:numPr>
        <w:ind w:left="426" w:hanging="426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Neatkarīgi no izmantotās </w:t>
      </w:r>
      <w:r>
        <w:rPr>
          <w:rFonts w:ascii="Times New Roman" w:hAnsi="Times New Roman"/>
          <w:sz w:val="24"/>
          <w:u w:val="single"/>
        </w:rPr>
        <w:t>sākotnējās pārbaudes procedūras</w:t>
      </w:r>
      <w:r>
        <w:rPr>
          <w:rFonts w:ascii="Times New Roman" w:hAnsi="Times New Roman"/>
          <w:sz w:val="24"/>
        </w:rPr>
        <w:t xml:space="preserve"> (IEF un/vai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apstiprināšanas procedūra</w:t>
      </w:r>
      <w:r>
        <w:rPr>
          <w:rFonts w:ascii="Times New Roman" w:hAnsi="Times New Roman"/>
          <w:sz w:val="24"/>
        </w:rPr>
        <w:t xml:space="preserve"> jāveic, izmantojot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[12, 13]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[2, 3] “A”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jaunajai(-ām) </w:t>
      </w:r>
      <w:r>
        <w:rPr>
          <w:rFonts w:ascii="Times New Roman" w:hAnsi="Times New Roman"/>
          <w:sz w:val="24"/>
          <w:u w:val="single"/>
        </w:rPr>
        <w:t>alikvotai(-ām)</w:t>
      </w:r>
      <w:r>
        <w:rPr>
          <w:rFonts w:ascii="Times New Roman" w:hAnsi="Times New Roman"/>
          <w:sz w:val="24"/>
        </w:rPr>
        <w:t>.</w:t>
      </w:r>
    </w:p>
    <w:p w14:paraId="3D80E035" w14:textId="77777777" w:rsidR="00660BEC" w:rsidRPr="00B03E01" w:rsidRDefault="00660BEC" w:rsidP="00E531C5">
      <w:pPr>
        <w:pStyle w:val="BodyText"/>
        <w:numPr>
          <w:ilvl w:val="3"/>
          <w:numId w:val="2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var piemērot gan </w:t>
      </w:r>
      <w:r>
        <w:rPr>
          <w:rFonts w:ascii="Times New Roman" w:hAnsi="Times New Roman"/>
          <w:sz w:val="24"/>
          <w:u w:val="single"/>
        </w:rPr>
        <w:t>sākotnējās pārbaudes procedūrai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>.</w:t>
      </w:r>
    </w:p>
    <w:p w14:paraId="3CBB0D4F" w14:textId="77777777" w:rsidR="00660BEC" w:rsidRPr="00B03E01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</w:rPr>
      </w:pPr>
    </w:p>
    <w:p w14:paraId="6EFA5455" w14:textId="7361D619" w:rsidR="00660BEC" w:rsidRPr="00B03E01" w:rsidRDefault="00E531C5" w:rsidP="00E531C5">
      <w:pPr>
        <w:pStyle w:val="Heading5"/>
        <w:tabs>
          <w:tab w:val="left" w:pos="1879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2.1.2.2. NESP</w:t>
      </w:r>
    </w:p>
    <w:p w14:paraId="12E26515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14822968" w14:textId="32877D65" w:rsidR="00660BEC" w:rsidRPr="00B03E01" w:rsidRDefault="00660BEC" w:rsidP="00E531C5">
      <w:pPr>
        <w:pStyle w:val="BodyTex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Neatkarīgi no izmantotās </w:t>
      </w:r>
      <w:r>
        <w:rPr>
          <w:rFonts w:ascii="Times New Roman" w:hAnsi="Times New Roman"/>
          <w:sz w:val="24"/>
          <w:u w:val="single"/>
        </w:rPr>
        <w:t>sākotnējās pārbaudes procedūras</w:t>
      </w:r>
      <w:r>
        <w:rPr>
          <w:rFonts w:ascii="Times New Roman" w:hAnsi="Times New Roman"/>
          <w:sz w:val="24"/>
        </w:rPr>
        <w:t xml:space="preserve"> (IEF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izvēlēties piemērot IEF vai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,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“A”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jaunajai(-ām) </w:t>
      </w:r>
      <w:r>
        <w:rPr>
          <w:rFonts w:ascii="Times New Roman" w:hAnsi="Times New Roman"/>
          <w:sz w:val="24"/>
          <w:u w:val="single"/>
        </w:rPr>
        <w:t>alikvotai(-ām)</w:t>
      </w:r>
      <w:r>
        <w:rPr>
          <w:rFonts w:ascii="Times New Roman" w:hAnsi="Times New Roman"/>
          <w:sz w:val="24"/>
        </w:rPr>
        <w:t xml:space="preserve">. Pēc saviem ieskatiem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izmantot arī IEF un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kombināciju.</w:t>
      </w:r>
    </w:p>
    <w:p w14:paraId="607B3D3E" w14:textId="77777777" w:rsidR="00660BEC" w:rsidRPr="00B03E01" w:rsidRDefault="00660BEC" w:rsidP="00E531C5">
      <w:pPr>
        <w:pStyle w:val="BodyTex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To pašu metodi (</w:t>
      </w:r>
      <w:r>
        <w:rPr>
          <w:rFonts w:ascii="Times New Roman" w:hAnsi="Times New Roman"/>
          <w:i/>
          <w:iCs/>
          <w:sz w:val="24"/>
        </w:rPr>
        <w:t>IEF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) var piemērot gan </w:t>
      </w:r>
      <w:r>
        <w:rPr>
          <w:rFonts w:ascii="Times New Roman" w:hAnsi="Times New Roman"/>
          <w:sz w:val="24"/>
          <w:u w:val="single"/>
        </w:rPr>
        <w:t>sākotnējās pārbaudes procedūrai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>.</w:t>
      </w:r>
    </w:p>
    <w:p w14:paraId="7BF352D3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6"/>
        </w:rPr>
      </w:pPr>
    </w:p>
    <w:p w14:paraId="40BD5B85" w14:textId="392AA78F" w:rsidR="00660BEC" w:rsidRPr="00B03E01" w:rsidRDefault="00E531C5" w:rsidP="00E531C5">
      <w:pPr>
        <w:pStyle w:val="Heading5"/>
        <w:tabs>
          <w:tab w:val="left" w:pos="1871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2.1.2.3. CERA</w:t>
      </w:r>
    </w:p>
    <w:p w14:paraId="5ADE622A" w14:textId="77777777" w:rsidR="00E531C5" w:rsidRP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 w:cs="Verdana"/>
          <w:noProof/>
          <w:sz w:val="24"/>
        </w:rPr>
      </w:pPr>
    </w:p>
    <w:p w14:paraId="3B6CC253" w14:textId="77D8FFE8" w:rsidR="00660BEC" w:rsidRPr="00B03E01" w:rsidRDefault="00660BEC" w:rsidP="00E531C5">
      <w:pPr>
        <w:pStyle w:val="BodyText"/>
        <w:numPr>
          <w:ilvl w:val="0"/>
          <w:numId w:val="2"/>
        </w:numPr>
        <w:ind w:left="426" w:hanging="426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Neatkarīgi no izmantotās </w:t>
      </w:r>
      <w:r>
        <w:rPr>
          <w:rFonts w:ascii="Times New Roman" w:hAnsi="Times New Roman"/>
          <w:sz w:val="24"/>
          <w:u w:val="single"/>
        </w:rPr>
        <w:t>sākotnējās pārbaudes procedūras</w:t>
      </w:r>
      <w:r>
        <w:rPr>
          <w:rFonts w:ascii="Times New Roman" w:hAnsi="Times New Roman"/>
          <w:sz w:val="24"/>
        </w:rPr>
        <w:t xml:space="preserve"> (IEF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izvēlēties piemērot IEF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, vai pēc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ieskatiem šo metožu kombināciju “A”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jaunajai(-ām) </w:t>
      </w:r>
      <w:r>
        <w:rPr>
          <w:rFonts w:ascii="Times New Roman" w:hAnsi="Times New Roman"/>
          <w:sz w:val="24"/>
          <w:u w:val="single"/>
        </w:rPr>
        <w:t>alikvotai(-</w:t>
      </w:r>
      <w:r>
        <w:rPr>
          <w:rFonts w:ascii="Times New Roman" w:hAnsi="Times New Roman"/>
          <w:sz w:val="24"/>
          <w:u w:val="single"/>
        </w:rPr>
        <w:lastRenderedPageBreak/>
        <w:t>ām)</w:t>
      </w:r>
      <w:r>
        <w:rPr>
          <w:rFonts w:ascii="Times New Roman" w:hAnsi="Times New Roman"/>
          <w:sz w:val="24"/>
        </w:rPr>
        <w:t>.</w:t>
      </w:r>
    </w:p>
    <w:p w14:paraId="5667CF28" w14:textId="77777777" w:rsidR="00660BEC" w:rsidRPr="00B03E01" w:rsidRDefault="00660BEC" w:rsidP="00E531C5">
      <w:pPr>
        <w:pStyle w:val="BodyTex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To pašu metodi (IEF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) var piemērot gan </w:t>
      </w:r>
      <w:r>
        <w:rPr>
          <w:rFonts w:ascii="Times New Roman" w:hAnsi="Times New Roman"/>
          <w:sz w:val="24"/>
          <w:u w:val="single"/>
        </w:rPr>
        <w:t>sākotnējās pārbaudes procedūrai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>.</w:t>
      </w:r>
    </w:p>
    <w:p w14:paraId="287D9704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6"/>
        </w:rPr>
      </w:pPr>
    </w:p>
    <w:p w14:paraId="75172DC5" w14:textId="1041A612" w:rsidR="00660BEC" w:rsidRPr="00B03E01" w:rsidRDefault="00E531C5" w:rsidP="00E531C5">
      <w:pPr>
        <w:pStyle w:val="Heading5"/>
        <w:tabs>
          <w:tab w:val="left" w:pos="1867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2.1.2.4. EPO-Fc</w:t>
      </w:r>
    </w:p>
    <w:p w14:paraId="467111B9" w14:textId="77777777" w:rsidR="00E531C5" w:rsidRP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 w:cs="Verdana"/>
          <w:noProof/>
          <w:sz w:val="24"/>
        </w:rPr>
      </w:pPr>
    </w:p>
    <w:p w14:paraId="1543DD0C" w14:textId="7E560E57" w:rsidR="00660BEC" w:rsidRPr="00B03E01" w:rsidRDefault="00660BEC" w:rsidP="00E531C5">
      <w:pPr>
        <w:pStyle w:val="BodyText"/>
        <w:numPr>
          <w:ilvl w:val="0"/>
          <w:numId w:val="2"/>
        </w:numPr>
        <w:ind w:left="426" w:hanging="426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izvēlēties piemērot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“A”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jaunajai(-ām) </w:t>
      </w:r>
      <w:r>
        <w:rPr>
          <w:rFonts w:ascii="Times New Roman" w:hAnsi="Times New Roman"/>
          <w:sz w:val="24"/>
          <w:u w:val="single"/>
        </w:rPr>
        <w:t>alikvotai(-ām)</w:t>
      </w:r>
      <w:r>
        <w:rPr>
          <w:rFonts w:ascii="Times New Roman" w:hAnsi="Times New Roman"/>
          <w:sz w:val="24"/>
        </w:rPr>
        <w:t>.</w:t>
      </w:r>
    </w:p>
    <w:p w14:paraId="6783E036" w14:textId="77777777" w:rsidR="00660BEC" w:rsidRPr="00B03E01" w:rsidRDefault="00660BEC" w:rsidP="00E531C5">
      <w:pPr>
        <w:pStyle w:val="BodyTex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var piemērot gan </w:t>
      </w:r>
      <w:r>
        <w:rPr>
          <w:rFonts w:ascii="Times New Roman" w:hAnsi="Times New Roman"/>
          <w:sz w:val="24"/>
          <w:u w:val="single"/>
        </w:rPr>
        <w:t>sākotnējās pārbaudes procedūrai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>.</w:t>
      </w:r>
    </w:p>
    <w:p w14:paraId="530E48C9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6"/>
        </w:rPr>
      </w:pPr>
    </w:p>
    <w:p w14:paraId="660B170A" w14:textId="067F533A" w:rsidR="00660BEC" w:rsidRPr="00B03E01" w:rsidRDefault="00E531C5" w:rsidP="00E531C5">
      <w:pPr>
        <w:pStyle w:val="Heading5"/>
        <w:tabs>
          <w:tab w:val="left" w:pos="1869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2.1.2.5. Peginesatīds</w:t>
      </w:r>
    </w:p>
    <w:p w14:paraId="5708D79F" w14:textId="77777777" w:rsidR="00E531C5" w:rsidRDefault="00E531C5" w:rsidP="00E531C5">
      <w:pPr>
        <w:pStyle w:val="BodyText"/>
        <w:tabs>
          <w:tab w:val="left" w:pos="654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527FDA89" w14:textId="0C73F19D" w:rsidR="00660BEC" w:rsidRPr="00B03E01" w:rsidRDefault="00660BEC" w:rsidP="00B03E01">
      <w:pPr>
        <w:pStyle w:val="BodyText"/>
        <w:numPr>
          <w:ilvl w:val="0"/>
          <w:numId w:val="2"/>
        </w:numPr>
        <w:tabs>
          <w:tab w:val="left" w:pos="654"/>
        </w:tabs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Neatkarīgi no izmantotās </w:t>
      </w:r>
      <w:r>
        <w:rPr>
          <w:rFonts w:ascii="Times New Roman" w:hAnsi="Times New Roman"/>
          <w:sz w:val="24"/>
          <w:u w:val="single"/>
        </w:rPr>
        <w:t>sākotnējās pārbaudes procedūras</w:t>
      </w:r>
      <w:r>
        <w:rPr>
          <w:rFonts w:ascii="Times New Roman" w:hAnsi="Times New Roman"/>
          <w:sz w:val="24"/>
        </w:rPr>
        <w:t xml:space="preserve"> peginesatīda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izvēlēties piemērot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>.</w:t>
      </w:r>
    </w:p>
    <w:p w14:paraId="0DEF95EF" w14:textId="77777777" w:rsidR="00660BEC" w:rsidRPr="00B03E01" w:rsidRDefault="00660BEC" w:rsidP="00B03E01">
      <w:pPr>
        <w:pStyle w:val="BodyText"/>
        <w:numPr>
          <w:ilvl w:val="0"/>
          <w:numId w:val="2"/>
        </w:numPr>
        <w:tabs>
          <w:tab w:val="left" w:pos="654"/>
        </w:tabs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To pašu metodi (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) var piemērot gan </w:t>
      </w:r>
      <w:r>
        <w:rPr>
          <w:rFonts w:ascii="Times New Roman" w:hAnsi="Times New Roman"/>
          <w:sz w:val="24"/>
          <w:u w:val="single"/>
        </w:rPr>
        <w:t>sākotnējās pārbaudes procedūrai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sz w:val="24"/>
          <w:u w:val="single"/>
        </w:rPr>
        <w:t>apstiprināšanas procedūrai</w:t>
      </w:r>
      <w:r>
        <w:rPr>
          <w:rFonts w:ascii="Times New Roman" w:hAnsi="Times New Roman"/>
          <w:sz w:val="24"/>
        </w:rPr>
        <w:t>.</w:t>
      </w:r>
    </w:p>
    <w:p w14:paraId="43365209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5F5EAE7" w14:textId="2B3E8E7E" w:rsidR="00660BEC" w:rsidRPr="00B03E01" w:rsidRDefault="00660BEC" w:rsidP="00B03E01">
      <w:pPr>
        <w:pStyle w:val="BodyText"/>
        <w:tabs>
          <w:tab w:val="left" w:pos="1145"/>
          <w:tab w:val="left" w:pos="1594"/>
          <w:tab w:val="left" w:pos="2646"/>
          <w:tab w:val="left" w:pos="3198"/>
          <w:tab w:val="left" w:pos="4002"/>
          <w:tab w:val="left" w:pos="4446"/>
          <w:tab w:val="left" w:pos="5257"/>
          <w:tab w:val="left" w:pos="5912"/>
          <w:tab w:val="left" w:pos="6761"/>
          <w:tab w:val="left" w:pos="8791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bCs/>
          <w:sz w:val="24"/>
        </w:rPr>
        <w:t>1. tabula.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Pārbaude</w:t>
      </w:r>
      <w:r>
        <w:rPr>
          <w:rFonts w:ascii="Times New Roman" w:hAnsi="Times New Roman"/>
          <w:sz w:val="24"/>
        </w:rPr>
        <w:t xml:space="preserve"> attiecībā uz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urīnā un asinīs (serumā/plazmā), izmantojot elektroforēzes metodes</w:t>
      </w:r>
    </w:p>
    <w:p w14:paraId="16416C46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1"/>
        <w:gridCol w:w="2508"/>
        <w:gridCol w:w="3779"/>
      </w:tblGrid>
      <w:tr w:rsidR="00660BEC" w:rsidRPr="00B03E01" w14:paraId="29591A73" w14:textId="77777777" w:rsidTr="00E531C5">
        <w:tc>
          <w:tcPr>
            <w:tcW w:w="2930" w:type="pct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DFDFDF"/>
            <w:vAlign w:val="center"/>
          </w:tcPr>
          <w:p w14:paraId="3E5CEBE0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Sākotnējā pārbaudes procedūra</w:t>
            </w:r>
          </w:p>
        </w:tc>
        <w:tc>
          <w:tcPr>
            <w:tcW w:w="2070" w:type="pct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DFDFDF"/>
            <w:vAlign w:val="center"/>
          </w:tcPr>
          <w:p w14:paraId="43EE55A9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Apstiprināšanas procedūra</w:t>
            </w:r>
          </w:p>
        </w:tc>
      </w:tr>
      <w:tr w:rsidR="00660BEC" w:rsidRPr="00B03E01" w14:paraId="74AC32D3" w14:textId="77777777" w:rsidTr="00E531C5">
        <w:tc>
          <w:tcPr>
            <w:tcW w:w="1556" w:type="pct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14:paraId="5A587063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Metode</w:t>
            </w:r>
          </w:p>
        </w:tc>
        <w:tc>
          <w:tcPr>
            <w:tcW w:w="1374" w:type="pct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  <w:vAlign w:val="center"/>
          </w:tcPr>
          <w:p w14:paraId="0DDC722A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Varbūtējais analīžu rezultāts</w:t>
            </w:r>
          </w:p>
        </w:tc>
        <w:tc>
          <w:tcPr>
            <w:tcW w:w="2070" w:type="pct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vAlign w:val="center"/>
          </w:tcPr>
          <w:p w14:paraId="5D1473D2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Metode</w:t>
            </w:r>
          </w:p>
        </w:tc>
      </w:tr>
      <w:tr w:rsidR="00660BEC" w:rsidRPr="00B03E01" w14:paraId="3CE169AB" w14:textId="77777777" w:rsidTr="00E531C5">
        <w:tc>
          <w:tcPr>
            <w:tcW w:w="1556" w:type="pct"/>
            <w:vMerge w:val="restart"/>
            <w:tcBorders>
              <w:top w:val="single" w:sz="19" w:space="0" w:color="000000"/>
              <w:left w:val="single" w:sz="18" w:space="0" w:color="000000"/>
              <w:right w:val="single" w:sz="5" w:space="0" w:color="000000"/>
            </w:tcBorders>
            <w:vAlign w:val="center"/>
          </w:tcPr>
          <w:p w14:paraId="2478855C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IEF un/vai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  <w:tc>
          <w:tcPr>
            <w:tcW w:w="1374" w:type="pct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EA0D6AA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rEPO</w:t>
            </w:r>
          </w:p>
        </w:tc>
        <w:tc>
          <w:tcPr>
            <w:tcW w:w="2070" w:type="pct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B581319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SDS-PAGE</w:t>
            </w:r>
            <w:r>
              <w:rPr>
                <w:rFonts w:ascii="Times New Roman" w:hAnsi="Times New Roman"/>
                <w:sz w:val="24"/>
              </w:rPr>
              <w:t xml:space="preserve"> 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</w:tr>
      <w:tr w:rsidR="00660BEC" w:rsidRPr="00B03E01" w14:paraId="71CBD5C6" w14:textId="77777777" w:rsidTr="00E531C5">
        <w:tc>
          <w:tcPr>
            <w:tcW w:w="1556" w:type="pct"/>
            <w:vMerge/>
            <w:tcBorders>
              <w:left w:val="single" w:sz="18" w:space="0" w:color="000000"/>
              <w:right w:val="single" w:sz="5" w:space="0" w:color="000000"/>
            </w:tcBorders>
            <w:vAlign w:val="center"/>
          </w:tcPr>
          <w:p w14:paraId="2E9F98D1" w14:textId="77777777" w:rsidR="00660BEC" w:rsidRPr="00B03E01" w:rsidRDefault="00660BEC" w:rsidP="00E531C5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374" w:type="pct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BB65FA5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NESP</w:t>
            </w:r>
          </w:p>
        </w:tc>
        <w:tc>
          <w:tcPr>
            <w:tcW w:w="2070" w:type="pct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5E800EFD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IEF vai </w:t>
            </w:r>
            <w:r>
              <w:rPr>
                <w:rFonts w:ascii="Times New Roman" w:hAnsi="Times New Roman"/>
                <w:i/>
                <w:iCs/>
                <w:sz w:val="24"/>
              </w:rPr>
              <w:t>SDS-PAGE</w:t>
            </w:r>
            <w:r>
              <w:rPr>
                <w:rFonts w:ascii="Times New Roman" w:hAnsi="Times New Roman"/>
                <w:sz w:val="24"/>
              </w:rPr>
              <w:t xml:space="preserve">, 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</w:tr>
      <w:tr w:rsidR="00660BEC" w:rsidRPr="00B03E01" w14:paraId="335727C8" w14:textId="77777777" w:rsidTr="00E531C5">
        <w:tc>
          <w:tcPr>
            <w:tcW w:w="1556" w:type="pct"/>
            <w:vMerge/>
            <w:tcBorders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14:paraId="33D51347" w14:textId="77777777" w:rsidR="00660BEC" w:rsidRPr="00B03E01" w:rsidRDefault="00660BEC" w:rsidP="00E531C5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374" w:type="pct"/>
            <w:tcBorders>
              <w:top w:val="single" w:sz="7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  <w:vAlign w:val="center"/>
          </w:tcPr>
          <w:p w14:paraId="1051587F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CERA</w:t>
            </w:r>
          </w:p>
        </w:tc>
        <w:tc>
          <w:tcPr>
            <w:tcW w:w="2070" w:type="pct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vAlign w:val="center"/>
          </w:tcPr>
          <w:p w14:paraId="1BBCC17A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IEF 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</w:tr>
      <w:tr w:rsidR="00660BEC" w:rsidRPr="00B03E01" w14:paraId="6291E30B" w14:textId="77777777" w:rsidTr="00E531C5">
        <w:tc>
          <w:tcPr>
            <w:tcW w:w="1556" w:type="pct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  <w:vAlign w:val="center"/>
          </w:tcPr>
          <w:p w14:paraId="319E01EB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  <w:tc>
          <w:tcPr>
            <w:tcW w:w="1374" w:type="pct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  <w:vAlign w:val="center"/>
          </w:tcPr>
          <w:p w14:paraId="15BC5B2E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EPO-Fc</w:t>
            </w:r>
          </w:p>
        </w:tc>
        <w:tc>
          <w:tcPr>
            <w:tcW w:w="2070" w:type="pct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vAlign w:val="center"/>
          </w:tcPr>
          <w:p w14:paraId="7602C023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SDS-PAGE</w:t>
            </w:r>
            <w:r>
              <w:rPr>
                <w:rFonts w:ascii="Times New Roman" w:hAnsi="Times New Roman"/>
                <w:sz w:val="24"/>
              </w:rPr>
              <w:t xml:space="preserve"> 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</w:tr>
      <w:tr w:rsidR="00660BEC" w:rsidRPr="00B03E01" w14:paraId="1389547E" w14:textId="77777777" w:rsidTr="00E531C5">
        <w:tc>
          <w:tcPr>
            <w:tcW w:w="1556" w:type="pct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  <w:vAlign w:val="center"/>
          </w:tcPr>
          <w:p w14:paraId="11BFFF3B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SDS-PAGE</w:t>
            </w:r>
            <w:r>
              <w:rPr>
                <w:rFonts w:ascii="Times New Roman" w:hAnsi="Times New Roman"/>
                <w:sz w:val="24"/>
              </w:rPr>
              <w:t xml:space="preserve"> 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  <w:tc>
          <w:tcPr>
            <w:tcW w:w="1374" w:type="pct"/>
            <w:tcBorders>
              <w:top w:val="single" w:sz="19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AF32EF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Peginesatīds</w:t>
            </w:r>
          </w:p>
        </w:tc>
        <w:tc>
          <w:tcPr>
            <w:tcW w:w="2070" w:type="pct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41ACA8" w14:textId="77777777" w:rsidR="00660BEC" w:rsidRPr="00B03E01" w:rsidRDefault="00660BEC" w:rsidP="00E531C5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SDS-PAGE</w:t>
            </w:r>
            <w:r>
              <w:rPr>
                <w:rFonts w:ascii="Times New Roman" w:hAnsi="Times New Roman"/>
                <w:sz w:val="24"/>
              </w:rPr>
              <w:t xml:space="preserve"> vai </w:t>
            </w:r>
            <w:r>
              <w:rPr>
                <w:rFonts w:ascii="Times New Roman" w:hAnsi="Times New Roman"/>
                <w:i/>
                <w:iCs/>
                <w:sz w:val="24"/>
              </w:rPr>
              <w:t>SAR-PAGE</w:t>
            </w:r>
          </w:p>
        </w:tc>
      </w:tr>
    </w:tbl>
    <w:p w14:paraId="0D89E6A6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7"/>
        </w:rPr>
      </w:pPr>
    </w:p>
    <w:p w14:paraId="7E621471" w14:textId="463455A2" w:rsidR="00660BEC" w:rsidRPr="00B03E01" w:rsidRDefault="00E531C5" w:rsidP="00E531C5">
      <w:pPr>
        <w:pStyle w:val="Heading3"/>
        <w:tabs>
          <w:tab w:val="left" w:pos="691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2.2. Citas (ar elektroforēzi nesaistītas) metodikas</w:t>
      </w:r>
    </w:p>
    <w:p w14:paraId="27788D17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13B71E5A" w14:textId="2C67DC3B" w:rsidR="00660BEC" w:rsidRPr="00B03E01" w:rsidRDefault="00660BEC" w:rsidP="00E531C5">
      <w:pPr>
        <w:pStyle w:val="BodyText"/>
        <w:numPr>
          <w:ilvl w:val="2"/>
          <w:numId w:val="20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 ar struktūru, kas nav saistīta 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 xml:space="preserve">, peginesatīdu),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piemērot ar vielu saistītas noteikšanas metodes (piemēram, imūntestus), ja tādas ir pieejamas [11].</w:t>
      </w:r>
    </w:p>
    <w:p w14:paraId="73141A5D" w14:textId="77777777" w:rsidR="00660BEC" w:rsidRPr="00B03E01" w:rsidRDefault="00660BEC" w:rsidP="00E531C5">
      <w:pPr>
        <w:pStyle w:val="BodyText"/>
        <w:numPr>
          <w:ilvl w:val="2"/>
          <w:numId w:val="20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Konkrētu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t. i.</w:t>
      </w:r>
      <w:r>
        <w:rPr>
          <w:rFonts w:ascii="Times New Roman" w:hAnsi="Times New Roman"/>
          <w:sz w:val="24"/>
        </w:rPr>
        <w:t xml:space="preserve">, peginesatīda,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  <w:u w:val="single"/>
        </w:rPr>
        <w:t>apstiprināšanas procedūrā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pēc saviem ieskatiem var piemērot arī ar vielu saistītas noteikšanas metodes (piemēram, imūntestus) papildus šajā tehniskajā dokumentā aprakstītajām elektroforēzes metodēm, kā papildu zinātnisku pierādījumu, lai varētu izdarīt galīgo secinājumu [11, 14].</w:t>
      </w:r>
    </w:p>
    <w:p w14:paraId="65446069" w14:textId="77777777" w:rsidR="00660BEC" w:rsidRPr="00B03E01" w:rsidRDefault="00660BEC" w:rsidP="00E531C5">
      <w:pPr>
        <w:pStyle w:val="BodyText"/>
        <w:numPr>
          <w:ilvl w:val="2"/>
          <w:numId w:val="20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Visos gadījumos, kad ir pieejama uz masspektrometriju (MS) balstīta metode [15–17], to var izmantot gan </w:t>
      </w: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, gan </w:t>
      </w:r>
      <w:r>
        <w:rPr>
          <w:rFonts w:ascii="Times New Roman" w:hAnsi="Times New Roman"/>
          <w:sz w:val="24"/>
          <w:u w:val="single"/>
        </w:rPr>
        <w:t>apstiprināšanas procedūrā</w:t>
      </w:r>
      <w:r>
        <w:rPr>
          <w:rFonts w:ascii="Times New Roman" w:hAnsi="Times New Roman"/>
          <w:sz w:val="24"/>
        </w:rPr>
        <w:t>, vai abās. Tādā gadījumā jāizmanto identifikācijas kritēriji, kas aprakstīti pašreizējajā tehniskajā dokumentā par identifikācijas kritērijiem kvalitatīvajos testos (</w:t>
      </w:r>
      <w:r>
        <w:rPr>
          <w:rFonts w:ascii="Times New Roman" w:hAnsi="Times New Roman"/>
          <w:i/>
          <w:iCs/>
          <w:sz w:val="24"/>
        </w:rPr>
        <w:t>TD IDCR</w:t>
      </w:r>
      <w:r>
        <w:rPr>
          <w:rFonts w:ascii="Times New Roman" w:hAnsi="Times New Roman"/>
          <w:sz w:val="24"/>
        </w:rPr>
        <w:t>) [18].</w:t>
      </w:r>
    </w:p>
    <w:p w14:paraId="55DF558E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73E20D10" w14:textId="7F59BD2D" w:rsidR="00660BEC" w:rsidRPr="00B03E01" w:rsidRDefault="00EF52DF" w:rsidP="00EF52DF">
      <w:pPr>
        <w:pStyle w:val="Heading2"/>
        <w:tabs>
          <w:tab w:val="left" w:pos="941"/>
        </w:tabs>
        <w:ind w:left="0"/>
        <w:jc w:val="both"/>
        <w:rPr>
          <w:rFonts w:ascii="Times New Roman" w:hAnsi="Times New Roman"/>
          <w:b w:val="0"/>
          <w:bCs w:val="0"/>
          <w:noProof/>
          <w:u w:val="none"/>
        </w:rPr>
      </w:pPr>
      <w:r>
        <w:rPr>
          <w:rFonts w:ascii="Times New Roman" w:hAnsi="Times New Roman"/>
          <w:u w:val="none" w:color="000000"/>
        </w:rPr>
        <w:t xml:space="preserve">3.0. </w:t>
      </w:r>
      <w:r w:rsidR="00660BEC">
        <w:rPr>
          <w:rFonts w:ascii="Times New Roman" w:hAnsi="Times New Roman"/>
          <w:u w:val="thick" w:color="000000"/>
        </w:rPr>
        <w:t>Elektroforēzes metožu apraksts</w:t>
      </w:r>
    </w:p>
    <w:p w14:paraId="421C0EE8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15"/>
        </w:rPr>
      </w:pPr>
    </w:p>
    <w:p w14:paraId="4974A9EE" w14:textId="6760F2F1" w:rsidR="00660BEC" w:rsidRPr="00B03E01" w:rsidRDefault="00E531C5" w:rsidP="00E531C5">
      <w:pPr>
        <w:pStyle w:val="Heading3"/>
        <w:tabs>
          <w:tab w:val="left" w:pos="691"/>
        </w:tabs>
        <w:ind w:left="0" w:firstLine="0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</w:rPr>
        <w:t>3.1. Izoelektrofokusēšanas (IEF) pārbaude [1]</w:t>
      </w:r>
    </w:p>
    <w:p w14:paraId="1BA7EC86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14299B16" w14:textId="77777777" w:rsidR="00660BEC" w:rsidRPr="00B03E01" w:rsidRDefault="00660BEC" w:rsidP="00B03E01">
      <w:pPr>
        <w:pStyle w:val="Heading4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3.1.1. Parauga sagatavošana</w:t>
      </w:r>
    </w:p>
    <w:p w14:paraId="103FDDFF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1B2F5CA2" w14:textId="0D54FB78" w:rsidR="00660BEC" w:rsidRPr="00B03E01" w:rsidRDefault="00660BEC" w:rsidP="00B03E01">
      <w:pPr>
        <w:pStyle w:val="BodyText"/>
        <w:numPr>
          <w:ilvl w:val="2"/>
          <w:numId w:val="19"/>
        </w:numPr>
        <w:tabs>
          <w:tab w:val="left" w:pos="650"/>
        </w:tabs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 var izmantot jebkuru validētu metodi, ar kuru iespējams koncentrēt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un/vai tā analogus (piemēram, ultrafiltrāciju [1], selektīvu proteīna izpārslošanos [4], imūnafinitātes attīrīšanu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[5–10] utt.).</w:t>
      </w:r>
    </w:p>
    <w:p w14:paraId="03016AD4" w14:textId="77777777" w:rsidR="00660BEC" w:rsidRPr="00B03E01" w:rsidRDefault="00660BEC" w:rsidP="00B03E01">
      <w:pPr>
        <w:pStyle w:val="BodyText"/>
        <w:numPr>
          <w:ilvl w:val="2"/>
          <w:numId w:val="19"/>
        </w:numPr>
        <w:tabs>
          <w:tab w:val="left" w:pos="650"/>
        </w:tabs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Apstiprināšanas procedūrās</w:t>
      </w:r>
      <w:r>
        <w:rPr>
          <w:rFonts w:ascii="Times New Roman" w:hAnsi="Times New Roman"/>
          <w:sz w:val="24"/>
        </w:rPr>
        <w:t xml:space="preserve"> pirms IEF metodes [5–10] piemērošanas ir nepieciešams veikt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imūnafinitātes attīrīšanu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</w:p>
    <w:p w14:paraId="2DF8399B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26C6A87B" w14:textId="62C397D9" w:rsidR="00660BEC" w:rsidRPr="00B03E01" w:rsidRDefault="00E531C5" w:rsidP="00E531C5">
      <w:pPr>
        <w:pStyle w:val="Heading4"/>
        <w:tabs>
          <w:tab w:val="left" w:pos="1631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3.1.2. Elektroforētiska sadalīšana</w:t>
      </w:r>
    </w:p>
    <w:p w14:paraId="30906F26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2E3A40DD" w14:textId="07B47245" w:rsidR="00660BEC" w:rsidRPr="00B03E01" w:rsidRDefault="00660BEC" w:rsidP="00E531C5">
      <w:pPr>
        <w:pStyle w:val="BodyText"/>
        <w:numPr>
          <w:ilvl w:val="2"/>
          <w:numId w:val="19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IEF veic tādā pH diapazonā, kas ir saderīgs gan ar dabiskā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>, gan tā rekombinanto analogu izoelektriskajiem punktiem (</w:t>
      </w:r>
      <w:r>
        <w:rPr>
          <w:rFonts w:ascii="Times New Roman" w:hAnsi="Times New Roman"/>
          <w:i/>
          <w:iCs/>
          <w:sz w:val="24"/>
        </w:rPr>
        <w:t>pI</w:t>
      </w:r>
      <w:r>
        <w:rPr>
          <w:rFonts w:ascii="Times New Roman" w:hAnsi="Times New Roman"/>
          <w:sz w:val="24"/>
        </w:rPr>
        <w:t>). IEF veic denaturētos apstākļos (aptuveni 7M karbamīda).</w:t>
      </w:r>
    </w:p>
    <w:p w14:paraId="598E40EF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415E03D7" w14:textId="270594BF" w:rsidR="00660BEC" w:rsidRPr="00B03E01" w:rsidRDefault="00E531C5" w:rsidP="00E531C5">
      <w:pPr>
        <w:pStyle w:val="Heading4"/>
        <w:tabs>
          <w:tab w:val="left" w:pos="1631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3.1.3. Imūnblotings</w:t>
      </w:r>
    </w:p>
    <w:p w14:paraId="463B36B0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4EC621FA" w14:textId="6F3E5B23" w:rsidR="00660BEC" w:rsidRPr="00B03E01" w:rsidRDefault="00660BEC" w:rsidP="00E531C5">
      <w:pPr>
        <w:pStyle w:val="BodyText"/>
        <w:numPr>
          <w:ilvl w:val="2"/>
          <w:numId w:val="19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Pēc IEF sadalīšanas obligāti jāveic dubultā blotinga procedūra.</w:t>
      </w:r>
    </w:p>
    <w:p w14:paraId="329EE50D" w14:textId="2BF59C22" w:rsidR="00660BEC" w:rsidRPr="00E531C5" w:rsidRDefault="00660BEC" w:rsidP="00E531C5">
      <w:pPr>
        <w:pStyle w:val="BodyText"/>
        <w:numPr>
          <w:ilvl w:val="2"/>
          <w:numId w:val="19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Monoklonālais peles klons AE7A5 pret cilvēka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ir primārā antiviela, ko ieteicams izmantot šajā posmā. Tomēr pēc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ieskatiem var izmantot arī citas antivielas, kas ir pret cilvēka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, ar līdzīgiem specifiskuma un jutības raksturlielumiem (piemēram, monoklonālo peles klonu 9G8A pret cilvēka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>).</w:t>
      </w:r>
    </w:p>
    <w:p w14:paraId="0966DCF5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4A3746BF" w14:textId="4A76DC07" w:rsidR="00660BEC" w:rsidRPr="00B03E01" w:rsidRDefault="00E531C5" w:rsidP="00E531C5">
      <w:pPr>
        <w:pStyle w:val="Heading4"/>
        <w:tabs>
          <w:tab w:val="left" w:pos="1619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3.1.4. Noteikšana</w:t>
      </w:r>
    </w:p>
    <w:p w14:paraId="6A90605F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45A1D984" w14:textId="7EDFCB8A" w:rsidR="00660BEC" w:rsidRPr="00B03E01" w:rsidRDefault="00660BEC" w:rsidP="00E531C5">
      <w:pPr>
        <w:pStyle w:val="BodyText"/>
        <w:numPr>
          <w:ilvl w:val="2"/>
          <w:numId w:val="19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izoelektriskos modeļus konstatē, izmantojot piemērotu, jutīgu noteikšanas sistēmu (piemēram, pastiprinātu hemiluminiscences sistēmu). Signālam, kas iegūts, izmantojot densitometriju, jābūt kvantitatīvi nosakāmam, lai noteiktu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modeļa dažādu izoformu relatīvo intensitāti.</w:t>
      </w:r>
    </w:p>
    <w:p w14:paraId="5B99396C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203CBAC7" w14:textId="27968836" w:rsidR="00660BEC" w:rsidRPr="00B03E01" w:rsidRDefault="00E531C5" w:rsidP="00E531C5">
      <w:pPr>
        <w:pStyle w:val="Heading3"/>
        <w:tabs>
          <w:tab w:val="left" w:pos="691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  <w:i/>
          <w:iCs/>
        </w:rPr>
        <w:t>SDS-PAGE</w:t>
      </w:r>
      <w:r>
        <w:rPr>
          <w:rFonts w:ascii="Times New Roman" w:hAnsi="Times New Roman"/>
        </w:rPr>
        <w:t xml:space="preserve"> un </w:t>
      </w:r>
      <w:r>
        <w:rPr>
          <w:rFonts w:ascii="Times New Roman" w:hAnsi="Times New Roman"/>
          <w:i/>
          <w:iCs/>
        </w:rPr>
        <w:t>SAR-PAGE</w:t>
      </w:r>
      <w:r>
        <w:rPr>
          <w:rFonts w:ascii="Times New Roman" w:hAnsi="Times New Roman"/>
        </w:rPr>
        <w:t xml:space="preserve"> pārbaudes [2, 3, 11–14]</w:t>
      </w:r>
    </w:p>
    <w:p w14:paraId="54D63643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38EC9D9A" w14:textId="77777777" w:rsidR="00660BEC" w:rsidRPr="00B03E01" w:rsidRDefault="00660BEC" w:rsidP="00B03E01">
      <w:pPr>
        <w:pStyle w:val="Heading4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3.2.1. Parauga sagatavošana</w:t>
      </w:r>
    </w:p>
    <w:p w14:paraId="1A9D9C17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6867010C" w14:textId="7806093F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 var izmantot jebkuru validētu metodi, ar kuru iespējams koncentrēt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un/vai tā analogus (piemēram, imūnafinitātes attīrīšanu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[5–9]).</w:t>
      </w:r>
    </w:p>
    <w:p w14:paraId="52A01CF9" w14:textId="77777777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Apstiprināšanas procedūrās</w:t>
      </w:r>
      <w:r>
        <w:rPr>
          <w:rFonts w:ascii="Times New Roman" w:hAnsi="Times New Roman"/>
          <w:sz w:val="24"/>
        </w:rPr>
        <w:t xml:space="preserve"> pirms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piemērošanas ir nepieciešams veikt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imūnafinitātes attīrīšanu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.</w:t>
      </w:r>
    </w:p>
    <w:p w14:paraId="687F014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6B61E958" w14:textId="54920C8F" w:rsidR="00660BEC" w:rsidRPr="00B03E01" w:rsidRDefault="00E531C5" w:rsidP="00E531C5">
      <w:pPr>
        <w:pStyle w:val="Heading4"/>
        <w:tabs>
          <w:tab w:val="left" w:pos="1631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3.2.2. Elektroforētiskā sadalīšana</w:t>
      </w:r>
    </w:p>
    <w:p w14:paraId="7FCEF7DE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2641D745" w14:textId="2B79EEE8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saistīto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sadalīšanai ieteicams izmantot 10 % akrilamīda (% T) gelus. Mazākām molekulām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>, peginesatīdam) tiek sekmīgi izmantoti arī 4–12 % gradienta geli.</w:t>
      </w:r>
    </w:p>
    <w:p w14:paraId="7170DD3A" w14:textId="378088F6" w:rsidR="00660BEC" w:rsidRPr="00E531C5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gadījumā </w:t>
      </w:r>
      <w:r>
        <w:rPr>
          <w:rFonts w:ascii="Times New Roman" w:hAnsi="Times New Roman"/>
          <w:i/>
          <w:iCs/>
          <w:sz w:val="24"/>
        </w:rPr>
        <w:t>SDS</w:t>
      </w:r>
      <w:r>
        <w:rPr>
          <w:rFonts w:ascii="Times New Roman" w:hAnsi="Times New Roman"/>
          <w:sz w:val="24"/>
        </w:rPr>
        <w:t xml:space="preserve"> paraugos un elektroforēzes buferšķīdums tiek aizstāts ar nātrija </w:t>
      </w:r>
      <w:r>
        <w:rPr>
          <w:rFonts w:ascii="Times New Roman" w:hAnsi="Times New Roman"/>
          <w:i/>
          <w:iCs/>
          <w:sz w:val="24"/>
        </w:rPr>
        <w:t>N</w:t>
      </w:r>
      <w:r>
        <w:rPr>
          <w:rFonts w:ascii="Times New Roman" w:hAnsi="Times New Roman"/>
          <w:sz w:val="24"/>
        </w:rPr>
        <w:t>-lauroilsarkozinātu.</w:t>
      </w:r>
    </w:p>
    <w:p w14:paraId="02177B3F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59DFD6A8" w14:textId="4ED6FF6F" w:rsidR="00660BEC" w:rsidRPr="00B03E01" w:rsidRDefault="00E531C5" w:rsidP="00E531C5">
      <w:pPr>
        <w:pStyle w:val="Heading4"/>
        <w:tabs>
          <w:tab w:val="left" w:pos="1619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3.2.3. Imūnblotings</w:t>
      </w:r>
    </w:p>
    <w:p w14:paraId="07195DBB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7B3AE2C4" w14:textId="472C3C7D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Urīna un seruma/plazmas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 pēc elektroforētiskās sadalīšanas var veikt vienkāršo vai dubulto blotingu saskaņā ar atbilstošās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metodes validāciju.</w:t>
      </w:r>
    </w:p>
    <w:p w14:paraId="1D1A7417" w14:textId="42E64170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Urīna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apstiprināšanas procedūrā</w:t>
      </w:r>
      <w:r>
        <w:rPr>
          <w:rFonts w:ascii="Times New Roman" w:hAnsi="Times New Roman"/>
          <w:sz w:val="24"/>
        </w:rPr>
        <w:t xml:space="preserve"> ir ieteicams veikt dubulto blotingu. Tomēr pēc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ieskatiem var piemērot arī vienkāršo blotingu, ņemot vērā </w:t>
      </w:r>
      <w:r>
        <w:rPr>
          <w:rFonts w:ascii="Times New Roman" w:hAnsi="Times New Roman"/>
          <w:sz w:val="24"/>
          <w:u w:val="single"/>
        </w:rPr>
        <w:t>sākotnējās pārbaudes procedūras</w:t>
      </w:r>
      <w:r>
        <w:rPr>
          <w:rFonts w:ascii="Times New Roman" w:hAnsi="Times New Roman"/>
          <w:sz w:val="24"/>
        </w:rPr>
        <w:t xml:space="preserve"> rezultātus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 xml:space="preserve">, šķērsreaktivitātes klātbūtni, zemu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saturu utt.) un analīzes apstākļus (piemēram, pietiekamu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tilpumu).</w:t>
      </w:r>
    </w:p>
    <w:p w14:paraId="1AE445A3" w14:textId="77777777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Seruma/plazmas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apstiprināšanas procedūrā</w:t>
      </w:r>
      <w:r>
        <w:rPr>
          <w:rFonts w:ascii="Times New Roman" w:hAnsi="Times New Roman"/>
          <w:sz w:val="24"/>
        </w:rPr>
        <w:t xml:space="preserve"> obligāti jāveic dubultais blotings.</w:t>
      </w:r>
    </w:p>
    <w:p w14:paraId="4250494B" w14:textId="55FA430F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Primārā antiviela, ko šajā posmā ieteicams izmantot 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saistītiem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, ir monoklonālais peles antivielu klons AE7A5 pret cilvēku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. Tomēr pēc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ieskatiem var izmantot arī citas antivielas, kas ir pret cilvēka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, ar līdzīgiem specifiskuma un jutības raksturlielumiem (piemēram, monoklonālo peles klonu 9G8A pret cilvēka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>).</w:t>
      </w:r>
    </w:p>
    <w:p w14:paraId="1D189C3D" w14:textId="77777777" w:rsidR="00660BEC" w:rsidRPr="00B03E01" w:rsidRDefault="00660BEC" w:rsidP="00E531C5">
      <w:pPr>
        <w:pStyle w:val="BodyText"/>
        <w:numPr>
          <w:ilvl w:val="2"/>
          <w:numId w:val="1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Peginesatīdam jāizmanto antiviela pret vielas peptīdo daļu (piemēram, klons 11F9, </w:t>
      </w:r>
      <w:r>
        <w:rPr>
          <w:rFonts w:ascii="Times New Roman" w:hAnsi="Times New Roman"/>
          <w:i/>
          <w:iCs/>
          <w:sz w:val="24"/>
        </w:rPr>
        <w:t>Affymax Inc.</w:t>
      </w:r>
      <w:r>
        <w:rPr>
          <w:rFonts w:ascii="Times New Roman" w:hAnsi="Times New Roman"/>
          <w:sz w:val="24"/>
        </w:rPr>
        <w:t>).</w:t>
      </w:r>
    </w:p>
    <w:p w14:paraId="185A2BEE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5654186F" w14:textId="078EB878" w:rsidR="00660BEC" w:rsidRPr="00B03E01" w:rsidRDefault="00E531C5" w:rsidP="00E531C5">
      <w:pPr>
        <w:pStyle w:val="Heading4"/>
        <w:tabs>
          <w:tab w:val="left" w:pos="1631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3.2.4. Noteikšana</w:t>
      </w:r>
    </w:p>
    <w:p w14:paraId="6D8A34DB" w14:textId="77777777" w:rsidR="00E531C5" w:rsidRDefault="00E531C5" w:rsidP="00E531C5">
      <w:pPr>
        <w:pStyle w:val="BodyText"/>
        <w:tabs>
          <w:tab w:val="left" w:pos="65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733A4565" w14:textId="08EFAB45" w:rsidR="00660BEC" w:rsidRPr="00B03E01" w:rsidRDefault="00660BEC" w:rsidP="00E531C5">
      <w:pPr>
        <w:pStyle w:val="BodyTex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elektroforēzē konstatētos zīmējumus konstatē, izmantojot piemērotu, jutīgu noteikšanas sistēmu (piemēram, pastiprinātu hemiluminiscences sistēmu).</w:t>
      </w:r>
    </w:p>
    <w:p w14:paraId="17A3A6B5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7C3F1F0E" w14:textId="30B5E21D" w:rsidR="00660BEC" w:rsidRPr="00B03E01" w:rsidRDefault="00EF52DF" w:rsidP="00EF52DF">
      <w:pPr>
        <w:pStyle w:val="Heading2"/>
        <w:ind w:left="0"/>
        <w:jc w:val="both"/>
        <w:rPr>
          <w:rFonts w:ascii="Times New Roman" w:hAnsi="Times New Roman"/>
          <w:b w:val="0"/>
          <w:bCs w:val="0"/>
          <w:noProof/>
          <w:u w:val="none"/>
        </w:rPr>
      </w:pPr>
      <w:r>
        <w:rPr>
          <w:rFonts w:ascii="Times New Roman" w:hAnsi="Times New Roman"/>
          <w:u w:val="none" w:color="000000"/>
        </w:rPr>
        <w:t xml:space="preserve">4.0. </w:t>
      </w:r>
      <w:r w:rsidR="00660BEC">
        <w:rPr>
          <w:rFonts w:ascii="Times New Roman" w:hAnsi="Times New Roman"/>
          <w:u w:val="thick" w:color="000000"/>
        </w:rPr>
        <w:t>Rezultātu izvērtēšana un interpretācija</w:t>
      </w:r>
    </w:p>
    <w:p w14:paraId="1C9749DC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15"/>
        </w:rPr>
      </w:pPr>
    </w:p>
    <w:p w14:paraId="72F93471" w14:textId="3B32A56C" w:rsidR="00660BEC" w:rsidRPr="00B03E01" w:rsidRDefault="003F09A4" w:rsidP="003F09A4">
      <w:pPr>
        <w:pStyle w:val="Heading3"/>
        <w:tabs>
          <w:tab w:val="left" w:pos="691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4.1. Pieņemšanas kritēriji</w:t>
      </w:r>
    </w:p>
    <w:p w14:paraId="3DEB180C" w14:textId="77777777" w:rsidR="003F09A4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5D5DC3BE" w14:textId="7F0666F6" w:rsidR="00660BEC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IEF un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procedūru pieņemšanas kritēriji nosaka prasības, kurām attēlam jāatbilst, lai varētu piemērot identifikācijas kritērijus nolūkā pārliecināties par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klātbūtni.</w:t>
      </w:r>
    </w:p>
    <w:p w14:paraId="33A8ED12" w14:textId="77777777" w:rsidR="003F09A4" w:rsidRPr="00B03E01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712B310E" w14:textId="7777777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Plankumi, traipi, pārāk stipra fona zonas vai signāla neesamība sloksnē būtiski traucē identifikācijas kritēriju piemērošanu un padara sloksni nederīgu.</w:t>
      </w:r>
    </w:p>
    <w:p w14:paraId="553B91A1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694EB7E2" w14:textId="4B7FF81C" w:rsidR="00660BEC" w:rsidRPr="00B03E01" w:rsidRDefault="003F09A4" w:rsidP="003F09A4">
      <w:pPr>
        <w:pStyle w:val="Heading3"/>
        <w:tabs>
          <w:tab w:val="left" w:pos="691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4.2. Identifikācijas kritēriji</w:t>
      </w:r>
    </w:p>
    <w:p w14:paraId="0BF1569C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44945BAA" w14:textId="3E91372D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Šeit aprakstītie identifikācijas kritēriji tiek piemēroti </w:t>
      </w:r>
      <w:r>
        <w:rPr>
          <w:rFonts w:ascii="Times New Roman" w:hAnsi="Times New Roman"/>
          <w:sz w:val="24"/>
          <w:u w:val="single"/>
        </w:rPr>
        <w:t>apstiprināšanas procedūrām</w:t>
      </w:r>
      <w:r>
        <w:rPr>
          <w:rFonts w:ascii="Times New Roman" w:hAnsi="Times New Roman"/>
          <w:sz w:val="24"/>
        </w:rPr>
        <w:t xml:space="preserve">. Tomēr kā </w:t>
      </w:r>
      <w:r w:rsidR="000A5348">
        <w:rPr>
          <w:rFonts w:ascii="Times New Roman" w:hAnsi="Times New Roman"/>
          <w:sz w:val="24"/>
        </w:rPr>
        <w:t>vadlīnija</w:t>
      </w:r>
      <w:r>
        <w:rPr>
          <w:rFonts w:ascii="Times New Roman" w:hAnsi="Times New Roman"/>
          <w:sz w:val="24"/>
        </w:rPr>
        <w:t xml:space="preserve">s tiek sniegti ieteikumi attiecībā uz kritērijiem, kas jāpiemēro </w:t>
      </w: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, izvērtējot IEF rezultātus attiecībā uz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>.</w:t>
      </w:r>
    </w:p>
    <w:p w14:paraId="0A8D5D0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4"/>
        </w:rPr>
      </w:pPr>
    </w:p>
    <w:p w14:paraId="6C37A2D2" w14:textId="77777777" w:rsidR="00660BEC" w:rsidRPr="00B03E01" w:rsidRDefault="00660BEC" w:rsidP="00B03E01">
      <w:pPr>
        <w:pStyle w:val="Heading4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4.2.1. IEF procedūra</w:t>
      </w:r>
    </w:p>
    <w:p w14:paraId="7C04E6BB" w14:textId="77777777" w:rsidR="003F09A4" w:rsidRDefault="003F09A4" w:rsidP="00B03E01">
      <w:pPr>
        <w:pStyle w:val="BodyText"/>
        <w:ind w:left="0"/>
        <w:jc w:val="both"/>
        <w:rPr>
          <w:rFonts w:ascii="Times New Roman" w:hAnsi="Times New Roman"/>
          <w:b/>
          <w:noProof/>
          <w:sz w:val="24"/>
        </w:rPr>
      </w:pPr>
    </w:p>
    <w:p w14:paraId="2D6E5018" w14:textId="77436868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1. attēlā </w:t>
      </w:r>
      <w:r>
        <w:rPr>
          <w:rFonts w:ascii="Times New Roman" w:hAnsi="Times New Roman"/>
          <w:sz w:val="24"/>
        </w:rPr>
        <w:t>ir ilustrēti IEF pārbaudes rezultāti.</w:t>
      </w:r>
      <w:r w:rsidR="003F09A4"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Tiek noteikti katras elektroforētiskās sloksnes identifikācijas logi, kā arī bāziskās, endogēnās un skābās zonas. Preparātu joslas, ko izmanto kā referenci, identificē ar cipariem un burtiem.</w:t>
      </w:r>
    </w:p>
    <w:p w14:paraId="3F7E2F70" w14:textId="77777777" w:rsidR="00531B5C" w:rsidRPr="00B03E01" w:rsidRDefault="00531B5C" w:rsidP="00B03E01">
      <w:pPr>
        <w:jc w:val="both"/>
        <w:rPr>
          <w:rFonts w:ascii="Times New Roman" w:hAnsi="Times New Roman"/>
          <w:noProof/>
          <w:sz w:val="24"/>
        </w:rPr>
      </w:pPr>
    </w:p>
    <w:p w14:paraId="2D91FB2D" w14:textId="2D750CD4" w:rsidR="00660BEC" w:rsidRPr="00B03E01" w:rsidRDefault="00EF52DF" w:rsidP="003F09A4">
      <w:pPr>
        <w:jc w:val="center"/>
        <w:rPr>
          <w:rFonts w:ascii="Times New Roman" w:hAnsi="Times New Roman"/>
          <w:noProof/>
          <w:sz w:val="24"/>
        </w:rPr>
      </w:pPr>
      <w:r w:rsidRPr="00EF52DF"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3570E97C" wp14:editId="3E8060AF">
            <wp:extent cx="5134262" cy="4600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343" cy="460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DE2B" w14:textId="77777777" w:rsidR="00660BEC" w:rsidRPr="003F09A4" w:rsidRDefault="00660BEC" w:rsidP="00B03E01">
      <w:pPr>
        <w:jc w:val="both"/>
        <w:rPr>
          <w:rFonts w:ascii="Times New Roman" w:eastAsia="Trebuchet MS" w:hAnsi="Times New Roman" w:cs="Trebuchet MS"/>
          <w:noProof/>
          <w:sz w:val="24"/>
          <w:szCs w:val="28"/>
        </w:rPr>
      </w:pPr>
    </w:p>
    <w:p w14:paraId="0878988C" w14:textId="35961D6A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bCs/>
          <w:sz w:val="24"/>
        </w:rPr>
        <w:t>1. attēls.</w:t>
      </w:r>
      <w:r>
        <w:rPr>
          <w:rFonts w:ascii="Times New Roman" w:hAnsi="Times New Roman"/>
          <w:sz w:val="24"/>
        </w:rPr>
        <w:t xml:space="preserve"> Slokšņu identifikācijas logu attēls, kas iegūts ar hemiluminiscences ieguves sistēmu, atbilstoši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 xml:space="preserve"> analīzei</w:t>
      </w:r>
      <w:r w:rsidR="003F09A4">
        <w:rPr>
          <w:rStyle w:val="FootnoteReference"/>
          <w:rFonts w:ascii="Times New Roman" w:hAnsi="Times New Roman"/>
          <w:noProof/>
          <w:sz w:val="24"/>
        </w:rPr>
        <w:footnoteReference w:id="3"/>
      </w:r>
    </w:p>
    <w:p w14:paraId="2F40029D" w14:textId="77777777" w:rsidR="00660BEC" w:rsidRPr="00B03E01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</w:rPr>
      </w:pPr>
    </w:p>
    <w:p w14:paraId="45B0FEA0" w14:textId="4567871C" w:rsidR="00660BEC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Bāziskās un skābās zonas nosaka tā, kā aprakstīts, pēc joslu pozīcijas atbilstoši Eiropas Farmakopejas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bioloģiskajam references preparātam (</w:t>
      </w:r>
      <w:r>
        <w:rPr>
          <w:rFonts w:ascii="Times New Roman" w:hAnsi="Times New Roman"/>
          <w:i/>
          <w:iCs/>
          <w:sz w:val="24"/>
        </w:rPr>
        <w:t>BRP</w:t>
      </w:r>
      <w:r>
        <w:rPr>
          <w:rFonts w:ascii="Times New Roman" w:hAnsi="Times New Roman"/>
          <w:sz w:val="24"/>
        </w:rPr>
        <w:t xml:space="preserve">) (ekvimolārs epoetīna-α un -β maisījums) vai tīriem epoetīniem-α vai -β un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; pēc izslēgšanas principa endogēno zonu nosaka pa vidu starp bāzisko un skābo zonu. </w:t>
      </w:r>
      <w:r>
        <w:rPr>
          <w:rFonts w:ascii="Times New Roman" w:hAnsi="Times New Roman"/>
          <w:b/>
          <w:bCs/>
          <w:sz w:val="24"/>
        </w:rPr>
        <w:t>1. attēlā</w:t>
      </w:r>
      <w:r>
        <w:rPr>
          <w:rFonts w:ascii="Times New Roman" w:hAnsi="Times New Roman"/>
          <w:sz w:val="24"/>
        </w:rPr>
        <w:t xml:space="preserve"> endogēnās zonas piemērs ir 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 xml:space="preserve"> (starptautiskais references preparāts (</w:t>
      </w:r>
      <w:r>
        <w:rPr>
          <w:rFonts w:ascii="Times New Roman" w:hAnsi="Times New Roman"/>
          <w:i/>
          <w:iCs/>
          <w:sz w:val="24"/>
        </w:rPr>
        <w:t>IRP</w:t>
      </w:r>
      <w:r>
        <w:rPr>
          <w:rFonts w:ascii="Times New Roman" w:hAnsi="Times New Roman"/>
          <w:sz w:val="24"/>
        </w:rPr>
        <w:t>), ko nodrošina Valsts bioloģisko standartu un kontroles institūts (</w:t>
      </w:r>
      <w:r>
        <w:rPr>
          <w:rFonts w:ascii="Times New Roman" w:hAnsi="Times New Roman"/>
          <w:i/>
          <w:iCs/>
          <w:sz w:val="24"/>
        </w:rPr>
        <w:t>NIBSC</w:t>
      </w:r>
      <w:r>
        <w:rPr>
          <w:rFonts w:ascii="Times New Roman" w:hAnsi="Times New Roman"/>
          <w:sz w:val="24"/>
        </w:rPr>
        <w:t>), Apvienotā Karaliste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).</w:t>
      </w:r>
    </w:p>
    <w:p w14:paraId="36283F2D" w14:textId="77777777" w:rsidR="003F09A4" w:rsidRPr="00B03E01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322525CE" w14:textId="7777777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joslas attiecīgi bāziskā, endogēnā un skābā zonā tiek identificētas ar cipariem un burtiem, kā parādīts attēlā.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atbilst atšķirīgam modelim ar dažām joslām, kas ir aptuveni lokalizētas kopā ar tām, kuras noteicis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un citām, kas iejauktas starp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joslām. Ar šo joslu modeli jo īpaši identificē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>.</w:t>
      </w:r>
    </w:p>
    <w:p w14:paraId="562815F8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5ADFA588" w14:textId="7A91B948" w:rsidR="00660BEC" w:rsidRPr="00B03E01" w:rsidRDefault="003F09A4" w:rsidP="003F09A4">
      <w:pPr>
        <w:pStyle w:val="Heading5"/>
        <w:tabs>
          <w:tab w:val="left" w:pos="1881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4.2.1.1. rEPO</w:t>
      </w:r>
    </w:p>
    <w:p w14:paraId="55668AD3" w14:textId="77777777" w:rsidR="003F09A4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50DE3576" w14:textId="437E0A86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iCs/>
          <w:sz w:val="24"/>
        </w:rPr>
        <w:t>IEF</w:t>
      </w:r>
      <w:r>
        <w:rPr>
          <w:rFonts w:ascii="Times New Roman" w:hAnsi="Times New Roman"/>
          <w:sz w:val="24"/>
        </w:rPr>
        <w:t xml:space="preserve"> piemēro </w:t>
      </w:r>
      <w:r>
        <w:rPr>
          <w:rFonts w:ascii="Times New Roman" w:hAnsi="Times New Roman"/>
          <w:sz w:val="24"/>
          <w:u w:val="single"/>
        </w:rPr>
        <w:t>sākotnējās pārbaudes procedūrā</w:t>
      </w:r>
      <w:r>
        <w:rPr>
          <w:rFonts w:ascii="Times New Roman" w:hAnsi="Times New Roman"/>
          <w:sz w:val="24"/>
        </w:rPr>
        <w:t xml:space="preserve"> attiecībā uz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ieteicams ņemt vērā turpmāk norādītos kritērijus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varbūtējā analīžu rezultātā</w:t>
      </w:r>
      <w:r>
        <w:rPr>
          <w:rFonts w:ascii="Times New Roman" w:hAnsi="Times New Roman"/>
          <w:sz w:val="24"/>
        </w:rPr>
        <w:t>.</w:t>
      </w:r>
    </w:p>
    <w:p w14:paraId="77B5CEA6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4"/>
        </w:rPr>
      </w:pPr>
    </w:p>
    <w:p w14:paraId="14C5ADE5" w14:textId="010D26CB" w:rsidR="00660BEC" w:rsidRPr="00B03E01" w:rsidRDefault="003F09A4" w:rsidP="003F09A4">
      <w:pPr>
        <w:tabs>
          <w:tab w:val="left" w:pos="525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a) Urīna </w:t>
      </w:r>
      <w:r>
        <w:rPr>
          <w:rFonts w:ascii="Times New Roman" w:hAnsi="Times New Roman"/>
          <w:i/>
          <w:iCs/>
          <w:sz w:val="24"/>
        </w:rPr>
        <w:t>paraugi</w:t>
      </w:r>
    </w:p>
    <w:p w14:paraId="46BC0FD3" w14:textId="77777777" w:rsidR="003F09A4" w:rsidRDefault="003F09A4" w:rsidP="003F09A4">
      <w:pPr>
        <w:pStyle w:val="BodyText"/>
        <w:tabs>
          <w:tab w:val="left" w:pos="762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7EACD9C4" w14:textId="67ABD94B" w:rsidR="00660BEC" w:rsidRPr="00B03E01" w:rsidRDefault="00660BEC" w:rsidP="003F09A4">
      <w:pPr>
        <w:pStyle w:val="BodyText"/>
        <w:numPr>
          <w:ilvl w:val="1"/>
          <w:numId w:val="1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Bāziskajā zonā (</w:t>
      </w:r>
      <w:r>
        <w:rPr>
          <w:rFonts w:ascii="Times New Roman" w:hAnsi="Times New Roman"/>
          <w:b/>
          <w:sz w:val="24"/>
        </w:rPr>
        <w:t>1. attēls</w:t>
      </w:r>
      <w:r>
        <w:rPr>
          <w:rFonts w:ascii="Times New Roman" w:hAnsi="Times New Roman"/>
          <w:sz w:val="24"/>
        </w:rPr>
        <w:t>) jābūt vismaz trim pieņemamām joslām pēc kārtas.</w:t>
      </w:r>
    </w:p>
    <w:p w14:paraId="482B4185" w14:textId="77777777" w:rsidR="00660BEC" w:rsidRPr="00B03E01" w:rsidRDefault="00660BEC" w:rsidP="003F09A4">
      <w:pPr>
        <w:pStyle w:val="BodyText"/>
        <w:numPr>
          <w:ilvl w:val="1"/>
          <w:numId w:val="1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Divas intensīvākās joslas, ko mēra, izmantojot densitometriju, atrodas bāziskajā zonā.</w:t>
      </w:r>
    </w:p>
    <w:p w14:paraId="3E7D54F9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69319D23" w14:textId="5DB43ADB" w:rsidR="00660BEC" w:rsidRPr="00B03E01" w:rsidRDefault="003F09A4" w:rsidP="003F09A4">
      <w:pPr>
        <w:tabs>
          <w:tab w:val="left" w:pos="530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b) Asins (seruma/plazmas) </w:t>
      </w:r>
      <w:r>
        <w:rPr>
          <w:rFonts w:ascii="Times New Roman" w:hAnsi="Times New Roman"/>
          <w:i/>
          <w:sz w:val="24"/>
        </w:rPr>
        <w:t>paraugi</w:t>
      </w:r>
    </w:p>
    <w:p w14:paraId="4962EA0C" w14:textId="77777777" w:rsidR="003F09A4" w:rsidRDefault="003F09A4" w:rsidP="003F09A4">
      <w:pPr>
        <w:pStyle w:val="BodyText"/>
        <w:tabs>
          <w:tab w:val="left" w:pos="770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2F6628E6" w14:textId="56BA6FE1" w:rsidR="00660BEC" w:rsidRPr="00B03E01" w:rsidRDefault="00660BEC" w:rsidP="003F09A4">
      <w:pPr>
        <w:pStyle w:val="BodyText"/>
        <w:numPr>
          <w:ilvl w:val="1"/>
          <w:numId w:val="12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Divu intensīvāko joslu intensitātei jābūt aptuveni divas vai vairāk reizes lielākai par jebkuru citu joslu endogēnajā zonā.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var arī noteikt </w:t>
      </w:r>
      <w:r>
        <w:rPr>
          <w:rFonts w:ascii="Times New Roman" w:hAnsi="Times New Roman"/>
          <w:sz w:val="24"/>
          <w:u w:val="single"/>
        </w:rPr>
        <w:t>varbūtējo analīžu rezultātu</w:t>
      </w:r>
      <w:r>
        <w:rPr>
          <w:rFonts w:ascii="Times New Roman" w:hAnsi="Times New Roman"/>
          <w:sz w:val="24"/>
        </w:rPr>
        <w:t xml:space="preserve"> attiecībā uz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ja pēc tās ieskatiem IEF profils atšķiras no </w:t>
      </w:r>
      <w:r>
        <w:rPr>
          <w:rFonts w:ascii="Times New Roman" w:hAnsi="Times New Roman"/>
          <w:i/>
          <w:iCs/>
          <w:sz w:val="24"/>
        </w:rPr>
        <w:t>bEPO</w:t>
      </w:r>
      <w:r>
        <w:rPr>
          <w:rFonts w:ascii="Times New Roman" w:hAnsi="Times New Roman"/>
          <w:sz w:val="24"/>
        </w:rPr>
        <w:t xml:space="preserve"> profila.</w:t>
      </w:r>
    </w:p>
    <w:p w14:paraId="7D3BC995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9"/>
        </w:rPr>
      </w:pPr>
    </w:p>
    <w:p w14:paraId="79B144A6" w14:textId="38DED0C8" w:rsidR="00660BEC" w:rsidRPr="00B03E01" w:rsidRDefault="003F09A4" w:rsidP="003F09A4">
      <w:pPr>
        <w:pStyle w:val="Heading5"/>
        <w:tabs>
          <w:tab w:val="left" w:pos="1881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4.2.1.2. NESP un CERA</w:t>
      </w:r>
    </w:p>
    <w:p w14:paraId="2A83DD82" w14:textId="77777777" w:rsidR="003F09A4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20A38752" w14:textId="56FC5CE0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Attēlam jāatbilst turpmākajiem identifikācijas kritērijiem, lai ņemtu vērā </w:t>
      </w:r>
      <w:r>
        <w:rPr>
          <w:rFonts w:ascii="Times New Roman" w:hAnsi="Times New Roman"/>
          <w:i/>
          <w:iCs/>
          <w:sz w:val="24"/>
        </w:rPr>
        <w:t>nelabvēlīgo analīžu rezultātu</w:t>
      </w:r>
      <w:r>
        <w:rPr>
          <w:rFonts w:ascii="Times New Roman" w:hAnsi="Times New Roman"/>
          <w:sz w:val="24"/>
        </w:rPr>
        <w:t xml:space="preserve">, kas liecina par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klātbūtni.</w:t>
      </w:r>
    </w:p>
    <w:p w14:paraId="3C8B27BC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4180340F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b/>
          <w:sz w:val="24"/>
        </w:rPr>
        <w:t>NESP</w:t>
      </w:r>
    </w:p>
    <w:p w14:paraId="615FE0DF" w14:textId="77777777" w:rsidR="003F09A4" w:rsidRDefault="003F09A4" w:rsidP="003F09A4">
      <w:pPr>
        <w:pStyle w:val="BodyText"/>
        <w:tabs>
          <w:tab w:val="left" w:pos="762"/>
        </w:tabs>
        <w:ind w:left="0"/>
        <w:jc w:val="both"/>
        <w:rPr>
          <w:rFonts w:ascii="Times New Roman" w:hAnsi="Times New Roman"/>
          <w:noProof/>
          <w:sz w:val="24"/>
        </w:rPr>
      </w:pPr>
    </w:p>
    <w:p w14:paraId="6E59F857" w14:textId="1FD59FCB" w:rsidR="00660BEC" w:rsidRPr="00B03E01" w:rsidRDefault="00660BEC" w:rsidP="003F09A4">
      <w:pPr>
        <w:pStyle w:val="BodyText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Skābajā zonā (</w:t>
      </w:r>
      <w:r>
        <w:rPr>
          <w:rFonts w:ascii="Times New Roman" w:hAnsi="Times New Roman"/>
          <w:b/>
          <w:sz w:val="24"/>
        </w:rPr>
        <w:t>1. attēls</w:t>
      </w:r>
      <w:r>
        <w:rPr>
          <w:rFonts w:ascii="Times New Roman" w:hAnsi="Times New Roman"/>
          <w:sz w:val="24"/>
        </w:rPr>
        <w:t>) jābūt vismaz trim pieņemamām joslām pēc kārtas, un tās apzīmē ar “A”, “B”, “C” vai “D”.</w:t>
      </w:r>
    </w:p>
    <w:p w14:paraId="0C991A18" w14:textId="77777777" w:rsidR="00660BEC" w:rsidRPr="00B03E01" w:rsidRDefault="00660BEC" w:rsidP="003F09A4">
      <w:pPr>
        <w:pStyle w:val="BodyText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Vismaz vienai joslai “skābajā zonā” jābūt intensīvākai par pēdējo endogēnās zonas joslu (piemēram, josla ε </w:t>
      </w:r>
      <w:r>
        <w:rPr>
          <w:rFonts w:ascii="Times New Roman" w:hAnsi="Times New Roman"/>
          <w:b/>
          <w:bCs/>
          <w:sz w:val="24"/>
        </w:rPr>
        <w:t>1. attēlā</w:t>
      </w:r>
      <w:r>
        <w:rPr>
          <w:rFonts w:ascii="Times New Roman" w:hAnsi="Times New Roman"/>
          <w:sz w:val="24"/>
        </w:rPr>
        <w:t>).</w:t>
      </w:r>
    </w:p>
    <w:p w14:paraId="688AC131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2E2250AA" w14:textId="345EB13D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sz w:val="24"/>
        </w:rPr>
        <w:t>CERA</w:t>
      </w:r>
      <w:r>
        <w:rPr>
          <w:rFonts w:ascii="Times New Roman" w:hAnsi="Times New Roman"/>
          <w:sz w:val="24"/>
        </w:rPr>
        <w:t xml:space="preserve">. Bāziskajā zonā jābūt vismaz četrām secīgām joslām, kas atbilst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preparātam, kuru izmanto kā referenci (</w:t>
      </w:r>
      <w:r>
        <w:rPr>
          <w:rFonts w:ascii="Times New Roman" w:hAnsi="Times New Roman"/>
          <w:b/>
          <w:bCs/>
          <w:sz w:val="24"/>
        </w:rPr>
        <w:t>1. attēls</w:t>
      </w:r>
      <w:r>
        <w:rPr>
          <w:rFonts w:ascii="Times New Roman" w:hAnsi="Times New Roman"/>
          <w:sz w:val="24"/>
        </w:rPr>
        <w:t>).</w:t>
      </w:r>
    </w:p>
    <w:p w14:paraId="44E536D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2876AA5B" w14:textId="4F91C6A4" w:rsidR="00660BEC" w:rsidRPr="00B03E01" w:rsidRDefault="00660BEC" w:rsidP="00B03E01">
      <w:pPr>
        <w:pStyle w:val="Heading4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4.2.2.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procedūra attiecībā uz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, kuru struktūra ir saistīta ar </w:t>
      </w:r>
      <w:r>
        <w:rPr>
          <w:rFonts w:ascii="Times New Roman" w:hAnsi="Times New Roman"/>
          <w:i/>
          <w:iCs/>
          <w:sz w:val="24"/>
        </w:rPr>
        <w:t>EPO</w:t>
      </w:r>
    </w:p>
    <w:p w14:paraId="0D421BBB" w14:textId="77777777" w:rsidR="003F09A4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6B723860" w14:textId="76D2BA4D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identifikācijas kritēriji ir vienādi, jo abas metodes darbojas vienādi, izņemot to, ka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ir augstāks jutīgums pret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>.</w:t>
      </w:r>
    </w:p>
    <w:p w14:paraId="5E7949BB" w14:textId="77777777" w:rsidR="003F09A4" w:rsidRDefault="003F09A4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17E9BA7B" w14:textId="4C2AE49D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un to analogus var atšķirt no endogēnā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bEPO</w:t>
      </w:r>
      <w:r>
        <w:rPr>
          <w:rFonts w:ascii="Times New Roman" w:hAnsi="Times New Roman"/>
          <w:sz w:val="24"/>
        </w:rPr>
        <w:t xml:space="preserve">), pamatojoties uz raksturīgo joslas formu un atšķirīgo šķietamo molekulmasu. Katra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vai tā analoga migrācijas uzvedību (joslu), </w:t>
      </w:r>
      <w:r>
        <w:rPr>
          <w:rFonts w:ascii="Times New Roman" w:hAnsi="Times New Roman"/>
          <w:i/>
          <w:iCs/>
          <w:sz w:val="24"/>
        </w:rPr>
        <w:t>t. i.</w:t>
      </w:r>
      <w:r>
        <w:rPr>
          <w:rFonts w:ascii="Times New Roman" w:hAnsi="Times New Roman"/>
          <w:sz w:val="24"/>
        </w:rPr>
        <w:t xml:space="preserve">, pozīciju un formu (platums, ap vienu vietu izkaisīts vai vairāk izkliedēts), var izmantot, lai apstiprinātu vielas identitāti un/vai eksogēno izcelsmi. Joslas centroīdu vai platuma robežas var izmantot, lai pārliecinātos, ka tā pozīcija un forma atšķiras no paralēli izmantotā endogēnā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pozīcijas, kā parādīts </w:t>
      </w:r>
      <w:r>
        <w:rPr>
          <w:rFonts w:ascii="Times New Roman" w:hAnsi="Times New Roman"/>
          <w:b/>
          <w:bCs/>
          <w:sz w:val="24"/>
        </w:rPr>
        <w:t>2. attēlā</w:t>
      </w:r>
      <w:r>
        <w:rPr>
          <w:rFonts w:ascii="Times New Roman" w:hAnsi="Times New Roman"/>
          <w:sz w:val="24"/>
        </w:rPr>
        <w:t xml:space="preserve"> (kas ilustrē arī dažādu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kā arī 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i/>
          <w:iCs/>
          <w:sz w:val="24"/>
        </w:rPr>
        <w:t>bEPO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i/>
          <w:iCs/>
          <w:sz w:val="24"/>
        </w:rPr>
        <w:t xml:space="preserve"> SDS-PAGE</w:t>
      </w:r>
      <w:r>
        <w:rPr>
          <w:rFonts w:ascii="Times New Roman" w:hAnsi="Times New Roman"/>
          <w:sz w:val="24"/>
        </w:rPr>
        <w:t xml:space="preserve"> uzvedību). Var būt arī papildu joslas, kas atbilst imūnafinitātes attīrīšanai izmantoto antivielu vieglajām un smagajām ķēdēm, un tās netraucē rezultātu interpretācijai</w:t>
      </w:r>
      <w:r w:rsidR="00084922"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sz w:val="24"/>
        </w:rPr>
        <w:t xml:space="preserve"> (piemēram, turpmāk </w:t>
      </w:r>
      <w:r>
        <w:rPr>
          <w:rFonts w:ascii="Times New Roman" w:hAnsi="Times New Roman"/>
          <w:b/>
          <w:sz w:val="24"/>
        </w:rPr>
        <w:t>5. attēlā</w:t>
      </w:r>
      <w:r>
        <w:rPr>
          <w:rFonts w:ascii="Times New Roman" w:hAnsi="Times New Roman"/>
          <w:sz w:val="24"/>
        </w:rPr>
        <w:t>).</w:t>
      </w:r>
    </w:p>
    <w:p w14:paraId="7CA3C10B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6"/>
        </w:rPr>
      </w:pPr>
    </w:p>
    <w:p w14:paraId="3131C453" w14:textId="1FB0D237" w:rsidR="00660BEC" w:rsidRPr="00B03E01" w:rsidRDefault="007A2D7E" w:rsidP="00084922">
      <w:pPr>
        <w:jc w:val="center"/>
        <w:rPr>
          <w:rFonts w:ascii="Times New Roman" w:eastAsia="Verdana" w:hAnsi="Times New Roman" w:cs="Verdana"/>
          <w:noProof/>
          <w:sz w:val="24"/>
          <w:szCs w:val="26"/>
        </w:rPr>
      </w:pPr>
      <w:r w:rsidRPr="007A2D7E">
        <w:rPr>
          <w:rFonts w:ascii="Times New Roman" w:eastAsia="Verdana" w:hAnsi="Times New Roman" w:cs="Verdana"/>
          <w:noProof/>
          <w:sz w:val="24"/>
          <w:szCs w:val="26"/>
        </w:rPr>
        <w:lastRenderedPageBreak/>
        <w:drawing>
          <wp:inline distT="0" distB="0" distL="0" distR="0" wp14:anchorId="21D63A89" wp14:editId="0FB795A9">
            <wp:extent cx="5760720" cy="34055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4469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6"/>
        </w:rPr>
      </w:pPr>
    </w:p>
    <w:p w14:paraId="3696274B" w14:textId="5C6CDA39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bCs/>
          <w:sz w:val="24"/>
        </w:rPr>
        <w:t>2. attēls.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attēls, kas parāda dažu tirdzniecībā pieejamu epoetīna-α un -β preparātu raksturīgo platjoslu (</w:t>
      </w:r>
      <w:r>
        <w:rPr>
          <w:rFonts w:ascii="Times New Roman" w:hAnsi="Times New Roman"/>
          <w:i/>
          <w:iCs/>
          <w:sz w:val="24"/>
        </w:rPr>
        <w:t>NeoRecormon</w:t>
      </w:r>
      <w:r>
        <w:rPr>
          <w:rFonts w:ascii="Times New Roman" w:hAnsi="Times New Roman"/>
          <w:i/>
          <w:iCs/>
          <w:sz w:val="24"/>
          <w:vertAlign w:val="superscript"/>
        </w:rPr>
        <w:t>®</w:t>
      </w:r>
      <w:r>
        <w:rPr>
          <w:rFonts w:ascii="Times New Roman" w:hAnsi="Times New Roman"/>
          <w:i/>
          <w:iCs/>
          <w:sz w:val="24"/>
        </w:rPr>
        <w:t>, Erypo</w:t>
      </w:r>
      <w:r>
        <w:rPr>
          <w:rFonts w:ascii="Times New Roman" w:hAnsi="Times New Roman"/>
          <w:i/>
          <w:iCs/>
          <w:sz w:val="24"/>
          <w:vertAlign w:val="superscript"/>
        </w:rPr>
        <w:t>®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Beijing Four Rings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Shanpoetin</w:t>
      </w:r>
      <w:r>
        <w:rPr>
          <w:rFonts w:ascii="Times New Roman" w:hAnsi="Times New Roman"/>
          <w:sz w:val="24"/>
          <w:vertAlign w:val="superscript"/>
        </w:rPr>
        <w:t>TM</w:t>
      </w:r>
      <w:r>
        <w:rPr>
          <w:rFonts w:ascii="Times New Roman" w:hAnsi="Times New Roman"/>
          <w:sz w:val="24"/>
        </w:rPr>
        <w:t xml:space="preserve">). Tiek parādītas arī endogēnā urīna/ asins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>, epoetīna-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relatīvās pozīcijas.</w:t>
      </w:r>
    </w:p>
    <w:p w14:paraId="46D77882" w14:textId="77777777" w:rsidR="00660BEC" w:rsidRPr="00B03E01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</w:rPr>
      </w:pPr>
    </w:p>
    <w:p w14:paraId="5336DC95" w14:textId="7777777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Turpmāk norādītie identifikācijas kritēriji nosaka prasības, kurām </w:t>
      </w:r>
      <w:r>
        <w:rPr>
          <w:rFonts w:ascii="Times New Roman" w:hAnsi="Times New Roman"/>
          <w:sz w:val="24"/>
          <w:u w:val="single"/>
        </w:rPr>
        <w:t>apstiprināšanas procedūrā</w:t>
      </w:r>
      <w:r>
        <w:rPr>
          <w:rFonts w:ascii="Times New Roman" w:hAnsi="Times New Roman"/>
          <w:sz w:val="24"/>
        </w:rPr>
        <w:t xml:space="preserve"> jāatbilst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attēlam, lai ņemtu vērā </w:t>
      </w:r>
      <w:r>
        <w:rPr>
          <w:rFonts w:ascii="Times New Roman" w:hAnsi="Times New Roman"/>
          <w:i/>
          <w:iCs/>
          <w:sz w:val="24"/>
        </w:rPr>
        <w:t>nelabvēlīgo analīžu rezultātu</w:t>
      </w:r>
      <w:r>
        <w:rPr>
          <w:rFonts w:ascii="Times New Roman" w:hAnsi="Times New Roman"/>
          <w:sz w:val="24"/>
        </w:rPr>
        <w:t xml:space="preserve"> par </w:t>
      </w:r>
      <w:r>
        <w:rPr>
          <w:rFonts w:ascii="Times New Roman" w:hAnsi="Times New Roman"/>
          <w:i/>
          <w:iCs/>
          <w:sz w:val="24"/>
        </w:rPr>
        <w:t>rEPO, NESP, CERA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 klātbūtni.</w:t>
      </w:r>
    </w:p>
    <w:p w14:paraId="7AB9134C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29263C47" w14:textId="251914A3" w:rsidR="00660BEC" w:rsidRPr="00B03E01" w:rsidRDefault="00454115" w:rsidP="00454115">
      <w:pPr>
        <w:tabs>
          <w:tab w:val="left" w:pos="1850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b/>
          <w:i/>
          <w:sz w:val="24"/>
          <w:u w:color="000000"/>
        </w:rPr>
        <w:t xml:space="preserve">4.2.2.1. Noteikta(-as) </w:t>
      </w:r>
      <w:r>
        <w:rPr>
          <w:rFonts w:ascii="Times New Roman" w:hAnsi="Times New Roman"/>
          <w:b/>
          <w:i/>
          <w:sz w:val="24"/>
          <w:u w:val="single" w:color="000000"/>
        </w:rPr>
        <w:t>atsevišķa(-as) josla(-as)</w:t>
      </w:r>
    </w:p>
    <w:p w14:paraId="103C6DE6" w14:textId="77777777" w:rsidR="00454115" w:rsidRDefault="00454115" w:rsidP="00454115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</w:rPr>
      </w:pPr>
    </w:p>
    <w:p w14:paraId="3AE33866" w14:textId="4753F554" w:rsidR="00660BEC" w:rsidRDefault="00660BEC" w:rsidP="00454115">
      <w:pPr>
        <w:numPr>
          <w:ilvl w:val="0"/>
          <w:numId w:val="1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Var tikt noteikta viena josla (piemēram, epoetīna-α/ -β preparāti un </w:t>
      </w:r>
      <w:r>
        <w:rPr>
          <w:rFonts w:ascii="Times New Roman" w:hAnsi="Times New Roman"/>
          <w:i/>
          <w:iCs/>
          <w:sz w:val="24"/>
        </w:rPr>
        <w:t>uEPO/ bEPO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2. attēlā</w:t>
      </w:r>
      <w:r>
        <w:rPr>
          <w:rFonts w:ascii="Times New Roman" w:hAnsi="Times New Roman"/>
          <w:sz w:val="24"/>
        </w:rPr>
        <w:t xml:space="preserve">; citi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3. attēlā</w:t>
      </w:r>
      <w:r>
        <w:rPr>
          <w:rFonts w:ascii="Times New Roman" w:hAnsi="Times New Roman"/>
          <w:sz w:val="24"/>
        </w:rPr>
        <w:t xml:space="preserve">) vai vairākas atsevišķas joslas, kas atbilst dažādiem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 xml:space="preserve"> (piemēram, epoetīns-δ,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2. attēlā</w:t>
      </w:r>
      <w:r>
        <w:rPr>
          <w:rFonts w:ascii="Times New Roman" w:hAnsi="Times New Roman"/>
          <w:sz w:val="24"/>
        </w:rPr>
        <w:t>).</w:t>
      </w:r>
    </w:p>
    <w:p w14:paraId="2BD04EB3" w14:textId="77777777" w:rsidR="00454115" w:rsidRPr="00B03E01" w:rsidRDefault="00454115" w:rsidP="00454115">
      <w:pPr>
        <w:jc w:val="both"/>
        <w:rPr>
          <w:rFonts w:ascii="Times New Roman" w:eastAsia="Verdana" w:hAnsi="Times New Roman" w:cs="Verdana"/>
          <w:noProof/>
          <w:sz w:val="24"/>
        </w:rPr>
      </w:pPr>
    </w:p>
    <w:p w14:paraId="39F77B45" w14:textId="77777777" w:rsidR="00660BEC" w:rsidRPr="00B03E01" w:rsidRDefault="00660BEC" w:rsidP="00454115">
      <w:pPr>
        <w:pStyle w:val="Heading4"/>
        <w:ind w:left="426" w:hanging="426"/>
        <w:jc w:val="both"/>
        <w:rPr>
          <w:rFonts w:ascii="Times New Roman" w:hAnsi="Times New Roman" w:cs="Verdana"/>
          <w:b w:val="0"/>
          <w:bCs w:val="0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rEPO</w:t>
      </w:r>
    </w:p>
    <w:p w14:paraId="3D207D62" w14:textId="77777777" w:rsidR="00454115" w:rsidRDefault="00454115" w:rsidP="00454115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6640D437" w14:textId="6897B508" w:rsidR="00660BEC" w:rsidRPr="00B03E01" w:rsidRDefault="00660BEC" w:rsidP="00454115">
      <w:pPr>
        <w:pStyle w:val="BodyText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Epoetīnam-α un -β, kā arī tā biolīdziniekiem, ir raksturīgas joslu formas (“platjoslas”) un atšķirīga (parasti lielāka) šķietamā molekulmasa, salīdzinot ar endogēno </w:t>
      </w:r>
      <w:r>
        <w:rPr>
          <w:rFonts w:ascii="Times New Roman" w:hAnsi="Times New Roman"/>
          <w:i/>
          <w:iCs/>
          <w:sz w:val="24"/>
        </w:rPr>
        <w:t>uEPO/bEPO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bCs/>
          <w:sz w:val="24"/>
        </w:rPr>
        <w:t>2. attēls</w:t>
      </w:r>
      <w:r>
        <w:rPr>
          <w:rFonts w:ascii="Times New Roman" w:hAnsi="Times New Roman"/>
          <w:sz w:val="24"/>
        </w:rPr>
        <w:t>).</w:t>
      </w:r>
    </w:p>
    <w:p w14:paraId="601A2D20" w14:textId="224CAF9D" w:rsidR="00660BEC" w:rsidRPr="00B03E01" w:rsidRDefault="00660BEC" w:rsidP="00454115">
      <w:pPr>
        <w:pStyle w:val="BodyTex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Epoetīnam-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</w:rPr>
        <w:t xml:space="preserve"> ir raksturīga joslas forma (“asa josla”) un lielāka šķietamā molekulmasa, salīdzinot ar endogēno </w:t>
      </w:r>
      <w:r>
        <w:rPr>
          <w:rFonts w:ascii="Times New Roman" w:hAnsi="Times New Roman"/>
          <w:i/>
          <w:iCs/>
          <w:sz w:val="24"/>
        </w:rPr>
        <w:t>uEPO/bEPO</w:t>
      </w:r>
      <w:r>
        <w:rPr>
          <w:rFonts w:ascii="Times New Roman" w:hAnsi="Times New Roman"/>
          <w:sz w:val="24"/>
        </w:rPr>
        <w:t>. Pamatojoties uz joslas asumu, epoetīnu-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</w:rPr>
        <w:t xml:space="preserve"> var arī atšķirt no citiem rekombinantiem epoetīniem (-α un -β, kā arī biolīdziniekiem) (</w:t>
      </w:r>
      <w:r>
        <w:rPr>
          <w:rFonts w:ascii="Times New Roman" w:hAnsi="Times New Roman"/>
          <w:b/>
          <w:bCs/>
          <w:sz w:val="24"/>
        </w:rPr>
        <w:t>2., 3. attēls</w:t>
      </w:r>
      <w:r>
        <w:rPr>
          <w:rFonts w:ascii="Times New Roman" w:hAnsi="Times New Roman"/>
          <w:sz w:val="24"/>
        </w:rPr>
        <w:t>).</w:t>
      </w:r>
    </w:p>
    <w:p w14:paraId="67421B16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6E15FB7F" w14:textId="77777777" w:rsidR="00660BEC" w:rsidRPr="00B03E01" w:rsidRDefault="00660BEC" w:rsidP="00B03E01">
      <w:pPr>
        <w:pStyle w:val="Heading4"/>
        <w:ind w:left="0"/>
        <w:jc w:val="both"/>
        <w:rPr>
          <w:rFonts w:ascii="Times New Roman" w:hAnsi="Times New Roman" w:cs="Verdana"/>
          <w:b w:val="0"/>
          <w:bCs w:val="0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NESP, CERA, EPO-Fc</w:t>
      </w:r>
    </w:p>
    <w:p w14:paraId="2538D975" w14:textId="788E1686" w:rsidR="00660BEC" w:rsidRPr="00454115" w:rsidRDefault="00660BEC" w:rsidP="00454115">
      <w:pPr>
        <w:pStyle w:val="BodyText"/>
        <w:numPr>
          <w:ilvl w:val="0"/>
          <w:numId w:val="7"/>
        </w:numPr>
        <w:ind w:left="426" w:hanging="426"/>
        <w:jc w:val="both"/>
        <w:rPr>
          <w:rFonts w:ascii="Times New Roman" w:eastAsia="Bookman Old Style" w:hAnsi="Times New Roman" w:cs="Bookman Old Style"/>
          <w:noProof/>
          <w:sz w:val="24"/>
        </w:rPr>
      </w:pPr>
      <w:r>
        <w:rPr>
          <w:rFonts w:ascii="Times New Roman" w:hAnsi="Times New Roman"/>
          <w:sz w:val="24"/>
        </w:rPr>
        <w:t xml:space="preserve">Joslas centroīda šķietamā molekulmasa atbilst attiecīgā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 preparāta šķietamajai masai, ko izmanto kā referenci.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bCs/>
          <w:sz w:val="24"/>
        </w:rPr>
        <w:t>2., 3. attēls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bCs/>
          <w:sz w:val="24"/>
        </w:rPr>
        <w:t>2., 3. attēls</w:t>
      </w:r>
      <w:r>
        <w:rPr>
          <w:rFonts w:ascii="Times New Roman" w:hAnsi="Times New Roman"/>
          <w:sz w:val="24"/>
        </w:rPr>
        <w:t xml:space="preserve">) un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b/>
          <w:bCs/>
          <w:sz w:val="24"/>
        </w:rPr>
        <w:t>3. attēls</w:t>
      </w:r>
      <w:r>
        <w:rPr>
          <w:rFonts w:ascii="Times New Roman" w:hAnsi="Times New Roman"/>
          <w:sz w:val="24"/>
        </w:rPr>
        <w:t xml:space="preserve">) var atšķirt no endogēniem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bEPO</w:t>
      </w:r>
      <w:r>
        <w:rPr>
          <w:rFonts w:ascii="Times New Roman" w:hAnsi="Times New Roman"/>
          <w:sz w:val="24"/>
        </w:rPr>
        <w:t xml:space="preserve">), kā arī no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>, pamatojoties uz to, ka tiem ir lielāka šķietamā molekulmasa [2, 3, 14].</w:t>
      </w:r>
    </w:p>
    <w:p w14:paraId="10FB2DA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7"/>
        </w:rPr>
      </w:pPr>
    </w:p>
    <w:p w14:paraId="0F142D54" w14:textId="7858E227" w:rsidR="00660BEC" w:rsidRDefault="007A2D7E" w:rsidP="00454115">
      <w:pPr>
        <w:jc w:val="center"/>
        <w:rPr>
          <w:rFonts w:ascii="Times New Roman" w:eastAsia="Verdana" w:hAnsi="Times New Roman" w:cs="Verdana"/>
          <w:noProof/>
          <w:sz w:val="24"/>
          <w:szCs w:val="20"/>
        </w:rPr>
      </w:pPr>
      <w:r w:rsidRPr="007A2D7E">
        <w:rPr>
          <w:rFonts w:ascii="Times New Roman" w:eastAsia="Verdana" w:hAnsi="Times New Roman" w:cs="Verdana"/>
          <w:noProof/>
          <w:sz w:val="24"/>
          <w:szCs w:val="20"/>
        </w:rPr>
        <w:lastRenderedPageBreak/>
        <w:drawing>
          <wp:inline distT="0" distB="0" distL="0" distR="0" wp14:anchorId="00E7F203" wp14:editId="1F75A338">
            <wp:extent cx="4400550" cy="29395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06" cy="294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3BBE" w14:textId="77777777" w:rsidR="00454115" w:rsidRPr="00B03E01" w:rsidRDefault="00454115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41B9D13" w14:textId="3A6B4FFD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sz w:val="24"/>
        </w:rPr>
        <w:t>3. attēls.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attēls, kas parāda lielāku šķietamo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EPO-Fc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 un epoetīna-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</w:rPr>
        <w:t xml:space="preserve"> molekulmasu salīdzinājumā ar endogēno </w:t>
      </w:r>
      <w:r>
        <w:rPr>
          <w:rFonts w:ascii="Times New Roman" w:hAnsi="Times New Roman"/>
          <w:i/>
          <w:iCs/>
          <w:sz w:val="24"/>
        </w:rPr>
        <w:t>uEPO/bEPO</w:t>
      </w:r>
      <w:r>
        <w:rPr>
          <w:rFonts w:ascii="Times New Roman" w:hAnsi="Times New Roman"/>
          <w:sz w:val="24"/>
        </w:rPr>
        <w:t>.</w:t>
      </w:r>
    </w:p>
    <w:p w14:paraId="67819DF4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72959053" w14:textId="4E504032" w:rsidR="00660BEC" w:rsidRPr="00B03E01" w:rsidRDefault="00454115" w:rsidP="00454115">
      <w:pPr>
        <w:tabs>
          <w:tab w:val="left" w:pos="1850"/>
        </w:tabs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b/>
          <w:i/>
          <w:sz w:val="24"/>
          <w:u w:color="000000"/>
        </w:rPr>
        <w:t xml:space="preserve">4.2.2.2. Noteikta </w:t>
      </w:r>
      <w:r>
        <w:rPr>
          <w:rFonts w:ascii="Times New Roman" w:hAnsi="Times New Roman"/>
          <w:b/>
          <w:i/>
          <w:sz w:val="24"/>
          <w:u w:val="single" w:color="000000"/>
        </w:rPr>
        <w:t>jaukta tipa josla</w:t>
      </w:r>
    </w:p>
    <w:p w14:paraId="15E3126F" w14:textId="77777777" w:rsidR="00454115" w:rsidRPr="00454115" w:rsidRDefault="00454115" w:rsidP="00454115">
      <w:pPr>
        <w:pStyle w:val="BodyText"/>
        <w:tabs>
          <w:tab w:val="left" w:pos="935"/>
        </w:tabs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6ECEB590" w14:textId="14BC4656" w:rsidR="00660BEC" w:rsidRPr="00B03E01" w:rsidRDefault="00660BEC" w:rsidP="00454115">
      <w:pPr>
        <w:pStyle w:val="BodyTex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Tiek noteikta jaukta tipa josla, kas sastāv no endogēniem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uEPO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bEPO</w:t>
      </w:r>
      <w:r>
        <w:rPr>
          <w:rFonts w:ascii="Times New Roman" w:hAnsi="Times New Roman"/>
          <w:sz w:val="24"/>
        </w:rPr>
        <w:t xml:space="preserve">) un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– joslas forma atgādina </w:t>
      </w:r>
      <w:r>
        <w:rPr>
          <w:rFonts w:ascii="Times New Roman" w:hAnsi="Times New Roman"/>
          <w:i/>
          <w:iCs/>
          <w:sz w:val="24"/>
        </w:rPr>
        <w:t>rEPO PLUS</w:t>
      </w:r>
      <w:r>
        <w:rPr>
          <w:rFonts w:ascii="Times New Roman" w:hAnsi="Times New Roman"/>
          <w:sz w:val="24"/>
        </w:rPr>
        <w:t xml:space="preserve"> daļu formu vai </w:t>
      </w:r>
      <w:r>
        <w:rPr>
          <w:rFonts w:ascii="Times New Roman" w:hAnsi="Times New Roman"/>
          <w:i/>
          <w:iCs/>
          <w:sz w:val="24"/>
        </w:rPr>
        <w:t>uEPO/bEPO</w:t>
      </w:r>
      <w:r>
        <w:rPr>
          <w:rFonts w:ascii="Times New Roman" w:hAnsi="Times New Roman"/>
          <w:sz w:val="24"/>
        </w:rPr>
        <w:t xml:space="preserve"> joslas kopējo formu.</w:t>
      </w:r>
    </w:p>
    <w:p w14:paraId="0B18476F" w14:textId="458B2571" w:rsidR="00660BEC" w:rsidRPr="00B03E01" w:rsidRDefault="00660BEC" w:rsidP="00454115">
      <w:pPr>
        <w:pStyle w:val="BodyText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Izkliedēta vai vāji izteikta joslas zona virs atbilstošās endogēnās joslas arī norāda uz epoetīna-α un -β klātbūtni (</w:t>
      </w:r>
      <w:r>
        <w:rPr>
          <w:rFonts w:ascii="Times New Roman" w:hAnsi="Times New Roman"/>
          <w:b/>
          <w:bCs/>
          <w:sz w:val="24"/>
        </w:rPr>
        <w:t>4. attēls</w:t>
      </w:r>
      <w:r>
        <w:rPr>
          <w:rFonts w:ascii="Times New Roman" w:hAnsi="Times New Roman"/>
          <w:sz w:val="24"/>
        </w:rPr>
        <w:t>).</w:t>
      </w:r>
    </w:p>
    <w:p w14:paraId="3D791303" w14:textId="77777777" w:rsidR="00660BEC" w:rsidRPr="00B03E01" w:rsidRDefault="00660BEC" w:rsidP="00454115">
      <w:pPr>
        <w:pStyle w:val="BodyTex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Var tikt noteikta arī jaukta tipa joslas un atsevišķas(-u) joslas(-u) kombinācija no citiem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>.</w:t>
      </w:r>
    </w:p>
    <w:p w14:paraId="68DB41F0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3E7D8AF3" w14:textId="1E593AE5" w:rsidR="00660BEC" w:rsidRDefault="007A2D7E" w:rsidP="00454115">
      <w:pPr>
        <w:jc w:val="center"/>
        <w:rPr>
          <w:rFonts w:ascii="Times New Roman" w:eastAsia="Verdana" w:hAnsi="Times New Roman" w:cs="Verdana"/>
          <w:noProof/>
          <w:sz w:val="24"/>
          <w:szCs w:val="20"/>
        </w:rPr>
      </w:pPr>
      <w:r w:rsidRPr="007A2D7E">
        <w:rPr>
          <w:rFonts w:ascii="Times New Roman" w:eastAsia="Verdana" w:hAnsi="Times New Roman" w:cs="Verdana"/>
          <w:noProof/>
          <w:sz w:val="24"/>
          <w:szCs w:val="20"/>
        </w:rPr>
        <w:drawing>
          <wp:inline distT="0" distB="0" distL="0" distR="0" wp14:anchorId="56491C8D" wp14:editId="3EBA03AC">
            <wp:extent cx="4467225" cy="29186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510" cy="292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1474A" w14:textId="77777777" w:rsidR="00454115" w:rsidRPr="00B03E01" w:rsidRDefault="00454115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7148624B" w14:textId="293FD466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b/>
          <w:bCs/>
          <w:sz w:val="24"/>
        </w:rPr>
        <w:t>4. attēls.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attēls, kurā redzama endogēna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jaukta tipa josla (sarkanā bultiņa). Izkliedēta joslas zona virs atbilstošās endogēnās joslas arī norāda uz epoetīna-α un -β klātbūtni.</w:t>
      </w:r>
    </w:p>
    <w:p w14:paraId="096BC815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06E78FB8" w14:textId="77777777" w:rsidR="00660BEC" w:rsidRPr="00B03E01" w:rsidRDefault="00660BEC" w:rsidP="00B03E01">
      <w:pPr>
        <w:pStyle w:val="Heading4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4.2.3.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attiecībā uz peginesatīdu</w:t>
      </w:r>
    </w:p>
    <w:p w14:paraId="5048AE89" w14:textId="77777777" w:rsidR="008761CC" w:rsidRDefault="008761C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7C814CC3" w14:textId="10C4283F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Peginesatīda klātbūtni </w:t>
      </w:r>
      <w:r>
        <w:rPr>
          <w:rFonts w:ascii="Times New Roman" w:hAnsi="Times New Roman"/>
          <w:i/>
          <w:iCs/>
          <w:sz w:val="24"/>
        </w:rPr>
        <w:t>paraugā</w:t>
      </w:r>
      <w:r>
        <w:rPr>
          <w:rFonts w:ascii="Times New Roman" w:hAnsi="Times New Roman"/>
          <w:sz w:val="24"/>
        </w:rPr>
        <w:t xml:space="preserve"> norāda ar joslu pozīcijā, kas atbilst šim </w:t>
      </w:r>
      <w:r>
        <w:rPr>
          <w:rFonts w:ascii="Times New Roman" w:hAnsi="Times New Roman"/>
          <w:i/>
          <w:iCs/>
          <w:sz w:val="24"/>
        </w:rPr>
        <w:t>ESA</w:t>
      </w:r>
      <w:r>
        <w:rPr>
          <w:rFonts w:ascii="Times New Roman" w:hAnsi="Times New Roman"/>
          <w:sz w:val="24"/>
        </w:rPr>
        <w:t>, kā apliecina referencei izmantotā preparāta migrācija (</w:t>
      </w:r>
      <w:r>
        <w:rPr>
          <w:rFonts w:ascii="Times New Roman" w:hAnsi="Times New Roman"/>
          <w:b/>
          <w:bCs/>
          <w:sz w:val="24"/>
        </w:rPr>
        <w:t>5. attēls</w:t>
      </w:r>
      <w:r>
        <w:rPr>
          <w:rFonts w:ascii="Times New Roman" w:hAnsi="Times New Roman"/>
          <w:sz w:val="24"/>
        </w:rPr>
        <w:t>). Var būt arī papildu joslas, kas atbilst imūnafinitātes attīrīšanai izmantoto antivielu vieglajām un smagajām ķēdēm, un tās netraucē rezultātu interpretācijai.</w:t>
      </w:r>
    </w:p>
    <w:p w14:paraId="28C7DC5F" w14:textId="77777777" w:rsidR="00531B5C" w:rsidRPr="00B03E01" w:rsidRDefault="00531B5C" w:rsidP="00B03E01">
      <w:pPr>
        <w:jc w:val="both"/>
        <w:rPr>
          <w:rFonts w:ascii="Times New Roman" w:hAnsi="Times New Roman"/>
          <w:noProof/>
          <w:sz w:val="24"/>
        </w:rPr>
      </w:pPr>
    </w:p>
    <w:p w14:paraId="252A6EEC" w14:textId="063285C1" w:rsidR="00660BEC" w:rsidRPr="00B03E01" w:rsidRDefault="00162A3D" w:rsidP="008761CC">
      <w:pPr>
        <w:jc w:val="center"/>
        <w:rPr>
          <w:rFonts w:ascii="Times New Roman" w:hAnsi="Times New Roman"/>
          <w:noProof/>
          <w:sz w:val="24"/>
        </w:rPr>
      </w:pPr>
      <w:r w:rsidRPr="00162A3D">
        <w:rPr>
          <w:rFonts w:ascii="Times New Roman" w:hAnsi="Times New Roman"/>
          <w:noProof/>
          <w:sz w:val="24"/>
        </w:rPr>
        <w:drawing>
          <wp:inline distT="0" distB="0" distL="0" distR="0" wp14:anchorId="03C0F9F9" wp14:editId="5FF232CD">
            <wp:extent cx="3924300" cy="36803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63" cy="36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CA12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2"/>
        </w:rPr>
      </w:pPr>
    </w:p>
    <w:p w14:paraId="0B1DF92C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bCs/>
          <w:sz w:val="24"/>
        </w:rPr>
        <w:t>5. attēls.</w:t>
      </w:r>
      <w:r>
        <w:rPr>
          <w:rFonts w:ascii="Times New Roman" w:hAnsi="Times New Roman"/>
          <w:sz w:val="24"/>
        </w:rPr>
        <w:t xml:space="preserve"> Peginesatīda identifikācijas attēls, izmantojot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Nu-PAGE</w:t>
      </w:r>
      <w:r>
        <w:rPr>
          <w:rFonts w:ascii="Times New Roman" w:hAnsi="Times New Roman"/>
          <w:sz w:val="24"/>
        </w:rPr>
        <w:t xml:space="preserve"> 4–12 % </w:t>
      </w:r>
      <w:r>
        <w:rPr>
          <w:rFonts w:ascii="Times New Roman" w:hAnsi="Times New Roman"/>
          <w:i/>
          <w:iCs/>
          <w:sz w:val="24"/>
        </w:rPr>
        <w:t>Bis Tris</w:t>
      </w:r>
      <w:r>
        <w:rPr>
          <w:rFonts w:ascii="Times New Roman" w:hAnsi="Times New Roman"/>
          <w:sz w:val="24"/>
        </w:rPr>
        <w:t xml:space="preserve"> gelā</w:t>
      </w:r>
    </w:p>
    <w:p w14:paraId="50DEC8B1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</w:p>
    <w:p w14:paraId="0DC61807" w14:textId="77777777" w:rsidR="00660BEC" w:rsidRPr="00B03E01" w:rsidRDefault="00660BEC" w:rsidP="00B03E01">
      <w:pPr>
        <w:pStyle w:val="Heading2"/>
        <w:ind w:left="0"/>
        <w:jc w:val="both"/>
        <w:rPr>
          <w:rFonts w:ascii="Times New Roman" w:hAnsi="Times New Roman"/>
          <w:b w:val="0"/>
          <w:bCs w:val="0"/>
          <w:noProof/>
          <w:u w:val="none"/>
        </w:rPr>
      </w:pPr>
      <w:r>
        <w:rPr>
          <w:rFonts w:ascii="Times New Roman" w:hAnsi="Times New Roman"/>
          <w:u w:val="none"/>
        </w:rPr>
        <w:t xml:space="preserve">5.0. </w:t>
      </w:r>
      <w:r>
        <w:rPr>
          <w:rFonts w:ascii="Times New Roman" w:hAnsi="Times New Roman"/>
          <w:u w:val="thick" w:color="000000"/>
        </w:rPr>
        <w:t>Dokumentācija un ziņošana</w:t>
      </w:r>
    </w:p>
    <w:p w14:paraId="1F4B7D22" w14:textId="77777777" w:rsidR="008761CC" w:rsidRDefault="008761C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03948356" w14:textId="6155452B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Ziņojot par rezultātiem, pamatojoties uz IEF un/vai 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 xml:space="preserve"> piemērošanu,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ievēro prasības, kas norādītas </w:t>
      </w:r>
      <w:r>
        <w:rPr>
          <w:rFonts w:ascii="Times New Roman" w:hAnsi="Times New Roman"/>
          <w:i/>
          <w:iCs/>
          <w:sz w:val="24"/>
        </w:rPr>
        <w:t>WADA Starptautiskajā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laboratoriju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standartā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ISL</w:t>
      </w:r>
      <w:r>
        <w:rPr>
          <w:rFonts w:ascii="Times New Roman" w:hAnsi="Times New Roman"/>
          <w:sz w:val="24"/>
        </w:rPr>
        <w:t xml:space="preserve">) un ar to saistītajā tehniskajā dokumentā par </w:t>
      </w:r>
      <w:r>
        <w:rPr>
          <w:rFonts w:ascii="Times New Roman" w:hAnsi="Times New Roman"/>
          <w:sz w:val="24"/>
          <w:u w:val="single"/>
        </w:rPr>
        <w:t>laboratoriskās</w:t>
      </w:r>
      <w:r>
        <w:rPr>
          <w:rFonts w:ascii="Times New Roman" w:hAnsi="Times New Roman"/>
          <w:sz w:val="24"/>
        </w:rPr>
        <w:t xml:space="preserve"> dokumentācijas paketēm (</w:t>
      </w:r>
      <w:r>
        <w:rPr>
          <w:rFonts w:ascii="Times New Roman" w:hAnsi="Times New Roman"/>
          <w:i/>
          <w:iCs/>
          <w:sz w:val="24"/>
        </w:rPr>
        <w:t>TD LDOC</w:t>
      </w:r>
      <w:r>
        <w:rPr>
          <w:rFonts w:ascii="Times New Roman" w:hAnsi="Times New Roman"/>
          <w:sz w:val="24"/>
        </w:rPr>
        <w:t>) [19].</w:t>
      </w:r>
    </w:p>
    <w:p w14:paraId="737F35F5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4"/>
        </w:rPr>
      </w:pPr>
    </w:p>
    <w:p w14:paraId="7245EF49" w14:textId="7777777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Sākotnējās pārbaudes procedūras</w:t>
      </w:r>
      <w:r>
        <w:rPr>
          <w:rFonts w:ascii="Times New Roman" w:hAnsi="Times New Roman"/>
          <w:sz w:val="24"/>
        </w:rPr>
        <w:t xml:space="preserve"> prasības:</w:t>
      </w:r>
    </w:p>
    <w:p w14:paraId="2A790E6A" w14:textId="77777777" w:rsidR="008761CC" w:rsidRPr="008761CC" w:rsidRDefault="008761CC" w:rsidP="008761CC">
      <w:pPr>
        <w:jc w:val="both"/>
        <w:rPr>
          <w:rFonts w:ascii="Times New Roman" w:eastAsia="Verdana" w:hAnsi="Times New Roman" w:cs="Verdana"/>
          <w:noProof/>
          <w:sz w:val="24"/>
        </w:rPr>
      </w:pPr>
    </w:p>
    <w:p w14:paraId="7FF9CA50" w14:textId="1004FD60" w:rsidR="00660BEC" w:rsidRPr="00B03E01" w:rsidRDefault="00660BEC" w:rsidP="008761CC">
      <w:pPr>
        <w:numPr>
          <w:ilvl w:val="0"/>
          <w:numId w:val="5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(sākotnējās </w:t>
      </w:r>
      <w:r>
        <w:rPr>
          <w:rFonts w:ascii="Times New Roman" w:hAnsi="Times New Roman"/>
          <w:i/>
          <w:iCs/>
          <w:sz w:val="24"/>
        </w:rPr>
        <w:t>pārbaudes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alikvota</w:t>
      </w:r>
      <w:r>
        <w:rPr>
          <w:rFonts w:ascii="Times New Roman" w:hAnsi="Times New Roman"/>
          <w:sz w:val="24"/>
        </w:rPr>
        <w:t>);</w:t>
      </w:r>
    </w:p>
    <w:p w14:paraId="2CD35693" w14:textId="22BD11EB" w:rsidR="00660BEC" w:rsidRPr="00B03E01" w:rsidRDefault="00660BEC" w:rsidP="008761CC">
      <w:pPr>
        <w:pStyle w:val="BodyTex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negatīvs kontrolparaugs</w:t>
      </w:r>
      <w:r w:rsidR="008761CC"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sz w:val="24"/>
        </w:rPr>
        <w:t>;</w:t>
      </w:r>
    </w:p>
    <w:p w14:paraId="42AD1474" w14:textId="77777777" w:rsidR="00660BEC" w:rsidRPr="00B03E01" w:rsidRDefault="00660BEC" w:rsidP="008761CC">
      <w:pPr>
        <w:pStyle w:val="BodyTex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piemērots preparāts, ko izmanto kā referenci, lai noteiktu bāziskās, skābās un endogēnās zonas (IEF) vai šķietamo molekulmasu (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>).</w:t>
      </w:r>
    </w:p>
    <w:p w14:paraId="2E62A07D" w14:textId="77777777" w:rsidR="00660BEC" w:rsidRPr="00B03E01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</w:rPr>
      </w:pPr>
    </w:p>
    <w:p w14:paraId="18B3BA6C" w14:textId="77777777" w:rsidR="00660BEC" w:rsidRPr="00B03E01" w:rsidRDefault="00660BEC" w:rsidP="00162A3D">
      <w:pPr>
        <w:pStyle w:val="BodyText"/>
        <w:keepNext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Apstiprināšanas procedūras</w:t>
      </w:r>
      <w:r>
        <w:rPr>
          <w:rFonts w:ascii="Times New Roman" w:hAnsi="Times New Roman"/>
          <w:sz w:val="24"/>
        </w:rPr>
        <w:t xml:space="preserve"> prasības:</w:t>
      </w:r>
    </w:p>
    <w:p w14:paraId="5EC9A08F" w14:textId="77777777" w:rsidR="008761CC" w:rsidRPr="008761CC" w:rsidRDefault="008761CC" w:rsidP="00162A3D">
      <w:pPr>
        <w:keepNext/>
        <w:tabs>
          <w:tab w:val="left" w:pos="762"/>
        </w:tabs>
        <w:jc w:val="both"/>
        <w:rPr>
          <w:rFonts w:ascii="Times New Roman" w:eastAsia="Verdana" w:hAnsi="Times New Roman" w:cs="Verdana"/>
          <w:noProof/>
          <w:sz w:val="24"/>
        </w:rPr>
      </w:pPr>
    </w:p>
    <w:p w14:paraId="42038100" w14:textId="012AB760" w:rsidR="00660BEC" w:rsidRPr="00B03E01" w:rsidRDefault="00660BEC" w:rsidP="00162A3D">
      <w:pPr>
        <w:keepNext/>
        <w:numPr>
          <w:ilvl w:val="0"/>
          <w:numId w:val="5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(apstiprinājuma </w:t>
      </w:r>
      <w:r>
        <w:rPr>
          <w:rFonts w:ascii="Times New Roman" w:hAnsi="Times New Roman"/>
          <w:sz w:val="24"/>
          <w:u w:val="single"/>
        </w:rPr>
        <w:t>alikvota</w:t>
      </w:r>
      <w:r>
        <w:rPr>
          <w:rFonts w:ascii="Times New Roman" w:hAnsi="Times New Roman"/>
          <w:sz w:val="24"/>
        </w:rPr>
        <w:t>);</w:t>
      </w:r>
    </w:p>
    <w:p w14:paraId="1B78A695" w14:textId="77777777" w:rsidR="00660BEC" w:rsidRPr="00B03E01" w:rsidRDefault="00660BEC" w:rsidP="00162A3D">
      <w:pPr>
        <w:pStyle w:val="BodyText"/>
        <w:keepNext/>
        <w:numPr>
          <w:ilvl w:val="0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negatīvs kontrolparaugs</w:t>
      </w:r>
      <w:r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>;</w:t>
      </w:r>
    </w:p>
    <w:p w14:paraId="7E9B63D6" w14:textId="35F1D39B" w:rsidR="00660BEC" w:rsidRPr="00B03E01" w:rsidRDefault="00660BEC" w:rsidP="008761CC">
      <w:pPr>
        <w:pStyle w:val="BodyTex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pozitīvs kontrolparaugs, kas satur piemērotu vielu (piemēram,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NESP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CERA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vertAlign w:val="superscript"/>
        </w:rPr>
        <w:t xml:space="preserve">5, </w:t>
      </w:r>
      <w:r w:rsidR="008761CC"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sz w:val="24"/>
        </w:rPr>
        <w:t>;</w:t>
      </w:r>
    </w:p>
    <w:p w14:paraId="2A521469" w14:textId="77777777" w:rsidR="00660BEC" w:rsidRPr="00B03E01" w:rsidRDefault="00660BEC" w:rsidP="008761CC">
      <w:pPr>
        <w:pStyle w:val="BodyTex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piemērots preparāts, ko izmanto kā referenci, lai noteiktu bāziskās, skābās un endogēnās zonas (IEF) vai šķietamo molekulmasu (</w:t>
      </w:r>
      <w:r>
        <w:rPr>
          <w:rFonts w:ascii="Times New Roman" w:hAnsi="Times New Roman"/>
          <w:i/>
          <w:iCs/>
          <w:sz w:val="24"/>
        </w:rPr>
        <w:t>SDS-PAGE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SAR-PAGE</w:t>
      </w:r>
      <w:r>
        <w:rPr>
          <w:rFonts w:ascii="Times New Roman" w:hAnsi="Times New Roman"/>
          <w:sz w:val="24"/>
        </w:rPr>
        <w:t>).</w:t>
      </w:r>
    </w:p>
    <w:p w14:paraId="6F7B8627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32"/>
        </w:rPr>
      </w:pPr>
    </w:p>
    <w:p w14:paraId="70D66759" w14:textId="77777777" w:rsidR="00660BEC" w:rsidRPr="00B03E01" w:rsidRDefault="00660BEC" w:rsidP="00B03E01">
      <w:pPr>
        <w:pStyle w:val="Heading3"/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5.1. Otrā atzinuma sniegšana</w:t>
      </w:r>
    </w:p>
    <w:p w14:paraId="1ED7A000" w14:textId="77777777" w:rsidR="008761CC" w:rsidRDefault="008761CC" w:rsidP="00B03E01">
      <w:pPr>
        <w:pStyle w:val="BodyText"/>
        <w:ind w:left="0"/>
        <w:jc w:val="both"/>
        <w:rPr>
          <w:rFonts w:ascii="Times New Roman" w:hAnsi="Times New Roman"/>
          <w:i/>
          <w:noProof/>
          <w:sz w:val="24"/>
        </w:rPr>
      </w:pPr>
    </w:p>
    <w:p w14:paraId="6C47B1CC" w14:textId="1470EDAA" w:rsidR="00660BEC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 xml:space="preserve"> ir noteikusi, ka vienam no norādītajiem ekspertiem</w:t>
      </w:r>
      <w:r w:rsidR="00662BA8"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sz w:val="24"/>
        </w:rPr>
        <w:t xml:space="preserve"> ir jāsniedz viens otrais atzinums pirms ziņojuma iesniegšanas rezultātu pārvaldības iestādei(-ēm) par jebkādu </w:t>
      </w:r>
      <w:r>
        <w:rPr>
          <w:rFonts w:ascii="Times New Roman" w:hAnsi="Times New Roman"/>
          <w:i/>
          <w:iCs/>
          <w:sz w:val="24"/>
        </w:rPr>
        <w:t>nelabvēlīgu analīžu rezultātu</w:t>
      </w:r>
      <w:r>
        <w:rPr>
          <w:rFonts w:ascii="Times New Roman" w:hAnsi="Times New Roman"/>
          <w:sz w:val="24"/>
        </w:rPr>
        <w:t xml:space="preserve"> attiecībā uz </w:t>
      </w:r>
      <w:r>
        <w:rPr>
          <w:rFonts w:ascii="Times New Roman" w:hAnsi="Times New Roman"/>
          <w:i/>
          <w:iCs/>
          <w:sz w:val="24"/>
        </w:rPr>
        <w:t>rEPO</w:t>
      </w:r>
      <w:r>
        <w:rPr>
          <w:rFonts w:ascii="Times New Roman" w:hAnsi="Times New Roman"/>
          <w:sz w:val="24"/>
        </w:rPr>
        <w:t xml:space="preserve"> vai tā analogiem. Visus iesniegtos otros atzinumus kā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dokumentācijas daļu iekļauj </w:t>
      </w:r>
      <w:r>
        <w:rPr>
          <w:rFonts w:ascii="Times New Roman" w:hAnsi="Times New Roman"/>
          <w:sz w:val="24"/>
          <w:u w:val="single"/>
        </w:rPr>
        <w:t>laboratoriskās</w:t>
      </w:r>
      <w:r>
        <w:rPr>
          <w:rFonts w:ascii="Times New Roman" w:hAnsi="Times New Roman"/>
          <w:sz w:val="24"/>
        </w:rPr>
        <w:t xml:space="preserve"> dokumentācijas paketē.</w:t>
      </w:r>
    </w:p>
    <w:p w14:paraId="1E554BF9" w14:textId="77777777" w:rsidR="008761CC" w:rsidRPr="00B03E01" w:rsidRDefault="008761C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157CD1AD" w14:textId="77777777" w:rsidR="00660BEC" w:rsidRPr="00B03E01" w:rsidRDefault="00660BEC" w:rsidP="00B03E01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Kodeksa</w:t>
      </w:r>
      <w:r>
        <w:rPr>
          <w:rFonts w:ascii="Times New Roman" w:hAnsi="Times New Roman"/>
          <w:sz w:val="24"/>
        </w:rPr>
        <w:t xml:space="preserve"> 3. panta 2. punktā un 6. panta 2. punktā izklāstītie noteikumi ļauj izmantot rezultātus, lai noteiktu </w:t>
      </w:r>
      <w:r>
        <w:rPr>
          <w:rFonts w:ascii="Times New Roman" w:hAnsi="Times New Roman"/>
          <w:i/>
          <w:iCs/>
          <w:sz w:val="24"/>
        </w:rPr>
        <w:t>sportistu</w:t>
      </w:r>
      <w:r>
        <w:rPr>
          <w:rFonts w:ascii="Times New Roman" w:hAnsi="Times New Roman"/>
          <w:sz w:val="24"/>
        </w:rPr>
        <w:t xml:space="preserve"> dopinga profilus. Tādējādi, pat ja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ziņo par </w:t>
      </w:r>
      <w:r>
        <w:rPr>
          <w:rFonts w:ascii="Times New Roman" w:hAnsi="Times New Roman"/>
          <w:i/>
          <w:iCs/>
          <w:sz w:val="24"/>
        </w:rPr>
        <w:t>EPO</w:t>
      </w:r>
      <w:r>
        <w:rPr>
          <w:rFonts w:ascii="Times New Roman" w:hAnsi="Times New Roman"/>
          <w:sz w:val="24"/>
        </w:rPr>
        <w:t xml:space="preserve"> analīzes rezultātiem kā par negatīviem, pamatojoties uz IEF un/vai </w:t>
      </w:r>
      <w:r>
        <w:rPr>
          <w:rFonts w:ascii="Times New Roman" w:hAnsi="Times New Roman"/>
          <w:i/>
          <w:iCs/>
          <w:sz w:val="24"/>
        </w:rPr>
        <w:t>SDS/SAR-PAGE</w:t>
      </w:r>
      <w:r>
        <w:rPr>
          <w:rFonts w:ascii="Times New Roman" w:hAnsi="Times New Roman"/>
          <w:sz w:val="24"/>
        </w:rPr>
        <w:t xml:space="preserve"> analīzi, minētajā analīzē iekļautā informācija, ko papildina cita informācija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>, asiņu mainīgie lielumi, garenprofili un liecības), var saglabāt nozīmi plašākā skatījumā, lai varētu konstatēt antidopinga noteikumu pārkāpumus.</w:t>
      </w:r>
    </w:p>
    <w:p w14:paraId="4927AF27" w14:textId="77777777" w:rsidR="00660BEC" w:rsidRPr="00B03E01" w:rsidRDefault="00660BEC" w:rsidP="00B03E01">
      <w:pPr>
        <w:jc w:val="both"/>
        <w:rPr>
          <w:rFonts w:ascii="Times New Roman" w:eastAsia="Times New Roman" w:hAnsi="Times New Roman" w:cs="Times New Roman"/>
          <w:noProof/>
          <w:sz w:val="24"/>
        </w:rPr>
      </w:pPr>
    </w:p>
    <w:p w14:paraId="127753B2" w14:textId="6AB3F9C0" w:rsidR="00660BEC" w:rsidRPr="00B03E01" w:rsidRDefault="00662BA8" w:rsidP="00662BA8">
      <w:pPr>
        <w:pStyle w:val="Heading2"/>
        <w:tabs>
          <w:tab w:val="left" w:pos="724"/>
        </w:tabs>
        <w:ind w:left="0"/>
        <w:jc w:val="both"/>
        <w:rPr>
          <w:rFonts w:ascii="Times New Roman" w:hAnsi="Times New Roman"/>
          <w:noProof/>
          <w:u w:val="thick" w:color="000000"/>
        </w:rPr>
      </w:pPr>
      <w:r>
        <w:rPr>
          <w:rFonts w:ascii="Times New Roman" w:hAnsi="Times New Roman"/>
          <w:u w:val="none" w:color="000000"/>
        </w:rPr>
        <w:t xml:space="preserve">6.0. </w:t>
      </w:r>
      <w:r>
        <w:rPr>
          <w:rFonts w:ascii="Times New Roman" w:hAnsi="Times New Roman"/>
          <w:u w:val="thick" w:color="000000"/>
        </w:rPr>
        <w:t>Atsauces</w:t>
      </w:r>
    </w:p>
    <w:p w14:paraId="06D2960E" w14:textId="77777777" w:rsidR="00660BEC" w:rsidRPr="00B03E01" w:rsidRDefault="00660BEC" w:rsidP="00B03E01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19"/>
        </w:rPr>
      </w:pPr>
    </w:p>
    <w:p w14:paraId="57D34803" w14:textId="26B8C3B5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1. Lasne F, Martin L, Crepin N, de Ceaurriz J. Detection of isoelectric profiles of erythropoietin in urine: differentiation of natural and administered recombinant hormones. </w:t>
      </w:r>
      <w:r>
        <w:rPr>
          <w:rFonts w:ascii="Times New Roman" w:hAnsi="Times New Roman"/>
          <w:i/>
          <w:sz w:val="24"/>
        </w:rPr>
        <w:t xml:space="preserve">Anal Biochem </w:t>
      </w:r>
      <w:r>
        <w:rPr>
          <w:rFonts w:ascii="Times New Roman" w:hAnsi="Times New Roman"/>
          <w:b/>
          <w:sz w:val="24"/>
        </w:rPr>
        <w:t>311</w:t>
      </w:r>
      <w:r>
        <w:rPr>
          <w:rFonts w:ascii="Times New Roman" w:hAnsi="Times New Roman"/>
          <w:sz w:val="24"/>
        </w:rPr>
        <w:t>: 119–126 (2002).</w:t>
      </w:r>
    </w:p>
    <w:p w14:paraId="5F7E8C61" w14:textId="029E8651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2. Reichel C, Abzieher F, Geisendorfer T. SARCOSYL-PAGE: a new method for the detection of MIRCERA- and EPO-doping in blood. </w:t>
      </w:r>
      <w:r>
        <w:rPr>
          <w:rFonts w:ascii="Times New Roman" w:hAnsi="Times New Roman"/>
          <w:i/>
          <w:sz w:val="24"/>
        </w:rPr>
        <w:t xml:space="preserve">Drug Test Anal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sz w:val="24"/>
        </w:rPr>
        <w:t>(11-12): 494–504 (2009).</w:t>
      </w:r>
    </w:p>
    <w:p w14:paraId="14DC57A8" w14:textId="3F04CFE3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3. Reichel C. SARCOSYL-PAGE: A New Electrophoretic Method for the Separation and Immunological Detection of PEGylated Proteins. </w:t>
      </w:r>
      <w:r>
        <w:rPr>
          <w:rFonts w:ascii="Times New Roman" w:hAnsi="Times New Roman"/>
          <w:i/>
          <w:sz w:val="24"/>
        </w:rPr>
        <w:t xml:space="preserve">Methods Mol Biol. </w:t>
      </w:r>
      <w:r>
        <w:rPr>
          <w:rFonts w:ascii="Times New Roman" w:hAnsi="Times New Roman"/>
          <w:b/>
          <w:sz w:val="24"/>
        </w:rPr>
        <w:t>869</w:t>
      </w:r>
      <w:r>
        <w:rPr>
          <w:rFonts w:ascii="Times New Roman" w:hAnsi="Times New Roman"/>
          <w:sz w:val="24"/>
        </w:rPr>
        <w:t>: 65–79 (2012).</w:t>
      </w:r>
    </w:p>
    <w:p w14:paraId="641B8984" w14:textId="798350B7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4. Lasne F, Martin L, Martin JA. A fast preparative method for detection of recombinant erythropoietin in blood samples. </w:t>
      </w:r>
      <w:r>
        <w:rPr>
          <w:rFonts w:ascii="Times New Roman" w:hAnsi="Times New Roman"/>
          <w:i/>
          <w:sz w:val="24"/>
        </w:rPr>
        <w:t>Drug Test Anal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: 494–495 (2010).</w:t>
      </w:r>
    </w:p>
    <w:p w14:paraId="0F7783B8" w14:textId="2B9AFA86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5. Lasne F, Martin L, Martin JA, de Ceaurriz J. Isoelectric profiles of human erythropoietin are different in serum and urine. </w:t>
      </w:r>
      <w:r>
        <w:rPr>
          <w:rFonts w:ascii="Times New Roman" w:hAnsi="Times New Roman"/>
          <w:i/>
          <w:sz w:val="24"/>
        </w:rPr>
        <w:t xml:space="preserve">Int J Biol Macromol </w:t>
      </w:r>
      <w:r>
        <w:rPr>
          <w:rFonts w:ascii="Times New Roman" w:hAnsi="Times New Roman"/>
          <w:b/>
          <w:sz w:val="24"/>
        </w:rPr>
        <w:t>41</w:t>
      </w:r>
      <w:r>
        <w:rPr>
          <w:rFonts w:ascii="Times New Roman" w:hAnsi="Times New Roman"/>
          <w:sz w:val="24"/>
        </w:rPr>
        <w:t>: 354–357 (2007).</w:t>
      </w:r>
    </w:p>
    <w:p w14:paraId="7704D97F" w14:textId="7321BD00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lastRenderedPageBreak/>
        <w:t xml:space="preserve">6. Mallorquí J, Segura J, de Bolòs C, Gutiérrez-Gallego R, Pascual JA. Recombinant erythropoietin found in seized blood bags from sportsmen. </w:t>
      </w:r>
      <w:r>
        <w:rPr>
          <w:rFonts w:ascii="Times New Roman" w:hAnsi="Times New Roman"/>
          <w:i/>
          <w:sz w:val="24"/>
        </w:rPr>
        <w:t xml:space="preserve">Haematologica </w:t>
      </w:r>
      <w:r>
        <w:rPr>
          <w:rFonts w:ascii="Times New Roman" w:hAnsi="Times New Roman"/>
          <w:b/>
          <w:sz w:val="24"/>
        </w:rPr>
        <w:t>93</w:t>
      </w:r>
      <w:r>
        <w:rPr>
          <w:rFonts w:ascii="Times New Roman" w:hAnsi="Times New Roman"/>
          <w:sz w:val="24"/>
        </w:rPr>
        <w:t>(2): 313–314 (2008).</w:t>
      </w:r>
    </w:p>
    <w:p w14:paraId="2232C3E9" w14:textId="75CBC560" w:rsidR="00660BEC" w:rsidRPr="00662BA8" w:rsidRDefault="00662BA8" w:rsidP="00662BA8">
      <w:pPr>
        <w:tabs>
          <w:tab w:val="left" w:pos="942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7. Dehnes Y, Lamon S, Lönnberg M. Erythropoietin (EPO) immunoaffinity columns – A powerful tool for purifying EPO and its recombinant analogous. JPBA 53: 1028–1032 (2010).</w:t>
      </w:r>
    </w:p>
    <w:p w14:paraId="109283BC" w14:textId="54D79E2E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8. Lönnberg M, Dehnes Y, Drevin M </w:t>
      </w:r>
      <w:r>
        <w:rPr>
          <w:rFonts w:ascii="Times New Roman" w:hAnsi="Times New Roman"/>
          <w:i/>
          <w:iCs/>
          <w:sz w:val="24"/>
        </w:rPr>
        <w:t>et al.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Rapid affinity purification of erythropoietin from biological samples using disposable monoliths. </w:t>
      </w:r>
      <w:r>
        <w:rPr>
          <w:rFonts w:ascii="Times New Roman" w:hAnsi="Times New Roman"/>
          <w:i/>
          <w:sz w:val="24"/>
        </w:rPr>
        <w:t>J Chromatogr A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1217</w:t>
      </w:r>
      <w:r>
        <w:rPr>
          <w:rFonts w:ascii="Times New Roman" w:hAnsi="Times New Roman"/>
          <w:sz w:val="24"/>
        </w:rPr>
        <w:t>(45): 7031–7037 (2010).</w:t>
      </w:r>
    </w:p>
    <w:p w14:paraId="5FD47EB7" w14:textId="084B3208" w:rsidR="00660BEC" w:rsidRPr="00B03E01" w:rsidRDefault="00662BA8" w:rsidP="00662BA8">
      <w:pPr>
        <w:tabs>
          <w:tab w:val="left" w:pos="942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9. Mallorquí J, Llop E, de Bolòs C, Gutiérrez-Gallego R, Segura J, Pascual JA. Purification of erythropoietin from human plasma samples using an immunoaffinity well plate. </w:t>
      </w:r>
      <w:r>
        <w:rPr>
          <w:rFonts w:ascii="Times New Roman" w:hAnsi="Times New Roman"/>
          <w:i/>
          <w:sz w:val="24"/>
        </w:rPr>
        <w:t xml:space="preserve">J Chromatogr B Analyt Technol Biomed Life Sci </w:t>
      </w:r>
      <w:r>
        <w:rPr>
          <w:rFonts w:ascii="Times New Roman" w:hAnsi="Times New Roman"/>
          <w:b/>
          <w:sz w:val="24"/>
        </w:rPr>
        <w:t>878</w:t>
      </w:r>
      <w:r>
        <w:rPr>
          <w:rFonts w:ascii="Times New Roman" w:hAnsi="Times New Roman"/>
          <w:sz w:val="24"/>
        </w:rPr>
        <w:t>(23): 2117–2122 (2010).</w:t>
      </w:r>
    </w:p>
    <w:p w14:paraId="760E0DE4" w14:textId="3A8BD60E" w:rsidR="00660BEC" w:rsidRPr="00B03E01" w:rsidRDefault="00662BA8" w:rsidP="00662BA8">
      <w:pPr>
        <w:tabs>
          <w:tab w:val="left" w:pos="1034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10. Reihlen P, Völker-Schänzer E, Majer B, Schänzer W. Easy-to-use IEF compatible immunoaffinity purification of Erythropoietin from urine retentates. </w:t>
      </w:r>
      <w:r>
        <w:rPr>
          <w:rFonts w:ascii="Times New Roman" w:hAnsi="Times New Roman"/>
          <w:i/>
          <w:sz w:val="24"/>
        </w:rPr>
        <w:t xml:space="preserve">Drug Test Anal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(11): 813–817 (2012).</w:t>
      </w:r>
    </w:p>
    <w:p w14:paraId="1437D4C0" w14:textId="466DB009" w:rsidR="00660BEC" w:rsidRPr="00B03E01" w:rsidRDefault="00662BA8" w:rsidP="00662BA8">
      <w:pPr>
        <w:tabs>
          <w:tab w:val="left" w:pos="1029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11. Leuenberger N, Saugy J, Mortensen RB, Schatz PJ, Giraud S, Saugy M. Methods for detection and confirmation of Hematide™/peginesatide in anti- doping samples. </w:t>
      </w:r>
      <w:r>
        <w:rPr>
          <w:rFonts w:ascii="Times New Roman" w:hAnsi="Times New Roman"/>
          <w:i/>
          <w:sz w:val="24"/>
        </w:rPr>
        <w:t xml:space="preserve">Forensic Sci Int </w:t>
      </w:r>
      <w:r>
        <w:rPr>
          <w:rFonts w:ascii="Times New Roman" w:hAnsi="Times New Roman"/>
          <w:b/>
          <w:sz w:val="24"/>
        </w:rPr>
        <w:t>213</w:t>
      </w:r>
      <w:r>
        <w:rPr>
          <w:rFonts w:ascii="Times New Roman" w:hAnsi="Times New Roman"/>
          <w:sz w:val="24"/>
        </w:rPr>
        <w:t>(1-3): 15–9 (2011).</w:t>
      </w:r>
    </w:p>
    <w:p w14:paraId="3CE97309" w14:textId="08016AF7" w:rsidR="00660BEC" w:rsidRPr="00B03E01" w:rsidRDefault="00662BA8" w:rsidP="00662BA8">
      <w:pPr>
        <w:tabs>
          <w:tab w:val="left" w:pos="1034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12. Kohler M, Ayotte C, Desharnais P </w:t>
      </w:r>
      <w:r>
        <w:rPr>
          <w:rFonts w:ascii="Times New Roman" w:hAnsi="Times New Roman"/>
          <w:i/>
          <w:sz w:val="24"/>
        </w:rPr>
        <w:t>et al</w:t>
      </w:r>
      <w:r>
        <w:rPr>
          <w:rFonts w:ascii="Times New Roman" w:hAnsi="Times New Roman"/>
          <w:sz w:val="24"/>
        </w:rPr>
        <w:t xml:space="preserve">. Discrimination of recombinant and endogenous urinary erythropoietin by calculating relative mobility values from SDS gels. </w:t>
      </w:r>
      <w:r>
        <w:rPr>
          <w:rFonts w:ascii="Times New Roman" w:hAnsi="Times New Roman"/>
          <w:i/>
          <w:sz w:val="24"/>
        </w:rPr>
        <w:t xml:space="preserve">Int J Sports Med </w:t>
      </w:r>
      <w:r>
        <w:rPr>
          <w:rFonts w:ascii="Times New Roman" w:hAnsi="Times New Roman"/>
          <w:b/>
          <w:sz w:val="24"/>
        </w:rPr>
        <w:t>29</w:t>
      </w:r>
      <w:r>
        <w:rPr>
          <w:rFonts w:ascii="Times New Roman" w:hAnsi="Times New Roman"/>
          <w:sz w:val="24"/>
        </w:rPr>
        <w:t>(1): 1–6 (2008).</w:t>
      </w:r>
    </w:p>
    <w:p w14:paraId="62EEFD54" w14:textId="0E736BD1" w:rsidR="00660BEC" w:rsidRPr="00B03E01" w:rsidRDefault="00662BA8" w:rsidP="00662BA8">
      <w:pPr>
        <w:tabs>
          <w:tab w:val="left" w:pos="1034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13. Reichel C, Kulovics R, Jordan V, Watzinger M, Geisendorfer T. SDS-PAGE of recombinant and endogenous erythropoietins: benefits and limitations of the method for application in doping control. </w:t>
      </w:r>
      <w:r>
        <w:rPr>
          <w:rFonts w:ascii="Times New Roman" w:hAnsi="Times New Roman"/>
          <w:i/>
          <w:sz w:val="24"/>
        </w:rPr>
        <w:t xml:space="preserve">Drug Test Anal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sz w:val="24"/>
        </w:rPr>
        <w:t>(1): 43–50 (2009).</w:t>
      </w:r>
    </w:p>
    <w:p w14:paraId="3E46A317" w14:textId="359BFCBD" w:rsidR="00660BEC" w:rsidRPr="00662BA8" w:rsidRDefault="00662BA8" w:rsidP="00662BA8">
      <w:pPr>
        <w:tabs>
          <w:tab w:val="left" w:pos="1034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14. Reichel C, Thevis M. Detection of EPO-Fc fusion protein in human blood: Screening and confirmation protocols for sports drug testing. </w:t>
      </w:r>
      <w:r>
        <w:rPr>
          <w:rFonts w:ascii="Times New Roman" w:hAnsi="Times New Roman"/>
          <w:i/>
          <w:sz w:val="24"/>
        </w:rPr>
        <w:t xml:space="preserve">Drug Test Anal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(11): 818–829 (2012).</w:t>
      </w:r>
    </w:p>
    <w:p w14:paraId="36EB8C1D" w14:textId="165EBCE8" w:rsidR="00660BEC" w:rsidRPr="00B03E01" w:rsidRDefault="00662BA8" w:rsidP="00662BA8">
      <w:pPr>
        <w:tabs>
          <w:tab w:val="left" w:pos="1029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15. Möller I, Thomas A, Geyer H, Schänzer W, Thevis M. Synthesis, characterisation, and mass spectrometric detection of a pegylated EPO-mimetic peptide for sports drug testing purposes. </w:t>
      </w:r>
      <w:r>
        <w:rPr>
          <w:rFonts w:ascii="Times New Roman" w:hAnsi="Times New Roman"/>
          <w:i/>
          <w:sz w:val="24"/>
        </w:rPr>
        <w:t xml:space="preserve">Rapid Commun Mass Spectrom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sz w:val="24"/>
        </w:rPr>
        <w:t>(15), 2115–2123 (2011).</w:t>
      </w:r>
    </w:p>
    <w:p w14:paraId="056AF773" w14:textId="6D0E6C2F" w:rsidR="00660BEC" w:rsidRPr="00B03E01" w:rsidRDefault="00662BA8" w:rsidP="00662BA8">
      <w:pPr>
        <w:pStyle w:val="BodyText"/>
        <w:tabs>
          <w:tab w:val="left" w:pos="1019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16. Möller I, Thomas A, Delahaut P, Geyer H, Schänzer W, Thevis M. Mass spectrometric detection of peginesatide in human urine in doping control analysis. </w:t>
      </w:r>
      <w:r>
        <w:rPr>
          <w:rFonts w:ascii="Times New Roman" w:hAnsi="Times New Roman"/>
          <w:i/>
          <w:sz w:val="24"/>
        </w:rPr>
        <w:t xml:space="preserve">Pharm Biomed Anal. </w:t>
      </w:r>
      <w:r>
        <w:rPr>
          <w:rFonts w:ascii="Times New Roman" w:hAnsi="Times New Roman"/>
          <w:b/>
          <w:bCs/>
          <w:sz w:val="24"/>
        </w:rPr>
        <w:t>70</w:t>
      </w:r>
      <w:r>
        <w:rPr>
          <w:rFonts w:ascii="Times New Roman" w:hAnsi="Times New Roman"/>
          <w:sz w:val="24"/>
        </w:rPr>
        <w:t>: 512–517 (2012)</w:t>
      </w:r>
    </w:p>
    <w:p w14:paraId="73A3B21E" w14:textId="5DB50E1D" w:rsidR="00660BEC" w:rsidRPr="00B03E01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17. Reichel C. Differences in sialic acid O-acetylation between human urinary and recombinant erythropoietins: a possible mass spectrometric marker for doping control. Drug Test Anal.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(11-12): 877–889 (2013).</w:t>
      </w:r>
    </w:p>
    <w:p w14:paraId="69F523B4" w14:textId="1B0DFE7B" w:rsidR="00660BEC" w:rsidRPr="00B03E01" w:rsidRDefault="00662BA8" w:rsidP="00662BA8">
      <w:pPr>
        <w:tabs>
          <w:tab w:val="left" w:pos="942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18. WADA Technical Document TD IDCR: Identification Criteria for Qualitative Assays incorporating Column Chromatography and Mass Spectrometry.</w:t>
      </w:r>
    </w:p>
    <w:p w14:paraId="7C67A580" w14:textId="0F8F6AE7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8"/>
        </w:rPr>
      </w:pPr>
      <w:r>
        <w:rPr>
          <w:rFonts w:ascii="Times New Roman" w:hAnsi="Times New Roman"/>
          <w:color w:val="0000FF"/>
          <w:sz w:val="24"/>
          <w:u w:val="single" w:color="0000FF"/>
        </w:rPr>
        <w:t>http://www.wada-ama.org/Documents/World_Anti-Doping_Program/WADP-IS-Laboratories/Technical_Documents/WADA_TD2010IDCRv1.0_Identification%20Criteria%20for%20Qualitative%20Assays_May%2008%202010_EN.doc.pdf.</w:t>
      </w:r>
    </w:p>
    <w:p w14:paraId="2F451C08" w14:textId="77777777" w:rsidR="00660BEC" w:rsidRPr="00B03E01" w:rsidRDefault="00660BEC" w:rsidP="00B03E01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19. WADA Technical Document TD LDOC: Laboratory Documentation Packages.</w:t>
      </w:r>
    </w:p>
    <w:p w14:paraId="0951348E" w14:textId="29CC4056" w:rsidR="00660BEC" w:rsidRPr="00B03E01" w:rsidRDefault="00660BEC" w:rsidP="00B03E01">
      <w:pPr>
        <w:jc w:val="both"/>
        <w:rPr>
          <w:rFonts w:ascii="Times New Roman" w:eastAsia="Verdana" w:hAnsi="Times New Roman" w:cs="Verdana"/>
          <w:noProof/>
          <w:sz w:val="24"/>
          <w:szCs w:val="18"/>
        </w:rPr>
      </w:pPr>
      <w:r>
        <w:rPr>
          <w:rFonts w:ascii="Times New Roman" w:hAnsi="Times New Roman"/>
          <w:color w:val="0000FF"/>
          <w:sz w:val="24"/>
          <w:u w:val="single" w:color="0000FF"/>
        </w:rPr>
        <w:t>http://www.wada-ama.org/Documents/World_Anti-Doping_Program/WADP-IS-Laboratories/Technical_Documents/WADA_TD2009_LDOC_Laboratory_Documentation_Packages_EN.pdf.</w:t>
      </w:r>
    </w:p>
    <w:sectPr w:rsidR="00660BEC" w:rsidRPr="00B03E01" w:rsidSect="00B03E01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D2FD7" w14:textId="77777777" w:rsidR="00076078" w:rsidRPr="00660BEC" w:rsidRDefault="00076078">
      <w:pPr>
        <w:rPr>
          <w:noProof/>
        </w:rPr>
      </w:pPr>
      <w:r w:rsidRPr="00660BEC">
        <w:rPr>
          <w:noProof/>
        </w:rPr>
        <w:separator/>
      </w:r>
    </w:p>
  </w:endnote>
  <w:endnote w:type="continuationSeparator" w:id="0">
    <w:p w14:paraId="53266AE1" w14:textId="77777777" w:rsidR="00076078" w:rsidRPr="00660BEC" w:rsidRDefault="00076078">
      <w:pPr>
        <w:rPr>
          <w:noProof/>
        </w:rPr>
      </w:pPr>
      <w:r w:rsidRPr="00660BEC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75FF4" w14:textId="77777777" w:rsidR="00EF52DF" w:rsidRPr="00EF52DF" w:rsidRDefault="00EF52DF" w:rsidP="00EF52DF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20"/>
      </w:rPr>
    </w:pPr>
  </w:p>
  <w:p w14:paraId="2BD8D61B" w14:textId="7BB69889" w:rsidR="00EF52DF" w:rsidRPr="00EF52DF" w:rsidRDefault="00EF52DF" w:rsidP="00EF52DF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EF52DF">
      <w:rPr>
        <w:rStyle w:val="PageNumber"/>
        <w:rFonts w:ascii="Times New Roman" w:hAnsi="Times New Roman" w:cs="Times New Roman"/>
        <w:sz w:val="20"/>
        <w:szCs w:val="20"/>
      </w:rPr>
      <w:tab/>
    </w:r>
  </w:p>
  <w:p w14:paraId="389A81B5" w14:textId="77777777" w:rsidR="00EF52DF" w:rsidRPr="00EF52DF" w:rsidRDefault="00EF52DF" w:rsidP="00EF52DF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20"/>
      </w:rPr>
    </w:pPr>
  </w:p>
  <w:p w14:paraId="1A6EC390" w14:textId="43ED6C7C" w:rsidR="00EF52DF" w:rsidRPr="00EF52DF" w:rsidRDefault="00EF52DF" w:rsidP="00EF52DF">
    <w:pPr>
      <w:pStyle w:val="Footer"/>
      <w:tabs>
        <w:tab w:val="clear" w:pos="4513"/>
        <w:tab w:val="clear" w:pos="9026"/>
        <w:tab w:val="center" w:pos="9072"/>
      </w:tabs>
      <w:rPr>
        <w:rFonts w:ascii="Times New Roman" w:hAnsi="Times New Roman" w:cs="Times New Roman"/>
        <w:sz w:val="20"/>
        <w:szCs w:val="20"/>
      </w:rPr>
    </w:pPr>
    <w:r w:rsidRPr="00EF52DF">
      <w:rPr>
        <w:rFonts w:ascii="Times New Roman" w:hAnsi="Times New Roman" w:cs="Times New Roman"/>
        <w:noProof/>
        <w:sz w:val="20"/>
        <w:szCs w:val="20"/>
      </w:rPr>
      <w:t xml:space="preserve">Tulkojums </w:t>
    </w:r>
    <w:r w:rsidRPr="00EF52DF">
      <w:rPr>
        <w:rFonts w:ascii="Times New Roman" w:hAnsi="Times New Roman" w:cs="Times New Roman"/>
        <w:noProof/>
        <w:sz w:val="20"/>
        <w:szCs w:val="20"/>
      </w:rPr>
      <w:fldChar w:fldCharType="begin"/>
    </w:r>
    <w:r w:rsidRPr="00EF52DF">
      <w:rPr>
        <w:rFonts w:ascii="Times New Roman" w:hAnsi="Times New Roman" w:cs="Times New Roman"/>
        <w:noProof/>
        <w:sz w:val="20"/>
        <w:szCs w:val="20"/>
      </w:rPr>
      <w:instrText>symbol 211 \f "Symbol" \s 9</w:instrText>
    </w:r>
    <w:r w:rsidRPr="00EF52DF"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EF52DF">
      <w:rPr>
        <w:rFonts w:ascii="Times New Roman" w:hAnsi="Times New Roman" w:cs="Times New Roman"/>
        <w:noProof/>
        <w:sz w:val="20"/>
        <w:szCs w:val="20"/>
      </w:rPr>
      <w:t>Ó</w:t>
    </w:r>
    <w:r w:rsidRPr="00EF52DF">
      <w:rPr>
        <w:rFonts w:ascii="Times New Roman" w:hAnsi="Times New Roman" w:cs="Times New Roman"/>
        <w:noProof/>
        <w:sz w:val="20"/>
        <w:szCs w:val="20"/>
      </w:rPr>
      <w:fldChar w:fldCharType="end"/>
    </w:r>
    <w:r w:rsidRPr="00EF52DF">
      <w:rPr>
        <w:rFonts w:ascii="Times New Roman" w:hAnsi="Times New Roman" w:cs="Times New Roman"/>
        <w:noProof/>
        <w:sz w:val="20"/>
        <w:szCs w:val="20"/>
      </w:rPr>
      <w:t xml:space="preserve"> Valsts valodas centrs, 202</w:t>
    </w:r>
    <w:r w:rsidR="000A5348">
      <w:rPr>
        <w:rFonts w:ascii="Times New Roman" w:hAnsi="Times New Roman" w:cs="Times New Roman"/>
        <w:noProof/>
        <w:sz w:val="20"/>
        <w:szCs w:val="20"/>
      </w:rPr>
      <w:t>1</w:t>
    </w:r>
    <w:r w:rsidRPr="00EF52DF">
      <w:rPr>
        <w:rFonts w:ascii="Times New Roman" w:hAnsi="Times New Roman" w:cs="Times New Roman"/>
        <w:sz w:val="20"/>
        <w:szCs w:val="20"/>
      </w:rPr>
      <w:tab/>
    </w:r>
    <w:r w:rsidRPr="00EF52DF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EF52DF">
      <w:rPr>
        <w:rStyle w:val="PageNumber"/>
        <w:rFonts w:ascii="Times New Roman" w:hAnsi="Times New Roman" w:cs="Times New Roman"/>
        <w:sz w:val="20"/>
        <w:szCs w:val="20"/>
      </w:rPr>
      <w:instrText xml:space="preserve">page </w:instrText>
    </w:r>
    <w:r w:rsidRPr="00EF52DF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Pr="00EF52DF">
      <w:rPr>
        <w:rStyle w:val="PageNumber"/>
        <w:rFonts w:ascii="Times New Roman" w:hAnsi="Times New Roman" w:cs="Times New Roman"/>
        <w:sz w:val="20"/>
        <w:szCs w:val="20"/>
      </w:rPr>
      <w:t>2</w:t>
    </w:r>
    <w:r w:rsidRPr="00EF52DF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4E35" w14:textId="77777777" w:rsidR="00EF52DF" w:rsidRPr="00EF52DF" w:rsidRDefault="00EF52DF" w:rsidP="00EF52DF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20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756403CB" w14:textId="3D33B6E3" w:rsidR="00EF52DF" w:rsidRPr="00EF52DF" w:rsidRDefault="00EF52DF" w:rsidP="00EF52DF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EF52DF">
      <w:rPr>
        <w:rStyle w:val="PageNumber"/>
        <w:rFonts w:ascii="Times New Roman" w:hAnsi="Times New Roman" w:cs="Times New Roman"/>
        <w:sz w:val="20"/>
        <w:szCs w:val="20"/>
      </w:rPr>
      <w:tab/>
    </w:r>
  </w:p>
  <w:p w14:paraId="18F279F6" w14:textId="77777777" w:rsidR="00EF52DF" w:rsidRPr="00EF52DF" w:rsidRDefault="00EF52DF" w:rsidP="00EF52DF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20"/>
      </w:rPr>
    </w:pPr>
  </w:p>
  <w:p w14:paraId="293D9115" w14:textId="5002AFEF" w:rsidR="00EF52DF" w:rsidRPr="00EF52DF" w:rsidRDefault="00EF52DF" w:rsidP="00EF52DF">
    <w:pPr>
      <w:pStyle w:val="Footer"/>
      <w:rPr>
        <w:rFonts w:ascii="Times New Roman" w:hAnsi="Times New Roman" w:cs="Times New Roman"/>
        <w:sz w:val="20"/>
        <w:szCs w:val="20"/>
      </w:rPr>
    </w:pPr>
    <w:r w:rsidRPr="00EF52DF">
      <w:rPr>
        <w:rFonts w:ascii="Times New Roman" w:hAnsi="Times New Roman" w:cs="Times New Roman"/>
        <w:noProof/>
        <w:sz w:val="20"/>
        <w:szCs w:val="20"/>
      </w:rPr>
      <w:t xml:space="preserve">Tulkojums </w:t>
    </w:r>
    <w:r w:rsidRPr="00EF52DF">
      <w:rPr>
        <w:rFonts w:ascii="Times New Roman" w:hAnsi="Times New Roman" w:cs="Times New Roman"/>
        <w:noProof/>
        <w:sz w:val="20"/>
        <w:szCs w:val="20"/>
      </w:rPr>
      <w:fldChar w:fldCharType="begin"/>
    </w:r>
    <w:r w:rsidRPr="00EF52DF">
      <w:rPr>
        <w:rFonts w:ascii="Times New Roman" w:hAnsi="Times New Roman" w:cs="Times New Roman"/>
        <w:noProof/>
        <w:sz w:val="20"/>
        <w:szCs w:val="20"/>
      </w:rPr>
      <w:instrText>symbol 211 \f "Symbol" \s 9</w:instrText>
    </w:r>
    <w:r w:rsidRPr="00EF52DF"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EF52DF">
      <w:rPr>
        <w:rFonts w:ascii="Times New Roman" w:hAnsi="Times New Roman" w:cs="Times New Roman"/>
        <w:noProof/>
        <w:sz w:val="20"/>
        <w:szCs w:val="20"/>
      </w:rPr>
      <w:t>Ó</w:t>
    </w:r>
    <w:r w:rsidRPr="00EF52DF">
      <w:rPr>
        <w:rFonts w:ascii="Times New Roman" w:hAnsi="Times New Roman" w:cs="Times New Roman"/>
        <w:noProof/>
        <w:sz w:val="20"/>
        <w:szCs w:val="20"/>
      </w:rPr>
      <w:fldChar w:fldCharType="end"/>
    </w:r>
    <w:r w:rsidRPr="00EF52DF">
      <w:rPr>
        <w:rFonts w:ascii="Times New Roman" w:hAnsi="Times New Roman" w:cs="Times New Roman"/>
        <w:noProof/>
        <w:sz w:val="20"/>
        <w:szCs w:val="20"/>
      </w:rPr>
      <w:t xml:space="preserve"> Valsts valodas centrs, 20</w:t>
    </w:r>
    <w:bookmarkEnd w:id="14"/>
    <w:bookmarkEnd w:id="15"/>
    <w:bookmarkEnd w:id="16"/>
    <w:r w:rsidRPr="00EF52DF">
      <w:rPr>
        <w:rFonts w:ascii="Times New Roman" w:hAnsi="Times New Roman" w:cs="Times New Roman"/>
        <w:noProof/>
        <w:sz w:val="20"/>
        <w:szCs w:val="20"/>
      </w:rPr>
      <w:t>2</w:t>
    </w:r>
    <w:bookmarkEnd w:id="17"/>
    <w:bookmarkEnd w:id="18"/>
    <w:r w:rsidR="000A5348">
      <w:rPr>
        <w:rFonts w:ascii="Times New Roman" w:hAnsi="Times New Roman" w:cs="Times New Roman"/>
        <w:noProof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41E24" w14:textId="77777777" w:rsidR="00076078" w:rsidRPr="00660BEC" w:rsidRDefault="00076078">
      <w:pPr>
        <w:rPr>
          <w:noProof/>
        </w:rPr>
      </w:pPr>
      <w:r w:rsidRPr="00660BEC">
        <w:rPr>
          <w:noProof/>
        </w:rPr>
        <w:separator/>
      </w:r>
    </w:p>
  </w:footnote>
  <w:footnote w:type="continuationSeparator" w:id="0">
    <w:p w14:paraId="3099DAB7" w14:textId="77777777" w:rsidR="00076078" w:rsidRPr="00660BEC" w:rsidRDefault="00076078">
      <w:pPr>
        <w:rPr>
          <w:noProof/>
        </w:rPr>
      </w:pPr>
      <w:r w:rsidRPr="00660BEC">
        <w:rPr>
          <w:noProof/>
        </w:rPr>
        <w:continuationSeparator/>
      </w:r>
    </w:p>
  </w:footnote>
  <w:footnote w:id="1">
    <w:p w14:paraId="6B6167E1" w14:textId="106DD3F1" w:rsidR="00E911B8" w:rsidRPr="00E911B8" w:rsidRDefault="00E911B8" w:rsidP="00E911B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Imūnafinitātes attīrīšanai izmanto citas antivielas, nevis tās, kuras izmanto imūnblotingam.</w:t>
      </w:r>
    </w:p>
  </w:footnote>
  <w:footnote w:id="2">
    <w:p w14:paraId="700957E9" w14:textId="6FE744BF" w:rsidR="003F09A4" w:rsidRPr="003F09A4" w:rsidRDefault="003F09A4" w:rsidP="003F09A4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Šie ir dažādu </w:t>
      </w:r>
      <w:r>
        <w:rPr>
          <w:rFonts w:ascii="Times New Roman" w:hAnsi="Times New Roman"/>
          <w:i/>
          <w:iCs/>
        </w:rPr>
        <w:t>EPO</w:t>
      </w:r>
      <w:r>
        <w:rPr>
          <w:rFonts w:ascii="Times New Roman" w:hAnsi="Times New Roman"/>
        </w:rPr>
        <w:t xml:space="preserve"> analogu standartu piemēri pēc IEF; reālā </w:t>
      </w:r>
      <w:r>
        <w:rPr>
          <w:rFonts w:ascii="Times New Roman" w:hAnsi="Times New Roman"/>
          <w:i/>
          <w:iCs/>
        </w:rPr>
        <w:t>paraugā</w:t>
      </w:r>
      <w:r>
        <w:rPr>
          <w:rFonts w:ascii="Times New Roman" w:hAnsi="Times New Roman"/>
        </w:rPr>
        <w:t xml:space="preserve"> var noteikt arī endogēnā </w:t>
      </w:r>
      <w:r>
        <w:rPr>
          <w:rFonts w:ascii="Times New Roman" w:hAnsi="Times New Roman"/>
          <w:i/>
          <w:iCs/>
        </w:rPr>
        <w:t>uEPO</w:t>
      </w:r>
      <w:r>
        <w:rPr>
          <w:rFonts w:ascii="Times New Roman" w:hAnsi="Times New Roman"/>
        </w:rPr>
        <w:t xml:space="preserve"> klātbūtni.</w:t>
      </w:r>
    </w:p>
  </w:footnote>
  <w:footnote w:id="3">
    <w:p w14:paraId="5AF3347D" w14:textId="57D49D26" w:rsidR="003F09A4" w:rsidRPr="003F09A4" w:rsidRDefault="003F09A4" w:rsidP="003F09A4">
      <w:pPr>
        <w:pStyle w:val="FootnoteText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Citus </w:t>
      </w:r>
      <w:r>
        <w:rPr>
          <w:rFonts w:ascii="Times New Roman" w:hAnsi="Times New Roman"/>
          <w:i/>
          <w:iCs/>
        </w:rPr>
        <w:t>uEPO</w:t>
      </w:r>
      <w:r>
        <w:rPr>
          <w:rFonts w:ascii="Times New Roman" w:hAnsi="Times New Roman"/>
        </w:rPr>
        <w:t xml:space="preserve"> vai </w:t>
      </w:r>
      <w:r>
        <w:rPr>
          <w:rFonts w:ascii="Times New Roman" w:hAnsi="Times New Roman"/>
          <w:i/>
          <w:iCs/>
        </w:rPr>
        <w:t>bEPO</w:t>
      </w:r>
      <w:r>
        <w:rPr>
          <w:rFonts w:ascii="Times New Roman" w:hAnsi="Times New Roman"/>
        </w:rPr>
        <w:t xml:space="preserve"> preparātus var izmantot kā referenci uz endogēno </w:t>
      </w:r>
      <w:r>
        <w:rPr>
          <w:rFonts w:ascii="Times New Roman" w:hAnsi="Times New Roman"/>
          <w:i/>
          <w:iCs/>
        </w:rPr>
        <w:t>EPO</w:t>
      </w:r>
      <w:r>
        <w:rPr>
          <w:rFonts w:ascii="Times New Roman" w:hAnsi="Times New Roman"/>
        </w:rPr>
        <w:t>.</w:t>
      </w:r>
    </w:p>
  </w:footnote>
  <w:footnote w:id="4">
    <w:p w14:paraId="24913ADF" w14:textId="1ACB5446" w:rsidR="00084922" w:rsidRPr="00084922" w:rsidRDefault="00084922" w:rsidP="0008492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Šādām antivielu joslām, kas rodas parauga sagatavošanas procesā, vienmēr jābūt </w:t>
      </w:r>
      <w:r>
        <w:rPr>
          <w:rFonts w:ascii="Times New Roman" w:hAnsi="Times New Roman"/>
          <w:i/>
          <w:iCs/>
        </w:rPr>
        <w:t>paraugos</w:t>
      </w:r>
      <w:r>
        <w:rPr>
          <w:rFonts w:ascii="Times New Roman" w:hAnsi="Times New Roman"/>
        </w:rPr>
        <w:t xml:space="preserve"> un kontrolparaugos.</w:t>
      </w:r>
    </w:p>
  </w:footnote>
  <w:footnote w:id="5">
    <w:p w14:paraId="4A652974" w14:textId="1FB0DA7E" w:rsidR="008761CC" w:rsidRPr="008761CC" w:rsidRDefault="008761CC" w:rsidP="008761CC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Kontrolparaugi ir paraugi, kuriem veic tādu pašu analītisko procedūru kā pārbaudāmajam </w:t>
      </w:r>
      <w:r>
        <w:rPr>
          <w:rFonts w:ascii="Times New Roman" w:hAnsi="Times New Roman"/>
          <w:i/>
          <w:iCs/>
        </w:rPr>
        <w:t>paraugam</w:t>
      </w:r>
      <w:r>
        <w:rPr>
          <w:rFonts w:ascii="Times New Roman" w:hAnsi="Times New Roman"/>
        </w:rPr>
        <w:t xml:space="preserve"> (piemēram, izmantojot tādu pašu parauga matricu, parauga sagatavošanas procesu utt.).</w:t>
      </w:r>
    </w:p>
  </w:footnote>
  <w:footnote w:id="6">
    <w:p w14:paraId="3E58BF01" w14:textId="760B98CC" w:rsidR="008761CC" w:rsidRPr="00662BA8" w:rsidRDefault="008761CC" w:rsidP="008761CC">
      <w:pPr>
        <w:pStyle w:val="BodyText"/>
        <w:tabs>
          <w:tab w:val="left" w:pos="364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Pozitīvos kontrolparaugus izvēlas, pamatojoties uz </w:t>
      </w:r>
      <w:r>
        <w:rPr>
          <w:rFonts w:ascii="Times New Roman" w:hAnsi="Times New Roman"/>
          <w:sz w:val="20"/>
          <w:u w:val="single"/>
        </w:rPr>
        <w:t>sākotnējās pārbaudes procedūras</w:t>
      </w:r>
      <w:r>
        <w:rPr>
          <w:rFonts w:ascii="Times New Roman" w:hAnsi="Times New Roman"/>
          <w:sz w:val="20"/>
        </w:rPr>
        <w:t xml:space="preserve"> rezultātiem, kas sniedz norādi par to, kura viela jāapstiprina (piemēram,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iCs/>
          <w:sz w:val="20"/>
        </w:rPr>
        <w:t>rEPO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NESP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iCs/>
          <w:sz w:val="20"/>
        </w:rPr>
        <w:t>CERA</w:t>
      </w:r>
      <w:r>
        <w:rPr>
          <w:rFonts w:ascii="Times New Roman" w:hAnsi="Times New Roman"/>
          <w:sz w:val="20"/>
        </w:rPr>
        <w:t xml:space="preserve">). Tomēr pozitīvam kontrolparaugam ne vienmēr ir jāatbilst </w:t>
      </w:r>
      <w:r>
        <w:rPr>
          <w:rFonts w:ascii="Times New Roman" w:hAnsi="Times New Roman"/>
          <w:i/>
          <w:iCs/>
          <w:sz w:val="20"/>
        </w:rPr>
        <w:t>parauga</w:t>
      </w:r>
      <w:r>
        <w:rPr>
          <w:rFonts w:ascii="Times New Roman" w:hAnsi="Times New Roman"/>
          <w:sz w:val="20"/>
        </w:rPr>
        <w:t xml:space="preserve"> elektroforētiskajai uzvedībai. Piemēram, dažādu veidu </w:t>
      </w:r>
      <w:r>
        <w:rPr>
          <w:rFonts w:ascii="Times New Roman" w:hAnsi="Times New Roman"/>
          <w:i/>
          <w:iCs/>
          <w:sz w:val="20"/>
        </w:rPr>
        <w:t>rEPO</w:t>
      </w:r>
      <w:r>
        <w:rPr>
          <w:rFonts w:ascii="Times New Roman" w:hAnsi="Times New Roman"/>
          <w:sz w:val="20"/>
        </w:rPr>
        <w:t xml:space="preserve"> var būt atšķirīgi migrācijas modeļi gelā.</w:t>
      </w:r>
    </w:p>
  </w:footnote>
  <w:footnote w:id="7">
    <w:p w14:paraId="6CD518C3" w14:textId="77777777" w:rsidR="00662BA8" w:rsidRPr="00662BA8" w:rsidRDefault="00662BA8" w:rsidP="00662BA8">
      <w:pPr>
        <w:pStyle w:val="BodyText"/>
        <w:tabs>
          <w:tab w:val="left" w:pos="362"/>
        </w:tabs>
        <w:ind w:left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Eksperti (</w:t>
      </w:r>
      <w:r>
        <w:rPr>
          <w:rFonts w:ascii="Times New Roman" w:hAnsi="Times New Roman"/>
          <w:sz w:val="20"/>
          <w:u w:val="single"/>
        </w:rPr>
        <w:t>laboratoriju</w:t>
      </w:r>
      <w:r>
        <w:rPr>
          <w:rFonts w:ascii="Times New Roman" w:hAnsi="Times New Roman"/>
          <w:sz w:val="20"/>
        </w:rPr>
        <w:t xml:space="preserve"> darbinieki), kuri var sniegt otros atzinumus par </w:t>
      </w:r>
      <w:r>
        <w:rPr>
          <w:rFonts w:ascii="Times New Roman" w:hAnsi="Times New Roman"/>
          <w:sz w:val="20"/>
          <w:u w:val="single"/>
        </w:rPr>
        <w:t>laboratorijas</w:t>
      </w:r>
      <w:r>
        <w:rPr>
          <w:rFonts w:ascii="Times New Roman" w:hAnsi="Times New Roman"/>
          <w:sz w:val="20"/>
        </w:rPr>
        <w:t xml:space="preserve"> konstatējumiem attiecībā uz </w:t>
      </w:r>
      <w:r>
        <w:rPr>
          <w:rFonts w:ascii="Times New Roman" w:hAnsi="Times New Roman"/>
          <w:i/>
          <w:iCs/>
          <w:sz w:val="20"/>
        </w:rPr>
        <w:t>EPO</w:t>
      </w:r>
      <w:r>
        <w:rPr>
          <w:rFonts w:ascii="Times New Roman" w:hAnsi="Times New Roman"/>
          <w:sz w:val="20"/>
        </w:rPr>
        <w:t>:</w:t>
      </w:r>
    </w:p>
    <w:p w14:paraId="4623D638" w14:textId="0033FA4E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1. Kristiāna Ajota [</w:t>
      </w:r>
      <w:r>
        <w:rPr>
          <w:rFonts w:ascii="Times New Roman" w:hAnsi="Times New Roman"/>
          <w:i/>
          <w:iCs/>
          <w:sz w:val="20"/>
        </w:rPr>
        <w:t>Christiane Ayotte</w:t>
      </w:r>
      <w:r>
        <w:rPr>
          <w:rFonts w:ascii="Times New Roman" w:hAnsi="Times New Roman"/>
          <w:sz w:val="20"/>
        </w:rPr>
        <w:t>] (Monreāla);</w:t>
      </w:r>
    </w:p>
    <w:p w14:paraId="67DDF30A" w14:textId="4FE03C92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2. Iveta Dēnesa [</w:t>
      </w:r>
      <w:r>
        <w:rPr>
          <w:rFonts w:ascii="Times New Roman" w:hAnsi="Times New Roman"/>
          <w:i/>
          <w:iCs/>
          <w:sz w:val="20"/>
        </w:rPr>
        <w:t>Yvette Dehnes</w:t>
      </w:r>
      <w:r>
        <w:rPr>
          <w:rFonts w:ascii="Times New Roman" w:hAnsi="Times New Roman"/>
          <w:sz w:val="20"/>
        </w:rPr>
        <w:t>] (Oslo);</w:t>
      </w:r>
    </w:p>
    <w:p w14:paraId="48C1B886" w14:textId="079E11B2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3. Fransuāza Lana [</w:t>
      </w:r>
      <w:r>
        <w:rPr>
          <w:rFonts w:ascii="Times New Roman" w:hAnsi="Times New Roman"/>
          <w:i/>
          <w:iCs/>
          <w:sz w:val="20"/>
        </w:rPr>
        <w:t>Françoise Lasne</w:t>
      </w:r>
      <w:r>
        <w:rPr>
          <w:rFonts w:ascii="Times New Roman" w:hAnsi="Times New Roman"/>
          <w:sz w:val="20"/>
        </w:rPr>
        <w:t>] (Parīze);</w:t>
      </w:r>
    </w:p>
    <w:p w14:paraId="4AD0CA1D" w14:textId="0B4C1FE1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4. Nikolā Leienbergers [</w:t>
      </w:r>
      <w:r>
        <w:rPr>
          <w:rFonts w:ascii="Times New Roman" w:hAnsi="Times New Roman"/>
          <w:i/>
          <w:iCs/>
          <w:sz w:val="20"/>
        </w:rPr>
        <w:t>Nicolas Leuenberger</w:t>
      </w:r>
      <w:r>
        <w:rPr>
          <w:rFonts w:ascii="Times New Roman" w:hAnsi="Times New Roman"/>
          <w:sz w:val="20"/>
        </w:rPr>
        <w:t>] (Lozanna);</w:t>
      </w:r>
    </w:p>
    <w:p w14:paraId="46E6A7C8" w14:textId="4F3C2C01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5. Lorāns Martēns [</w:t>
      </w:r>
      <w:r>
        <w:rPr>
          <w:rFonts w:ascii="Times New Roman" w:hAnsi="Times New Roman"/>
          <w:i/>
          <w:iCs/>
          <w:sz w:val="20"/>
        </w:rPr>
        <w:t>Laurent Martin</w:t>
      </w:r>
      <w:r>
        <w:rPr>
          <w:rFonts w:ascii="Times New Roman" w:hAnsi="Times New Roman"/>
          <w:sz w:val="20"/>
        </w:rPr>
        <w:t>] (Parīze);</w:t>
      </w:r>
    </w:p>
    <w:p w14:paraId="19BF770E" w14:textId="3C4B55A0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6. Žans Fransuā No [</w:t>
      </w:r>
      <w:r>
        <w:rPr>
          <w:rFonts w:ascii="Times New Roman" w:hAnsi="Times New Roman"/>
          <w:i/>
          <w:iCs/>
          <w:sz w:val="20"/>
        </w:rPr>
        <w:t>Jean-François Naud</w:t>
      </w:r>
      <w:r>
        <w:rPr>
          <w:rFonts w:ascii="Times New Roman" w:hAnsi="Times New Roman"/>
          <w:sz w:val="20"/>
        </w:rPr>
        <w:t>] (Monreāla);</w:t>
      </w:r>
    </w:p>
    <w:p w14:paraId="61470DEE" w14:textId="7619AD53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7. Hosē A. Paskvāls [</w:t>
      </w:r>
      <w:r>
        <w:rPr>
          <w:rFonts w:ascii="Times New Roman" w:hAnsi="Times New Roman"/>
          <w:i/>
          <w:iCs/>
          <w:sz w:val="20"/>
        </w:rPr>
        <w:t>José A. Pascual</w:t>
      </w:r>
      <w:r>
        <w:rPr>
          <w:rFonts w:ascii="Times New Roman" w:hAnsi="Times New Roman"/>
          <w:sz w:val="20"/>
        </w:rPr>
        <w:t>] (Barselona);</w:t>
      </w:r>
    </w:p>
    <w:p w14:paraId="7DEE45FD" w14:textId="7EB01515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8. Kristians Reihels [</w:t>
      </w:r>
      <w:r>
        <w:rPr>
          <w:rFonts w:ascii="Times New Roman" w:hAnsi="Times New Roman"/>
          <w:i/>
          <w:iCs/>
          <w:sz w:val="20"/>
        </w:rPr>
        <w:t>Christian Reichel</w:t>
      </w:r>
      <w:r>
        <w:rPr>
          <w:rFonts w:ascii="Times New Roman" w:hAnsi="Times New Roman"/>
          <w:sz w:val="20"/>
        </w:rPr>
        <w:t>] (Zeibersdorfa);</w:t>
      </w:r>
    </w:p>
    <w:p w14:paraId="38FFF5A5" w14:textId="4010ED5F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sz w:val="20"/>
        </w:rPr>
        <w:t>9. Filips Reilens [</w:t>
      </w:r>
      <w:r>
        <w:rPr>
          <w:rFonts w:ascii="Times New Roman" w:hAnsi="Times New Roman"/>
          <w:i/>
          <w:iCs/>
          <w:sz w:val="20"/>
        </w:rPr>
        <w:t>Philipp Reihlen</w:t>
      </w:r>
      <w:r>
        <w:rPr>
          <w:rFonts w:ascii="Times New Roman" w:hAnsi="Times New Roman"/>
          <w:sz w:val="20"/>
        </w:rPr>
        <w:t>] (Ķelne);</w:t>
      </w:r>
    </w:p>
    <w:p w14:paraId="4B5A4B67" w14:textId="397B5B7C" w:rsidR="00662BA8" w:rsidRPr="00662BA8" w:rsidRDefault="00662BA8" w:rsidP="00662BA8">
      <w:pPr>
        <w:pStyle w:val="BodyText"/>
        <w:tabs>
          <w:tab w:val="left" w:pos="942"/>
        </w:tabs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0"/>
        </w:rPr>
        <w:t>10. Marsials Sožī [</w:t>
      </w:r>
      <w:r>
        <w:rPr>
          <w:rFonts w:ascii="Times New Roman" w:hAnsi="Times New Roman"/>
          <w:i/>
          <w:iCs/>
          <w:sz w:val="20"/>
        </w:rPr>
        <w:t>Martial Saugy</w:t>
      </w:r>
      <w:r>
        <w:rPr>
          <w:rFonts w:ascii="Times New Roman" w:hAnsi="Times New Roman"/>
          <w:sz w:val="20"/>
        </w:rPr>
        <w:t>] (Lozanna).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55F7D" w14:textId="77777777" w:rsidR="00EF52DF" w:rsidRPr="00EF52DF" w:rsidRDefault="00EF52DF" w:rsidP="00EF52DF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7ADD2429" w14:textId="59D6728D" w:rsidR="00EF52DF" w:rsidRPr="00EF52DF" w:rsidRDefault="00EF52DF" w:rsidP="00EF52DF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EF52DF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10C12C5D" w14:textId="77777777" w:rsidR="00EF52DF" w:rsidRPr="00EF52DF" w:rsidRDefault="00EF52DF" w:rsidP="00EF52DF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22329" w14:textId="77777777" w:rsidR="00EF52DF" w:rsidRPr="00EF52DF" w:rsidRDefault="00EF52DF" w:rsidP="00EF52DF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3FFB8662" w14:textId="77777777" w:rsidR="00EF52DF" w:rsidRPr="00EF52DF" w:rsidRDefault="00EF52DF" w:rsidP="00EF52DF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AB1"/>
    <w:multiLevelType w:val="hybridMultilevel"/>
    <w:tmpl w:val="99A4A098"/>
    <w:lvl w:ilvl="0" w:tplc="5EF2DC8C">
      <w:start w:val="1"/>
      <w:numFmt w:val="bullet"/>
      <w:lvlText w:val=""/>
      <w:lvlJc w:val="left"/>
      <w:pPr>
        <w:ind w:left="649" w:hanging="286"/>
      </w:pPr>
      <w:rPr>
        <w:rFonts w:ascii="Symbol" w:eastAsia="Symbol" w:hAnsi="Symbol" w:hint="default"/>
        <w:sz w:val="24"/>
        <w:szCs w:val="24"/>
      </w:rPr>
    </w:lvl>
    <w:lvl w:ilvl="1" w:tplc="6146256A">
      <w:start w:val="1"/>
      <w:numFmt w:val="bullet"/>
      <w:lvlText w:val="•"/>
      <w:lvlJc w:val="left"/>
      <w:pPr>
        <w:ind w:left="1510" w:hanging="286"/>
      </w:pPr>
      <w:rPr>
        <w:rFonts w:hint="default"/>
      </w:rPr>
    </w:lvl>
    <w:lvl w:ilvl="2" w:tplc="DBB8DE74">
      <w:start w:val="1"/>
      <w:numFmt w:val="bullet"/>
      <w:lvlText w:val="•"/>
      <w:lvlJc w:val="left"/>
      <w:pPr>
        <w:ind w:left="2371" w:hanging="286"/>
      </w:pPr>
      <w:rPr>
        <w:rFonts w:hint="default"/>
      </w:rPr>
    </w:lvl>
    <w:lvl w:ilvl="3" w:tplc="9E3A9950">
      <w:start w:val="1"/>
      <w:numFmt w:val="bullet"/>
      <w:lvlText w:val="•"/>
      <w:lvlJc w:val="left"/>
      <w:pPr>
        <w:ind w:left="3232" w:hanging="286"/>
      </w:pPr>
      <w:rPr>
        <w:rFonts w:hint="default"/>
      </w:rPr>
    </w:lvl>
    <w:lvl w:ilvl="4" w:tplc="07360A24">
      <w:start w:val="1"/>
      <w:numFmt w:val="bullet"/>
      <w:lvlText w:val="•"/>
      <w:lvlJc w:val="left"/>
      <w:pPr>
        <w:ind w:left="4093" w:hanging="286"/>
      </w:pPr>
      <w:rPr>
        <w:rFonts w:hint="default"/>
      </w:rPr>
    </w:lvl>
    <w:lvl w:ilvl="5" w:tplc="578E6ED8">
      <w:start w:val="1"/>
      <w:numFmt w:val="bullet"/>
      <w:lvlText w:val="•"/>
      <w:lvlJc w:val="left"/>
      <w:pPr>
        <w:ind w:left="4954" w:hanging="286"/>
      </w:pPr>
      <w:rPr>
        <w:rFonts w:hint="default"/>
      </w:rPr>
    </w:lvl>
    <w:lvl w:ilvl="6" w:tplc="DE26D744">
      <w:start w:val="1"/>
      <w:numFmt w:val="bullet"/>
      <w:lvlText w:val="•"/>
      <w:lvlJc w:val="left"/>
      <w:pPr>
        <w:ind w:left="5815" w:hanging="286"/>
      </w:pPr>
      <w:rPr>
        <w:rFonts w:hint="default"/>
      </w:rPr>
    </w:lvl>
    <w:lvl w:ilvl="7" w:tplc="EC68F0E6">
      <w:start w:val="1"/>
      <w:numFmt w:val="bullet"/>
      <w:lvlText w:val="•"/>
      <w:lvlJc w:val="left"/>
      <w:pPr>
        <w:ind w:left="6676" w:hanging="286"/>
      </w:pPr>
      <w:rPr>
        <w:rFonts w:hint="default"/>
      </w:rPr>
    </w:lvl>
    <w:lvl w:ilvl="8" w:tplc="67547F80">
      <w:start w:val="1"/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" w15:restartNumberingAfterBreak="0">
    <w:nsid w:val="01E60184"/>
    <w:multiLevelType w:val="hybridMultilevel"/>
    <w:tmpl w:val="A8D4504A"/>
    <w:lvl w:ilvl="0" w:tplc="BE1CCA12">
      <w:start w:val="6"/>
      <w:numFmt w:val="decimal"/>
      <w:lvlText w:val="%1"/>
      <w:lvlJc w:val="left"/>
      <w:pPr>
        <w:ind w:left="723" w:hanging="502"/>
      </w:pPr>
      <w:rPr>
        <w:rFonts w:hint="default"/>
      </w:rPr>
    </w:lvl>
    <w:lvl w:ilvl="1" w:tplc="B2201284">
      <w:start w:val="1"/>
      <w:numFmt w:val="decimal"/>
      <w:lvlText w:val="%1.%2"/>
      <w:lvlJc w:val="left"/>
      <w:pPr>
        <w:ind w:left="723" w:hanging="502"/>
      </w:pPr>
      <w:rPr>
        <w:rFonts w:ascii="Verdana" w:eastAsia="Verdana" w:hAnsi="Verdana" w:hint="default"/>
        <w:b/>
        <w:bCs/>
        <w:spacing w:val="-3"/>
        <w:sz w:val="24"/>
        <w:szCs w:val="24"/>
      </w:rPr>
    </w:lvl>
    <w:lvl w:ilvl="2" w:tplc="CC72D336">
      <w:start w:val="1"/>
      <w:numFmt w:val="decimal"/>
      <w:lvlText w:val="%3."/>
      <w:lvlJc w:val="left"/>
      <w:pPr>
        <w:ind w:left="942" w:hanging="360"/>
      </w:pPr>
      <w:rPr>
        <w:rFonts w:ascii="Verdana" w:eastAsia="Verdana" w:hAnsi="Verdana" w:hint="default"/>
        <w:spacing w:val="-2"/>
        <w:sz w:val="22"/>
        <w:szCs w:val="22"/>
      </w:rPr>
    </w:lvl>
    <w:lvl w:ilvl="3" w:tplc="774C1462">
      <w:start w:val="1"/>
      <w:numFmt w:val="bullet"/>
      <w:lvlText w:val="•"/>
      <w:lvlJc w:val="left"/>
      <w:pPr>
        <w:ind w:left="2790" w:hanging="360"/>
      </w:pPr>
      <w:rPr>
        <w:rFonts w:hint="default"/>
      </w:rPr>
    </w:lvl>
    <w:lvl w:ilvl="4" w:tplc="5194FF32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5" w:tplc="C7B04EDC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6" w:tplc="DFB82A9A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E08AA834">
      <w:start w:val="1"/>
      <w:numFmt w:val="bullet"/>
      <w:lvlText w:val="•"/>
      <w:lvlJc w:val="left"/>
      <w:pPr>
        <w:ind w:left="6487" w:hanging="360"/>
      </w:pPr>
      <w:rPr>
        <w:rFonts w:hint="default"/>
      </w:rPr>
    </w:lvl>
    <w:lvl w:ilvl="8" w:tplc="53C2B9FA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048A5689"/>
    <w:multiLevelType w:val="hybridMultilevel"/>
    <w:tmpl w:val="39469590"/>
    <w:lvl w:ilvl="0" w:tplc="33081594">
      <w:start w:val="2"/>
      <w:numFmt w:val="decimal"/>
      <w:lvlText w:val="%1"/>
      <w:lvlJc w:val="left"/>
      <w:pPr>
        <w:ind w:left="1870" w:hanging="937"/>
      </w:pPr>
      <w:rPr>
        <w:rFonts w:hint="default"/>
      </w:rPr>
    </w:lvl>
    <w:lvl w:ilvl="1" w:tplc="43AA4172">
      <w:start w:val="1"/>
      <w:numFmt w:val="decimal"/>
      <w:lvlText w:val="%1.%2"/>
      <w:lvlJc w:val="left"/>
      <w:pPr>
        <w:ind w:left="1870" w:hanging="937"/>
      </w:pPr>
      <w:rPr>
        <w:rFonts w:hint="default"/>
      </w:rPr>
    </w:lvl>
    <w:lvl w:ilvl="2" w:tplc="21A2B0BA">
      <w:start w:val="2"/>
      <w:numFmt w:val="decimal"/>
      <w:lvlText w:val="%1.%2.%3"/>
      <w:lvlJc w:val="left"/>
      <w:pPr>
        <w:ind w:left="1870" w:hanging="937"/>
      </w:pPr>
      <w:rPr>
        <w:rFonts w:hint="default"/>
      </w:rPr>
    </w:lvl>
    <w:lvl w:ilvl="3" w:tplc="6F741D7E">
      <w:start w:val="1"/>
      <w:numFmt w:val="decimal"/>
      <w:lvlText w:val="%1.%2.%3.%4"/>
      <w:lvlJc w:val="left"/>
      <w:pPr>
        <w:ind w:left="1870" w:hanging="937"/>
      </w:pPr>
      <w:rPr>
        <w:rFonts w:ascii="Verdana" w:eastAsia="Verdana" w:hAnsi="Verdana" w:hint="default"/>
        <w:b/>
        <w:bCs/>
        <w:i/>
        <w:spacing w:val="-1"/>
        <w:sz w:val="22"/>
        <w:szCs w:val="22"/>
      </w:rPr>
    </w:lvl>
    <w:lvl w:ilvl="4" w:tplc="EE084A6E">
      <w:start w:val="1"/>
      <w:numFmt w:val="bullet"/>
      <w:lvlText w:val="•"/>
      <w:lvlJc w:val="left"/>
      <w:pPr>
        <w:ind w:left="4826" w:hanging="937"/>
      </w:pPr>
      <w:rPr>
        <w:rFonts w:hint="default"/>
      </w:rPr>
    </w:lvl>
    <w:lvl w:ilvl="5" w:tplc="BBB0DE16">
      <w:start w:val="1"/>
      <w:numFmt w:val="bullet"/>
      <w:lvlText w:val="•"/>
      <w:lvlJc w:val="left"/>
      <w:pPr>
        <w:ind w:left="5565" w:hanging="937"/>
      </w:pPr>
      <w:rPr>
        <w:rFonts w:hint="default"/>
      </w:rPr>
    </w:lvl>
    <w:lvl w:ilvl="6" w:tplc="908833C0">
      <w:start w:val="1"/>
      <w:numFmt w:val="bullet"/>
      <w:lvlText w:val="•"/>
      <w:lvlJc w:val="left"/>
      <w:pPr>
        <w:ind w:left="6304" w:hanging="937"/>
      </w:pPr>
      <w:rPr>
        <w:rFonts w:hint="default"/>
      </w:rPr>
    </w:lvl>
    <w:lvl w:ilvl="7" w:tplc="AC7A4264">
      <w:start w:val="1"/>
      <w:numFmt w:val="bullet"/>
      <w:lvlText w:val="•"/>
      <w:lvlJc w:val="left"/>
      <w:pPr>
        <w:ind w:left="7043" w:hanging="937"/>
      </w:pPr>
      <w:rPr>
        <w:rFonts w:hint="default"/>
      </w:rPr>
    </w:lvl>
    <w:lvl w:ilvl="8" w:tplc="672EA636">
      <w:start w:val="1"/>
      <w:numFmt w:val="bullet"/>
      <w:lvlText w:val="•"/>
      <w:lvlJc w:val="left"/>
      <w:pPr>
        <w:ind w:left="7782" w:hanging="937"/>
      </w:pPr>
      <w:rPr>
        <w:rFonts w:hint="default"/>
      </w:rPr>
    </w:lvl>
  </w:abstractNum>
  <w:abstractNum w:abstractNumId="3" w15:restartNumberingAfterBreak="0">
    <w:nsid w:val="070B6D53"/>
    <w:multiLevelType w:val="hybridMultilevel"/>
    <w:tmpl w:val="8A28C078"/>
    <w:lvl w:ilvl="0" w:tplc="35486A36">
      <w:start w:val="1"/>
      <w:numFmt w:val="bullet"/>
      <w:lvlText w:val=""/>
      <w:lvlJc w:val="left"/>
      <w:pPr>
        <w:ind w:left="762" w:hanging="358"/>
      </w:pPr>
      <w:rPr>
        <w:rFonts w:ascii="Symbol" w:eastAsia="Symbol" w:hAnsi="Symbol" w:hint="default"/>
        <w:sz w:val="22"/>
        <w:szCs w:val="22"/>
      </w:rPr>
    </w:lvl>
    <w:lvl w:ilvl="1" w:tplc="2E283CCA">
      <w:start w:val="1"/>
      <w:numFmt w:val="bullet"/>
      <w:lvlText w:val="•"/>
      <w:lvlJc w:val="left"/>
      <w:pPr>
        <w:ind w:left="1611" w:hanging="358"/>
      </w:pPr>
      <w:rPr>
        <w:rFonts w:hint="default"/>
      </w:rPr>
    </w:lvl>
    <w:lvl w:ilvl="2" w:tplc="857E9AD4">
      <w:start w:val="1"/>
      <w:numFmt w:val="bullet"/>
      <w:lvlText w:val="•"/>
      <w:lvlJc w:val="left"/>
      <w:pPr>
        <w:ind w:left="2461" w:hanging="358"/>
      </w:pPr>
      <w:rPr>
        <w:rFonts w:hint="default"/>
      </w:rPr>
    </w:lvl>
    <w:lvl w:ilvl="3" w:tplc="315624CE">
      <w:start w:val="1"/>
      <w:numFmt w:val="bullet"/>
      <w:lvlText w:val="•"/>
      <w:lvlJc w:val="left"/>
      <w:pPr>
        <w:ind w:left="3311" w:hanging="358"/>
      </w:pPr>
      <w:rPr>
        <w:rFonts w:hint="default"/>
      </w:rPr>
    </w:lvl>
    <w:lvl w:ilvl="4" w:tplc="37A4E728">
      <w:start w:val="1"/>
      <w:numFmt w:val="bullet"/>
      <w:lvlText w:val="•"/>
      <w:lvlJc w:val="left"/>
      <w:pPr>
        <w:ind w:left="4161" w:hanging="358"/>
      </w:pPr>
      <w:rPr>
        <w:rFonts w:hint="default"/>
      </w:rPr>
    </w:lvl>
    <w:lvl w:ilvl="5" w:tplc="9D5EB29C">
      <w:start w:val="1"/>
      <w:numFmt w:val="bullet"/>
      <w:lvlText w:val="•"/>
      <w:lvlJc w:val="left"/>
      <w:pPr>
        <w:ind w:left="5011" w:hanging="358"/>
      </w:pPr>
      <w:rPr>
        <w:rFonts w:hint="default"/>
      </w:rPr>
    </w:lvl>
    <w:lvl w:ilvl="6" w:tplc="9E4AF558">
      <w:start w:val="1"/>
      <w:numFmt w:val="bullet"/>
      <w:lvlText w:val="•"/>
      <w:lvlJc w:val="left"/>
      <w:pPr>
        <w:ind w:left="5860" w:hanging="358"/>
      </w:pPr>
      <w:rPr>
        <w:rFonts w:hint="default"/>
      </w:rPr>
    </w:lvl>
    <w:lvl w:ilvl="7" w:tplc="E05CAE8C">
      <w:start w:val="1"/>
      <w:numFmt w:val="bullet"/>
      <w:lvlText w:val="•"/>
      <w:lvlJc w:val="left"/>
      <w:pPr>
        <w:ind w:left="6710" w:hanging="358"/>
      </w:pPr>
      <w:rPr>
        <w:rFonts w:hint="default"/>
      </w:rPr>
    </w:lvl>
    <w:lvl w:ilvl="8" w:tplc="BDDC5AA4">
      <w:start w:val="1"/>
      <w:numFmt w:val="bullet"/>
      <w:lvlText w:val="•"/>
      <w:lvlJc w:val="left"/>
      <w:pPr>
        <w:ind w:left="7560" w:hanging="358"/>
      </w:pPr>
      <w:rPr>
        <w:rFonts w:hint="default"/>
      </w:rPr>
    </w:lvl>
  </w:abstractNum>
  <w:abstractNum w:abstractNumId="4" w15:restartNumberingAfterBreak="0">
    <w:nsid w:val="0B863E72"/>
    <w:multiLevelType w:val="hybridMultilevel"/>
    <w:tmpl w:val="CF68492C"/>
    <w:lvl w:ilvl="0" w:tplc="849E24EA">
      <w:start w:val="1"/>
      <w:numFmt w:val="bullet"/>
      <w:lvlText w:val=""/>
      <w:lvlJc w:val="left"/>
      <w:pPr>
        <w:ind w:left="762" w:hanging="269"/>
      </w:pPr>
      <w:rPr>
        <w:rFonts w:ascii="Symbol" w:eastAsia="Symbol" w:hAnsi="Symbol" w:hint="default"/>
        <w:sz w:val="22"/>
        <w:szCs w:val="22"/>
      </w:rPr>
    </w:lvl>
    <w:lvl w:ilvl="1" w:tplc="8FBCB876">
      <w:start w:val="1"/>
      <w:numFmt w:val="bullet"/>
      <w:lvlText w:val="•"/>
      <w:lvlJc w:val="left"/>
      <w:pPr>
        <w:ind w:left="1611" w:hanging="269"/>
      </w:pPr>
      <w:rPr>
        <w:rFonts w:hint="default"/>
      </w:rPr>
    </w:lvl>
    <w:lvl w:ilvl="2" w:tplc="2C94AB28">
      <w:start w:val="1"/>
      <w:numFmt w:val="bullet"/>
      <w:lvlText w:val="•"/>
      <w:lvlJc w:val="left"/>
      <w:pPr>
        <w:ind w:left="2461" w:hanging="269"/>
      </w:pPr>
      <w:rPr>
        <w:rFonts w:hint="default"/>
      </w:rPr>
    </w:lvl>
    <w:lvl w:ilvl="3" w:tplc="C4CAF48E">
      <w:start w:val="1"/>
      <w:numFmt w:val="bullet"/>
      <w:lvlText w:val="•"/>
      <w:lvlJc w:val="left"/>
      <w:pPr>
        <w:ind w:left="3311" w:hanging="269"/>
      </w:pPr>
      <w:rPr>
        <w:rFonts w:hint="default"/>
      </w:rPr>
    </w:lvl>
    <w:lvl w:ilvl="4" w:tplc="9DCC34A8">
      <w:start w:val="1"/>
      <w:numFmt w:val="bullet"/>
      <w:lvlText w:val="•"/>
      <w:lvlJc w:val="left"/>
      <w:pPr>
        <w:ind w:left="4161" w:hanging="269"/>
      </w:pPr>
      <w:rPr>
        <w:rFonts w:hint="default"/>
      </w:rPr>
    </w:lvl>
    <w:lvl w:ilvl="5" w:tplc="878CACAE">
      <w:start w:val="1"/>
      <w:numFmt w:val="bullet"/>
      <w:lvlText w:val="•"/>
      <w:lvlJc w:val="left"/>
      <w:pPr>
        <w:ind w:left="5011" w:hanging="269"/>
      </w:pPr>
      <w:rPr>
        <w:rFonts w:hint="default"/>
      </w:rPr>
    </w:lvl>
    <w:lvl w:ilvl="6" w:tplc="2E7827E4">
      <w:start w:val="1"/>
      <w:numFmt w:val="bullet"/>
      <w:lvlText w:val="•"/>
      <w:lvlJc w:val="left"/>
      <w:pPr>
        <w:ind w:left="5860" w:hanging="269"/>
      </w:pPr>
      <w:rPr>
        <w:rFonts w:hint="default"/>
      </w:rPr>
    </w:lvl>
    <w:lvl w:ilvl="7" w:tplc="E3E67B60">
      <w:start w:val="1"/>
      <w:numFmt w:val="bullet"/>
      <w:lvlText w:val="•"/>
      <w:lvlJc w:val="left"/>
      <w:pPr>
        <w:ind w:left="6710" w:hanging="269"/>
      </w:pPr>
      <w:rPr>
        <w:rFonts w:hint="default"/>
      </w:rPr>
    </w:lvl>
    <w:lvl w:ilvl="8" w:tplc="7474FABA">
      <w:start w:val="1"/>
      <w:numFmt w:val="bullet"/>
      <w:lvlText w:val="•"/>
      <w:lvlJc w:val="left"/>
      <w:pPr>
        <w:ind w:left="7560" w:hanging="269"/>
      </w:pPr>
      <w:rPr>
        <w:rFonts w:hint="default"/>
      </w:rPr>
    </w:lvl>
  </w:abstractNum>
  <w:abstractNum w:abstractNumId="5" w15:restartNumberingAfterBreak="0">
    <w:nsid w:val="1740204C"/>
    <w:multiLevelType w:val="hybridMultilevel"/>
    <w:tmpl w:val="6BB6B5AA"/>
    <w:lvl w:ilvl="0" w:tplc="B372AA22">
      <w:start w:val="1"/>
      <w:numFmt w:val="bullet"/>
      <w:lvlText w:val=""/>
      <w:lvlJc w:val="left"/>
      <w:pPr>
        <w:ind w:left="934" w:hanging="356"/>
      </w:pPr>
      <w:rPr>
        <w:rFonts w:ascii="Symbol" w:eastAsia="Symbol" w:hAnsi="Symbol" w:hint="default"/>
        <w:sz w:val="24"/>
        <w:szCs w:val="24"/>
      </w:rPr>
    </w:lvl>
    <w:lvl w:ilvl="1" w:tplc="5BECC964">
      <w:start w:val="1"/>
      <w:numFmt w:val="bullet"/>
      <w:lvlText w:val="•"/>
      <w:lvlJc w:val="left"/>
      <w:pPr>
        <w:ind w:left="1767" w:hanging="356"/>
      </w:pPr>
      <w:rPr>
        <w:rFonts w:hint="default"/>
      </w:rPr>
    </w:lvl>
    <w:lvl w:ilvl="2" w:tplc="A15A6E90">
      <w:start w:val="1"/>
      <w:numFmt w:val="bullet"/>
      <w:lvlText w:val="•"/>
      <w:lvlJc w:val="left"/>
      <w:pPr>
        <w:ind w:left="2599" w:hanging="356"/>
      </w:pPr>
      <w:rPr>
        <w:rFonts w:hint="default"/>
      </w:rPr>
    </w:lvl>
    <w:lvl w:ilvl="3" w:tplc="F2C4C8DA">
      <w:start w:val="1"/>
      <w:numFmt w:val="bullet"/>
      <w:lvlText w:val="•"/>
      <w:lvlJc w:val="left"/>
      <w:pPr>
        <w:ind w:left="3432" w:hanging="356"/>
      </w:pPr>
      <w:rPr>
        <w:rFonts w:hint="default"/>
      </w:rPr>
    </w:lvl>
    <w:lvl w:ilvl="4" w:tplc="E2F09046">
      <w:start w:val="1"/>
      <w:numFmt w:val="bullet"/>
      <w:lvlText w:val="•"/>
      <w:lvlJc w:val="left"/>
      <w:pPr>
        <w:ind w:left="4264" w:hanging="356"/>
      </w:pPr>
      <w:rPr>
        <w:rFonts w:hint="default"/>
      </w:rPr>
    </w:lvl>
    <w:lvl w:ilvl="5" w:tplc="48A2C660">
      <w:start w:val="1"/>
      <w:numFmt w:val="bullet"/>
      <w:lvlText w:val="•"/>
      <w:lvlJc w:val="left"/>
      <w:pPr>
        <w:ind w:left="5097" w:hanging="356"/>
      </w:pPr>
      <w:rPr>
        <w:rFonts w:hint="default"/>
      </w:rPr>
    </w:lvl>
    <w:lvl w:ilvl="6" w:tplc="CE809FEE">
      <w:start w:val="1"/>
      <w:numFmt w:val="bullet"/>
      <w:lvlText w:val="•"/>
      <w:lvlJc w:val="left"/>
      <w:pPr>
        <w:ind w:left="5929" w:hanging="356"/>
      </w:pPr>
      <w:rPr>
        <w:rFonts w:hint="default"/>
      </w:rPr>
    </w:lvl>
    <w:lvl w:ilvl="7" w:tplc="F7A88C5A">
      <w:start w:val="1"/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03645E6C">
      <w:start w:val="1"/>
      <w:numFmt w:val="bullet"/>
      <w:lvlText w:val="•"/>
      <w:lvlJc w:val="left"/>
      <w:pPr>
        <w:ind w:left="7594" w:hanging="356"/>
      </w:pPr>
      <w:rPr>
        <w:rFonts w:hint="default"/>
      </w:rPr>
    </w:lvl>
  </w:abstractNum>
  <w:abstractNum w:abstractNumId="6" w15:restartNumberingAfterBreak="0">
    <w:nsid w:val="1D52125C"/>
    <w:multiLevelType w:val="hybridMultilevel"/>
    <w:tmpl w:val="0AB631A2"/>
    <w:lvl w:ilvl="0" w:tplc="90929AFC">
      <w:start w:val="4"/>
      <w:numFmt w:val="decimal"/>
      <w:lvlText w:val="%1"/>
      <w:lvlJc w:val="left"/>
      <w:pPr>
        <w:ind w:left="1880" w:hanging="939"/>
      </w:pPr>
      <w:rPr>
        <w:rFonts w:hint="default"/>
      </w:rPr>
    </w:lvl>
    <w:lvl w:ilvl="1" w:tplc="628C0336">
      <w:start w:val="2"/>
      <w:numFmt w:val="decimal"/>
      <w:lvlText w:val="%1.%2"/>
      <w:lvlJc w:val="left"/>
      <w:pPr>
        <w:ind w:left="1880" w:hanging="939"/>
      </w:pPr>
      <w:rPr>
        <w:rFonts w:hint="default"/>
      </w:rPr>
    </w:lvl>
    <w:lvl w:ilvl="2" w:tplc="8EE4304E">
      <w:start w:val="1"/>
      <w:numFmt w:val="decimal"/>
      <w:lvlText w:val="%1.%2.%3"/>
      <w:lvlJc w:val="left"/>
      <w:pPr>
        <w:ind w:left="1880" w:hanging="939"/>
      </w:pPr>
      <w:rPr>
        <w:rFonts w:hint="default"/>
      </w:rPr>
    </w:lvl>
    <w:lvl w:ilvl="3" w:tplc="6B7E1B44">
      <w:start w:val="1"/>
      <w:numFmt w:val="decimal"/>
      <w:lvlText w:val="%1.%2.%3.%4"/>
      <w:lvlJc w:val="left"/>
      <w:pPr>
        <w:ind w:left="1880" w:hanging="939"/>
      </w:pPr>
      <w:rPr>
        <w:rFonts w:ascii="Verdana" w:eastAsia="Verdana" w:hAnsi="Verdana" w:hint="default"/>
        <w:b/>
        <w:bCs/>
        <w:i/>
        <w:spacing w:val="-1"/>
        <w:sz w:val="22"/>
        <w:szCs w:val="22"/>
      </w:rPr>
    </w:lvl>
    <w:lvl w:ilvl="4" w:tplc="6E54FE74">
      <w:start w:val="1"/>
      <w:numFmt w:val="bullet"/>
      <w:lvlText w:val="•"/>
      <w:lvlJc w:val="left"/>
      <w:pPr>
        <w:ind w:left="4832" w:hanging="939"/>
      </w:pPr>
      <w:rPr>
        <w:rFonts w:hint="default"/>
      </w:rPr>
    </w:lvl>
    <w:lvl w:ilvl="5" w:tplc="731EB4D2">
      <w:start w:val="1"/>
      <w:numFmt w:val="bullet"/>
      <w:lvlText w:val="•"/>
      <w:lvlJc w:val="left"/>
      <w:pPr>
        <w:ind w:left="5570" w:hanging="939"/>
      </w:pPr>
      <w:rPr>
        <w:rFonts w:hint="default"/>
      </w:rPr>
    </w:lvl>
    <w:lvl w:ilvl="6" w:tplc="4D52A8B2">
      <w:start w:val="1"/>
      <w:numFmt w:val="bullet"/>
      <w:lvlText w:val="•"/>
      <w:lvlJc w:val="left"/>
      <w:pPr>
        <w:ind w:left="6308" w:hanging="939"/>
      </w:pPr>
      <w:rPr>
        <w:rFonts w:hint="default"/>
      </w:rPr>
    </w:lvl>
    <w:lvl w:ilvl="7" w:tplc="5C48B4AA">
      <w:start w:val="1"/>
      <w:numFmt w:val="bullet"/>
      <w:lvlText w:val="•"/>
      <w:lvlJc w:val="left"/>
      <w:pPr>
        <w:ind w:left="7046" w:hanging="939"/>
      </w:pPr>
      <w:rPr>
        <w:rFonts w:hint="default"/>
      </w:rPr>
    </w:lvl>
    <w:lvl w:ilvl="8" w:tplc="6BDA155C">
      <w:start w:val="1"/>
      <w:numFmt w:val="bullet"/>
      <w:lvlText w:val="•"/>
      <w:lvlJc w:val="left"/>
      <w:pPr>
        <w:ind w:left="7784" w:hanging="939"/>
      </w:pPr>
      <w:rPr>
        <w:rFonts w:hint="default"/>
      </w:rPr>
    </w:lvl>
  </w:abstractNum>
  <w:abstractNum w:abstractNumId="7" w15:restartNumberingAfterBreak="0">
    <w:nsid w:val="1D9C1ACE"/>
    <w:multiLevelType w:val="hybridMultilevel"/>
    <w:tmpl w:val="EA66F58C"/>
    <w:lvl w:ilvl="0" w:tplc="B60A17F0">
      <w:start w:val="6"/>
      <w:numFmt w:val="decimal"/>
      <w:lvlText w:val="%1"/>
      <w:lvlJc w:val="left"/>
      <w:pPr>
        <w:ind w:left="222" w:hanging="142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A7201E44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0FCB6F2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F30235BC">
      <w:start w:val="1"/>
      <w:numFmt w:val="bullet"/>
      <w:lvlText w:val="•"/>
      <w:lvlJc w:val="left"/>
      <w:pPr>
        <w:ind w:left="2790" w:hanging="360"/>
      </w:pPr>
      <w:rPr>
        <w:rFonts w:hint="default"/>
      </w:rPr>
    </w:lvl>
    <w:lvl w:ilvl="4" w:tplc="FB12ACBC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5" w:tplc="48FC7D5C">
      <w:start w:val="1"/>
      <w:numFmt w:val="bullet"/>
      <w:lvlText w:val="•"/>
      <w:lvlJc w:val="left"/>
      <w:pPr>
        <w:ind w:left="4638" w:hanging="360"/>
      </w:pPr>
      <w:rPr>
        <w:rFonts w:hint="default"/>
      </w:rPr>
    </w:lvl>
    <w:lvl w:ilvl="6" w:tplc="A58EDA88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399ED7E6">
      <w:start w:val="1"/>
      <w:numFmt w:val="bullet"/>
      <w:lvlText w:val="•"/>
      <w:lvlJc w:val="left"/>
      <w:pPr>
        <w:ind w:left="6487" w:hanging="360"/>
      </w:pPr>
      <w:rPr>
        <w:rFonts w:hint="default"/>
      </w:rPr>
    </w:lvl>
    <w:lvl w:ilvl="8" w:tplc="478E602C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1FD84671"/>
    <w:multiLevelType w:val="hybridMultilevel"/>
    <w:tmpl w:val="24B23C1A"/>
    <w:lvl w:ilvl="0" w:tplc="44CCA6EA">
      <w:start w:val="3"/>
      <w:numFmt w:val="decimal"/>
      <w:lvlText w:val="%1"/>
      <w:lvlJc w:val="left"/>
      <w:pPr>
        <w:ind w:left="690" w:hanging="468"/>
      </w:pPr>
      <w:rPr>
        <w:rFonts w:hint="default"/>
      </w:rPr>
    </w:lvl>
    <w:lvl w:ilvl="1" w:tplc="E56E5754">
      <w:start w:val="1"/>
      <w:numFmt w:val="decimal"/>
      <w:lvlText w:val="%1.%2"/>
      <w:lvlJc w:val="left"/>
      <w:pPr>
        <w:ind w:left="690" w:hanging="468"/>
      </w:pPr>
      <w:rPr>
        <w:rFonts w:ascii="Verdana" w:eastAsia="Verdana" w:hAnsi="Verdana" w:hint="default"/>
        <w:spacing w:val="-2"/>
        <w:w w:val="99"/>
        <w:sz w:val="24"/>
        <w:szCs w:val="24"/>
      </w:rPr>
    </w:lvl>
    <w:lvl w:ilvl="2" w:tplc="9A983882">
      <w:start w:val="1"/>
      <w:numFmt w:val="bullet"/>
      <w:lvlText w:val=""/>
      <w:lvlJc w:val="left"/>
      <w:pPr>
        <w:ind w:left="649" w:hanging="286"/>
      </w:pPr>
      <w:rPr>
        <w:rFonts w:ascii="Symbol" w:eastAsia="Symbol" w:hAnsi="Symbol" w:hint="default"/>
        <w:sz w:val="22"/>
        <w:szCs w:val="22"/>
      </w:rPr>
    </w:lvl>
    <w:lvl w:ilvl="3" w:tplc="5D7CB83E">
      <w:start w:val="1"/>
      <w:numFmt w:val="bullet"/>
      <w:lvlText w:val="•"/>
      <w:lvlJc w:val="left"/>
      <w:pPr>
        <w:ind w:left="2584" w:hanging="286"/>
      </w:pPr>
      <w:rPr>
        <w:rFonts w:hint="default"/>
      </w:rPr>
    </w:lvl>
    <w:lvl w:ilvl="4" w:tplc="C26EB306">
      <w:start w:val="1"/>
      <w:numFmt w:val="bullet"/>
      <w:lvlText w:val="•"/>
      <w:lvlJc w:val="left"/>
      <w:pPr>
        <w:ind w:left="3538" w:hanging="286"/>
      </w:pPr>
      <w:rPr>
        <w:rFonts w:hint="default"/>
      </w:rPr>
    </w:lvl>
    <w:lvl w:ilvl="5" w:tplc="7D34D512">
      <w:start w:val="1"/>
      <w:numFmt w:val="bullet"/>
      <w:lvlText w:val="•"/>
      <w:lvlJc w:val="left"/>
      <w:pPr>
        <w:ind w:left="4491" w:hanging="286"/>
      </w:pPr>
      <w:rPr>
        <w:rFonts w:hint="default"/>
      </w:rPr>
    </w:lvl>
    <w:lvl w:ilvl="6" w:tplc="BC8CFC64">
      <w:start w:val="1"/>
      <w:numFmt w:val="bullet"/>
      <w:lvlText w:val="•"/>
      <w:lvlJc w:val="left"/>
      <w:pPr>
        <w:ind w:left="5445" w:hanging="286"/>
      </w:pPr>
      <w:rPr>
        <w:rFonts w:hint="default"/>
      </w:rPr>
    </w:lvl>
    <w:lvl w:ilvl="7" w:tplc="0F8606F8">
      <w:start w:val="1"/>
      <w:numFmt w:val="bullet"/>
      <w:lvlText w:val="•"/>
      <w:lvlJc w:val="left"/>
      <w:pPr>
        <w:ind w:left="6399" w:hanging="286"/>
      </w:pPr>
      <w:rPr>
        <w:rFonts w:hint="default"/>
      </w:rPr>
    </w:lvl>
    <w:lvl w:ilvl="8" w:tplc="9894D5CA">
      <w:start w:val="1"/>
      <w:numFmt w:val="bullet"/>
      <w:lvlText w:val="•"/>
      <w:lvlJc w:val="left"/>
      <w:pPr>
        <w:ind w:left="7352" w:hanging="286"/>
      </w:pPr>
      <w:rPr>
        <w:rFonts w:hint="default"/>
      </w:rPr>
    </w:lvl>
  </w:abstractNum>
  <w:abstractNum w:abstractNumId="9" w15:restartNumberingAfterBreak="0">
    <w:nsid w:val="20A17329"/>
    <w:multiLevelType w:val="multilevel"/>
    <w:tmpl w:val="79D8C07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283A6BE8"/>
    <w:multiLevelType w:val="hybridMultilevel"/>
    <w:tmpl w:val="EF4235EA"/>
    <w:lvl w:ilvl="0" w:tplc="E436751A">
      <w:start w:val="1"/>
      <w:numFmt w:val="bullet"/>
      <w:lvlText w:val=""/>
      <w:lvlJc w:val="left"/>
      <w:pPr>
        <w:ind w:left="934" w:hanging="356"/>
      </w:pPr>
      <w:rPr>
        <w:rFonts w:ascii="Symbol" w:eastAsia="Symbol" w:hAnsi="Symbol" w:hint="default"/>
        <w:sz w:val="22"/>
        <w:szCs w:val="22"/>
      </w:rPr>
    </w:lvl>
    <w:lvl w:ilvl="1" w:tplc="C13CB99E">
      <w:start w:val="1"/>
      <w:numFmt w:val="bullet"/>
      <w:lvlText w:val="•"/>
      <w:lvlJc w:val="left"/>
      <w:pPr>
        <w:ind w:left="1767" w:hanging="356"/>
      </w:pPr>
      <w:rPr>
        <w:rFonts w:hint="default"/>
      </w:rPr>
    </w:lvl>
    <w:lvl w:ilvl="2" w:tplc="63EAA1D8">
      <w:start w:val="1"/>
      <w:numFmt w:val="bullet"/>
      <w:lvlText w:val="•"/>
      <w:lvlJc w:val="left"/>
      <w:pPr>
        <w:ind w:left="2599" w:hanging="356"/>
      </w:pPr>
      <w:rPr>
        <w:rFonts w:hint="default"/>
      </w:rPr>
    </w:lvl>
    <w:lvl w:ilvl="3" w:tplc="64EAEC2C">
      <w:start w:val="1"/>
      <w:numFmt w:val="bullet"/>
      <w:lvlText w:val="•"/>
      <w:lvlJc w:val="left"/>
      <w:pPr>
        <w:ind w:left="3432" w:hanging="356"/>
      </w:pPr>
      <w:rPr>
        <w:rFonts w:hint="default"/>
      </w:rPr>
    </w:lvl>
    <w:lvl w:ilvl="4" w:tplc="F3466952">
      <w:start w:val="1"/>
      <w:numFmt w:val="bullet"/>
      <w:lvlText w:val="•"/>
      <w:lvlJc w:val="left"/>
      <w:pPr>
        <w:ind w:left="4264" w:hanging="356"/>
      </w:pPr>
      <w:rPr>
        <w:rFonts w:hint="default"/>
      </w:rPr>
    </w:lvl>
    <w:lvl w:ilvl="5" w:tplc="D09C768E">
      <w:start w:val="1"/>
      <w:numFmt w:val="bullet"/>
      <w:lvlText w:val="•"/>
      <w:lvlJc w:val="left"/>
      <w:pPr>
        <w:ind w:left="5097" w:hanging="356"/>
      </w:pPr>
      <w:rPr>
        <w:rFonts w:hint="default"/>
      </w:rPr>
    </w:lvl>
    <w:lvl w:ilvl="6" w:tplc="C6F4119E">
      <w:start w:val="1"/>
      <w:numFmt w:val="bullet"/>
      <w:lvlText w:val="•"/>
      <w:lvlJc w:val="left"/>
      <w:pPr>
        <w:ind w:left="5929" w:hanging="356"/>
      </w:pPr>
      <w:rPr>
        <w:rFonts w:hint="default"/>
      </w:rPr>
    </w:lvl>
    <w:lvl w:ilvl="7" w:tplc="3F225C24">
      <w:start w:val="1"/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4F06F82E">
      <w:start w:val="1"/>
      <w:numFmt w:val="bullet"/>
      <w:lvlText w:val="•"/>
      <w:lvlJc w:val="left"/>
      <w:pPr>
        <w:ind w:left="7594" w:hanging="356"/>
      </w:pPr>
      <w:rPr>
        <w:rFonts w:hint="default"/>
      </w:rPr>
    </w:lvl>
  </w:abstractNum>
  <w:abstractNum w:abstractNumId="11" w15:restartNumberingAfterBreak="0">
    <w:nsid w:val="2B1E4FC2"/>
    <w:multiLevelType w:val="hybridMultilevel"/>
    <w:tmpl w:val="38021C0E"/>
    <w:lvl w:ilvl="0" w:tplc="B5EE247A">
      <w:start w:val="2"/>
      <w:numFmt w:val="decimal"/>
      <w:lvlText w:val="%1"/>
      <w:lvlJc w:val="left"/>
      <w:pPr>
        <w:ind w:left="690" w:hanging="468"/>
      </w:pPr>
      <w:rPr>
        <w:rFonts w:hint="default"/>
      </w:rPr>
    </w:lvl>
    <w:lvl w:ilvl="1" w:tplc="A836AB92">
      <w:start w:val="2"/>
      <w:numFmt w:val="decimal"/>
      <w:lvlText w:val="%1.%2"/>
      <w:lvlJc w:val="left"/>
      <w:pPr>
        <w:ind w:left="690" w:hanging="468"/>
      </w:pPr>
      <w:rPr>
        <w:rFonts w:ascii="Verdana" w:eastAsia="Verdana" w:hAnsi="Verdana" w:hint="default"/>
        <w:spacing w:val="-2"/>
        <w:w w:val="99"/>
        <w:sz w:val="24"/>
        <w:szCs w:val="24"/>
      </w:rPr>
    </w:lvl>
    <w:lvl w:ilvl="2" w:tplc="8348F0A0">
      <w:start w:val="1"/>
      <w:numFmt w:val="bullet"/>
      <w:lvlText w:val=""/>
      <w:lvlJc w:val="left"/>
      <w:pPr>
        <w:ind w:left="649" w:hanging="286"/>
      </w:pPr>
      <w:rPr>
        <w:rFonts w:ascii="Symbol" w:eastAsia="Symbol" w:hAnsi="Symbol" w:hint="default"/>
        <w:sz w:val="22"/>
        <w:szCs w:val="22"/>
      </w:rPr>
    </w:lvl>
    <w:lvl w:ilvl="3" w:tplc="ACEA2142">
      <w:start w:val="1"/>
      <w:numFmt w:val="bullet"/>
      <w:lvlText w:val="•"/>
      <w:lvlJc w:val="left"/>
      <w:pPr>
        <w:ind w:left="2594" w:hanging="286"/>
      </w:pPr>
      <w:rPr>
        <w:rFonts w:hint="default"/>
      </w:rPr>
    </w:lvl>
    <w:lvl w:ilvl="4" w:tplc="50A6677A">
      <w:start w:val="1"/>
      <w:numFmt w:val="bullet"/>
      <w:lvlText w:val="•"/>
      <w:lvlJc w:val="left"/>
      <w:pPr>
        <w:ind w:left="3546" w:hanging="286"/>
      </w:pPr>
      <w:rPr>
        <w:rFonts w:hint="default"/>
      </w:rPr>
    </w:lvl>
    <w:lvl w:ilvl="5" w:tplc="093A45AC">
      <w:start w:val="1"/>
      <w:numFmt w:val="bullet"/>
      <w:lvlText w:val="•"/>
      <w:lvlJc w:val="left"/>
      <w:pPr>
        <w:ind w:left="4498" w:hanging="286"/>
      </w:pPr>
      <w:rPr>
        <w:rFonts w:hint="default"/>
      </w:rPr>
    </w:lvl>
    <w:lvl w:ilvl="6" w:tplc="2B4C4F66">
      <w:start w:val="1"/>
      <w:numFmt w:val="bullet"/>
      <w:lvlText w:val="•"/>
      <w:lvlJc w:val="left"/>
      <w:pPr>
        <w:ind w:left="5451" w:hanging="286"/>
      </w:pPr>
      <w:rPr>
        <w:rFonts w:hint="default"/>
      </w:rPr>
    </w:lvl>
    <w:lvl w:ilvl="7" w:tplc="6D04A1F6">
      <w:start w:val="1"/>
      <w:numFmt w:val="bullet"/>
      <w:lvlText w:val="•"/>
      <w:lvlJc w:val="left"/>
      <w:pPr>
        <w:ind w:left="6403" w:hanging="286"/>
      </w:pPr>
      <w:rPr>
        <w:rFonts w:hint="default"/>
      </w:rPr>
    </w:lvl>
    <w:lvl w:ilvl="8" w:tplc="E0D62998">
      <w:start w:val="1"/>
      <w:numFmt w:val="bullet"/>
      <w:lvlText w:val="•"/>
      <w:lvlJc w:val="left"/>
      <w:pPr>
        <w:ind w:left="7355" w:hanging="286"/>
      </w:pPr>
      <w:rPr>
        <w:rFonts w:hint="default"/>
      </w:rPr>
    </w:lvl>
  </w:abstractNum>
  <w:abstractNum w:abstractNumId="12" w15:restartNumberingAfterBreak="0">
    <w:nsid w:val="3B031311"/>
    <w:multiLevelType w:val="hybridMultilevel"/>
    <w:tmpl w:val="51604BD4"/>
    <w:lvl w:ilvl="0" w:tplc="9BDCF326">
      <w:start w:val="1"/>
      <w:numFmt w:val="bullet"/>
      <w:lvlText w:val=""/>
      <w:lvlJc w:val="left"/>
      <w:pPr>
        <w:ind w:left="934" w:hanging="356"/>
      </w:pPr>
      <w:rPr>
        <w:rFonts w:ascii="Symbol" w:eastAsia="Symbol" w:hAnsi="Symbol" w:hint="default"/>
        <w:sz w:val="22"/>
        <w:szCs w:val="22"/>
      </w:rPr>
    </w:lvl>
    <w:lvl w:ilvl="1" w:tplc="C0E6CFCE">
      <w:start w:val="1"/>
      <w:numFmt w:val="bullet"/>
      <w:lvlText w:val="•"/>
      <w:lvlJc w:val="left"/>
      <w:pPr>
        <w:ind w:left="1767" w:hanging="356"/>
      </w:pPr>
      <w:rPr>
        <w:rFonts w:hint="default"/>
      </w:rPr>
    </w:lvl>
    <w:lvl w:ilvl="2" w:tplc="AFF6FA5C">
      <w:start w:val="1"/>
      <w:numFmt w:val="bullet"/>
      <w:lvlText w:val="•"/>
      <w:lvlJc w:val="left"/>
      <w:pPr>
        <w:ind w:left="2599" w:hanging="356"/>
      </w:pPr>
      <w:rPr>
        <w:rFonts w:hint="default"/>
      </w:rPr>
    </w:lvl>
    <w:lvl w:ilvl="3" w:tplc="2F58C6E6">
      <w:start w:val="1"/>
      <w:numFmt w:val="bullet"/>
      <w:lvlText w:val="•"/>
      <w:lvlJc w:val="left"/>
      <w:pPr>
        <w:ind w:left="3432" w:hanging="356"/>
      </w:pPr>
      <w:rPr>
        <w:rFonts w:hint="default"/>
      </w:rPr>
    </w:lvl>
    <w:lvl w:ilvl="4" w:tplc="FC42F87E">
      <w:start w:val="1"/>
      <w:numFmt w:val="bullet"/>
      <w:lvlText w:val="•"/>
      <w:lvlJc w:val="left"/>
      <w:pPr>
        <w:ind w:left="4264" w:hanging="356"/>
      </w:pPr>
      <w:rPr>
        <w:rFonts w:hint="default"/>
      </w:rPr>
    </w:lvl>
    <w:lvl w:ilvl="5" w:tplc="9F3EA9E6">
      <w:start w:val="1"/>
      <w:numFmt w:val="bullet"/>
      <w:lvlText w:val="•"/>
      <w:lvlJc w:val="left"/>
      <w:pPr>
        <w:ind w:left="5097" w:hanging="356"/>
      </w:pPr>
      <w:rPr>
        <w:rFonts w:hint="default"/>
      </w:rPr>
    </w:lvl>
    <w:lvl w:ilvl="6" w:tplc="85AA3C02">
      <w:start w:val="1"/>
      <w:numFmt w:val="bullet"/>
      <w:lvlText w:val="•"/>
      <w:lvlJc w:val="left"/>
      <w:pPr>
        <w:ind w:left="5929" w:hanging="356"/>
      </w:pPr>
      <w:rPr>
        <w:rFonts w:hint="default"/>
      </w:rPr>
    </w:lvl>
    <w:lvl w:ilvl="7" w:tplc="645229B8">
      <w:start w:val="1"/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DB829122">
      <w:start w:val="1"/>
      <w:numFmt w:val="bullet"/>
      <w:lvlText w:val="•"/>
      <w:lvlJc w:val="left"/>
      <w:pPr>
        <w:ind w:left="7594" w:hanging="356"/>
      </w:pPr>
      <w:rPr>
        <w:rFonts w:hint="default"/>
      </w:rPr>
    </w:lvl>
  </w:abstractNum>
  <w:abstractNum w:abstractNumId="13" w15:restartNumberingAfterBreak="0">
    <w:nsid w:val="3ED367C6"/>
    <w:multiLevelType w:val="hybridMultilevel"/>
    <w:tmpl w:val="A8460D52"/>
    <w:lvl w:ilvl="0" w:tplc="62B08E36">
      <w:start w:val="1"/>
      <w:numFmt w:val="bullet"/>
      <w:lvlText w:val=""/>
      <w:lvlJc w:val="left"/>
      <w:pPr>
        <w:ind w:left="649" w:hanging="286"/>
      </w:pPr>
      <w:rPr>
        <w:rFonts w:ascii="Symbol" w:eastAsia="Symbol" w:hAnsi="Symbol" w:hint="default"/>
        <w:sz w:val="22"/>
        <w:szCs w:val="22"/>
      </w:rPr>
    </w:lvl>
    <w:lvl w:ilvl="1" w:tplc="33D83B3E">
      <w:start w:val="1"/>
      <w:numFmt w:val="bullet"/>
      <w:lvlText w:val="•"/>
      <w:lvlJc w:val="left"/>
      <w:pPr>
        <w:ind w:left="1510" w:hanging="286"/>
      </w:pPr>
      <w:rPr>
        <w:rFonts w:hint="default"/>
      </w:rPr>
    </w:lvl>
    <w:lvl w:ilvl="2" w:tplc="137CBB70">
      <w:start w:val="1"/>
      <w:numFmt w:val="bullet"/>
      <w:lvlText w:val="•"/>
      <w:lvlJc w:val="left"/>
      <w:pPr>
        <w:ind w:left="2371" w:hanging="286"/>
      </w:pPr>
      <w:rPr>
        <w:rFonts w:hint="default"/>
      </w:rPr>
    </w:lvl>
    <w:lvl w:ilvl="3" w:tplc="4AA4D712">
      <w:start w:val="1"/>
      <w:numFmt w:val="bullet"/>
      <w:lvlText w:val="•"/>
      <w:lvlJc w:val="left"/>
      <w:pPr>
        <w:ind w:left="3232" w:hanging="286"/>
      </w:pPr>
      <w:rPr>
        <w:rFonts w:hint="default"/>
      </w:rPr>
    </w:lvl>
    <w:lvl w:ilvl="4" w:tplc="54C2FB60">
      <w:start w:val="1"/>
      <w:numFmt w:val="bullet"/>
      <w:lvlText w:val="•"/>
      <w:lvlJc w:val="left"/>
      <w:pPr>
        <w:ind w:left="4093" w:hanging="286"/>
      </w:pPr>
      <w:rPr>
        <w:rFonts w:hint="default"/>
      </w:rPr>
    </w:lvl>
    <w:lvl w:ilvl="5" w:tplc="223810E6">
      <w:start w:val="1"/>
      <w:numFmt w:val="bullet"/>
      <w:lvlText w:val="•"/>
      <w:lvlJc w:val="left"/>
      <w:pPr>
        <w:ind w:left="4954" w:hanging="286"/>
      </w:pPr>
      <w:rPr>
        <w:rFonts w:hint="default"/>
      </w:rPr>
    </w:lvl>
    <w:lvl w:ilvl="6" w:tplc="875A230A">
      <w:start w:val="1"/>
      <w:numFmt w:val="bullet"/>
      <w:lvlText w:val="•"/>
      <w:lvlJc w:val="left"/>
      <w:pPr>
        <w:ind w:left="5815" w:hanging="286"/>
      </w:pPr>
      <w:rPr>
        <w:rFonts w:hint="default"/>
      </w:rPr>
    </w:lvl>
    <w:lvl w:ilvl="7" w:tplc="B9743D86">
      <w:start w:val="1"/>
      <w:numFmt w:val="bullet"/>
      <w:lvlText w:val="•"/>
      <w:lvlJc w:val="left"/>
      <w:pPr>
        <w:ind w:left="6676" w:hanging="286"/>
      </w:pPr>
      <w:rPr>
        <w:rFonts w:hint="default"/>
      </w:rPr>
    </w:lvl>
    <w:lvl w:ilvl="8" w:tplc="CEEA6E46">
      <w:start w:val="1"/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4" w15:restartNumberingAfterBreak="0">
    <w:nsid w:val="45F93734"/>
    <w:multiLevelType w:val="hybridMultilevel"/>
    <w:tmpl w:val="27CE842A"/>
    <w:lvl w:ilvl="0" w:tplc="D4B83E24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1" w:tplc="5FE68766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F356B83C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70725D9A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 w:tplc="7A5A2E6E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5" w:tplc="BBB20D68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AA9230B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E10AFCBC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60F2B490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5" w15:restartNumberingAfterBreak="0">
    <w:nsid w:val="4D6B3789"/>
    <w:multiLevelType w:val="hybridMultilevel"/>
    <w:tmpl w:val="8062C478"/>
    <w:lvl w:ilvl="0" w:tplc="AE70707E">
      <w:start w:val="1"/>
      <w:numFmt w:val="lowerLetter"/>
      <w:lvlText w:val="%1)"/>
      <w:lvlJc w:val="left"/>
      <w:pPr>
        <w:ind w:left="524" w:hanging="303"/>
      </w:pPr>
      <w:rPr>
        <w:rFonts w:ascii="Verdana" w:eastAsia="Verdana" w:hAnsi="Verdana" w:hint="default"/>
        <w:spacing w:val="-3"/>
        <w:sz w:val="22"/>
        <w:szCs w:val="22"/>
      </w:rPr>
    </w:lvl>
    <w:lvl w:ilvl="1" w:tplc="03841BF6">
      <w:start w:val="1"/>
      <w:numFmt w:val="bullet"/>
      <w:lvlText w:val=""/>
      <w:lvlJc w:val="left"/>
      <w:pPr>
        <w:ind w:left="762" w:hanging="358"/>
      </w:pPr>
      <w:rPr>
        <w:rFonts w:ascii="Symbol" w:eastAsia="Symbol" w:hAnsi="Symbol" w:hint="default"/>
        <w:sz w:val="22"/>
        <w:szCs w:val="22"/>
      </w:rPr>
    </w:lvl>
    <w:lvl w:ilvl="2" w:tplc="F2843C36">
      <w:start w:val="1"/>
      <w:numFmt w:val="bullet"/>
      <w:lvlText w:val="•"/>
      <w:lvlJc w:val="left"/>
      <w:pPr>
        <w:ind w:left="769" w:hanging="358"/>
      </w:pPr>
      <w:rPr>
        <w:rFonts w:hint="default"/>
      </w:rPr>
    </w:lvl>
    <w:lvl w:ilvl="3" w:tplc="35BCCE74">
      <w:start w:val="1"/>
      <w:numFmt w:val="bullet"/>
      <w:lvlText w:val="•"/>
      <w:lvlJc w:val="left"/>
      <w:pPr>
        <w:ind w:left="1830" w:hanging="358"/>
      </w:pPr>
      <w:rPr>
        <w:rFonts w:hint="default"/>
      </w:rPr>
    </w:lvl>
    <w:lvl w:ilvl="4" w:tplc="F2928B4A">
      <w:start w:val="1"/>
      <w:numFmt w:val="bullet"/>
      <w:lvlText w:val="•"/>
      <w:lvlJc w:val="left"/>
      <w:pPr>
        <w:ind w:left="2891" w:hanging="358"/>
      </w:pPr>
      <w:rPr>
        <w:rFonts w:hint="default"/>
      </w:rPr>
    </w:lvl>
    <w:lvl w:ilvl="5" w:tplc="0CEC0328">
      <w:start w:val="1"/>
      <w:numFmt w:val="bullet"/>
      <w:lvlText w:val="•"/>
      <w:lvlJc w:val="left"/>
      <w:pPr>
        <w:ind w:left="3953" w:hanging="358"/>
      </w:pPr>
      <w:rPr>
        <w:rFonts w:hint="default"/>
      </w:rPr>
    </w:lvl>
    <w:lvl w:ilvl="6" w:tplc="81BA235A">
      <w:start w:val="1"/>
      <w:numFmt w:val="bullet"/>
      <w:lvlText w:val="•"/>
      <w:lvlJc w:val="left"/>
      <w:pPr>
        <w:ind w:left="5014" w:hanging="358"/>
      </w:pPr>
      <w:rPr>
        <w:rFonts w:hint="default"/>
      </w:rPr>
    </w:lvl>
    <w:lvl w:ilvl="7" w:tplc="8E528B94">
      <w:start w:val="1"/>
      <w:numFmt w:val="bullet"/>
      <w:lvlText w:val="•"/>
      <w:lvlJc w:val="left"/>
      <w:pPr>
        <w:ind w:left="6075" w:hanging="358"/>
      </w:pPr>
      <w:rPr>
        <w:rFonts w:hint="default"/>
      </w:rPr>
    </w:lvl>
    <w:lvl w:ilvl="8" w:tplc="478AD21C">
      <w:start w:val="1"/>
      <w:numFmt w:val="bullet"/>
      <w:lvlText w:val="•"/>
      <w:lvlJc w:val="left"/>
      <w:pPr>
        <w:ind w:left="7137" w:hanging="358"/>
      </w:pPr>
      <w:rPr>
        <w:rFonts w:hint="default"/>
      </w:rPr>
    </w:lvl>
  </w:abstractNum>
  <w:abstractNum w:abstractNumId="16" w15:restartNumberingAfterBreak="0">
    <w:nsid w:val="611A62A1"/>
    <w:multiLevelType w:val="hybridMultilevel"/>
    <w:tmpl w:val="22163256"/>
    <w:lvl w:ilvl="0" w:tplc="79E4BF4A">
      <w:start w:val="4"/>
      <w:numFmt w:val="decimal"/>
      <w:lvlText w:val="%1"/>
      <w:lvlJc w:val="left"/>
      <w:pPr>
        <w:ind w:left="690" w:hanging="468"/>
      </w:pPr>
      <w:rPr>
        <w:rFonts w:hint="default"/>
      </w:rPr>
    </w:lvl>
    <w:lvl w:ilvl="1" w:tplc="0D7489CE">
      <w:start w:val="1"/>
      <w:numFmt w:val="decimal"/>
      <w:lvlText w:val="%1.%2"/>
      <w:lvlJc w:val="left"/>
      <w:pPr>
        <w:ind w:left="690" w:hanging="468"/>
      </w:pPr>
      <w:rPr>
        <w:rFonts w:ascii="Verdana" w:eastAsia="Verdana" w:hAnsi="Verdana" w:hint="default"/>
        <w:spacing w:val="-2"/>
        <w:w w:val="99"/>
        <w:sz w:val="24"/>
        <w:szCs w:val="24"/>
      </w:rPr>
    </w:lvl>
    <w:lvl w:ilvl="2" w:tplc="32BA989C">
      <w:start w:val="1"/>
      <w:numFmt w:val="bullet"/>
      <w:lvlText w:val="•"/>
      <w:lvlJc w:val="left"/>
      <w:pPr>
        <w:ind w:left="2094" w:hanging="468"/>
      </w:pPr>
      <w:rPr>
        <w:rFonts w:hint="default"/>
      </w:rPr>
    </w:lvl>
    <w:lvl w:ilvl="3" w:tplc="1F5A217C">
      <w:start w:val="1"/>
      <w:numFmt w:val="bullet"/>
      <w:lvlText w:val="•"/>
      <w:lvlJc w:val="left"/>
      <w:pPr>
        <w:ind w:left="2990" w:hanging="468"/>
      </w:pPr>
      <w:rPr>
        <w:rFonts w:hint="default"/>
      </w:rPr>
    </w:lvl>
    <w:lvl w:ilvl="4" w:tplc="088AFDFA">
      <w:start w:val="1"/>
      <w:numFmt w:val="bullet"/>
      <w:lvlText w:val="•"/>
      <w:lvlJc w:val="left"/>
      <w:pPr>
        <w:ind w:left="3886" w:hanging="468"/>
      </w:pPr>
      <w:rPr>
        <w:rFonts w:hint="default"/>
      </w:rPr>
    </w:lvl>
    <w:lvl w:ilvl="5" w:tplc="19867234">
      <w:start w:val="1"/>
      <w:numFmt w:val="bullet"/>
      <w:lvlText w:val="•"/>
      <w:lvlJc w:val="left"/>
      <w:pPr>
        <w:ind w:left="4781" w:hanging="468"/>
      </w:pPr>
      <w:rPr>
        <w:rFonts w:hint="default"/>
      </w:rPr>
    </w:lvl>
    <w:lvl w:ilvl="6" w:tplc="D8E8F81C">
      <w:start w:val="1"/>
      <w:numFmt w:val="bullet"/>
      <w:lvlText w:val="•"/>
      <w:lvlJc w:val="left"/>
      <w:pPr>
        <w:ind w:left="5677" w:hanging="468"/>
      </w:pPr>
      <w:rPr>
        <w:rFonts w:hint="default"/>
      </w:rPr>
    </w:lvl>
    <w:lvl w:ilvl="7" w:tplc="02CED3EA">
      <w:start w:val="1"/>
      <w:numFmt w:val="bullet"/>
      <w:lvlText w:val="•"/>
      <w:lvlJc w:val="left"/>
      <w:pPr>
        <w:ind w:left="6573" w:hanging="468"/>
      </w:pPr>
      <w:rPr>
        <w:rFonts w:hint="default"/>
      </w:rPr>
    </w:lvl>
    <w:lvl w:ilvl="8" w:tplc="537AFB9A">
      <w:start w:val="1"/>
      <w:numFmt w:val="bullet"/>
      <w:lvlText w:val="•"/>
      <w:lvlJc w:val="left"/>
      <w:pPr>
        <w:ind w:left="7468" w:hanging="468"/>
      </w:pPr>
      <w:rPr>
        <w:rFonts w:hint="default"/>
      </w:rPr>
    </w:lvl>
  </w:abstractNum>
  <w:abstractNum w:abstractNumId="17" w15:restartNumberingAfterBreak="0">
    <w:nsid w:val="63D05C7A"/>
    <w:multiLevelType w:val="hybridMultilevel"/>
    <w:tmpl w:val="225EBE40"/>
    <w:lvl w:ilvl="0" w:tplc="16C6F9FE">
      <w:start w:val="1"/>
      <w:numFmt w:val="bullet"/>
      <w:lvlText w:val=""/>
      <w:lvlJc w:val="left"/>
      <w:pPr>
        <w:ind w:left="934" w:hanging="356"/>
      </w:pPr>
      <w:rPr>
        <w:rFonts w:ascii="Symbol" w:eastAsia="Symbol" w:hAnsi="Symbol" w:hint="default"/>
        <w:sz w:val="24"/>
        <w:szCs w:val="24"/>
      </w:rPr>
    </w:lvl>
    <w:lvl w:ilvl="1" w:tplc="468CFED2">
      <w:start w:val="1"/>
      <w:numFmt w:val="bullet"/>
      <w:lvlText w:val="•"/>
      <w:lvlJc w:val="left"/>
      <w:pPr>
        <w:ind w:left="1767" w:hanging="356"/>
      </w:pPr>
      <w:rPr>
        <w:rFonts w:hint="default"/>
      </w:rPr>
    </w:lvl>
    <w:lvl w:ilvl="2" w:tplc="63B0E4FE">
      <w:start w:val="1"/>
      <w:numFmt w:val="bullet"/>
      <w:lvlText w:val="•"/>
      <w:lvlJc w:val="left"/>
      <w:pPr>
        <w:ind w:left="2599" w:hanging="356"/>
      </w:pPr>
      <w:rPr>
        <w:rFonts w:hint="default"/>
      </w:rPr>
    </w:lvl>
    <w:lvl w:ilvl="3" w:tplc="9F225448">
      <w:start w:val="1"/>
      <w:numFmt w:val="bullet"/>
      <w:lvlText w:val="•"/>
      <w:lvlJc w:val="left"/>
      <w:pPr>
        <w:ind w:left="3432" w:hanging="356"/>
      </w:pPr>
      <w:rPr>
        <w:rFonts w:hint="default"/>
      </w:rPr>
    </w:lvl>
    <w:lvl w:ilvl="4" w:tplc="A2B0AAAC">
      <w:start w:val="1"/>
      <w:numFmt w:val="bullet"/>
      <w:lvlText w:val="•"/>
      <w:lvlJc w:val="left"/>
      <w:pPr>
        <w:ind w:left="4264" w:hanging="356"/>
      </w:pPr>
      <w:rPr>
        <w:rFonts w:hint="default"/>
      </w:rPr>
    </w:lvl>
    <w:lvl w:ilvl="5" w:tplc="181EA6D6">
      <w:start w:val="1"/>
      <w:numFmt w:val="bullet"/>
      <w:lvlText w:val="•"/>
      <w:lvlJc w:val="left"/>
      <w:pPr>
        <w:ind w:left="5097" w:hanging="356"/>
      </w:pPr>
      <w:rPr>
        <w:rFonts w:hint="default"/>
      </w:rPr>
    </w:lvl>
    <w:lvl w:ilvl="6" w:tplc="D1B6C704">
      <w:start w:val="1"/>
      <w:numFmt w:val="bullet"/>
      <w:lvlText w:val="•"/>
      <w:lvlJc w:val="left"/>
      <w:pPr>
        <w:ind w:left="5929" w:hanging="356"/>
      </w:pPr>
      <w:rPr>
        <w:rFonts w:hint="default"/>
      </w:rPr>
    </w:lvl>
    <w:lvl w:ilvl="7" w:tplc="8040AF30">
      <w:start w:val="1"/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47B45970">
      <w:start w:val="1"/>
      <w:numFmt w:val="bullet"/>
      <w:lvlText w:val="•"/>
      <w:lvlJc w:val="left"/>
      <w:pPr>
        <w:ind w:left="7594" w:hanging="356"/>
      </w:pPr>
      <w:rPr>
        <w:rFonts w:hint="default"/>
      </w:rPr>
    </w:lvl>
  </w:abstractNum>
  <w:abstractNum w:abstractNumId="18" w15:restartNumberingAfterBreak="0">
    <w:nsid w:val="67AB5E1F"/>
    <w:multiLevelType w:val="hybridMultilevel"/>
    <w:tmpl w:val="35E606BA"/>
    <w:lvl w:ilvl="0" w:tplc="63149510">
      <w:start w:val="4"/>
      <w:numFmt w:val="decimal"/>
      <w:lvlText w:val="%1"/>
      <w:lvlJc w:val="left"/>
      <w:pPr>
        <w:ind w:left="1849" w:hanging="922"/>
      </w:pPr>
      <w:rPr>
        <w:rFonts w:hint="default"/>
      </w:rPr>
    </w:lvl>
    <w:lvl w:ilvl="1" w:tplc="ED5A3BCC">
      <w:start w:val="2"/>
      <w:numFmt w:val="decimal"/>
      <w:lvlText w:val="%1.%2"/>
      <w:lvlJc w:val="left"/>
      <w:pPr>
        <w:ind w:left="1849" w:hanging="922"/>
      </w:pPr>
      <w:rPr>
        <w:rFonts w:hint="default"/>
      </w:rPr>
    </w:lvl>
    <w:lvl w:ilvl="2" w:tplc="61346828">
      <w:start w:val="2"/>
      <w:numFmt w:val="decimal"/>
      <w:lvlText w:val="%1.%2.%3"/>
      <w:lvlJc w:val="left"/>
      <w:pPr>
        <w:ind w:left="1849" w:hanging="922"/>
      </w:pPr>
      <w:rPr>
        <w:rFonts w:hint="default"/>
      </w:rPr>
    </w:lvl>
    <w:lvl w:ilvl="3" w:tplc="31866C44">
      <w:start w:val="1"/>
      <w:numFmt w:val="decimal"/>
      <w:lvlText w:val="%1.%2.%3.%4"/>
      <w:lvlJc w:val="left"/>
      <w:pPr>
        <w:ind w:left="1849" w:hanging="922"/>
      </w:pPr>
      <w:rPr>
        <w:rFonts w:ascii="Verdana" w:eastAsia="Verdana" w:hAnsi="Verdana" w:hint="default"/>
        <w:b/>
        <w:bCs/>
        <w:i/>
        <w:spacing w:val="-4"/>
        <w:sz w:val="22"/>
        <w:szCs w:val="22"/>
      </w:rPr>
    </w:lvl>
    <w:lvl w:ilvl="4" w:tplc="DA58EA8A">
      <w:start w:val="1"/>
      <w:numFmt w:val="bullet"/>
      <w:lvlText w:val="•"/>
      <w:lvlJc w:val="left"/>
      <w:pPr>
        <w:ind w:left="4813" w:hanging="922"/>
      </w:pPr>
      <w:rPr>
        <w:rFonts w:hint="default"/>
      </w:rPr>
    </w:lvl>
    <w:lvl w:ilvl="5" w:tplc="522A947E">
      <w:start w:val="1"/>
      <w:numFmt w:val="bullet"/>
      <w:lvlText w:val="•"/>
      <w:lvlJc w:val="left"/>
      <w:pPr>
        <w:ind w:left="5554" w:hanging="922"/>
      </w:pPr>
      <w:rPr>
        <w:rFonts w:hint="default"/>
      </w:rPr>
    </w:lvl>
    <w:lvl w:ilvl="6" w:tplc="1C867FB4">
      <w:start w:val="1"/>
      <w:numFmt w:val="bullet"/>
      <w:lvlText w:val="•"/>
      <w:lvlJc w:val="left"/>
      <w:pPr>
        <w:ind w:left="6295" w:hanging="922"/>
      </w:pPr>
      <w:rPr>
        <w:rFonts w:hint="default"/>
      </w:rPr>
    </w:lvl>
    <w:lvl w:ilvl="7" w:tplc="BFE0690A">
      <w:start w:val="1"/>
      <w:numFmt w:val="bullet"/>
      <w:lvlText w:val="•"/>
      <w:lvlJc w:val="left"/>
      <w:pPr>
        <w:ind w:left="7036" w:hanging="922"/>
      </w:pPr>
      <w:rPr>
        <w:rFonts w:hint="default"/>
      </w:rPr>
    </w:lvl>
    <w:lvl w:ilvl="8" w:tplc="21506A0E">
      <w:start w:val="1"/>
      <w:numFmt w:val="bullet"/>
      <w:lvlText w:val="•"/>
      <w:lvlJc w:val="left"/>
      <w:pPr>
        <w:ind w:left="7777" w:hanging="922"/>
      </w:pPr>
      <w:rPr>
        <w:rFonts w:hint="default"/>
      </w:rPr>
    </w:lvl>
  </w:abstractNum>
  <w:abstractNum w:abstractNumId="19" w15:restartNumberingAfterBreak="0">
    <w:nsid w:val="73FF5E2C"/>
    <w:multiLevelType w:val="hybridMultilevel"/>
    <w:tmpl w:val="013250D2"/>
    <w:lvl w:ilvl="0" w:tplc="FBF45FB0">
      <w:start w:val="3"/>
      <w:numFmt w:val="decimal"/>
      <w:lvlText w:val="%1"/>
      <w:lvlJc w:val="left"/>
      <w:pPr>
        <w:ind w:left="1630" w:hanging="701"/>
      </w:pPr>
      <w:rPr>
        <w:rFonts w:hint="default"/>
      </w:rPr>
    </w:lvl>
    <w:lvl w:ilvl="1" w:tplc="4D504B02">
      <w:start w:val="2"/>
      <w:numFmt w:val="decimal"/>
      <w:lvlText w:val="%1.%2"/>
      <w:lvlJc w:val="left"/>
      <w:pPr>
        <w:ind w:left="1630" w:hanging="701"/>
      </w:pPr>
      <w:rPr>
        <w:rFonts w:hint="default"/>
      </w:rPr>
    </w:lvl>
    <w:lvl w:ilvl="2" w:tplc="FDFE87F8">
      <w:start w:val="2"/>
      <w:numFmt w:val="decimal"/>
      <w:lvlText w:val="%1.%2.%3"/>
      <w:lvlJc w:val="left"/>
      <w:pPr>
        <w:ind w:left="1630" w:hanging="701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3" w:tplc="B65EB7B8">
      <w:start w:val="1"/>
      <w:numFmt w:val="bullet"/>
      <w:lvlText w:val="•"/>
      <w:lvlJc w:val="left"/>
      <w:pPr>
        <w:ind w:left="3919" w:hanging="701"/>
      </w:pPr>
      <w:rPr>
        <w:rFonts w:hint="default"/>
      </w:rPr>
    </w:lvl>
    <w:lvl w:ilvl="4" w:tplc="AAFC048E">
      <w:start w:val="1"/>
      <w:numFmt w:val="bullet"/>
      <w:lvlText w:val="•"/>
      <w:lvlJc w:val="left"/>
      <w:pPr>
        <w:ind w:left="4682" w:hanging="701"/>
      </w:pPr>
      <w:rPr>
        <w:rFonts w:hint="default"/>
      </w:rPr>
    </w:lvl>
    <w:lvl w:ilvl="5" w:tplc="1D746F1A">
      <w:start w:val="1"/>
      <w:numFmt w:val="bullet"/>
      <w:lvlText w:val="•"/>
      <w:lvlJc w:val="left"/>
      <w:pPr>
        <w:ind w:left="5445" w:hanging="701"/>
      </w:pPr>
      <w:rPr>
        <w:rFonts w:hint="default"/>
      </w:rPr>
    </w:lvl>
    <w:lvl w:ilvl="6" w:tplc="D500F744">
      <w:start w:val="1"/>
      <w:numFmt w:val="bullet"/>
      <w:lvlText w:val="•"/>
      <w:lvlJc w:val="left"/>
      <w:pPr>
        <w:ind w:left="6208" w:hanging="701"/>
      </w:pPr>
      <w:rPr>
        <w:rFonts w:hint="default"/>
      </w:rPr>
    </w:lvl>
    <w:lvl w:ilvl="7" w:tplc="9E3AC31E">
      <w:start w:val="1"/>
      <w:numFmt w:val="bullet"/>
      <w:lvlText w:val="•"/>
      <w:lvlJc w:val="left"/>
      <w:pPr>
        <w:ind w:left="6971" w:hanging="701"/>
      </w:pPr>
      <w:rPr>
        <w:rFonts w:hint="default"/>
      </w:rPr>
    </w:lvl>
    <w:lvl w:ilvl="8" w:tplc="F626AF48">
      <w:start w:val="1"/>
      <w:numFmt w:val="bullet"/>
      <w:lvlText w:val="•"/>
      <w:lvlJc w:val="left"/>
      <w:pPr>
        <w:ind w:left="7734" w:hanging="701"/>
      </w:pPr>
      <w:rPr>
        <w:rFonts w:hint="default"/>
      </w:rPr>
    </w:lvl>
  </w:abstractNum>
  <w:abstractNum w:abstractNumId="20" w15:restartNumberingAfterBreak="0">
    <w:nsid w:val="752449BC"/>
    <w:multiLevelType w:val="hybridMultilevel"/>
    <w:tmpl w:val="EE06E818"/>
    <w:lvl w:ilvl="0" w:tplc="7F460132">
      <w:start w:val="2"/>
      <w:numFmt w:val="decimal"/>
      <w:lvlText w:val="%1"/>
      <w:lvlJc w:val="left"/>
      <w:pPr>
        <w:ind w:left="690" w:hanging="468"/>
      </w:pPr>
      <w:rPr>
        <w:rFonts w:hint="default"/>
      </w:rPr>
    </w:lvl>
    <w:lvl w:ilvl="1" w:tplc="3EFCC686">
      <w:start w:val="1"/>
      <w:numFmt w:val="decimal"/>
      <w:lvlText w:val="%1.%2"/>
      <w:lvlJc w:val="left"/>
      <w:pPr>
        <w:ind w:left="690" w:hanging="468"/>
      </w:pPr>
      <w:rPr>
        <w:rFonts w:ascii="Verdana" w:eastAsia="Verdana" w:hAnsi="Verdana" w:hint="default"/>
        <w:spacing w:val="-2"/>
        <w:w w:val="99"/>
        <w:sz w:val="24"/>
        <w:szCs w:val="24"/>
      </w:rPr>
    </w:lvl>
    <w:lvl w:ilvl="2" w:tplc="8E9C8C78">
      <w:start w:val="1"/>
      <w:numFmt w:val="decimal"/>
      <w:lvlText w:val="%1.%2.%3"/>
      <w:lvlJc w:val="left"/>
      <w:pPr>
        <w:ind w:left="910" w:hanging="689"/>
      </w:pPr>
      <w:rPr>
        <w:rFonts w:ascii="Verdana" w:eastAsia="Verdana" w:hAnsi="Verdana" w:hint="default"/>
        <w:b/>
        <w:bCs/>
        <w:spacing w:val="-4"/>
        <w:sz w:val="22"/>
        <w:szCs w:val="22"/>
      </w:rPr>
    </w:lvl>
    <w:lvl w:ilvl="3" w:tplc="7640DEAE">
      <w:start w:val="1"/>
      <w:numFmt w:val="bullet"/>
      <w:lvlText w:val=""/>
      <w:lvlJc w:val="left"/>
      <w:pPr>
        <w:ind w:left="649" w:hanging="286"/>
      </w:pPr>
      <w:rPr>
        <w:rFonts w:ascii="Symbol" w:eastAsia="Symbol" w:hAnsi="Symbol" w:hint="default"/>
        <w:sz w:val="22"/>
        <w:szCs w:val="22"/>
      </w:rPr>
    </w:lvl>
    <w:lvl w:ilvl="4" w:tplc="72B61F32">
      <w:start w:val="1"/>
      <w:numFmt w:val="bullet"/>
      <w:lvlText w:val="•"/>
      <w:lvlJc w:val="left"/>
      <w:pPr>
        <w:ind w:left="2998" w:hanging="286"/>
      </w:pPr>
      <w:rPr>
        <w:rFonts w:hint="default"/>
      </w:rPr>
    </w:lvl>
    <w:lvl w:ilvl="5" w:tplc="35E056C4">
      <w:start w:val="1"/>
      <w:numFmt w:val="bullet"/>
      <w:lvlText w:val="•"/>
      <w:lvlJc w:val="left"/>
      <w:pPr>
        <w:ind w:left="4041" w:hanging="286"/>
      </w:pPr>
      <w:rPr>
        <w:rFonts w:hint="default"/>
      </w:rPr>
    </w:lvl>
    <w:lvl w:ilvl="6" w:tplc="1488EA92">
      <w:start w:val="1"/>
      <w:numFmt w:val="bullet"/>
      <w:lvlText w:val="•"/>
      <w:lvlJc w:val="left"/>
      <w:pPr>
        <w:ind w:left="5085" w:hanging="286"/>
      </w:pPr>
      <w:rPr>
        <w:rFonts w:hint="default"/>
      </w:rPr>
    </w:lvl>
    <w:lvl w:ilvl="7" w:tplc="A44EB4FE">
      <w:start w:val="1"/>
      <w:numFmt w:val="bullet"/>
      <w:lvlText w:val="•"/>
      <w:lvlJc w:val="left"/>
      <w:pPr>
        <w:ind w:left="6129" w:hanging="286"/>
      </w:pPr>
      <w:rPr>
        <w:rFonts w:hint="default"/>
      </w:rPr>
    </w:lvl>
    <w:lvl w:ilvl="8" w:tplc="E52EBB6E">
      <w:start w:val="1"/>
      <w:numFmt w:val="bullet"/>
      <w:lvlText w:val="•"/>
      <w:lvlJc w:val="left"/>
      <w:pPr>
        <w:ind w:left="7172" w:hanging="286"/>
      </w:pPr>
      <w:rPr>
        <w:rFonts w:hint="default"/>
      </w:rPr>
    </w:lvl>
  </w:abstractNum>
  <w:abstractNum w:abstractNumId="21" w15:restartNumberingAfterBreak="0">
    <w:nsid w:val="7A4D2E95"/>
    <w:multiLevelType w:val="hybridMultilevel"/>
    <w:tmpl w:val="941EEBDA"/>
    <w:lvl w:ilvl="0" w:tplc="AC420578">
      <w:start w:val="3"/>
      <w:numFmt w:val="decimal"/>
      <w:lvlText w:val="%1"/>
      <w:lvlJc w:val="left"/>
      <w:pPr>
        <w:ind w:left="690" w:hanging="468"/>
      </w:pPr>
      <w:rPr>
        <w:rFonts w:hint="default"/>
      </w:rPr>
    </w:lvl>
    <w:lvl w:ilvl="1" w:tplc="4238C992">
      <w:start w:val="2"/>
      <w:numFmt w:val="decimal"/>
      <w:lvlText w:val="%1.%2"/>
      <w:lvlJc w:val="left"/>
      <w:pPr>
        <w:ind w:left="690" w:hanging="468"/>
      </w:pPr>
      <w:rPr>
        <w:rFonts w:ascii="Verdana" w:eastAsia="Verdana" w:hAnsi="Verdana" w:hint="default"/>
        <w:spacing w:val="-2"/>
        <w:w w:val="99"/>
        <w:sz w:val="24"/>
        <w:szCs w:val="24"/>
      </w:rPr>
    </w:lvl>
    <w:lvl w:ilvl="2" w:tplc="A074281A">
      <w:start w:val="1"/>
      <w:numFmt w:val="bullet"/>
      <w:lvlText w:val=""/>
      <w:lvlJc w:val="left"/>
      <w:pPr>
        <w:ind w:left="649" w:hanging="286"/>
      </w:pPr>
      <w:rPr>
        <w:rFonts w:ascii="Symbol" w:eastAsia="Symbol" w:hAnsi="Symbol" w:hint="default"/>
        <w:sz w:val="22"/>
        <w:szCs w:val="22"/>
      </w:rPr>
    </w:lvl>
    <w:lvl w:ilvl="3" w:tplc="C172DCAE">
      <w:start w:val="1"/>
      <w:numFmt w:val="bullet"/>
      <w:lvlText w:val="•"/>
      <w:lvlJc w:val="left"/>
      <w:pPr>
        <w:ind w:left="2584" w:hanging="286"/>
      </w:pPr>
      <w:rPr>
        <w:rFonts w:hint="default"/>
      </w:rPr>
    </w:lvl>
    <w:lvl w:ilvl="4" w:tplc="8AE4CEBE">
      <w:start w:val="1"/>
      <w:numFmt w:val="bullet"/>
      <w:lvlText w:val="•"/>
      <w:lvlJc w:val="left"/>
      <w:pPr>
        <w:ind w:left="3538" w:hanging="286"/>
      </w:pPr>
      <w:rPr>
        <w:rFonts w:hint="default"/>
      </w:rPr>
    </w:lvl>
    <w:lvl w:ilvl="5" w:tplc="0040F65A">
      <w:start w:val="1"/>
      <w:numFmt w:val="bullet"/>
      <w:lvlText w:val="•"/>
      <w:lvlJc w:val="left"/>
      <w:pPr>
        <w:ind w:left="4491" w:hanging="286"/>
      </w:pPr>
      <w:rPr>
        <w:rFonts w:hint="default"/>
      </w:rPr>
    </w:lvl>
    <w:lvl w:ilvl="6" w:tplc="7A9C1F2C">
      <w:start w:val="1"/>
      <w:numFmt w:val="bullet"/>
      <w:lvlText w:val="•"/>
      <w:lvlJc w:val="left"/>
      <w:pPr>
        <w:ind w:left="5445" w:hanging="286"/>
      </w:pPr>
      <w:rPr>
        <w:rFonts w:hint="default"/>
      </w:rPr>
    </w:lvl>
    <w:lvl w:ilvl="7" w:tplc="4600CF9A">
      <w:start w:val="1"/>
      <w:numFmt w:val="bullet"/>
      <w:lvlText w:val="•"/>
      <w:lvlJc w:val="left"/>
      <w:pPr>
        <w:ind w:left="6399" w:hanging="286"/>
      </w:pPr>
      <w:rPr>
        <w:rFonts w:hint="default"/>
      </w:rPr>
    </w:lvl>
    <w:lvl w:ilvl="8" w:tplc="E41205C6">
      <w:start w:val="1"/>
      <w:numFmt w:val="bullet"/>
      <w:lvlText w:val="•"/>
      <w:lvlJc w:val="left"/>
      <w:pPr>
        <w:ind w:left="7352" w:hanging="286"/>
      </w:pPr>
      <w:rPr>
        <w:rFonts w:hint="default"/>
      </w:rPr>
    </w:lvl>
  </w:abstractNum>
  <w:abstractNum w:abstractNumId="22" w15:restartNumberingAfterBreak="0">
    <w:nsid w:val="7BBE0764"/>
    <w:multiLevelType w:val="hybridMultilevel"/>
    <w:tmpl w:val="7430B7F2"/>
    <w:lvl w:ilvl="0" w:tplc="6F78F212">
      <w:start w:val="3"/>
      <w:numFmt w:val="decimal"/>
      <w:lvlText w:val="%1"/>
      <w:lvlJc w:val="left"/>
      <w:pPr>
        <w:ind w:left="1630" w:hanging="701"/>
      </w:pPr>
      <w:rPr>
        <w:rFonts w:hint="default"/>
      </w:rPr>
    </w:lvl>
    <w:lvl w:ilvl="1" w:tplc="2B000080">
      <w:start w:val="1"/>
      <w:numFmt w:val="decimal"/>
      <w:lvlText w:val="%1.%2"/>
      <w:lvlJc w:val="left"/>
      <w:pPr>
        <w:ind w:left="1630" w:hanging="701"/>
      </w:pPr>
      <w:rPr>
        <w:rFonts w:hint="default"/>
      </w:rPr>
    </w:lvl>
    <w:lvl w:ilvl="2" w:tplc="94EA612E">
      <w:start w:val="2"/>
      <w:numFmt w:val="decimal"/>
      <w:lvlText w:val="%1.%2.%3"/>
      <w:lvlJc w:val="left"/>
      <w:pPr>
        <w:ind w:left="1630" w:hanging="701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3" w:tplc="B770EB20">
      <w:start w:val="1"/>
      <w:numFmt w:val="bullet"/>
      <w:lvlText w:val="•"/>
      <w:lvlJc w:val="left"/>
      <w:pPr>
        <w:ind w:left="3919" w:hanging="701"/>
      </w:pPr>
      <w:rPr>
        <w:rFonts w:hint="default"/>
      </w:rPr>
    </w:lvl>
    <w:lvl w:ilvl="4" w:tplc="E766E288">
      <w:start w:val="1"/>
      <w:numFmt w:val="bullet"/>
      <w:lvlText w:val="•"/>
      <w:lvlJc w:val="left"/>
      <w:pPr>
        <w:ind w:left="4682" w:hanging="701"/>
      </w:pPr>
      <w:rPr>
        <w:rFonts w:hint="default"/>
      </w:rPr>
    </w:lvl>
    <w:lvl w:ilvl="5" w:tplc="3D6001B8">
      <w:start w:val="1"/>
      <w:numFmt w:val="bullet"/>
      <w:lvlText w:val="•"/>
      <w:lvlJc w:val="left"/>
      <w:pPr>
        <w:ind w:left="5445" w:hanging="701"/>
      </w:pPr>
      <w:rPr>
        <w:rFonts w:hint="default"/>
      </w:rPr>
    </w:lvl>
    <w:lvl w:ilvl="6" w:tplc="5A803FA0">
      <w:start w:val="1"/>
      <w:numFmt w:val="bullet"/>
      <w:lvlText w:val="•"/>
      <w:lvlJc w:val="left"/>
      <w:pPr>
        <w:ind w:left="6208" w:hanging="701"/>
      </w:pPr>
      <w:rPr>
        <w:rFonts w:hint="default"/>
      </w:rPr>
    </w:lvl>
    <w:lvl w:ilvl="7" w:tplc="635AEF22">
      <w:start w:val="1"/>
      <w:numFmt w:val="bullet"/>
      <w:lvlText w:val="•"/>
      <w:lvlJc w:val="left"/>
      <w:pPr>
        <w:ind w:left="6971" w:hanging="701"/>
      </w:pPr>
      <w:rPr>
        <w:rFonts w:hint="default"/>
      </w:rPr>
    </w:lvl>
    <w:lvl w:ilvl="8" w:tplc="8F5AF218">
      <w:start w:val="1"/>
      <w:numFmt w:val="bullet"/>
      <w:lvlText w:val="•"/>
      <w:lvlJc w:val="left"/>
      <w:pPr>
        <w:ind w:left="7734" w:hanging="701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17"/>
  </w:num>
  <w:num w:numId="8">
    <w:abstractNumId w:val="12"/>
  </w:num>
  <w:num w:numId="9">
    <w:abstractNumId w:val="5"/>
  </w:num>
  <w:num w:numId="10">
    <w:abstractNumId w:val="18"/>
  </w:num>
  <w:num w:numId="11">
    <w:abstractNumId w:val="3"/>
  </w:num>
  <w:num w:numId="12">
    <w:abstractNumId w:val="15"/>
  </w:num>
  <w:num w:numId="13">
    <w:abstractNumId w:val="6"/>
  </w:num>
  <w:num w:numId="14">
    <w:abstractNumId w:val="16"/>
  </w:num>
  <w:num w:numId="15">
    <w:abstractNumId w:val="0"/>
  </w:num>
  <w:num w:numId="16">
    <w:abstractNumId w:val="19"/>
  </w:num>
  <w:num w:numId="17">
    <w:abstractNumId w:val="21"/>
  </w:num>
  <w:num w:numId="18">
    <w:abstractNumId w:val="22"/>
  </w:num>
  <w:num w:numId="19">
    <w:abstractNumId w:val="8"/>
  </w:num>
  <w:num w:numId="20">
    <w:abstractNumId w:val="11"/>
  </w:num>
  <w:num w:numId="21">
    <w:abstractNumId w:val="2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A2"/>
    <w:rsid w:val="00076078"/>
    <w:rsid w:val="00084922"/>
    <w:rsid w:val="000A5348"/>
    <w:rsid w:val="0010213A"/>
    <w:rsid w:val="00162A3D"/>
    <w:rsid w:val="00361DA2"/>
    <w:rsid w:val="003F09A4"/>
    <w:rsid w:val="00454115"/>
    <w:rsid w:val="004D0B40"/>
    <w:rsid w:val="00531B5C"/>
    <w:rsid w:val="00660BEC"/>
    <w:rsid w:val="00662BA8"/>
    <w:rsid w:val="007A2D7E"/>
    <w:rsid w:val="008761CC"/>
    <w:rsid w:val="00B03E01"/>
    <w:rsid w:val="00CA657E"/>
    <w:rsid w:val="00E531C5"/>
    <w:rsid w:val="00E911B8"/>
    <w:rsid w:val="00E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7D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2"/>
      <w:outlineLvl w:val="1"/>
    </w:pPr>
    <w:rPr>
      <w:rFonts w:ascii="Verdana" w:eastAsia="Verdana" w:hAnsi="Verdana"/>
      <w:b/>
      <w:bCs/>
      <w:sz w:val="24"/>
      <w:szCs w:val="24"/>
      <w:u w:val="single"/>
    </w:rPr>
  </w:style>
  <w:style w:type="paragraph" w:styleId="Heading3">
    <w:name w:val="heading 3"/>
    <w:basedOn w:val="Normal"/>
    <w:uiPriority w:val="9"/>
    <w:unhideWhenUsed/>
    <w:qFormat/>
    <w:pPr>
      <w:ind w:left="690" w:hanging="468"/>
      <w:outlineLvl w:val="2"/>
    </w:pPr>
    <w:rPr>
      <w:rFonts w:ascii="Verdana" w:eastAsia="Verdana" w:hAnsi="Verdana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630"/>
      <w:outlineLvl w:val="3"/>
    </w:pPr>
    <w:rPr>
      <w:rFonts w:ascii="Verdana" w:eastAsia="Verdana" w:hAnsi="Verdana"/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61"/>
      <w:ind w:left="1870" w:hanging="936"/>
      <w:outlineLvl w:val="4"/>
    </w:pPr>
    <w:rPr>
      <w:rFonts w:ascii="Verdana" w:eastAsia="Verdana" w:hAnsi="Verdan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9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60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BEC"/>
  </w:style>
  <w:style w:type="paragraph" w:styleId="Footer">
    <w:name w:val="footer"/>
    <w:basedOn w:val="Normal"/>
    <w:link w:val="FooterChar"/>
    <w:unhideWhenUsed/>
    <w:rsid w:val="00660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BEC"/>
  </w:style>
  <w:style w:type="paragraph" w:styleId="FootnoteText">
    <w:name w:val="footnote text"/>
    <w:basedOn w:val="Normal"/>
    <w:link w:val="FootnoteTextChar"/>
    <w:uiPriority w:val="99"/>
    <w:semiHidden/>
    <w:unhideWhenUsed/>
    <w:rsid w:val="00E91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1B8"/>
    <w:rPr>
      <w:vertAlign w:val="superscript"/>
    </w:rPr>
  </w:style>
  <w:style w:type="table" w:styleId="TableGrid">
    <w:name w:val="Table Grid"/>
    <w:basedOn w:val="TableNormal"/>
    <w:uiPriority w:val="39"/>
    <w:rsid w:val="003F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F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4" ma:contentTypeDescription="Izveidot jaunu dokumentu." ma:contentTypeScope="" ma:versionID="dfb4b1a185c95c70208d6cdffb51d4d6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16ae2a2f2cc2697d580df486339427f8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625DF-51DE-4C0E-8B80-E9BCC5966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68AF6-F54E-410C-BAD1-C1D0C4333177}"/>
</file>

<file path=customXml/itemProps3.xml><?xml version="1.0" encoding="utf-8"?>
<ds:datastoreItem xmlns:ds="http://schemas.openxmlformats.org/officeDocument/2006/customXml" ds:itemID="{3DD81374-8FAF-441D-8BFE-63E26289B146}"/>
</file>

<file path=customXml/itemProps4.xml><?xml version="1.0" encoding="utf-8"?>
<ds:datastoreItem xmlns:ds="http://schemas.openxmlformats.org/officeDocument/2006/customXml" ds:itemID="{D2FD0080-AB64-48ED-B28B-A4D8B9BD3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14450</Words>
  <Characters>8237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2020-09-07T10:31:00Z</dcterms:created>
  <dcterms:modified xsi:type="dcterms:W3CDTF">2021-02-17T08:00:00Z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Order">
    <vt:r8>281400</vt:r8>
  </property>
</Properties>
</file>