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07D4A" w14:textId="77777777" w:rsidR="008149AE" w:rsidRPr="000B4DCF" w:rsidRDefault="00042E3E" w:rsidP="004606CF">
      <w:pPr>
        <w:widowControl/>
        <w:ind w:firstLine="5670"/>
        <w:jc w:val="both"/>
        <w:rPr>
          <w:rFonts w:ascii="Times New Roman" w:hAnsi="Times New Roman" w:cs="Times New Roman"/>
          <w:noProof/>
          <w:sz w:val="24"/>
          <w:szCs w:val="24"/>
        </w:rPr>
      </w:pPr>
      <w:r w:rsidRPr="000B4DCF">
        <w:rPr>
          <w:rFonts w:ascii="Times New Roman" w:hAnsi="Times New Roman" w:cs="Times New Roman"/>
          <w:sz w:val="24"/>
        </w:rPr>
        <w:t>Briselē, 2020. gada 17. septembrī</w:t>
      </w:r>
    </w:p>
    <w:p w14:paraId="515ADB38" w14:textId="77777777" w:rsidR="008149AE" w:rsidRPr="000B4DCF" w:rsidRDefault="00042E3E" w:rsidP="004606CF">
      <w:pPr>
        <w:widowControl/>
        <w:ind w:firstLine="5670"/>
        <w:jc w:val="both"/>
        <w:rPr>
          <w:rFonts w:ascii="Times New Roman" w:hAnsi="Times New Roman" w:cs="Times New Roman"/>
          <w:b/>
          <w:i/>
          <w:noProof/>
          <w:sz w:val="24"/>
          <w:szCs w:val="24"/>
        </w:rPr>
      </w:pPr>
      <w:r w:rsidRPr="000B4DCF">
        <w:rPr>
          <w:rFonts w:ascii="Times New Roman" w:hAnsi="Times New Roman" w:cs="Times New Roman"/>
          <w:b/>
          <w:i/>
          <w:sz w:val="24"/>
        </w:rPr>
        <w:t>TAXUD/3137428rev2/2020</w:t>
      </w:r>
    </w:p>
    <w:p w14:paraId="5365AB3F" w14:textId="6C2B39F2" w:rsidR="00042E3E" w:rsidRPr="000B4DCF" w:rsidRDefault="00042E3E" w:rsidP="004606CF">
      <w:pPr>
        <w:widowControl/>
        <w:ind w:firstLine="5670"/>
        <w:jc w:val="both"/>
        <w:rPr>
          <w:rFonts w:ascii="Times New Roman" w:eastAsia="Times New Roman" w:hAnsi="Times New Roman" w:cs="Times New Roman"/>
          <w:noProof/>
          <w:sz w:val="24"/>
          <w:szCs w:val="24"/>
        </w:rPr>
      </w:pPr>
      <w:r w:rsidRPr="000B4DCF">
        <w:rPr>
          <w:rFonts w:ascii="Times New Roman" w:hAnsi="Times New Roman" w:cs="Times New Roman"/>
          <w:sz w:val="24"/>
        </w:rPr>
        <w:t>CEG-VAL/20/8/3.2</w:t>
      </w:r>
    </w:p>
    <w:p w14:paraId="7E6771D1" w14:textId="77777777" w:rsidR="00042E3E" w:rsidRPr="000B4DCF" w:rsidRDefault="00042E3E" w:rsidP="00C17DB4">
      <w:pPr>
        <w:widowControl/>
        <w:jc w:val="both"/>
        <w:rPr>
          <w:rFonts w:ascii="Times New Roman" w:eastAsia="Times New Roman" w:hAnsi="Times New Roman" w:cs="Times New Roman"/>
          <w:noProof/>
          <w:sz w:val="24"/>
          <w:szCs w:val="24"/>
        </w:rPr>
      </w:pPr>
    </w:p>
    <w:p w14:paraId="61864846" w14:textId="77777777" w:rsidR="00042E3E" w:rsidRPr="000B4DCF" w:rsidRDefault="00042E3E" w:rsidP="00C17DB4">
      <w:pPr>
        <w:pStyle w:val="Heading1"/>
        <w:widowControl/>
        <w:spacing w:before="0"/>
        <w:ind w:left="0"/>
        <w:jc w:val="both"/>
        <w:rPr>
          <w:rFonts w:cs="Times New Roman"/>
          <w:noProof/>
        </w:rPr>
      </w:pPr>
      <w:r w:rsidRPr="000B4DCF">
        <w:rPr>
          <w:rFonts w:cs="Times New Roman"/>
        </w:rPr>
        <w:t>Komentārs Nr. 13 – atkritumu vērtības noteikšana</w:t>
      </w:r>
    </w:p>
    <w:p w14:paraId="778F8E40" w14:textId="77777777" w:rsidR="00042E3E" w:rsidRPr="000B4DCF" w:rsidRDefault="00042E3E" w:rsidP="00C17DB4">
      <w:pPr>
        <w:widowControl/>
        <w:jc w:val="both"/>
        <w:rPr>
          <w:rFonts w:ascii="Times New Roman" w:eastAsia="Times New Roman" w:hAnsi="Times New Roman" w:cs="Times New Roman"/>
          <w:b/>
          <w:bCs/>
          <w:noProof/>
          <w:sz w:val="24"/>
          <w:szCs w:val="24"/>
        </w:rPr>
      </w:pPr>
    </w:p>
    <w:p w14:paraId="595131DF" w14:textId="0D8710CD" w:rsidR="00042E3E" w:rsidRPr="000B4DCF" w:rsidRDefault="00367D62" w:rsidP="00C17DB4">
      <w:pPr>
        <w:pStyle w:val="Heading2"/>
        <w:widowControl/>
        <w:tabs>
          <w:tab w:val="left" w:pos="274"/>
        </w:tabs>
        <w:ind w:left="0"/>
        <w:jc w:val="both"/>
        <w:rPr>
          <w:rFonts w:cs="Times New Roman"/>
          <w:noProof/>
          <w:u w:val="single" w:color="000000"/>
        </w:rPr>
      </w:pPr>
      <w:r w:rsidRPr="000B4DCF">
        <w:rPr>
          <w:rFonts w:cs="Times New Roman"/>
          <w:u w:val="single" w:color="000000"/>
        </w:rPr>
        <w:t>I. Vispārīgi apsvērumi</w:t>
      </w:r>
    </w:p>
    <w:p w14:paraId="1AF32556" w14:textId="77777777" w:rsidR="00042E3E" w:rsidRPr="000B4DCF" w:rsidRDefault="00042E3E" w:rsidP="00C17DB4">
      <w:pPr>
        <w:widowControl/>
        <w:jc w:val="both"/>
        <w:rPr>
          <w:rFonts w:ascii="Times New Roman" w:eastAsia="Times New Roman" w:hAnsi="Times New Roman" w:cs="Times New Roman"/>
          <w:b/>
          <w:bCs/>
          <w:i/>
          <w:noProof/>
          <w:sz w:val="24"/>
          <w:szCs w:val="24"/>
        </w:rPr>
      </w:pPr>
    </w:p>
    <w:p w14:paraId="7CEC083D" w14:textId="20C9E79F" w:rsidR="00042E3E" w:rsidRPr="000B4DCF" w:rsidRDefault="00367D62" w:rsidP="00C17DB4">
      <w:pPr>
        <w:pStyle w:val="BodyText"/>
        <w:widowControl/>
        <w:tabs>
          <w:tab w:val="left" w:pos="486"/>
        </w:tabs>
        <w:ind w:left="0" w:firstLine="0"/>
        <w:jc w:val="both"/>
        <w:rPr>
          <w:rFonts w:cs="Times New Roman"/>
          <w:noProof/>
        </w:rPr>
      </w:pPr>
      <w:r w:rsidRPr="000B4DCF">
        <w:rPr>
          <w:rFonts w:cs="Times New Roman"/>
        </w:rPr>
        <w:t>1. Savienības muitas teritorijā parasti ieved šādus atkritumus</w:t>
      </w:r>
      <w:r w:rsidR="00302554" w:rsidRPr="000B4DCF">
        <w:rPr>
          <w:rStyle w:val="FootnoteReference"/>
          <w:rFonts w:cs="Times New Roman"/>
          <w:noProof/>
        </w:rPr>
        <w:footnoteReference w:id="1"/>
      </w:r>
      <w:r w:rsidRPr="000B4DCF">
        <w:rPr>
          <w:rFonts w:cs="Times New Roman"/>
        </w:rPr>
        <w:t>:</w:t>
      </w:r>
    </w:p>
    <w:p w14:paraId="06050E9D" w14:textId="6FC1BE1C" w:rsidR="00042E3E" w:rsidRPr="000B4DCF" w:rsidRDefault="00367D62" w:rsidP="00035B12">
      <w:pPr>
        <w:pStyle w:val="BodyText"/>
        <w:widowControl/>
        <w:tabs>
          <w:tab w:val="left" w:pos="855"/>
        </w:tabs>
        <w:ind w:left="142" w:firstLine="0"/>
        <w:jc w:val="both"/>
        <w:rPr>
          <w:rFonts w:cs="Times New Roman"/>
          <w:noProof/>
        </w:rPr>
      </w:pPr>
      <w:r w:rsidRPr="000B4DCF">
        <w:rPr>
          <w:rFonts w:cs="Times New Roman"/>
        </w:rPr>
        <w:t>a) atkritumus, kas satur reģenerējamus materiālus;</w:t>
      </w:r>
    </w:p>
    <w:p w14:paraId="0B0E59A8" w14:textId="116C56D4" w:rsidR="00042E3E" w:rsidRPr="000B4DCF" w:rsidRDefault="00367D62" w:rsidP="00035B12">
      <w:pPr>
        <w:pStyle w:val="BodyText"/>
        <w:widowControl/>
        <w:tabs>
          <w:tab w:val="left" w:pos="855"/>
        </w:tabs>
        <w:ind w:left="142" w:firstLine="0"/>
        <w:jc w:val="both"/>
        <w:rPr>
          <w:rFonts w:cs="Times New Roman"/>
          <w:noProof/>
        </w:rPr>
      </w:pPr>
      <w:r w:rsidRPr="000B4DCF">
        <w:rPr>
          <w:rFonts w:cs="Times New Roman"/>
        </w:rPr>
        <w:t>b) atkritumus, kam paredzēta tālāka apstrāde;</w:t>
      </w:r>
    </w:p>
    <w:p w14:paraId="4092337C" w14:textId="1D89972A" w:rsidR="00042E3E" w:rsidRPr="000B4DCF" w:rsidRDefault="00367D62" w:rsidP="00035B12">
      <w:pPr>
        <w:pStyle w:val="BodyText"/>
        <w:widowControl/>
        <w:tabs>
          <w:tab w:val="left" w:pos="855"/>
        </w:tabs>
        <w:ind w:left="142" w:firstLine="0"/>
        <w:jc w:val="both"/>
        <w:rPr>
          <w:rFonts w:cs="Times New Roman"/>
          <w:noProof/>
        </w:rPr>
      </w:pPr>
      <w:r w:rsidRPr="000B4DCF">
        <w:rPr>
          <w:rFonts w:cs="Times New Roman"/>
        </w:rPr>
        <w:t>c) iznīcināmus/neitralizējamus atkritumus.</w:t>
      </w:r>
    </w:p>
    <w:p w14:paraId="43CDF164" w14:textId="77777777" w:rsidR="00042E3E" w:rsidRPr="000B4DCF" w:rsidRDefault="00042E3E" w:rsidP="00C17DB4">
      <w:pPr>
        <w:widowControl/>
        <w:jc w:val="both"/>
        <w:rPr>
          <w:rFonts w:ascii="Times New Roman" w:eastAsia="Times New Roman" w:hAnsi="Times New Roman" w:cs="Times New Roman"/>
          <w:noProof/>
          <w:sz w:val="24"/>
          <w:szCs w:val="24"/>
        </w:rPr>
      </w:pPr>
    </w:p>
    <w:p w14:paraId="4EB25EE5" w14:textId="548F962B" w:rsidR="00042E3E" w:rsidRPr="000B4DCF" w:rsidRDefault="00367D62" w:rsidP="00C17DB4">
      <w:pPr>
        <w:pStyle w:val="BodyText"/>
        <w:widowControl/>
        <w:tabs>
          <w:tab w:val="left" w:pos="486"/>
        </w:tabs>
        <w:ind w:left="0" w:firstLine="0"/>
        <w:jc w:val="both"/>
        <w:rPr>
          <w:rFonts w:cs="Times New Roman"/>
          <w:noProof/>
        </w:rPr>
      </w:pPr>
      <w:r w:rsidRPr="000B4DCF">
        <w:rPr>
          <w:rFonts w:cs="Times New Roman"/>
        </w:rPr>
        <w:t>2. Atkritumu ievešanu Savienības muitas teritorijā reglamentē vispārējie noteikumi par muitas vērtības noteikšanu, kas piemērojami Savienībā un kas norādīti SMK</w:t>
      </w:r>
      <w:r w:rsidR="00037234" w:rsidRPr="000B4DCF">
        <w:rPr>
          <w:rStyle w:val="FootnoteReference"/>
          <w:rFonts w:cs="Times New Roman"/>
          <w:noProof/>
        </w:rPr>
        <w:footnoteReference w:id="2"/>
      </w:r>
      <w:r w:rsidRPr="000B4DCF">
        <w:rPr>
          <w:rFonts w:cs="Times New Roman"/>
        </w:rPr>
        <w:t xml:space="preserve"> 69.–76. pantā un SMK ĪA</w:t>
      </w:r>
      <w:r w:rsidR="004C3626" w:rsidRPr="000B4DCF">
        <w:rPr>
          <w:rStyle w:val="FootnoteReference"/>
          <w:rFonts w:cs="Times New Roman"/>
          <w:noProof/>
        </w:rPr>
        <w:footnoteReference w:id="3"/>
      </w:r>
      <w:r w:rsidRPr="000B4DCF">
        <w:rPr>
          <w:rFonts w:cs="Times New Roman"/>
        </w:rPr>
        <w:t xml:space="preserve"> 127.–146. pantā. Tomēr uz atkritumu ievešanu Savienībā attiecas arī īpaši tiesību akti</w:t>
      </w:r>
      <w:r w:rsidR="004C3626" w:rsidRPr="000B4DCF">
        <w:rPr>
          <w:rStyle w:val="FootnoteReference"/>
          <w:rFonts w:cs="Times New Roman"/>
          <w:noProof/>
        </w:rPr>
        <w:footnoteReference w:id="4"/>
      </w:r>
      <w:r w:rsidRPr="000B4DCF">
        <w:rPr>
          <w:rFonts w:cs="Times New Roman"/>
        </w:rPr>
        <w:t>, kas katrā konkrētā gadījumā var ietekmēt to, kādi elementi jāņem vērā, nosakot atkritumu muitas vērtību.</w:t>
      </w:r>
    </w:p>
    <w:p w14:paraId="2BEF61AB" w14:textId="77777777" w:rsidR="00042E3E" w:rsidRPr="000B4DCF" w:rsidRDefault="00042E3E" w:rsidP="00C17DB4">
      <w:pPr>
        <w:widowControl/>
        <w:jc w:val="both"/>
        <w:rPr>
          <w:rFonts w:ascii="Times New Roman" w:eastAsia="Times New Roman" w:hAnsi="Times New Roman" w:cs="Times New Roman"/>
          <w:noProof/>
          <w:sz w:val="24"/>
          <w:szCs w:val="24"/>
        </w:rPr>
      </w:pPr>
    </w:p>
    <w:p w14:paraId="198294DF" w14:textId="30EB33A2" w:rsidR="00042E3E" w:rsidRPr="000B4DCF" w:rsidRDefault="00302554" w:rsidP="00C17DB4">
      <w:pPr>
        <w:pStyle w:val="BodyText"/>
        <w:widowControl/>
        <w:tabs>
          <w:tab w:val="left" w:pos="486"/>
        </w:tabs>
        <w:ind w:left="0" w:firstLine="0"/>
        <w:jc w:val="both"/>
        <w:rPr>
          <w:rFonts w:cs="Times New Roman"/>
          <w:noProof/>
        </w:rPr>
      </w:pPr>
      <w:r w:rsidRPr="000B4DCF">
        <w:rPr>
          <w:rFonts w:cs="Times New Roman"/>
        </w:rPr>
        <w:t>3. Attiecībā uz atkritumiem var noslēgt preču pārdošanas līgumu. Ja šāda pārdošana atbilst visām SMK 70. pantā minētajām tiesiskajām prasībām, samaksātā vai maksājamā cena par atkritumiem jāizmanto kā bāze, nosakot muitas vērtību saskaņā ar darījuma vērtības noteikšanas metodi (SMK 70., 71. un 72. pants un to attiecīgie īstenošanas noteikumi). Tas parasti attiecas uz atkritumiem, kas satur reģenerējamus materiālus, piemēram, trešās valsts melno metālu lūžņiem, kas saskaņā ar preču pārdošanas līgumu pārdoti izvešanai uz Savienību un laisti brīvā apgrozībā Savienībā nepastarpinātai izmantošanai tērauda ražošanā.</w:t>
      </w:r>
    </w:p>
    <w:p w14:paraId="4195E7E2" w14:textId="77777777" w:rsidR="00042E3E" w:rsidRPr="000B4DCF" w:rsidRDefault="00042E3E" w:rsidP="00C17DB4">
      <w:pPr>
        <w:widowControl/>
        <w:jc w:val="both"/>
        <w:rPr>
          <w:rFonts w:ascii="Times New Roman" w:eastAsia="Times New Roman" w:hAnsi="Times New Roman" w:cs="Times New Roman"/>
          <w:noProof/>
          <w:sz w:val="24"/>
          <w:szCs w:val="24"/>
        </w:rPr>
      </w:pPr>
    </w:p>
    <w:p w14:paraId="2EED9DC6" w14:textId="0EDED77A" w:rsidR="00042E3E" w:rsidRPr="000B4DCF" w:rsidRDefault="00302554" w:rsidP="00C17DB4">
      <w:pPr>
        <w:pStyle w:val="BodyText"/>
        <w:widowControl/>
        <w:tabs>
          <w:tab w:val="left" w:pos="486"/>
        </w:tabs>
        <w:ind w:left="0" w:firstLine="0"/>
        <w:jc w:val="both"/>
        <w:rPr>
          <w:rFonts w:cs="Times New Roman"/>
          <w:noProof/>
        </w:rPr>
      </w:pPr>
      <w:r w:rsidRPr="000B4DCF">
        <w:rPr>
          <w:rFonts w:cs="Times New Roman"/>
        </w:rPr>
        <w:t>4. Attiecībā uz atkritumiem, kas paredzēti tālākai apstrādei vai reaktivēšanai Savienības muitas teritorijā (piemēram, izlietotiem katalizatoriem, kas ievesti Savienībā, lai tiktu ekstrahēti un pārdoti tajos esošie vērtīgie metāli), parasti piemēro ievešanas muitas procedūru.</w:t>
      </w:r>
      <w:r w:rsidR="00E20ADC" w:rsidRPr="000B4DCF">
        <w:rPr>
          <w:rStyle w:val="FootnoteReference"/>
          <w:rFonts w:cs="Times New Roman"/>
          <w:noProof/>
        </w:rPr>
        <w:footnoteReference w:id="5"/>
      </w:r>
      <w:r w:rsidRPr="000B4DCF">
        <w:rPr>
          <w:rFonts w:cs="Times New Roman"/>
        </w:rPr>
        <w:t xml:space="preserve"> Ja no atkritumiem iegūtos pārstrādes produktus</w:t>
      </w:r>
      <w:r w:rsidR="00E20ADC" w:rsidRPr="000B4DCF">
        <w:rPr>
          <w:rStyle w:val="FootnoteReference"/>
          <w:rFonts w:cs="Times New Roman"/>
          <w:noProof/>
        </w:rPr>
        <w:footnoteReference w:id="6"/>
      </w:r>
      <w:r w:rsidRPr="000B4DCF">
        <w:rPr>
          <w:rFonts w:cs="Times New Roman"/>
        </w:rPr>
        <w:t xml:space="preserve"> laiž brīvā apgrozībā Savienības muitas teritorijā</w:t>
      </w:r>
      <w:r w:rsidR="00E20ADC" w:rsidRPr="000B4DCF">
        <w:rPr>
          <w:rStyle w:val="FootnoteReference"/>
          <w:rFonts w:cs="Times New Roman"/>
          <w:noProof/>
        </w:rPr>
        <w:footnoteReference w:id="7"/>
      </w:r>
      <w:r w:rsidRPr="000B4DCF">
        <w:rPr>
          <w:rFonts w:cs="Times New Roman"/>
        </w:rPr>
        <w:t>, to muitas vērtība jānosaka saskaņā ar vispārējiem noteikumiem par muitas vērtības noteikšanu.</w:t>
      </w:r>
    </w:p>
    <w:p w14:paraId="6CCA7225" w14:textId="77777777" w:rsidR="00042E3E" w:rsidRPr="000B4DCF" w:rsidRDefault="00042E3E" w:rsidP="00C17DB4">
      <w:pPr>
        <w:widowControl/>
        <w:jc w:val="both"/>
        <w:rPr>
          <w:rFonts w:ascii="Times New Roman" w:eastAsia="Times New Roman" w:hAnsi="Times New Roman" w:cs="Times New Roman"/>
          <w:noProof/>
          <w:sz w:val="24"/>
          <w:szCs w:val="24"/>
        </w:rPr>
      </w:pPr>
    </w:p>
    <w:p w14:paraId="2D89DEA4" w14:textId="67C624B5" w:rsidR="00042E3E" w:rsidRPr="000B4DCF" w:rsidRDefault="00302554" w:rsidP="00C17DB4">
      <w:pPr>
        <w:pStyle w:val="BodyText"/>
        <w:widowControl/>
        <w:tabs>
          <w:tab w:val="left" w:pos="486"/>
        </w:tabs>
        <w:ind w:left="0" w:firstLine="0"/>
        <w:jc w:val="both"/>
        <w:rPr>
          <w:rFonts w:cs="Times New Roman"/>
          <w:noProof/>
        </w:rPr>
      </w:pPr>
      <w:r w:rsidRPr="000B4DCF">
        <w:rPr>
          <w:rFonts w:cs="Times New Roman"/>
        </w:rPr>
        <w:t>5. Ja atkritumus Savienības muitas teritorijā ieved iznīcināšanai/neitralizēšanai (piemēram, bīstamos atkritumus), parasti nepiemēro pārdošanas izvešanai uz Savienību procedūru, jo eksportētājs maksā importētājam par iznīcināšanas pakalpojumiem.</w:t>
      </w:r>
      <w:r w:rsidR="005509BB" w:rsidRPr="000B4DCF">
        <w:rPr>
          <w:rStyle w:val="FootnoteReference"/>
          <w:rFonts w:cs="Times New Roman"/>
          <w:noProof/>
        </w:rPr>
        <w:footnoteReference w:id="8"/>
      </w:r>
    </w:p>
    <w:p w14:paraId="16C24CF1" w14:textId="77777777" w:rsidR="00A15A89" w:rsidRPr="000B4DCF" w:rsidRDefault="00A15A89" w:rsidP="00C17DB4">
      <w:pPr>
        <w:widowControl/>
        <w:jc w:val="both"/>
        <w:rPr>
          <w:rFonts w:ascii="Times New Roman" w:eastAsia="Times New Roman" w:hAnsi="Times New Roman" w:cs="Times New Roman"/>
          <w:noProof/>
          <w:sz w:val="24"/>
          <w:szCs w:val="24"/>
        </w:rPr>
      </w:pPr>
    </w:p>
    <w:p w14:paraId="606A64AE" w14:textId="5E82F92C" w:rsidR="00042E3E" w:rsidRPr="000B4DCF" w:rsidRDefault="00BA1D76" w:rsidP="00C17DB4">
      <w:pPr>
        <w:pStyle w:val="Heading2"/>
        <w:widowControl/>
        <w:tabs>
          <w:tab w:val="left" w:pos="430"/>
        </w:tabs>
        <w:ind w:left="0"/>
        <w:jc w:val="both"/>
        <w:rPr>
          <w:rFonts w:cs="Times New Roman"/>
          <w:noProof/>
          <w:u w:val="single" w:color="000000"/>
        </w:rPr>
      </w:pPr>
      <w:r w:rsidRPr="000B4DCF">
        <w:rPr>
          <w:rFonts w:cs="Times New Roman"/>
          <w:u w:val="single" w:color="000000"/>
        </w:rPr>
        <w:lastRenderedPageBreak/>
        <w:t>II. Ievesto atkritumu un no atkritumiem iegūtu pārstrādes produktu muitas vērtības noteikšana ar palīgmetodēm</w:t>
      </w:r>
    </w:p>
    <w:p w14:paraId="6CA55F2B" w14:textId="77777777" w:rsidR="00042E3E" w:rsidRPr="000B4DCF" w:rsidRDefault="00042E3E" w:rsidP="00C17DB4">
      <w:pPr>
        <w:widowControl/>
        <w:jc w:val="both"/>
        <w:rPr>
          <w:rFonts w:ascii="Times New Roman" w:eastAsia="Times New Roman" w:hAnsi="Times New Roman" w:cs="Times New Roman"/>
          <w:b/>
          <w:bCs/>
          <w:i/>
          <w:noProof/>
          <w:sz w:val="24"/>
          <w:szCs w:val="24"/>
        </w:rPr>
      </w:pPr>
    </w:p>
    <w:p w14:paraId="1F40ED68" w14:textId="2C29203D" w:rsidR="00042E3E" w:rsidRPr="000B4DCF" w:rsidRDefault="00BA1D76" w:rsidP="00C17DB4">
      <w:pPr>
        <w:pStyle w:val="BodyText"/>
        <w:widowControl/>
        <w:tabs>
          <w:tab w:val="left" w:pos="546"/>
        </w:tabs>
        <w:ind w:left="0" w:firstLine="0"/>
        <w:jc w:val="both"/>
        <w:rPr>
          <w:rFonts w:cs="Times New Roman"/>
          <w:noProof/>
        </w:rPr>
      </w:pPr>
      <w:r w:rsidRPr="000B4DCF">
        <w:rPr>
          <w:rFonts w:cs="Times New Roman"/>
        </w:rPr>
        <w:t>1. Dažos praksē sastopamos gadījumos, kad netiek piemērota pārdošanas izvešanai procedūra, Savienības muitas teritorijā ievesto atkritumu muitas vērtību nosaka, izmantojot kādu no palīgmetodēm.</w:t>
      </w:r>
    </w:p>
    <w:p w14:paraId="18E08121" w14:textId="77777777" w:rsidR="00042E3E" w:rsidRPr="000B4DCF" w:rsidRDefault="00042E3E" w:rsidP="00C17DB4">
      <w:pPr>
        <w:widowControl/>
        <w:jc w:val="both"/>
        <w:rPr>
          <w:rFonts w:ascii="Times New Roman" w:eastAsia="Times New Roman" w:hAnsi="Times New Roman" w:cs="Times New Roman"/>
          <w:noProof/>
          <w:sz w:val="24"/>
          <w:szCs w:val="24"/>
        </w:rPr>
      </w:pPr>
    </w:p>
    <w:p w14:paraId="77C69A5D" w14:textId="58A4A944" w:rsidR="00042E3E" w:rsidRPr="000B4DCF" w:rsidRDefault="00BA1D76" w:rsidP="00C17DB4">
      <w:pPr>
        <w:pStyle w:val="BodyText"/>
        <w:widowControl/>
        <w:tabs>
          <w:tab w:val="left" w:pos="546"/>
        </w:tabs>
        <w:ind w:left="0" w:firstLine="0"/>
        <w:jc w:val="both"/>
        <w:rPr>
          <w:rFonts w:cs="Times New Roman"/>
          <w:noProof/>
        </w:rPr>
      </w:pPr>
      <w:r w:rsidRPr="000B4DCF">
        <w:rPr>
          <w:rFonts w:cs="Times New Roman"/>
        </w:rPr>
        <w:t>2. Šādos gadījumos, nosakot atkritumu muitas vērtību, jāievēro palīgmetožu secība (pēc importētāja lūguma SMK 74. panta 2. punkta c) un d) apakšpunktu piemēro apgrieztā secībā).</w:t>
      </w:r>
    </w:p>
    <w:p w14:paraId="191CD7A6" w14:textId="77777777" w:rsidR="00042E3E" w:rsidRPr="000B4DCF" w:rsidRDefault="00042E3E" w:rsidP="00C17DB4">
      <w:pPr>
        <w:widowControl/>
        <w:jc w:val="both"/>
        <w:rPr>
          <w:rFonts w:ascii="Times New Roman" w:eastAsia="Times New Roman" w:hAnsi="Times New Roman" w:cs="Times New Roman"/>
          <w:noProof/>
          <w:sz w:val="24"/>
          <w:szCs w:val="24"/>
        </w:rPr>
      </w:pPr>
    </w:p>
    <w:p w14:paraId="0289CA82" w14:textId="13FAA09F" w:rsidR="00042E3E" w:rsidRPr="000B4DCF" w:rsidRDefault="00BA1D76" w:rsidP="00C17DB4">
      <w:pPr>
        <w:pStyle w:val="BodyText"/>
        <w:widowControl/>
        <w:tabs>
          <w:tab w:val="left" w:pos="546"/>
        </w:tabs>
        <w:ind w:left="0" w:firstLine="0"/>
        <w:jc w:val="both"/>
        <w:rPr>
          <w:rFonts w:cs="Times New Roman"/>
          <w:noProof/>
        </w:rPr>
      </w:pPr>
      <w:r w:rsidRPr="000B4DCF">
        <w:rPr>
          <w:rFonts w:cs="Times New Roman"/>
        </w:rPr>
        <w:t>3. Pareizās palīgmetodes izvēle būs atkarīga no tās informācijas pieejamības, kas nepieciešama preču muitas vērtības noteikšanai.</w:t>
      </w:r>
    </w:p>
    <w:p w14:paraId="7B2A9079" w14:textId="77777777" w:rsidR="00042E3E" w:rsidRPr="000B4DCF" w:rsidRDefault="00042E3E" w:rsidP="00C17DB4">
      <w:pPr>
        <w:widowControl/>
        <w:jc w:val="both"/>
        <w:rPr>
          <w:rFonts w:ascii="Times New Roman" w:eastAsia="Times New Roman" w:hAnsi="Times New Roman" w:cs="Times New Roman"/>
          <w:noProof/>
          <w:sz w:val="24"/>
          <w:szCs w:val="24"/>
        </w:rPr>
      </w:pPr>
    </w:p>
    <w:p w14:paraId="2AF57B74" w14:textId="77777777" w:rsidR="00042E3E" w:rsidRPr="000B4DCF" w:rsidRDefault="00042E3E" w:rsidP="00C17DB4">
      <w:pPr>
        <w:widowControl/>
        <w:jc w:val="both"/>
        <w:rPr>
          <w:rFonts w:ascii="Times New Roman" w:hAnsi="Times New Roman" w:cs="Times New Roman"/>
          <w:i/>
          <w:noProof/>
          <w:sz w:val="24"/>
          <w:szCs w:val="24"/>
          <w:u w:val="single" w:color="000000"/>
        </w:rPr>
      </w:pPr>
      <w:r w:rsidRPr="000B4DCF">
        <w:rPr>
          <w:rFonts w:ascii="Times New Roman" w:hAnsi="Times New Roman" w:cs="Times New Roman"/>
          <w:i/>
          <w:sz w:val="24"/>
          <w:u w:val="single" w:color="000000"/>
        </w:rPr>
        <w:t>Vienādu vai līdzīgu preču darījuma vērtība (SMK 74. panta 2. punkta a) un b) apakšpunkts un SMK ĪA 141. pants)</w:t>
      </w:r>
    </w:p>
    <w:p w14:paraId="268DE789" w14:textId="77777777" w:rsidR="00042E3E" w:rsidRPr="000B4DCF" w:rsidRDefault="00042E3E" w:rsidP="00C17DB4">
      <w:pPr>
        <w:widowControl/>
        <w:jc w:val="both"/>
        <w:rPr>
          <w:rFonts w:ascii="Times New Roman" w:eastAsia="Times New Roman" w:hAnsi="Times New Roman" w:cs="Times New Roman"/>
          <w:i/>
          <w:noProof/>
          <w:sz w:val="24"/>
          <w:szCs w:val="24"/>
        </w:rPr>
      </w:pPr>
    </w:p>
    <w:p w14:paraId="2CF836CE" w14:textId="72BA48D6" w:rsidR="00042E3E" w:rsidRPr="000B4DCF" w:rsidRDefault="00F425F8" w:rsidP="00C17DB4">
      <w:pPr>
        <w:pStyle w:val="BodyText"/>
        <w:widowControl/>
        <w:tabs>
          <w:tab w:val="left" w:pos="546"/>
        </w:tabs>
        <w:ind w:left="0" w:firstLine="0"/>
        <w:jc w:val="both"/>
        <w:rPr>
          <w:rFonts w:cs="Times New Roman"/>
          <w:noProof/>
        </w:rPr>
      </w:pPr>
      <w:r w:rsidRPr="000B4DCF">
        <w:rPr>
          <w:rFonts w:cs="Times New Roman"/>
        </w:rPr>
        <w:t xml:space="preserve">4. Lai piemērotu vienādu/līdzīgu preču darījuma vērtības noteikšanas metodi, ir jāidentificē vienādas/līdzīgas preces, kas pārdotas izvešanai uz Savienības muitas teritoriju un izvestas aptuveni vai tajā pašā laikā, kad ir izvestas vērtējamās preces, un kas atbilstu </w:t>
      </w:r>
      <w:r w:rsidRPr="000B4DCF">
        <w:rPr>
          <w:rFonts w:cs="Times New Roman"/>
          <w:i/>
        </w:rPr>
        <w:t>vienādu/līdzīgu</w:t>
      </w:r>
      <w:r w:rsidRPr="000B4DCF">
        <w:rPr>
          <w:rFonts w:cs="Times New Roman"/>
        </w:rPr>
        <w:t xml:space="preserve"> </w:t>
      </w:r>
      <w:r w:rsidRPr="000B4DCF">
        <w:rPr>
          <w:rFonts w:cs="Times New Roman"/>
          <w:i/>
          <w:iCs/>
        </w:rPr>
        <w:t>preču</w:t>
      </w:r>
      <w:r w:rsidRPr="000B4DCF">
        <w:rPr>
          <w:rFonts w:cs="Times New Roman"/>
        </w:rPr>
        <w:t xml:space="preserve"> juridiskai definīcijai (SMK ĪA 1. panta 2. punkta 4. un 14. apakšpunkts).</w:t>
      </w:r>
    </w:p>
    <w:p w14:paraId="495B53FA" w14:textId="77777777" w:rsidR="00042E3E" w:rsidRPr="000B4DCF" w:rsidRDefault="00042E3E" w:rsidP="00C17DB4">
      <w:pPr>
        <w:widowControl/>
        <w:jc w:val="both"/>
        <w:rPr>
          <w:rFonts w:ascii="Times New Roman" w:eastAsia="Times New Roman" w:hAnsi="Times New Roman" w:cs="Times New Roman"/>
          <w:noProof/>
          <w:sz w:val="24"/>
          <w:szCs w:val="24"/>
        </w:rPr>
      </w:pPr>
    </w:p>
    <w:p w14:paraId="4FB1812D" w14:textId="5FDF9B6F" w:rsidR="00042E3E" w:rsidRPr="000B4DCF" w:rsidRDefault="00F425F8" w:rsidP="00C17DB4">
      <w:pPr>
        <w:pStyle w:val="BodyText"/>
        <w:widowControl/>
        <w:tabs>
          <w:tab w:val="left" w:pos="546"/>
        </w:tabs>
        <w:ind w:left="0" w:firstLine="0"/>
        <w:jc w:val="both"/>
        <w:rPr>
          <w:rFonts w:cs="Times New Roman"/>
          <w:noProof/>
        </w:rPr>
      </w:pPr>
      <w:r w:rsidRPr="000B4DCF">
        <w:rPr>
          <w:rFonts w:cs="Times New Roman"/>
        </w:rPr>
        <w:t>5. Tomēr atkritumu specifikas dēļ (t. i., tiem ir daudzveidīgs sastāvs, tie sastopami kā reģenerējamu un nereģenerējamu elementu maisījums utt.) ir ļoti sarežģīti vai pat neiespējami izmantot vienādu/līdzīgu preču metodi, lai noteiktu darījuma vērtību.</w:t>
      </w:r>
    </w:p>
    <w:p w14:paraId="67B56FA4" w14:textId="77777777" w:rsidR="00042E3E" w:rsidRPr="000B4DCF" w:rsidRDefault="00042E3E" w:rsidP="00C17DB4">
      <w:pPr>
        <w:widowControl/>
        <w:jc w:val="both"/>
        <w:rPr>
          <w:rFonts w:ascii="Times New Roman" w:eastAsia="Times New Roman" w:hAnsi="Times New Roman" w:cs="Times New Roman"/>
          <w:noProof/>
          <w:sz w:val="24"/>
          <w:szCs w:val="24"/>
        </w:rPr>
      </w:pPr>
    </w:p>
    <w:p w14:paraId="3688CDAE" w14:textId="77777777" w:rsidR="00042E3E" w:rsidRPr="000B4DCF" w:rsidRDefault="00042E3E" w:rsidP="00C17DB4">
      <w:pPr>
        <w:widowControl/>
        <w:jc w:val="both"/>
        <w:rPr>
          <w:rFonts w:ascii="Times New Roman" w:hAnsi="Times New Roman" w:cs="Times New Roman"/>
          <w:i/>
          <w:noProof/>
          <w:sz w:val="24"/>
          <w:szCs w:val="24"/>
          <w:u w:val="single" w:color="000000"/>
        </w:rPr>
      </w:pPr>
      <w:r w:rsidRPr="000B4DCF">
        <w:rPr>
          <w:rFonts w:ascii="Times New Roman" w:hAnsi="Times New Roman" w:cs="Times New Roman"/>
          <w:i/>
          <w:sz w:val="24"/>
          <w:u w:val="single" w:color="000000"/>
        </w:rPr>
        <w:t>Deduktīvā metode (SMK 74. panta 2. punkta c) apakšpunkts un SMK ĪA 142. pants)</w:t>
      </w:r>
    </w:p>
    <w:p w14:paraId="394763A7" w14:textId="77777777" w:rsidR="00042E3E" w:rsidRPr="000B4DCF" w:rsidRDefault="00042E3E" w:rsidP="00C17DB4">
      <w:pPr>
        <w:widowControl/>
        <w:jc w:val="both"/>
        <w:rPr>
          <w:rFonts w:ascii="Times New Roman" w:eastAsia="Times New Roman" w:hAnsi="Times New Roman" w:cs="Times New Roman"/>
          <w:i/>
          <w:noProof/>
          <w:sz w:val="24"/>
          <w:szCs w:val="24"/>
        </w:rPr>
      </w:pPr>
    </w:p>
    <w:p w14:paraId="02C6D689" w14:textId="4DDC7F4C" w:rsidR="00042E3E" w:rsidRPr="000B4DCF" w:rsidRDefault="00F425F8" w:rsidP="00C17DB4">
      <w:pPr>
        <w:pStyle w:val="BodyText"/>
        <w:widowControl/>
        <w:tabs>
          <w:tab w:val="left" w:pos="546"/>
        </w:tabs>
        <w:ind w:left="0" w:firstLine="0"/>
        <w:jc w:val="both"/>
        <w:rPr>
          <w:rFonts w:cs="Times New Roman"/>
          <w:noProof/>
        </w:rPr>
      </w:pPr>
      <w:r w:rsidRPr="000B4DCF">
        <w:rPr>
          <w:rFonts w:cs="Times New Roman"/>
        </w:rPr>
        <w:t>6. Ja muitas vērtību nevar noteikt, pamatojoties uz abām iepriekš minētajām metodēm, var izmantot SMK ĪA 142. pantā izklāstīto deduktīvo metodi.</w:t>
      </w:r>
    </w:p>
    <w:p w14:paraId="21210995" w14:textId="77777777" w:rsidR="00042E3E" w:rsidRPr="000B4DCF" w:rsidRDefault="00042E3E" w:rsidP="00C17DB4">
      <w:pPr>
        <w:widowControl/>
        <w:jc w:val="both"/>
        <w:rPr>
          <w:rFonts w:ascii="Times New Roman" w:eastAsia="Times New Roman" w:hAnsi="Times New Roman" w:cs="Times New Roman"/>
          <w:noProof/>
          <w:sz w:val="24"/>
          <w:szCs w:val="24"/>
        </w:rPr>
      </w:pPr>
    </w:p>
    <w:p w14:paraId="0B795B5F" w14:textId="51688443" w:rsidR="00042E3E" w:rsidRPr="000B4DCF" w:rsidRDefault="00F425F8" w:rsidP="00C17DB4">
      <w:pPr>
        <w:pStyle w:val="BodyText"/>
        <w:widowControl/>
        <w:tabs>
          <w:tab w:val="left" w:pos="546"/>
        </w:tabs>
        <w:ind w:left="0" w:firstLine="0"/>
        <w:jc w:val="both"/>
        <w:rPr>
          <w:rFonts w:cs="Times New Roman"/>
          <w:noProof/>
        </w:rPr>
      </w:pPr>
      <w:r w:rsidRPr="000B4DCF">
        <w:rPr>
          <w:rFonts w:cs="Times New Roman"/>
        </w:rPr>
        <w:t xml:space="preserve">7. Deduktīvās metodes noteikumos minētie jēdzieni </w:t>
      </w:r>
      <w:r w:rsidRPr="000B4DCF">
        <w:rPr>
          <w:rFonts w:cs="Times New Roman"/>
          <w:i/>
        </w:rPr>
        <w:t>vienādas/līdzīgas preces</w:t>
      </w:r>
      <w:r w:rsidRPr="000B4DCF">
        <w:rPr>
          <w:rFonts w:cs="Times New Roman"/>
        </w:rPr>
        <w:t xml:space="preserve"> un </w:t>
      </w:r>
      <w:r w:rsidRPr="000B4DCF">
        <w:rPr>
          <w:rFonts w:cs="Times New Roman"/>
          <w:i/>
        </w:rPr>
        <w:t>saistītās personas</w:t>
      </w:r>
      <w:r w:rsidRPr="000B4DCF">
        <w:rPr>
          <w:rFonts w:cs="Times New Roman"/>
        </w:rPr>
        <w:t xml:space="preserve"> ir jāinterpretē attiecīgi SMK ĪA 1. panta 2. punkta 4. un 14. apakšpunkta un 127. panta izpratnē.</w:t>
      </w:r>
    </w:p>
    <w:p w14:paraId="49B30582" w14:textId="77777777" w:rsidR="00042E3E" w:rsidRPr="000B4DCF" w:rsidRDefault="00042E3E" w:rsidP="00C17DB4">
      <w:pPr>
        <w:widowControl/>
        <w:jc w:val="both"/>
        <w:rPr>
          <w:rFonts w:ascii="Times New Roman" w:eastAsia="Times New Roman" w:hAnsi="Times New Roman" w:cs="Times New Roman"/>
          <w:noProof/>
          <w:sz w:val="24"/>
          <w:szCs w:val="24"/>
        </w:rPr>
      </w:pPr>
    </w:p>
    <w:p w14:paraId="73E71654" w14:textId="3961D06B" w:rsidR="00042E3E" w:rsidRPr="000B4DCF" w:rsidRDefault="00F425F8" w:rsidP="00C17DB4">
      <w:pPr>
        <w:pStyle w:val="BodyText"/>
        <w:widowControl/>
        <w:tabs>
          <w:tab w:val="left" w:pos="546"/>
        </w:tabs>
        <w:ind w:left="0" w:firstLine="0"/>
        <w:jc w:val="both"/>
        <w:rPr>
          <w:rFonts w:cs="Times New Roman"/>
          <w:noProof/>
        </w:rPr>
      </w:pPr>
      <w:r w:rsidRPr="000B4DCF">
        <w:rPr>
          <w:rFonts w:cs="Times New Roman"/>
        </w:rPr>
        <w:t>8. Tā kā atkritumi ir specifiskas ievestās preces, ir jāievēro konkrēti ierobežojumi arī deduktīvās metodes izmantošanā vērtības noteikšanai. Tomēr metodi var izmantot gadījumos, kad ievesto atkritumu pārstrādes produkti netiek pārdoti, pirms ir veikta procedūra to laišanai brīvā apgrozībā. Šādos gadījumos pārstrādes produktu pārdošanas cena, kas tiek noteikta preču pārdošanai nesaistītām personām Savienības muitas teritorijā pirmajā tirdzniecības līmenī, var būt sākuma punkts, lai aprēķinātu vienības cenu, kas jāizmanto, lai saskaņā ar metodi noteiktu muitas vērtību.</w:t>
      </w:r>
    </w:p>
    <w:p w14:paraId="03508703" w14:textId="77777777" w:rsidR="00042E3E" w:rsidRPr="000B4DCF" w:rsidRDefault="00042E3E" w:rsidP="00C17DB4">
      <w:pPr>
        <w:widowControl/>
        <w:jc w:val="both"/>
        <w:rPr>
          <w:rFonts w:ascii="Times New Roman" w:eastAsia="Times New Roman" w:hAnsi="Times New Roman" w:cs="Times New Roman"/>
          <w:noProof/>
          <w:sz w:val="24"/>
          <w:szCs w:val="24"/>
        </w:rPr>
      </w:pPr>
    </w:p>
    <w:p w14:paraId="4358202F" w14:textId="77777777" w:rsidR="00042E3E" w:rsidRPr="000B4DCF" w:rsidRDefault="00042E3E" w:rsidP="00C17DB4">
      <w:pPr>
        <w:widowControl/>
        <w:jc w:val="both"/>
        <w:rPr>
          <w:rFonts w:ascii="Times New Roman" w:hAnsi="Times New Roman" w:cs="Times New Roman"/>
          <w:i/>
          <w:noProof/>
          <w:sz w:val="24"/>
          <w:szCs w:val="24"/>
          <w:u w:val="single" w:color="000000"/>
        </w:rPr>
      </w:pPr>
      <w:r w:rsidRPr="000B4DCF">
        <w:rPr>
          <w:rFonts w:ascii="Times New Roman" w:hAnsi="Times New Roman" w:cs="Times New Roman"/>
          <w:i/>
          <w:sz w:val="24"/>
          <w:u w:val="single" w:color="000000"/>
        </w:rPr>
        <w:t>Aprēķinātās vērtības metode (SMK 74. panta 2. punkta d) apakšpunkts un SMK ĪA 143. pants)</w:t>
      </w:r>
    </w:p>
    <w:p w14:paraId="02A57674" w14:textId="77777777" w:rsidR="00A15A89" w:rsidRPr="000B4DCF" w:rsidRDefault="00A15A89" w:rsidP="00C17DB4">
      <w:pPr>
        <w:widowControl/>
        <w:jc w:val="both"/>
        <w:rPr>
          <w:rFonts w:ascii="Times New Roman" w:eastAsia="Times New Roman" w:hAnsi="Times New Roman" w:cs="Times New Roman"/>
          <w:noProof/>
          <w:sz w:val="24"/>
          <w:szCs w:val="24"/>
        </w:rPr>
      </w:pPr>
    </w:p>
    <w:p w14:paraId="330AA517" w14:textId="7EC7EDFA" w:rsidR="00042E3E" w:rsidRPr="000B4DCF" w:rsidRDefault="00F425F8" w:rsidP="00C17DB4">
      <w:pPr>
        <w:pStyle w:val="BodyText"/>
        <w:widowControl/>
        <w:tabs>
          <w:tab w:val="left" w:pos="546"/>
        </w:tabs>
        <w:ind w:left="0" w:firstLine="0"/>
        <w:jc w:val="both"/>
        <w:rPr>
          <w:rFonts w:cs="Times New Roman"/>
          <w:noProof/>
        </w:rPr>
      </w:pPr>
      <w:r w:rsidRPr="000B4DCF">
        <w:rPr>
          <w:rFonts w:cs="Times New Roman"/>
        </w:rPr>
        <w:t>9. Tā kā atkritumi būtībā netiek ražoti, ievesto atkritumu muitas vērtības noteikšanai nebūtu piemērojama aprēķinātās vērtības metode.</w:t>
      </w:r>
    </w:p>
    <w:p w14:paraId="3A6C44B0" w14:textId="77777777" w:rsidR="00042E3E" w:rsidRPr="000B4DCF" w:rsidRDefault="00042E3E" w:rsidP="00C17DB4">
      <w:pPr>
        <w:widowControl/>
        <w:jc w:val="both"/>
        <w:rPr>
          <w:rFonts w:ascii="Times New Roman" w:eastAsia="Times New Roman" w:hAnsi="Times New Roman" w:cs="Times New Roman"/>
          <w:noProof/>
          <w:sz w:val="24"/>
          <w:szCs w:val="24"/>
        </w:rPr>
      </w:pPr>
    </w:p>
    <w:p w14:paraId="6693EBE7" w14:textId="77777777" w:rsidR="00042E3E" w:rsidRPr="000B4DCF" w:rsidRDefault="00042E3E" w:rsidP="000E69F9">
      <w:pPr>
        <w:keepNext/>
        <w:widowControl/>
        <w:jc w:val="both"/>
        <w:rPr>
          <w:rFonts w:ascii="Times New Roman" w:hAnsi="Times New Roman" w:cs="Times New Roman"/>
          <w:i/>
          <w:noProof/>
          <w:sz w:val="24"/>
          <w:szCs w:val="24"/>
          <w:u w:val="single" w:color="000000"/>
        </w:rPr>
      </w:pPr>
      <w:r w:rsidRPr="000B4DCF">
        <w:rPr>
          <w:rFonts w:ascii="Times New Roman" w:hAnsi="Times New Roman" w:cs="Times New Roman"/>
          <w:i/>
          <w:sz w:val="24"/>
          <w:u w:val="single" w:color="000000"/>
        </w:rPr>
        <w:lastRenderedPageBreak/>
        <w:t>Savienības muitas teritorijā pieejamo datu metode (SMK 74. panta 3. punkts un SMK ĪA 144. pants)</w:t>
      </w:r>
    </w:p>
    <w:p w14:paraId="53CDE032" w14:textId="77777777" w:rsidR="00042E3E" w:rsidRPr="000B4DCF" w:rsidRDefault="00042E3E" w:rsidP="000E69F9">
      <w:pPr>
        <w:keepNext/>
        <w:widowControl/>
        <w:jc w:val="both"/>
        <w:rPr>
          <w:rFonts w:ascii="Times New Roman" w:eastAsia="Times New Roman" w:hAnsi="Times New Roman" w:cs="Times New Roman"/>
          <w:i/>
          <w:noProof/>
          <w:sz w:val="24"/>
          <w:szCs w:val="24"/>
        </w:rPr>
      </w:pPr>
    </w:p>
    <w:p w14:paraId="1C1ED1DB" w14:textId="176432B2" w:rsidR="00042E3E" w:rsidRPr="000B4DCF" w:rsidRDefault="00285B66" w:rsidP="000E69F9">
      <w:pPr>
        <w:pStyle w:val="BodyText"/>
        <w:keepNext/>
        <w:widowControl/>
        <w:tabs>
          <w:tab w:val="left" w:pos="546"/>
        </w:tabs>
        <w:ind w:left="0" w:firstLine="0"/>
        <w:jc w:val="both"/>
        <w:rPr>
          <w:rFonts w:cs="Times New Roman"/>
          <w:noProof/>
        </w:rPr>
      </w:pPr>
      <w:r w:rsidRPr="000B4DCF">
        <w:rPr>
          <w:rFonts w:cs="Times New Roman"/>
        </w:rPr>
        <w:t>10. Ņemot vērā iepriekš minētos palīgmetožu piemērošanas ierobežojumus, ievesto atkritumu muitas vērtības noteikšanai faktiski visbiežāk izmanto Savienības muitas teritorijā pieejamo datu metodi.</w:t>
      </w:r>
    </w:p>
    <w:p w14:paraId="6565836A" w14:textId="77777777" w:rsidR="00042E3E" w:rsidRPr="000B4DCF" w:rsidRDefault="00042E3E" w:rsidP="00C17DB4">
      <w:pPr>
        <w:widowControl/>
        <w:jc w:val="both"/>
        <w:rPr>
          <w:rFonts w:ascii="Times New Roman" w:eastAsia="Times New Roman" w:hAnsi="Times New Roman" w:cs="Times New Roman"/>
          <w:noProof/>
          <w:sz w:val="24"/>
          <w:szCs w:val="24"/>
        </w:rPr>
      </w:pPr>
    </w:p>
    <w:p w14:paraId="026F76F1" w14:textId="2C828DD4" w:rsidR="00042E3E" w:rsidRPr="000B4DCF" w:rsidRDefault="00285B66" w:rsidP="00C17DB4">
      <w:pPr>
        <w:widowControl/>
        <w:tabs>
          <w:tab w:val="left" w:pos="546"/>
        </w:tabs>
        <w:jc w:val="both"/>
        <w:rPr>
          <w:rFonts w:ascii="Times New Roman" w:eastAsia="Times New Roman" w:hAnsi="Times New Roman" w:cs="Times New Roman"/>
          <w:noProof/>
          <w:sz w:val="24"/>
          <w:szCs w:val="24"/>
        </w:rPr>
      </w:pPr>
      <w:r w:rsidRPr="000B4DCF">
        <w:rPr>
          <w:rFonts w:ascii="Times New Roman" w:hAnsi="Times New Roman" w:cs="Times New Roman"/>
          <w:sz w:val="24"/>
        </w:rPr>
        <w:t>11. Saskaņā ar SMK 74. panta 3. punktu Savienības muitas teritorijā pieejamo datu metodi izmanto, lai noteiktu muitas vērtību, “</w:t>
      </w:r>
      <w:r w:rsidRPr="000B4DCF">
        <w:rPr>
          <w:rFonts w:ascii="Times New Roman" w:hAnsi="Times New Roman" w:cs="Times New Roman"/>
          <w:i/>
          <w:sz w:val="24"/>
        </w:rPr>
        <w:t>.. pamatojoties uz Savienības muitas teritorijā pieejamiem datiem, izmantojot pieņemamus līdzekļus, kas atbilst principiem un vispārīgiem noteikumiem, kuri ietverti visā turpmāk norādītajā:</w:t>
      </w:r>
    </w:p>
    <w:p w14:paraId="0932B194" w14:textId="754FA35F" w:rsidR="00042E3E" w:rsidRPr="000B4DCF" w:rsidRDefault="00285B66" w:rsidP="00035B12">
      <w:pPr>
        <w:widowControl/>
        <w:tabs>
          <w:tab w:val="left" w:pos="979"/>
        </w:tabs>
        <w:ind w:left="142"/>
        <w:jc w:val="both"/>
        <w:rPr>
          <w:rFonts w:ascii="Times New Roman" w:hAnsi="Times New Roman" w:cs="Times New Roman"/>
          <w:i/>
          <w:noProof/>
          <w:sz w:val="24"/>
          <w:szCs w:val="24"/>
        </w:rPr>
      </w:pPr>
      <w:r w:rsidRPr="000B4DCF">
        <w:rPr>
          <w:rFonts w:ascii="Times New Roman" w:hAnsi="Times New Roman" w:cs="Times New Roman"/>
          <w:i/>
          <w:sz w:val="24"/>
        </w:rPr>
        <w:t>a) nolīgumā par Vispārējās vienošanās par tarifiem un tirdzniecību VII panta piemērošanu;</w:t>
      </w:r>
    </w:p>
    <w:p w14:paraId="78D32CD1" w14:textId="1FCD6502" w:rsidR="00042E3E" w:rsidRPr="000B4DCF" w:rsidRDefault="00CC1B36" w:rsidP="00035B12">
      <w:pPr>
        <w:widowControl/>
        <w:tabs>
          <w:tab w:val="left" w:pos="979"/>
        </w:tabs>
        <w:ind w:left="142"/>
        <w:jc w:val="both"/>
        <w:rPr>
          <w:rFonts w:ascii="Times New Roman" w:hAnsi="Times New Roman" w:cs="Times New Roman"/>
          <w:i/>
          <w:noProof/>
          <w:sz w:val="24"/>
          <w:szCs w:val="24"/>
        </w:rPr>
      </w:pPr>
      <w:r w:rsidRPr="000B4DCF">
        <w:rPr>
          <w:rFonts w:ascii="Times New Roman" w:hAnsi="Times New Roman" w:cs="Times New Roman"/>
          <w:i/>
          <w:sz w:val="24"/>
        </w:rPr>
        <w:t>b) Vispārējās vienošanās par tarifiem un tirdzniecību VII pantā;</w:t>
      </w:r>
    </w:p>
    <w:p w14:paraId="586B4BA5" w14:textId="2A1E5CE7" w:rsidR="00042E3E" w:rsidRPr="000B4DCF" w:rsidRDefault="00CC1B36" w:rsidP="00035B12">
      <w:pPr>
        <w:widowControl/>
        <w:tabs>
          <w:tab w:val="left" w:pos="979"/>
        </w:tabs>
        <w:ind w:left="142"/>
        <w:jc w:val="both"/>
        <w:rPr>
          <w:rFonts w:ascii="Times New Roman" w:eastAsia="Times New Roman" w:hAnsi="Times New Roman" w:cs="Times New Roman"/>
          <w:noProof/>
          <w:sz w:val="24"/>
          <w:szCs w:val="24"/>
        </w:rPr>
      </w:pPr>
      <w:r w:rsidRPr="000B4DCF">
        <w:rPr>
          <w:rFonts w:ascii="Times New Roman" w:hAnsi="Times New Roman" w:cs="Times New Roman"/>
          <w:i/>
          <w:sz w:val="24"/>
        </w:rPr>
        <w:t>c) šajā nodaļā</w:t>
      </w:r>
      <w:r w:rsidRPr="000B4DCF">
        <w:rPr>
          <w:rFonts w:ascii="Times New Roman" w:hAnsi="Times New Roman" w:cs="Times New Roman"/>
          <w:sz w:val="24"/>
        </w:rPr>
        <w:t xml:space="preserve"> [SMK II sadaļas 3. nodaļā]”.</w:t>
      </w:r>
    </w:p>
    <w:p w14:paraId="2741E211" w14:textId="77777777" w:rsidR="00042E3E" w:rsidRPr="000B4DCF" w:rsidRDefault="00042E3E" w:rsidP="00C17DB4">
      <w:pPr>
        <w:widowControl/>
        <w:jc w:val="both"/>
        <w:rPr>
          <w:rFonts w:ascii="Times New Roman" w:eastAsia="Times New Roman" w:hAnsi="Times New Roman" w:cs="Times New Roman"/>
          <w:noProof/>
          <w:sz w:val="24"/>
          <w:szCs w:val="24"/>
        </w:rPr>
      </w:pPr>
    </w:p>
    <w:p w14:paraId="258A79F3" w14:textId="63583082" w:rsidR="00042E3E" w:rsidRPr="000B4DCF" w:rsidRDefault="00CC1B36" w:rsidP="00C17DB4">
      <w:pPr>
        <w:pStyle w:val="BodyText"/>
        <w:widowControl/>
        <w:tabs>
          <w:tab w:val="left" w:pos="546"/>
        </w:tabs>
        <w:ind w:left="0" w:firstLine="0"/>
        <w:jc w:val="both"/>
        <w:rPr>
          <w:rFonts w:cs="Times New Roman"/>
          <w:noProof/>
        </w:rPr>
      </w:pPr>
      <w:r w:rsidRPr="000B4DCF">
        <w:rPr>
          <w:rFonts w:cs="Times New Roman"/>
        </w:rPr>
        <w:t>12. Metodes izmantošanā ir divas alternatīvas iespējas: 1) elastīgi piemērot iepriekšējās metodes (SMK ĪA 144. panta 1. punkts) vai, ja tas nav iespējams, 2) izmantot “</w:t>
      </w:r>
      <w:r w:rsidRPr="000B4DCF">
        <w:rPr>
          <w:rFonts w:cs="Times New Roman"/>
          <w:i/>
        </w:rPr>
        <w:t>citas piemērotas metodes</w:t>
      </w:r>
      <w:r w:rsidRPr="000B4DCF">
        <w:rPr>
          <w:rFonts w:cs="Times New Roman"/>
        </w:rPr>
        <w:t>”, kā norādīts SMK ĪA 144. panta 2. punktā.</w:t>
      </w:r>
    </w:p>
    <w:p w14:paraId="4C75159A" w14:textId="77777777" w:rsidR="00042E3E" w:rsidRPr="000B4DCF" w:rsidRDefault="00042E3E" w:rsidP="00C17DB4">
      <w:pPr>
        <w:widowControl/>
        <w:jc w:val="both"/>
        <w:rPr>
          <w:rFonts w:ascii="Times New Roman" w:eastAsia="Times New Roman" w:hAnsi="Times New Roman" w:cs="Times New Roman"/>
          <w:noProof/>
          <w:sz w:val="24"/>
          <w:szCs w:val="24"/>
        </w:rPr>
      </w:pPr>
    </w:p>
    <w:p w14:paraId="42CA82DF" w14:textId="77777777" w:rsidR="00042E3E" w:rsidRPr="000B4DCF" w:rsidRDefault="00042E3E" w:rsidP="00C17DB4">
      <w:pPr>
        <w:pStyle w:val="BodyText"/>
        <w:widowControl/>
        <w:ind w:left="0" w:firstLine="0"/>
        <w:jc w:val="both"/>
        <w:rPr>
          <w:rFonts w:cs="Times New Roman"/>
          <w:noProof/>
          <w:u w:val="single" w:color="000000"/>
        </w:rPr>
      </w:pPr>
      <w:r w:rsidRPr="000B4DCF">
        <w:rPr>
          <w:rFonts w:cs="Times New Roman"/>
          <w:u w:val="single" w:color="000000"/>
        </w:rPr>
        <w:t>Piemēri:</w:t>
      </w:r>
    </w:p>
    <w:p w14:paraId="6E0B7B40" w14:textId="71E7E0FB" w:rsidR="00042E3E" w:rsidRPr="000B4DCF" w:rsidRDefault="00CC1B36" w:rsidP="00035B12">
      <w:pPr>
        <w:pStyle w:val="BodyText"/>
        <w:widowControl/>
        <w:tabs>
          <w:tab w:val="left" w:pos="835"/>
        </w:tabs>
        <w:ind w:left="0" w:firstLine="0"/>
        <w:jc w:val="both"/>
        <w:rPr>
          <w:rFonts w:cs="Times New Roman"/>
          <w:noProof/>
        </w:rPr>
      </w:pPr>
      <w:r w:rsidRPr="000B4DCF">
        <w:rPr>
          <w:rFonts w:cs="Times New Roman"/>
        </w:rPr>
        <w:t xml:space="preserve">a) Savienības muitas teritorijā pieejamo datu metodi var izmantot gadījumos, kad atkritumi (piemēram, bīstamie atkritumi) tiek ievesti Savienības muitas teritorijā, lai tos iznīcinātu/neitralizētu attiecīgajā teritorijā, un kad eksportētājs maksā importētājam par šo pakalpojumu, turklāt netiek radīti vērtīgi otrreizējie blakusprodukti. Tā kā atkritumi ir paredzēti tikai iznīcināšanai un iznīcināšanu veic kā pakalpojumu, par ko maksā eksportētājs, šādu atkritumu muitas vērtību var noteikt, pamatojoties uz </w:t>
      </w:r>
      <w:r w:rsidRPr="000B4DCF">
        <w:rPr>
          <w:rFonts w:cs="Times New Roman"/>
          <w:b/>
        </w:rPr>
        <w:t>simbolisku vērtību</w:t>
      </w:r>
      <w:r w:rsidRPr="000B4DCF">
        <w:rPr>
          <w:rFonts w:cs="Times New Roman"/>
        </w:rPr>
        <w:t>;</w:t>
      </w:r>
      <w:r w:rsidR="00BC4E48" w:rsidRPr="000B4DCF">
        <w:rPr>
          <w:rStyle w:val="FootnoteReference"/>
          <w:rFonts w:cs="Times New Roman"/>
          <w:noProof/>
        </w:rPr>
        <w:footnoteReference w:id="9"/>
      </w:r>
    </w:p>
    <w:p w14:paraId="49844913" w14:textId="77777777" w:rsidR="00042E3E" w:rsidRPr="000B4DCF" w:rsidRDefault="00042E3E" w:rsidP="00035B12">
      <w:pPr>
        <w:widowControl/>
        <w:jc w:val="both"/>
        <w:rPr>
          <w:rFonts w:ascii="Times New Roman" w:eastAsia="Times New Roman" w:hAnsi="Times New Roman" w:cs="Times New Roman"/>
          <w:noProof/>
          <w:sz w:val="24"/>
          <w:szCs w:val="24"/>
        </w:rPr>
      </w:pPr>
    </w:p>
    <w:p w14:paraId="72F43D6F" w14:textId="7769C5EB" w:rsidR="00042E3E" w:rsidRPr="000B4DCF" w:rsidRDefault="00CC1B36" w:rsidP="00035B12">
      <w:pPr>
        <w:pStyle w:val="BodyText"/>
        <w:widowControl/>
        <w:tabs>
          <w:tab w:val="left" w:pos="835"/>
        </w:tabs>
        <w:ind w:left="0" w:firstLine="0"/>
        <w:jc w:val="both"/>
        <w:rPr>
          <w:rFonts w:cs="Times New Roman"/>
          <w:noProof/>
        </w:rPr>
      </w:pPr>
      <w:r w:rsidRPr="000B4DCF">
        <w:rPr>
          <w:rFonts w:cs="Times New Roman"/>
        </w:rPr>
        <w:t>b) Savienības muitas teritorijā pieejamo datu metodi var izmantot arī gadījumos, kad nevar piemērot deduktīvo metodi. Šādas situācijas piemērs ir II pielikumā aprakstītais gadījums;</w:t>
      </w:r>
    </w:p>
    <w:p w14:paraId="1EE5BBDE" w14:textId="77777777" w:rsidR="00042E3E" w:rsidRPr="000B4DCF" w:rsidRDefault="00042E3E" w:rsidP="00035B12">
      <w:pPr>
        <w:widowControl/>
        <w:jc w:val="both"/>
        <w:rPr>
          <w:rFonts w:ascii="Times New Roman" w:eastAsia="Times New Roman" w:hAnsi="Times New Roman" w:cs="Times New Roman"/>
          <w:noProof/>
          <w:sz w:val="24"/>
          <w:szCs w:val="24"/>
        </w:rPr>
      </w:pPr>
    </w:p>
    <w:p w14:paraId="6E6506E4" w14:textId="05392262" w:rsidR="00042E3E" w:rsidRPr="000B4DCF" w:rsidRDefault="00CC1B36" w:rsidP="00035B12">
      <w:pPr>
        <w:pStyle w:val="BodyText"/>
        <w:widowControl/>
        <w:tabs>
          <w:tab w:val="left" w:pos="835"/>
        </w:tabs>
        <w:ind w:left="0" w:firstLine="0"/>
        <w:jc w:val="both"/>
        <w:rPr>
          <w:rFonts w:cs="Times New Roman"/>
          <w:noProof/>
        </w:rPr>
      </w:pPr>
      <w:r w:rsidRPr="000B4DCF">
        <w:rPr>
          <w:rFonts w:cs="Times New Roman"/>
        </w:rPr>
        <w:t>c) ja atkritumu pārstrādes preces ir reālas preces (piemēram, metāli, kas iegūti no izlietotiem katalizatoriem), par sākuma punktu preču muitas vērtības aprēķināšanai saskaņā ar Savienības muitas teritorijā pieejamo datu metodi var izmantot Savienības muitas teritorijā atzītās preču biržās kotētas cenas. Šādas preču biržas ir tirdzniecības platformas, kurās preces (piemēram, metālus) pārdod un iegādājas tirgotāji. Tāpēc var uzskatīt, ka šādās preču biržās kotētās cenas atspoguļo attiecīgo preču vērtību konkrētajā periodā.</w:t>
      </w:r>
    </w:p>
    <w:p w14:paraId="34C65177" w14:textId="77777777" w:rsidR="00042E3E" w:rsidRPr="000B4DCF" w:rsidRDefault="00042E3E" w:rsidP="00C17DB4">
      <w:pPr>
        <w:widowControl/>
        <w:jc w:val="both"/>
        <w:rPr>
          <w:rFonts w:ascii="Times New Roman" w:eastAsia="Times New Roman" w:hAnsi="Times New Roman" w:cs="Times New Roman"/>
          <w:noProof/>
          <w:sz w:val="24"/>
          <w:szCs w:val="24"/>
        </w:rPr>
      </w:pPr>
    </w:p>
    <w:p w14:paraId="373006CA" w14:textId="77777777" w:rsidR="00042E3E" w:rsidRPr="000B4DCF" w:rsidRDefault="00042E3E" w:rsidP="00C17DB4">
      <w:pPr>
        <w:widowControl/>
        <w:jc w:val="both"/>
        <w:rPr>
          <w:rFonts w:ascii="Times New Roman" w:hAnsi="Times New Roman" w:cs="Times New Roman"/>
          <w:i/>
          <w:noProof/>
          <w:sz w:val="24"/>
          <w:szCs w:val="24"/>
          <w:u w:val="single" w:color="000000"/>
        </w:rPr>
      </w:pPr>
      <w:r w:rsidRPr="000B4DCF">
        <w:rPr>
          <w:rFonts w:ascii="Times New Roman" w:hAnsi="Times New Roman" w:cs="Times New Roman"/>
          <w:i/>
          <w:sz w:val="24"/>
          <w:u w:val="single" w:color="000000"/>
        </w:rPr>
        <w:t>Pārvadāšanas un apdrošināšanas izmaksas</w:t>
      </w:r>
    </w:p>
    <w:p w14:paraId="488154F0" w14:textId="77777777" w:rsidR="00042E3E" w:rsidRPr="000B4DCF" w:rsidRDefault="00042E3E" w:rsidP="00C17DB4">
      <w:pPr>
        <w:widowControl/>
        <w:jc w:val="both"/>
        <w:rPr>
          <w:rFonts w:ascii="Times New Roman" w:eastAsia="Times New Roman" w:hAnsi="Times New Roman" w:cs="Times New Roman"/>
          <w:i/>
          <w:noProof/>
          <w:sz w:val="24"/>
          <w:szCs w:val="24"/>
        </w:rPr>
      </w:pPr>
    </w:p>
    <w:p w14:paraId="5F2832B8" w14:textId="3D014212" w:rsidR="00042E3E" w:rsidRPr="000B4DCF" w:rsidRDefault="00BC4E48" w:rsidP="00C17DB4">
      <w:pPr>
        <w:pStyle w:val="BodyText"/>
        <w:widowControl/>
        <w:tabs>
          <w:tab w:val="left" w:pos="806"/>
        </w:tabs>
        <w:ind w:left="0" w:firstLine="0"/>
        <w:jc w:val="both"/>
        <w:rPr>
          <w:rFonts w:cs="Times New Roman"/>
          <w:noProof/>
        </w:rPr>
      </w:pPr>
      <w:r w:rsidRPr="000B4DCF">
        <w:rPr>
          <w:rFonts w:cs="Times New Roman"/>
        </w:rPr>
        <w:t xml:space="preserve">13. Saskaņā ar SMK 71. panta 1. punkta e) apakšpunktu ievesto preču pārvadāšanas un apdrošināšanas izmaksas, kā arī kraušanas un apstrādes izmaksas, kas saistītas ar ievesto preču pārvadāšanu un kas radušās līdz pat vietai, kurā preces tiek ievestas Savienības muitas teritorijā, ietver, ja nepieciešams, muitas vērtībā, pamatojoties uz darījuma vērtības noteikšanas metodi. Šā panta noteikumi </w:t>
      </w:r>
      <w:r w:rsidRPr="000B4DCF">
        <w:rPr>
          <w:rFonts w:cs="Times New Roman"/>
          <w:i/>
        </w:rPr>
        <w:t>per se</w:t>
      </w:r>
      <w:r w:rsidRPr="000B4DCF">
        <w:rPr>
          <w:rFonts w:cs="Times New Roman"/>
        </w:rPr>
        <w:t xml:space="preserve"> neattiecas uz palīgmetodēm, ko izmanto ievesto preču muitas vērtības noteikšanai. Tomēr, tā kā saskaņā ar Savienības muitas tiesību aktiem ievesto preču muitas vērtību nosaka, pamatojoties uz </w:t>
      </w:r>
      <w:r w:rsidRPr="000B4DCF">
        <w:rPr>
          <w:rFonts w:cs="Times New Roman"/>
          <w:i/>
        </w:rPr>
        <w:t>CIF</w:t>
      </w:r>
      <w:r w:rsidRPr="000B4DCF">
        <w:rPr>
          <w:rFonts w:cs="Times New Roman"/>
        </w:rPr>
        <w:t>, tad neatkarīgi no vērtības noteikšanas metodes ir jāievēro vispārējais princips attiecībā uz pārvadāšanas un apdrošināšanas izmaksu iekļaušanu muitas vērtībā.</w:t>
      </w:r>
    </w:p>
    <w:p w14:paraId="242EAD2A" w14:textId="77777777" w:rsidR="00042E3E" w:rsidRPr="000B4DCF" w:rsidRDefault="00042E3E" w:rsidP="00C17DB4">
      <w:pPr>
        <w:widowControl/>
        <w:jc w:val="both"/>
        <w:rPr>
          <w:rFonts w:ascii="Times New Roman" w:eastAsia="Times New Roman" w:hAnsi="Times New Roman" w:cs="Times New Roman"/>
          <w:noProof/>
          <w:sz w:val="24"/>
          <w:szCs w:val="24"/>
        </w:rPr>
      </w:pPr>
    </w:p>
    <w:p w14:paraId="2DB5E273" w14:textId="77777777" w:rsidR="00042E3E" w:rsidRPr="000B4DCF" w:rsidRDefault="00042E3E" w:rsidP="00C17DB4">
      <w:pPr>
        <w:widowControl/>
        <w:jc w:val="both"/>
        <w:rPr>
          <w:rFonts w:ascii="Times New Roman" w:eastAsia="Times New Roman" w:hAnsi="Times New Roman" w:cs="Times New Roman"/>
          <w:noProof/>
          <w:sz w:val="24"/>
          <w:szCs w:val="24"/>
        </w:rPr>
      </w:pPr>
    </w:p>
    <w:p w14:paraId="35BD267A" w14:textId="77777777" w:rsidR="00042E3E" w:rsidRPr="000B4DCF" w:rsidRDefault="00042E3E" w:rsidP="00C17DB4">
      <w:pPr>
        <w:widowControl/>
        <w:jc w:val="both"/>
        <w:rPr>
          <w:rFonts w:ascii="Times New Roman" w:eastAsia="Times New Roman" w:hAnsi="Times New Roman" w:cs="Times New Roman"/>
          <w:noProof/>
          <w:sz w:val="24"/>
          <w:szCs w:val="24"/>
        </w:rPr>
      </w:pPr>
      <w:r w:rsidRPr="000B4DCF">
        <w:rPr>
          <w:rFonts w:ascii="Times New Roman" w:hAnsi="Times New Roman" w:cs="Times New Roman"/>
          <w:b/>
          <w:sz w:val="24"/>
        </w:rPr>
        <w:t>Piezīme.</w:t>
      </w:r>
      <w:r w:rsidRPr="000B4DCF">
        <w:rPr>
          <w:rFonts w:ascii="Times New Roman" w:hAnsi="Times New Roman" w:cs="Times New Roman"/>
          <w:sz w:val="24"/>
        </w:rPr>
        <w:t xml:space="preserve"> Šo komentāru papildina </w:t>
      </w:r>
      <w:r w:rsidRPr="000B4DCF">
        <w:rPr>
          <w:rFonts w:ascii="Times New Roman" w:hAnsi="Times New Roman" w:cs="Times New Roman"/>
          <w:b/>
          <w:sz w:val="24"/>
        </w:rPr>
        <w:t>gadījuma izpēte par Savienības muitas teritorijā pieejamo datu metodes izmantošanu attiecībā uz ievestiem mēslošanas līdzekļu atkritumiem</w:t>
      </w:r>
      <w:r w:rsidRPr="000B4DCF">
        <w:rPr>
          <w:rFonts w:ascii="Times New Roman" w:hAnsi="Times New Roman" w:cs="Times New Roman"/>
          <w:sz w:val="24"/>
        </w:rPr>
        <w:t>.</w:t>
      </w:r>
    </w:p>
    <w:p w14:paraId="3EB584EB" w14:textId="77777777" w:rsidR="00BC4E48" w:rsidRPr="000B4DCF" w:rsidRDefault="00BC4E48" w:rsidP="00C17DB4">
      <w:pPr>
        <w:rPr>
          <w:rFonts w:ascii="Times New Roman" w:eastAsia="Times New Roman" w:hAnsi="Times New Roman" w:cs="Times New Roman"/>
          <w:b/>
          <w:bCs/>
          <w:noProof/>
          <w:sz w:val="24"/>
          <w:szCs w:val="24"/>
        </w:rPr>
      </w:pPr>
      <w:r w:rsidRPr="000B4DCF">
        <w:rPr>
          <w:rFonts w:ascii="Times New Roman" w:hAnsi="Times New Roman" w:cs="Times New Roman"/>
        </w:rPr>
        <w:br w:type="page"/>
      </w:r>
    </w:p>
    <w:p w14:paraId="42DA1F45" w14:textId="0695DFC0" w:rsidR="00042E3E" w:rsidRPr="000B4DCF" w:rsidRDefault="00042E3E" w:rsidP="00C17DB4">
      <w:pPr>
        <w:pStyle w:val="Heading1"/>
        <w:widowControl/>
        <w:spacing w:before="0"/>
        <w:ind w:left="0"/>
        <w:jc w:val="both"/>
        <w:rPr>
          <w:rFonts w:cs="Times New Roman"/>
          <w:noProof/>
        </w:rPr>
      </w:pPr>
      <w:r w:rsidRPr="000B4DCF">
        <w:rPr>
          <w:rFonts w:cs="Times New Roman"/>
        </w:rPr>
        <w:lastRenderedPageBreak/>
        <w:t>Gadījuma izpēte – Savienības muitas teritorijā pieejamo datu metodes izmantošana attiecībā uz ievestiem mēslošanas līdzekļu atkritumiem</w:t>
      </w:r>
    </w:p>
    <w:p w14:paraId="44EE60F3" w14:textId="77777777" w:rsidR="00042E3E" w:rsidRPr="000B4DCF" w:rsidRDefault="00042E3E" w:rsidP="00C17DB4">
      <w:pPr>
        <w:widowControl/>
        <w:jc w:val="both"/>
        <w:rPr>
          <w:rFonts w:ascii="Times New Roman" w:eastAsia="Times New Roman" w:hAnsi="Times New Roman" w:cs="Times New Roman"/>
          <w:b/>
          <w:bCs/>
          <w:noProof/>
          <w:sz w:val="24"/>
          <w:szCs w:val="24"/>
        </w:rPr>
      </w:pPr>
    </w:p>
    <w:p w14:paraId="080A1DAD" w14:textId="73285040" w:rsidR="00042E3E" w:rsidRPr="000B4DCF" w:rsidRDefault="00BC4E48" w:rsidP="00C17DB4">
      <w:pPr>
        <w:pStyle w:val="Heading2"/>
        <w:widowControl/>
        <w:tabs>
          <w:tab w:val="left" w:pos="562"/>
        </w:tabs>
        <w:ind w:left="0"/>
        <w:jc w:val="both"/>
        <w:rPr>
          <w:rFonts w:cs="Times New Roman"/>
          <w:noProof/>
          <w:u w:val="single" w:color="000000"/>
        </w:rPr>
      </w:pPr>
      <w:r w:rsidRPr="000B4DCF">
        <w:rPr>
          <w:rFonts w:cs="Times New Roman"/>
          <w:u w:val="single" w:color="000000"/>
        </w:rPr>
        <w:t>I. Priekšvēsture</w:t>
      </w:r>
    </w:p>
    <w:p w14:paraId="07212FB2" w14:textId="77777777" w:rsidR="00042E3E" w:rsidRPr="000B4DCF" w:rsidRDefault="00042E3E" w:rsidP="00C17DB4">
      <w:pPr>
        <w:widowControl/>
        <w:jc w:val="both"/>
        <w:rPr>
          <w:rFonts w:ascii="Times New Roman" w:eastAsia="Times New Roman" w:hAnsi="Times New Roman" w:cs="Times New Roman"/>
          <w:b/>
          <w:bCs/>
          <w:i/>
          <w:noProof/>
          <w:sz w:val="24"/>
          <w:szCs w:val="24"/>
        </w:rPr>
      </w:pPr>
    </w:p>
    <w:p w14:paraId="1F2F7BD5" w14:textId="77777777" w:rsidR="00042E3E" w:rsidRPr="000B4DCF" w:rsidRDefault="00042E3E" w:rsidP="00C17DB4">
      <w:pPr>
        <w:widowControl/>
        <w:jc w:val="both"/>
        <w:rPr>
          <w:rFonts w:ascii="Times New Roman" w:hAnsi="Times New Roman" w:cs="Times New Roman"/>
          <w:b/>
          <w:i/>
          <w:noProof/>
          <w:sz w:val="24"/>
          <w:szCs w:val="24"/>
        </w:rPr>
      </w:pPr>
      <w:r w:rsidRPr="000B4DCF">
        <w:rPr>
          <w:rFonts w:ascii="Times New Roman" w:hAnsi="Times New Roman" w:cs="Times New Roman"/>
          <w:b/>
          <w:i/>
          <w:sz w:val="24"/>
        </w:rPr>
        <w:t>Saimnieciskās darbības brīvās tirdzniecības zonā</w:t>
      </w:r>
    </w:p>
    <w:p w14:paraId="7BAE6EBF" w14:textId="77777777" w:rsidR="00042E3E" w:rsidRPr="000B4DCF" w:rsidRDefault="00042E3E" w:rsidP="00C17DB4">
      <w:pPr>
        <w:widowControl/>
        <w:jc w:val="both"/>
        <w:rPr>
          <w:rFonts w:ascii="Times New Roman" w:eastAsia="Times New Roman" w:hAnsi="Times New Roman" w:cs="Times New Roman"/>
          <w:b/>
          <w:bCs/>
          <w:i/>
          <w:noProof/>
          <w:sz w:val="24"/>
          <w:szCs w:val="24"/>
        </w:rPr>
      </w:pPr>
    </w:p>
    <w:p w14:paraId="6DDB8374" w14:textId="481CC074" w:rsidR="00042E3E" w:rsidRPr="000B4DCF" w:rsidRDefault="00CD2CC0" w:rsidP="00C17DB4">
      <w:pPr>
        <w:pStyle w:val="BodyText"/>
        <w:widowControl/>
        <w:tabs>
          <w:tab w:val="left" w:pos="406"/>
        </w:tabs>
        <w:ind w:left="0" w:firstLine="0"/>
        <w:jc w:val="both"/>
        <w:rPr>
          <w:rFonts w:cs="Times New Roman"/>
          <w:noProof/>
        </w:rPr>
      </w:pPr>
      <w:r w:rsidRPr="000B4DCF">
        <w:rPr>
          <w:rFonts w:cs="Times New Roman"/>
        </w:rPr>
        <w:t xml:space="preserve">1. Dalībvalstī reģistrēts uzņēmums </w:t>
      </w:r>
      <w:r w:rsidRPr="000B4DCF">
        <w:rPr>
          <w:rFonts w:cs="Times New Roman"/>
          <w:b/>
        </w:rPr>
        <w:t>X</w:t>
      </w:r>
      <w:r w:rsidRPr="000B4DCF">
        <w:rPr>
          <w:rFonts w:cs="Times New Roman"/>
        </w:rPr>
        <w:t xml:space="preserve"> sniedz trešajā valstī reģistrēta uzņēmuma </w:t>
      </w:r>
      <w:r w:rsidRPr="000B4DCF">
        <w:rPr>
          <w:rFonts w:cs="Times New Roman"/>
          <w:b/>
        </w:rPr>
        <w:t>Z</w:t>
      </w:r>
      <w:r w:rsidRPr="000B4DCF">
        <w:rPr>
          <w:rFonts w:cs="Times New Roman"/>
        </w:rPr>
        <w:t xml:space="preserve"> klientiem ekspeditora pakalpojumus saistībā ar mēslošanas līdzekļiem, proti, nodrošina mēslošanas līdzekļu uzglabāšanu un pārkraušanu Savienība muitas teritorijā saskaņā ar brīvās tirdzniecības zonas procedūru.</w:t>
      </w:r>
    </w:p>
    <w:p w14:paraId="194EF2E7" w14:textId="77777777" w:rsidR="00042E3E" w:rsidRPr="000B4DCF" w:rsidRDefault="00042E3E" w:rsidP="00C17DB4">
      <w:pPr>
        <w:widowControl/>
        <w:jc w:val="both"/>
        <w:rPr>
          <w:rFonts w:ascii="Times New Roman" w:eastAsia="Times New Roman" w:hAnsi="Times New Roman" w:cs="Times New Roman"/>
          <w:noProof/>
          <w:sz w:val="24"/>
          <w:szCs w:val="24"/>
        </w:rPr>
      </w:pPr>
    </w:p>
    <w:p w14:paraId="04C941D7" w14:textId="58397643" w:rsidR="00042E3E" w:rsidRPr="000B4DCF" w:rsidRDefault="00CD2CC0" w:rsidP="00C17DB4">
      <w:pPr>
        <w:pStyle w:val="BodyText"/>
        <w:widowControl/>
        <w:tabs>
          <w:tab w:val="left" w:pos="406"/>
        </w:tabs>
        <w:ind w:left="0" w:firstLine="0"/>
        <w:jc w:val="both"/>
        <w:rPr>
          <w:rFonts w:cs="Times New Roman"/>
          <w:noProof/>
        </w:rPr>
      </w:pPr>
      <w:r w:rsidRPr="000B4DCF">
        <w:rPr>
          <w:rFonts w:cs="Times New Roman"/>
        </w:rPr>
        <w:t xml:space="preserve">2. Izpētāmajā gadījumā mēslošanas līdzekļi pa dzelzceļu tiek nogādāti brīvās tirdzniecības zonā. </w:t>
      </w:r>
      <w:r w:rsidRPr="000B4DCF">
        <w:rPr>
          <w:rFonts w:cs="Times New Roman"/>
          <w:b/>
        </w:rPr>
        <w:t>X</w:t>
      </w:r>
      <w:r w:rsidRPr="000B4DCF">
        <w:rPr>
          <w:rFonts w:cs="Times New Roman"/>
        </w:rPr>
        <w:t xml:space="preserve"> preces pārkrauj uz kuģošanas līdzekļiem, un pēc tam preces tiek tālāk transportētas galasaņēmējiem trešajās valstīs – </w:t>
      </w:r>
      <w:r w:rsidRPr="000B4DCF">
        <w:rPr>
          <w:rFonts w:cs="Times New Roman"/>
          <w:b/>
        </w:rPr>
        <w:t>Z</w:t>
      </w:r>
      <w:r w:rsidRPr="000B4DCF">
        <w:rPr>
          <w:rFonts w:cs="Times New Roman"/>
        </w:rPr>
        <w:t xml:space="preserve"> klientiem.</w:t>
      </w:r>
    </w:p>
    <w:p w14:paraId="37EF983E" w14:textId="77777777" w:rsidR="00042E3E" w:rsidRPr="000B4DCF" w:rsidRDefault="00042E3E" w:rsidP="00C17DB4">
      <w:pPr>
        <w:widowControl/>
        <w:jc w:val="both"/>
        <w:rPr>
          <w:rFonts w:ascii="Times New Roman" w:eastAsia="Times New Roman" w:hAnsi="Times New Roman" w:cs="Times New Roman"/>
          <w:noProof/>
          <w:sz w:val="24"/>
          <w:szCs w:val="24"/>
        </w:rPr>
      </w:pPr>
    </w:p>
    <w:p w14:paraId="7DB052C5" w14:textId="43D3517B" w:rsidR="00042E3E" w:rsidRPr="000B4DCF" w:rsidRDefault="00B22CCD" w:rsidP="00C17DB4">
      <w:pPr>
        <w:pStyle w:val="BodyText"/>
        <w:widowControl/>
        <w:tabs>
          <w:tab w:val="left" w:pos="406"/>
        </w:tabs>
        <w:ind w:left="0" w:firstLine="0"/>
        <w:jc w:val="both"/>
        <w:rPr>
          <w:rFonts w:cs="Times New Roman"/>
          <w:noProof/>
        </w:rPr>
      </w:pPr>
      <w:r w:rsidRPr="000B4DCF">
        <w:rPr>
          <w:rFonts w:cs="Times New Roman"/>
        </w:rPr>
        <w:t xml:space="preserve">3. </w:t>
      </w:r>
      <w:r w:rsidRPr="000B4DCF">
        <w:rPr>
          <w:rFonts w:cs="Times New Roman"/>
          <w:b/>
        </w:rPr>
        <w:t>X</w:t>
      </w:r>
      <w:r w:rsidRPr="000B4DCF">
        <w:rPr>
          <w:rFonts w:cs="Times New Roman"/>
        </w:rPr>
        <w:t xml:space="preserve"> nav saistoši starp </w:t>
      </w:r>
      <w:r w:rsidRPr="000B4DCF">
        <w:rPr>
          <w:rFonts w:cs="Times New Roman"/>
          <w:b/>
        </w:rPr>
        <w:t>Z</w:t>
      </w:r>
      <w:r w:rsidRPr="000B4DCF">
        <w:rPr>
          <w:rFonts w:cs="Times New Roman"/>
        </w:rPr>
        <w:t xml:space="preserve"> un tā klientiem trešajās valstīs noslēgto līgumu noteikumi. Pārkrautie mēslošanas līdzekļi paliek </w:t>
      </w:r>
      <w:r w:rsidRPr="000B4DCF">
        <w:rPr>
          <w:rFonts w:cs="Times New Roman"/>
          <w:b/>
        </w:rPr>
        <w:t>Z</w:t>
      </w:r>
      <w:r w:rsidRPr="000B4DCF">
        <w:rPr>
          <w:rFonts w:cs="Times New Roman"/>
        </w:rPr>
        <w:t xml:space="preserve"> īpašumā.</w:t>
      </w:r>
    </w:p>
    <w:p w14:paraId="70643E02" w14:textId="77777777" w:rsidR="00042E3E" w:rsidRPr="000B4DCF" w:rsidRDefault="00042E3E" w:rsidP="00C17DB4">
      <w:pPr>
        <w:widowControl/>
        <w:jc w:val="both"/>
        <w:rPr>
          <w:rFonts w:ascii="Times New Roman" w:eastAsia="Times New Roman" w:hAnsi="Times New Roman" w:cs="Times New Roman"/>
          <w:noProof/>
          <w:sz w:val="24"/>
          <w:szCs w:val="24"/>
        </w:rPr>
      </w:pPr>
    </w:p>
    <w:p w14:paraId="50ABC90A" w14:textId="1F8A3A21" w:rsidR="00042E3E" w:rsidRPr="000B4DCF" w:rsidRDefault="00B22CCD" w:rsidP="00C17DB4">
      <w:pPr>
        <w:pStyle w:val="BodyText"/>
        <w:widowControl/>
        <w:tabs>
          <w:tab w:val="left" w:pos="406"/>
        </w:tabs>
        <w:ind w:left="0" w:firstLine="0"/>
        <w:jc w:val="both"/>
        <w:rPr>
          <w:rFonts w:cs="Times New Roman"/>
          <w:noProof/>
        </w:rPr>
      </w:pPr>
      <w:r w:rsidRPr="000B4DCF">
        <w:rPr>
          <w:rFonts w:cs="Times New Roman"/>
        </w:rPr>
        <w:t xml:space="preserve">4. Mēslošanas līdzekļu atkritumi (dažādi mēslošanas līdzekļi, kas pārkraušanas laikā nokrīt zemē un sajaucas ar akmeņoglēm, zāģu skaidām un netīrumiem) ir blakusefekts darbībām, ko </w:t>
      </w:r>
      <w:r w:rsidRPr="000B4DCF">
        <w:rPr>
          <w:rFonts w:cs="Times New Roman"/>
          <w:b/>
        </w:rPr>
        <w:t>X</w:t>
      </w:r>
      <w:r w:rsidRPr="000B4DCF">
        <w:rPr>
          <w:rFonts w:cs="Times New Roman"/>
        </w:rPr>
        <w:t xml:space="preserve"> veic brīvās tirdzniecības zonā. Saskaņā ar vienošanos starp </w:t>
      </w:r>
      <w:r w:rsidRPr="000B4DCF">
        <w:rPr>
          <w:rFonts w:cs="Times New Roman"/>
          <w:b/>
        </w:rPr>
        <w:t>X</w:t>
      </w:r>
      <w:r w:rsidRPr="000B4DCF">
        <w:rPr>
          <w:rFonts w:cs="Times New Roman"/>
        </w:rPr>
        <w:t xml:space="preserve"> un </w:t>
      </w:r>
      <w:r w:rsidRPr="000B4DCF">
        <w:rPr>
          <w:rFonts w:cs="Times New Roman"/>
          <w:b/>
        </w:rPr>
        <w:t>Z</w:t>
      </w:r>
      <w:r w:rsidRPr="000B4DCF">
        <w:rPr>
          <w:rFonts w:cs="Times New Roman"/>
        </w:rPr>
        <w:t xml:space="preserve"> atkritumus var apstrādāt </w:t>
      </w:r>
      <w:r w:rsidRPr="000B4DCF">
        <w:rPr>
          <w:rFonts w:cs="Times New Roman"/>
          <w:b/>
        </w:rPr>
        <w:t>X</w:t>
      </w:r>
      <w:r w:rsidRPr="000B4DCF">
        <w:rPr>
          <w:rFonts w:cs="Times New Roman"/>
        </w:rPr>
        <w:t xml:space="preserve"> pēc saviem ieskatiem.</w:t>
      </w:r>
    </w:p>
    <w:p w14:paraId="694C5747" w14:textId="77777777" w:rsidR="00042E3E" w:rsidRPr="000B4DCF" w:rsidRDefault="00042E3E" w:rsidP="00C17DB4">
      <w:pPr>
        <w:widowControl/>
        <w:jc w:val="both"/>
        <w:rPr>
          <w:rFonts w:ascii="Times New Roman" w:eastAsia="Times New Roman" w:hAnsi="Times New Roman" w:cs="Times New Roman"/>
          <w:b/>
          <w:bCs/>
          <w:noProof/>
          <w:sz w:val="24"/>
          <w:szCs w:val="24"/>
        </w:rPr>
      </w:pPr>
    </w:p>
    <w:p w14:paraId="30BD260C" w14:textId="19C30483" w:rsidR="00042E3E" w:rsidRPr="000B4DCF" w:rsidRDefault="00B22CCD" w:rsidP="00C17DB4">
      <w:pPr>
        <w:pStyle w:val="BodyText"/>
        <w:widowControl/>
        <w:tabs>
          <w:tab w:val="left" w:pos="406"/>
        </w:tabs>
        <w:ind w:left="0" w:firstLine="0"/>
        <w:jc w:val="both"/>
        <w:rPr>
          <w:rFonts w:cs="Times New Roman"/>
          <w:noProof/>
        </w:rPr>
      </w:pPr>
      <w:r w:rsidRPr="000B4DCF">
        <w:rPr>
          <w:rFonts w:cs="Times New Roman"/>
        </w:rPr>
        <w:t>5. Lai gan atkritumi neatbilst kritērijiem un standartiem, kas noteikti brīvās tirdzniecības zonā ievestajiem mēslošanas līdzekļiem, tomēr tie saglabā mēslošanas līdzekļu galvenās īpašības un tos var turpmāk izmantot lauksaimniecībā.</w:t>
      </w:r>
    </w:p>
    <w:p w14:paraId="6369595F" w14:textId="77777777" w:rsidR="00042E3E" w:rsidRPr="000B4DCF" w:rsidRDefault="00042E3E" w:rsidP="00C17DB4">
      <w:pPr>
        <w:widowControl/>
        <w:jc w:val="both"/>
        <w:rPr>
          <w:rFonts w:ascii="Times New Roman" w:eastAsia="Times New Roman" w:hAnsi="Times New Roman" w:cs="Times New Roman"/>
          <w:noProof/>
          <w:sz w:val="24"/>
          <w:szCs w:val="24"/>
        </w:rPr>
      </w:pPr>
    </w:p>
    <w:p w14:paraId="5B96887F" w14:textId="77777777" w:rsidR="00042E3E" w:rsidRPr="000B4DCF" w:rsidRDefault="00042E3E" w:rsidP="00C17DB4">
      <w:pPr>
        <w:pStyle w:val="Heading2"/>
        <w:widowControl/>
        <w:ind w:left="0"/>
        <w:jc w:val="both"/>
        <w:rPr>
          <w:rFonts w:cs="Times New Roman"/>
          <w:noProof/>
        </w:rPr>
      </w:pPr>
      <w:r w:rsidRPr="000B4DCF">
        <w:rPr>
          <w:rFonts w:cs="Times New Roman"/>
        </w:rPr>
        <w:t>Muitošana</w:t>
      </w:r>
    </w:p>
    <w:p w14:paraId="38FF5B0F" w14:textId="77777777" w:rsidR="00042E3E" w:rsidRPr="000B4DCF" w:rsidRDefault="00042E3E" w:rsidP="00C17DB4">
      <w:pPr>
        <w:widowControl/>
        <w:jc w:val="both"/>
        <w:rPr>
          <w:rFonts w:ascii="Times New Roman" w:eastAsia="Times New Roman" w:hAnsi="Times New Roman" w:cs="Times New Roman"/>
          <w:b/>
          <w:bCs/>
          <w:i/>
          <w:noProof/>
          <w:sz w:val="24"/>
          <w:szCs w:val="24"/>
        </w:rPr>
      </w:pPr>
    </w:p>
    <w:p w14:paraId="37553002" w14:textId="071E541F" w:rsidR="00042E3E" w:rsidRPr="000B4DCF" w:rsidRDefault="00B22CCD" w:rsidP="00C17DB4">
      <w:pPr>
        <w:pStyle w:val="BodyText"/>
        <w:widowControl/>
        <w:tabs>
          <w:tab w:val="left" w:pos="406"/>
        </w:tabs>
        <w:ind w:left="0" w:firstLine="0"/>
        <w:jc w:val="both"/>
        <w:rPr>
          <w:rFonts w:cs="Times New Roman"/>
          <w:noProof/>
        </w:rPr>
      </w:pPr>
      <w:r w:rsidRPr="000B4DCF">
        <w:rPr>
          <w:rFonts w:cs="Times New Roman"/>
        </w:rPr>
        <w:t xml:space="preserve">6. </w:t>
      </w:r>
      <w:r w:rsidRPr="000B4DCF">
        <w:rPr>
          <w:rFonts w:cs="Times New Roman"/>
          <w:b/>
        </w:rPr>
        <w:t>X</w:t>
      </w:r>
      <w:r w:rsidRPr="000B4DCF">
        <w:rPr>
          <w:rFonts w:cs="Times New Roman"/>
        </w:rPr>
        <w:t xml:space="preserve"> deklarē mēslošanas līdzekļu atkritumus laišanai brīvā apgrozībā Savienības muitas teritorijā un tūlīt pēc muitošanas pabeigšanas pārdod preces savam meitasuzņēmumam </w:t>
      </w:r>
      <w:r w:rsidRPr="000B4DCF">
        <w:rPr>
          <w:rFonts w:cs="Times New Roman"/>
          <w:b/>
        </w:rPr>
        <w:t>Y</w:t>
      </w:r>
      <w:r w:rsidRPr="000B4DCF">
        <w:rPr>
          <w:rFonts w:cs="Times New Roman"/>
        </w:rPr>
        <w:t>, kas arī atrodas šajā dalībvalstī.</w:t>
      </w:r>
    </w:p>
    <w:p w14:paraId="5A1F833C" w14:textId="77777777" w:rsidR="00042E3E" w:rsidRPr="000B4DCF" w:rsidRDefault="00042E3E" w:rsidP="00C17DB4">
      <w:pPr>
        <w:widowControl/>
        <w:jc w:val="both"/>
        <w:rPr>
          <w:rFonts w:ascii="Times New Roman" w:eastAsia="Times New Roman" w:hAnsi="Times New Roman" w:cs="Times New Roman"/>
          <w:noProof/>
          <w:sz w:val="24"/>
          <w:szCs w:val="24"/>
        </w:rPr>
      </w:pPr>
    </w:p>
    <w:p w14:paraId="05FA6BB8" w14:textId="3EB12075" w:rsidR="00042E3E" w:rsidRPr="000B4DCF" w:rsidRDefault="00B22CCD" w:rsidP="00C17DB4">
      <w:pPr>
        <w:pStyle w:val="BodyText"/>
        <w:widowControl/>
        <w:tabs>
          <w:tab w:val="left" w:pos="406"/>
        </w:tabs>
        <w:ind w:left="0" w:firstLine="0"/>
        <w:jc w:val="both"/>
        <w:rPr>
          <w:rFonts w:cs="Times New Roman"/>
          <w:noProof/>
        </w:rPr>
      </w:pPr>
      <w:r w:rsidRPr="000B4DCF">
        <w:rPr>
          <w:rFonts w:cs="Times New Roman"/>
        </w:rPr>
        <w:t xml:space="preserve">7. Cenu (16,30 EUR/t), kas tiek deklarēta preču laišanas brīvā apgrozībā procedūrā, </w:t>
      </w:r>
      <w:r w:rsidRPr="000B4DCF">
        <w:rPr>
          <w:rFonts w:cs="Times New Roman"/>
          <w:b/>
        </w:rPr>
        <w:t>X</w:t>
      </w:r>
      <w:r w:rsidRPr="000B4DCF">
        <w:rPr>
          <w:rFonts w:cs="Times New Roman"/>
        </w:rPr>
        <w:t xml:space="preserve"> ir noteicis savu aprēķinu rezultātā. Uzņēmuma deklarācijā norādīts, ka cena atspoguļo tiešās izmaksas saistībā ar mēslošanas līdzekļu pārvadāšanu un savākšanu, netiešās izmaksas saistībā ar administratīvajiem izdevumiem, kā arī plānotās peļņas apmēru.</w:t>
      </w:r>
    </w:p>
    <w:p w14:paraId="730319ED" w14:textId="77777777" w:rsidR="00042E3E" w:rsidRPr="000B4DCF" w:rsidRDefault="00042E3E" w:rsidP="00C17DB4">
      <w:pPr>
        <w:widowControl/>
        <w:jc w:val="both"/>
        <w:rPr>
          <w:rFonts w:ascii="Times New Roman" w:hAnsi="Times New Roman" w:cs="Times New Roman"/>
          <w:noProof/>
          <w:sz w:val="24"/>
          <w:szCs w:val="24"/>
        </w:rPr>
      </w:pPr>
    </w:p>
    <w:p w14:paraId="5906A01E" w14:textId="4944E1D9" w:rsidR="00042E3E" w:rsidRPr="000B4DCF" w:rsidRDefault="00B22CCD" w:rsidP="00C17DB4">
      <w:pPr>
        <w:pStyle w:val="BodyText"/>
        <w:widowControl/>
        <w:tabs>
          <w:tab w:val="left" w:pos="406"/>
        </w:tabs>
        <w:ind w:left="0" w:firstLine="0"/>
        <w:jc w:val="both"/>
        <w:rPr>
          <w:rFonts w:cs="Times New Roman"/>
          <w:noProof/>
        </w:rPr>
      </w:pPr>
      <w:r w:rsidRPr="000B4DCF">
        <w:rPr>
          <w:rFonts w:cs="Times New Roman"/>
        </w:rPr>
        <w:t xml:space="preserve">8. Pēc mēslošanas līdzekļu atkritumu iegādāšanās </w:t>
      </w:r>
      <w:r w:rsidRPr="000B4DCF">
        <w:rPr>
          <w:rFonts w:cs="Times New Roman"/>
          <w:b/>
        </w:rPr>
        <w:t>Y</w:t>
      </w:r>
      <w:r w:rsidRPr="000B4DCF">
        <w:rPr>
          <w:rFonts w:cs="Times New Roman"/>
        </w:rPr>
        <w:t xml:space="preserve"> tos nešķiro, neuzglabā, nefasē un neapstrādā, bet nekavējoties izved no brīvās tirdzniecības zonas, izmantojot savus transportlīdzekļus, un tad pārdod un piegādā galapircējiem (lauku saimniecībām).</w:t>
      </w:r>
    </w:p>
    <w:p w14:paraId="6E398506" w14:textId="77777777" w:rsidR="00042E3E" w:rsidRPr="000B4DCF" w:rsidRDefault="00042E3E" w:rsidP="00C17DB4">
      <w:pPr>
        <w:widowControl/>
        <w:jc w:val="both"/>
        <w:rPr>
          <w:rFonts w:ascii="Times New Roman" w:eastAsia="Times New Roman" w:hAnsi="Times New Roman" w:cs="Times New Roman"/>
          <w:noProof/>
          <w:sz w:val="24"/>
          <w:szCs w:val="24"/>
        </w:rPr>
      </w:pPr>
    </w:p>
    <w:p w14:paraId="2FB12720" w14:textId="77777777" w:rsidR="00042E3E" w:rsidRPr="000B4DCF" w:rsidRDefault="00042E3E" w:rsidP="00C17DB4">
      <w:pPr>
        <w:pStyle w:val="Heading2"/>
        <w:widowControl/>
        <w:ind w:left="0"/>
        <w:jc w:val="both"/>
        <w:rPr>
          <w:rFonts w:cs="Times New Roman"/>
          <w:noProof/>
        </w:rPr>
      </w:pPr>
      <w:r w:rsidRPr="000B4DCF">
        <w:rPr>
          <w:rFonts w:cs="Times New Roman"/>
        </w:rPr>
        <w:t>Kontrole pēc preču izlaišanas</w:t>
      </w:r>
    </w:p>
    <w:p w14:paraId="3A36B87D" w14:textId="77777777" w:rsidR="00042E3E" w:rsidRPr="000B4DCF" w:rsidRDefault="00042E3E" w:rsidP="00C17DB4">
      <w:pPr>
        <w:widowControl/>
        <w:jc w:val="both"/>
        <w:rPr>
          <w:rFonts w:ascii="Times New Roman" w:eastAsia="Times New Roman" w:hAnsi="Times New Roman" w:cs="Times New Roman"/>
          <w:b/>
          <w:bCs/>
          <w:i/>
          <w:noProof/>
          <w:sz w:val="24"/>
          <w:szCs w:val="24"/>
        </w:rPr>
      </w:pPr>
    </w:p>
    <w:p w14:paraId="60506049" w14:textId="7392271A" w:rsidR="00042E3E" w:rsidRPr="000B4DCF" w:rsidRDefault="00B22CCD" w:rsidP="00C17DB4">
      <w:pPr>
        <w:pStyle w:val="BodyText"/>
        <w:widowControl/>
        <w:tabs>
          <w:tab w:val="left" w:pos="406"/>
        </w:tabs>
        <w:ind w:left="0" w:firstLine="0"/>
        <w:jc w:val="both"/>
        <w:rPr>
          <w:rFonts w:cs="Times New Roman"/>
          <w:noProof/>
        </w:rPr>
      </w:pPr>
      <w:r w:rsidRPr="000B4DCF">
        <w:rPr>
          <w:rFonts w:cs="Times New Roman"/>
        </w:rPr>
        <w:t>9. Saistībā ar X veiktajām muitas darbībām dalībvalsts muitas iestādes veica kontroli pēc preču izlaišanas.</w:t>
      </w:r>
    </w:p>
    <w:p w14:paraId="7052F8FB" w14:textId="77777777" w:rsidR="00A15A89" w:rsidRPr="000B4DCF" w:rsidRDefault="00A15A89" w:rsidP="00C17DB4">
      <w:pPr>
        <w:widowControl/>
        <w:jc w:val="both"/>
        <w:rPr>
          <w:rFonts w:ascii="Times New Roman" w:hAnsi="Times New Roman" w:cs="Times New Roman"/>
          <w:noProof/>
          <w:sz w:val="24"/>
          <w:szCs w:val="24"/>
        </w:rPr>
      </w:pPr>
    </w:p>
    <w:p w14:paraId="12CD050B" w14:textId="7636BF5E" w:rsidR="00042E3E" w:rsidRPr="000B4DCF" w:rsidRDefault="00B22CCD" w:rsidP="00C17DB4">
      <w:pPr>
        <w:pStyle w:val="BodyText"/>
        <w:widowControl/>
        <w:tabs>
          <w:tab w:val="left" w:pos="486"/>
        </w:tabs>
        <w:ind w:left="0" w:firstLine="0"/>
        <w:jc w:val="both"/>
        <w:rPr>
          <w:rFonts w:cs="Times New Roman"/>
          <w:noProof/>
        </w:rPr>
      </w:pPr>
      <w:r w:rsidRPr="000B4DCF">
        <w:rPr>
          <w:rFonts w:cs="Times New Roman"/>
        </w:rPr>
        <w:t xml:space="preserve">10. Kontroles laikā dalībvalsts muitas iestādes konstatēja, ka Y noteiktā mēslošanas līdzekļu atkritumu tālākpārdošanas cena bija ievērojami augstāka nekā cena, par kādu preces tika iegādātas no X. Būtiskā atšķirība starp X deklarēto mēslošanas līdzekļu atkritumu muitas </w:t>
      </w:r>
      <w:r w:rsidRPr="000B4DCF">
        <w:rPr>
          <w:rFonts w:cs="Times New Roman"/>
        </w:rPr>
        <w:lastRenderedPageBreak/>
        <w:t>vērtību un cenu, par kādu Y – ar X saistīts uzņēmums – pārdeva preces galapircējiem tūlīt pēc muitošanas pabeigšanas, izraisīja pamatotas šaubas par deklarētās muitas vērtības ticamību.</w:t>
      </w:r>
    </w:p>
    <w:p w14:paraId="5E472AC5" w14:textId="77777777" w:rsidR="00042E3E" w:rsidRPr="000B4DCF" w:rsidRDefault="00042E3E" w:rsidP="00C17DB4">
      <w:pPr>
        <w:widowControl/>
        <w:jc w:val="both"/>
        <w:rPr>
          <w:rFonts w:ascii="Times New Roman" w:eastAsia="Times New Roman" w:hAnsi="Times New Roman" w:cs="Times New Roman"/>
          <w:noProof/>
          <w:sz w:val="24"/>
          <w:szCs w:val="24"/>
        </w:rPr>
      </w:pPr>
    </w:p>
    <w:p w14:paraId="6B40B51C" w14:textId="6B9AB8DD" w:rsidR="00042E3E" w:rsidRPr="000B4DCF" w:rsidRDefault="00B22CCD" w:rsidP="00C17DB4">
      <w:pPr>
        <w:pStyle w:val="BodyText"/>
        <w:widowControl/>
        <w:tabs>
          <w:tab w:val="left" w:pos="486"/>
        </w:tabs>
        <w:ind w:left="0" w:firstLine="0"/>
        <w:jc w:val="both"/>
        <w:rPr>
          <w:rFonts w:cs="Times New Roman"/>
          <w:noProof/>
        </w:rPr>
      </w:pPr>
      <w:r w:rsidRPr="000B4DCF">
        <w:rPr>
          <w:rFonts w:cs="Times New Roman"/>
        </w:rPr>
        <w:t>11. Turklāt dalībvalsts muitas dienesti uzzināja, ka attiecībā uz mēslošanas līdzekļu atkritumiem netika piemērota pārdošanas izvešanai uz ES muitas teritoriju procedūra. Ievestās preces tika pārdotas tūlīt pēc to laišanas brīvā apgrozībā. Pārdošanas darījums notika starp saistītajiem uzņēmumiem X un Y.</w:t>
      </w:r>
    </w:p>
    <w:p w14:paraId="2C70E271" w14:textId="77777777" w:rsidR="00042E3E" w:rsidRPr="000B4DCF" w:rsidRDefault="00042E3E" w:rsidP="00C17DB4">
      <w:pPr>
        <w:widowControl/>
        <w:jc w:val="both"/>
        <w:rPr>
          <w:rFonts w:ascii="Times New Roman" w:eastAsia="Times New Roman" w:hAnsi="Times New Roman" w:cs="Times New Roman"/>
          <w:noProof/>
          <w:sz w:val="24"/>
          <w:szCs w:val="24"/>
        </w:rPr>
      </w:pPr>
    </w:p>
    <w:p w14:paraId="01ABD8DB" w14:textId="337073B9" w:rsidR="00042E3E" w:rsidRPr="000B4DCF" w:rsidRDefault="00B22CCD" w:rsidP="00C17DB4">
      <w:pPr>
        <w:pStyle w:val="BodyText"/>
        <w:widowControl/>
        <w:tabs>
          <w:tab w:val="left" w:pos="486"/>
        </w:tabs>
        <w:ind w:left="0" w:firstLine="0"/>
        <w:jc w:val="both"/>
        <w:rPr>
          <w:rFonts w:cs="Times New Roman"/>
          <w:noProof/>
        </w:rPr>
      </w:pPr>
      <w:r w:rsidRPr="000B4DCF">
        <w:rPr>
          <w:rFonts w:cs="Times New Roman"/>
        </w:rPr>
        <w:t>12. Deklarētā muitas vērtība tika apšaubīta divu iemeslu dēļ – viens bija formāls, t. i., nebija veikta pārdošanas izvešanai uz Savienības muitas teritoriju procedūra, bet otrs bija saistīts ar situācijas būtību, t. i., nozīmīgo atšķirību starp deklarēto muitas vērtību un atkritumu tālākpārdošanas cenu Savienībā.</w:t>
      </w:r>
    </w:p>
    <w:p w14:paraId="38AAE7D5" w14:textId="77777777" w:rsidR="00042E3E" w:rsidRPr="000B4DCF" w:rsidRDefault="00042E3E" w:rsidP="00C17DB4">
      <w:pPr>
        <w:widowControl/>
        <w:jc w:val="both"/>
        <w:rPr>
          <w:rFonts w:ascii="Times New Roman" w:eastAsia="Times New Roman" w:hAnsi="Times New Roman" w:cs="Times New Roman"/>
          <w:noProof/>
          <w:sz w:val="24"/>
          <w:szCs w:val="24"/>
        </w:rPr>
      </w:pPr>
    </w:p>
    <w:p w14:paraId="0F8C988C" w14:textId="6DDD5ED4" w:rsidR="00042E3E" w:rsidRPr="000B4DCF" w:rsidRDefault="00B22CCD" w:rsidP="00C17DB4">
      <w:pPr>
        <w:pStyle w:val="Heading2"/>
        <w:widowControl/>
        <w:tabs>
          <w:tab w:val="left" w:pos="738"/>
        </w:tabs>
        <w:ind w:left="0"/>
        <w:jc w:val="both"/>
        <w:rPr>
          <w:rFonts w:cs="Times New Roman"/>
          <w:noProof/>
          <w:u w:val="single" w:color="000000"/>
        </w:rPr>
      </w:pPr>
      <w:r w:rsidRPr="000B4DCF">
        <w:rPr>
          <w:rFonts w:cs="Times New Roman"/>
          <w:u w:val="single" w:color="000000"/>
        </w:rPr>
        <w:t>II. Apspriežamais jautājums</w:t>
      </w:r>
    </w:p>
    <w:p w14:paraId="1FC4E5E3" w14:textId="77777777" w:rsidR="00042E3E" w:rsidRPr="000B4DCF" w:rsidRDefault="00042E3E" w:rsidP="00C17DB4">
      <w:pPr>
        <w:widowControl/>
        <w:jc w:val="both"/>
        <w:rPr>
          <w:rFonts w:ascii="Times New Roman" w:eastAsia="Times New Roman" w:hAnsi="Times New Roman" w:cs="Times New Roman"/>
          <w:b/>
          <w:bCs/>
          <w:i/>
          <w:noProof/>
          <w:sz w:val="24"/>
          <w:szCs w:val="24"/>
        </w:rPr>
      </w:pPr>
    </w:p>
    <w:p w14:paraId="5FB403B0" w14:textId="77777777" w:rsidR="00042E3E" w:rsidRPr="000B4DCF" w:rsidRDefault="00042E3E" w:rsidP="00C17DB4">
      <w:pPr>
        <w:pStyle w:val="BodyText"/>
        <w:widowControl/>
        <w:ind w:left="0" w:firstLine="0"/>
        <w:jc w:val="both"/>
        <w:rPr>
          <w:rFonts w:cs="Times New Roman"/>
          <w:noProof/>
        </w:rPr>
      </w:pPr>
      <w:r w:rsidRPr="000B4DCF">
        <w:rPr>
          <w:rFonts w:cs="Times New Roman"/>
        </w:rPr>
        <w:t>Kā iepriekš aprakstītajā gadījumā jānosaka mēslošanas līdzekļu atkritumu muitas vērtība?</w:t>
      </w:r>
    </w:p>
    <w:p w14:paraId="17FE690E" w14:textId="77777777" w:rsidR="00042E3E" w:rsidRPr="000B4DCF" w:rsidRDefault="00042E3E" w:rsidP="00C17DB4">
      <w:pPr>
        <w:widowControl/>
        <w:jc w:val="both"/>
        <w:rPr>
          <w:rFonts w:ascii="Times New Roman" w:eastAsia="Times New Roman" w:hAnsi="Times New Roman" w:cs="Times New Roman"/>
          <w:noProof/>
          <w:sz w:val="24"/>
          <w:szCs w:val="24"/>
        </w:rPr>
      </w:pPr>
    </w:p>
    <w:p w14:paraId="16110A11" w14:textId="73EB277A" w:rsidR="00042E3E" w:rsidRPr="000B4DCF" w:rsidRDefault="00B22CCD" w:rsidP="00C17DB4">
      <w:pPr>
        <w:pStyle w:val="Heading2"/>
        <w:widowControl/>
        <w:tabs>
          <w:tab w:val="left" w:pos="834"/>
        </w:tabs>
        <w:ind w:left="0"/>
        <w:jc w:val="both"/>
        <w:rPr>
          <w:rFonts w:cs="Times New Roman"/>
          <w:b w:val="0"/>
          <w:bCs w:val="0"/>
          <w:i w:val="0"/>
          <w:noProof/>
        </w:rPr>
      </w:pPr>
      <w:r w:rsidRPr="000B4DCF">
        <w:rPr>
          <w:rFonts w:cs="Times New Roman"/>
          <w:u w:val="single" w:color="000000"/>
        </w:rPr>
        <w:t>III. Attiecīgās tiesību aktos noteiktās normas</w:t>
      </w:r>
    </w:p>
    <w:p w14:paraId="26BBE8B2" w14:textId="77777777" w:rsidR="00042E3E" w:rsidRPr="000B4DCF" w:rsidRDefault="00042E3E" w:rsidP="00C17DB4">
      <w:pPr>
        <w:widowControl/>
        <w:jc w:val="both"/>
        <w:rPr>
          <w:rFonts w:ascii="Times New Roman" w:eastAsia="Times New Roman" w:hAnsi="Times New Roman" w:cs="Times New Roman"/>
          <w:noProof/>
          <w:sz w:val="24"/>
          <w:szCs w:val="24"/>
        </w:rPr>
      </w:pPr>
    </w:p>
    <w:p w14:paraId="09799AA4" w14:textId="77777777" w:rsidR="00B22CCD" w:rsidRPr="000B4DCF" w:rsidRDefault="00042E3E" w:rsidP="00C17DB4">
      <w:pPr>
        <w:pStyle w:val="BodyText"/>
        <w:widowControl/>
        <w:ind w:left="0" w:firstLine="0"/>
        <w:jc w:val="both"/>
        <w:rPr>
          <w:rFonts w:cs="Times New Roman"/>
          <w:noProof/>
        </w:rPr>
      </w:pPr>
      <w:r w:rsidRPr="000B4DCF">
        <w:rPr>
          <w:rFonts w:cs="Times New Roman"/>
        </w:rPr>
        <w:t>SMK 70.–74. pants</w:t>
      </w:r>
    </w:p>
    <w:p w14:paraId="11DAC930" w14:textId="509544B4" w:rsidR="00042E3E" w:rsidRPr="000B4DCF" w:rsidRDefault="00042E3E" w:rsidP="00C17DB4">
      <w:pPr>
        <w:pStyle w:val="BodyText"/>
        <w:widowControl/>
        <w:ind w:left="0" w:firstLine="0"/>
        <w:jc w:val="both"/>
        <w:rPr>
          <w:rFonts w:cs="Times New Roman"/>
          <w:noProof/>
        </w:rPr>
      </w:pPr>
      <w:r w:rsidRPr="000B4DCF">
        <w:rPr>
          <w:rFonts w:cs="Times New Roman"/>
        </w:rPr>
        <w:t>SMK ĪA 140.–144. pants</w:t>
      </w:r>
    </w:p>
    <w:p w14:paraId="1164E5B8" w14:textId="77777777" w:rsidR="00042E3E" w:rsidRPr="000B4DCF" w:rsidRDefault="00042E3E" w:rsidP="00C17DB4">
      <w:pPr>
        <w:widowControl/>
        <w:jc w:val="both"/>
        <w:rPr>
          <w:rFonts w:ascii="Times New Roman" w:eastAsia="Times New Roman" w:hAnsi="Times New Roman" w:cs="Times New Roman"/>
          <w:noProof/>
          <w:sz w:val="24"/>
          <w:szCs w:val="24"/>
        </w:rPr>
      </w:pPr>
    </w:p>
    <w:p w14:paraId="66CD8EEB" w14:textId="1BC1986B" w:rsidR="00042E3E" w:rsidRPr="000B4DCF" w:rsidRDefault="00DE3BA4" w:rsidP="00C17DB4">
      <w:pPr>
        <w:pStyle w:val="Heading2"/>
        <w:widowControl/>
        <w:tabs>
          <w:tab w:val="left" w:pos="786"/>
        </w:tabs>
        <w:ind w:left="0"/>
        <w:jc w:val="both"/>
        <w:rPr>
          <w:rFonts w:cs="Times New Roman"/>
          <w:noProof/>
          <w:u w:val="single" w:color="000000"/>
        </w:rPr>
      </w:pPr>
      <w:r w:rsidRPr="000B4DCF">
        <w:rPr>
          <w:rFonts w:cs="Times New Roman"/>
          <w:u w:val="single" w:color="000000"/>
        </w:rPr>
        <w:t>IV. Iepriekšēji apsvērumi</w:t>
      </w:r>
    </w:p>
    <w:p w14:paraId="76F0CDB8" w14:textId="77777777" w:rsidR="00042E3E" w:rsidRPr="000B4DCF" w:rsidRDefault="00042E3E" w:rsidP="00C17DB4">
      <w:pPr>
        <w:widowControl/>
        <w:jc w:val="both"/>
        <w:rPr>
          <w:rFonts w:ascii="Times New Roman" w:eastAsia="Times New Roman" w:hAnsi="Times New Roman" w:cs="Times New Roman"/>
          <w:b/>
          <w:bCs/>
          <w:i/>
          <w:noProof/>
          <w:sz w:val="24"/>
          <w:szCs w:val="24"/>
        </w:rPr>
      </w:pPr>
    </w:p>
    <w:p w14:paraId="0F1111D2" w14:textId="42EE7B29" w:rsidR="00042E3E" w:rsidRPr="000B4DCF" w:rsidRDefault="00DE3BA4" w:rsidP="00C17DB4">
      <w:pPr>
        <w:pStyle w:val="BodyText"/>
        <w:widowControl/>
        <w:tabs>
          <w:tab w:val="left" w:pos="486"/>
        </w:tabs>
        <w:ind w:left="0" w:firstLine="0"/>
        <w:jc w:val="both"/>
        <w:rPr>
          <w:rFonts w:cs="Times New Roman"/>
          <w:noProof/>
        </w:rPr>
      </w:pPr>
      <w:r w:rsidRPr="000B4DCF">
        <w:rPr>
          <w:rFonts w:cs="Times New Roman"/>
        </w:rPr>
        <w:t xml:space="preserve">1. Preces (mēslošanas līdzekļu atkritumi), attiecībā uz kurām veica iepriekš 9.–11. punktā aprakstīto pēcmuitošanas pārbaudi, muitas deklarācijas pieņemšanas laikā netika pārdotas izvešanai uz Savienības muitas teritoriju. </w:t>
      </w:r>
      <w:r w:rsidRPr="000B4DCF">
        <w:rPr>
          <w:rFonts w:cs="Times New Roman"/>
          <w:b/>
        </w:rPr>
        <w:t>Z</w:t>
      </w:r>
      <w:r w:rsidRPr="000B4DCF">
        <w:rPr>
          <w:rFonts w:cs="Times New Roman"/>
        </w:rPr>
        <w:t xml:space="preserve"> un </w:t>
      </w:r>
      <w:r w:rsidRPr="000B4DCF">
        <w:rPr>
          <w:rFonts w:cs="Times New Roman"/>
          <w:b/>
        </w:rPr>
        <w:t>X</w:t>
      </w:r>
      <w:r w:rsidRPr="000B4DCF">
        <w:rPr>
          <w:rFonts w:cs="Times New Roman"/>
        </w:rPr>
        <w:t xml:space="preserve"> nebija pārdošanas darījuma puses. Šā fakta juridiskās sekas bija tādas, ka preču muitas vērtības noteikšanā nevarēja piemērot SML 70. pantā minēto darījuma vērtības noteikšanas metodi.</w:t>
      </w:r>
    </w:p>
    <w:p w14:paraId="1CE55013" w14:textId="77777777" w:rsidR="00042E3E" w:rsidRPr="000B4DCF" w:rsidRDefault="00042E3E" w:rsidP="00C17DB4">
      <w:pPr>
        <w:widowControl/>
        <w:jc w:val="both"/>
        <w:rPr>
          <w:rFonts w:ascii="Times New Roman" w:hAnsi="Times New Roman" w:cs="Times New Roman"/>
          <w:noProof/>
          <w:sz w:val="24"/>
          <w:szCs w:val="24"/>
        </w:rPr>
      </w:pPr>
    </w:p>
    <w:p w14:paraId="243DB7E1" w14:textId="2FFE93E1" w:rsidR="00042E3E" w:rsidRPr="000B4DCF" w:rsidRDefault="00DE3BA4" w:rsidP="00C17DB4">
      <w:pPr>
        <w:pStyle w:val="BodyText"/>
        <w:widowControl/>
        <w:tabs>
          <w:tab w:val="left" w:pos="486"/>
        </w:tabs>
        <w:ind w:left="0" w:firstLine="0"/>
        <w:jc w:val="both"/>
        <w:rPr>
          <w:rFonts w:cs="Times New Roman"/>
          <w:noProof/>
        </w:rPr>
      </w:pPr>
      <w:r w:rsidRPr="000B4DCF">
        <w:rPr>
          <w:rFonts w:cs="Times New Roman"/>
        </w:rPr>
        <w:t>2. Tādējādi muitas vērtības noteikšanai bija jāizmanto alternatīva muitas vērtības noteikšanas metode, kā tas noteikts SMK 74. pantā un tā īstenošanas noteikumos SMK ĪA.</w:t>
      </w:r>
    </w:p>
    <w:p w14:paraId="6EC3F772" w14:textId="77777777" w:rsidR="00042E3E" w:rsidRPr="000B4DCF" w:rsidRDefault="00042E3E" w:rsidP="00C17DB4">
      <w:pPr>
        <w:widowControl/>
        <w:jc w:val="both"/>
        <w:rPr>
          <w:rFonts w:ascii="Times New Roman" w:eastAsia="Times New Roman" w:hAnsi="Times New Roman" w:cs="Times New Roman"/>
          <w:noProof/>
          <w:sz w:val="24"/>
          <w:szCs w:val="24"/>
        </w:rPr>
      </w:pPr>
    </w:p>
    <w:p w14:paraId="6EF8BFE8" w14:textId="77777777" w:rsidR="00042E3E" w:rsidRPr="000B4DCF" w:rsidRDefault="00042E3E" w:rsidP="00C17DB4">
      <w:pPr>
        <w:widowControl/>
        <w:jc w:val="both"/>
        <w:rPr>
          <w:rFonts w:ascii="Times New Roman" w:hAnsi="Times New Roman" w:cs="Times New Roman"/>
          <w:i/>
          <w:noProof/>
          <w:sz w:val="24"/>
          <w:szCs w:val="24"/>
          <w:u w:val="single" w:color="000000"/>
        </w:rPr>
      </w:pPr>
      <w:r w:rsidRPr="000B4DCF">
        <w:rPr>
          <w:rFonts w:ascii="Times New Roman" w:hAnsi="Times New Roman" w:cs="Times New Roman"/>
          <w:i/>
          <w:sz w:val="24"/>
          <w:u w:val="single" w:color="000000"/>
        </w:rPr>
        <w:t>Vienādu vai līdzīgu preču muitas vērtība</w:t>
      </w:r>
    </w:p>
    <w:p w14:paraId="57E70BE9" w14:textId="77777777" w:rsidR="00042E3E" w:rsidRPr="000B4DCF" w:rsidRDefault="00042E3E" w:rsidP="00C17DB4">
      <w:pPr>
        <w:widowControl/>
        <w:jc w:val="both"/>
        <w:rPr>
          <w:rFonts w:ascii="Times New Roman" w:eastAsia="Times New Roman" w:hAnsi="Times New Roman" w:cs="Times New Roman"/>
          <w:i/>
          <w:noProof/>
          <w:sz w:val="24"/>
          <w:szCs w:val="24"/>
        </w:rPr>
      </w:pPr>
    </w:p>
    <w:p w14:paraId="3051004C" w14:textId="1D558AEF" w:rsidR="00042E3E" w:rsidRPr="000B4DCF" w:rsidRDefault="00DE3BA4" w:rsidP="00C17DB4">
      <w:pPr>
        <w:pStyle w:val="BodyText"/>
        <w:widowControl/>
        <w:tabs>
          <w:tab w:val="left" w:pos="486"/>
        </w:tabs>
        <w:ind w:left="0" w:firstLine="0"/>
        <w:jc w:val="both"/>
        <w:rPr>
          <w:rFonts w:cs="Times New Roman"/>
          <w:noProof/>
        </w:rPr>
      </w:pPr>
      <w:r w:rsidRPr="000B4DCF">
        <w:rPr>
          <w:rFonts w:cs="Times New Roman"/>
        </w:rPr>
        <w:t>3. Tā kā mēslošanas līdzekļu atkritumus veidoja dažādi zemē nokrituši mēslošanas līdzekļi, kam bija paaugstināts mitruma saturs un kas dažādā daudzumā bija sajaukušies ar ostas darbību rezultātā radītu blakusproduktu piemaisījumiem, nebija iespējams noteikt vienādas/līdzīgas preces, kas atbilstu abu jēdzienu juridiskai definīcijai (SMK ĪA 1. panta 4. un 14. punkts). Šā iemesla dēļ preču muitas vērtības noteikšanā nebija piemērojama nedz vienādu preču darījuma vērtības noteikšanas metode, nedz līdzīgu preču darījuma vērtības noteikšanas metode.</w:t>
      </w:r>
    </w:p>
    <w:p w14:paraId="2E852759" w14:textId="77777777" w:rsidR="00042E3E" w:rsidRPr="000B4DCF" w:rsidRDefault="00042E3E" w:rsidP="00C17DB4">
      <w:pPr>
        <w:widowControl/>
        <w:jc w:val="both"/>
        <w:rPr>
          <w:rFonts w:ascii="Times New Roman" w:eastAsia="Times New Roman" w:hAnsi="Times New Roman" w:cs="Times New Roman"/>
          <w:noProof/>
          <w:sz w:val="24"/>
          <w:szCs w:val="24"/>
        </w:rPr>
      </w:pPr>
    </w:p>
    <w:p w14:paraId="45433C9A" w14:textId="77777777" w:rsidR="00042E3E" w:rsidRPr="000B4DCF" w:rsidRDefault="00042E3E" w:rsidP="00C17DB4">
      <w:pPr>
        <w:widowControl/>
        <w:jc w:val="both"/>
        <w:rPr>
          <w:rFonts w:ascii="Times New Roman" w:hAnsi="Times New Roman" w:cs="Times New Roman"/>
          <w:i/>
          <w:noProof/>
          <w:sz w:val="24"/>
          <w:szCs w:val="24"/>
          <w:u w:val="single" w:color="000000"/>
        </w:rPr>
      </w:pPr>
      <w:r w:rsidRPr="000B4DCF">
        <w:rPr>
          <w:rFonts w:ascii="Times New Roman" w:hAnsi="Times New Roman" w:cs="Times New Roman"/>
          <w:i/>
          <w:sz w:val="24"/>
          <w:u w:val="single" w:color="000000"/>
        </w:rPr>
        <w:t>Deduktīvā metode</w:t>
      </w:r>
    </w:p>
    <w:p w14:paraId="3F78AD6C" w14:textId="77777777" w:rsidR="00042E3E" w:rsidRPr="000B4DCF" w:rsidRDefault="00042E3E" w:rsidP="00C17DB4">
      <w:pPr>
        <w:widowControl/>
        <w:jc w:val="both"/>
        <w:rPr>
          <w:rFonts w:ascii="Times New Roman" w:eastAsia="Times New Roman" w:hAnsi="Times New Roman" w:cs="Times New Roman"/>
          <w:i/>
          <w:noProof/>
          <w:sz w:val="24"/>
          <w:szCs w:val="24"/>
        </w:rPr>
      </w:pPr>
    </w:p>
    <w:p w14:paraId="13A1DB08" w14:textId="39209290" w:rsidR="00042E3E" w:rsidRPr="000B4DCF" w:rsidRDefault="00DE3BA4" w:rsidP="00C17DB4">
      <w:pPr>
        <w:pStyle w:val="BodyText"/>
        <w:widowControl/>
        <w:tabs>
          <w:tab w:val="left" w:pos="406"/>
        </w:tabs>
        <w:ind w:left="0" w:firstLine="0"/>
        <w:jc w:val="both"/>
        <w:rPr>
          <w:rFonts w:cs="Times New Roman"/>
          <w:noProof/>
        </w:rPr>
      </w:pPr>
      <w:r w:rsidRPr="000B4DCF">
        <w:rPr>
          <w:rFonts w:cs="Times New Roman"/>
        </w:rPr>
        <w:t xml:space="preserve">4. Mēslošanas līdzekļu atkritumu muitas vērtības noteikšanai nevarēja izmantot deduktīvo metodi tāpēc, ka </w:t>
      </w:r>
      <w:r w:rsidRPr="000B4DCF">
        <w:rPr>
          <w:rFonts w:cs="Times New Roman"/>
          <w:b/>
        </w:rPr>
        <w:t>X</w:t>
      </w:r>
      <w:r w:rsidRPr="000B4DCF">
        <w:rPr>
          <w:rFonts w:cs="Times New Roman"/>
        </w:rPr>
        <w:t xml:space="preserve"> preces pārdeva savam meitasuzņēmumam </w:t>
      </w:r>
      <w:r w:rsidRPr="000B4DCF">
        <w:rPr>
          <w:rFonts w:cs="Times New Roman"/>
          <w:b/>
        </w:rPr>
        <w:t>Y</w:t>
      </w:r>
      <w:r w:rsidRPr="000B4DCF">
        <w:rPr>
          <w:rFonts w:cs="Times New Roman"/>
        </w:rPr>
        <w:t>. Saskaņā ar SMK 74. panta 2. punkta c) apakšpunktu un SMK ĪA 142. panta 4. punkta b) apakšpunktu muitas vērtības noteikšanā atbilstoši šai metodei nevar ņemt vērā pārdošanu saistītajai personai.</w:t>
      </w:r>
    </w:p>
    <w:p w14:paraId="435C90BB" w14:textId="77777777" w:rsidR="00042E3E" w:rsidRPr="000B4DCF" w:rsidRDefault="00042E3E" w:rsidP="00C17DB4">
      <w:pPr>
        <w:widowControl/>
        <w:jc w:val="both"/>
        <w:rPr>
          <w:rFonts w:ascii="Times New Roman" w:hAnsi="Times New Roman" w:cs="Times New Roman"/>
          <w:noProof/>
          <w:sz w:val="24"/>
          <w:szCs w:val="24"/>
        </w:rPr>
      </w:pPr>
    </w:p>
    <w:p w14:paraId="51293312" w14:textId="77777777" w:rsidR="00042E3E" w:rsidRPr="000B4DCF" w:rsidRDefault="00042E3E" w:rsidP="00035B12">
      <w:pPr>
        <w:keepNext/>
        <w:widowControl/>
        <w:jc w:val="both"/>
        <w:rPr>
          <w:rFonts w:ascii="Times New Roman" w:hAnsi="Times New Roman" w:cs="Times New Roman"/>
          <w:i/>
          <w:noProof/>
          <w:sz w:val="24"/>
          <w:szCs w:val="24"/>
          <w:u w:val="single" w:color="000000"/>
        </w:rPr>
      </w:pPr>
      <w:r w:rsidRPr="000B4DCF">
        <w:rPr>
          <w:rFonts w:ascii="Times New Roman" w:hAnsi="Times New Roman" w:cs="Times New Roman"/>
          <w:i/>
          <w:sz w:val="24"/>
          <w:u w:val="single" w:color="000000"/>
        </w:rPr>
        <w:lastRenderedPageBreak/>
        <w:t>Aprēķinātās vērtības metode</w:t>
      </w:r>
    </w:p>
    <w:p w14:paraId="34990AEA" w14:textId="77777777" w:rsidR="00042E3E" w:rsidRPr="000B4DCF" w:rsidRDefault="00042E3E" w:rsidP="00035B12">
      <w:pPr>
        <w:keepNext/>
        <w:widowControl/>
        <w:jc w:val="both"/>
        <w:rPr>
          <w:rFonts w:ascii="Times New Roman" w:eastAsia="Times New Roman" w:hAnsi="Times New Roman" w:cs="Times New Roman"/>
          <w:i/>
          <w:noProof/>
          <w:sz w:val="24"/>
          <w:szCs w:val="24"/>
        </w:rPr>
      </w:pPr>
    </w:p>
    <w:p w14:paraId="6E447085" w14:textId="60223DD7" w:rsidR="00042E3E" w:rsidRPr="000B4DCF" w:rsidRDefault="00CE4770" w:rsidP="00035B12">
      <w:pPr>
        <w:pStyle w:val="BodyText"/>
        <w:keepNext/>
        <w:widowControl/>
        <w:ind w:left="0" w:firstLine="0"/>
        <w:jc w:val="both"/>
        <w:rPr>
          <w:rFonts w:cs="Times New Roman"/>
          <w:noProof/>
        </w:rPr>
      </w:pPr>
      <w:r w:rsidRPr="000B4DCF">
        <w:rPr>
          <w:rFonts w:cs="Times New Roman"/>
        </w:rPr>
        <w:t>5. Šajā konkrētajā gadījumā nevarēja izmantot arī aprēķinātās vērtības metodi, jo atkritumi neradās ražošanas procesā (SMK 74. panta 2. punkta d) apakšpunkts).</w:t>
      </w:r>
    </w:p>
    <w:p w14:paraId="529DA363" w14:textId="77777777" w:rsidR="00042E3E" w:rsidRPr="000B4DCF" w:rsidRDefault="00042E3E" w:rsidP="00C17DB4">
      <w:pPr>
        <w:widowControl/>
        <w:jc w:val="both"/>
        <w:rPr>
          <w:rFonts w:ascii="Times New Roman" w:hAnsi="Times New Roman" w:cs="Times New Roman"/>
          <w:noProof/>
          <w:sz w:val="24"/>
          <w:szCs w:val="24"/>
        </w:rPr>
      </w:pPr>
    </w:p>
    <w:p w14:paraId="0491FD96" w14:textId="77777777" w:rsidR="00042E3E" w:rsidRPr="000B4DCF" w:rsidRDefault="00042E3E" w:rsidP="00C17DB4">
      <w:pPr>
        <w:widowControl/>
        <w:jc w:val="both"/>
        <w:rPr>
          <w:rFonts w:ascii="Times New Roman" w:hAnsi="Times New Roman" w:cs="Times New Roman"/>
          <w:i/>
          <w:noProof/>
          <w:sz w:val="24"/>
          <w:szCs w:val="24"/>
          <w:u w:val="single" w:color="000000"/>
        </w:rPr>
      </w:pPr>
      <w:r w:rsidRPr="000B4DCF">
        <w:rPr>
          <w:rFonts w:ascii="Times New Roman" w:hAnsi="Times New Roman" w:cs="Times New Roman"/>
          <w:i/>
          <w:sz w:val="24"/>
          <w:u w:val="single" w:color="000000"/>
        </w:rPr>
        <w:t>Savienības muitas teritorijā pieejamo datu metode</w:t>
      </w:r>
    </w:p>
    <w:p w14:paraId="6FBA1731" w14:textId="77777777" w:rsidR="00042E3E" w:rsidRPr="000B4DCF" w:rsidRDefault="00042E3E" w:rsidP="00C17DB4">
      <w:pPr>
        <w:widowControl/>
        <w:jc w:val="both"/>
        <w:rPr>
          <w:rFonts w:ascii="Times New Roman" w:eastAsia="Times New Roman" w:hAnsi="Times New Roman" w:cs="Times New Roman"/>
          <w:i/>
          <w:noProof/>
          <w:sz w:val="24"/>
          <w:szCs w:val="24"/>
        </w:rPr>
      </w:pPr>
    </w:p>
    <w:p w14:paraId="51189960" w14:textId="77777777" w:rsidR="00042E3E" w:rsidRPr="000B4DCF" w:rsidRDefault="00042E3E" w:rsidP="00C17DB4">
      <w:pPr>
        <w:pStyle w:val="BodyText"/>
        <w:widowControl/>
        <w:ind w:left="0" w:firstLine="0"/>
        <w:jc w:val="both"/>
        <w:rPr>
          <w:rFonts w:cs="Times New Roman"/>
          <w:noProof/>
        </w:rPr>
      </w:pPr>
      <w:r w:rsidRPr="000B4DCF">
        <w:rPr>
          <w:rFonts w:cs="Times New Roman"/>
        </w:rPr>
        <w:t>6. Tādējādi mēslošanas līdzekļu atkritumu muitas vērtību noteica, izmantojot Savienības muitas teritorijā pieejamo datu metodi, kā norādīts SMK 74. panta 3. punktā un tā īstenošanas noteikumos.</w:t>
      </w:r>
    </w:p>
    <w:p w14:paraId="37C0EB57" w14:textId="77777777" w:rsidR="00042E3E" w:rsidRPr="000B4DCF" w:rsidRDefault="00042E3E" w:rsidP="00C17DB4">
      <w:pPr>
        <w:widowControl/>
        <w:jc w:val="both"/>
        <w:rPr>
          <w:rFonts w:ascii="Times New Roman" w:eastAsia="Times New Roman" w:hAnsi="Times New Roman" w:cs="Times New Roman"/>
          <w:noProof/>
          <w:sz w:val="24"/>
          <w:szCs w:val="24"/>
        </w:rPr>
      </w:pPr>
    </w:p>
    <w:p w14:paraId="7F113EEB" w14:textId="26A27793" w:rsidR="00042E3E" w:rsidRPr="000B4DCF" w:rsidRDefault="00CE4770" w:rsidP="00C17DB4">
      <w:pPr>
        <w:widowControl/>
        <w:tabs>
          <w:tab w:val="left" w:pos="406"/>
        </w:tabs>
        <w:jc w:val="both"/>
        <w:rPr>
          <w:rFonts w:ascii="Times New Roman" w:eastAsia="Times New Roman" w:hAnsi="Times New Roman" w:cs="Times New Roman"/>
          <w:noProof/>
          <w:sz w:val="24"/>
          <w:szCs w:val="24"/>
        </w:rPr>
      </w:pPr>
      <w:r w:rsidRPr="000B4DCF">
        <w:rPr>
          <w:rFonts w:ascii="Times New Roman" w:hAnsi="Times New Roman" w:cs="Times New Roman"/>
          <w:sz w:val="24"/>
        </w:rPr>
        <w:t xml:space="preserve">7. Saskaņā ar SMK 74. panta 3. punktu Savienības muitas teritorijā pieejamo datu metodi izmanto, lai noteiktu muitas vērtību, </w:t>
      </w:r>
      <w:r w:rsidRPr="000B4DCF">
        <w:rPr>
          <w:rFonts w:ascii="Times New Roman" w:hAnsi="Times New Roman" w:cs="Times New Roman"/>
          <w:i/>
          <w:sz w:val="24"/>
        </w:rPr>
        <w:t>pamatojoties uz Savienības muitas teritorijā pieejamiem datiem, izmantojot pieņemamus līdzekļus, kas atbilst principiem un vispārīgiem noteikumiem, kuri ietverti visā turpmāk norādītajā:</w:t>
      </w:r>
    </w:p>
    <w:p w14:paraId="53A7C72A" w14:textId="1CA98B75" w:rsidR="00042E3E" w:rsidRPr="000B4DCF" w:rsidRDefault="00CE4770" w:rsidP="00035B12">
      <w:pPr>
        <w:widowControl/>
        <w:tabs>
          <w:tab w:val="left" w:pos="903"/>
        </w:tabs>
        <w:ind w:left="142"/>
        <w:jc w:val="both"/>
        <w:rPr>
          <w:rFonts w:ascii="Times New Roman" w:hAnsi="Times New Roman" w:cs="Times New Roman"/>
          <w:i/>
          <w:noProof/>
          <w:sz w:val="24"/>
          <w:szCs w:val="24"/>
        </w:rPr>
      </w:pPr>
      <w:r w:rsidRPr="000B4DCF">
        <w:rPr>
          <w:rFonts w:ascii="Times New Roman" w:hAnsi="Times New Roman" w:cs="Times New Roman"/>
          <w:i/>
          <w:sz w:val="24"/>
        </w:rPr>
        <w:t>a) nolīgumā par Vispārējās vienošanās par tarifiem un tirdzniecību VII panta piemērošanu;</w:t>
      </w:r>
    </w:p>
    <w:p w14:paraId="66907198" w14:textId="7C09D622" w:rsidR="00042E3E" w:rsidRPr="000B4DCF" w:rsidRDefault="00CE4770" w:rsidP="00035B12">
      <w:pPr>
        <w:widowControl/>
        <w:tabs>
          <w:tab w:val="left" w:pos="903"/>
        </w:tabs>
        <w:ind w:left="142"/>
        <w:jc w:val="both"/>
        <w:rPr>
          <w:rFonts w:ascii="Times New Roman" w:hAnsi="Times New Roman" w:cs="Times New Roman"/>
          <w:i/>
          <w:noProof/>
          <w:sz w:val="24"/>
          <w:szCs w:val="24"/>
        </w:rPr>
      </w:pPr>
      <w:r w:rsidRPr="000B4DCF">
        <w:rPr>
          <w:rFonts w:ascii="Times New Roman" w:hAnsi="Times New Roman" w:cs="Times New Roman"/>
          <w:i/>
          <w:sz w:val="24"/>
        </w:rPr>
        <w:t>b) Vispārējās vienošanās par tarifiem un tirdzniecību VII pantā;</w:t>
      </w:r>
    </w:p>
    <w:p w14:paraId="4E62BE2B" w14:textId="085A4E05" w:rsidR="00042E3E" w:rsidRPr="000B4DCF" w:rsidRDefault="00CE4770" w:rsidP="00035B12">
      <w:pPr>
        <w:widowControl/>
        <w:tabs>
          <w:tab w:val="left" w:pos="871"/>
        </w:tabs>
        <w:ind w:left="142"/>
        <w:jc w:val="both"/>
        <w:rPr>
          <w:rFonts w:ascii="Times New Roman" w:eastAsia="Times New Roman" w:hAnsi="Times New Roman" w:cs="Times New Roman"/>
          <w:noProof/>
          <w:sz w:val="24"/>
          <w:szCs w:val="24"/>
        </w:rPr>
      </w:pPr>
      <w:r w:rsidRPr="000B4DCF">
        <w:rPr>
          <w:rFonts w:ascii="Times New Roman" w:hAnsi="Times New Roman" w:cs="Times New Roman"/>
          <w:i/>
          <w:sz w:val="24"/>
        </w:rPr>
        <w:t>c) šajā nodaļā</w:t>
      </w:r>
      <w:r w:rsidRPr="000B4DCF">
        <w:rPr>
          <w:rFonts w:ascii="Times New Roman" w:hAnsi="Times New Roman" w:cs="Times New Roman"/>
          <w:sz w:val="24"/>
        </w:rPr>
        <w:t xml:space="preserve"> [SMK II sadaļas 3. nodaļā].</w:t>
      </w:r>
    </w:p>
    <w:p w14:paraId="3D264B51" w14:textId="77777777" w:rsidR="00042E3E" w:rsidRPr="000B4DCF" w:rsidRDefault="00042E3E" w:rsidP="00C17DB4">
      <w:pPr>
        <w:widowControl/>
        <w:jc w:val="both"/>
        <w:rPr>
          <w:rFonts w:ascii="Times New Roman" w:eastAsia="Times New Roman" w:hAnsi="Times New Roman" w:cs="Times New Roman"/>
          <w:noProof/>
          <w:sz w:val="24"/>
          <w:szCs w:val="24"/>
        </w:rPr>
      </w:pPr>
    </w:p>
    <w:p w14:paraId="01243826" w14:textId="6AA99AB1" w:rsidR="00042E3E" w:rsidRPr="000B4DCF" w:rsidRDefault="00CE4770" w:rsidP="00C17DB4">
      <w:pPr>
        <w:pStyle w:val="BodyText"/>
        <w:widowControl/>
        <w:tabs>
          <w:tab w:val="left" w:pos="406"/>
        </w:tabs>
        <w:ind w:left="0" w:firstLine="0"/>
        <w:jc w:val="both"/>
        <w:rPr>
          <w:rFonts w:cs="Times New Roman"/>
          <w:noProof/>
        </w:rPr>
      </w:pPr>
      <w:r w:rsidRPr="000B4DCF">
        <w:rPr>
          <w:rFonts w:cs="Times New Roman"/>
        </w:rPr>
        <w:t xml:space="preserve">8. Metodes izmantošanā ir divas alternatīvas iespējas: 1) elastīgi piemērot iepriekšējās metodes (SMK ĪA 144. panta 1. punkts) vai, ja tas nav iespējams, 2) izmantot </w:t>
      </w:r>
      <w:r w:rsidRPr="000B4DCF">
        <w:rPr>
          <w:rFonts w:cs="Times New Roman"/>
          <w:i/>
        </w:rPr>
        <w:t>citas piemērotas metodes</w:t>
      </w:r>
      <w:r w:rsidRPr="000B4DCF">
        <w:rPr>
          <w:rFonts w:cs="Times New Roman"/>
        </w:rPr>
        <w:t>, kā norādīts SMK ĪA 144. panta 2. punktā.</w:t>
      </w:r>
    </w:p>
    <w:p w14:paraId="658AB57C" w14:textId="77777777" w:rsidR="00042E3E" w:rsidRPr="000B4DCF" w:rsidRDefault="00042E3E" w:rsidP="00C17DB4">
      <w:pPr>
        <w:widowControl/>
        <w:jc w:val="both"/>
        <w:rPr>
          <w:rFonts w:ascii="Times New Roman" w:eastAsia="Times New Roman" w:hAnsi="Times New Roman" w:cs="Times New Roman"/>
          <w:noProof/>
          <w:sz w:val="24"/>
          <w:szCs w:val="24"/>
        </w:rPr>
      </w:pPr>
    </w:p>
    <w:p w14:paraId="15615248" w14:textId="4B193F68" w:rsidR="00042E3E" w:rsidRPr="000B4DCF" w:rsidRDefault="00CE4770" w:rsidP="00C17DB4">
      <w:pPr>
        <w:pStyle w:val="BodyText"/>
        <w:widowControl/>
        <w:tabs>
          <w:tab w:val="left" w:pos="406"/>
        </w:tabs>
        <w:ind w:left="0" w:firstLine="0"/>
        <w:jc w:val="both"/>
        <w:rPr>
          <w:rFonts w:cs="Times New Roman"/>
          <w:noProof/>
        </w:rPr>
      </w:pPr>
      <w:r w:rsidRPr="000B4DCF">
        <w:rPr>
          <w:rFonts w:cs="Times New Roman"/>
        </w:rPr>
        <w:t xml:space="preserve">9. Preču muitas vērtība tika noteikta, pamatojoties uz Savienībā pieejamo informāciju (SMK ĪA 144. panta 2. punkts). Par sākuma punktu tika izmantota cena, ko uzņēmums </w:t>
      </w:r>
      <w:r w:rsidRPr="000B4DCF">
        <w:rPr>
          <w:rFonts w:cs="Times New Roman"/>
          <w:b/>
        </w:rPr>
        <w:t>Y</w:t>
      </w:r>
      <w:r w:rsidRPr="000B4DCF">
        <w:rPr>
          <w:rFonts w:cs="Times New Roman"/>
        </w:rPr>
        <w:t xml:space="preserve"> noteica, pārdodot mēslošanas līdzekļu atkritumus nesaistītiem uzņēmumiem.</w:t>
      </w:r>
    </w:p>
    <w:p w14:paraId="519E593D" w14:textId="77777777" w:rsidR="00042E3E" w:rsidRPr="000B4DCF" w:rsidRDefault="00042E3E" w:rsidP="00C17DB4">
      <w:pPr>
        <w:pStyle w:val="BodyText"/>
        <w:widowControl/>
        <w:ind w:left="0" w:firstLine="0"/>
        <w:jc w:val="both"/>
        <w:rPr>
          <w:rFonts w:cs="Times New Roman"/>
          <w:noProof/>
        </w:rPr>
      </w:pPr>
      <w:r w:rsidRPr="000B4DCF">
        <w:rPr>
          <w:rFonts w:cs="Times New Roman"/>
        </w:rPr>
        <w:t>Tad cena tika koriģēta, no tās atskaitot:</w:t>
      </w:r>
    </w:p>
    <w:p w14:paraId="42D26522" w14:textId="092403E7" w:rsidR="00042E3E" w:rsidRPr="000B4DCF" w:rsidRDefault="00917EE5" w:rsidP="00C17DB4">
      <w:pPr>
        <w:pStyle w:val="BodyText"/>
        <w:widowControl/>
        <w:tabs>
          <w:tab w:val="left" w:pos="1127"/>
        </w:tabs>
        <w:ind w:left="0" w:firstLine="0"/>
        <w:jc w:val="both"/>
        <w:rPr>
          <w:rFonts w:cs="Times New Roman"/>
          <w:noProof/>
        </w:rPr>
      </w:pPr>
      <w:r w:rsidRPr="000B4DCF">
        <w:rPr>
          <w:rFonts w:cs="Times New Roman"/>
        </w:rPr>
        <w:t>- rezerves, ko parasti paredz peļņai un vispārīgiem izdevumiem;</w:t>
      </w:r>
    </w:p>
    <w:p w14:paraId="1C7E9961" w14:textId="5E2F1F17" w:rsidR="00042E3E" w:rsidRPr="000B4DCF" w:rsidRDefault="00917EE5" w:rsidP="00C17DB4">
      <w:pPr>
        <w:pStyle w:val="BodyText"/>
        <w:widowControl/>
        <w:tabs>
          <w:tab w:val="left" w:pos="1127"/>
        </w:tabs>
        <w:ind w:left="0" w:firstLine="0"/>
        <w:jc w:val="both"/>
        <w:rPr>
          <w:rFonts w:cs="Times New Roman"/>
          <w:noProof/>
        </w:rPr>
      </w:pPr>
      <w:r w:rsidRPr="000B4DCF">
        <w:rPr>
          <w:rFonts w:cs="Times New Roman"/>
        </w:rPr>
        <w:t>- pārvadāšanas, apdrošināšanas un saistītās izmaksas, kas radušās Savienības muitas teritorijā, preces transportējot uz lauku saimniecībām;</w:t>
      </w:r>
    </w:p>
    <w:p w14:paraId="3FCED16A" w14:textId="3DBF0E12" w:rsidR="00042E3E" w:rsidRPr="000B4DCF" w:rsidRDefault="00917EE5" w:rsidP="00C17DB4">
      <w:pPr>
        <w:pStyle w:val="BodyText"/>
        <w:widowControl/>
        <w:tabs>
          <w:tab w:val="left" w:pos="1127"/>
        </w:tabs>
        <w:ind w:left="0" w:firstLine="0"/>
        <w:jc w:val="both"/>
        <w:rPr>
          <w:rFonts w:cs="Times New Roman"/>
          <w:noProof/>
        </w:rPr>
      </w:pPr>
      <w:r w:rsidRPr="000B4DCF">
        <w:rPr>
          <w:rFonts w:cs="Times New Roman"/>
        </w:rPr>
        <w:t>- maksājamos ievedmuitas nodokļus un citus maksājumus Savienības muitas teritorijā par preču importu vai pārdošanu.</w:t>
      </w:r>
    </w:p>
    <w:p w14:paraId="7C44ABAB" w14:textId="77777777" w:rsidR="00042E3E" w:rsidRPr="000B4DCF" w:rsidRDefault="00042E3E" w:rsidP="00C17DB4">
      <w:pPr>
        <w:widowControl/>
        <w:jc w:val="both"/>
        <w:rPr>
          <w:rFonts w:ascii="Times New Roman" w:eastAsia="Times New Roman" w:hAnsi="Times New Roman" w:cs="Times New Roman"/>
          <w:noProof/>
          <w:sz w:val="24"/>
          <w:szCs w:val="24"/>
        </w:rPr>
      </w:pPr>
    </w:p>
    <w:p w14:paraId="0E6DA893" w14:textId="1F6F4063" w:rsidR="00042E3E" w:rsidRPr="000B4DCF" w:rsidRDefault="00042E3E" w:rsidP="00C17DB4">
      <w:pPr>
        <w:pStyle w:val="BodyText"/>
        <w:widowControl/>
        <w:ind w:left="0" w:firstLine="0"/>
        <w:jc w:val="both"/>
        <w:rPr>
          <w:rFonts w:cs="Times New Roman"/>
          <w:noProof/>
        </w:rPr>
      </w:pPr>
      <w:r w:rsidRPr="000B4DCF">
        <w:rPr>
          <w:rFonts w:cs="Times New Roman"/>
        </w:rPr>
        <w:t xml:space="preserve">Pārdošanas cenas korekcija tika veikta saskaņā ar SMK ĪA 142. panta 5. punkta noteikumiem. Šie noteikumi attiecas uz deduktīvo metodi un </w:t>
      </w:r>
      <w:r w:rsidRPr="000B4DCF">
        <w:rPr>
          <w:rFonts w:cs="Times New Roman"/>
          <w:i/>
        </w:rPr>
        <w:t>per se</w:t>
      </w:r>
      <w:r w:rsidRPr="000B4DCF">
        <w:rPr>
          <w:rFonts w:cs="Times New Roman"/>
        </w:rPr>
        <w:t xml:space="preserve"> nav piemērojami saskaņā ar Savienības muitas teritorijā pieejamo datu metodi. Tomēr izpētāmajā gadījumā mēslošanas līdzekļu atkritumu cenu lielā mērā nosaka tāpat, kā saskaņā ar deduktīvo metodi nosaka vienības cenu muitas vērtības noteikšanas nolūkā. Tāpēc, nosakot mēslošanas līdzekļu atkritumu cenu, </w:t>
      </w:r>
      <w:r w:rsidRPr="000B4DCF">
        <w:rPr>
          <w:rFonts w:cs="Times New Roman"/>
          <w:i/>
        </w:rPr>
        <w:t>mutatis mutandis</w:t>
      </w:r>
      <w:r w:rsidRPr="000B4DCF">
        <w:rPr>
          <w:rFonts w:cs="Times New Roman"/>
        </w:rPr>
        <w:t xml:space="preserve"> jāpiemēro tiesību princips, kas attiecas uz vienības cenas korekcijām, kuras piemērojamas saskaņā ar deduktīvo metodi.</w:t>
      </w:r>
    </w:p>
    <w:p w14:paraId="1FE8BD8F" w14:textId="77777777" w:rsidR="00042E3E" w:rsidRPr="000B4DCF" w:rsidRDefault="00042E3E" w:rsidP="00C17DB4">
      <w:pPr>
        <w:widowControl/>
        <w:jc w:val="both"/>
        <w:rPr>
          <w:rFonts w:ascii="Times New Roman" w:eastAsia="Times New Roman" w:hAnsi="Times New Roman" w:cs="Times New Roman"/>
          <w:noProof/>
          <w:sz w:val="24"/>
          <w:szCs w:val="24"/>
        </w:rPr>
      </w:pPr>
    </w:p>
    <w:p w14:paraId="3EBCEC98" w14:textId="06647CDD" w:rsidR="00042E3E" w:rsidRPr="000B4DCF" w:rsidRDefault="00917EE5" w:rsidP="00C17DB4">
      <w:pPr>
        <w:pStyle w:val="BodyText"/>
        <w:widowControl/>
        <w:tabs>
          <w:tab w:val="left" w:pos="486"/>
        </w:tabs>
        <w:ind w:left="0" w:firstLine="0"/>
        <w:jc w:val="both"/>
        <w:rPr>
          <w:rFonts w:cs="Times New Roman"/>
          <w:noProof/>
        </w:rPr>
      </w:pPr>
      <w:r w:rsidRPr="000B4DCF">
        <w:rPr>
          <w:rFonts w:cs="Times New Roman"/>
        </w:rPr>
        <w:t>10. Izmantojot iepriekš aprakstīto metodiku, dalībvalstu muitas iestādes noteica, ka mēslošanas līdzekļu atkritumu muitas vērtība ir 55,25 EUR par tonnu.</w:t>
      </w:r>
    </w:p>
    <w:p w14:paraId="70CD4E4B" w14:textId="77777777" w:rsidR="00042E3E" w:rsidRPr="000B4DCF" w:rsidRDefault="00042E3E" w:rsidP="00C17DB4">
      <w:pPr>
        <w:widowControl/>
        <w:jc w:val="both"/>
        <w:rPr>
          <w:rFonts w:ascii="Times New Roman" w:eastAsia="Times New Roman" w:hAnsi="Times New Roman" w:cs="Times New Roman"/>
          <w:noProof/>
          <w:sz w:val="24"/>
          <w:szCs w:val="24"/>
        </w:rPr>
      </w:pPr>
    </w:p>
    <w:p w14:paraId="0F41939A" w14:textId="77777777" w:rsidR="00042E3E" w:rsidRPr="000B4DCF" w:rsidRDefault="00042E3E" w:rsidP="00C17DB4">
      <w:pPr>
        <w:widowControl/>
        <w:jc w:val="both"/>
        <w:rPr>
          <w:rFonts w:ascii="Times New Roman" w:eastAsia="Times New Roman" w:hAnsi="Times New Roman" w:cs="Times New Roman"/>
          <w:noProof/>
          <w:sz w:val="24"/>
          <w:szCs w:val="24"/>
        </w:rPr>
      </w:pPr>
      <w:r w:rsidRPr="000B4DCF">
        <w:rPr>
          <w:rFonts w:ascii="Times New Roman" w:hAnsi="Times New Roman" w:cs="Times New Roman"/>
          <w:b/>
          <w:sz w:val="24"/>
        </w:rPr>
        <w:t>Piezīme.</w:t>
      </w:r>
      <w:r w:rsidRPr="000B4DCF">
        <w:rPr>
          <w:rFonts w:ascii="Times New Roman" w:hAnsi="Times New Roman" w:cs="Times New Roman"/>
          <w:sz w:val="24"/>
        </w:rPr>
        <w:t xml:space="preserve"> Šā gadījuma izpēte ir </w:t>
      </w:r>
      <w:r w:rsidRPr="000B4DCF">
        <w:rPr>
          <w:rFonts w:ascii="Times New Roman" w:hAnsi="Times New Roman" w:cs="Times New Roman"/>
          <w:b/>
          <w:sz w:val="24"/>
        </w:rPr>
        <w:t>13. komentāra</w:t>
      </w:r>
      <w:r w:rsidRPr="000B4DCF">
        <w:rPr>
          <w:rFonts w:ascii="Times New Roman" w:hAnsi="Times New Roman" w:cs="Times New Roman"/>
          <w:sz w:val="24"/>
        </w:rPr>
        <w:t xml:space="preserve"> papildinājums.</w:t>
      </w:r>
    </w:p>
    <w:sectPr w:rsidR="00042E3E" w:rsidRPr="000B4DCF" w:rsidSect="00C17DB4">
      <w:headerReference w:type="default" r:id="rId11"/>
      <w:footerReference w:type="default" r:id="rId12"/>
      <w:headerReference w:type="first" r:id="rId13"/>
      <w:footerReference w:type="first" r:id="rId14"/>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1B3E9" w14:textId="77777777" w:rsidR="00A92E35" w:rsidRPr="00042E3E" w:rsidRDefault="00A92E35">
      <w:pPr>
        <w:rPr>
          <w:noProof/>
        </w:rPr>
      </w:pPr>
      <w:r w:rsidRPr="00042E3E">
        <w:rPr>
          <w:noProof/>
        </w:rPr>
        <w:separator/>
      </w:r>
    </w:p>
  </w:endnote>
  <w:endnote w:type="continuationSeparator" w:id="0">
    <w:p w14:paraId="2923EFDD" w14:textId="77777777" w:rsidR="00A92E35" w:rsidRPr="00042E3E" w:rsidRDefault="00A92E35">
      <w:pPr>
        <w:rPr>
          <w:noProof/>
        </w:rPr>
      </w:pPr>
      <w:r w:rsidRPr="00042E3E">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21F6E" w14:textId="77777777" w:rsidR="00C17DB4" w:rsidRPr="003E47FA" w:rsidRDefault="00C17DB4" w:rsidP="00C17DB4">
    <w:pPr>
      <w:pStyle w:val="Header"/>
      <w:tabs>
        <w:tab w:val="left" w:pos="9072"/>
      </w:tabs>
      <w:jc w:val="both"/>
      <w:rPr>
        <w:rStyle w:val="PageNumber"/>
        <w:rFonts w:ascii="Times New Roman" w:hAnsi="Times New Roman" w:cs="Times New Roman"/>
        <w:sz w:val="20"/>
        <w:szCs w:val="20"/>
      </w:rPr>
    </w:pPr>
  </w:p>
  <w:p w14:paraId="34AC73DD" w14:textId="77777777" w:rsidR="00C17DB4" w:rsidRPr="003E47FA" w:rsidRDefault="00C17DB4" w:rsidP="00C17DB4">
    <w:pPr>
      <w:pStyle w:val="Header"/>
      <w:tabs>
        <w:tab w:val="clear" w:pos="4513"/>
        <w:tab w:val="clear" w:pos="9026"/>
        <w:tab w:val="right" w:leader="underscore" w:pos="9072"/>
      </w:tabs>
      <w:jc w:val="both"/>
      <w:rPr>
        <w:rStyle w:val="PageNumber"/>
        <w:rFonts w:ascii="Times New Roman" w:hAnsi="Times New Roman" w:cs="Times New Roman"/>
        <w:sz w:val="20"/>
        <w:szCs w:val="20"/>
      </w:rPr>
    </w:pPr>
    <w:r w:rsidRPr="003E47FA">
      <w:rPr>
        <w:rStyle w:val="PageNumber"/>
        <w:rFonts w:ascii="Times New Roman" w:hAnsi="Times New Roman" w:cs="Times New Roman"/>
        <w:sz w:val="20"/>
        <w:szCs w:val="20"/>
      </w:rPr>
      <w:tab/>
    </w:r>
  </w:p>
  <w:p w14:paraId="56E5A1E7" w14:textId="77777777" w:rsidR="00C17DB4" w:rsidRPr="003E47FA" w:rsidRDefault="00C17DB4" w:rsidP="00C17DB4">
    <w:pPr>
      <w:pStyle w:val="Header"/>
      <w:tabs>
        <w:tab w:val="right" w:pos="9072"/>
      </w:tabs>
      <w:jc w:val="both"/>
      <w:rPr>
        <w:rStyle w:val="PageNumber"/>
        <w:rFonts w:ascii="Times New Roman" w:hAnsi="Times New Roman" w:cs="Times New Roman"/>
        <w:sz w:val="20"/>
        <w:szCs w:val="20"/>
      </w:rPr>
    </w:pPr>
  </w:p>
  <w:p w14:paraId="4280F2BC" w14:textId="77777777" w:rsidR="00C17DB4" w:rsidRPr="003E47FA" w:rsidRDefault="00C17DB4" w:rsidP="00C17DB4">
    <w:pPr>
      <w:pStyle w:val="Footer"/>
      <w:tabs>
        <w:tab w:val="clear" w:pos="4513"/>
        <w:tab w:val="clear" w:pos="9026"/>
        <w:tab w:val="center" w:pos="9072"/>
      </w:tabs>
      <w:jc w:val="both"/>
      <w:rPr>
        <w:rFonts w:ascii="Times New Roman" w:hAnsi="Times New Roman" w:cs="Times New Roman"/>
        <w:sz w:val="20"/>
        <w:szCs w:val="20"/>
      </w:rPr>
    </w:pPr>
    <w:r w:rsidRPr="003E47FA">
      <w:rPr>
        <w:rFonts w:ascii="Times New Roman" w:hAnsi="Times New Roman" w:cs="Times New Roman"/>
        <w:sz w:val="20"/>
        <w:szCs w:val="20"/>
      </w:rPr>
      <w:t xml:space="preserve">Tulkojums </w:t>
    </w:r>
    <w:r w:rsidRPr="003E47FA">
      <w:rPr>
        <w:rFonts w:ascii="Times New Roman" w:hAnsi="Times New Roman" w:cs="Times New Roman"/>
        <w:sz w:val="20"/>
        <w:szCs w:val="20"/>
      </w:rPr>
      <w:fldChar w:fldCharType="begin"/>
    </w:r>
    <w:r w:rsidRPr="003E47FA">
      <w:rPr>
        <w:rFonts w:ascii="Times New Roman" w:hAnsi="Times New Roman" w:cs="Times New Roman"/>
        <w:sz w:val="20"/>
        <w:szCs w:val="20"/>
      </w:rPr>
      <w:instrText>symbol 211 \f "Symbol" \s 9</w:instrText>
    </w:r>
    <w:r w:rsidRPr="003E47FA">
      <w:rPr>
        <w:rFonts w:ascii="Times New Roman" w:hAnsi="Times New Roman" w:cs="Times New Roman"/>
        <w:sz w:val="20"/>
        <w:szCs w:val="20"/>
      </w:rPr>
      <w:fldChar w:fldCharType="separate"/>
    </w:r>
    <w:r w:rsidRPr="003E47FA">
      <w:rPr>
        <w:rFonts w:ascii="Times New Roman" w:hAnsi="Times New Roman" w:cs="Times New Roman"/>
        <w:sz w:val="20"/>
        <w:szCs w:val="20"/>
      </w:rPr>
      <w:t>Ó</w:t>
    </w:r>
    <w:r w:rsidRPr="003E47FA">
      <w:rPr>
        <w:rFonts w:ascii="Times New Roman" w:hAnsi="Times New Roman" w:cs="Times New Roman"/>
        <w:sz w:val="20"/>
        <w:szCs w:val="20"/>
      </w:rPr>
      <w:fldChar w:fldCharType="end"/>
    </w:r>
    <w:r w:rsidRPr="003E47FA">
      <w:rPr>
        <w:rFonts w:ascii="Times New Roman" w:hAnsi="Times New Roman" w:cs="Times New Roman"/>
        <w:sz w:val="20"/>
        <w:szCs w:val="20"/>
      </w:rPr>
      <w:t xml:space="preserve"> Valsts valodas centrs, 2021</w:t>
    </w:r>
    <w:r w:rsidRPr="003E47FA">
      <w:rPr>
        <w:rFonts w:ascii="Times New Roman" w:hAnsi="Times New Roman" w:cs="Times New Roman"/>
        <w:sz w:val="20"/>
        <w:szCs w:val="20"/>
      </w:rPr>
      <w:tab/>
    </w:r>
    <w:r w:rsidRPr="003E47FA">
      <w:rPr>
        <w:rStyle w:val="PageNumber"/>
        <w:rFonts w:ascii="Times New Roman" w:hAnsi="Times New Roman" w:cs="Times New Roman"/>
        <w:sz w:val="20"/>
        <w:szCs w:val="20"/>
      </w:rPr>
      <w:fldChar w:fldCharType="begin"/>
    </w:r>
    <w:r w:rsidRPr="003E47FA">
      <w:rPr>
        <w:rStyle w:val="PageNumber"/>
        <w:rFonts w:ascii="Times New Roman" w:hAnsi="Times New Roman" w:cs="Times New Roman"/>
        <w:sz w:val="20"/>
        <w:szCs w:val="20"/>
      </w:rPr>
      <w:instrText xml:space="preserve">page </w:instrText>
    </w:r>
    <w:r w:rsidRPr="003E47FA">
      <w:rPr>
        <w:rStyle w:val="PageNumber"/>
        <w:rFonts w:ascii="Times New Roman" w:hAnsi="Times New Roman" w:cs="Times New Roman"/>
        <w:sz w:val="20"/>
        <w:szCs w:val="20"/>
      </w:rPr>
      <w:fldChar w:fldCharType="separate"/>
    </w:r>
    <w:r>
      <w:rPr>
        <w:rStyle w:val="PageNumber"/>
        <w:rFonts w:ascii="Times New Roman" w:hAnsi="Times New Roman" w:cs="Times New Roman"/>
        <w:sz w:val="20"/>
        <w:szCs w:val="20"/>
      </w:rPr>
      <w:t>2</w:t>
    </w:r>
    <w:r w:rsidRPr="003E47FA">
      <w:rPr>
        <w:rStyle w:val="PageNumber"/>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1D1A4" w14:textId="77777777" w:rsidR="001519B9" w:rsidRPr="003F25D0" w:rsidRDefault="001519B9" w:rsidP="001519B9">
    <w:pPr>
      <w:pStyle w:val="Header"/>
      <w:tabs>
        <w:tab w:val="left" w:pos="9072"/>
      </w:tabs>
      <w:jc w:val="both"/>
      <w:rPr>
        <w:rStyle w:val="PageNumber"/>
        <w:rFonts w:ascii="Times New Roman" w:hAnsi="Times New Roman"/>
        <w:sz w:val="20"/>
        <w:szCs w:val="18"/>
      </w:rPr>
    </w:pPr>
    <w:bookmarkStart w:id="14" w:name="_Hlk496261764"/>
    <w:bookmarkStart w:id="15" w:name="_Hlk496261765"/>
    <w:bookmarkStart w:id="16" w:name="_Hlk496261766"/>
    <w:bookmarkStart w:id="17" w:name="_Hlk30491075"/>
    <w:bookmarkStart w:id="18" w:name="_Hlk30491076"/>
  </w:p>
  <w:p w14:paraId="5B2451CD" w14:textId="77777777" w:rsidR="001519B9" w:rsidRPr="003F25D0" w:rsidRDefault="001519B9" w:rsidP="001519B9">
    <w:pPr>
      <w:pStyle w:val="Header"/>
      <w:tabs>
        <w:tab w:val="clear" w:pos="4513"/>
        <w:tab w:val="clear" w:pos="9026"/>
        <w:tab w:val="left" w:leader="underscore" w:pos="9072"/>
      </w:tabs>
      <w:jc w:val="both"/>
      <w:rPr>
        <w:rStyle w:val="PageNumber"/>
        <w:rFonts w:ascii="Times New Roman" w:hAnsi="Times New Roman"/>
        <w:sz w:val="20"/>
        <w:szCs w:val="18"/>
      </w:rPr>
    </w:pPr>
    <w:r w:rsidRPr="003F25D0">
      <w:rPr>
        <w:rStyle w:val="PageNumber"/>
        <w:rFonts w:ascii="Times New Roman" w:hAnsi="Times New Roman"/>
        <w:sz w:val="20"/>
        <w:szCs w:val="18"/>
      </w:rPr>
      <w:tab/>
    </w:r>
  </w:p>
  <w:p w14:paraId="1B62FB6B" w14:textId="77777777" w:rsidR="001519B9" w:rsidRPr="003F25D0" w:rsidRDefault="001519B9" w:rsidP="001519B9">
    <w:pPr>
      <w:pStyle w:val="Header"/>
      <w:tabs>
        <w:tab w:val="left" w:pos="9072"/>
      </w:tabs>
      <w:jc w:val="both"/>
      <w:rPr>
        <w:rStyle w:val="PageNumber"/>
        <w:rFonts w:ascii="Times New Roman" w:hAnsi="Times New Roman"/>
        <w:sz w:val="20"/>
        <w:szCs w:val="18"/>
      </w:rPr>
    </w:pPr>
  </w:p>
  <w:p w14:paraId="3F53F876" w14:textId="77777777" w:rsidR="001519B9" w:rsidRPr="003F25D0" w:rsidRDefault="001519B9" w:rsidP="001519B9">
    <w:pPr>
      <w:pStyle w:val="Footer"/>
      <w:jc w:val="both"/>
      <w:rPr>
        <w:rFonts w:ascii="Times New Roman" w:hAnsi="Times New Roman"/>
        <w:sz w:val="20"/>
        <w:szCs w:val="18"/>
      </w:rPr>
    </w:pPr>
    <w:r w:rsidRPr="003F25D0">
      <w:rPr>
        <w:rFonts w:ascii="Times New Roman" w:hAnsi="Times New Roman"/>
        <w:sz w:val="20"/>
        <w:szCs w:val="18"/>
      </w:rPr>
      <w:t xml:space="preserve">Tulkojums </w:t>
    </w:r>
    <w:r w:rsidRPr="003F25D0">
      <w:rPr>
        <w:rFonts w:ascii="Times New Roman" w:hAnsi="Times New Roman"/>
        <w:sz w:val="20"/>
        <w:szCs w:val="18"/>
      </w:rPr>
      <w:fldChar w:fldCharType="begin"/>
    </w:r>
    <w:r w:rsidRPr="003F25D0">
      <w:rPr>
        <w:rFonts w:ascii="Times New Roman" w:hAnsi="Times New Roman"/>
        <w:sz w:val="20"/>
        <w:szCs w:val="18"/>
      </w:rPr>
      <w:instrText>symbol 211 \f "Symbol" \s 9</w:instrText>
    </w:r>
    <w:r w:rsidRPr="003F25D0">
      <w:rPr>
        <w:rFonts w:ascii="Times New Roman" w:hAnsi="Times New Roman"/>
        <w:sz w:val="20"/>
        <w:szCs w:val="18"/>
      </w:rPr>
      <w:fldChar w:fldCharType="separate"/>
    </w:r>
    <w:r w:rsidRPr="003F25D0">
      <w:rPr>
        <w:rFonts w:ascii="Times New Roman" w:hAnsi="Times New Roman"/>
        <w:sz w:val="20"/>
        <w:szCs w:val="18"/>
      </w:rPr>
      <w:t>Ó</w:t>
    </w:r>
    <w:r w:rsidRPr="003F25D0">
      <w:rPr>
        <w:rFonts w:ascii="Times New Roman" w:hAnsi="Times New Roman"/>
        <w:sz w:val="20"/>
        <w:szCs w:val="18"/>
      </w:rPr>
      <w:fldChar w:fldCharType="end"/>
    </w:r>
    <w:r w:rsidRPr="003F25D0">
      <w:rPr>
        <w:rFonts w:ascii="Times New Roman" w:hAnsi="Times New Roman"/>
        <w:sz w:val="20"/>
        <w:szCs w:val="18"/>
      </w:rPr>
      <w:t xml:space="preserve"> Valsts valodas centrs, 20</w:t>
    </w:r>
    <w:bookmarkEnd w:id="14"/>
    <w:bookmarkEnd w:id="15"/>
    <w:bookmarkEnd w:id="16"/>
    <w:r w:rsidRPr="003F25D0">
      <w:rPr>
        <w:rFonts w:ascii="Times New Roman" w:hAnsi="Times New Roman"/>
        <w:sz w:val="20"/>
        <w:szCs w:val="18"/>
      </w:rPr>
      <w:t>2</w:t>
    </w:r>
    <w:bookmarkEnd w:id="17"/>
    <w:bookmarkEnd w:id="18"/>
    <w:r w:rsidRPr="003F25D0">
      <w:rPr>
        <w:rFonts w:ascii="Times New Roman" w:hAnsi="Times New Roman"/>
        <w:sz w:val="20"/>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BC078" w14:textId="77777777" w:rsidR="00A92E35" w:rsidRPr="00042E3E" w:rsidRDefault="00A92E35">
      <w:pPr>
        <w:rPr>
          <w:noProof/>
        </w:rPr>
      </w:pPr>
      <w:r w:rsidRPr="00042E3E">
        <w:rPr>
          <w:noProof/>
        </w:rPr>
        <w:separator/>
      </w:r>
    </w:p>
  </w:footnote>
  <w:footnote w:type="continuationSeparator" w:id="0">
    <w:p w14:paraId="516CC8E5" w14:textId="77777777" w:rsidR="00A92E35" w:rsidRPr="00042E3E" w:rsidRDefault="00A92E35">
      <w:pPr>
        <w:rPr>
          <w:noProof/>
        </w:rPr>
      </w:pPr>
      <w:r w:rsidRPr="00042E3E">
        <w:rPr>
          <w:noProof/>
        </w:rPr>
        <w:continuationSeparator/>
      </w:r>
    </w:p>
  </w:footnote>
  <w:footnote w:id="1">
    <w:p w14:paraId="7CC78557" w14:textId="1310E1B6" w:rsidR="00302554" w:rsidRPr="00CD2CC0" w:rsidRDefault="00302554" w:rsidP="00CD2CC0">
      <w:pPr>
        <w:widowControl/>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Skatīt dokumenta “Compilers guide on European statistics on international trade in goods” [Rokasgrāmata aprēķinu veicējiem Eiropas statistikas vajadzībām attiecībā uz preču starptautisko tirdzniecību] (2017. gada izdevums) 141. punktu; https://ec.europa.eu/eurostat/web/products -manuals-and-Guidelines/-/KS-02-17-333.</w:t>
      </w:r>
    </w:p>
  </w:footnote>
  <w:footnote w:id="2">
    <w:p w14:paraId="5EA56C87" w14:textId="7F95626F" w:rsidR="00037234" w:rsidRPr="00CD2CC0" w:rsidRDefault="00037234" w:rsidP="00CD2CC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Eiropas Parlamenta un Padomes 2013. gada 9. oktobra Regula (ES) Nr. 952/2013, ar ko izveido Savienības Muitas kodeksu.</w:t>
      </w:r>
    </w:p>
  </w:footnote>
  <w:footnote w:id="3">
    <w:p w14:paraId="4E5AAE5F" w14:textId="7397E007" w:rsidR="004C3626" w:rsidRPr="00CD2CC0" w:rsidRDefault="004C3626" w:rsidP="00CD2CC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Komisijas 2015. gada 24. novembra Īstenošanas regula (ES) 2015/2447, ar ko paredz sīki izstrādātus noteikumus, kas vajadzīgi, lai īstenotu konkrētus noteikumus Eiropas Parlamenta un Padomes Regulā (ES) Nr. 952/2013, ar ko izveido Savienības Muitas kodeksu.</w:t>
      </w:r>
    </w:p>
  </w:footnote>
  <w:footnote w:id="4">
    <w:p w14:paraId="2380C4E4" w14:textId="70283E89" w:rsidR="004C3626" w:rsidRPr="00CD2CC0" w:rsidRDefault="004C3626" w:rsidP="00CD2CC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u w:val="single" w:color="000000"/>
        </w:rPr>
        <w:t>https://ec.europa.eu/environment/was te/legis lation/index.htm</w:t>
      </w:r>
      <w:r>
        <w:t>.</w:t>
      </w:r>
    </w:p>
  </w:footnote>
  <w:footnote w:id="5">
    <w:p w14:paraId="1993D60F" w14:textId="7A69D1B4" w:rsidR="00E20ADC" w:rsidRPr="00CD2CC0" w:rsidRDefault="00E20ADC" w:rsidP="00CD2CC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SMK 256.–258. pants.</w:t>
      </w:r>
    </w:p>
  </w:footnote>
  <w:footnote w:id="6">
    <w:p w14:paraId="0CC8BC15" w14:textId="141BB9F5" w:rsidR="00E20ADC" w:rsidRPr="00CD2CC0" w:rsidRDefault="00E20ADC" w:rsidP="00CD2CC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SMK 5. panta 30. punkts.</w:t>
      </w:r>
    </w:p>
  </w:footnote>
  <w:footnote w:id="7">
    <w:p w14:paraId="15FD0D35" w14:textId="31E9F3A2" w:rsidR="00E20ADC" w:rsidRPr="00CD2CC0" w:rsidRDefault="00E20ADC" w:rsidP="00CD2CC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SMK 215. panta 1. punkts kopsakarā ar 85. panta 1. punktu.</w:t>
      </w:r>
    </w:p>
  </w:footnote>
  <w:footnote w:id="8">
    <w:p w14:paraId="377B1AA2" w14:textId="2059C2DA" w:rsidR="005509BB" w:rsidRPr="00CD2CC0" w:rsidRDefault="005509BB" w:rsidP="00CD2CC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Skatīt arī VII punktu konsultatīvajā atzinumā 1.1. “Nolīgumā izmantotais jēdziens “pārdošana””, ko izdevusi PMO Muitas vērtības noteikšanas tehniskā komiteja.</w:t>
      </w:r>
    </w:p>
  </w:footnote>
  <w:footnote w:id="9">
    <w:p w14:paraId="67AEF5AB" w14:textId="3B7241A6" w:rsidR="00BC4E48" w:rsidRPr="00CD2CC0" w:rsidRDefault="00BC4E48" w:rsidP="00CD2CC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Skatīt dokumenta “Compilers guide on European statistics on international trade in goods” (2017. gada izdevums) 143. punktu; </w:t>
      </w:r>
      <w:r>
        <w:rPr>
          <w:rFonts w:ascii="Times New Roman" w:hAnsi="Times New Roman"/>
          <w:color w:val="0000FF"/>
          <w:u w:val="single" w:color="0000FF"/>
        </w:rPr>
        <w:t>https://ec.europa.eu/euros tat/web/products -manuals -and-guidelines /-/KS-02-17-333</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5EC6D" w14:textId="77777777" w:rsidR="00C71861" w:rsidRPr="0075517C" w:rsidRDefault="00C71861" w:rsidP="00C71861">
    <w:pPr>
      <w:pStyle w:val="Header"/>
      <w:rPr>
        <w:rStyle w:val="PageNumber"/>
        <w:rFonts w:ascii="Times New Roman" w:hAnsi="Times New Roman" w:cs="Times New Roman"/>
        <w:sz w:val="20"/>
        <w:szCs w:val="20"/>
      </w:rPr>
    </w:pPr>
    <w:bookmarkStart w:id="0" w:name="_Hlk496261784"/>
    <w:bookmarkStart w:id="1" w:name="_Hlk496261785"/>
    <w:bookmarkStart w:id="2" w:name="_Hlk496261786"/>
    <w:bookmarkStart w:id="3" w:name="_Hlk502757728"/>
    <w:bookmarkStart w:id="4" w:name="_Hlk502757729"/>
    <w:bookmarkStart w:id="5" w:name="_Hlk502757738"/>
    <w:bookmarkStart w:id="6" w:name="_Hlk502757739"/>
    <w:bookmarkStart w:id="7" w:name="_Hlk30491084"/>
    <w:bookmarkStart w:id="8" w:name="_Hlk30491085"/>
  </w:p>
  <w:p w14:paraId="052C0C1C" w14:textId="77777777" w:rsidR="00C71861" w:rsidRPr="0075517C" w:rsidRDefault="00C71861" w:rsidP="00C71861">
    <w:pPr>
      <w:pStyle w:val="Header"/>
      <w:tabs>
        <w:tab w:val="clear" w:pos="4513"/>
        <w:tab w:val="clear" w:pos="9026"/>
        <w:tab w:val="right" w:leader="underscore" w:pos="9072"/>
      </w:tabs>
      <w:rPr>
        <w:rStyle w:val="PageNumber"/>
        <w:rFonts w:ascii="Times New Roman" w:hAnsi="Times New Roman" w:cs="Times New Roman"/>
        <w:sz w:val="20"/>
        <w:szCs w:val="20"/>
      </w:rPr>
    </w:pPr>
    <w:r w:rsidRPr="0075517C">
      <w:rPr>
        <w:rStyle w:val="PageNumber"/>
        <w:rFonts w:ascii="Times New Roman" w:hAnsi="Times New Roman" w:cs="Times New Roman"/>
        <w:sz w:val="20"/>
        <w:szCs w:val="20"/>
      </w:rPr>
      <w:tab/>
    </w:r>
  </w:p>
  <w:bookmarkEnd w:id="0"/>
  <w:bookmarkEnd w:id="1"/>
  <w:bookmarkEnd w:id="2"/>
  <w:bookmarkEnd w:id="3"/>
  <w:bookmarkEnd w:id="4"/>
  <w:bookmarkEnd w:id="5"/>
  <w:bookmarkEnd w:id="6"/>
  <w:bookmarkEnd w:id="7"/>
  <w:bookmarkEnd w:id="8"/>
  <w:p w14:paraId="05D9410D" w14:textId="77777777" w:rsidR="00C71861" w:rsidRPr="0075517C" w:rsidRDefault="00C71861" w:rsidP="00C71861">
    <w:pPr>
      <w:pStyle w:val="Header"/>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2EB04" w14:textId="77777777" w:rsidR="00A372D5" w:rsidRPr="000F66E7" w:rsidRDefault="00A372D5" w:rsidP="00A372D5">
    <w:pPr>
      <w:pBdr>
        <w:bottom w:val="single" w:sz="12" w:space="5" w:color="auto"/>
      </w:pBdr>
      <w:rPr>
        <w:rFonts w:ascii="Times New Roman" w:hAnsi="Times New Roman" w:cs="Times New Roman"/>
        <w:spacing w:val="-2"/>
        <w:sz w:val="20"/>
        <w:szCs w:val="20"/>
      </w:rPr>
    </w:pPr>
    <w:bookmarkStart w:id="9" w:name="_Hlk496261745"/>
    <w:bookmarkStart w:id="10" w:name="_Hlk496261746"/>
    <w:bookmarkStart w:id="11" w:name="_Hlk496261747"/>
    <w:bookmarkStart w:id="12" w:name="_Hlk30491063"/>
    <w:bookmarkStart w:id="13" w:name="_Hlk30491064"/>
  </w:p>
  <w:bookmarkEnd w:id="9"/>
  <w:bookmarkEnd w:id="10"/>
  <w:bookmarkEnd w:id="11"/>
  <w:bookmarkEnd w:id="12"/>
  <w:bookmarkEnd w:id="13"/>
  <w:p w14:paraId="21B8DB2C" w14:textId="77777777" w:rsidR="00A372D5" w:rsidRDefault="00A372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82970"/>
    <w:multiLevelType w:val="hybridMultilevel"/>
    <w:tmpl w:val="EDC41116"/>
    <w:lvl w:ilvl="0" w:tplc="BF0CD074">
      <w:start w:val="8"/>
      <w:numFmt w:val="decimal"/>
      <w:lvlText w:val="%1."/>
      <w:lvlJc w:val="left"/>
      <w:pPr>
        <w:ind w:left="406" w:hanging="289"/>
      </w:pPr>
      <w:rPr>
        <w:rFonts w:ascii="Times New Roman" w:eastAsia="Times New Roman" w:hAnsi="Times New Roman" w:hint="default"/>
        <w:spacing w:val="-8"/>
        <w:sz w:val="24"/>
        <w:szCs w:val="24"/>
      </w:rPr>
    </w:lvl>
    <w:lvl w:ilvl="1" w:tplc="861A1F82">
      <w:start w:val="1"/>
      <w:numFmt w:val="bullet"/>
      <w:lvlText w:val=""/>
      <w:lvlJc w:val="left"/>
      <w:pPr>
        <w:ind w:left="1127" w:hanging="369"/>
      </w:pPr>
      <w:rPr>
        <w:rFonts w:ascii="Symbol" w:eastAsia="Symbol" w:hAnsi="Symbol" w:hint="default"/>
        <w:sz w:val="24"/>
        <w:szCs w:val="24"/>
      </w:rPr>
    </w:lvl>
    <w:lvl w:ilvl="2" w:tplc="3356E8C0">
      <w:start w:val="1"/>
      <w:numFmt w:val="bullet"/>
      <w:lvlText w:val="•"/>
      <w:lvlJc w:val="left"/>
      <w:pPr>
        <w:ind w:left="2020" w:hanging="369"/>
      </w:pPr>
      <w:rPr>
        <w:rFonts w:hint="default"/>
      </w:rPr>
    </w:lvl>
    <w:lvl w:ilvl="3" w:tplc="D05E5354">
      <w:start w:val="1"/>
      <w:numFmt w:val="bullet"/>
      <w:lvlText w:val="•"/>
      <w:lvlJc w:val="left"/>
      <w:pPr>
        <w:ind w:left="2913" w:hanging="369"/>
      </w:pPr>
      <w:rPr>
        <w:rFonts w:hint="default"/>
      </w:rPr>
    </w:lvl>
    <w:lvl w:ilvl="4" w:tplc="3B2A20E6">
      <w:start w:val="1"/>
      <w:numFmt w:val="bullet"/>
      <w:lvlText w:val="•"/>
      <w:lvlJc w:val="left"/>
      <w:pPr>
        <w:ind w:left="3806" w:hanging="369"/>
      </w:pPr>
      <w:rPr>
        <w:rFonts w:hint="default"/>
      </w:rPr>
    </w:lvl>
    <w:lvl w:ilvl="5" w:tplc="85B852EC">
      <w:start w:val="1"/>
      <w:numFmt w:val="bullet"/>
      <w:lvlText w:val="•"/>
      <w:lvlJc w:val="left"/>
      <w:pPr>
        <w:ind w:left="4699" w:hanging="369"/>
      </w:pPr>
      <w:rPr>
        <w:rFonts w:hint="default"/>
      </w:rPr>
    </w:lvl>
    <w:lvl w:ilvl="6" w:tplc="BAF038DA">
      <w:start w:val="1"/>
      <w:numFmt w:val="bullet"/>
      <w:lvlText w:val="•"/>
      <w:lvlJc w:val="left"/>
      <w:pPr>
        <w:ind w:left="5592" w:hanging="369"/>
      </w:pPr>
      <w:rPr>
        <w:rFonts w:hint="default"/>
      </w:rPr>
    </w:lvl>
    <w:lvl w:ilvl="7" w:tplc="64CC4DDA">
      <w:start w:val="1"/>
      <w:numFmt w:val="bullet"/>
      <w:lvlText w:val="•"/>
      <w:lvlJc w:val="left"/>
      <w:pPr>
        <w:ind w:left="6485" w:hanging="369"/>
      </w:pPr>
      <w:rPr>
        <w:rFonts w:hint="default"/>
      </w:rPr>
    </w:lvl>
    <w:lvl w:ilvl="8" w:tplc="3C6EB24E">
      <w:start w:val="1"/>
      <w:numFmt w:val="bullet"/>
      <w:lvlText w:val="•"/>
      <w:lvlJc w:val="left"/>
      <w:pPr>
        <w:ind w:left="7378" w:hanging="369"/>
      </w:pPr>
      <w:rPr>
        <w:rFonts w:hint="default"/>
      </w:rPr>
    </w:lvl>
  </w:abstractNum>
  <w:abstractNum w:abstractNumId="1" w15:restartNumberingAfterBreak="0">
    <w:nsid w:val="1DF44600"/>
    <w:multiLevelType w:val="hybridMultilevel"/>
    <w:tmpl w:val="463AAFB0"/>
    <w:lvl w:ilvl="0" w:tplc="9B06BB36">
      <w:start w:val="1"/>
      <w:numFmt w:val="decimal"/>
      <w:lvlText w:val="%1."/>
      <w:lvlJc w:val="left"/>
      <w:pPr>
        <w:ind w:left="486" w:hanging="289"/>
        <w:jc w:val="right"/>
      </w:pPr>
      <w:rPr>
        <w:rFonts w:ascii="Times New Roman" w:eastAsia="Times New Roman" w:hAnsi="Times New Roman" w:hint="default"/>
        <w:spacing w:val="-8"/>
        <w:sz w:val="24"/>
        <w:szCs w:val="24"/>
      </w:rPr>
    </w:lvl>
    <w:lvl w:ilvl="1" w:tplc="8CBCA092">
      <w:start w:val="1"/>
      <w:numFmt w:val="bullet"/>
      <w:lvlText w:val="•"/>
      <w:lvlJc w:val="left"/>
      <w:pPr>
        <w:ind w:left="1361" w:hanging="289"/>
      </w:pPr>
      <w:rPr>
        <w:rFonts w:hint="default"/>
      </w:rPr>
    </w:lvl>
    <w:lvl w:ilvl="2" w:tplc="84A64E76">
      <w:start w:val="1"/>
      <w:numFmt w:val="bullet"/>
      <w:lvlText w:val="•"/>
      <w:lvlJc w:val="left"/>
      <w:pPr>
        <w:ind w:left="2237" w:hanging="289"/>
      </w:pPr>
      <w:rPr>
        <w:rFonts w:hint="default"/>
      </w:rPr>
    </w:lvl>
    <w:lvl w:ilvl="3" w:tplc="5FF843E0">
      <w:start w:val="1"/>
      <w:numFmt w:val="bullet"/>
      <w:lvlText w:val="•"/>
      <w:lvlJc w:val="left"/>
      <w:pPr>
        <w:ind w:left="3113" w:hanging="289"/>
      </w:pPr>
      <w:rPr>
        <w:rFonts w:hint="default"/>
      </w:rPr>
    </w:lvl>
    <w:lvl w:ilvl="4" w:tplc="61883744">
      <w:start w:val="1"/>
      <w:numFmt w:val="bullet"/>
      <w:lvlText w:val="•"/>
      <w:lvlJc w:val="left"/>
      <w:pPr>
        <w:ind w:left="3989" w:hanging="289"/>
      </w:pPr>
      <w:rPr>
        <w:rFonts w:hint="default"/>
      </w:rPr>
    </w:lvl>
    <w:lvl w:ilvl="5" w:tplc="95766750">
      <w:start w:val="1"/>
      <w:numFmt w:val="bullet"/>
      <w:lvlText w:val="•"/>
      <w:lvlJc w:val="left"/>
      <w:pPr>
        <w:ind w:left="4865" w:hanging="289"/>
      </w:pPr>
      <w:rPr>
        <w:rFonts w:hint="default"/>
      </w:rPr>
    </w:lvl>
    <w:lvl w:ilvl="6" w:tplc="08F4BCD8">
      <w:start w:val="1"/>
      <w:numFmt w:val="bullet"/>
      <w:lvlText w:val="•"/>
      <w:lvlJc w:val="left"/>
      <w:pPr>
        <w:ind w:left="5740" w:hanging="289"/>
      </w:pPr>
      <w:rPr>
        <w:rFonts w:hint="default"/>
      </w:rPr>
    </w:lvl>
    <w:lvl w:ilvl="7" w:tplc="60588E54">
      <w:start w:val="1"/>
      <w:numFmt w:val="bullet"/>
      <w:lvlText w:val="•"/>
      <w:lvlJc w:val="left"/>
      <w:pPr>
        <w:ind w:left="6616" w:hanging="289"/>
      </w:pPr>
      <w:rPr>
        <w:rFonts w:hint="default"/>
      </w:rPr>
    </w:lvl>
    <w:lvl w:ilvl="8" w:tplc="B5C4C0AE">
      <w:start w:val="1"/>
      <w:numFmt w:val="bullet"/>
      <w:lvlText w:val="•"/>
      <w:lvlJc w:val="left"/>
      <w:pPr>
        <w:ind w:left="7492" w:hanging="289"/>
      </w:pPr>
      <w:rPr>
        <w:rFonts w:hint="default"/>
      </w:rPr>
    </w:lvl>
  </w:abstractNum>
  <w:abstractNum w:abstractNumId="2" w15:restartNumberingAfterBreak="0">
    <w:nsid w:val="20227CF1"/>
    <w:multiLevelType w:val="hybridMultilevel"/>
    <w:tmpl w:val="0292EFB4"/>
    <w:lvl w:ilvl="0" w:tplc="4C605060">
      <w:start w:val="1"/>
      <w:numFmt w:val="lowerLetter"/>
      <w:lvlText w:val="%1)"/>
      <w:lvlJc w:val="left"/>
      <w:pPr>
        <w:ind w:left="834" w:hanging="289"/>
      </w:pPr>
      <w:rPr>
        <w:rFonts w:ascii="Times New Roman" w:eastAsia="Times New Roman" w:hAnsi="Times New Roman" w:hint="default"/>
        <w:spacing w:val="5"/>
        <w:sz w:val="24"/>
        <w:szCs w:val="24"/>
      </w:rPr>
    </w:lvl>
    <w:lvl w:ilvl="1" w:tplc="C9E00A66">
      <w:start w:val="1"/>
      <w:numFmt w:val="bullet"/>
      <w:lvlText w:val="•"/>
      <w:lvlJc w:val="left"/>
      <w:pPr>
        <w:ind w:left="1681" w:hanging="289"/>
      </w:pPr>
      <w:rPr>
        <w:rFonts w:hint="default"/>
      </w:rPr>
    </w:lvl>
    <w:lvl w:ilvl="2" w:tplc="553677D2">
      <w:start w:val="1"/>
      <w:numFmt w:val="bullet"/>
      <w:lvlText w:val="•"/>
      <w:lvlJc w:val="left"/>
      <w:pPr>
        <w:ind w:left="2528" w:hanging="289"/>
      </w:pPr>
      <w:rPr>
        <w:rFonts w:hint="default"/>
      </w:rPr>
    </w:lvl>
    <w:lvl w:ilvl="3" w:tplc="38E8AD5A">
      <w:start w:val="1"/>
      <w:numFmt w:val="bullet"/>
      <w:lvlText w:val="•"/>
      <w:lvlJc w:val="left"/>
      <w:pPr>
        <w:ind w:left="3375" w:hanging="289"/>
      </w:pPr>
      <w:rPr>
        <w:rFonts w:hint="default"/>
      </w:rPr>
    </w:lvl>
    <w:lvl w:ilvl="4" w:tplc="FFB6A6AE">
      <w:start w:val="1"/>
      <w:numFmt w:val="bullet"/>
      <w:lvlText w:val="•"/>
      <w:lvlJc w:val="left"/>
      <w:pPr>
        <w:ind w:left="4222" w:hanging="289"/>
      </w:pPr>
      <w:rPr>
        <w:rFonts w:hint="default"/>
      </w:rPr>
    </w:lvl>
    <w:lvl w:ilvl="5" w:tplc="D85E19EE">
      <w:start w:val="1"/>
      <w:numFmt w:val="bullet"/>
      <w:lvlText w:val="•"/>
      <w:lvlJc w:val="left"/>
      <w:pPr>
        <w:ind w:left="5069" w:hanging="289"/>
      </w:pPr>
      <w:rPr>
        <w:rFonts w:hint="default"/>
      </w:rPr>
    </w:lvl>
    <w:lvl w:ilvl="6" w:tplc="34A86054">
      <w:start w:val="1"/>
      <w:numFmt w:val="bullet"/>
      <w:lvlText w:val="•"/>
      <w:lvlJc w:val="left"/>
      <w:pPr>
        <w:ind w:left="5916" w:hanging="289"/>
      </w:pPr>
      <w:rPr>
        <w:rFonts w:hint="default"/>
      </w:rPr>
    </w:lvl>
    <w:lvl w:ilvl="7" w:tplc="F2426A98">
      <w:start w:val="1"/>
      <w:numFmt w:val="bullet"/>
      <w:lvlText w:val="•"/>
      <w:lvlJc w:val="left"/>
      <w:pPr>
        <w:ind w:left="6763" w:hanging="289"/>
      </w:pPr>
      <w:rPr>
        <w:rFonts w:hint="default"/>
      </w:rPr>
    </w:lvl>
    <w:lvl w:ilvl="8" w:tplc="A850B276">
      <w:start w:val="1"/>
      <w:numFmt w:val="bullet"/>
      <w:lvlText w:val="•"/>
      <w:lvlJc w:val="left"/>
      <w:pPr>
        <w:ind w:left="7610" w:hanging="289"/>
      </w:pPr>
      <w:rPr>
        <w:rFonts w:hint="default"/>
      </w:rPr>
    </w:lvl>
  </w:abstractNum>
  <w:abstractNum w:abstractNumId="3" w15:restartNumberingAfterBreak="0">
    <w:nsid w:val="29294920"/>
    <w:multiLevelType w:val="hybridMultilevel"/>
    <w:tmpl w:val="156666FE"/>
    <w:lvl w:ilvl="0" w:tplc="ADB48572">
      <w:start w:val="1"/>
      <w:numFmt w:val="decimal"/>
      <w:lvlText w:val="%1."/>
      <w:lvlJc w:val="left"/>
      <w:pPr>
        <w:ind w:left="406" w:hanging="289"/>
      </w:pPr>
      <w:rPr>
        <w:rFonts w:ascii="Times New Roman" w:eastAsia="Times New Roman" w:hAnsi="Times New Roman" w:hint="default"/>
        <w:spacing w:val="-8"/>
        <w:sz w:val="24"/>
        <w:szCs w:val="24"/>
      </w:rPr>
    </w:lvl>
    <w:lvl w:ilvl="1" w:tplc="C484A692">
      <w:start w:val="1"/>
      <w:numFmt w:val="bullet"/>
      <w:lvlText w:val="•"/>
      <w:lvlJc w:val="left"/>
      <w:pPr>
        <w:ind w:left="1281" w:hanging="289"/>
      </w:pPr>
      <w:rPr>
        <w:rFonts w:hint="default"/>
      </w:rPr>
    </w:lvl>
    <w:lvl w:ilvl="2" w:tplc="D0361DC8">
      <w:start w:val="1"/>
      <w:numFmt w:val="bullet"/>
      <w:lvlText w:val="•"/>
      <w:lvlJc w:val="left"/>
      <w:pPr>
        <w:ind w:left="2157" w:hanging="289"/>
      </w:pPr>
      <w:rPr>
        <w:rFonts w:hint="default"/>
      </w:rPr>
    </w:lvl>
    <w:lvl w:ilvl="3" w:tplc="EA124644">
      <w:start w:val="1"/>
      <w:numFmt w:val="bullet"/>
      <w:lvlText w:val="•"/>
      <w:lvlJc w:val="left"/>
      <w:pPr>
        <w:ind w:left="3033" w:hanging="289"/>
      </w:pPr>
      <w:rPr>
        <w:rFonts w:hint="default"/>
      </w:rPr>
    </w:lvl>
    <w:lvl w:ilvl="4" w:tplc="2C66B822">
      <w:start w:val="1"/>
      <w:numFmt w:val="bullet"/>
      <w:lvlText w:val="•"/>
      <w:lvlJc w:val="left"/>
      <w:pPr>
        <w:ind w:left="3909" w:hanging="289"/>
      </w:pPr>
      <w:rPr>
        <w:rFonts w:hint="default"/>
      </w:rPr>
    </w:lvl>
    <w:lvl w:ilvl="5" w:tplc="6A16433A">
      <w:start w:val="1"/>
      <w:numFmt w:val="bullet"/>
      <w:lvlText w:val="•"/>
      <w:lvlJc w:val="left"/>
      <w:pPr>
        <w:ind w:left="4785" w:hanging="289"/>
      </w:pPr>
      <w:rPr>
        <w:rFonts w:hint="default"/>
      </w:rPr>
    </w:lvl>
    <w:lvl w:ilvl="6" w:tplc="649E7914">
      <w:start w:val="1"/>
      <w:numFmt w:val="bullet"/>
      <w:lvlText w:val="•"/>
      <w:lvlJc w:val="left"/>
      <w:pPr>
        <w:ind w:left="5660" w:hanging="289"/>
      </w:pPr>
      <w:rPr>
        <w:rFonts w:hint="default"/>
      </w:rPr>
    </w:lvl>
    <w:lvl w:ilvl="7" w:tplc="51DA68C2">
      <w:start w:val="1"/>
      <w:numFmt w:val="bullet"/>
      <w:lvlText w:val="•"/>
      <w:lvlJc w:val="left"/>
      <w:pPr>
        <w:ind w:left="6536" w:hanging="289"/>
      </w:pPr>
      <w:rPr>
        <w:rFonts w:hint="default"/>
      </w:rPr>
    </w:lvl>
    <w:lvl w:ilvl="8" w:tplc="3DA0A81C">
      <w:start w:val="1"/>
      <w:numFmt w:val="bullet"/>
      <w:lvlText w:val="•"/>
      <w:lvlJc w:val="left"/>
      <w:pPr>
        <w:ind w:left="7412" w:hanging="289"/>
      </w:pPr>
      <w:rPr>
        <w:rFonts w:hint="default"/>
      </w:rPr>
    </w:lvl>
  </w:abstractNum>
  <w:abstractNum w:abstractNumId="4" w15:restartNumberingAfterBreak="0">
    <w:nsid w:val="354E34BC"/>
    <w:multiLevelType w:val="hybridMultilevel"/>
    <w:tmpl w:val="9248546C"/>
    <w:lvl w:ilvl="0" w:tplc="2EA00742">
      <w:start w:val="1"/>
      <w:numFmt w:val="decimal"/>
      <w:lvlText w:val="%1."/>
      <w:lvlJc w:val="left"/>
      <w:pPr>
        <w:ind w:left="486" w:hanging="369"/>
      </w:pPr>
      <w:rPr>
        <w:rFonts w:ascii="Times New Roman" w:eastAsia="Times New Roman" w:hAnsi="Times New Roman" w:hint="default"/>
        <w:spacing w:val="-8"/>
        <w:sz w:val="24"/>
        <w:szCs w:val="24"/>
      </w:rPr>
    </w:lvl>
    <w:lvl w:ilvl="1" w:tplc="E98667D4">
      <w:start w:val="1"/>
      <w:numFmt w:val="lowerLetter"/>
      <w:lvlText w:val="%2)"/>
      <w:lvlJc w:val="left"/>
      <w:pPr>
        <w:ind w:left="854" w:hanging="369"/>
      </w:pPr>
      <w:rPr>
        <w:rFonts w:ascii="Times New Roman" w:eastAsia="Times New Roman" w:hAnsi="Times New Roman" w:hint="default"/>
        <w:spacing w:val="5"/>
        <w:sz w:val="24"/>
        <w:szCs w:val="24"/>
      </w:rPr>
    </w:lvl>
    <w:lvl w:ilvl="2" w:tplc="B9EABC16">
      <w:start w:val="1"/>
      <w:numFmt w:val="bullet"/>
      <w:lvlText w:val="•"/>
      <w:lvlJc w:val="left"/>
      <w:pPr>
        <w:ind w:left="1846" w:hanging="369"/>
      </w:pPr>
      <w:rPr>
        <w:rFonts w:hint="default"/>
      </w:rPr>
    </w:lvl>
    <w:lvl w:ilvl="3" w:tplc="3954C6A6">
      <w:start w:val="1"/>
      <w:numFmt w:val="bullet"/>
      <w:lvlText w:val="•"/>
      <w:lvlJc w:val="left"/>
      <w:pPr>
        <w:ind w:left="2838" w:hanging="369"/>
      </w:pPr>
      <w:rPr>
        <w:rFonts w:hint="default"/>
      </w:rPr>
    </w:lvl>
    <w:lvl w:ilvl="4" w:tplc="54D25B60">
      <w:start w:val="1"/>
      <w:numFmt w:val="bullet"/>
      <w:lvlText w:val="•"/>
      <w:lvlJc w:val="left"/>
      <w:pPr>
        <w:ind w:left="3831" w:hanging="369"/>
      </w:pPr>
      <w:rPr>
        <w:rFonts w:hint="default"/>
      </w:rPr>
    </w:lvl>
    <w:lvl w:ilvl="5" w:tplc="E320CC04">
      <w:start w:val="1"/>
      <w:numFmt w:val="bullet"/>
      <w:lvlText w:val="•"/>
      <w:lvlJc w:val="left"/>
      <w:pPr>
        <w:ind w:left="4823" w:hanging="369"/>
      </w:pPr>
      <w:rPr>
        <w:rFonts w:hint="default"/>
      </w:rPr>
    </w:lvl>
    <w:lvl w:ilvl="6" w:tplc="702A77E0">
      <w:start w:val="1"/>
      <w:numFmt w:val="bullet"/>
      <w:lvlText w:val="•"/>
      <w:lvlJc w:val="left"/>
      <w:pPr>
        <w:ind w:left="5815" w:hanging="369"/>
      </w:pPr>
      <w:rPr>
        <w:rFonts w:hint="default"/>
      </w:rPr>
    </w:lvl>
    <w:lvl w:ilvl="7" w:tplc="4DD09114">
      <w:start w:val="1"/>
      <w:numFmt w:val="bullet"/>
      <w:lvlText w:val="•"/>
      <w:lvlJc w:val="left"/>
      <w:pPr>
        <w:ind w:left="6807" w:hanging="369"/>
      </w:pPr>
      <w:rPr>
        <w:rFonts w:hint="default"/>
      </w:rPr>
    </w:lvl>
    <w:lvl w:ilvl="8" w:tplc="4B26793E">
      <w:start w:val="1"/>
      <w:numFmt w:val="bullet"/>
      <w:lvlText w:val="•"/>
      <w:lvlJc w:val="left"/>
      <w:pPr>
        <w:ind w:left="7799" w:hanging="369"/>
      </w:pPr>
      <w:rPr>
        <w:rFonts w:hint="default"/>
      </w:rPr>
    </w:lvl>
  </w:abstractNum>
  <w:abstractNum w:abstractNumId="5" w15:restartNumberingAfterBreak="0">
    <w:nsid w:val="680E2A71"/>
    <w:multiLevelType w:val="hybridMultilevel"/>
    <w:tmpl w:val="E486AA96"/>
    <w:lvl w:ilvl="0" w:tplc="D026E6F4">
      <w:start w:val="1"/>
      <w:numFmt w:val="upperRoman"/>
      <w:lvlText w:val="%1."/>
      <w:lvlJc w:val="left"/>
      <w:pPr>
        <w:ind w:left="561" w:hanging="156"/>
        <w:jc w:val="right"/>
      </w:pPr>
      <w:rPr>
        <w:rFonts w:hint="default"/>
        <w:spacing w:val="2"/>
        <w:u w:val="single" w:color="000000"/>
      </w:rPr>
    </w:lvl>
    <w:lvl w:ilvl="1" w:tplc="E06C28EE">
      <w:start w:val="1"/>
      <w:numFmt w:val="bullet"/>
      <w:lvlText w:val="•"/>
      <w:lvlJc w:val="left"/>
      <w:pPr>
        <w:ind w:left="1422" w:hanging="156"/>
      </w:pPr>
      <w:rPr>
        <w:rFonts w:hint="default"/>
      </w:rPr>
    </w:lvl>
    <w:lvl w:ilvl="2" w:tplc="92F0A456">
      <w:start w:val="1"/>
      <w:numFmt w:val="bullet"/>
      <w:lvlText w:val="•"/>
      <w:lvlJc w:val="left"/>
      <w:pPr>
        <w:ind w:left="2282" w:hanging="156"/>
      </w:pPr>
      <w:rPr>
        <w:rFonts w:hint="default"/>
      </w:rPr>
    </w:lvl>
    <w:lvl w:ilvl="3" w:tplc="28F21654">
      <w:start w:val="1"/>
      <w:numFmt w:val="bullet"/>
      <w:lvlText w:val="•"/>
      <w:lvlJc w:val="left"/>
      <w:pPr>
        <w:ind w:left="3142" w:hanging="156"/>
      </w:pPr>
      <w:rPr>
        <w:rFonts w:hint="default"/>
      </w:rPr>
    </w:lvl>
    <w:lvl w:ilvl="4" w:tplc="D8BAF3E4">
      <w:start w:val="1"/>
      <w:numFmt w:val="bullet"/>
      <w:lvlText w:val="•"/>
      <w:lvlJc w:val="left"/>
      <w:pPr>
        <w:ind w:left="4002" w:hanging="156"/>
      </w:pPr>
      <w:rPr>
        <w:rFonts w:hint="default"/>
      </w:rPr>
    </w:lvl>
    <w:lvl w:ilvl="5" w:tplc="3AE6F9E0">
      <w:start w:val="1"/>
      <w:numFmt w:val="bullet"/>
      <w:lvlText w:val="•"/>
      <w:lvlJc w:val="left"/>
      <w:pPr>
        <w:ind w:left="4862" w:hanging="156"/>
      </w:pPr>
      <w:rPr>
        <w:rFonts w:hint="default"/>
      </w:rPr>
    </w:lvl>
    <w:lvl w:ilvl="6" w:tplc="A64E89FA">
      <w:start w:val="1"/>
      <w:numFmt w:val="bullet"/>
      <w:lvlText w:val="•"/>
      <w:lvlJc w:val="left"/>
      <w:pPr>
        <w:ind w:left="5723" w:hanging="156"/>
      </w:pPr>
      <w:rPr>
        <w:rFonts w:hint="default"/>
      </w:rPr>
    </w:lvl>
    <w:lvl w:ilvl="7" w:tplc="BD38B63A">
      <w:start w:val="1"/>
      <w:numFmt w:val="bullet"/>
      <w:lvlText w:val="•"/>
      <w:lvlJc w:val="left"/>
      <w:pPr>
        <w:ind w:left="6583" w:hanging="156"/>
      </w:pPr>
      <w:rPr>
        <w:rFonts w:hint="default"/>
      </w:rPr>
    </w:lvl>
    <w:lvl w:ilvl="8" w:tplc="52E0CE34">
      <w:start w:val="1"/>
      <w:numFmt w:val="bullet"/>
      <w:lvlText w:val="•"/>
      <w:lvlJc w:val="left"/>
      <w:pPr>
        <w:ind w:left="7443" w:hanging="156"/>
      </w:pPr>
      <w:rPr>
        <w:rFonts w:hint="default"/>
      </w:rPr>
    </w:lvl>
  </w:abstractNum>
  <w:abstractNum w:abstractNumId="6" w15:restartNumberingAfterBreak="0">
    <w:nsid w:val="694718E1"/>
    <w:multiLevelType w:val="hybridMultilevel"/>
    <w:tmpl w:val="5012123C"/>
    <w:lvl w:ilvl="0" w:tplc="E508E67A">
      <w:start w:val="1"/>
      <w:numFmt w:val="upperRoman"/>
      <w:lvlText w:val="%1."/>
      <w:lvlJc w:val="left"/>
      <w:pPr>
        <w:ind w:left="177" w:hanging="156"/>
        <w:jc w:val="right"/>
      </w:pPr>
      <w:rPr>
        <w:rFonts w:hint="default"/>
        <w:spacing w:val="2"/>
        <w:u w:val="single" w:color="000000"/>
      </w:rPr>
    </w:lvl>
    <w:lvl w:ilvl="1" w:tplc="6344A9E8">
      <w:start w:val="1"/>
      <w:numFmt w:val="bullet"/>
      <w:lvlText w:val="•"/>
      <w:lvlJc w:val="left"/>
      <w:pPr>
        <w:ind w:left="1138" w:hanging="156"/>
      </w:pPr>
      <w:rPr>
        <w:rFonts w:hint="default"/>
      </w:rPr>
    </w:lvl>
    <w:lvl w:ilvl="2" w:tplc="BE4ACA76">
      <w:start w:val="1"/>
      <w:numFmt w:val="bullet"/>
      <w:lvlText w:val="•"/>
      <w:lvlJc w:val="left"/>
      <w:pPr>
        <w:ind w:left="2098" w:hanging="156"/>
      </w:pPr>
      <w:rPr>
        <w:rFonts w:hint="default"/>
      </w:rPr>
    </w:lvl>
    <w:lvl w:ilvl="3" w:tplc="9FE20E28">
      <w:start w:val="1"/>
      <w:numFmt w:val="bullet"/>
      <w:lvlText w:val="•"/>
      <w:lvlJc w:val="left"/>
      <w:pPr>
        <w:ind w:left="3059" w:hanging="156"/>
      </w:pPr>
      <w:rPr>
        <w:rFonts w:hint="default"/>
      </w:rPr>
    </w:lvl>
    <w:lvl w:ilvl="4" w:tplc="59E40BBC">
      <w:start w:val="1"/>
      <w:numFmt w:val="bullet"/>
      <w:lvlText w:val="•"/>
      <w:lvlJc w:val="left"/>
      <w:pPr>
        <w:ind w:left="4020" w:hanging="156"/>
      </w:pPr>
      <w:rPr>
        <w:rFonts w:hint="default"/>
      </w:rPr>
    </w:lvl>
    <w:lvl w:ilvl="5" w:tplc="A968AE6A">
      <w:start w:val="1"/>
      <w:numFmt w:val="bullet"/>
      <w:lvlText w:val="•"/>
      <w:lvlJc w:val="left"/>
      <w:pPr>
        <w:ind w:left="4980" w:hanging="156"/>
      </w:pPr>
      <w:rPr>
        <w:rFonts w:hint="default"/>
      </w:rPr>
    </w:lvl>
    <w:lvl w:ilvl="6" w:tplc="A7FC091C">
      <w:start w:val="1"/>
      <w:numFmt w:val="bullet"/>
      <w:lvlText w:val="•"/>
      <w:lvlJc w:val="left"/>
      <w:pPr>
        <w:ind w:left="5941" w:hanging="156"/>
      </w:pPr>
      <w:rPr>
        <w:rFonts w:hint="default"/>
      </w:rPr>
    </w:lvl>
    <w:lvl w:ilvl="7" w:tplc="DAA48358">
      <w:start w:val="1"/>
      <w:numFmt w:val="bullet"/>
      <w:lvlText w:val="•"/>
      <w:lvlJc w:val="left"/>
      <w:pPr>
        <w:ind w:left="6902" w:hanging="156"/>
      </w:pPr>
      <w:rPr>
        <w:rFonts w:hint="default"/>
      </w:rPr>
    </w:lvl>
    <w:lvl w:ilvl="8" w:tplc="5004F986">
      <w:start w:val="1"/>
      <w:numFmt w:val="bullet"/>
      <w:lvlText w:val="•"/>
      <w:lvlJc w:val="left"/>
      <w:pPr>
        <w:ind w:left="7862" w:hanging="156"/>
      </w:pPr>
      <w:rPr>
        <w:rFonts w:hint="default"/>
      </w:rPr>
    </w:lvl>
  </w:abstractNum>
  <w:abstractNum w:abstractNumId="7" w15:restartNumberingAfterBreak="0">
    <w:nsid w:val="71DA79F2"/>
    <w:multiLevelType w:val="hybridMultilevel"/>
    <w:tmpl w:val="34FACACE"/>
    <w:lvl w:ilvl="0" w:tplc="E586C6A4">
      <w:start w:val="7"/>
      <w:numFmt w:val="decimal"/>
      <w:lvlText w:val="%1."/>
      <w:lvlJc w:val="left"/>
      <w:pPr>
        <w:ind w:left="406" w:hanging="289"/>
      </w:pPr>
      <w:rPr>
        <w:rFonts w:ascii="Times New Roman" w:eastAsia="Times New Roman" w:hAnsi="Times New Roman" w:hint="default"/>
        <w:i/>
        <w:spacing w:val="8"/>
        <w:sz w:val="24"/>
        <w:szCs w:val="24"/>
      </w:rPr>
    </w:lvl>
    <w:lvl w:ilvl="1" w:tplc="F82073F6">
      <w:start w:val="1"/>
      <w:numFmt w:val="lowerLetter"/>
      <w:lvlText w:val="(%2)"/>
      <w:lvlJc w:val="left"/>
      <w:pPr>
        <w:ind w:left="903" w:hanging="369"/>
      </w:pPr>
      <w:rPr>
        <w:rFonts w:ascii="Times New Roman" w:eastAsia="Times New Roman" w:hAnsi="Times New Roman" w:hint="default"/>
        <w:i/>
        <w:sz w:val="24"/>
        <w:szCs w:val="24"/>
      </w:rPr>
    </w:lvl>
    <w:lvl w:ilvl="2" w:tplc="1B7E0F84">
      <w:start w:val="1"/>
      <w:numFmt w:val="bullet"/>
      <w:lvlText w:val="•"/>
      <w:lvlJc w:val="left"/>
      <w:pPr>
        <w:ind w:left="1820" w:hanging="369"/>
      </w:pPr>
      <w:rPr>
        <w:rFonts w:hint="default"/>
      </w:rPr>
    </w:lvl>
    <w:lvl w:ilvl="3" w:tplc="A9CA2076">
      <w:start w:val="1"/>
      <w:numFmt w:val="bullet"/>
      <w:lvlText w:val="•"/>
      <w:lvlJc w:val="left"/>
      <w:pPr>
        <w:ind w:left="2738" w:hanging="369"/>
      </w:pPr>
      <w:rPr>
        <w:rFonts w:hint="default"/>
      </w:rPr>
    </w:lvl>
    <w:lvl w:ilvl="4" w:tplc="97D080CE">
      <w:start w:val="1"/>
      <w:numFmt w:val="bullet"/>
      <w:lvlText w:val="•"/>
      <w:lvlJc w:val="left"/>
      <w:pPr>
        <w:ind w:left="3656" w:hanging="369"/>
      </w:pPr>
      <w:rPr>
        <w:rFonts w:hint="default"/>
      </w:rPr>
    </w:lvl>
    <w:lvl w:ilvl="5" w:tplc="E00E1BE2">
      <w:start w:val="1"/>
      <w:numFmt w:val="bullet"/>
      <w:lvlText w:val="•"/>
      <w:lvlJc w:val="left"/>
      <w:pPr>
        <w:ind w:left="4574" w:hanging="369"/>
      </w:pPr>
      <w:rPr>
        <w:rFonts w:hint="default"/>
      </w:rPr>
    </w:lvl>
    <w:lvl w:ilvl="6" w:tplc="0778DB50">
      <w:start w:val="1"/>
      <w:numFmt w:val="bullet"/>
      <w:lvlText w:val="•"/>
      <w:lvlJc w:val="left"/>
      <w:pPr>
        <w:ind w:left="5492" w:hanging="369"/>
      </w:pPr>
      <w:rPr>
        <w:rFonts w:hint="default"/>
      </w:rPr>
    </w:lvl>
    <w:lvl w:ilvl="7" w:tplc="2A066F9A">
      <w:start w:val="1"/>
      <w:numFmt w:val="bullet"/>
      <w:lvlText w:val="•"/>
      <w:lvlJc w:val="left"/>
      <w:pPr>
        <w:ind w:left="6410" w:hanging="369"/>
      </w:pPr>
      <w:rPr>
        <w:rFonts w:hint="default"/>
      </w:rPr>
    </w:lvl>
    <w:lvl w:ilvl="8" w:tplc="F0CC40E0">
      <w:start w:val="1"/>
      <w:numFmt w:val="bullet"/>
      <w:lvlText w:val="•"/>
      <w:lvlJc w:val="left"/>
      <w:pPr>
        <w:ind w:left="7328" w:hanging="369"/>
      </w:pPr>
      <w:rPr>
        <w:rFonts w:hint="default"/>
      </w:rPr>
    </w:lvl>
  </w:abstractNum>
  <w:abstractNum w:abstractNumId="8" w15:restartNumberingAfterBreak="0">
    <w:nsid w:val="72E47651"/>
    <w:multiLevelType w:val="hybridMultilevel"/>
    <w:tmpl w:val="A6F20A72"/>
    <w:lvl w:ilvl="0" w:tplc="2D3E0322">
      <w:start w:val="1"/>
      <w:numFmt w:val="decimal"/>
      <w:lvlText w:val="%1."/>
      <w:lvlJc w:val="left"/>
      <w:pPr>
        <w:ind w:left="546" w:hanging="369"/>
        <w:jc w:val="right"/>
      </w:pPr>
      <w:rPr>
        <w:rFonts w:ascii="Times New Roman" w:eastAsia="Times New Roman" w:hAnsi="Times New Roman" w:hint="default"/>
        <w:spacing w:val="-8"/>
        <w:sz w:val="24"/>
        <w:szCs w:val="24"/>
      </w:rPr>
    </w:lvl>
    <w:lvl w:ilvl="1" w:tplc="A7724FE6">
      <w:start w:val="1"/>
      <w:numFmt w:val="lowerLetter"/>
      <w:lvlText w:val="(%2)"/>
      <w:lvlJc w:val="left"/>
      <w:pPr>
        <w:ind w:left="978" w:hanging="433"/>
      </w:pPr>
      <w:rPr>
        <w:rFonts w:ascii="Times New Roman" w:eastAsia="Times New Roman" w:hAnsi="Times New Roman" w:hint="default"/>
        <w:i/>
        <w:sz w:val="24"/>
        <w:szCs w:val="24"/>
      </w:rPr>
    </w:lvl>
    <w:lvl w:ilvl="2" w:tplc="ACF6CF0A">
      <w:start w:val="1"/>
      <w:numFmt w:val="bullet"/>
      <w:lvlText w:val="•"/>
      <w:lvlJc w:val="left"/>
      <w:pPr>
        <w:ind w:left="1903" w:hanging="433"/>
      </w:pPr>
      <w:rPr>
        <w:rFonts w:hint="default"/>
      </w:rPr>
    </w:lvl>
    <w:lvl w:ilvl="3" w:tplc="2CBEE744">
      <w:start w:val="1"/>
      <w:numFmt w:val="bullet"/>
      <w:lvlText w:val="•"/>
      <w:lvlJc w:val="left"/>
      <w:pPr>
        <w:ind w:left="2828" w:hanging="433"/>
      </w:pPr>
      <w:rPr>
        <w:rFonts w:hint="default"/>
      </w:rPr>
    </w:lvl>
    <w:lvl w:ilvl="4" w:tplc="D5CCB3CE">
      <w:start w:val="1"/>
      <w:numFmt w:val="bullet"/>
      <w:lvlText w:val="•"/>
      <w:lvlJc w:val="left"/>
      <w:pPr>
        <w:ind w:left="3753" w:hanging="433"/>
      </w:pPr>
      <w:rPr>
        <w:rFonts w:hint="default"/>
      </w:rPr>
    </w:lvl>
    <w:lvl w:ilvl="5" w:tplc="59A8E3B0">
      <w:start w:val="1"/>
      <w:numFmt w:val="bullet"/>
      <w:lvlText w:val="•"/>
      <w:lvlJc w:val="left"/>
      <w:pPr>
        <w:ind w:left="4678" w:hanging="433"/>
      </w:pPr>
      <w:rPr>
        <w:rFonts w:hint="default"/>
      </w:rPr>
    </w:lvl>
    <w:lvl w:ilvl="6" w:tplc="6E78576E">
      <w:start w:val="1"/>
      <w:numFmt w:val="bullet"/>
      <w:lvlText w:val="•"/>
      <w:lvlJc w:val="left"/>
      <w:pPr>
        <w:ind w:left="5603" w:hanging="433"/>
      </w:pPr>
      <w:rPr>
        <w:rFonts w:hint="default"/>
      </w:rPr>
    </w:lvl>
    <w:lvl w:ilvl="7" w:tplc="6BE00D24">
      <w:start w:val="1"/>
      <w:numFmt w:val="bullet"/>
      <w:lvlText w:val="•"/>
      <w:lvlJc w:val="left"/>
      <w:pPr>
        <w:ind w:left="6528" w:hanging="433"/>
      </w:pPr>
      <w:rPr>
        <w:rFonts w:hint="default"/>
      </w:rPr>
    </w:lvl>
    <w:lvl w:ilvl="8" w:tplc="959AAB3A">
      <w:start w:val="1"/>
      <w:numFmt w:val="bullet"/>
      <w:lvlText w:val="•"/>
      <w:lvlJc w:val="left"/>
      <w:pPr>
        <w:ind w:left="7453" w:hanging="433"/>
      </w:pPr>
      <w:rPr>
        <w:rFonts w:hint="default"/>
      </w:rPr>
    </w:lvl>
  </w:abstractNum>
  <w:num w:numId="1">
    <w:abstractNumId w:val="0"/>
  </w:num>
  <w:num w:numId="2">
    <w:abstractNumId w:val="7"/>
  </w:num>
  <w:num w:numId="3">
    <w:abstractNumId w:val="1"/>
  </w:num>
  <w:num w:numId="4">
    <w:abstractNumId w:val="3"/>
  </w:num>
  <w:num w:numId="5">
    <w:abstractNumId w:val="5"/>
  </w:num>
  <w:num w:numId="6">
    <w:abstractNumId w:val="2"/>
  </w:num>
  <w:num w:numId="7">
    <w:abstractNumId w:val="8"/>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7A0B5A"/>
    <w:rsid w:val="00035B12"/>
    <w:rsid w:val="00037234"/>
    <w:rsid w:val="00042E3E"/>
    <w:rsid w:val="000B4DCF"/>
    <w:rsid w:val="000E69F9"/>
    <w:rsid w:val="001519B9"/>
    <w:rsid w:val="00285B66"/>
    <w:rsid w:val="00302554"/>
    <w:rsid w:val="00367D62"/>
    <w:rsid w:val="004606CF"/>
    <w:rsid w:val="004C3626"/>
    <w:rsid w:val="005509BB"/>
    <w:rsid w:val="005E65E0"/>
    <w:rsid w:val="006E0A66"/>
    <w:rsid w:val="007A0B5A"/>
    <w:rsid w:val="008149AE"/>
    <w:rsid w:val="00917EE5"/>
    <w:rsid w:val="00930F6C"/>
    <w:rsid w:val="00A15A89"/>
    <w:rsid w:val="00A372D5"/>
    <w:rsid w:val="00A92E35"/>
    <w:rsid w:val="00B22CCD"/>
    <w:rsid w:val="00BA1D76"/>
    <w:rsid w:val="00BC4E48"/>
    <w:rsid w:val="00C17DB4"/>
    <w:rsid w:val="00C71861"/>
    <w:rsid w:val="00CC1B36"/>
    <w:rsid w:val="00CD2CC0"/>
    <w:rsid w:val="00CE4770"/>
    <w:rsid w:val="00DE3BA4"/>
    <w:rsid w:val="00E20ADC"/>
    <w:rsid w:val="00F425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B1E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49"/>
      <w:ind w:left="405"/>
      <w:outlineLvl w:val="0"/>
    </w:pPr>
    <w:rPr>
      <w:rFonts w:ascii="Times New Roman" w:eastAsia="Times New Roman" w:hAnsi="Times New Roman"/>
      <w:b/>
      <w:bCs/>
      <w:sz w:val="24"/>
      <w:szCs w:val="24"/>
    </w:rPr>
  </w:style>
  <w:style w:type="paragraph" w:styleId="Heading2">
    <w:name w:val="heading 2"/>
    <w:basedOn w:val="Normal"/>
    <w:uiPriority w:val="9"/>
    <w:unhideWhenUsed/>
    <w:qFormat/>
    <w:pPr>
      <w:ind w:left="405"/>
      <w:outlineLvl w:val="1"/>
    </w:pPr>
    <w:rPr>
      <w:rFonts w:ascii="Times New Roman" w:eastAsia="Times New Roman" w:hAnsi="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406" w:hanging="369"/>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042E3E"/>
    <w:pPr>
      <w:tabs>
        <w:tab w:val="center" w:pos="4513"/>
        <w:tab w:val="right" w:pos="9026"/>
      </w:tabs>
    </w:pPr>
  </w:style>
  <w:style w:type="character" w:customStyle="1" w:styleId="HeaderChar">
    <w:name w:val="Header Char"/>
    <w:basedOn w:val="DefaultParagraphFont"/>
    <w:link w:val="Header"/>
    <w:rsid w:val="00042E3E"/>
  </w:style>
  <w:style w:type="paragraph" w:styleId="Footer">
    <w:name w:val="footer"/>
    <w:basedOn w:val="Normal"/>
    <w:link w:val="FooterChar"/>
    <w:unhideWhenUsed/>
    <w:rsid w:val="00042E3E"/>
    <w:pPr>
      <w:tabs>
        <w:tab w:val="center" w:pos="4513"/>
        <w:tab w:val="right" w:pos="9026"/>
      </w:tabs>
    </w:pPr>
  </w:style>
  <w:style w:type="character" w:customStyle="1" w:styleId="FooterChar">
    <w:name w:val="Footer Char"/>
    <w:basedOn w:val="DefaultParagraphFont"/>
    <w:link w:val="Footer"/>
    <w:rsid w:val="00042E3E"/>
  </w:style>
  <w:style w:type="paragraph" w:styleId="FootnoteText">
    <w:name w:val="footnote text"/>
    <w:basedOn w:val="Normal"/>
    <w:link w:val="FootnoteTextChar"/>
    <w:uiPriority w:val="99"/>
    <w:semiHidden/>
    <w:unhideWhenUsed/>
    <w:rsid w:val="00302554"/>
    <w:rPr>
      <w:sz w:val="20"/>
      <w:szCs w:val="20"/>
    </w:rPr>
  </w:style>
  <w:style w:type="character" w:customStyle="1" w:styleId="FootnoteTextChar">
    <w:name w:val="Footnote Text Char"/>
    <w:basedOn w:val="DefaultParagraphFont"/>
    <w:link w:val="FootnoteText"/>
    <w:uiPriority w:val="99"/>
    <w:semiHidden/>
    <w:rsid w:val="00302554"/>
    <w:rPr>
      <w:sz w:val="20"/>
      <w:szCs w:val="20"/>
    </w:rPr>
  </w:style>
  <w:style w:type="character" w:styleId="FootnoteReference">
    <w:name w:val="footnote reference"/>
    <w:basedOn w:val="DefaultParagraphFont"/>
    <w:uiPriority w:val="99"/>
    <w:semiHidden/>
    <w:unhideWhenUsed/>
    <w:rsid w:val="00302554"/>
    <w:rPr>
      <w:vertAlign w:val="superscript"/>
    </w:rPr>
  </w:style>
  <w:style w:type="character" w:styleId="PageNumber">
    <w:name w:val="page number"/>
    <w:basedOn w:val="DefaultParagraphFont"/>
    <w:semiHidden/>
    <w:rsid w:val="00151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8" ma:contentTypeDescription="Izveidot jaunu dokumentu." ma:contentTypeScope="" ma:versionID="38255f5ef405f350c8f803e41a661b77">
  <xsd:schema xmlns:xsd="http://www.w3.org/2001/XMLSchema" xmlns:xs="http://www.w3.org/2001/XMLSchema" xmlns:p="http://schemas.microsoft.com/office/2006/metadata/properties" xmlns:ns2="1d57a815-79e8-498e-8f04-9c2e9221b678" targetNamespace="http://schemas.microsoft.com/office/2006/metadata/properties" ma:root="true" ma:fieldsID="848929c235a99b6ed80ff1a960403283" ns2:_="">
    <xsd:import namespace="1d57a815-79e8-498e-8f04-9c2e9221b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5F9EED-1024-4D4B-9E39-2F188B857F7E}">
  <ds:schemaRefs>
    <ds:schemaRef ds:uri="http://schemas.microsoft.com/sharepoint/v3/contenttype/forms"/>
  </ds:schemaRefs>
</ds:datastoreItem>
</file>

<file path=customXml/itemProps2.xml><?xml version="1.0" encoding="utf-8"?>
<ds:datastoreItem xmlns:ds="http://schemas.openxmlformats.org/officeDocument/2006/customXml" ds:itemID="{20221003-B8B2-483C-8B52-823A575733F4}">
  <ds:schemaRefs>
    <ds:schemaRef ds:uri="http://schemas.openxmlformats.org/officeDocument/2006/bibliography"/>
  </ds:schemaRefs>
</ds:datastoreItem>
</file>

<file path=customXml/itemProps3.xml><?xml version="1.0" encoding="utf-8"?>
<ds:datastoreItem xmlns:ds="http://schemas.openxmlformats.org/officeDocument/2006/customXml" ds:itemID="{4CF5F96D-5257-4241-B777-F56FA509AFA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36390AE-F5DD-4661-BDD2-7029FED81FDB}"/>
</file>

<file path=docProps/app.xml><?xml version="1.0" encoding="utf-8"?>
<Properties xmlns="http://schemas.openxmlformats.org/officeDocument/2006/extended-properties" xmlns:vt="http://schemas.openxmlformats.org/officeDocument/2006/docPropsVTypes">
  <Template>Normal</Template>
  <TotalTime>0</TotalTime>
  <Pages>7</Pages>
  <Words>10010</Words>
  <Characters>5707</Characters>
  <Application>Microsoft Office Word</Application>
  <DocSecurity>0</DocSecurity>
  <Lines>47</Lines>
  <Paragraphs>31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2021-04-20T06:03:00Z</dcterms:created>
  <dcterms:modified xsi:type="dcterms:W3CDTF">2021-06-17T10:57:00Z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ies>
</file>