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CDF" w:rsidRPr="001E6CF9" w:rsidRDefault="00335CDF" w:rsidP="00DE30DA">
      <w:pPr>
        <w:jc w:val="both"/>
        <w:rPr>
          <w:rFonts w:ascii="Times New Roman" w:eastAsia="Times New Roman" w:hAnsi="Times New Roman" w:cs="Times New Roman"/>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80"/>
        <w:gridCol w:w="6548"/>
      </w:tblGrid>
      <w:tr w:rsidR="00C81765" w:rsidRPr="001E6CF9" w:rsidTr="007F54C4">
        <w:tc>
          <w:tcPr>
            <w:tcW w:w="2580" w:type="dxa"/>
          </w:tcPr>
          <w:p w:rsidR="00C81765" w:rsidRPr="001E6CF9" w:rsidRDefault="00C81765" w:rsidP="00DE30DA">
            <w:pPr>
              <w:jc w:val="both"/>
              <w:rPr>
                <w:rFonts w:ascii="Times New Roman" w:eastAsia="Times New Roman" w:hAnsi="Times New Roman" w:cs="Times New Roman"/>
                <w:noProof/>
                <w:sz w:val="24"/>
                <w:szCs w:val="29"/>
              </w:rPr>
            </w:pPr>
            <w:r>
              <w:rPr>
                <w:rFonts w:ascii="Times New Roman" w:hAnsi="Times New Roman"/>
                <w:noProof/>
                <w:sz w:val="24"/>
                <w:szCs w:val="29"/>
              </w:rPr>
              <w:drawing>
                <wp:inline distT="0" distB="0" distL="0" distR="0">
                  <wp:extent cx="1515110" cy="77978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110" cy="779780"/>
                          </a:xfrm>
                          <a:prstGeom prst="rect">
                            <a:avLst/>
                          </a:prstGeom>
                          <a:noFill/>
                          <a:ln>
                            <a:noFill/>
                          </a:ln>
                        </pic:spPr>
                      </pic:pic>
                    </a:graphicData>
                  </a:graphic>
                </wp:inline>
              </w:drawing>
            </w:r>
          </w:p>
        </w:tc>
        <w:tc>
          <w:tcPr>
            <w:tcW w:w="6548" w:type="dxa"/>
          </w:tcPr>
          <w:p w:rsidR="00C81765" w:rsidRPr="001E6CF9" w:rsidRDefault="00C81765" w:rsidP="00C81765">
            <w:pPr>
              <w:jc w:val="both"/>
              <w:rPr>
                <w:rFonts w:ascii="Times New Roman" w:hAnsi="Times New Roman"/>
                <w:noProof/>
                <w:sz w:val="24"/>
              </w:rPr>
            </w:pPr>
            <w:r>
              <w:rPr>
                <w:rFonts w:ascii="Times New Roman" w:hAnsi="Times New Roman"/>
                <w:sz w:val="24"/>
              </w:rPr>
              <w:t>EIROPAS KOMISIJA</w:t>
            </w:r>
          </w:p>
          <w:p w:rsidR="00C81765" w:rsidRPr="001E6CF9" w:rsidRDefault="00C81765" w:rsidP="00C81765">
            <w:pPr>
              <w:jc w:val="both"/>
              <w:rPr>
                <w:rFonts w:ascii="Times New Roman" w:hAnsi="Times New Roman"/>
                <w:noProof/>
                <w:sz w:val="20"/>
                <w:szCs w:val="18"/>
              </w:rPr>
            </w:pPr>
            <w:r>
              <w:rPr>
                <w:rFonts w:ascii="Times New Roman" w:hAnsi="Times New Roman"/>
                <w:sz w:val="20"/>
                <w:szCs w:val="18"/>
              </w:rPr>
              <w:t>KLIMATA POLITIKAS ĢENERĀLDIREKTORĀTS</w:t>
            </w:r>
          </w:p>
          <w:p w:rsidR="00C81765" w:rsidRPr="001E6CF9" w:rsidRDefault="00C81765" w:rsidP="00C81765">
            <w:pPr>
              <w:jc w:val="both"/>
              <w:rPr>
                <w:rFonts w:ascii="Times New Roman" w:hAnsi="Times New Roman"/>
                <w:noProof/>
                <w:sz w:val="20"/>
                <w:szCs w:val="18"/>
              </w:rPr>
            </w:pPr>
            <w:r>
              <w:rPr>
                <w:rFonts w:ascii="Times New Roman" w:hAnsi="Times New Roman"/>
                <w:sz w:val="20"/>
                <w:szCs w:val="18"/>
              </w:rPr>
              <w:t>RĪCĪBA KLIMATA POLITIKAS JOMĀ</w:t>
            </w:r>
          </w:p>
          <w:p w:rsidR="00C81765" w:rsidRPr="001E6CF9" w:rsidRDefault="00C81765" w:rsidP="00C81765">
            <w:pPr>
              <w:jc w:val="both"/>
              <w:rPr>
                <w:rFonts w:ascii="Times New Roman" w:eastAsia="Arial" w:hAnsi="Times New Roman" w:cs="Arial"/>
                <w:noProof/>
                <w:sz w:val="24"/>
                <w:szCs w:val="14"/>
              </w:rPr>
            </w:pPr>
          </w:p>
          <w:p w:rsidR="00C81765" w:rsidRPr="001E6CF9" w:rsidRDefault="00C81765" w:rsidP="00DE30DA">
            <w:pPr>
              <w:jc w:val="both"/>
              <w:rPr>
                <w:rFonts w:ascii="Times New Roman" w:hAnsi="Times New Roman"/>
                <w:noProof/>
                <w:sz w:val="24"/>
              </w:rPr>
            </w:pPr>
            <w:r>
              <w:rPr>
                <w:rFonts w:ascii="Times New Roman" w:hAnsi="Times New Roman"/>
                <w:sz w:val="20"/>
                <w:szCs w:val="18"/>
              </w:rPr>
              <w:t>B direkcija – Eiropas un starptautiskie oglekļa dioksīda emisiju tirgi</w:t>
            </w:r>
          </w:p>
        </w:tc>
      </w:tr>
    </w:tbl>
    <w:p w:rsidR="00C81765" w:rsidRPr="001E6CF9" w:rsidRDefault="00C81765" w:rsidP="00DE30DA">
      <w:pPr>
        <w:jc w:val="both"/>
        <w:rPr>
          <w:rFonts w:ascii="Times New Roman" w:eastAsia="Times New Roman" w:hAnsi="Times New Roman" w:cs="Times New Roman"/>
          <w:noProof/>
          <w:sz w:val="24"/>
          <w:szCs w:val="29"/>
        </w:rPr>
      </w:pPr>
    </w:p>
    <w:p w:rsidR="00335CDF" w:rsidRDefault="00335CDF" w:rsidP="00DE30DA">
      <w:pPr>
        <w:jc w:val="both"/>
        <w:rPr>
          <w:rFonts w:ascii="Times New Roman" w:eastAsia="Arial" w:hAnsi="Times New Roman" w:cs="Arial"/>
          <w:noProof/>
          <w:sz w:val="24"/>
          <w:szCs w:val="27"/>
        </w:rPr>
      </w:pPr>
    </w:p>
    <w:p w:rsidR="00900881" w:rsidRPr="001E6CF9" w:rsidRDefault="00900881" w:rsidP="00DE30DA">
      <w:pPr>
        <w:jc w:val="both"/>
        <w:rPr>
          <w:rFonts w:ascii="Times New Roman" w:eastAsia="Arial" w:hAnsi="Times New Roman" w:cs="Arial"/>
          <w:noProof/>
          <w:sz w:val="24"/>
          <w:szCs w:val="27"/>
        </w:rPr>
      </w:pPr>
    </w:p>
    <w:p w:rsidR="00335CDF" w:rsidRPr="001E6CF9" w:rsidRDefault="00335CDF" w:rsidP="00DE30DA">
      <w:pPr>
        <w:jc w:val="both"/>
        <w:rPr>
          <w:rFonts w:ascii="Times New Roman" w:hAnsi="Times New Roman"/>
          <w:noProof/>
          <w:sz w:val="24"/>
        </w:rPr>
      </w:pPr>
      <w:r>
        <w:rPr>
          <w:rFonts w:ascii="Times New Roman" w:hAnsi="Times New Roman"/>
          <w:sz w:val="24"/>
          <w:szCs w:val="32"/>
        </w:rPr>
        <w:t>Norādījumu dokuments Nr. 1</w:t>
      </w:r>
      <w:r>
        <w:rPr>
          <w:rFonts w:ascii="Times New Roman" w:hAnsi="Times New Roman"/>
          <w:sz w:val="24"/>
        </w:rPr>
        <w:t xml:space="preserve"> par saskaņotās bezmaksas kvotu piešķiršanas metodoloģiju ES ETS pēc 2020. gada</w:t>
      </w:r>
    </w:p>
    <w:p w:rsidR="00335CDF" w:rsidRDefault="00335CDF" w:rsidP="00DE30DA">
      <w:pPr>
        <w:jc w:val="both"/>
        <w:rPr>
          <w:rFonts w:ascii="Times New Roman" w:eastAsia="Calibri" w:hAnsi="Times New Roman" w:cs="Calibri"/>
          <w:noProof/>
          <w:sz w:val="24"/>
          <w:szCs w:val="32"/>
        </w:rPr>
      </w:pPr>
    </w:p>
    <w:p w:rsidR="00900881" w:rsidRDefault="00900881" w:rsidP="00DE30DA">
      <w:pPr>
        <w:jc w:val="both"/>
        <w:rPr>
          <w:rFonts w:ascii="Times New Roman" w:eastAsia="Calibri" w:hAnsi="Times New Roman" w:cs="Calibri"/>
          <w:noProof/>
          <w:sz w:val="24"/>
          <w:szCs w:val="32"/>
        </w:rPr>
      </w:pPr>
    </w:p>
    <w:p w:rsidR="00900881" w:rsidRPr="001E6CF9" w:rsidRDefault="00900881" w:rsidP="00DE30DA">
      <w:pPr>
        <w:jc w:val="both"/>
        <w:rPr>
          <w:rFonts w:ascii="Times New Roman" w:eastAsia="Calibri" w:hAnsi="Times New Roman" w:cs="Calibri"/>
          <w:noProof/>
          <w:sz w:val="24"/>
          <w:szCs w:val="32"/>
        </w:rPr>
      </w:pPr>
    </w:p>
    <w:p w:rsidR="00335CDF" w:rsidRPr="001E6CF9" w:rsidRDefault="00335CDF" w:rsidP="00DE30DA">
      <w:pPr>
        <w:jc w:val="both"/>
        <w:rPr>
          <w:rFonts w:ascii="Times New Roman" w:eastAsia="Calibri" w:hAnsi="Times New Roman" w:cs="Calibri"/>
          <w:noProof/>
          <w:sz w:val="24"/>
          <w:szCs w:val="44"/>
        </w:rPr>
      </w:pPr>
    </w:p>
    <w:p w:rsidR="00335CDF" w:rsidRPr="00900881" w:rsidRDefault="00335CDF" w:rsidP="00DE30DA">
      <w:pPr>
        <w:jc w:val="both"/>
        <w:rPr>
          <w:rFonts w:ascii="Times New Roman" w:hAnsi="Times New Roman"/>
          <w:b/>
          <w:noProof/>
          <w:sz w:val="28"/>
        </w:rPr>
      </w:pPr>
      <w:r w:rsidRPr="00900881">
        <w:rPr>
          <w:rFonts w:ascii="Times New Roman" w:hAnsi="Times New Roman"/>
          <w:b/>
          <w:sz w:val="28"/>
        </w:rPr>
        <w:t>Vispārējās vadlīnijas par kvotu piešķiršanas metodoloģiju</w:t>
      </w:r>
    </w:p>
    <w:p w:rsidR="00335CDF" w:rsidRPr="001E6CF9" w:rsidRDefault="00335CDF" w:rsidP="00DE30DA">
      <w:pPr>
        <w:jc w:val="both"/>
        <w:rPr>
          <w:rFonts w:ascii="Times New Roman" w:hAnsi="Times New Roman"/>
          <w:i/>
          <w:noProof/>
          <w:sz w:val="24"/>
        </w:rPr>
      </w:pPr>
      <w:r>
        <w:rPr>
          <w:rFonts w:ascii="Times New Roman" w:hAnsi="Times New Roman"/>
          <w:i/>
          <w:sz w:val="24"/>
        </w:rPr>
        <w:t>Galīgā versija, kas izdota 2019. gada 31. janvārī</w:t>
      </w:r>
    </w:p>
    <w:p w:rsidR="008A3D27" w:rsidRPr="001E6CF9" w:rsidRDefault="008A3D27">
      <w:pPr>
        <w:rPr>
          <w:rFonts w:ascii="Times New Roman" w:hAnsi="Times New Roman"/>
          <w:noProof/>
          <w:sz w:val="24"/>
        </w:rPr>
      </w:pPr>
      <w:r>
        <w:br w:type="page"/>
      </w:r>
    </w:p>
    <w:p w:rsidR="008C68EA" w:rsidRPr="001E6CF9" w:rsidRDefault="008C68EA" w:rsidP="00DE30DA">
      <w:pPr>
        <w:jc w:val="both"/>
        <w:rPr>
          <w:rFonts w:ascii="Times New Roman" w:hAnsi="Times New Roman"/>
          <w:noProof/>
          <w:sz w:val="24"/>
        </w:rPr>
      </w:pPr>
    </w:p>
    <w:p w:rsidR="00335CDF" w:rsidRDefault="00335CDF" w:rsidP="00DE30DA">
      <w:pPr>
        <w:jc w:val="both"/>
        <w:rPr>
          <w:rFonts w:ascii="Times New Roman" w:hAnsi="Times New Roman"/>
          <w:sz w:val="24"/>
        </w:rPr>
      </w:pPr>
      <w:r>
        <w:rPr>
          <w:rFonts w:ascii="Times New Roman" w:hAnsi="Times New Roman"/>
          <w:sz w:val="24"/>
        </w:rPr>
        <w:t>SATURS</w:t>
      </w:r>
    </w:p>
    <w:p w:rsidR="00900881" w:rsidRPr="00C22746" w:rsidRDefault="00900881" w:rsidP="00C22746">
      <w:pPr>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val="lv-LV"/>
        </w:rPr>
        <w:id w:val="-1624842716"/>
        <w:docPartObj>
          <w:docPartGallery w:val="Table of Contents"/>
          <w:docPartUnique/>
        </w:docPartObj>
      </w:sdtPr>
      <w:sdtEndPr>
        <w:rPr>
          <w:b/>
          <w:bCs/>
          <w:noProof/>
        </w:rPr>
      </w:sdtEndPr>
      <w:sdtContent>
        <w:p w:rsidR="00900881" w:rsidRPr="00C22746" w:rsidRDefault="00900881" w:rsidP="00C22746">
          <w:pPr>
            <w:pStyle w:val="TOCHeading"/>
            <w:spacing w:before="0" w:line="240" w:lineRule="auto"/>
            <w:rPr>
              <w:rFonts w:ascii="Times New Roman" w:hAnsi="Times New Roman" w:cs="Times New Roman"/>
              <w:color w:val="auto"/>
              <w:sz w:val="24"/>
              <w:szCs w:val="24"/>
            </w:rPr>
          </w:pPr>
        </w:p>
        <w:p w:rsidR="00900881" w:rsidRPr="00C22746" w:rsidRDefault="00900881" w:rsidP="00C22746">
          <w:pPr>
            <w:pStyle w:val="TOC1"/>
            <w:tabs>
              <w:tab w:val="right" w:leader="dot" w:pos="9062"/>
            </w:tabs>
            <w:ind w:left="0" w:firstLine="0"/>
            <w:rPr>
              <w:rFonts w:ascii="Times New Roman" w:eastAsiaTheme="minorEastAsia" w:hAnsi="Times New Roman" w:cs="Times New Roman"/>
              <w:noProof/>
              <w:lang w:eastAsia="lv-LV"/>
            </w:rPr>
          </w:pPr>
          <w:r w:rsidRPr="00C22746">
            <w:rPr>
              <w:rFonts w:ascii="Times New Roman" w:hAnsi="Times New Roman" w:cs="Times New Roman"/>
            </w:rPr>
            <w:fldChar w:fldCharType="begin"/>
          </w:r>
          <w:r w:rsidRPr="00C22746">
            <w:rPr>
              <w:rFonts w:ascii="Times New Roman" w:hAnsi="Times New Roman" w:cs="Times New Roman"/>
            </w:rPr>
            <w:instrText xml:space="preserve"> TOC \o "1-3" \h \z \u </w:instrText>
          </w:r>
          <w:r w:rsidRPr="00C22746">
            <w:rPr>
              <w:rFonts w:ascii="Times New Roman" w:hAnsi="Times New Roman" w:cs="Times New Roman"/>
            </w:rPr>
            <w:fldChar w:fldCharType="separate"/>
          </w:r>
          <w:hyperlink w:anchor="_Toc31010877" w:history="1">
            <w:r w:rsidRPr="00C22746">
              <w:rPr>
                <w:rStyle w:val="Hyperlink"/>
                <w:rFonts w:ascii="Times New Roman" w:hAnsi="Times New Roman" w:cs="Times New Roman"/>
                <w:noProof/>
              </w:rPr>
              <w:t>1. Ievads</w:t>
            </w:r>
            <w:r w:rsidRPr="00C22746">
              <w:rPr>
                <w:rFonts w:ascii="Times New Roman" w:hAnsi="Times New Roman" w:cs="Times New Roman"/>
                <w:noProof/>
                <w:webHidden/>
              </w:rPr>
              <w:tab/>
            </w:r>
            <w:r w:rsidRPr="00C22746">
              <w:rPr>
                <w:rFonts w:ascii="Times New Roman" w:hAnsi="Times New Roman" w:cs="Times New Roman"/>
                <w:noProof/>
                <w:webHidden/>
              </w:rPr>
              <w:fldChar w:fldCharType="begin"/>
            </w:r>
            <w:r w:rsidRPr="00C22746">
              <w:rPr>
                <w:rFonts w:ascii="Times New Roman" w:hAnsi="Times New Roman" w:cs="Times New Roman"/>
                <w:noProof/>
                <w:webHidden/>
              </w:rPr>
              <w:instrText xml:space="preserve"> PAGEREF _Toc31010877 \h </w:instrText>
            </w:r>
            <w:r w:rsidRPr="00C22746">
              <w:rPr>
                <w:rFonts w:ascii="Times New Roman" w:hAnsi="Times New Roman" w:cs="Times New Roman"/>
                <w:noProof/>
                <w:webHidden/>
              </w:rPr>
            </w:r>
            <w:r w:rsidRPr="00C22746">
              <w:rPr>
                <w:rFonts w:ascii="Times New Roman" w:hAnsi="Times New Roman" w:cs="Times New Roman"/>
                <w:noProof/>
                <w:webHidden/>
              </w:rPr>
              <w:fldChar w:fldCharType="separate"/>
            </w:r>
            <w:r w:rsidR="00C22746">
              <w:rPr>
                <w:rFonts w:ascii="Times New Roman" w:hAnsi="Times New Roman" w:cs="Times New Roman"/>
                <w:noProof/>
                <w:webHidden/>
              </w:rPr>
              <w:t>3</w:t>
            </w:r>
            <w:r w:rsidRPr="00C22746">
              <w:rPr>
                <w:rFonts w:ascii="Times New Roman" w:hAnsi="Times New Roman" w:cs="Times New Roman"/>
                <w:noProof/>
                <w:webHidden/>
              </w:rPr>
              <w:fldChar w:fldCharType="end"/>
            </w:r>
          </w:hyperlink>
        </w:p>
        <w:p w:rsidR="00900881" w:rsidRPr="00C22746" w:rsidRDefault="008F23E1" w:rsidP="00C22746">
          <w:pPr>
            <w:pStyle w:val="TOC2"/>
            <w:tabs>
              <w:tab w:val="right" w:leader="dot" w:pos="9062"/>
            </w:tabs>
            <w:ind w:left="284" w:firstLine="0"/>
            <w:rPr>
              <w:rFonts w:ascii="Times New Roman" w:eastAsiaTheme="minorEastAsia" w:hAnsi="Times New Roman" w:cs="Times New Roman"/>
              <w:noProof/>
              <w:lang w:eastAsia="lv-LV"/>
            </w:rPr>
          </w:pPr>
          <w:hyperlink w:anchor="_Toc31010878" w:history="1">
            <w:r w:rsidR="00900881" w:rsidRPr="00C22746">
              <w:rPr>
                <w:rStyle w:val="Hyperlink"/>
                <w:rFonts w:ascii="Times New Roman" w:hAnsi="Times New Roman" w:cs="Times New Roman"/>
                <w:noProof/>
              </w:rPr>
              <w:t>1.1. Norādījumu dokumentu statuss</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_Toc31010878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3</w:t>
            </w:r>
            <w:r w:rsidR="00900881" w:rsidRPr="00C22746">
              <w:rPr>
                <w:rFonts w:ascii="Times New Roman" w:hAnsi="Times New Roman" w:cs="Times New Roman"/>
                <w:noProof/>
                <w:webHidden/>
              </w:rPr>
              <w:fldChar w:fldCharType="end"/>
            </w:r>
          </w:hyperlink>
        </w:p>
        <w:p w:rsidR="00900881" w:rsidRPr="00C22746" w:rsidRDefault="008F23E1" w:rsidP="00C22746">
          <w:pPr>
            <w:pStyle w:val="TOC2"/>
            <w:tabs>
              <w:tab w:val="right" w:leader="dot" w:pos="9062"/>
            </w:tabs>
            <w:ind w:left="284" w:firstLine="0"/>
            <w:rPr>
              <w:rFonts w:ascii="Times New Roman" w:eastAsiaTheme="minorEastAsia" w:hAnsi="Times New Roman" w:cs="Times New Roman"/>
              <w:noProof/>
              <w:lang w:eastAsia="lv-LV"/>
            </w:rPr>
          </w:pPr>
          <w:hyperlink w:anchor="_Toc31010879" w:history="1">
            <w:r w:rsidR="00900881" w:rsidRPr="00C22746">
              <w:rPr>
                <w:rStyle w:val="Hyperlink"/>
                <w:rFonts w:ascii="Times New Roman" w:hAnsi="Times New Roman" w:cs="Times New Roman"/>
                <w:noProof/>
              </w:rPr>
              <w:t xml:space="preserve">1.2. </w:t>
            </w:r>
            <w:r w:rsidR="00900881" w:rsidRPr="00C22746">
              <w:rPr>
                <w:rStyle w:val="Hyperlink"/>
                <w:rFonts w:ascii="Times New Roman" w:hAnsi="Times New Roman" w:cs="Times New Roman"/>
                <w:i/>
                <w:noProof/>
              </w:rPr>
              <w:t>FAR</w:t>
            </w:r>
            <w:r w:rsidR="00900881" w:rsidRPr="00C22746">
              <w:rPr>
                <w:rStyle w:val="Hyperlink"/>
                <w:rFonts w:ascii="Times New Roman" w:hAnsi="Times New Roman" w:cs="Times New Roman"/>
                <w:noProof/>
              </w:rPr>
              <w:t xml:space="preserve"> norādījumu dokumentu vispārīgs apraksts</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_Toc31010879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3</w:t>
            </w:r>
            <w:r w:rsidR="00900881" w:rsidRPr="00C22746">
              <w:rPr>
                <w:rFonts w:ascii="Times New Roman" w:hAnsi="Times New Roman" w:cs="Times New Roman"/>
                <w:noProof/>
                <w:webHidden/>
              </w:rPr>
              <w:fldChar w:fldCharType="end"/>
            </w:r>
          </w:hyperlink>
        </w:p>
        <w:p w:rsidR="00900881" w:rsidRPr="00C22746" w:rsidRDefault="008F23E1" w:rsidP="00C22746">
          <w:pPr>
            <w:pStyle w:val="TOC2"/>
            <w:tabs>
              <w:tab w:val="right" w:leader="dot" w:pos="9062"/>
            </w:tabs>
            <w:ind w:left="284" w:firstLine="0"/>
            <w:rPr>
              <w:rFonts w:ascii="Times New Roman" w:eastAsiaTheme="minorEastAsia" w:hAnsi="Times New Roman" w:cs="Times New Roman"/>
              <w:noProof/>
              <w:lang w:eastAsia="lv-LV"/>
            </w:rPr>
          </w:pPr>
          <w:hyperlink w:anchor="_Toc31010880" w:history="1">
            <w:r w:rsidR="00900881" w:rsidRPr="00C22746">
              <w:rPr>
                <w:rStyle w:val="Hyperlink"/>
                <w:rFonts w:ascii="Times New Roman" w:hAnsi="Times New Roman" w:cs="Times New Roman"/>
                <w:noProof/>
              </w:rPr>
              <w:t>1.3. Norādījumu dokumentu izmantošana</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_Toc31010880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6</w:t>
            </w:r>
            <w:r w:rsidR="00900881" w:rsidRPr="00C22746">
              <w:rPr>
                <w:rFonts w:ascii="Times New Roman" w:hAnsi="Times New Roman" w:cs="Times New Roman"/>
                <w:noProof/>
                <w:webHidden/>
              </w:rPr>
              <w:fldChar w:fldCharType="end"/>
            </w:r>
          </w:hyperlink>
        </w:p>
        <w:p w:rsidR="00900881" w:rsidRPr="00C22746" w:rsidRDefault="008F23E1" w:rsidP="00C22746">
          <w:pPr>
            <w:pStyle w:val="TOC2"/>
            <w:tabs>
              <w:tab w:val="right" w:leader="dot" w:pos="9062"/>
            </w:tabs>
            <w:ind w:left="284" w:firstLine="0"/>
            <w:rPr>
              <w:rFonts w:ascii="Times New Roman" w:eastAsiaTheme="minorEastAsia" w:hAnsi="Times New Roman" w:cs="Times New Roman"/>
              <w:noProof/>
              <w:lang w:eastAsia="lv-LV"/>
            </w:rPr>
          </w:pPr>
          <w:hyperlink w:anchor="_Toc31010881" w:history="1">
            <w:r w:rsidR="00900881" w:rsidRPr="00C22746">
              <w:rPr>
                <w:rStyle w:val="Hyperlink"/>
                <w:rFonts w:ascii="Times New Roman" w:hAnsi="Times New Roman" w:cs="Times New Roman"/>
                <w:noProof/>
              </w:rPr>
              <w:t>1.4. Papildu norādījumi</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_Toc31010881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6</w:t>
            </w:r>
            <w:r w:rsidR="00900881" w:rsidRPr="00C22746">
              <w:rPr>
                <w:rFonts w:ascii="Times New Roman" w:hAnsi="Times New Roman" w:cs="Times New Roman"/>
                <w:noProof/>
                <w:webHidden/>
              </w:rPr>
              <w:fldChar w:fldCharType="end"/>
            </w:r>
          </w:hyperlink>
        </w:p>
        <w:p w:rsidR="00900881" w:rsidRPr="00C22746" w:rsidRDefault="008F23E1" w:rsidP="00C22746">
          <w:pPr>
            <w:pStyle w:val="TOC2"/>
            <w:tabs>
              <w:tab w:val="right" w:leader="dot" w:pos="9062"/>
            </w:tabs>
            <w:ind w:left="284" w:firstLine="0"/>
            <w:rPr>
              <w:rFonts w:ascii="Times New Roman" w:eastAsiaTheme="minorEastAsia" w:hAnsi="Times New Roman" w:cs="Times New Roman"/>
              <w:noProof/>
              <w:lang w:eastAsia="lv-LV"/>
            </w:rPr>
          </w:pPr>
          <w:hyperlink w:anchor="_Toc31010882" w:history="1">
            <w:r w:rsidR="00900881" w:rsidRPr="00C22746">
              <w:rPr>
                <w:rStyle w:val="Hyperlink"/>
                <w:rFonts w:ascii="Times New Roman" w:hAnsi="Times New Roman" w:cs="Times New Roman"/>
                <w:noProof/>
              </w:rPr>
              <w:t>1.5. Šā norādījumu dokumenta darbības joma</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_Toc31010882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6</w:t>
            </w:r>
            <w:r w:rsidR="00900881" w:rsidRPr="00C22746">
              <w:rPr>
                <w:rFonts w:ascii="Times New Roman" w:hAnsi="Times New Roman" w:cs="Times New Roman"/>
                <w:noProof/>
                <w:webHidden/>
              </w:rPr>
              <w:fldChar w:fldCharType="end"/>
            </w:r>
          </w:hyperlink>
        </w:p>
        <w:p w:rsidR="00900881" w:rsidRPr="00C22746" w:rsidRDefault="008F23E1" w:rsidP="00C22746">
          <w:pPr>
            <w:pStyle w:val="TOC1"/>
            <w:tabs>
              <w:tab w:val="right" w:leader="dot" w:pos="9062"/>
            </w:tabs>
            <w:ind w:left="0" w:firstLine="0"/>
            <w:rPr>
              <w:rFonts w:ascii="Times New Roman" w:eastAsiaTheme="minorEastAsia" w:hAnsi="Times New Roman" w:cs="Times New Roman"/>
              <w:noProof/>
              <w:lang w:eastAsia="lv-LV"/>
            </w:rPr>
          </w:pPr>
          <w:hyperlink w:anchor="_Toc31010883" w:history="1">
            <w:r w:rsidR="00900881" w:rsidRPr="00C22746">
              <w:rPr>
                <w:rStyle w:val="Hyperlink"/>
                <w:rFonts w:ascii="Times New Roman" w:hAnsi="Times New Roman" w:cs="Times New Roman"/>
                <w:noProof/>
              </w:rPr>
              <w:t>2. Jauni elementi kvotu piešķiršanas metodoloģijā 4. periodam</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_Toc31010883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7</w:t>
            </w:r>
            <w:r w:rsidR="00900881" w:rsidRPr="00C22746">
              <w:rPr>
                <w:rFonts w:ascii="Times New Roman" w:hAnsi="Times New Roman" w:cs="Times New Roman"/>
                <w:noProof/>
                <w:webHidden/>
              </w:rPr>
              <w:fldChar w:fldCharType="end"/>
            </w:r>
          </w:hyperlink>
        </w:p>
        <w:p w:rsidR="00900881" w:rsidRPr="00C22746" w:rsidRDefault="008F23E1" w:rsidP="00C22746">
          <w:pPr>
            <w:pStyle w:val="TOC1"/>
            <w:tabs>
              <w:tab w:val="right" w:leader="dot" w:pos="9062"/>
            </w:tabs>
            <w:ind w:left="0" w:firstLine="0"/>
            <w:rPr>
              <w:rFonts w:ascii="Times New Roman" w:eastAsiaTheme="minorEastAsia" w:hAnsi="Times New Roman" w:cs="Times New Roman"/>
              <w:noProof/>
              <w:lang w:eastAsia="lv-LV"/>
            </w:rPr>
          </w:pPr>
          <w:hyperlink w:anchor="_Toc31010884" w:history="1">
            <w:r w:rsidR="00900881" w:rsidRPr="00C22746">
              <w:rPr>
                <w:rStyle w:val="Hyperlink"/>
                <w:rFonts w:ascii="Times New Roman" w:hAnsi="Times New Roman" w:cs="Times New Roman"/>
                <w:noProof/>
              </w:rPr>
              <w:t>3. Emisijas kvotu piešķiršanas procesa pārskats</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_Toc31010884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9</w:t>
            </w:r>
            <w:r w:rsidR="00900881" w:rsidRPr="00C22746">
              <w:rPr>
                <w:rFonts w:ascii="Times New Roman" w:hAnsi="Times New Roman" w:cs="Times New Roman"/>
                <w:noProof/>
                <w:webHidden/>
              </w:rPr>
              <w:fldChar w:fldCharType="end"/>
            </w:r>
          </w:hyperlink>
        </w:p>
        <w:p w:rsidR="00900881" w:rsidRPr="00C22746" w:rsidRDefault="008F23E1" w:rsidP="00C22746">
          <w:pPr>
            <w:pStyle w:val="TOC1"/>
            <w:tabs>
              <w:tab w:val="right" w:leader="dot" w:pos="9062"/>
            </w:tabs>
            <w:ind w:left="0" w:firstLine="0"/>
            <w:rPr>
              <w:rFonts w:ascii="Times New Roman" w:eastAsiaTheme="minorEastAsia" w:hAnsi="Times New Roman" w:cs="Times New Roman"/>
              <w:noProof/>
              <w:lang w:eastAsia="lv-LV"/>
            </w:rPr>
          </w:pPr>
          <w:hyperlink w:anchor="_Toc31010885" w:history="1">
            <w:r w:rsidR="00900881" w:rsidRPr="00C22746">
              <w:rPr>
                <w:rStyle w:val="Hyperlink"/>
                <w:rFonts w:ascii="Times New Roman" w:hAnsi="Times New Roman" w:cs="Times New Roman"/>
                <w:noProof/>
              </w:rPr>
              <w:t>4. Attiecīgās iekārtas</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_Toc31010885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13</w:t>
            </w:r>
            <w:r w:rsidR="00900881" w:rsidRPr="00C22746">
              <w:rPr>
                <w:rFonts w:ascii="Times New Roman" w:hAnsi="Times New Roman" w:cs="Times New Roman"/>
                <w:noProof/>
                <w:webHidden/>
              </w:rPr>
              <w:fldChar w:fldCharType="end"/>
            </w:r>
          </w:hyperlink>
        </w:p>
        <w:p w:rsidR="00900881" w:rsidRPr="00C22746" w:rsidRDefault="008F23E1" w:rsidP="00C22746">
          <w:pPr>
            <w:pStyle w:val="TOC2"/>
            <w:tabs>
              <w:tab w:val="right" w:leader="dot" w:pos="9062"/>
            </w:tabs>
            <w:ind w:left="284" w:firstLine="0"/>
            <w:rPr>
              <w:rFonts w:ascii="Times New Roman" w:eastAsiaTheme="minorEastAsia" w:hAnsi="Times New Roman" w:cs="Times New Roman"/>
              <w:noProof/>
              <w:lang w:eastAsia="lv-LV"/>
            </w:rPr>
          </w:pPr>
          <w:hyperlink w:anchor="_Toc31010886" w:history="1">
            <w:r w:rsidR="00900881" w:rsidRPr="00C22746">
              <w:rPr>
                <w:rStyle w:val="Hyperlink"/>
                <w:rFonts w:ascii="Times New Roman" w:hAnsi="Times New Roman" w:cs="Times New Roman"/>
                <w:noProof/>
              </w:rPr>
              <w:t xml:space="preserve">4.1. Kurām iekārtām jābūt norādītām </w:t>
            </w:r>
            <w:r w:rsidR="00900881" w:rsidRPr="00C22746">
              <w:rPr>
                <w:rStyle w:val="Hyperlink"/>
                <w:rFonts w:ascii="Times New Roman" w:hAnsi="Times New Roman" w:cs="Times New Roman"/>
                <w:i/>
                <w:noProof/>
              </w:rPr>
              <w:t>NIM</w:t>
            </w:r>
            <w:r w:rsidR="00900881" w:rsidRPr="00C22746">
              <w:rPr>
                <w:rStyle w:val="Hyperlink"/>
                <w:rFonts w:ascii="Times New Roman" w:hAnsi="Times New Roman" w:cs="Times New Roman"/>
                <w:noProof/>
              </w:rPr>
              <w:t xml:space="preserve"> sarakstā?</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_Toc31010886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13</w:t>
            </w:r>
            <w:r w:rsidR="00900881" w:rsidRPr="00C22746">
              <w:rPr>
                <w:rFonts w:ascii="Times New Roman" w:hAnsi="Times New Roman" w:cs="Times New Roman"/>
                <w:noProof/>
                <w:webHidden/>
              </w:rPr>
              <w:fldChar w:fldCharType="end"/>
            </w:r>
          </w:hyperlink>
        </w:p>
        <w:p w:rsidR="00900881" w:rsidRPr="00C22746" w:rsidRDefault="008F23E1" w:rsidP="00C22746">
          <w:pPr>
            <w:pStyle w:val="TOC2"/>
            <w:tabs>
              <w:tab w:val="right" w:leader="dot" w:pos="9062"/>
            </w:tabs>
            <w:ind w:left="284" w:firstLine="0"/>
            <w:rPr>
              <w:rFonts w:ascii="Times New Roman" w:eastAsiaTheme="minorEastAsia" w:hAnsi="Times New Roman" w:cs="Times New Roman"/>
              <w:noProof/>
              <w:lang w:eastAsia="lv-LV"/>
            </w:rPr>
          </w:pPr>
          <w:hyperlink w:anchor="_Toc31010887" w:history="1">
            <w:r w:rsidR="00900881" w:rsidRPr="00C22746">
              <w:rPr>
                <w:rStyle w:val="Hyperlink"/>
                <w:rFonts w:ascii="Times New Roman" w:hAnsi="Times New Roman" w:cs="Times New Roman"/>
                <w:noProof/>
              </w:rPr>
              <w:t>4.2. Kas bez maksas saņem emisijas kvotas?</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_Toc31010887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15</w:t>
            </w:r>
            <w:r w:rsidR="00900881" w:rsidRPr="00C22746">
              <w:rPr>
                <w:rFonts w:ascii="Times New Roman" w:hAnsi="Times New Roman" w:cs="Times New Roman"/>
                <w:noProof/>
                <w:webHidden/>
              </w:rPr>
              <w:fldChar w:fldCharType="end"/>
            </w:r>
          </w:hyperlink>
        </w:p>
        <w:p w:rsidR="00900881" w:rsidRPr="00C22746" w:rsidRDefault="008F23E1" w:rsidP="00C22746">
          <w:pPr>
            <w:pStyle w:val="TOC1"/>
            <w:tabs>
              <w:tab w:val="right" w:leader="dot" w:pos="9062"/>
            </w:tabs>
            <w:ind w:left="0" w:firstLine="0"/>
            <w:rPr>
              <w:rFonts w:ascii="Times New Roman" w:eastAsiaTheme="minorEastAsia" w:hAnsi="Times New Roman" w:cs="Times New Roman"/>
              <w:noProof/>
              <w:lang w:eastAsia="lv-LV"/>
            </w:rPr>
          </w:pPr>
          <w:hyperlink w:anchor="_Toc31010888" w:history="1">
            <w:r w:rsidR="00900881" w:rsidRPr="00C22746">
              <w:rPr>
                <w:rStyle w:val="Hyperlink"/>
                <w:rFonts w:ascii="Times New Roman" w:hAnsi="Times New Roman" w:cs="Times New Roman"/>
                <w:noProof/>
              </w:rPr>
              <w:t>5. Kvotu piešķiršanas metodoloģija</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_Toc31010888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16</w:t>
            </w:r>
            <w:r w:rsidR="00900881" w:rsidRPr="00C22746">
              <w:rPr>
                <w:rFonts w:ascii="Times New Roman" w:hAnsi="Times New Roman" w:cs="Times New Roman"/>
                <w:noProof/>
                <w:webHidden/>
              </w:rPr>
              <w:fldChar w:fldCharType="end"/>
            </w:r>
          </w:hyperlink>
        </w:p>
        <w:p w:rsidR="00900881" w:rsidRPr="00C22746" w:rsidRDefault="008F23E1" w:rsidP="00C22746">
          <w:pPr>
            <w:pStyle w:val="TOC2"/>
            <w:tabs>
              <w:tab w:val="right" w:leader="dot" w:pos="9062"/>
            </w:tabs>
            <w:ind w:left="284" w:firstLine="0"/>
            <w:rPr>
              <w:rFonts w:ascii="Times New Roman" w:eastAsiaTheme="minorEastAsia" w:hAnsi="Times New Roman" w:cs="Times New Roman"/>
              <w:noProof/>
              <w:lang w:eastAsia="lv-LV"/>
            </w:rPr>
          </w:pPr>
          <w:hyperlink w:anchor="_Toc31010889" w:history="1">
            <w:r w:rsidR="00900881" w:rsidRPr="00C22746">
              <w:rPr>
                <w:rStyle w:val="Hyperlink"/>
                <w:rFonts w:ascii="Times New Roman" w:hAnsi="Times New Roman" w:cs="Times New Roman"/>
                <w:noProof/>
              </w:rPr>
              <w:t>5.1. Pārskats par kvotu piešķiršanas pieejām apakšiekārtām</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_Toc31010889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16</w:t>
            </w:r>
            <w:r w:rsidR="00900881" w:rsidRPr="00C22746">
              <w:rPr>
                <w:rFonts w:ascii="Times New Roman" w:hAnsi="Times New Roman" w:cs="Times New Roman"/>
                <w:noProof/>
                <w:webHidden/>
              </w:rPr>
              <w:fldChar w:fldCharType="end"/>
            </w:r>
          </w:hyperlink>
        </w:p>
        <w:p w:rsidR="00900881" w:rsidRPr="00C22746" w:rsidRDefault="008F23E1" w:rsidP="00C22746">
          <w:pPr>
            <w:pStyle w:val="TOC2"/>
            <w:tabs>
              <w:tab w:val="right" w:leader="dot" w:pos="9062"/>
            </w:tabs>
            <w:ind w:left="284" w:firstLine="0"/>
            <w:rPr>
              <w:rFonts w:ascii="Times New Roman" w:eastAsiaTheme="minorEastAsia" w:hAnsi="Times New Roman" w:cs="Times New Roman"/>
              <w:noProof/>
              <w:lang w:eastAsia="lv-LV"/>
            </w:rPr>
          </w:pPr>
          <w:hyperlink w:anchor="_Toc31010890" w:history="1">
            <w:r w:rsidR="00900881" w:rsidRPr="00C22746">
              <w:rPr>
                <w:rStyle w:val="Hyperlink"/>
                <w:rFonts w:ascii="Times New Roman" w:hAnsi="Times New Roman" w:cs="Times New Roman"/>
                <w:noProof/>
              </w:rPr>
              <w:t>5.2. Sašķelšana apakšiekārtās</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_Toc31010890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19</w:t>
            </w:r>
            <w:r w:rsidR="00900881" w:rsidRPr="00C22746">
              <w:rPr>
                <w:rFonts w:ascii="Times New Roman" w:hAnsi="Times New Roman" w:cs="Times New Roman"/>
                <w:noProof/>
                <w:webHidden/>
              </w:rPr>
              <w:fldChar w:fldCharType="end"/>
            </w:r>
          </w:hyperlink>
        </w:p>
        <w:p w:rsidR="00900881" w:rsidRPr="00C22746" w:rsidRDefault="008F23E1" w:rsidP="00C22746">
          <w:pPr>
            <w:pStyle w:val="TOC2"/>
            <w:tabs>
              <w:tab w:val="right" w:leader="dot" w:pos="9062"/>
            </w:tabs>
            <w:ind w:left="284" w:firstLine="0"/>
            <w:rPr>
              <w:rFonts w:ascii="Times New Roman" w:eastAsiaTheme="minorEastAsia" w:hAnsi="Times New Roman" w:cs="Times New Roman"/>
              <w:noProof/>
              <w:lang w:eastAsia="lv-LV"/>
            </w:rPr>
          </w:pPr>
          <w:hyperlink w:anchor="_Toc31010891" w:history="1">
            <w:r w:rsidR="00900881" w:rsidRPr="00C22746">
              <w:rPr>
                <w:rStyle w:val="Hyperlink"/>
                <w:rFonts w:ascii="Times New Roman" w:hAnsi="Times New Roman" w:cs="Times New Roman"/>
                <w:noProof/>
              </w:rPr>
              <w:t>5.3. Korekcijas koeficienti</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_Toc31010891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21</w:t>
            </w:r>
            <w:r w:rsidR="00900881" w:rsidRPr="00C22746">
              <w:rPr>
                <w:rFonts w:ascii="Times New Roman" w:hAnsi="Times New Roman" w:cs="Times New Roman"/>
                <w:noProof/>
                <w:webHidden/>
              </w:rPr>
              <w:fldChar w:fldCharType="end"/>
            </w:r>
          </w:hyperlink>
        </w:p>
        <w:p w:rsidR="00900881" w:rsidRPr="00C22746" w:rsidRDefault="008F23E1" w:rsidP="00C22746">
          <w:pPr>
            <w:pStyle w:val="TOC3"/>
            <w:tabs>
              <w:tab w:val="right" w:leader="dot" w:pos="9062"/>
            </w:tabs>
            <w:ind w:left="709" w:firstLine="0"/>
            <w:rPr>
              <w:rFonts w:ascii="Times New Roman" w:eastAsiaTheme="minorEastAsia" w:hAnsi="Times New Roman" w:cs="Times New Roman"/>
              <w:noProof/>
              <w:lang w:eastAsia="lv-LV"/>
            </w:rPr>
          </w:pPr>
          <w:hyperlink w:anchor="_Toc31010892" w:history="1">
            <w:r w:rsidR="00900881" w:rsidRPr="00C22746">
              <w:rPr>
                <w:rStyle w:val="Hyperlink"/>
                <w:rFonts w:ascii="Times New Roman" w:hAnsi="Times New Roman" w:cs="Times New Roman"/>
                <w:noProof/>
              </w:rPr>
              <w:t>5.3.1. Oglekļa emisiju pārvirzes riska koeficients</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_Toc31010892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22</w:t>
            </w:r>
            <w:r w:rsidR="00900881" w:rsidRPr="00C22746">
              <w:rPr>
                <w:rFonts w:ascii="Times New Roman" w:hAnsi="Times New Roman" w:cs="Times New Roman"/>
                <w:noProof/>
                <w:webHidden/>
              </w:rPr>
              <w:fldChar w:fldCharType="end"/>
            </w:r>
          </w:hyperlink>
        </w:p>
        <w:p w:rsidR="00900881" w:rsidRPr="00C22746" w:rsidRDefault="008F23E1" w:rsidP="00C22746">
          <w:pPr>
            <w:pStyle w:val="TOC3"/>
            <w:tabs>
              <w:tab w:val="right" w:leader="dot" w:pos="9062"/>
            </w:tabs>
            <w:ind w:left="709" w:firstLine="0"/>
            <w:rPr>
              <w:rFonts w:ascii="Times New Roman" w:eastAsiaTheme="minorEastAsia" w:hAnsi="Times New Roman" w:cs="Times New Roman"/>
              <w:noProof/>
              <w:lang w:eastAsia="lv-LV"/>
            </w:rPr>
          </w:pPr>
          <w:hyperlink w:anchor="_Toc31010893" w:history="1">
            <w:r w:rsidR="00900881" w:rsidRPr="00C22746">
              <w:rPr>
                <w:rStyle w:val="Hyperlink"/>
                <w:rFonts w:ascii="Times New Roman" w:hAnsi="Times New Roman" w:cs="Times New Roman"/>
                <w:noProof/>
              </w:rPr>
              <w:t>5.3.2. Starpsektoru korekcijas koeficients</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_Toc31010893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23</w:t>
            </w:r>
            <w:r w:rsidR="00900881" w:rsidRPr="00C22746">
              <w:rPr>
                <w:rFonts w:ascii="Times New Roman" w:hAnsi="Times New Roman" w:cs="Times New Roman"/>
                <w:noProof/>
                <w:webHidden/>
              </w:rPr>
              <w:fldChar w:fldCharType="end"/>
            </w:r>
          </w:hyperlink>
        </w:p>
        <w:p w:rsidR="00900881" w:rsidRPr="00C22746" w:rsidRDefault="008F23E1" w:rsidP="00C22746">
          <w:pPr>
            <w:pStyle w:val="TOC3"/>
            <w:tabs>
              <w:tab w:val="right" w:leader="dot" w:pos="9062"/>
            </w:tabs>
            <w:ind w:left="709" w:firstLine="0"/>
            <w:rPr>
              <w:rFonts w:ascii="Times New Roman" w:eastAsiaTheme="minorEastAsia" w:hAnsi="Times New Roman" w:cs="Times New Roman"/>
              <w:noProof/>
              <w:lang w:eastAsia="lv-LV"/>
            </w:rPr>
          </w:pPr>
          <w:hyperlink w:anchor="_Toc31010894" w:history="1">
            <w:r w:rsidR="00900881" w:rsidRPr="00C22746">
              <w:rPr>
                <w:rStyle w:val="Hyperlink"/>
                <w:rFonts w:ascii="Times New Roman" w:hAnsi="Times New Roman" w:cs="Times New Roman"/>
                <w:noProof/>
              </w:rPr>
              <w:t>5.3.3. Lineārais samazinājuma koeficients</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_Toc31010894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24</w:t>
            </w:r>
            <w:r w:rsidR="00900881" w:rsidRPr="00C22746">
              <w:rPr>
                <w:rFonts w:ascii="Times New Roman" w:hAnsi="Times New Roman" w:cs="Times New Roman"/>
                <w:noProof/>
                <w:webHidden/>
              </w:rPr>
              <w:fldChar w:fldCharType="end"/>
            </w:r>
          </w:hyperlink>
        </w:p>
        <w:p w:rsidR="00900881" w:rsidRPr="00C22746" w:rsidRDefault="008F23E1" w:rsidP="00C22746">
          <w:pPr>
            <w:pStyle w:val="TOC1"/>
            <w:tabs>
              <w:tab w:val="right" w:leader="dot" w:pos="9062"/>
            </w:tabs>
            <w:ind w:left="0" w:firstLine="0"/>
            <w:rPr>
              <w:rFonts w:ascii="Times New Roman" w:eastAsiaTheme="minorEastAsia" w:hAnsi="Times New Roman" w:cs="Times New Roman"/>
              <w:noProof/>
              <w:lang w:eastAsia="lv-LV"/>
            </w:rPr>
          </w:pPr>
          <w:hyperlink w:anchor="_Toc31010895" w:history="1">
            <w:r w:rsidR="00900881" w:rsidRPr="00C22746">
              <w:rPr>
                <w:rStyle w:val="Hyperlink"/>
                <w:rFonts w:ascii="Times New Roman" w:hAnsi="Times New Roman" w:cs="Times New Roman"/>
                <w:noProof/>
              </w:rPr>
              <w:t>A pielikums. Laika grafiks – pārskatītajā ES ETS noteiktie svarīgākie datumi</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_Toc31010895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25</w:t>
            </w:r>
            <w:r w:rsidR="00900881" w:rsidRPr="00C22746">
              <w:rPr>
                <w:rFonts w:ascii="Times New Roman" w:hAnsi="Times New Roman" w:cs="Times New Roman"/>
                <w:noProof/>
                <w:webHidden/>
              </w:rPr>
              <w:fldChar w:fldCharType="end"/>
            </w:r>
          </w:hyperlink>
        </w:p>
        <w:p w:rsidR="00900881" w:rsidRPr="00C22746" w:rsidRDefault="008F23E1" w:rsidP="00C22746">
          <w:pPr>
            <w:pStyle w:val="TOC1"/>
            <w:tabs>
              <w:tab w:val="right" w:leader="dot" w:pos="9062"/>
            </w:tabs>
            <w:ind w:left="0" w:firstLine="0"/>
            <w:rPr>
              <w:rFonts w:ascii="Times New Roman" w:eastAsiaTheme="minorEastAsia" w:hAnsi="Times New Roman" w:cs="Times New Roman"/>
              <w:noProof/>
              <w:lang w:eastAsia="lv-LV"/>
            </w:rPr>
          </w:pPr>
          <w:hyperlink w:anchor="_Toc31010896" w:history="1">
            <w:r w:rsidR="00900881" w:rsidRPr="00C22746">
              <w:rPr>
                <w:rStyle w:val="Hyperlink"/>
                <w:rFonts w:ascii="Times New Roman" w:hAnsi="Times New Roman" w:cs="Times New Roman"/>
                <w:noProof/>
              </w:rPr>
              <w:t>B saraksts. Definīciju saraksts</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_Toc31010896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26</w:t>
            </w:r>
            <w:r w:rsidR="00900881" w:rsidRPr="00C22746">
              <w:rPr>
                <w:rFonts w:ascii="Times New Roman" w:hAnsi="Times New Roman" w:cs="Times New Roman"/>
                <w:noProof/>
                <w:webHidden/>
              </w:rPr>
              <w:fldChar w:fldCharType="end"/>
            </w:r>
          </w:hyperlink>
        </w:p>
        <w:p w:rsidR="00900881" w:rsidRPr="00C22746" w:rsidRDefault="008F23E1" w:rsidP="00C22746">
          <w:pPr>
            <w:pStyle w:val="TOC1"/>
            <w:tabs>
              <w:tab w:val="right" w:leader="dot" w:pos="9062"/>
            </w:tabs>
            <w:ind w:left="0" w:firstLine="0"/>
            <w:rPr>
              <w:rFonts w:ascii="Times New Roman" w:eastAsiaTheme="minorEastAsia" w:hAnsi="Times New Roman" w:cs="Times New Roman"/>
              <w:noProof/>
              <w:lang w:eastAsia="lv-LV"/>
            </w:rPr>
          </w:pPr>
          <w:hyperlink w:anchor="_Toc31010897" w:history="1">
            <w:r w:rsidR="00900881" w:rsidRPr="00C22746">
              <w:rPr>
                <w:rStyle w:val="Hyperlink"/>
                <w:rFonts w:ascii="Times New Roman" w:hAnsi="Times New Roman" w:cs="Times New Roman"/>
                <w:noProof/>
              </w:rPr>
              <w:t>C pielikums. Saīsinājumu saraksts</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_Toc31010897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31</w:t>
            </w:r>
            <w:r w:rsidR="00900881" w:rsidRPr="00C22746">
              <w:rPr>
                <w:rFonts w:ascii="Times New Roman" w:hAnsi="Times New Roman" w:cs="Times New Roman"/>
                <w:noProof/>
                <w:webHidden/>
              </w:rPr>
              <w:fldChar w:fldCharType="end"/>
            </w:r>
          </w:hyperlink>
        </w:p>
        <w:p w:rsidR="00900881" w:rsidRPr="00C22746" w:rsidRDefault="008F23E1" w:rsidP="00C22746">
          <w:pPr>
            <w:pStyle w:val="TOC1"/>
            <w:tabs>
              <w:tab w:val="right" w:leader="dot" w:pos="9062"/>
            </w:tabs>
            <w:ind w:left="0" w:firstLine="0"/>
            <w:rPr>
              <w:rFonts w:ascii="Times New Roman" w:eastAsiaTheme="minorEastAsia" w:hAnsi="Times New Roman" w:cs="Times New Roman"/>
              <w:noProof/>
              <w:lang w:eastAsia="lv-LV"/>
            </w:rPr>
          </w:pPr>
          <w:hyperlink w:anchor="_Toc31010898" w:history="1">
            <w:r w:rsidR="00900881" w:rsidRPr="00C22746">
              <w:rPr>
                <w:rStyle w:val="Hyperlink"/>
                <w:rFonts w:ascii="Times New Roman" w:hAnsi="Times New Roman" w:cs="Times New Roman"/>
                <w:noProof/>
              </w:rPr>
              <w:t>D pielikums. Salīdzinājums ar 2011. gada Norādījumu dokumentu Nr. 1</w:t>
            </w:r>
            <w:r w:rsidR="00900881" w:rsidRPr="00C22746">
              <w:rPr>
                <w:rFonts w:ascii="Times New Roman" w:hAnsi="Times New Roman" w:cs="Times New Roman"/>
                <w:noProof/>
                <w:webHidden/>
              </w:rPr>
              <w:tab/>
            </w:r>
            <w:r w:rsidR="00900881" w:rsidRPr="00C22746">
              <w:rPr>
                <w:rFonts w:ascii="Times New Roman" w:hAnsi="Times New Roman" w:cs="Times New Roman"/>
                <w:noProof/>
                <w:webHidden/>
              </w:rPr>
              <w:fldChar w:fldCharType="begin"/>
            </w:r>
            <w:r w:rsidR="00900881" w:rsidRPr="00C22746">
              <w:rPr>
                <w:rFonts w:ascii="Times New Roman" w:hAnsi="Times New Roman" w:cs="Times New Roman"/>
                <w:noProof/>
                <w:webHidden/>
              </w:rPr>
              <w:instrText xml:space="preserve"> PAGEREF _Toc31010898 \h </w:instrText>
            </w:r>
            <w:r w:rsidR="00900881" w:rsidRPr="00C22746">
              <w:rPr>
                <w:rFonts w:ascii="Times New Roman" w:hAnsi="Times New Roman" w:cs="Times New Roman"/>
                <w:noProof/>
                <w:webHidden/>
              </w:rPr>
            </w:r>
            <w:r w:rsidR="00900881" w:rsidRPr="00C22746">
              <w:rPr>
                <w:rFonts w:ascii="Times New Roman" w:hAnsi="Times New Roman" w:cs="Times New Roman"/>
                <w:noProof/>
                <w:webHidden/>
              </w:rPr>
              <w:fldChar w:fldCharType="separate"/>
            </w:r>
            <w:r w:rsidR="00C22746">
              <w:rPr>
                <w:rFonts w:ascii="Times New Roman" w:hAnsi="Times New Roman" w:cs="Times New Roman"/>
                <w:noProof/>
                <w:webHidden/>
              </w:rPr>
              <w:t>32</w:t>
            </w:r>
            <w:r w:rsidR="00900881" w:rsidRPr="00C22746">
              <w:rPr>
                <w:rFonts w:ascii="Times New Roman" w:hAnsi="Times New Roman" w:cs="Times New Roman"/>
                <w:noProof/>
                <w:webHidden/>
              </w:rPr>
              <w:fldChar w:fldCharType="end"/>
            </w:r>
          </w:hyperlink>
        </w:p>
        <w:p w:rsidR="00900881" w:rsidRPr="00C22746" w:rsidRDefault="00900881" w:rsidP="00C22746">
          <w:pPr>
            <w:rPr>
              <w:rFonts w:ascii="Times New Roman" w:hAnsi="Times New Roman" w:cs="Times New Roman"/>
              <w:sz w:val="24"/>
              <w:szCs w:val="24"/>
            </w:rPr>
          </w:pPr>
          <w:r w:rsidRPr="00C22746">
            <w:rPr>
              <w:rFonts w:ascii="Times New Roman" w:hAnsi="Times New Roman" w:cs="Times New Roman"/>
              <w:b/>
              <w:bCs/>
              <w:noProof/>
              <w:sz w:val="24"/>
              <w:szCs w:val="24"/>
            </w:rPr>
            <w:fldChar w:fldCharType="end"/>
          </w:r>
        </w:p>
      </w:sdtContent>
    </w:sdt>
    <w:p w:rsidR="00900881" w:rsidRPr="00C22746" w:rsidRDefault="00900881" w:rsidP="00C22746">
      <w:pPr>
        <w:jc w:val="both"/>
        <w:rPr>
          <w:rFonts w:ascii="Times New Roman" w:hAnsi="Times New Roman" w:cs="Times New Roman"/>
          <w:sz w:val="24"/>
          <w:szCs w:val="24"/>
        </w:rPr>
      </w:pPr>
    </w:p>
    <w:p w:rsidR="00900881" w:rsidRPr="001E6CF9" w:rsidRDefault="00900881" w:rsidP="00DE30DA">
      <w:pPr>
        <w:jc w:val="both"/>
        <w:rPr>
          <w:rFonts w:ascii="Times New Roman" w:hAnsi="Times New Roman"/>
          <w:noProof/>
          <w:sz w:val="24"/>
        </w:rPr>
      </w:pPr>
    </w:p>
    <w:p w:rsidR="008A3D27" w:rsidRPr="001E6CF9" w:rsidRDefault="008A3D27">
      <w:pPr>
        <w:rPr>
          <w:rFonts w:ascii="Times New Roman" w:hAnsi="Times New Roman"/>
          <w:noProof/>
          <w:sz w:val="24"/>
        </w:rPr>
      </w:pPr>
      <w:r>
        <w:br w:type="page"/>
      </w:r>
    </w:p>
    <w:p w:rsidR="008C68EA" w:rsidRPr="001E6CF9" w:rsidRDefault="008C68EA" w:rsidP="00DE30DA">
      <w:pPr>
        <w:pStyle w:val="Heading1"/>
        <w:tabs>
          <w:tab w:val="left" w:pos="403"/>
        </w:tabs>
        <w:spacing w:before="0"/>
        <w:ind w:left="0" w:firstLine="0"/>
        <w:jc w:val="both"/>
        <w:rPr>
          <w:rFonts w:ascii="Times New Roman" w:hAnsi="Times New Roman"/>
          <w:noProof/>
          <w:sz w:val="24"/>
        </w:rPr>
      </w:pPr>
    </w:p>
    <w:p w:rsidR="00335CDF" w:rsidRPr="001E6CF9" w:rsidRDefault="008A3D27" w:rsidP="008A3D27">
      <w:pPr>
        <w:pStyle w:val="Heading1"/>
        <w:tabs>
          <w:tab w:val="left" w:pos="403"/>
        </w:tabs>
        <w:spacing w:before="0"/>
        <w:ind w:left="0" w:firstLine="0"/>
        <w:jc w:val="both"/>
        <w:rPr>
          <w:rFonts w:ascii="Times New Roman" w:hAnsi="Times New Roman"/>
          <w:noProof/>
          <w:sz w:val="24"/>
        </w:rPr>
      </w:pPr>
      <w:bookmarkStart w:id="0" w:name="_Toc31010877"/>
      <w:r>
        <w:rPr>
          <w:rFonts w:ascii="Times New Roman" w:hAnsi="Times New Roman"/>
          <w:sz w:val="24"/>
        </w:rPr>
        <w:t>1. Ievads</w:t>
      </w:r>
      <w:bookmarkStart w:id="1" w:name="_bookmark0"/>
      <w:bookmarkEnd w:id="1"/>
      <w:bookmarkEnd w:id="0"/>
    </w:p>
    <w:p w:rsidR="008A3D27" w:rsidRPr="001E6CF9" w:rsidRDefault="008A3D27" w:rsidP="008A3D27">
      <w:pPr>
        <w:pStyle w:val="Heading2"/>
        <w:tabs>
          <w:tab w:val="left" w:pos="695"/>
        </w:tabs>
        <w:ind w:left="0" w:firstLine="0"/>
        <w:jc w:val="both"/>
        <w:rPr>
          <w:rFonts w:ascii="Times New Roman" w:hAnsi="Times New Roman"/>
          <w:noProof/>
          <w:sz w:val="24"/>
        </w:rPr>
      </w:pPr>
    </w:p>
    <w:p w:rsidR="00335CDF" w:rsidRPr="001E6CF9" w:rsidRDefault="008A3D27" w:rsidP="008A3D27">
      <w:pPr>
        <w:pStyle w:val="Heading2"/>
        <w:tabs>
          <w:tab w:val="left" w:pos="695"/>
        </w:tabs>
        <w:ind w:left="0" w:firstLine="0"/>
        <w:jc w:val="both"/>
        <w:rPr>
          <w:rFonts w:ascii="Times New Roman" w:hAnsi="Times New Roman"/>
          <w:noProof/>
          <w:sz w:val="24"/>
        </w:rPr>
      </w:pPr>
      <w:bookmarkStart w:id="2" w:name="_Toc31010878"/>
      <w:r>
        <w:rPr>
          <w:rFonts w:ascii="Times New Roman" w:hAnsi="Times New Roman"/>
          <w:sz w:val="24"/>
        </w:rPr>
        <w:t>1.1. Norādījumu dokumentu statuss</w:t>
      </w:r>
      <w:bookmarkStart w:id="3" w:name="_bookmark1"/>
      <w:bookmarkEnd w:id="3"/>
      <w:bookmarkEnd w:id="2"/>
    </w:p>
    <w:p w:rsidR="008A3D27" w:rsidRPr="001E6CF9" w:rsidRDefault="008A3D27" w:rsidP="00DE30DA">
      <w:pPr>
        <w:pStyle w:val="BodyText"/>
        <w:ind w:left="0"/>
        <w:jc w:val="both"/>
        <w:rPr>
          <w:rFonts w:ascii="Times New Roman" w:hAnsi="Times New Roman"/>
          <w:noProof/>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Šis norādījumu dokuments ir daļa no to dokumentu grupas, kas paredzēti, lai sniegtu atbalstu dalībvalstīm un to kompetentajām iestādēm, lai visā Savienībā varētu saskaņoti ieviest kvotu piešķiršanas metodoloģiju ES ETS ceturtajam tirdzniecības periodam (pēc 2020. gada), kas noteikta Komisijas Deleģētajā regulā </w:t>
      </w:r>
      <w:r>
        <w:rPr>
          <w:rFonts w:ascii="Times New Roman" w:hAnsi="Times New Roman"/>
          <w:highlight w:val="yellow"/>
        </w:rPr>
        <w:t>XX/XX</w:t>
      </w:r>
      <w:r>
        <w:rPr>
          <w:rFonts w:ascii="Times New Roman" w:hAnsi="Times New Roman"/>
        </w:rPr>
        <w:t xml:space="preserve"> par “Savienības mēroga pārejas noteikumiem saskaņotai bezmaksas emisijas kvotu iedalei saskaņā ar ES ETS direktīvas 10.a pantu” (</w:t>
      </w:r>
      <w:r>
        <w:rPr>
          <w:rFonts w:ascii="Times New Roman" w:hAnsi="Times New Roman"/>
          <w:i/>
        </w:rPr>
        <w:t>FAR</w:t>
      </w:r>
      <w:r>
        <w:rPr>
          <w:rFonts w:ascii="Times New Roman" w:hAnsi="Times New Roman"/>
        </w:rPr>
        <w:t>).</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Šie norādījumi neatspoguļo Komisijas oficiālo nostāju un nav juridiski saistoši. Taču šo norādījumu mērķis ir izskaidrot ES ETS direktīvā un </w:t>
      </w:r>
      <w:r>
        <w:rPr>
          <w:rFonts w:ascii="Times New Roman" w:hAnsi="Times New Roman"/>
          <w:i/>
        </w:rPr>
        <w:t>FAR</w:t>
      </w:r>
      <w:r>
        <w:rPr>
          <w:rFonts w:ascii="Times New Roman" w:hAnsi="Times New Roman"/>
        </w:rPr>
        <w:t xml:space="preserve"> noteiktās prasības, un tie ir nepieciešami, lai varētu izprast šos juridiski saistošos noteikumus.</w:t>
      </w:r>
    </w:p>
    <w:p w:rsidR="00335CDF" w:rsidRPr="001E6CF9" w:rsidRDefault="00335CDF" w:rsidP="00DE30DA">
      <w:pPr>
        <w:jc w:val="both"/>
        <w:rPr>
          <w:rFonts w:ascii="Times New Roman" w:hAnsi="Times New Roman"/>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Šis norādījumu dokumenta projekts balstās uz dokumenta projektu, ko iesniedzis konsultantu konsorcijs (</w:t>
      </w:r>
      <w:r>
        <w:rPr>
          <w:rFonts w:ascii="Times New Roman" w:hAnsi="Times New Roman"/>
          <w:i/>
        </w:rPr>
        <w:t>SQ Consult, Umweltbundesamt</w:t>
      </w:r>
      <w:r>
        <w:rPr>
          <w:rFonts w:ascii="Times New Roman" w:hAnsi="Times New Roman"/>
        </w:rPr>
        <w:t>), un tā pamatā ir norādījumu dokumenti, kas izstrādāti 3. periodam</w:t>
      </w:r>
      <w:r w:rsidR="008A3D27" w:rsidRPr="001E6CF9">
        <w:rPr>
          <w:rStyle w:val="FootnoteReference"/>
          <w:rFonts w:ascii="Times New Roman" w:hAnsi="Times New Roman" w:cs="Calibri"/>
          <w:noProof/>
        </w:rPr>
        <w:footnoteReference w:id="1"/>
      </w:r>
      <w:r>
        <w:rPr>
          <w:rFonts w:ascii="Times New Roman" w:hAnsi="Times New Roman"/>
        </w:rPr>
        <w:t>. Tajā ņemtas vērā diskusijas, kas notikušas vairākās Ekspertu grupas klimata pārmaiņu politikas jautājumos sanāksmēs, un rakstveida komentārus, kas saņemti no ieinteresētajām personām un ekspertiem dalībvalstīs.</w:t>
      </w:r>
    </w:p>
    <w:p w:rsidR="00335CDF" w:rsidRPr="001E6CF9" w:rsidRDefault="00335CDF" w:rsidP="00DE30DA">
      <w:pPr>
        <w:jc w:val="both"/>
        <w:rPr>
          <w:rFonts w:ascii="Times New Roman" w:hAnsi="Times New Roman"/>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Šajās vadlīnijās </w:t>
      </w:r>
      <w:r>
        <w:rPr>
          <w:rFonts w:ascii="Times New Roman" w:hAnsi="Times New Roman"/>
          <w:i/>
        </w:rPr>
        <w:t>netiek</w:t>
      </w:r>
      <w:r>
        <w:rPr>
          <w:rFonts w:ascii="Times New Roman" w:hAnsi="Times New Roman"/>
        </w:rPr>
        <w:t xml:space="preserve"> sīki aplūkotas procedūras, ko dalībvalstis piemēro, izsniedzot siltumnīcefekta gāzu emisijas atļaujas. Tiek atzīts, ka siltumnīcefekta gāzu (SEG) emisijas atļaujās noteiktā pieeja attiecībā uz iekārtu robežu noteikšanu dažādās dalībvalstīs ir atšķirīga.</w:t>
      </w:r>
    </w:p>
    <w:p w:rsidR="00335CDF" w:rsidRPr="001E6CF9" w:rsidRDefault="00335CDF" w:rsidP="00DE30DA">
      <w:pPr>
        <w:jc w:val="both"/>
        <w:rPr>
          <w:rFonts w:ascii="Times New Roman" w:hAnsi="Times New Roman"/>
          <w:noProof/>
          <w:sz w:val="24"/>
        </w:rPr>
      </w:pPr>
    </w:p>
    <w:p w:rsidR="00335CDF" w:rsidRPr="001E6CF9" w:rsidRDefault="008A3D27" w:rsidP="008A3D27">
      <w:pPr>
        <w:pStyle w:val="Heading2"/>
        <w:tabs>
          <w:tab w:val="left" w:pos="695"/>
        </w:tabs>
        <w:ind w:left="0" w:firstLine="0"/>
        <w:jc w:val="both"/>
        <w:rPr>
          <w:rFonts w:ascii="Times New Roman" w:hAnsi="Times New Roman"/>
          <w:noProof/>
          <w:sz w:val="24"/>
        </w:rPr>
      </w:pPr>
      <w:bookmarkStart w:id="4" w:name="_Toc31010879"/>
      <w:r>
        <w:rPr>
          <w:rFonts w:ascii="Times New Roman" w:hAnsi="Times New Roman"/>
          <w:sz w:val="24"/>
        </w:rPr>
        <w:t xml:space="preserve">1.2. </w:t>
      </w:r>
      <w:r>
        <w:rPr>
          <w:rFonts w:ascii="Times New Roman" w:hAnsi="Times New Roman"/>
          <w:i/>
          <w:sz w:val="24"/>
        </w:rPr>
        <w:t>FAR</w:t>
      </w:r>
      <w:r>
        <w:rPr>
          <w:rFonts w:ascii="Times New Roman" w:hAnsi="Times New Roman"/>
          <w:sz w:val="24"/>
        </w:rPr>
        <w:t xml:space="preserve"> norādījumu dokumentu vispārīgs apraksts</w:t>
      </w:r>
      <w:bookmarkStart w:id="5" w:name="_bookmark2"/>
      <w:bookmarkEnd w:id="5"/>
      <w:bookmarkEnd w:id="4"/>
    </w:p>
    <w:p w:rsidR="008A3D27" w:rsidRPr="001E6CF9" w:rsidRDefault="008A3D27" w:rsidP="00DE30DA">
      <w:pPr>
        <w:pStyle w:val="BodyText"/>
        <w:ind w:left="0"/>
        <w:jc w:val="both"/>
        <w:rPr>
          <w:rFonts w:ascii="Times New Roman" w:hAnsi="Times New Roman"/>
          <w:noProof/>
        </w:rPr>
      </w:pPr>
    </w:p>
    <w:p w:rsidR="00335CDF" w:rsidRPr="001E6CF9" w:rsidRDefault="00335CDF" w:rsidP="00DE30DA">
      <w:pPr>
        <w:pStyle w:val="BodyText"/>
        <w:ind w:left="0"/>
        <w:jc w:val="both"/>
        <w:rPr>
          <w:rFonts w:ascii="Times New Roman" w:hAnsi="Times New Roman"/>
          <w:noProof/>
        </w:rPr>
      </w:pPr>
      <w:r>
        <w:rPr>
          <w:rFonts w:ascii="Times New Roman" w:hAnsi="Times New Roman"/>
          <w:i/>
        </w:rPr>
        <w:t>FAR</w:t>
      </w:r>
      <w:r>
        <w:rPr>
          <w:rFonts w:ascii="Times New Roman" w:hAnsi="Times New Roman"/>
        </w:rPr>
        <w:t xml:space="preserve"> kontekstā identificēti konkrēti jautājumi, kas būtu sīkāk jāizskaidro vai attiecībā uz kuriem būtu nepieciešami papildu norādījumi. </w:t>
      </w:r>
      <w:r>
        <w:rPr>
          <w:rFonts w:ascii="Times New Roman" w:hAnsi="Times New Roman"/>
          <w:i/>
        </w:rPr>
        <w:t>FAR</w:t>
      </w:r>
      <w:r>
        <w:rPr>
          <w:rFonts w:ascii="Times New Roman" w:hAnsi="Times New Roman"/>
        </w:rPr>
        <w:t xml:space="preserve"> norādījumu dokumentu mērķis ir šos jautājumus risināt tik konkrēti un uzskatāmi, cik vien tas iespējams. Komisija uzskata, ka, piemērojot kvotu piešķiršanas metodoloģiju 4. periodam, ir jāsasniedz maksimālais saskaņotības līmenis.</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i/>
        </w:rPr>
        <w:t>FAR</w:t>
      </w:r>
      <w:r>
        <w:rPr>
          <w:rFonts w:ascii="Times New Roman" w:hAnsi="Times New Roman"/>
        </w:rPr>
        <w:t xml:space="preserve"> norādījumu dokumentu mērķis ir panākt </w:t>
      </w:r>
      <w:r>
        <w:rPr>
          <w:rFonts w:ascii="Times New Roman" w:hAnsi="Times New Roman"/>
          <w:i/>
        </w:rPr>
        <w:t>FAR</w:t>
      </w:r>
      <w:r>
        <w:rPr>
          <w:rFonts w:ascii="Times New Roman" w:hAnsi="Times New Roman"/>
        </w:rPr>
        <w:t xml:space="preserve"> konsekventu interpretāciju, lai sekmētu saskaņotību un novērstu konkurences ļaunprātīgu izmantošanu vai tās izkropļojumus kopienā. Turpmāk sniegts pilns šo dokumentu saraksts.</w:t>
      </w:r>
    </w:p>
    <w:p w:rsidR="008A3D27" w:rsidRPr="001E6CF9" w:rsidRDefault="008A3D27" w:rsidP="00DE30DA">
      <w:pPr>
        <w:pStyle w:val="BodyText"/>
        <w:ind w:left="0"/>
        <w:jc w:val="both"/>
        <w:rPr>
          <w:rFonts w:ascii="Times New Roman" w:hAnsi="Times New Roman"/>
          <w:noProof/>
        </w:rPr>
      </w:pPr>
    </w:p>
    <w:p w:rsidR="00335CDF" w:rsidRPr="001E6CF9" w:rsidRDefault="00335CDF" w:rsidP="00DE30DA">
      <w:pPr>
        <w:pStyle w:val="BodyText"/>
        <w:numPr>
          <w:ilvl w:val="2"/>
          <w:numId w:val="13"/>
        </w:numPr>
        <w:tabs>
          <w:tab w:val="left" w:pos="403"/>
        </w:tabs>
        <w:ind w:left="0" w:firstLine="0"/>
        <w:jc w:val="both"/>
        <w:rPr>
          <w:rFonts w:ascii="Times New Roman" w:hAnsi="Times New Roman"/>
          <w:noProof/>
        </w:rPr>
      </w:pPr>
      <w:r>
        <w:rPr>
          <w:rFonts w:ascii="Times New Roman" w:hAnsi="Times New Roman"/>
        </w:rPr>
        <w:t>Norādījumu dokuments Nr. 1 – vispārējās vadlīnijas</w:t>
      </w:r>
    </w:p>
    <w:p w:rsidR="00335CDF" w:rsidRPr="001E6CF9" w:rsidRDefault="00335CDF" w:rsidP="008A3D27">
      <w:pPr>
        <w:pStyle w:val="BodyText"/>
        <w:ind w:left="426"/>
        <w:jc w:val="both"/>
        <w:rPr>
          <w:rFonts w:ascii="Times New Roman" w:hAnsi="Times New Roman"/>
          <w:noProof/>
        </w:rPr>
      </w:pPr>
      <w:r>
        <w:rPr>
          <w:rFonts w:ascii="Times New Roman" w:hAnsi="Times New Roman"/>
        </w:rPr>
        <w:t>Šajā dokumentā sniegts kvotu piešķiršanas procesa vispārīgs pārskats un izskaidroti kvotu piešķiršanas metodoloģijas pamatprincipi. Tajā izskaidrota arī dažādo norādījumu dokumentu savstarpējā saistība.</w:t>
      </w:r>
    </w:p>
    <w:p w:rsidR="00335CDF" w:rsidRPr="001E6CF9" w:rsidRDefault="00335CDF" w:rsidP="00900881">
      <w:pPr>
        <w:pStyle w:val="BodyText"/>
        <w:numPr>
          <w:ilvl w:val="2"/>
          <w:numId w:val="13"/>
        </w:numPr>
        <w:tabs>
          <w:tab w:val="left" w:pos="403"/>
        </w:tabs>
        <w:ind w:left="426" w:hanging="426"/>
        <w:jc w:val="both"/>
        <w:rPr>
          <w:rFonts w:ascii="Times New Roman" w:hAnsi="Times New Roman"/>
          <w:noProof/>
        </w:rPr>
      </w:pPr>
      <w:r>
        <w:rPr>
          <w:rFonts w:ascii="Times New Roman" w:hAnsi="Times New Roman"/>
        </w:rPr>
        <w:t>Norādījumu dokuments Nr. 2 – norādījumi par pieejām attiecībā uz kvotu piešķiršanu iekārtas līmenī</w:t>
      </w:r>
    </w:p>
    <w:p w:rsidR="00335CDF" w:rsidRPr="001E6CF9" w:rsidRDefault="00335CDF" w:rsidP="008A3D27">
      <w:pPr>
        <w:pStyle w:val="BodyText"/>
        <w:ind w:left="426"/>
        <w:jc w:val="both"/>
        <w:rPr>
          <w:rFonts w:ascii="Times New Roman" w:hAnsi="Times New Roman"/>
          <w:noProof/>
        </w:rPr>
      </w:pPr>
      <w:r>
        <w:rPr>
          <w:rFonts w:ascii="Times New Roman" w:hAnsi="Times New Roman"/>
        </w:rPr>
        <w:t>Šajā dokumentā izskaidrots tas, kā kvotu piešķiršanas metodoloģija tiek izmantota iekārtas līmenī, kā arī tas, kā oglekļa emisiju pārvirzes risks, kam pakļauta nozare, ietekmē bez maksas piešķiramo emisijas kvotu noteikšanu iekārtai.</w:t>
      </w:r>
    </w:p>
    <w:p w:rsidR="00335CDF" w:rsidRPr="001E6CF9" w:rsidRDefault="00335CDF" w:rsidP="00DE30DA">
      <w:pPr>
        <w:pStyle w:val="BodyText"/>
        <w:numPr>
          <w:ilvl w:val="2"/>
          <w:numId w:val="13"/>
        </w:numPr>
        <w:tabs>
          <w:tab w:val="left" w:pos="403"/>
        </w:tabs>
        <w:ind w:left="0" w:firstLine="0"/>
        <w:jc w:val="both"/>
        <w:rPr>
          <w:rFonts w:ascii="Times New Roman" w:hAnsi="Times New Roman"/>
          <w:noProof/>
        </w:rPr>
      </w:pPr>
      <w:r>
        <w:rPr>
          <w:rFonts w:ascii="Times New Roman" w:hAnsi="Times New Roman"/>
        </w:rPr>
        <w:t>Norādījumu dokuments Nr. 3 – datu vākšanas norādījumi</w:t>
      </w:r>
    </w:p>
    <w:p w:rsidR="00335CDF" w:rsidRPr="001E6CF9" w:rsidRDefault="00335CDF" w:rsidP="008A3D27">
      <w:pPr>
        <w:pStyle w:val="BodyText"/>
        <w:ind w:left="426"/>
        <w:jc w:val="both"/>
        <w:rPr>
          <w:rFonts w:ascii="Times New Roman" w:hAnsi="Times New Roman"/>
          <w:noProof/>
        </w:rPr>
      </w:pPr>
      <w:r>
        <w:rPr>
          <w:rFonts w:ascii="Times New Roman" w:hAnsi="Times New Roman"/>
        </w:rPr>
        <w:t xml:space="preserve">Šajā dokumentā izskaidrots tas, kuri dati operatoriem ir jāiesniedz kompetentajām iestādēm, un tas, kā šādus datus vākt, aptverot gan tos datus, kas nepieciešami, lai </w:t>
      </w:r>
      <w:r>
        <w:rPr>
          <w:rFonts w:ascii="Times New Roman" w:hAnsi="Times New Roman"/>
        </w:rPr>
        <w:lastRenderedPageBreak/>
        <w:t>noteiktu provizorisko bez maksas piešķiramo emisijas kvotu apjomu, gan datus līmeņatzīmju vērtību atjaunināšanai. Tas atbilst Eiropas Komisijas nodrošinātās datu vākšanas veidnes struktūrai.</w:t>
      </w:r>
    </w:p>
    <w:p w:rsidR="00335CDF" w:rsidRPr="001E6CF9" w:rsidRDefault="00335CDF" w:rsidP="00DE30DA">
      <w:pPr>
        <w:pStyle w:val="BodyText"/>
        <w:numPr>
          <w:ilvl w:val="2"/>
          <w:numId w:val="13"/>
        </w:numPr>
        <w:tabs>
          <w:tab w:val="left" w:pos="403"/>
        </w:tabs>
        <w:ind w:left="0" w:firstLine="0"/>
        <w:jc w:val="both"/>
        <w:rPr>
          <w:rFonts w:ascii="Times New Roman" w:hAnsi="Times New Roman"/>
          <w:noProof/>
        </w:rPr>
      </w:pPr>
      <w:r>
        <w:rPr>
          <w:rFonts w:ascii="Times New Roman" w:hAnsi="Times New Roman"/>
        </w:rPr>
        <w:t xml:space="preserve">Norādījumu dokuments Nr. 4 – norādījumi par </w:t>
      </w:r>
      <w:r>
        <w:rPr>
          <w:rFonts w:ascii="Times New Roman" w:hAnsi="Times New Roman"/>
          <w:i/>
        </w:rPr>
        <w:t>NIM</w:t>
      </w:r>
      <w:r>
        <w:rPr>
          <w:rFonts w:ascii="Times New Roman" w:hAnsi="Times New Roman"/>
        </w:rPr>
        <w:t xml:space="preserve"> datu verifikāciju</w:t>
      </w:r>
    </w:p>
    <w:p w:rsidR="00335CDF" w:rsidRPr="001E6CF9" w:rsidRDefault="00335CDF" w:rsidP="008A3D27">
      <w:pPr>
        <w:pStyle w:val="BodyText"/>
        <w:ind w:left="426"/>
        <w:jc w:val="both"/>
        <w:rPr>
          <w:rFonts w:ascii="Times New Roman" w:hAnsi="Times New Roman"/>
          <w:noProof/>
        </w:rPr>
      </w:pPr>
      <w:r>
        <w:rPr>
          <w:rFonts w:ascii="Times New Roman" w:hAnsi="Times New Roman"/>
        </w:rPr>
        <w:t>Šis dokuments ir paredzēts ES ETS verificētājiem un akreditācijas struktūrām. Tajā izskaidrots verifikācijas process, kas attiecas uz datu vākšanu valsts īstenošanas pasākumiem</w:t>
      </w:r>
      <w:r w:rsidR="001E6CF9" w:rsidRPr="001E6CF9">
        <w:rPr>
          <w:rStyle w:val="FootnoteReference"/>
          <w:rFonts w:ascii="Times New Roman" w:hAnsi="Times New Roman" w:cs="Calibri"/>
          <w:noProof/>
        </w:rPr>
        <w:footnoteReference w:id="2"/>
      </w:r>
      <w:r>
        <w:rPr>
          <w:rFonts w:ascii="Times New Roman" w:hAnsi="Times New Roman"/>
        </w:rPr>
        <w:t>, datu iesniegšanu, ko veic jaunu iekārtu operatori.</w:t>
      </w:r>
    </w:p>
    <w:p w:rsidR="00335CDF" w:rsidRPr="001E6CF9" w:rsidRDefault="00335CDF" w:rsidP="008A3D27">
      <w:pPr>
        <w:pStyle w:val="BodyText"/>
        <w:numPr>
          <w:ilvl w:val="2"/>
          <w:numId w:val="13"/>
        </w:numPr>
        <w:tabs>
          <w:tab w:val="left" w:pos="426"/>
        </w:tabs>
        <w:ind w:left="426" w:hanging="426"/>
        <w:jc w:val="both"/>
        <w:rPr>
          <w:rFonts w:ascii="Times New Roman" w:hAnsi="Times New Roman"/>
          <w:noProof/>
        </w:rPr>
      </w:pPr>
      <w:r>
        <w:rPr>
          <w:rFonts w:ascii="Times New Roman" w:hAnsi="Times New Roman"/>
        </w:rPr>
        <w:t>Norādījumu dokuments Nr. 5 – norādījumi par monitoringu un ziņošanu (</w:t>
      </w:r>
      <w:r>
        <w:rPr>
          <w:rFonts w:ascii="Times New Roman" w:hAnsi="Times New Roman"/>
          <w:i/>
        </w:rPr>
        <w:t>M&amp;R</w:t>
      </w:r>
      <w:r>
        <w:rPr>
          <w:rFonts w:ascii="Times New Roman" w:hAnsi="Times New Roman"/>
        </w:rPr>
        <w:t xml:space="preserve">), kas attiecas uz </w:t>
      </w:r>
      <w:r>
        <w:rPr>
          <w:rFonts w:ascii="Times New Roman" w:hAnsi="Times New Roman"/>
          <w:i/>
        </w:rPr>
        <w:t>FAR</w:t>
      </w:r>
      <w:r>
        <w:rPr>
          <w:rFonts w:ascii="Times New Roman" w:hAnsi="Times New Roman"/>
        </w:rPr>
        <w:t xml:space="preserve"> Šim dokumentam ir trīs mērķi:</w:t>
      </w:r>
    </w:p>
    <w:p w:rsidR="00335CDF" w:rsidRPr="001E6CF9" w:rsidRDefault="00335CDF" w:rsidP="008A3D27">
      <w:pPr>
        <w:pStyle w:val="BodyText"/>
        <w:ind w:left="426"/>
        <w:jc w:val="both"/>
        <w:rPr>
          <w:rFonts w:ascii="Times New Roman" w:hAnsi="Times New Roman" w:cs="Calibri"/>
          <w:noProof/>
        </w:rPr>
      </w:pPr>
      <w:r>
        <w:rPr>
          <w:rFonts w:ascii="Times New Roman" w:hAnsi="Times New Roman"/>
        </w:rPr>
        <w:t>a) sniegt “īsus norādījumus” lasītājiem, kas pirmoreiz iepazīstas ar jautājumu par bezmaksas kvotu piešķiršanu ES ETS;</w:t>
      </w:r>
    </w:p>
    <w:p w:rsidR="00335CDF" w:rsidRPr="001E6CF9" w:rsidRDefault="008A3D27" w:rsidP="008A3D27">
      <w:pPr>
        <w:pStyle w:val="BodyText"/>
        <w:tabs>
          <w:tab w:val="left" w:pos="892"/>
        </w:tabs>
        <w:ind w:left="426"/>
        <w:jc w:val="both"/>
        <w:rPr>
          <w:rFonts w:ascii="Times New Roman" w:hAnsi="Times New Roman"/>
          <w:noProof/>
        </w:rPr>
      </w:pPr>
      <w:r>
        <w:rPr>
          <w:rFonts w:ascii="Times New Roman" w:hAnsi="Times New Roman"/>
        </w:rPr>
        <w:t xml:space="preserve">b) sniegt pārskatu par </w:t>
      </w:r>
      <w:r>
        <w:rPr>
          <w:rFonts w:ascii="Times New Roman" w:hAnsi="Times New Roman"/>
          <w:i/>
        </w:rPr>
        <w:t>M&amp;R</w:t>
      </w:r>
      <w:r>
        <w:rPr>
          <w:rFonts w:ascii="Times New Roman" w:hAnsi="Times New Roman"/>
        </w:rPr>
        <w:t xml:space="preserve"> prasībām, kas ieviestas ar </w:t>
      </w:r>
      <w:r>
        <w:rPr>
          <w:rFonts w:ascii="Times New Roman" w:hAnsi="Times New Roman"/>
          <w:i/>
        </w:rPr>
        <w:t>FAR</w:t>
      </w:r>
      <w:r>
        <w:rPr>
          <w:rFonts w:ascii="Times New Roman" w:hAnsi="Times New Roman"/>
        </w:rPr>
        <w:t>, papildinot esošo ikgadējo atbilstības ciklu, kas ir jau noteikts saskaņā ar Monitoringa un ziņošanas regulu (MSZ) un Akreditācijas un verifikācijas regulu (AVR);</w:t>
      </w:r>
    </w:p>
    <w:p w:rsidR="00335CDF" w:rsidRPr="001E6CF9" w:rsidRDefault="008A3D27" w:rsidP="008A3D27">
      <w:pPr>
        <w:pStyle w:val="BodyText"/>
        <w:tabs>
          <w:tab w:val="left" w:pos="868"/>
        </w:tabs>
        <w:ind w:left="426"/>
        <w:jc w:val="both"/>
        <w:rPr>
          <w:rFonts w:ascii="Times New Roman" w:hAnsi="Times New Roman"/>
          <w:noProof/>
        </w:rPr>
      </w:pPr>
      <w:r>
        <w:rPr>
          <w:rFonts w:ascii="Times New Roman" w:hAnsi="Times New Roman"/>
        </w:rPr>
        <w:t xml:space="preserve">c) sniegt norādījumus par monitoringa metodoloģijas plāna prasībām un citiem jauniem </w:t>
      </w:r>
      <w:r>
        <w:rPr>
          <w:rFonts w:ascii="Times New Roman" w:hAnsi="Times New Roman"/>
          <w:i/>
        </w:rPr>
        <w:t>FAR</w:t>
      </w:r>
      <w:r>
        <w:rPr>
          <w:rFonts w:ascii="Times New Roman" w:hAnsi="Times New Roman"/>
        </w:rPr>
        <w:t xml:space="preserve"> elementiem, kas nav aplūkoti citos šīs sērijas norādījumu dokumentos.</w:t>
      </w:r>
    </w:p>
    <w:p w:rsidR="00335CDF" w:rsidRPr="001E6CF9" w:rsidRDefault="00335CDF" w:rsidP="00DE30DA">
      <w:pPr>
        <w:pStyle w:val="BodyText"/>
        <w:numPr>
          <w:ilvl w:val="2"/>
          <w:numId w:val="13"/>
        </w:numPr>
        <w:tabs>
          <w:tab w:val="left" w:pos="403"/>
        </w:tabs>
        <w:ind w:left="0" w:firstLine="0"/>
        <w:jc w:val="both"/>
        <w:rPr>
          <w:rFonts w:ascii="Times New Roman" w:hAnsi="Times New Roman"/>
          <w:noProof/>
        </w:rPr>
      </w:pPr>
      <w:r>
        <w:rPr>
          <w:rFonts w:ascii="Times New Roman" w:hAnsi="Times New Roman"/>
        </w:rPr>
        <w:t>Norādījumu dokuments Nr. 6 – norādījumi par siltuma plūsmām pāri iekārtu robežām</w:t>
      </w:r>
    </w:p>
    <w:p w:rsidR="00335CDF" w:rsidRPr="001E6CF9" w:rsidRDefault="00335CDF" w:rsidP="008A3D27">
      <w:pPr>
        <w:pStyle w:val="BodyText"/>
        <w:ind w:left="426"/>
        <w:jc w:val="both"/>
        <w:rPr>
          <w:rFonts w:ascii="Times New Roman" w:hAnsi="Times New Roman"/>
          <w:noProof/>
        </w:rPr>
      </w:pPr>
      <w:r>
        <w:rPr>
          <w:rFonts w:ascii="Times New Roman" w:hAnsi="Times New Roman"/>
        </w:rPr>
        <w:t>Šajā dokumentā izskaidrots tas, kā kvotu piešķiršanas metodoloģijas tiek izmantotas gadījumā, kad notiek siltumpārnese pāri iekārtu robežām.</w:t>
      </w:r>
    </w:p>
    <w:p w:rsidR="00335CDF" w:rsidRPr="001E6CF9" w:rsidRDefault="00335CDF" w:rsidP="00DE30DA">
      <w:pPr>
        <w:pStyle w:val="BodyText"/>
        <w:numPr>
          <w:ilvl w:val="2"/>
          <w:numId w:val="13"/>
        </w:numPr>
        <w:tabs>
          <w:tab w:val="left" w:pos="403"/>
        </w:tabs>
        <w:ind w:left="0" w:firstLine="0"/>
        <w:jc w:val="both"/>
        <w:rPr>
          <w:rFonts w:ascii="Times New Roman" w:hAnsi="Times New Roman"/>
          <w:noProof/>
        </w:rPr>
      </w:pPr>
      <w:r>
        <w:rPr>
          <w:rFonts w:ascii="Times New Roman" w:hAnsi="Times New Roman"/>
        </w:rPr>
        <w:t>Norādījumu dokuments Nr. 7 – norādījumi par jaunām iekārtām un slēgtām iekārtām</w:t>
      </w:r>
    </w:p>
    <w:p w:rsidR="00335CDF" w:rsidRPr="001E6CF9" w:rsidRDefault="00335CDF" w:rsidP="008A3D27">
      <w:pPr>
        <w:pStyle w:val="BodyText"/>
        <w:ind w:left="426"/>
        <w:jc w:val="both"/>
        <w:rPr>
          <w:rFonts w:ascii="Times New Roman" w:hAnsi="Times New Roman"/>
          <w:noProof/>
        </w:rPr>
      </w:pPr>
      <w:r>
        <w:rPr>
          <w:rFonts w:ascii="Times New Roman" w:hAnsi="Times New Roman"/>
        </w:rPr>
        <w:t>Šī dokumenta uzdevums ir izskaidrot kvotu piešķiršanas noteikumus attiecībā uz jaunām iekārtām, slēgtām iekārtām un darbības līmeņa izmaiņām.</w:t>
      </w:r>
    </w:p>
    <w:p w:rsidR="00335CDF" w:rsidRPr="001E6CF9" w:rsidRDefault="00335CDF" w:rsidP="008A3D27">
      <w:pPr>
        <w:pStyle w:val="BodyText"/>
        <w:numPr>
          <w:ilvl w:val="2"/>
          <w:numId w:val="13"/>
        </w:numPr>
        <w:tabs>
          <w:tab w:val="left" w:pos="403"/>
        </w:tabs>
        <w:ind w:left="426" w:hanging="426"/>
        <w:jc w:val="both"/>
        <w:rPr>
          <w:rFonts w:ascii="Times New Roman" w:hAnsi="Times New Roman"/>
          <w:noProof/>
        </w:rPr>
      </w:pPr>
      <w:r>
        <w:rPr>
          <w:rFonts w:ascii="Times New Roman" w:hAnsi="Times New Roman"/>
        </w:rPr>
        <w:t>Norādījumu dokuments Nr. 8 – norādījumi par atlikumgāzēm un procesa emisiju apakšiekārtām Šajā dokumentā sniegts paskaidrojums par kvotu piešķiršanas metodoloģiju attiecībā uz procesa emisiju apakšiekārtām, jo īpaši – attiecībā uz atlikumgāzu attīrīšanu.</w:t>
      </w:r>
    </w:p>
    <w:p w:rsidR="00335CDF" w:rsidRPr="001E6CF9" w:rsidRDefault="00335CDF" w:rsidP="00DE30DA">
      <w:pPr>
        <w:pStyle w:val="BodyText"/>
        <w:numPr>
          <w:ilvl w:val="2"/>
          <w:numId w:val="13"/>
        </w:numPr>
        <w:tabs>
          <w:tab w:val="left" w:pos="403"/>
        </w:tabs>
        <w:ind w:left="0" w:firstLine="0"/>
        <w:jc w:val="both"/>
        <w:rPr>
          <w:rFonts w:ascii="Times New Roman" w:hAnsi="Times New Roman"/>
          <w:noProof/>
        </w:rPr>
      </w:pPr>
      <w:r>
        <w:rPr>
          <w:rFonts w:ascii="Times New Roman" w:hAnsi="Times New Roman"/>
        </w:rPr>
        <w:t>Norādījumu dokuments Nr. 9 – specifiskie norādījumi nozarei</w:t>
      </w:r>
    </w:p>
    <w:p w:rsidR="00335CDF" w:rsidRPr="001E6CF9" w:rsidRDefault="00335CDF" w:rsidP="008A3D27">
      <w:pPr>
        <w:pStyle w:val="BodyText"/>
        <w:ind w:left="426"/>
        <w:jc w:val="both"/>
        <w:rPr>
          <w:rFonts w:ascii="Times New Roman" w:hAnsi="Times New Roman"/>
          <w:noProof/>
        </w:rPr>
      </w:pPr>
      <w:r>
        <w:rPr>
          <w:rFonts w:ascii="Times New Roman" w:hAnsi="Times New Roman"/>
        </w:rPr>
        <w:t xml:space="preserve">Šajā dokumentā sniegts sīks apraksts par produktu līmeņatzīmēm, kā arī katras </w:t>
      </w:r>
      <w:r>
        <w:rPr>
          <w:rFonts w:ascii="Times New Roman" w:hAnsi="Times New Roman"/>
          <w:i/>
        </w:rPr>
        <w:t>FAR</w:t>
      </w:r>
      <w:r>
        <w:rPr>
          <w:rFonts w:ascii="Times New Roman" w:hAnsi="Times New Roman"/>
        </w:rPr>
        <w:t xml:space="preserve"> uzskaitītās produkta līmeņatzīmes sistēmas robežām. Turklāt attiecīgos gadījumos aprakstītas īpašas metodes darbības līmeņu aprēķināšanai vai piešķiramo kvotu apjoma koriģēšanai.</w:t>
      </w:r>
    </w:p>
    <w:p w:rsidR="00335CDF" w:rsidRPr="001E6CF9" w:rsidRDefault="00335CDF" w:rsidP="00DE30DA">
      <w:pPr>
        <w:pStyle w:val="BodyText"/>
        <w:numPr>
          <w:ilvl w:val="2"/>
          <w:numId w:val="13"/>
        </w:numPr>
        <w:tabs>
          <w:tab w:val="left" w:pos="403"/>
        </w:tabs>
        <w:ind w:left="0" w:firstLine="0"/>
        <w:jc w:val="both"/>
        <w:rPr>
          <w:rFonts w:ascii="Times New Roman" w:hAnsi="Times New Roman"/>
          <w:noProof/>
        </w:rPr>
      </w:pPr>
      <w:r>
        <w:rPr>
          <w:rFonts w:ascii="Times New Roman" w:hAnsi="Times New Roman"/>
        </w:rPr>
        <w:t>Norādījumu dokuments Nr. 10 – iekārtu apvienošana un sašķelšana</w:t>
      </w:r>
    </w:p>
    <w:p w:rsidR="00335CDF" w:rsidRPr="001E6CF9" w:rsidRDefault="00335CDF" w:rsidP="008A3D27">
      <w:pPr>
        <w:pStyle w:val="BodyText"/>
        <w:ind w:left="426"/>
        <w:jc w:val="both"/>
        <w:rPr>
          <w:rFonts w:ascii="Times New Roman" w:hAnsi="Times New Roman"/>
          <w:noProof/>
        </w:rPr>
      </w:pPr>
      <w:r>
        <w:rPr>
          <w:rFonts w:ascii="Times New Roman" w:hAnsi="Times New Roman"/>
        </w:rPr>
        <w:t>Šajā dokumentā izskaidrots tas, kā kvotu piešķiršanu var ietekmēt iekārtu apvienošana un/vai sašķelšana.</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Šis dokumentu saraksts ir paredzēts kā citu Eiropas Komisijas izdoto norādījumu dokumentu papildinājums; tie attiecas uz ES ETS 3. periodu un – kad nepieciešams – ir atjaunināti 4. periodam; proti, tie ir šādi:</w:t>
      </w:r>
    </w:p>
    <w:p w:rsidR="008A3D27" w:rsidRPr="001E6CF9" w:rsidRDefault="008A3D27" w:rsidP="00DE30DA">
      <w:pPr>
        <w:pStyle w:val="BodyText"/>
        <w:ind w:left="0"/>
        <w:jc w:val="both"/>
        <w:rPr>
          <w:rFonts w:ascii="Times New Roman" w:hAnsi="Times New Roman"/>
          <w:noProof/>
        </w:rPr>
      </w:pPr>
    </w:p>
    <w:p w:rsidR="00335CDF" w:rsidRPr="001E6CF9" w:rsidRDefault="00335CDF" w:rsidP="003121BE">
      <w:pPr>
        <w:pStyle w:val="BodyText"/>
        <w:numPr>
          <w:ilvl w:val="2"/>
          <w:numId w:val="13"/>
        </w:numPr>
        <w:tabs>
          <w:tab w:val="left" w:pos="403"/>
        </w:tabs>
        <w:ind w:left="426" w:hanging="426"/>
        <w:jc w:val="both"/>
        <w:rPr>
          <w:rFonts w:ascii="Times New Roman" w:hAnsi="Times New Roman"/>
          <w:noProof/>
        </w:rPr>
      </w:pPr>
      <w:r>
        <w:rPr>
          <w:rFonts w:ascii="Times New Roman" w:hAnsi="Times New Roman"/>
        </w:rPr>
        <w:t>Norādījumi ES ETS direktīvas I pielikuma interpretēšanai</w:t>
      </w:r>
      <w:r w:rsidR="003121BE">
        <w:rPr>
          <w:rStyle w:val="FootnoteReference"/>
          <w:rFonts w:ascii="Times New Roman" w:hAnsi="Times New Roman" w:cs="Calibri"/>
          <w:noProof/>
        </w:rPr>
        <w:footnoteReference w:id="3"/>
      </w:r>
      <w:r>
        <w:rPr>
          <w:rFonts w:ascii="Times New Roman" w:hAnsi="Times New Roman"/>
        </w:rPr>
        <w:t xml:space="preserve"> (izņemot aviācijas darbības); šajā dokumentā sniegti norādījumi par to, kā interpretējams šīs direktīvas I pielikums, kas, sākot ar 2013. gadu, attiecas uz ES ETS darbības jomu;</w:t>
      </w:r>
    </w:p>
    <w:p w:rsidR="00335CDF" w:rsidRPr="001E6CF9" w:rsidRDefault="00335CDF" w:rsidP="003121BE">
      <w:pPr>
        <w:pStyle w:val="BodyText"/>
        <w:numPr>
          <w:ilvl w:val="2"/>
          <w:numId w:val="13"/>
        </w:numPr>
        <w:tabs>
          <w:tab w:val="left" w:pos="403"/>
        </w:tabs>
        <w:ind w:left="426" w:hanging="426"/>
        <w:jc w:val="both"/>
        <w:rPr>
          <w:rFonts w:ascii="Times New Roman" w:hAnsi="Times New Roman"/>
          <w:noProof/>
        </w:rPr>
      </w:pPr>
      <w:r>
        <w:rPr>
          <w:rFonts w:ascii="Times New Roman" w:hAnsi="Times New Roman"/>
        </w:rPr>
        <w:t>Vadlīnijas elektroenerģijas ražošanas iekārtu identificēšanai</w:t>
      </w:r>
      <w:r w:rsidR="003121BE">
        <w:rPr>
          <w:rStyle w:val="FootnoteReference"/>
          <w:rFonts w:ascii="Times New Roman" w:hAnsi="Times New Roman" w:cs="Calibri"/>
          <w:noProof/>
        </w:rPr>
        <w:footnoteReference w:id="4"/>
      </w:r>
      <w:r>
        <w:rPr>
          <w:rFonts w:ascii="Times New Roman" w:hAnsi="Times New Roman"/>
        </w:rPr>
        <w:t>.</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Turklāt Komisija ir nodrošinājusi plašu vadlīniju materiālu paketi saistībā ar monitoringu, ziņošanu, verifikāciju un akreditāciju (</w:t>
      </w:r>
      <w:r>
        <w:rPr>
          <w:rFonts w:ascii="Times New Roman" w:hAnsi="Times New Roman"/>
          <w:i/>
        </w:rPr>
        <w:t>MRVA</w:t>
      </w:r>
      <w:r>
        <w:rPr>
          <w:rFonts w:ascii="Times New Roman" w:hAnsi="Times New Roman"/>
        </w:rPr>
        <w:t>) ES ETS ietvaros</w:t>
      </w:r>
      <w:r w:rsidR="003121BE">
        <w:rPr>
          <w:rStyle w:val="FootnoteReference"/>
          <w:rFonts w:ascii="Times New Roman" w:hAnsi="Times New Roman" w:cs="Calibri"/>
          <w:noProof/>
        </w:rPr>
        <w:footnoteReference w:id="5"/>
      </w:r>
      <w:r>
        <w:rPr>
          <w:rFonts w:ascii="Times New Roman" w:hAnsi="Times New Roman"/>
        </w:rPr>
        <w:t xml:space="preserve">. Tiek pieņemts, ka šā </w:t>
      </w:r>
      <w:r>
        <w:rPr>
          <w:rFonts w:ascii="Times New Roman" w:hAnsi="Times New Roman"/>
        </w:rPr>
        <w:lastRenderedPageBreak/>
        <w:t xml:space="preserve">dokumenta lietotājs pārzina vismaz </w:t>
      </w:r>
      <w:r>
        <w:rPr>
          <w:rFonts w:ascii="Times New Roman" w:hAnsi="Times New Roman"/>
          <w:i/>
        </w:rPr>
        <w:t xml:space="preserve">MRVA </w:t>
      </w:r>
      <w:r>
        <w:rPr>
          <w:rFonts w:ascii="Times New Roman" w:hAnsi="Times New Roman"/>
        </w:rPr>
        <w:t>pamatprincipus.</w:t>
      </w:r>
    </w:p>
    <w:p w:rsidR="00335CDF" w:rsidRPr="001E6CF9" w:rsidRDefault="00335CDF" w:rsidP="00DE30DA">
      <w:pPr>
        <w:jc w:val="both"/>
        <w:rPr>
          <w:rFonts w:ascii="Times New Roman" w:hAnsi="Times New Roman"/>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Turpmākajā attēlā parādīta saistība starp dažādajiem norādījumu dokumentiem un norādīts tas, kur var atrast konkrēto informāciju. Visu norādījumu dokumentu kopumu var atrast Komisijas tīmekļa vietnē</w:t>
      </w:r>
      <w:r w:rsidR="003121BE">
        <w:rPr>
          <w:rStyle w:val="FootnoteReference"/>
          <w:rFonts w:ascii="Times New Roman" w:hAnsi="Times New Roman" w:cs="Calibri"/>
          <w:noProof/>
        </w:rPr>
        <w:footnoteReference w:id="6"/>
      </w:r>
      <w:r>
        <w:rPr>
          <w:rFonts w:ascii="Times New Roman" w:hAnsi="Times New Roman"/>
        </w:rPr>
        <w:t>.</w:t>
      </w:r>
    </w:p>
    <w:p w:rsidR="00335CDF" w:rsidRPr="001E6CF9" w:rsidRDefault="00335CDF" w:rsidP="00DE30DA">
      <w:pPr>
        <w:jc w:val="both"/>
        <w:rPr>
          <w:rFonts w:ascii="Times New Roman" w:eastAsia="Calibri" w:hAnsi="Times New Roman" w:cs="Calibri"/>
          <w:noProof/>
          <w:sz w:val="24"/>
          <w:szCs w:val="20"/>
        </w:rPr>
      </w:pPr>
    </w:p>
    <w:p w:rsidR="008C68EA" w:rsidRPr="001E6CF9" w:rsidRDefault="00EA1F0C" w:rsidP="003121BE">
      <w:pPr>
        <w:jc w:val="center"/>
        <w:rPr>
          <w:rFonts w:ascii="Times New Roman" w:eastAsia="Calibri" w:hAnsi="Times New Roman" w:cs="Calibri"/>
          <w:noProof/>
          <w:sz w:val="24"/>
          <w:szCs w:val="6"/>
        </w:rPr>
      </w:pPr>
      <w:r>
        <w:rPr>
          <w:rFonts w:ascii="Times New Roman" w:eastAsia="Calibri" w:hAnsi="Times New Roman" w:cs="Calibri"/>
          <w:noProof/>
          <w:sz w:val="24"/>
          <w:szCs w:val="6"/>
        </w:rPr>
        <w:drawing>
          <wp:inline distT="0" distB="0" distL="0" distR="0">
            <wp:extent cx="5397335" cy="7196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801" cy="7205068"/>
                    </a:xfrm>
                    <a:prstGeom prst="rect">
                      <a:avLst/>
                    </a:prstGeom>
                    <a:noFill/>
                    <a:ln>
                      <a:noFill/>
                    </a:ln>
                  </pic:spPr>
                </pic:pic>
              </a:graphicData>
            </a:graphic>
          </wp:inline>
        </w:drawing>
      </w:r>
    </w:p>
    <w:p w:rsidR="00335CDF" w:rsidRPr="001E6CF9" w:rsidRDefault="00335CDF" w:rsidP="00DE30DA">
      <w:pPr>
        <w:jc w:val="both"/>
        <w:rPr>
          <w:rFonts w:ascii="Times New Roman" w:eastAsia="Calibri" w:hAnsi="Times New Roman" w:cs="Calibri"/>
          <w:noProof/>
          <w:sz w:val="24"/>
          <w:szCs w:val="20"/>
        </w:rPr>
      </w:pPr>
    </w:p>
    <w:p w:rsidR="00335CDF" w:rsidRPr="001E6CF9" w:rsidRDefault="00335CDF" w:rsidP="00DE30DA">
      <w:pPr>
        <w:jc w:val="both"/>
        <w:rPr>
          <w:rFonts w:ascii="Times New Roman" w:hAnsi="Times New Roman"/>
          <w:noProof/>
          <w:sz w:val="24"/>
        </w:rPr>
      </w:pPr>
      <w:r>
        <w:rPr>
          <w:rFonts w:ascii="Times New Roman" w:hAnsi="Times New Roman"/>
          <w:b/>
          <w:sz w:val="24"/>
        </w:rPr>
        <w:t>1. attēls.</w:t>
      </w:r>
      <w:r>
        <w:rPr>
          <w:rFonts w:ascii="Times New Roman" w:hAnsi="Times New Roman"/>
          <w:sz w:val="24"/>
        </w:rPr>
        <w:t xml:space="preserve"> Norādījumu dokumentu pakete: informācija par saistību starp atsevišķiem </w:t>
      </w:r>
      <w:r>
        <w:rPr>
          <w:rFonts w:ascii="Times New Roman" w:hAnsi="Times New Roman"/>
          <w:sz w:val="24"/>
        </w:rPr>
        <w:lastRenderedPageBreak/>
        <w:t xml:space="preserve">norādījumu dokumentiem un par to, kur atrodama konkrētā informācija. Jāatzīmē, ka iepriekš ievietotajā attēlā nav norādīts laika grafiks, bet gan tas, vai </w:t>
      </w:r>
      <w:r>
        <w:rPr>
          <w:rFonts w:ascii="Times New Roman" w:hAnsi="Times New Roman"/>
          <w:i/>
          <w:sz w:val="24"/>
        </w:rPr>
        <w:t>GD</w:t>
      </w:r>
      <w:r>
        <w:rPr>
          <w:rFonts w:ascii="Times New Roman" w:hAnsi="Times New Roman"/>
          <w:sz w:val="24"/>
        </w:rPr>
        <w:t xml:space="preserve"> tēma ir vispārēja (attiecas uz visiem lasītājiem) vai paredzēta specifiskām auditorijām (kas veic konkrētus uzdevumus, atrodas noteiktās situācijās vai risina specifiskus jautājumus).</w:t>
      </w:r>
    </w:p>
    <w:p w:rsidR="008C68EA" w:rsidRPr="001E6CF9" w:rsidRDefault="008C68EA" w:rsidP="00DE30DA">
      <w:pPr>
        <w:pStyle w:val="Heading2"/>
        <w:tabs>
          <w:tab w:val="left" w:pos="695"/>
        </w:tabs>
        <w:ind w:left="0" w:firstLine="0"/>
        <w:jc w:val="both"/>
        <w:rPr>
          <w:rFonts w:ascii="Times New Roman" w:hAnsi="Times New Roman"/>
          <w:noProof/>
          <w:sz w:val="24"/>
        </w:rPr>
      </w:pPr>
    </w:p>
    <w:p w:rsidR="00335CDF" w:rsidRPr="001E6CF9" w:rsidRDefault="00C559FF" w:rsidP="00DE30DA">
      <w:pPr>
        <w:pStyle w:val="Heading2"/>
        <w:tabs>
          <w:tab w:val="left" w:pos="695"/>
        </w:tabs>
        <w:ind w:left="0" w:firstLine="0"/>
        <w:jc w:val="both"/>
        <w:rPr>
          <w:rFonts w:ascii="Times New Roman" w:hAnsi="Times New Roman"/>
          <w:noProof/>
          <w:sz w:val="24"/>
        </w:rPr>
      </w:pPr>
      <w:bookmarkStart w:id="6" w:name="_Toc31010880"/>
      <w:r>
        <w:rPr>
          <w:rFonts w:ascii="Times New Roman" w:hAnsi="Times New Roman"/>
          <w:sz w:val="24"/>
        </w:rPr>
        <w:t>1.3. Norādījumu dokumentu izmantošana</w:t>
      </w:r>
      <w:bookmarkStart w:id="7" w:name="_bookmark3"/>
      <w:bookmarkEnd w:id="7"/>
      <w:bookmarkEnd w:id="6"/>
    </w:p>
    <w:p w:rsidR="00C559FF" w:rsidRDefault="00C559FF" w:rsidP="00DE30DA">
      <w:pPr>
        <w:pStyle w:val="BodyText"/>
        <w:ind w:left="0"/>
        <w:jc w:val="both"/>
        <w:rPr>
          <w:rFonts w:ascii="Times New Roman" w:hAnsi="Times New Roman"/>
          <w:noProof/>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Šajos norādījumu dokumentos sniegti norādījumi par jaunās kvotu piešķiršanas metodoloģijas ieviešanu ES ETS 4. periodam, sākot no 2021. gada; dalībvalstis var izmantot šos norādījumus, veicot datu vākšanu saskaņā ar </w:t>
      </w:r>
      <w:r>
        <w:rPr>
          <w:rFonts w:ascii="Times New Roman" w:hAnsi="Times New Roman"/>
          <w:i/>
        </w:rPr>
        <w:t>FAR</w:t>
      </w:r>
      <w:r>
        <w:rPr>
          <w:rFonts w:ascii="Times New Roman" w:hAnsi="Times New Roman"/>
        </w:rPr>
        <w:t xml:space="preserve"> 14. pantu, lai izveidotu pilnīgu iekārtu sarakstu, kā arī aprēķinātu bez maksas piešķiramo kvotu apjomu, kas jānosaka, lai saskaņā ar Direktīvas 2003/87/EK 11. panta 1. punktu varētu veikt valsts īstenošanas pasākumus (</w:t>
      </w:r>
      <w:r>
        <w:rPr>
          <w:rFonts w:ascii="Times New Roman" w:hAnsi="Times New Roman"/>
          <w:i/>
        </w:rPr>
        <w:t>NIM</w:t>
      </w:r>
      <w:r>
        <w:rPr>
          <w:rFonts w:ascii="Times New Roman" w:hAnsi="Times New Roman"/>
        </w:rPr>
        <w:t>).</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Jāatzīmē, ka šis dokuments attiecas tikai uz pagaidu saskaņoto bezmaksas kvotu piešķiršanu nozarei saskaņā ar ES ETS direktīvas 10.a pantu. Jebkāda kvotu piešķiršana saskaņā ar 10.c pantu (“Iespēja piešķirt pagaidu bezmaksas kvotas enerģētikas nozares modernizācijai”) neattiecas uz šā dokumenta darbības jomu.</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Šajā dokumentā atsauces uz pantiem galvenokārt attiecas uz pārskatīto ES ETS direktīvu un </w:t>
      </w:r>
      <w:r>
        <w:rPr>
          <w:rFonts w:ascii="Times New Roman" w:hAnsi="Times New Roman"/>
          <w:i/>
        </w:rPr>
        <w:t>FAR</w:t>
      </w:r>
      <w:r>
        <w:rPr>
          <w:rFonts w:ascii="Times New Roman" w:hAnsi="Times New Roman"/>
        </w:rPr>
        <w:t>.</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Šā norādījumu dokumenta pašreizējās versijas un tā 2011. gada versijas satura salīdzinājums ir ietverts D pielikumā.</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jc w:val="both"/>
        <w:rPr>
          <w:rFonts w:ascii="Times New Roman" w:hAnsi="Times New Roman"/>
          <w:b/>
          <w:noProof/>
          <w:sz w:val="24"/>
        </w:rPr>
      </w:pPr>
      <w:r>
        <w:rPr>
          <w:rFonts w:ascii="Times New Roman" w:hAnsi="Times New Roman"/>
          <w:b/>
          <w:sz w:val="24"/>
        </w:rPr>
        <w:t>Piezīme par neatrisinātiem jautājumiem šajā norādījumu dokumenta versijā</w:t>
      </w:r>
    </w:p>
    <w:p w:rsidR="00335CDF" w:rsidRPr="001E6CF9" w:rsidRDefault="00335CDF" w:rsidP="00DE30DA">
      <w:pPr>
        <w:pStyle w:val="BodyText"/>
        <w:ind w:left="0"/>
        <w:jc w:val="both"/>
        <w:rPr>
          <w:rFonts w:ascii="Times New Roman" w:hAnsi="Times New Roman"/>
          <w:noProof/>
        </w:rPr>
      </w:pPr>
      <w:r>
        <w:rPr>
          <w:rFonts w:ascii="Times New Roman" w:hAnsi="Times New Roman"/>
        </w:rPr>
        <w:t>Tā kā lēmumu pieņemšanas par kvotu piešķiršanas metodoloģiju process vēl nav pabeigts, daži šā norādījumu dokumenta elementi līdz šim nav definēti. Tie galvenokārt ir jautājumi, kuri saistīti ar īstenošanas aktu, kas vēl ir jāpieņem, attiecībā uz detalizētiem noteikumiem par piešķiramo bezmaksas kvotu apjomu izmaiņām, līmeņatzīmju vērtību atjaunināšanu un jauno oglekļa emisiju pārvirzes sarakstu. Turklāt tas arī var attiekties uz atsaucēm uz vēl neieviestajiem tiesību aktiem vai pievienotajiem norādījumu dokumentiem, kas vēl ir jāsagatavo vai jāpabeidz izstrādāt.</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C559FF" w:rsidP="00C559FF">
      <w:pPr>
        <w:pStyle w:val="Heading2"/>
        <w:tabs>
          <w:tab w:val="left" w:pos="695"/>
        </w:tabs>
        <w:ind w:left="0" w:firstLine="0"/>
        <w:jc w:val="both"/>
        <w:rPr>
          <w:rFonts w:ascii="Times New Roman" w:hAnsi="Times New Roman"/>
          <w:noProof/>
          <w:sz w:val="24"/>
        </w:rPr>
      </w:pPr>
      <w:bookmarkStart w:id="8" w:name="_Toc31010881"/>
      <w:r>
        <w:rPr>
          <w:rFonts w:ascii="Times New Roman" w:hAnsi="Times New Roman"/>
          <w:sz w:val="24"/>
        </w:rPr>
        <w:t>1.4. Papildu norādījumi</w:t>
      </w:r>
      <w:bookmarkStart w:id="9" w:name="_bookmark4"/>
      <w:bookmarkEnd w:id="9"/>
      <w:bookmarkEnd w:id="8"/>
    </w:p>
    <w:p w:rsidR="00C559FF" w:rsidRDefault="00C559FF" w:rsidP="00DE30DA">
      <w:pPr>
        <w:pStyle w:val="BodyText"/>
        <w:ind w:left="0"/>
        <w:jc w:val="both"/>
        <w:rPr>
          <w:rFonts w:ascii="Times New Roman" w:hAnsi="Times New Roman"/>
          <w:noProof/>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Līdztekus norādījumu dokumentiem dalībvalstu iestādēm Komisijas tīmekļa vietnē tiek nodrošināts arī papildu atbalsts, ietverot norādījumu dokumentu sarakstu, bieži uzdotos jautājumus (</w:t>
      </w:r>
      <w:r>
        <w:rPr>
          <w:rFonts w:ascii="Times New Roman" w:hAnsi="Times New Roman"/>
          <w:i/>
        </w:rPr>
        <w:t>FAQ</w:t>
      </w:r>
      <w:r>
        <w:rPr>
          <w:rFonts w:ascii="Times New Roman" w:hAnsi="Times New Roman"/>
        </w:rPr>
        <w:t>) un noderīgas atsauces: https://ec.europa.eu/clima/policies/ets/allowances_en#tab-0-0.</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C559FF" w:rsidP="00C559FF">
      <w:pPr>
        <w:pStyle w:val="Heading2"/>
        <w:tabs>
          <w:tab w:val="left" w:pos="695"/>
        </w:tabs>
        <w:ind w:left="0" w:firstLine="0"/>
        <w:jc w:val="both"/>
        <w:rPr>
          <w:rFonts w:ascii="Times New Roman" w:hAnsi="Times New Roman"/>
          <w:noProof/>
          <w:sz w:val="24"/>
        </w:rPr>
      </w:pPr>
      <w:bookmarkStart w:id="10" w:name="_Toc31010882"/>
      <w:r>
        <w:rPr>
          <w:rFonts w:ascii="Times New Roman" w:hAnsi="Times New Roman"/>
          <w:sz w:val="24"/>
        </w:rPr>
        <w:t>1.5. Šā norādījumu dokumenta darbības joma</w:t>
      </w:r>
      <w:bookmarkStart w:id="11" w:name="_bookmark5"/>
      <w:bookmarkEnd w:id="11"/>
      <w:bookmarkEnd w:id="10"/>
    </w:p>
    <w:p w:rsidR="00C559FF" w:rsidRDefault="00C559FF" w:rsidP="00DE30DA">
      <w:pPr>
        <w:pStyle w:val="BodyText"/>
        <w:ind w:left="0"/>
        <w:jc w:val="both"/>
        <w:rPr>
          <w:rFonts w:ascii="Times New Roman" w:hAnsi="Times New Roman"/>
          <w:noProof/>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Šajā norādījumu dokumentā izskaidroti 4. periodam paredzētās emisijas kvotu piešķiršanas metodoloģijas galvenie principi un procesi, nepievēršoties konkrētiem kvotu piešķiršanas jautājumiem. Tajā sniegts īss </w:t>
      </w:r>
      <w:r>
        <w:rPr>
          <w:rFonts w:ascii="Times New Roman" w:hAnsi="Times New Roman"/>
          <w:i/>
        </w:rPr>
        <w:t>NIM</w:t>
      </w:r>
      <w:r>
        <w:rPr>
          <w:rFonts w:ascii="Times New Roman" w:hAnsi="Times New Roman"/>
        </w:rPr>
        <w:t xml:space="preserve"> izstrādes procesa pārskats un aprakstītas kvotu piešķiršanas metodoloģijas galvenās iezīmes.</w:t>
      </w:r>
    </w:p>
    <w:p w:rsidR="00C559FF" w:rsidRDefault="00C559FF">
      <w:pPr>
        <w:rPr>
          <w:rFonts w:ascii="Times New Roman" w:eastAsia="Calibri" w:hAnsi="Times New Roman"/>
          <w:b/>
          <w:bCs/>
          <w:noProof/>
          <w:sz w:val="24"/>
          <w:szCs w:val="32"/>
        </w:rPr>
      </w:pPr>
      <w:r>
        <w:br w:type="page"/>
      </w:r>
    </w:p>
    <w:p w:rsidR="008C68EA" w:rsidRPr="001E6CF9" w:rsidRDefault="008C68EA" w:rsidP="00DE30DA">
      <w:pPr>
        <w:pStyle w:val="Heading1"/>
        <w:tabs>
          <w:tab w:val="left" w:pos="403"/>
        </w:tabs>
        <w:spacing w:before="0"/>
        <w:ind w:left="0" w:firstLine="0"/>
        <w:jc w:val="both"/>
        <w:rPr>
          <w:rFonts w:ascii="Times New Roman" w:hAnsi="Times New Roman"/>
          <w:noProof/>
          <w:sz w:val="24"/>
        </w:rPr>
      </w:pPr>
    </w:p>
    <w:p w:rsidR="00335CDF" w:rsidRPr="001E6CF9" w:rsidRDefault="00C559FF" w:rsidP="00C559FF">
      <w:pPr>
        <w:pStyle w:val="Heading1"/>
        <w:tabs>
          <w:tab w:val="left" w:pos="403"/>
        </w:tabs>
        <w:spacing w:before="0"/>
        <w:ind w:left="0" w:firstLine="0"/>
        <w:jc w:val="both"/>
        <w:rPr>
          <w:rFonts w:ascii="Times New Roman" w:hAnsi="Times New Roman"/>
          <w:noProof/>
          <w:sz w:val="24"/>
        </w:rPr>
      </w:pPr>
      <w:bookmarkStart w:id="12" w:name="_Toc31010883"/>
      <w:r>
        <w:rPr>
          <w:rFonts w:ascii="Times New Roman" w:hAnsi="Times New Roman"/>
          <w:sz w:val="24"/>
        </w:rPr>
        <w:t>2. Jauni elementi kvotu piešķiršanas metodoloģijā 4. periodam</w:t>
      </w:r>
      <w:bookmarkStart w:id="13" w:name="_bookmark6"/>
      <w:bookmarkEnd w:id="13"/>
      <w:bookmarkEnd w:id="12"/>
    </w:p>
    <w:p w:rsidR="00335CDF" w:rsidRPr="001E6CF9" w:rsidRDefault="00335CDF" w:rsidP="00DE30DA">
      <w:pPr>
        <w:jc w:val="both"/>
        <w:rPr>
          <w:rFonts w:ascii="Times New Roman" w:eastAsia="Calibri" w:hAnsi="Times New Roman" w:cs="Calibri"/>
          <w:b/>
          <w:bCs/>
          <w:noProof/>
          <w:sz w:val="24"/>
          <w:szCs w:val="28"/>
        </w:rPr>
      </w:pPr>
    </w:p>
    <w:p w:rsidR="00335CDF" w:rsidRPr="001E6CF9" w:rsidRDefault="00335CDF" w:rsidP="00DE30DA">
      <w:pPr>
        <w:jc w:val="both"/>
        <w:rPr>
          <w:rFonts w:ascii="Times New Roman" w:hAnsi="Times New Roman"/>
          <w:i/>
          <w:noProof/>
          <w:sz w:val="24"/>
        </w:rPr>
      </w:pPr>
      <w:r>
        <w:rPr>
          <w:rFonts w:ascii="Times New Roman" w:hAnsi="Times New Roman"/>
          <w:i/>
          <w:sz w:val="24"/>
        </w:rPr>
        <w:t>Pirms tiek sīki aplūkota jaunā kvotu piešķiršanas metodoloģija, tiek sniegta vispārēja informācija, lai varētu izprast, kā jaunā kvotu piešķiršanas metodoloģija 4. periodā atšķiras no kvotu piešķiršanas metodoloģijas, kas izmantota iepriekšējā periodā.</w:t>
      </w:r>
    </w:p>
    <w:p w:rsidR="00335CDF" w:rsidRPr="001E6CF9" w:rsidRDefault="00335CDF" w:rsidP="00DE30DA">
      <w:pPr>
        <w:jc w:val="both"/>
        <w:rPr>
          <w:rFonts w:ascii="Times New Roman" w:eastAsia="Calibri" w:hAnsi="Times New Roman" w:cs="Calibri"/>
          <w: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Pēdējie ES ETS direktīvas grozījumi tika publicēti 2018. gada 19. martā</w:t>
      </w:r>
      <w:r w:rsidR="00C559FF">
        <w:rPr>
          <w:rStyle w:val="FootnoteReference"/>
          <w:rFonts w:ascii="Times New Roman" w:hAnsi="Times New Roman" w:cs="Calibri"/>
          <w:noProof/>
        </w:rPr>
        <w:footnoteReference w:id="7"/>
      </w:r>
      <w:r>
        <w:rPr>
          <w:rFonts w:ascii="Times New Roman" w:hAnsi="Times New Roman"/>
        </w:rPr>
        <w:t>. Kopš 3. perioda ES ETS balstās uz Savienības mēroga saskaņotās emisijas kvotu piešķiršanas metodi, kurā “izsolei ir jābūt kvotu piešķiršanas pamatprincipam, jo tā ir visvienkāršākā sistēma un parasti tiek uzskatīta par ekonomiski visefektīvāko sistēmu”</w:t>
      </w:r>
      <w:r w:rsidR="00C559FF">
        <w:rPr>
          <w:rStyle w:val="FootnoteReference"/>
          <w:rFonts w:ascii="Times New Roman" w:hAnsi="Times New Roman" w:cs="Calibri"/>
          <w:noProof/>
        </w:rPr>
        <w:footnoteReference w:id="8"/>
      </w:r>
      <w:r>
        <w:rPr>
          <w:rFonts w:ascii="Times New Roman" w:hAnsi="Times New Roman"/>
        </w:rPr>
        <w:t>. 2018. gada pārskatītajā redakcijā ir atkārtoti uzsvērts, ka “kvotu izsolīšana vēl aizvien ir virsprincips, bezmaksas kvotu piešķiršana ir tikai izņēmums” (8. apsvērums). Saskaņā ar pārskatīto direktīvu nekādas kvotas bez maksas nepiešķir attiecībā uz elektroenerģijas ražošanu, izņemot elektroenerģiju, kas tiek ražota no atlikumgāzēm</w:t>
      </w:r>
      <w:r w:rsidR="00C559FF">
        <w:rPr>
          <w:rStyle w:val="FootnoteReference"/>
          <w:rFonts w:ascii="Times New Roman" w:hAnsi="Times New Roman" w:cs="Calibri"/>
          <w:noProof/>
        </w:rPr>
        <w:footnoteReference w:id="9"/>
      </w:r>
      <w:r>
        <w:rPr>
          <w:rFonts w:ascii="Times New Roman" w:hAnsi="Times New Roman"/>
        </w:rPr>
        <w:t>. Tāpat nekādas kvotas bez maksas nepiešķir iekārtām oglekļa dioksīda uztveršanai un cauruļvadiem tā transportēšanai vai oglekļa dioksīda uzglabāšanas vietām.</w:t>
      </w:r>
    </w:p>
    <w:p w:rsidR="00335CDF" w:rsidRPr="001E6CF9" w:rsidRDefault="00335CDF" w:rsidP="00DE30DA">
      <w:pPr>
        <w:jc w:val="both"/>
        <w:rPr>
          <w:rFonts w:ascii="Times New Roman" w:hAnsi="Times New Roman"/>
          <w:noProof/>
          <w:sz w:val="24"/>
        </w:rPr>
      </w:pPr>
    </w:p>
    <w:p w:rsidR="00335CDF" w:rsidRDefault="00335CDF" w:rsidP="00DE30DA">
      <w:pPr>
        <w:pStyle w:val="BodyText"/>
        <w:ind w:left="0"/>
        <w:jc w:val="both"/>
        <w:rPr>
          <w:rFonts w:ascii="Times New Roman" w:hAnsi="Times New Roman"/>
          <w:noProof/>
        </w:rPr>
      </w:pPr>
      <w:r>
        <w:rPr>
          <w:rFonts w:ascii="Times New Roman" w:hAnsi="Times New Roman"/>
        </w:rPr>
        <w:t xml:space="preserve">Attiecībā uz citām emisijām pagaidu bezmaksas kvotu piešķiršana, kas balstās uz Savienības mēroga </w:t>
      </w:r>
      <w:r>
        <w:rPr>
          <w:rFonts w:ascii="Times New Roman" w:hAnsi="Times New Roman"/>
          <w:i/>
        </w:rPr>
        <w:t>ex-ante</w:t>
      </w:r>
      <w:r>
        <w:rPr>
          <w:rFonts w:ascii="Times New Roman" w:hAnsi="Times New Roman"/>
        </w:rPr>
        <w:t xml:space="preserve"> līmeņatzīmēm, tiek izmantota un joprojām tiks izmantota 4. periodā. Tas nozīme turpmāk minēto.</w:t>
      </w:r>
    </w:p>
    <w:p w:rsidR="00C559FF" w:rsidRPr="001E6CF9" w:rsidRDefault="00C559FF" w:rsidP="00DE30DA">
      <w:pPr>
        <w:pStyle w:val="BodyText"/>
        <w:ind w:left="0"/>
        <w:jc w:val="both"/>
        <w:rPr>
          <w:rFonts w:ascii="Times New Roman" w:hAnsi="Times New Roman"/>
          <w:noProof/>
        </w:rPr>
      </w:pPr>
    </w:p>
    <w:p w:rsidR="00335CDF" w:rsidRPr="001E6CF9" w:rsidRDefault="00335CDF" w:rsidP="00C559FF">
      <w:pPr>
        <w:pStyle w:val="BodyText"/>
        <w:numPr>
          <w:ilvl w:val="2"/>
          <w:numId w:val="13"/>
        </w:numPr>
        <w:tabs>
          <w:tab w:val="left" w:pos="403"/>
        </w:tabs>
        <w:ind w:left="426" w:hanging="426"/>
        <w:jc w:val="both"/>
        <w:rPr>
          <w:rFonts w:ascii="Times New Roman" w:hAnsi="Times New Roman"/>
          <w:noProof/>
        </w:rPr>
      </w:pPr>
      <w:r>
        <w:rPr>
          <w:rFonts w:ascii="Times New Roman" w:hAnsi="Times New Roman"/>
        </w:rPr>
        <w:t xml:space="preserve">Produktiem ar produkta līmeņatzīmēm bez maksas piešķiramo kvotu apjoms balstās uz īpatnējo emisiju </w:t>
      </w:r>
      <w:r>
        <w:rPr>
          <w:rFonts w:ascii="Times New Roman" w:hAnsi="Times New Roman"/>
          <w:i/>
        </w:rPr>
        <w:t>produkta līmenī</w:t>
      </w:r>
      <w:r>
        <w:rPr>
          <w:rFonts w:ascii="Times New Roman" w:hAnsi="Times New Roman"/>
        </w:rPr>
        <w:t>, turpretim darbībām bez produkta līmeņatzīmēm pastāv tā saucamās rezerves pieejas bez maksas piešķiramo kvotu noteikšanai (sīkākus paskaidrojumus sk. 5. iedaļā).</w:t>
      </w:r>
    </w:p>
    <w:p w:rsidR="00335CDF" w:rsidRPr="001E6CF9" w:rsidRDefault="00335CDF" w:rsidP="00C559FF">
      <w:pPr>
        <w:pStyle w:val="BodyText"/>
        <w:numPr>
          <w:ilvl w:val="2"/>
          <w:numId w:val="13"/>
        </w:numPr>
        <w:tabs>
          <w:tab w:val="left" w:pos="403"/>
        </w:tabs>
        <w:ind w:left="426" w:hanging="426"/>
        <w:jc w:val="both"/>
        <w:rPr>
          <w:rFonts w:ascii="Times New Roman" w:hAnsi="Times New Roman"/>
          <w:noProof/>
        </w:rPr>
      </w:pPr>
      <w:r>
        <w:rPr>
          <w:rFonts w:ascii="Times New Roman" w:hAnsi="Times New Roman"/>
        </w:rPr>
        <w:t>“Pagaidu piešķiršana” nozīmē to, ka bez maksas piešķiramo kvotu apjoms sākotnēji ir 30 % no daudzuma, kas noteikts, izmantojot Savienības mēroga noteikumus saskaņotai bezmaksas emisijas kvotu piešķiršanai un kas, sākot no 2026. gada, samazinās, līdz sasniedz 0 % (un tādējādi nav bez maksas piešķiramo kvotu)</w:t>
      </w:r>
      <w:r w:rsidR="00C559FF">
        <w:rPr>
          <w:rStyle w:val="FootnoteReference"/>
          <w:rFonts w:ascii="Times New Roman" w:hAnsi="Times New Roman"/>
          <w:noProof/>
        </w:rPr>
        <w:footnoteReference w:id="10"/>
      </w:r>
      <w:r>
        <w:rPr>
          <w:rFonts w:ascii="Times New Roman" w:hAnsi="Times New Roman"/>
        </w:rPr>
        <w:t>.</w:t>
      </w:r>
    </w:p>
    <w:p w:rsidR="00335CDF" w:rsidRPr="001E6CF9" w:rsidRDefault="00335CDF" w:rsidP="00C559FF">
      <w:pPr>
        <w:pStyle w:val="BodyText"/>
        <w:numPr>
          <w:ilvl w:val="2"/>
          <w:numId w:val="13"/>
        </w:numPr>
        <w:tabs>
          <w:tab w:val="left" w:pos="403"/>
        </w:tabs>
        <w:ind w:left="426" w:hanging="426"/>
        <w:jc w:val="both"/>
        <w:rPr>
          <w:rFonts w:ascii="Times New Roman" w:hAnsi="Times New Roman"/>
          <w:noProof/>
        </w:rPr>
      </w:pPr>
      <w:r>
        <w:rPr>
          <w:rFonts w:ascii="Times New Roman" w:hAnsi="Times New Roman"/>
        </w:rPr>
        <w:t>Izņēmumi ir noteikti iekārtām nozarēs, kuras tiek uzskatītas par tādām, kas ir pakļautas ievērojamam oglekļa emisiju pārvirzes riskam, t. i., “tas var izraisīt siltumnīcas efektu izraisošo gāzu emisiju pieaugumu trešās valstīs, kur rūpniecībai netiktu piemēroti līdzvērtīgi oglekļa emisiju ierobežojum”</w:t>
      </w:r>
      <w:r w:rsidR="00C559FF">
        <w:rPr>
          <w:rStyle w:val="FootnoteReference"/>
          <w:rFonts w:ascii="Times New Roman" w:hAnsi="Times New Roman" w:cs="Calibri"/>
          <w:noProof/>
        </w:rPr>
        <w:footnoteReference w:id="11"/>
      </w:r>
      <w:r>
        <w:rPr>
          <w:rFonts w:ascii="Times New Roman" w:hAnsi="Times New Roman"/>
        </w:rPr>
        <w:t>. Šīs iekārtas saņems bezmaksas kvotas 100 % apmērā no līmeņatzīmju līmeņa.</w:t>
      </w:r>
    </w:p>
    <w:p w:rsidR="00335CDF" w:rsidRPr="001E6CF9" w:rsidRDefault="00335CDF" w:rsidP="00DE30DA">
      <w:pPr>
        <w:jc w:val="both"/>
        <w:rPr>
          <w:rFonts w:ascii="Times New Roman" w:hAnsi="Times New Roman"/>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4. periodā tiek ieviestas vairākas izmaiņas ar mērķi turpināt nostiprināt ES ETS. Tas ietver izmaiņas pieejā attiecībā uz iekārtām, kurām pēc sākotnējās kvotu piešķiršanas ir veiktas nozīmīgas pārmaiņas, no tādas pieejas, kas balstās uz iekārtas jaudas izmaiņām (kas izmantota 3. periodā), uz tādu, kas balstās uz iekārtas darbības līmeņu izmaiņām. Galvenās atšķirības pieejā apkopotas turpmāk sniegtajā tabulā.</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Sākot ar 2021. gadu, kopējā emisiju maksimālā robežvērtība emisijas kvotām ik gadu samazināsies par 2,2 %, kas ir lineārais samazinājuma koeficients (LSK). Tā rezultātā 2030. gadā salīdzinājumā ar 2005. gadu emisijas būs samazinājušās par 43 % (sk. pārskatītās </w:t>
      </w:r>
      <w:r>
        <w:rPr>
          <w:rFonts w:ascii="Times New Roman" w:hAnsi="Times New Roman"/>
        </w:rPr>
        <w:lastRenderedPageBreak/>
        <w:t>direktīvas 9. pantu). Pieejamo bezmaksas kvotu būs mazāk nekā 3. periodā, jo ikgadējais samazinājuma koeficients ir augstāks un fiksēta daļa no kopējā kvotu skaita tiks izsolīta (57 % no kopskaita). Tas, ka pieejamo bezmaksas kvotu apjoms ir mazāks, tiks izmantots mērķtiecīgākā pieejā, lai izvairītos no oglekļa emisiju pārvirzes, tostarp pakāpeniski izbeidzot bezmaksas kvotu piešķiršanu pēc 2026. gada no 30 % līdz 0 % 4. perioda beigās (2030. gadā) mazāk ietekmētām nozarēm</w:t>
      </w:r>
      <w:r w:rsidR="00023AF7">
        <w:rPr>
          <w:rStyle w:val="FootnoteReference"/>
          <w:rFonts w:ascii="Times New Roman" w:hAnsi="Times New Roman" w:cs="Calibri"/>
          <w:noProof/>
        </w:rPr>
        <w:footnoteReference w:id="12"/>
      </w:r>
      <w:r>
        <w:rPr>
          <w:rFonts w:ascii="Times New Roman" w:hAnsi="Times New Roman"/>
        </w:rPr>
        <w:t>. Lai samazinātu risku, ka būs jāpiemēro koeficients, kas noteikts saskaņā ar Direktīvas 2003/87/EK 10.a panta 5. punktu (kas 3. periodā tiek saukts par starpsektoru korekcijas koeficientu (SSKK), un tam var saglabāties tas pats nosaukums), ir izveidota bezmaksas piešķiršanas rezerve, un tādējādi līdz 3 % kvotu, ko paredzēts izsolīt, tiks izmantoti maksimālā pieejamā apjoma palielināšanai pirms SSKK piemērošanas. Jāatzīmē, ka gadījumos, kad tiek izmantota frāze “piemēro SSKK”, tas nozīmē to, ka SSKK ir mazāks par 1 (vai 100 %).</w:t>
      </w:r>
      <w:bookmarkStart w:id="14" w:name="_bookmark7"/>
      <w:bookmarkEnd w:id="14"/>
    </w:p>
    <w:p w:rsidR="00335CDF" w:rsidRPr="001E6CF9" w:rsidRDefault="00335CDF" w:rsidP="00DE30DA">
      <w:pPr>
        <w:jc w:val="both"/>
        <w:rPr>
          <w:rFonts w:ascii="Times New Roman" w:hAnsi="Times New Roman"/>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Kvotu piešķiršana notiks divās kārtās – vienreiz – 2021.–2025. gada periodam – un vēlreiz – 2026.–2030. gada periodam.</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jc w:val="both"/>
        <w:rPr>
          <w:rFonts w:ascii="Times New Roman" w:hAnsi="Times New Roman"/>
          <w:b/>
          <w:noProof/>
          <w:sz w:val="24"/>
        </w:rPr>
      </w:pPr>
      <w:r>
        <w:rPr>
          <w:rFonts w:ascii="Times New Roman" w:hAnsi="Times New Roman"/>
          <w:b/>
          <w:sz w:val="24"/>
        </w:rPr>
        <w:t>1. tabula. Galvenās atšķirības ES ETS 3. periodā un 4. periodā</w:t>
      </w:r>
    </w:p>
    <w:p w:rsidR="00335CDF" w:rsidRPr="001E6CF9" w:rsidRDefault="00335CDF" w:rsidP="00DE30DA">
      <w:pPr>
        <w:jc w:val="both"/>
        <w:rPr>
          <w:rFonts w:ascii="Times New Roman" w:eastAsia="Calibri" w:hAnsi="Times New Roman" w:cs="Calibri"/>
          <w:b/>
          <w:bCs/>
          <w:noProof/>
          <w:sz w:val="24"/>
          <w:szCs w:val="16"/>
        </w:rPr>
      </w:pPr>
    </w:p>
    <w:tbl>
      <w:tblPr>
        <w:tblStyle w:val="TableNormal1"/>
        <w:tblW w:w="0" w:type="auto"/>
        <w:tblLook w:val="01E0" w:firstRow="1" w:lastRow="1" w:firstColumn="1" w:lastColumn="1" w:noHBand="0" w:noVBand="0"/>
      </w:tblPr>
      <w:tblGrid>
        <w:gridCol w:w="4701"/>
        <w:gridCol w:w="4371"/>
      </w:tblGrid>
      <w:tr w:rsidR="001E6CF9" w:rsidRPr="00023AF7" w:rsidTr="00023AF7">
        <w:tc>
          <w:tcPr>
            <w:tcW w:w="2591" w:type="pct"/>
            <w:tcBorders>
              <w:top w:val="single" w:sz="12" w:space="0" w:color="000000"/>
              <w:left w:val="nil"/>
              <w:bottom w:val="single" w:sz="12" w:space="0" w:color="000000"/>
              <w:right w:val="nil"/>
            </w:tcBorders>
          </w:tcPr>
          <w:p w:rsidR="00335CDF" w:rsidRPr="00023AF7" w:rsidRDefault="00335CDF" w:rsidP="00DE30DA">
            <w:pPr>
              <w:pStyle w:val="TableParagraph"/>
              <w:jc w:val="both"/>
              <w:rPr>
                <w:rFonts w:ascii="Times New Roman" w:hAnsi="Times New Roman"/>
                <w:b/>
                <w:noProof/>
                <w:sz w:val="20"/>
                <w:szCs w:val="20"/>
              </w:rPr>
            </w:pPr>
            <w:r>
              <w:rPr>
                <w:rFonts w:ascii="Times New Roman" w:hAnsi="Times New Roman"/>
                <w:b/>
                <w:sz w:val="20"/>
                <w:szCs w:val="20"/>
              </w:rPr>
              <w:t>3. periods</w:t>
            </w:r>
          </w:p>
        </w:tc>
        <w:tc>
          <w:tcPr>
            <w:tcW w:w="2409" w:type="pct"/>
            <w:tcBorders>
              <w:top w:val="single" w:sz="12" w:space="0" w:color="000000"/>
              <w:left w:val="nil"/>
              <w:bottom w:val="single" w:sz="12" w:space="0" w:color="000000"/>
              <w:right w:val="nil"/>
            </w:tcBorders>
          </w:tcPr>
          <w:p w:rsidR="00335CDF" w:rsidRPr="00023AF7" w:rsidRDefault="00335CDF" w:rsidP="00DE30DA">
            <w:pPr>
              <w:pStyle w:val="TableParagraph"/>
              <w:jc w:val="both"/>
              <w:rPr>
                <w:rFonts w:ascii="Times New Roman" w:hAnsi="Times New Roman"/>
                <w:b/>
                <w:noProof/>
                <w:sz w:val="20"/>
                <w:szCs w:val="20"/>
              </w:rPr>
            </w:pPr>
            <w:r>
              <w:rPr>
                <w:rFonts w:ascii="Times New Roman" w:hAnsi="Times New Roman"/>
                <w:b/>
                <w:sz w:val="20"/>
                <w:szCs w:val="20"/>
              </w:rPr>
              <w:t>4. periods</w:t>
            </w:r>
          </w:p>
        </w:tc>
      </w:tr>
      <w:tr w:rsidR="001E6CF9" w:rsidRPr="00023AF7" w:rsidTr="00023AF7">
        <w:trPr>
          <w:trHeight w:val="493"/>
        </w:trPr>
        <w:tc>
          <w:tcPr>
            <w:tcW w:w="2591" w:type="pct"/>
            <w:tcBorders>
              <w:top w:val="single" w:sz="12" w:space="0" w:color="000000"/>
              <w:left w:val="nil"/>
              <w:bottom w:val="nil"/>
              <w:right w:val="nil"/>
            </w:tcBorders>
          </w:tcPr>
          <w:p w:rsidR="00335CDF" w:rsidRPr="00023AF7" w:rsidRDefault="00335CDF" w:rsidP="00023AF7">
            <w:pPr>
              <w:pStyle w:val="TableParagraph"/>
              <w:ind w:right="306"/>
              <w:jc w:val="both"/>
              <w:rPr>
                <w:rFonts w:ascii="Times New Roman" w:hAnsi="Times New Roman"/>
                <w:noProof/>
                <w:sz w:val="20"/>
                <w:szCs w:val="20"/>
              </w:rPr>
            </w:pPr>
            <w:r>
              <w:rPr>
                <w:rFonts w:ascii="Times New Roman" w:hAnsi="Times New Roman"/>
                <w:sz w:val="20"/>
                <w:szCs w:val="20"/>
              </w:rPr>
              <w:t>8 gadu tirdzniecības periods</w:t>
            </w:r>
          </w:p>
        </w:tc>
        <w:tc>
          <w:tcPr>
            <w:tcW w:w="2409" w:type="pct"/>
            <w:tcBorders>
              <w:top w:val="single" w:sz="12" w:space="0" w:color="000000"/>
              <w:left w:val="nil"/>
              <w:bottom w:val="nil"/>
              <w:right w:val="nil"/>
            </w:tcBorders>
          </w:tcPr>
          <w:p w:rsidR="00335CDF" w:rsidRPr="00023AF7" w:rsidRDefault="00335CDF" w:rsidP="00DE30DA">
            <w:pPr>
              <w:pStyle w:val="TableParagraph"/>
              <w:jc w:val="both"/>
              <w:rPr>
                <w:rFonts w:ascii="Times New Roman" w:hAnsi="Times New Roman"/>
                <w:noProof/>
                <w:sz w:val="20"/>
                <w:szCs w:val="20"/>
              </w:rPr>
            </w:pPr>
            <w:r>
              <w:rPr>
                <w:rFonts w:ascii="Times New Roman" w:hAnsi="Times New Roman"/>
                <w:sz w:val="20"/>
                <w:szCs w:val="20"/>
              </w:rPr>
              <w:t>10 gadu tirdzniecības periods, kurā ir divi 5 gadu kvotu piešķiršanas periodi</w:t>
            </w:r>
          </w:p>
        </w:tc>
      </w:tr>
      <w:tr w:rsidR="001E6CF9" w:rsidRPr="00023AF7" w:rsidTr="00023AF7">
        <w:trPr>
          <w:trHeight w:val="318"/>
        </w:trPr>
        <w:tc>
          <w:tcPr>
            <w:tcW w:w="2591" w:type="pct"/>
            <w:tcBorders>
              <w:top w:val="nil"/>
              <w:left w:val="nil"/>
              <w:bottom w:val="nil"/>
              <w:right w:val="nil"/>
            </w:tcBorders>
          </w:tcPr>
          <w:p w:rsidR="00335CDF" w:rsidRPr="00023AF7" w:rsidRDefault="00335CDF" w:rsidP="00023AF7">
            <w:pPr>
              <w:pStyle w:val="TableParagraph"/>
              <w:ind w:right="306"/>
              <w:jc w:val="both"/>
              <w:rPr>
                <w:rFonts w:ascii="Times New Roman" w:hAnsi="Times New Roman"/>
                <w:noProof/>
                <w:sz w:val="20"/>
                <w:szCs w:val="20"/>
              </w:rPr>
            </w:pPr>
            <w:r>
              <w:rPr>
                <w:rFonts w:ascii="Times New Roman" w:hAnsi="Times New Roman"/>
                <w:sz w:val="20"/>
                <w:szCs w:val="20"/>
              </w:rPr>
              <w:t>Emisiju maksimālā robežvērtība samazināta par 1,74 % gadā</w:t>
            </w:r>
          </w:p>
        </w:tc>
        <w:tc>
          <w:tcPr>
            <w:tcW w:w="2409" w:type="pct"/>
            <w:tcBorders>
              <w:top w:val="nil"/>
              <w:left w:val="nil"/>
              <w:bottom w:val="nil"/>
              <w:right w:val="nil"/>
            </w:tcBorders>
          </w:tcPr>
          <w:p w:rsidR="00335CDF" w:rsidRPr="00023AF7" w:rsidRDefault="00335CDF" w:rsidP="00DE30DA">
            <w:pPr>
              <w:pStyle w:val="TableParagraph"/>
              <w:jc w:val="both"/>
              <w:rPr>
                <w:rFonts w:ascii="Times New Roman" w:hAnsi="Times New Roman"/>
                <w:noProof/>
                <w:sz w:val="20"/>
                <w:szCs w:val="20"/>
              </w:rPr>
            </w:pPr>
            <w:r>
              <w:rPr>
                <w:rFonts w:ascii="Times New Roman" w:hAnsi="Times New Roman"/>
                <w:sz w:val="20"/>
                <w:szCs w:val="20"/>
              </w:rPr>
              <w:t>Emisiju maksimālā robežvērtība samazināta par 2,2 % gadā</w:t>
            </w:r>
          </w:p>
        </w:tc>
      </w:tr>
      <w:tr w:rsidR="001E6CF9" w:rsidRPr="00023AF7" w:rsidTr="00023AF7">
        <w:trPr>
          <w:trHeight w:val="377"/>
        </w:trPr>
        <w:tc>
          <w:tcPr>
            <w:tcW w:w="2591" w:type="pct"/>
            <w:tcBorders>
              <w:top w:val="nil"/>
              <w:left w:val="nil"/>
              <w:bottom w:val="nil"/>
              <w:right w:val="nil"/>
            </w:tcBorders>
          </w:tcPr>
          <w:p w:rsidR="00335CDF" w:rsidRPr="00023AF7" w:rsidRDefault="00335CDF" w:rsidP="00023AF7">
            <w:pPr>
              <w:pStyle w:val="TableParagraph"/>
              <w:ind w:right="306"/>
              <w:jc w:val="both"/>
              <w:rPr>
                <w:rFonts w:ascii="Times New Roman" w:hAnsi="Times New Roman"/>
                <w:noProof/>
                <w:sz w:val="20"/>
                <w:szCs w:val="20"/>
              </w:rPr>
            </w:pPr>
            <w:r>
              <w:rPr>
                <w:rFonts w:ascii="Times New Roman" w:hAnsi="Times New Roman"/>
                <w:sz w:val="20"/>
                <w:szCs w:val="20"/>
              </w:rPr>
              <w:t>Kvotu piešķiršana tirdzniecības perioda sākumā</w:t>
            </w:r>
          </w:p>
        </w:tc>
        <w:tc>
          <w:tcPr>
            <w:tcW w:w="2409" w:type="pct"/>
            <w:tcBorders>
              <w:top w:val="nil"/>
              <w:left w:val="nil"/>
              <w:bottom w:val="nil"/>
              <w:right w:val="nil"/>
            </w:tcBorders>
          </w:tcPr>
          <w:p w:rsidR="00335CDF" w:rsidRPr="00023AF7" w:rsidRDefault="00335CDF" w:rsidP="00DE30DA">
            <w:pPr>
              <w:pStyle w:val="TableParagraph"/>
              <w:jc w:val="both"/>
              <w:rPr>
                <w:rFonts w:ascii="Times New Roman" w:hAnsi="Times New Roman"/>
                <w:noProof/>
                <w:sz w:val="20"/>
                <w:szCs w:val="20"/>
              </w:rPr>
            </w:pPr>
            <w:r>
              <w:rPr>
                <w:rFonts w:ascii="Times New Roman" w:hAnsi="Times New Roman"/>
                <w:sz w:val="20"/>
                <w:szCs w:val="20"/>
              </w:rPr>
              <w:t>Kvotu piešķiršana 2 kārtās; katra no tām ir paredzēta 5 gadu periodam</w:t>
            </w:r>
          </w:p>
        </w:tc>
      </w:tr>
      <w:tr w:rsidR="001E6CF9" w:rsidRPr="00023AF7" w:rsidTr="00023AF7">
        <w:trPr>
          <w:trHeight w:val="566"/>
        </w:trPr>
        <w:tc>
          <w:tcPr>
            <w:tcW w:w="2591" w:type="pct"/>
            <w:tcBorders>
              <w:top w:val="nil"/>
              <w:left w:val="nil"/>
              <w:bottom w:val="nil"/>
              <w:right w:val="nil"/>
            </w:tcBorders>
          </w:tcPr>
          <w:p w:rsidR="00335CDF" w:rsidRPr="00023AF7" w:rsidRDefault="00335CDF" w:rsidP="00023AF7">
            <w:pPr>
              <w:pStyle w:val="TableParagraph"/>
              <w:ind w:right="306"/>
              <w:jc w:val="both"/>
              <w:rPr>
                <w:rFonts w:ascii="Times New Roman" w:eastAsia="Calibri" w:hAnsi="Times New Roman" w:cs="Calibri"/>
                <w:noProof/>
                <w:sz w:val="20"/>
                <w:szCs w:val="20"/>
              </w:rPr>
            </w:pPr>
            <w:r>
              <w:rPr>
                <w:rFonts w:ascii="Times New Roman" w:hAnsi="Times New Roman"/>
                <w:sz w:val="20"/>
                <w:szCs w:val="20"/>
              </w:rPr>
              <w:t>Pagaidu kārtā bez maksas piešķiramo kvotu apjoms samazinās no 80 % no aprēķinātā piešķiramo kvotu apjoma sākuma gadā līdz 30 % 2020. gadā.</w:t>
            </w:r>
            <w:bookmarkStart w:id="15" w:name="_bookmark8"/>
            <w:bookmarkEnd w:id="15"/>
            <w:r w:rsidR="00981D11">
              <w:rPr>
                <w:rStyle w:val="FootnoteReference"/>
                <w:rFonts w:ascii="Times New Roman" w:hAnsi="Times New Roman" w:cs="Calibri"/>
                <w:noProof/>
                <w:sz w:val="20"/>
                <w:szCs w:val="20"/>
              </w:rPr>
              <w:footnoteReference w:id="13"/>
            </w:r>
          </w:p>
        </w:tc>
        <w:tc>
          <w:tcPr>
            <w:tcW w:w="2409" w:type="pct"/>
            <w:tcBorders>
              <w:top w:val="nil"/>
              <w:left w:val="nil"/>
              <w:bottom w:val="nil"/>
              <w:right w:val="nil"/>
            </w:tcBorders>
          </w:tcPr>
          <w:p w:rsidR="00335CDF" w:rsidRPr="00023AF7" w:rsidRDefault="00335CDF" w:rsidP="00023AF7">
            <w:pPr>
              <w:pStyle w:val="TableParagraph"/>
              <w:jc w:val="both"/>
              <w:rPr>
                <w:rFonts w:ascii="Times New Roman" w:eastAsia="Calibri" w:hAnsi="Times New Roman" w:cs="Calibri"/>
                <w:noProof/>
                <w:sz w:val="20"/>
                <w:szCs w:val="20"/>
              </w:rPr>
            </w:pPr>
            <w:r>
              <w:rPr>
                <w:rFonts w:ascii="Times New Roman" w:hAnsi="Times New Roman"/>
                <w:sz w:val="20"/>
                <w:szCs w:val="20"/>
              </w:rPr>
              <w:t>Pagaidu kārtā bez maksas piešķiramo kvotu apjoms samazinās no 30 % no aprēķinātā piešķiramo kvotu apjoma pēc 2026. gada līdz 0 % 2030. gadā.</w:t>
            </w:r>
            <w:r>
              <w:rPr>
                <w:rFonts w:ascii="Times New Roman" w:hAnsi="Times New Roman"/>
                <w:sz w:val="20"/>
                <w:szCs w:val="20"/>
                <w:vertAlign w:val="superscript"/>
              </w:rPr>
              <w:t>12,13</w:t>
            </w:r>
          </w:p>
        </w:tc>
      </w:tr>
      <w:tr w:rsidR="001E6CF9" w:rsidRPr="00023AF7" w:rsidTr="00023AF7">
        <w:trPr>
          <w:trHeight w:val="577"/>
        </w:trPr>
        <w:tc>
          <w:tcPr>
            <w:tcW w:w="2591" w:type="pct"/>
            <w:tcBorders>
              <w:top w:val="nil"/>
              <w:left w:val="nil"/>
              <w:bottom w:val="nil"/>
              <w:right w:val="nil"/>
            </w:tcBorders>
          </w:tcPr>
          <w:p w:rsidR="00335CDF" w:rsidRPr="00023AF7" w:rsidRDefault="00335CDF" w:rsidP="00023AF7">
            <w:pPr>
              <w:pStyle w:val="TableParagraph"/>
              <w:ind w:right="306"/>
              <w:jc w:val="both"/>
              <w:rPr>
                <w:rFonts w:ascii="Times New Roman" w:hAnsi="Times New Roman"/>
                <w:noProof/>
                <w:sz w:val="20"/>
                <w:szCs w:val="20"/>
              </w:rPr>
            </w:pPr>
            <w:r>
              <w:rPr>
                <w:rFonts w:ascii="Times New Roman" w:hAnsi="Times New Roman"/>
                <w:sz w:val="20"/>
                <w:szCs w:val="20"/>
              </w:rPr>
              <w:t>Piešķiramo kvotu apjoma izmaiņas nozīmīgu jaudas izmaiņu rezultātā.</w:t>
            </w:r>
          </w:p>
        </w:tc>
        <w:tc>
          <w:tcPr>
            <w:tcW w:w="2409" w:type="pct"/>
            <w:tcBorders>
              <w:top w:val="nil"/>
              <w:left w:val="nil"/>
              <w:bottom w:val="nil"/>
              <w:right w:val="nil"/>
            </w:tcBorders>
          </w:tcPr>
          <w:p w:rsidR="00335CDF" w:rsidRPr="00023AF7" w:rsidRDefault="00335CDF" w:rsidP="00DE30DA">
            <w:pPr>
              <w:pStyle w:val="TableParagraph"/>
              <w:jc w:val="both"/>
              <w:rPr>
                <w:rFonts w:ascii="Times New Roman" w:hAnsi="Times New Roman"/>
                <w:noProof/>
                <w:sz w:val="20"/>
                <w:szCs w:val="20"/>
              </w:rPr>
            </w:pPr>
            <w:r>
              <w:rPr>
                <w:rFonts w:ascii="Times New Roman" w:hAnsi="Times New Roman"/>
                <w:sz w:val="20"/>
                <w:szCs w:val="20"/>
              </w:rPr>
              <w:t>Piešķiramo kvotu apjoma izmaiņas nozīmīgu darbības izmaiņu rezultātā.</w:t>
            </w:r>
          </w:p>
        </w:tc>
      </w:tr>
      <w:tr w:rsidR="001E6CF9" w:rsidRPr="00023AF7" w:rsidTr="00023AF7">
        <w:trPr>
          <w:trHeight w:val="555"/>
        </w:trPr>
        <w:tc>
          <w:tcPr>
            <w:tcW w:w="2591" w:type="pct"/>
            <w:tcBorders>
              <w:top w:val="nil"/>
              <w:left w:val="nil"/>
              <w:bottom w:val="nil"/>
              <w:right w:val="nil"/>
            </w:tcBorders>
          </w:tcPr>
          <w:p w:rsidR="00335CDF" w:rsidRPr="00023AF7" w:rsidRDefault="00335CDF" w:rsidP="00023AF7">
            <w:pPr>
              <w:pStyle w:val="TableParagraph"/>
              <w:ind w:right="306"/>
              <w:jc w:val="both"/>
              <w:rPr>
                <w:rFonts w:ascii="Times New Roman" w:hAnsi="Times New Roman"/>
                <w:noProof/>
                <w:sz w:val="20"/>
                <w:szCs w:val="20"/>
              </w:rPr>
            </w:pPr>
            <w:r>
              <w:rPr>
                <w:rFonts w:ascii="Times New Roman" w:hAnsi="Times New Roman"/>
                <w:sz w:val="20"/>
                <w:szCs w:val="20"/>
              </w:rPr>
              <w:t>Jaunas iekārtas nozīmē arī pilnīgi jaunus uzņēmumus</w:t>
            </w:r>
            <w:r w:rsidR="00981D11">
              <w:rPr>
                <w:rStyle w:val="FootnoteReference"/>
                <w:rFonts w:ascii="Times New Roman" w:hAnsi="Times New Roman" w:cs="Calibri"/>
                <w:noProof/>
                <w:sz w:val="20"/>
                <w:szCs w:val="20"/>
              </w:rPr>
              <w:footnoteReference w:id="14"/>
            </w:r>
            <w:r>
              <w:rPr>
                <w:rFonts w:ascii="Times New Roman" w:hAnsi="Times New Roman"/>
                <w:sz w:val="20"/>
                <w:szCs w:val="20"/>
              </w:rPr>
              <w:t xml:space="preserve"> un būtiskus</w:t>
            </w:r>
            <w:bookmarkStart w:id="16" w:name="_bookmark9"/>
            <w:bookmarkEnd w:id="16"/>
            <w:r>
              <w:rPr>
                <w:rFonts w:ascii="Times New Roman" w:hAnsi="Times New Roman"/>
                <w:sz w:val="20"/>
                <w:szCs w:val="20"/>
              </w:rPr>
              <w:t xml:space="preserve"> jaudas palielinājumus.</w:t>
            </w:r>
          </w:p>
        </w:tc>
        <w:tc>
          <w:tcPr>
            <w:tcW w:w="2409" w:type="pct"/>
            <w:tcBorders>
              <w:top w:val="nil"/>
              <w:left w:val="nil"/>
              <w:bottom w:val="nil"/>
              <w:right w:val="nil"/>
            </w:tcBorders>
          </w:tcPr>
          <w:p w:rsidR="00335CDF" w:rsidRPr="00023AF7" w:rsidRDefault="00335CDF" w:rsidP="00DE30DA">
            <w:pPr>
              <w:pStyle w:val="TableParagraph"/>
              <w:jc w:val="both"/>
              <w:rPr>
                <w:rFonts w:ascii="Times New Roman" w:eastAsia="Calibri" w:hAnsi="Times New Roman" w:cs="Calibri"/>
                <w:noProof/>
                <w:sz w:val="20"/>
                <w:szCs w:val="20"/>
              </w:rPr>
            </w:pPr>
            <w:r>
              <w:rPr>
                <w:rFonts w:ascii="Times New Roman" w:hAnsi="Times New Roman"/>
                <w:sz w:val="20"/>
                <w:szCs w:val="20"/>
              </w:rPr>
              <w:t>Jaunās iekārtās ir ietverti tikai jauni uzņēmumi</w:t>
            </w:r>
            <w:r>
              <w:rPr>
                <w:rFonts w:ascii="Times New Roman" w:hAnsi="Times New Roman"/>
                <w:sz w:val="20"/>
                <w:szCs w:val="20"/>
                <w:vertAlign w:val="superscript"/>
              </w:rPr>
              <w:t>14</w:t>
            </w:r>
          </w:p>
        </w:tc>
      </w:tr>
      <w:tr w:rsidR="001E6CF9" w:rsidRPr="00023AF7" w:rsidTr="00023AF7">
        <w:trPr>
          <w:trHeight w:val="1073"/>
        </w:trPr>
        <w:tc>
          <w:tcPr>
            <w:tcW w:w="2591" w:type="pct"/>
            <w:tcBorders>
              <w:top w:val="nil"/>
              <w:left w:val="nil"/>
              <w:bottom w:val="nil"/>
              <w:right w:val="nil"/>
            </w:tcBorders>
          </w:tcPr>
          <w:p w:rsidR="00335CDF" w:rsidRPr="00023AF7" w:rsidRDefault="00335CDF" w:rsidP="00023AF7">
            <w:pPr>
              <w:pStyle w:val="TableParagraph"/>
              <w:ind w:right="306"/>
              <w:jc w:val="both"/>
              <w:rPr>
                <w:rFonts w:ascii="Times New Roman" w:hAnsi="Times New Roman"/>
                <w:noProof/>
                <w:sz w:val="20"/>
                <w:szCs w:val="20"/>
              </w:rPr>
            </w:pPr>
            <w:r>
              <w:rPr>
                <w:rFonts w:ascii="Times New Roman" w:hAnsi="Times New Roman"/>
                <w:sz w:val="20"/>
                <w:szCs w:val="20"/>
              </w:rPr>
              <w:t>Izsolāmo kvotu apjoms ir atkarīgs no tā, cik daudz kvotu tiek piešķirtas bez maksas un ierobežojumiem, kas tiek noteikti, ņemot vērā nozares daļu emisiju apjomā.</w:t>
            </w:r>
          </w:p>
        </w:tc>
        <w:tc>
          <w:tcPr>
            <w:tcW w:w="2409" w:type="pct"/>
            <w:tcBorders>
              <w:top w:val="nil"/>
              <w:left w:val="nil"/>
              <w:bottom w:val="nil"/>
              <w:right w:val="nil"/>
            </w:tcBorders>
          </w:tcPr>
          <w:p w:rsidR="00335CDF" w:rsidRPr="00023AF7" w:rsidRDefault="00335CDF" w:rsidP="00023AF7">
            <w:pPr>
              <w:pStyle w:val="TableParagraph"/>
              <w:jc w:val="both"/>
              <w:rPr>
                <w:rFonts w:ascii="Times New Roman" w:hAnsi="Times New Roman"/>
                <w:noProof/>
                <w:sz w:val="20"/>
                <w:szCs w:val="20"/>
              </w:rPr>
            </w:pPr>
            <w:r>
              <w:rPr>
                <w:rFonts w:ascii="Times New Roman" w:hAnsi="Times New Roman"/>
                <w:sz w:val="20"/>
                <w:szCs w:val="20"/>
              </w:rPr>
              <w:t>Noteiktais izsolāmo kvotu apjoms ir 57 % no no kopējā kvotu apjoma, tomēr 3 % kvotu var novirzīt bezmaksas piešķiršanai, lai izvairītos no starpsektoru korekcijas koeficienta piemērošanas.</w:t>
            </w:r>
          </w:p>
        </w:tc>
      </w:tr>
      <w:tr w:rsidR="001E6CF9" w:rsidRPr="00023AF7" w:rsidTr="00257BD6">
        <w:trPr>
          <w:trHeight w:val="938"/>
        </w:trPr>
        <w:tc>
          <w:tcPr>
            <w:tcW w:w="2591" w:type="pct"/>
            <w:tcBorders>
              <w:top w:val="nil"/>
              <w:left w:val="nil"/>
              <w:right w:val="nil"/>
            </w:tcBorders>
          </w:tcPr>
          <w:p w:rsidR="00335CDF" w:rsidRPr="00023AF7" w:rsidRDefault="00335CDF" w:rsidP="00023AF7">
            <w:pPr>
              <w:pStyle w:val="TableParagraph"/>
              <w:ind w:right="306"/>
              <w:jc w:val="both"/>
              <w:rPr>
                <w:rFonts w:ascii="Times New Roman" w:hAnsi="Times New Roman"/>
                <w:noProof/>
                <w:sz w:val="20"/>
                <w:szCs w:val="20"/>
              </w:rPr>
            </w:pPr>
            <w:r>
              <w:rPr>
                <w:rFonts w:ascii="Times New Roman" w:hAnsi="Times New Roman"/>
                <w:sz w:val="20"/>
                <w:szCs w:val="20"/>
              </w:rPr>
              <w:t>Oglekļa emisiju pārvirzes statusu nosaka saskaņā ar kritērijiem attiecībā uz oglekļa izmaksām un/vai tirdzniecības intensitāti.</w:t>
            </w:r>
          </w:p>
        </w:tc>
        <w:tc>
          <w:tcPr>
            <w:tcW w:w="2409" w:type="pct"/>
            <w:tcBorders>
              <w:top w:val="nil"/>
              <w:left w:val="nil"/>
              <w:right w:val="nil"/>
            </w:tcBorders>
          </w:tcPr>
          <w:p w:rsidR="00335CDF" w:rsidRPr="00023AF7" w:rsidRDefault="00335CDF" w:rsidP="00023AF7">
            <w:pPr>
              <w:pStyle w:val="TableParagraph"/>
              <w:jc w:val="both"/>
              <w:rPr>
                <w:rFonts w:ascii="Times New Roman" w:hAnsi="Times New Roman"/>
                <w:noProof/>
                <w:sz w:val="20"/>
                <w:szCs w:val="20"/>
              </w:rPr>
            </w:pPr>
            <w:r>
              <w:rPr>
                <w:rFonts w:ascii="Times New Roman" w:hAnsi="Times New Roman"/>
                <w:sz w:val="20"/>
                <w:szCs w:val="20"/>
              </w:rPr>
              <w:t>Oglekļa emisiju pārvirzes statusu nosaka, tirdzniecības intensitāti reizinot ar emisiju intensitāti, kas dalīta ar bruto pievienoto vērtību.</w:t>
            </w:r>
          </w:p>
        </w:tc>
      </w:tr>
      <w:tr w:rsidR="00335CDF" w:rsidRPr="00023AF7" w:rsidTr="00257BD6">
        <w:trPr>
          <w:trHeight w:val="1695"/>
        </w:trPr>
        <w:tc>
          <w:tcPr>
            <w:tcW w:w="2591" w:type="pct"/>
            <w:tcBorders>
              <w:top w:val="nil"/>
              <w:left w:val="nil"/>
              <w:bottom w:val="single" w:sz="4" w:space="0" w:color="auto"/>
              <w:right w:val="nil"/>
            </w:tcBorders>
          </w:tcPr>
          <w:p w:rsidR="00335CDF" w:rsidRPr="00023AF7" w:rsidRDefault="00335CDF" w:rsidP="00DE30DA">
            <w:pPr>
              <w:pStyle w:val="TableParagraph"/>
              <w:jc w:val="both"/>
              <w:rPr>
                <w:rFonts w:ascii="Times New Roman" w:hAnsi="Times New Roman"/>
                <w:noProof/>
                <w:sz w:val="20"/>
                <w:szCs w:val="20"/>
              </w:rPr>
            </w:pPr>
            <w:r>
              <w:rPr>
                <w:rFonts w:ascii="Times New Roman" w:hAnsi="Times New Roman"/>
                <w:sz w:val="20"/>
                <w:szCs w:val="20"/>
              </w:rPr>
              <w:t>Juridiskais pamats</w:t>
            </w:r>
          </w:p>
          <w:p w:rsidR="00335CDF" w:rsidRPr="00023AF7" w:rsidRDefault="00335CDF" w:rsidP="00023AF7">
            <w:pPr>
              <w:pStyle w:val="ListParagraph"/>
              <w:numPr>
                <w:ilvl w:val="0"/>
                <w:numId w:val="11"/>
              </w:numPr>
              <w:tabs>
                <w:tab w:val="left" w:pos="426"/>
              </w:tabs>
              <w:ind w:left="0" w:firstLine="0"/>
              <w:jc w:val="both"/>
              <w:rPr>
                <w:rFonts w:ascii="Times New Roman" w:hAnsi="Times New Roman"/>
                <w:noProof/>
                <w:sz w:val="20"/>
                <w:szCs w:val="20"/>
              </w:rPr>
            </w:pPr>
            <w:r>
              <w:rPr>
                <w:rFonts w:ascii="Times New Roman" w:hAnsi="Times New Roman"/>
                <w:sz w:val="20"/>
                <w:szCs w:val="20"/>
              </w:rPr>
              <w:t>2009. gada ETS direktīva</w:t>
            </w:r>
          </w:p>
          <w:p w:rsidR="00335CDF" w:rsidRPr="00023AF7" w:rsidRDefault="00335CDF" w:rsidP="00023AF7">
            <w:pPr>
              <w:pStyle w:val="ListParagraph"/>
              <w:numPr>
                <w:ilvl w:val="0"/>
                <w:numId w:val="11"/>
              </w:numPr>
              <w:tabs>
                <w:tab w:val="left" w:pos="426"/>
              </w:tabs>
              <w:ind w:left="0" w:firstLine="0"/>
              <w:jc w:val="both"/>
              <w:rPr>
                <w:rFonts w:ascii="Times New Roman" w:hAnsi="Times New Roman"/>
                <w:noProof/>
                <w:sz w:val="20"/>
                <w:szCs w:val="20"/>
              </w:rPr>
            </w:pPr>
            <w:r>
              <w:rPr>
                <w:rFonts w:ascii="Times New Roman" w:hAnsi="Times New Roman"/>
                <w:i/>
                <w:sz w:val="20"/>
                <w:szCs w:val="20"/>
              </w:rPr>
              <w:t>CIM</w:t>
            </w:r>
            <w:r>
              <w:rPr>
                <w:rFonts w:ascii="Times New Roman" w:hAnsi="Times New Roman"/>
                <w:sz w:val="20"/>
                <w:szCs w:val="20"/>
              </w:rPr>
              <w:t xml:space="preserve"> lēmums</w:t>
            </w:r>
          </w:p>
          <w:p w:rsidR="00335CDF" w:rsidRPr="00023AF7" w:rsidRDefault="00335CDF" w:rsidP="00023AF7">
            <w:pPr>
              <w:pStyle w:val="ListParagraph"/>
              <w:numPr>
                <w:ilvl w:val="0"/>
                <w:numId w:val="11"/>
              </w:numPr>
              <w:tabs>
                <w:tab w:val="left" w:pos="426"/>
              </w:tabs>
              <w:ind w:left="0" w:firstLine="0"/>
              <w:jc w:val="both"/>
              <w:rPr>
                <w:rFonts w:ascii="Times New Roman" w:hAnsi="Times New Roman"/>
                <w:noProof/>
                <w:sz w:val="20"/>
                <w:szCs w:val="20"/>
              </w:rPr>
            </w:pPr>
            <w:r>
              <w:rPr>
                <w:rFonts w:ascii="Times New Roman" w:hAnsi="Times New Roman"/>
                <w:i/>
                <w:sz w:val="20"/>
                <w:szCs w:val="20"/>
              </w:rPr>
              <w:t>NIM</w:t>
            </w:r>
            <w:r>
              <w:rPr>
                <w:rFonts w:ascii="Times New Roman" w:hAnsi="Times New Roman"/>
                <w:sz w:val="20"/>
                <w:szCs w:val="20"/>
              </w:rPr>
              <w:t xml:space="preserve"> saraksts/tabula</w:t>
            </w:r>
          </w:p>
        </w:tc>
        <w:tc>
          <w:tcPr>
            <w:tcW w:w="2409" w:type="pct"/>
            <w:tcBorders>
              <w:top w:val="nil"/>
              <w:left w:val="nil"/>
              <w:bottom w:val="single" w:sz="4" w:space="0" w:color="auto"/>
              <w:right w:val="nil"/>
            </w:tcBorders>
          </w:tcPr>
          <w:p w:rsidR="00335CDF" w:rsidRPr="00023AF7" w:rsidRDefault="00335CDF" w:rsidP="00DE30DA">
            <w:pPr>
              <w:pStyle w:val="TableParagraph"/>
              <w:jc w:val="both"/>
              <w:rPr>
                <w:rFonts w:ascii="Times New Roman" w:hAnsi="Times New Roman"/>
                <w:noProof/>
                <w:sz w:val="20"/>
                <w:szCs w:val="20"/>
              </w:rPr>
            </w:pPr>
            <w:r>
              <w:rPr>
                <w:rFonts w:ascii="Times New Roman" w:hAnsi="Times New Roman"/>
                <w:sz w:val="20"/>
                <w:szCs w:val="20"/>
              </w:rPr>
              <w:t>Juridiskais pamats</w:t>
            </w:r>
          </w:p>
          <w:p w:rsidR="00335CDF" w:rsidRPr="00023AF7" w:rsidRDefault="00335CDF" w:rsidP="00023AF7">
            <w:pPr>
              <w:pStyle w:val="ListParagraph"/>
              <w:numPr>
                <w:ilvl w:val="0"/>
                <w:numId w:val="10"/>
              </w:numPr>
              <w:tabs>
                <w:tab w:val="left" w:pos="402"/>
              </w:tabs>
              <w:ind w:left="0" w:firstLine="0"/>
              <w:jc w:val="both"/>
              <w:rPr>
                <w:rFonts w:ascii="Times New Roman" w:hAnsi="Times New Roman"/>
                <w:noProof/>
                <w:sz w:val="20"/>
                <w:szCs w:val="20"/>
              </w:rPr>
            </w:pPr>
            <w:r>
              <w:rPr>
                <w:rFonts w:ascii="Times New Roman" w:hAnsi="Times New Roman"/>
                <w:sz w:val="20"/>
                <w:szCs w:val="20"/>
              </w:rPr>
              <w:t>2018. gada ETS direktīva</w:t>
            </w:r>
          </w:p>
          <w:p w:rsidR="00335CDF" w:rsidRPr="00023AF7" w:rsidRDefault="00335CDF" w:rsidP="00023AF7">
            <w:pPr>
              <w:pStyle w:val="ListParagraph"/>
              <w:numPr>
                <w:ilvl w:val="0"/>
                <w:numId w:val="10"/>
              </w:numPr>
              <w:tabs>
                <w:tab w:val="left" w:pos="402"/>
              </w:tabs>
              <w:ind w:left="0" w:firstLine="0"/>
              <w:jc w:val="both"/>
              <w:rPr>
                <w:rFonts w:ascii="Times New Roman" w:hAnsi="Times New Roman"/>
                <w:noProof/>
                <w:sz w:val="20"/>
                <w:szCs w:val="20"/>
              </w:rPr>
            </w:pPr>
            <w:r>
              <w:rPr>
                <w:rFonts w:ascii="Times New Roman" w:hAnsi="Times New Roman"/>
                <w:i/>
                <w:sz w:val="20"/>
                <w:szCs w:val="20"/>
              </w:rPr>
              <w:t>FAR</w:t>
            </w:r>
            <w:r>
              <w:rPr>
                <w:rFonts w:ascii="Times New Roman" w:hAnsi="Times New Roman"/>
                <w:sz w:val="20"/>
                <w:szCs w:val="20"/>
              </w:rPr>
              <w:t xml:space="preserve"> regula</w:t>
            </w:r>
          </w:p>
          <w:p w:rsidR="00335CDF" w:rsidRPr="00023AF7" w:rsidRDefault="00335CDF" w:rsidP="00257BD6">
            <w:pPr>
              <w:pStyle w:val="ListParagraph"/>
              <w:numPr>
                <w:ilvl w:val="0"/>
                <w:numId w:val="10"/>
              </w:numPr>
              <w:tabs>
                <w:tab w:val="left" w:pos="402"/>
              </w:tabs>
              <w:ind w:left="409" w:hanging="409"/>
              <w:jc w:val="both"/>
              <w:rPr>
                <w:rFonts w:ascii="Times New Roman" w:hAnsi="Times New Roman"/>
                <w:noProof/>
                <w:sz w:val="20"/>
                <w:szCs w:val="20"/>
              </w:rPr>
            </w:pPr>
            <w:r>
              <w:rPr>
                <w:rFonts w:ascii="Times New Roman" w:hAnsi="Times New Roman"/>
                <w:sz w:val="20"/>
                <w:szCs w:val="20"/>
              </w:rPr>
              <w:t>Piešķiramo kvotu apjoma izmaiņu īstenošanas akts</w:t>
            </w:r>
          </w:p>
          <w:p w:rsidR="00335CDF" w:rsidRPr="00023AF7" w:rsidRDefault="00335CDF" w:rsidP="00023AF7">
            <w:pPr>
              <w:pStyle w:val="ListParagraph"/>
              <w:numPr>
                <w:ilvl w:val="0"/>
                <w:numId w:val="10"/>
              </w:numPr>
              <w:tabs>
                <w:tab w:val="left" w:pos="402"/>
              </w:tabs>
              <w:ind w:left="0" w:firstLine="0"/>
              <w:jc w:val="both"/>
              <w:rPr>
                <w:rFonts w:ascii="Times New Roman" w:hAnsi="Times New Roman"/>
                <w:noProof/>
                <w:sz w:val="20"/>
                <w:szCs w:val="20"/>
              </w:rPr>
            </w:pPr>
            <w:r>
              <w:rPr>
                <w:rFonts w:ascii="Times New Roman" w:hAnsi="Times New Roman"/>
                <w:sz w:val="20"/>
                <w:szCs w:val="20"/>
              </w:rPr>
              <w:t>Oglekļa emisiju pārvirzes deleģētais akts</w:t>
            </w:r>
          </w:p>
          <w:p w:rsidR="00335CDF" w:rsidRPr="00023AF7" w:rsidRDefault="00335CDF" w:rsidP="00023AF7">
            <w:pPr>
              <w:pStyle w:val="ListParagraph"/>
              <w:numPr>
                <w:ilvl w:val="0"/>
                <w:numId w:val="10"/>
              </w:numPr>
              <w:tabs>
                <w:tab w:val="left" w:pos="402"/>
              </w:tabs>
              <w:ind w:left="0" w:firstLine="0"/>
              <w:jc w:val="both"/>
              <w:rPr>
                <w:rFonts w:ascii="Times New Roman" w:hAnsi="Times New Roman"/>
                <w:noProof/>
                <w:sz w:val="20"/>
                <w:szCs w:val="20"/>
              </w:rPr>
            </w:pPr>
            <w:r>
              <w:rPr>
                <w:rFonts w:ascii="Times New Roman" w:hAnsi="Times New Roman"/>
                <w:sz w:val="20"/>
                <w:szCs w:val="20"/>
              </w:rPr>
              <w:t>Līmeņatzīmju atjaunināšanas īstenošanas akts</w:t>
            </w:r>
          </w:p>
          <w:p w:rsidR="00335CDF" w:rsidRPr="00023AF7" w:rsidRDefault="00335CDF" w:rsidP="00023AF7">
            <w:pPr>
              <w:pStyle w:val="ListParagraph"/>
              <w:numPr>
                <w:ilvl w:val="0"/>
                <w:numId w:val="10"/>
              </w:numPr>
              <w:tabs>
                <w:tab w:val="left" w:pos="402"/>
              </w:tabs>
              <w:ind w:left="0" w:firstLine="0"/>
              <w:jc w:val="both"/>
              <w:rPr>
                <w:rFonts w:ascii="Times New Roman" w:eastAsia="Calibri" w:hAnsi="Times New Roman" w:cs="Calibri"/>
                <w:noProof/>
                <w:sz w:val="20"/>
                <w:szCs w:val="20"/>
              </w:rPr>
            </w:pPr>
            <w:r>
              <w:rPr>
                <w:rFonts w:ascii="Times New Roman" w:hAnsi="Times New Roman"/>
                <w:i/>
                <w:sz w:val="20"/>
                <w:szCs w:val="20"/>
              </w:rPr>
              <w:t>NIM</w:t>
            </w:r>
            <w:r>
              <w:rPr>
                <w:rFonts w:ascii="Times New Roman" w:hAnsi="Times New Roman"/>
                <w:sz w:val="20"/>
                <w:szCs w:val="20"/>
              </w:rPr>
              <w:t xml:space="preserve"> saraksts </w:t>
            </w:r>
          </w:p>
        </w:tc>
      </w:tr>
    </w:tbl>
    <w:p w:rsidR="00981D11" w:rsidRDefault="00981D11">
      <w:pPr>
        <w:rPr>
          <w:rFonts w:ascii="Times New Roman" w:eastAsia="Calibri" w:hAnsi="Times New Roman" w:cs="Calibri"/>
          <w:noProof/>
          <w:sz w:val="24"/>
          <w:szCs w:val="11"/>
        </w:rPr>
      </w:pPr>
      <w:r>
        <w:br w:type="page"/>
      </w:r>
    </w:p>
    <w:p w:rsidR="00981D11" w:rsidRPr="001E6CF9" w:rsidRDefault="00981D11" w:rsidP="00DE30DA">
      <w:pPr>
        <w:jc w:val="both"/>
        <w:rPr>
          <w:rFonts w:ascii="Times New Roman" w:eastAsia="Calibri" w:hAnsi="Times New Roman" w:cs="Calibri"/>
          <w:noProof/>
          <w:sz w:val="24"/>
          <w:szCs w:val="11"/>
        </w:rPr>
      </w:pPr>
    </w:p>
    <w:p w:rsidR="00335CDF" w:rsidRPr="001E6CF9" w:rsidRDefault="00981D11" w:rsidP="00981D11">
      <w:pPr>
        <w:pStyle w:val="Heading1"/>
        <w:tabs>
          <w:tab w:val="left" w:pos="403"/>
        </w:tabs>
        <w:spacing w:before="0"/>
        <w:ind w:left="0" w:firstLine="0"/>
        <w:jc w:val="both"/>
        <w:rPr>
          <w:rFonts w:ascii="Times New Roman" w:hAnsi="Times New Roman"/>
          <w:noProof/>
          <w:sz w:val="24"/>
        </w:rPr>
      </w:pPr>
      <w:bookmarkStart w:id="17" w:name="_Toc31010884"/>
      <w:r>
        <w:rPr>
          <w:rFonts w:ascii="Times New Roman" w:hAnsi="Times New Roman"/>
          <w:sz w:val="24"/>
        </w:rPr>
        <w:t>3. Emisijas kvotu piešķiršanas procesa pārskats</w:t>
      </w:r>
      <w:bookmarkStart w:id="18" w:name="_bookmark10"/>
      <w:bookmarkEnd w:id="18"/>
      <w:bookmarkEnd w:id="17"/>
    </w:p>
    <w:p w:rsidR="00335CDF" w:rsidRPr="00981D11" w:rsidRDefault="00335CDF" w:rsidP="00DE30DA">
      <w:pPr>
        <w:jc w:val="both"/>
        <w:rPr>
          <w:rFonts w:ascii="Times New Roman" w:eastAsia="Calibri" w:hAnsi="Times New Roman" w:cs="Calibri"/>
          <w:noProof/>
          <w:sz w:val="24"/>
          <w:szCs w:val="28"/>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Šajā iedaļā aprakstīts bez maksas piešķiramo kvotu apjoma noteikšanas process iekārtām, kuras uz šīm kvotām var pretendēt, un </w:t>
      </w:r>
      <w:r>
        <w:rPr>
          <w:rFonts w:ascii="Times New Roman" w:hAnsi="Times New Roman"/>
          <w:i/>
        </w:rPr>
        <w:t>FAR</w:t>
      </w:r>
      <w:r>
        <w:rPr>
          <w:rFonts w:ascii="Times New Roman" w:hAnsi="Times New Roman"/>
        </w:rPr>
        <w:t xml:space="preserve"> noteikumi, kas nosaka šo procesu.</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Kvotu piešķiršanas procesa pamatā ir Savienības mēroga pilnīgi saskaņotie noteikumi bezmaksas emisijas kvotu iedalei</w:t>
      </w:r>
      <w:r w:rsidR="00981D11">
        <w:rPr>
          <w:rStyle w:val="FootnoteReference"/>
          <w:rFonts w:ascii="Times New Roman" w:hAnsi="Times New Roman" w:cs="Calibri"/>
          <w:noProof/>
        </w:rPr>
        <w:footnoteReference w:id="15"/>
      </w:r>
      <w:r>
        <w:rPr>
          <w:rFonts w:ascii="Times New Roman" w:hAnsi="Times New Roman"/>
        </w:rPr>
        <w:t xml:space="preserve"> (</w:t>
      </w:r>
      <w:r>
        <w:rPr>
          <w:rFonts w:ascii="Times New Roman" w:hAnsi="Times New Roman"/>
          <w:i/>
        </w:rPr>
        <w:t>FAR</w:t>
      </w:r>
      <w:r>
        <w:rPr>
          <w:rFonts w:ascii="Times New Roman" w:hAnsi="Times New Roman"/>
        </w:rPr>
        <w:t>), Komisijas pieņemtā regula par kvotu piešķiršanas metodoloģiju, kurā noteikti saskaņotas bezmaksas kvotu piešķiršanas metodoloģijas pamatelementi 4. periodā.</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i/>
        </w:rPr>
        <w:t>FAR</w:t>
      </w:r>
      <w:r>
        <w:rPr>
          <w:rFonts w:ascii="Times New Roman" w:hAnsi="Times New Roman"/>
        </w:rPr>
        <w:t xml:space="preserve"> reglamentē:</w:t>
      </w:r>
    </w:p>
    <w:p w:rsidR="00335CDF" w:rsidRPr="001E6CF9" w:rsidRDefault="00335CDF" w:rsidP="00981D1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atbilstības kritērijus, lai varētu pretendēt uz bezmaksas kvotu piešķiršanu;</w:t>
      </w:r>
    </w:p>
    <w:p w:rsidR="00335CDF" w:rsidRPr="001E6CF9" w:rsidRDefault="00335CDF" w:rsidP="00981D1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apakšiekārtu definīcijas (kurās ir noteikts, kā attiecīgos gadījumos iekārtu sadalīt dažādās apakšiekārtās);</w:t>
      </w:r>
    </w:p>
    <w:p w:rsidR="00335CDF" w:rsidRPr="001E6CF9" w:rsidRDefault="00335CDF" w:rsidP="00981D1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noteikumus vēsturisko darbības līmeņu noteikšanai katrai apakšiekārtai;</w:t>
      </w:r>
    </w:p>
    <w:p w:rsidR="00335CDF" w:rsidRPr="001E6CF9" w:rsidRDefault="00335CDF" w:rsidP="00981D1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apakšiekārtas sistēmas robežas (produktu līmeņatzīmēm)</w:t>
      </w:r>
      <w:r w:rsidR="00D73EE7">
        <w:rPr>
          <w:rStyle w:val="FootnoteReference"/>
          <w:rFonts w:ascii="Times New Roman" w:hAnsi="Times New Roman"/>
          <w:noProof/>
        </w:rPr>
        <w:footnoteReference w:id="16"/>
      </w:r>
      <w:r>
        <w:rPr>
          <w:rFonts w:ascii="Times New Roman" w:hAnsi="Times New Roman"/>
        </w:rPr>
        <w:t>;</w:t>
      </w:r>
    </w:p>
    <w:p w:rsidR="00335CDF" w:rsidRPr="001E6CF9" w:rsidRDefault="00335CDF" w:rsidP="00981D1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noteikumus attiecināmo emisiju noteikšanai katrai apakšiekārtai, lai varētu atjaunināt līmeņatzīmju vērtības;</w:t>
      </w:r>
    </w:p>
    <w:p w:rsidR="00335CDF" w:rsidRPr="001E6CF9" w:rsidRDefault="00335CDF" w:rsidP="00981D1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noteikumus oglekļa emisiju pārvirzes riska koeficienta piemērošanai;</w:t>
      </w:r>
    </w:p>
    <w:p w:rsidR="00335CDF" w:rsidRPr="001E6CF9" w:rsidRDefault="00335CDF" w:rsidP="00981D1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noteikumus gadījumiem, kad siltuma plūsmas ir pāri iekārtu robežām;</w:t>
      </w:r>
    </w:p>
    <w:p w:rsidR="00335CDF" w:rsidRPr="001E6CF9" w:rsidRDefault="00335CDF" w:rsidP="00981D1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datu vākšanas, monitoringa un ziņošanas noteikumus.</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Vairāki kvotu piešķiršanas metodoloģijas elementi sīkāk izstrādāti šādos aktos:</w:t>
      </w:r>
    </w:p>
    <w:p w:rsidR="00335CDF" w:rsidRPr="001E6CF9" w:rsidRDefault="00335CDF" w:rsidP="00981D1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atjauninātās līmeņatzīmju vērtības, kas jāizmanto apakšiekārtām piešķiramo kvotu aprēķināšanā, ir norādītas Līmeņatzīmju atjaunināšanas īstenošanas aktā;</w:t>
      </w:r>
    </w:p>
    <w:p w:rsidR="00335CDF" w:rsidRPr="001E6CF9" w:rsidRDefault="00335CDF" w:rsidP="00981D1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atjauninātajā Oglekļa emisiju pārvirzes sarakstā (</w:t>
      </w:r>
      <w:r>
        <w:rPr>
          <w:rFonts w:ascii="Times New Roman" w:hAnsi="Times New Roman"/>
          <w:i/>
        </w:rPr>
        <w:t>CLL</w:t>
      </w:r>
      <w:r>
        <w:rPr>
          <w:rFonts w:ascii="Times New Roman" w:hAnsi="Times New Roman"/>
        </w:rPr>
        <w:t>), kurā norādītas nozares un darbības, kas 4. periodā var pretendēt uz kvotu bezmaksas piešķiršanu 100 % apmērā</w:t>
      </w:r>
      <w:r w:rsidR="00D73EE7">
        <w:rPr>
          <w:rStyle w:val="FootnoteReference"/>
          <w:rFonts w:ascii="Times New Roman" w:hAnsi="Times New Roman" w:cs="Calibri"/>
          <w:noProof/>
        </w:rPr>
        <w:footnoteReference w:id="17"/>
      </w:r>
      <w:r>
        <w:rPr>
          <w:rFonts w:ascii="Times New Roman" w:hAnsi="Times New Roman"/>
        </w:rPr>
        <w:t>;</w:t>
      </w:r>
    </w:p>
    <w:p w:rsidR="00335CDF" w:rsidRPr="001E6CF9" w:rsidRDefault="00335CDF" w:rsidP="00981D1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noteikumi, kuros definēts tas, kā (apakš-)iekārtas darbības līmeņu izmaiņas ietekmē tai piešķiramo kvotu apjomu, ir noteikti Darbības līmeņa izmaiņu īstenošanas aktā.</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Pamatojoties uz </w:t>
      </w:r>
      <w:r>
        <w:rPr>
          <w:rFonts w:ascii="Times New Roman" w:hAnsi="Times New Roman"/>
          <w:i/>
        </w:rPr>
        <w:t>FAR</w:t>
      </w:r>
      <w:r>
        <w:rPr>
          <w:rFonts w:ascii="Times New Roman" w:hAnsi="Times New Roman"/>
        </w:rPr>
        <w:t>, dalībvalstu uzdevums ir aprēķināt provizorisko ikgadējo piešķiramo emisijas kvotu apjomu apakšiekārtas līmenī. Komisija nodrošina elektronisku veidni, lai atvieglotu datu vākšanu, īstenojot saskaņotu pieeju. Pamatojoties uz savāktajiem datiem, katra dalībvalsts iesniedz Komisijai visu to savā teritorijā esošo iekārtu sarakstu, uz kurām attiecas ES ETS direktīva, līdz 2019. gada 30. septembrim par 2021.–2025. gada periodu un līdz 2024. gada 30. septembrim par 2026.–2030. gada periodu. Turpmāk mēs saucam šo sarakstu par valsts īstenošanas pasākumu (</w:t>
      </w:r>
      <w:r>
        <w:rPr>
          <w:rFonts w:ascii="Times New Roman" w:hAnsi="Times New Roman"/>
          <w:i/>
        </w:rPr>
        <w:t>NIMs</w:t>
      </w:r>
      <w:r>
        <w:rPr>
          <w:rFonts w:ascii="Times New Roman" w:hAnsi="Times New Roman"/>
        </w:rPr>
        <w:t xml:space="preserve">) sarakstu. </w:t>
      </w:r>
      <w:r>
        <w:rPr>
          <w:rFonts w:ascii="Times New Roman" w:hAnsi="Times New Roman"/>
          <w:i/>
        </w:rPr>
        <w:t>NIM</w:t>
      </w:r>
      <w:r>
        <w:rPr>
          <w:rFonts w:ascii="Times New Roman" w:hAnsi="Times New Roman"/>
        </w:rPr>
        <w:t xml:space="preserve"> saraksts ietver arī iekārtas, kas tiek klasificētas kā elektroenerģijas ražošanas iekārtas</w:t>
      </w:r>
      <w:r w:rsidR="001C62E2">
        <w:rPr>
          <w:rStyle w:val="FootnoteReference"/>
          <w:rFonts w:ascii="Times New Roman" w:hAnsi="Times New Roman" w:cs="Calibri"/>
          <w:noProof/>
        </w:rPr>
        <w:footnoteReference w:id="18"/>
      </w:r>
      <w:r>
        <w:rPr>
          <w:rFonts w:ascii="Times New Roman" w:hAnsi="Times New Roman"/>
        </w:rPr>
        <w:t>, kā arī tā sauktos “mazos emitētājus”, kas minēti Direktīvas 2003/87/EK 27. un 27.a pantā.</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Komisija savāks visu dalībvalstu </w:t>
      </w:r>
      <w:r>
        <w:rPr>
          <w:rFonts w:ascii="Times New Roman" w:hAnsi="Times New Roman"/>
          <w:i/>
        </w:rPr>
        <w:t>NIM</w:t>
      </w:r>
      <w:r>
        <w:rPr>
          <w:rFonts w:ascii="Times New Roman" w:hAnsi="Times New Roman"/>
        </w:rPr>
        <w:t xml:space="preserve"> sarakstus un izvērtēs katras iekārtas iekļaušanu sarakstā un iesniegtos datus par katru iekārtu. Pamatojoties uz šiem datiem, Komisija aprēķinās </w:t>
      </w:r>
      <w:r>
        <w:rPr>
          <w:rFonts w:ascii="Times New Roman" w:hAnsi="Times New Roman"/>
        </w:rPr>
        <w:lastRenderedPageBreak/>
        <w:t>atjauninātās līmeņatzīmju vērtības, ko dalībvalstis izmantos, lai noteiktu provizorisko ikgadējo piešķiramo emisijas kvotu apjomu katrai iekārtai, ņemot vērā katras apakšiekārtas līmeņatzīmju vērtības un oglekļa emisiju pārvirzes (</w:t>
      </w:r>
      <w:r>
        <w:rPr>
          <w:rFonts w:ascii="Times New Roman" w:hAnsi="Times New Roman"/>
          <w:i/>
        </w:rPr>
        <w:t>CL</w:t>
      </w:r>
      <w:r>
        <w:rPr>
          <w:rFonts w:ascii="Times New Roman" w:hAnsi="Times New Roman"/>
        </w:rPr>
        <w:t>) statusu. Nākamais solis ir SSKK</w:t>
      </w:r>
      <w:r w:rsidR="001C62E2">
        <w:rPr>
          <w:rStyle w:val="FootnoteReference"/>
          <w:rFonts w:ascii="Times New Roman" w:hAnsi="Times New Roman" w:cs="Calibri"/>
          <w:noProof/>
        </w:rPr>
        <w:footnoteReference w:id="19"/>
      </w:r>
      <w:r>
        <w:rPr>
          <w:rFonts w:ascii="Times New Roman" w:hAnsi="Times New Roman"/>
        </w:rPr>
        <w:t xml:space="preserve"> noteikšana, ko veiks Komisija; tas tiks vienādi piemērots visām iekārtām. Attiecībā uz elektroenerģijas ražošanas iekārtām, kas var pretendēt uz kvotu piešķiršanu, gados, kad piemēro SSKK, lineārais samazinājuma koeficients netiek piemērots. Nepieciešamība piemērot SSKK un tā vērtība var atšķirties katrā ceturtā tirdzniecības perioda un katra kvotu piešķiršanas perioda gadā.</w:t>
      </w:r>
    </w:p>
    <w:p w:rsidR="00335CDF" w:rsidRPr="001E6CF9" w:rsidRDefault="00335CDF" w:rsidP="00DE30DA">
      <w:pPr>
        <w:jc w:val="both"/>
        <w:rPr>
          <w:rFonts w:ascii="Times New Roman" w:hAnsi="Times New Roman"/>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Dalībvalstis aprēķinās galīgo ikgadējo piešķiramo kvotu apjomu un paziņos to Komisijai.</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Tāda pati procedūra tiks ievērota, gatavojoties veikt sākotnējā kvotu apjoma piešķiršanu katrā kvotu piešķiršanas periodā.</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Salīdzinājumā ar 3. perioda procesu 4. perioda procesā ir viens papildu solis, kas jāveic, lai atjauninātu līmeņatzīmju vērtības, kuras paredzēts izmantot provizorisko kvotu piešķīruma līmeņu aprēķināšanai apakšiekārtas līmenī, pamatojoties uz datiem, kas apkopti </w:t>
      </w:r>
      <w:r>
        <w:rPr>
          <w:rFonts w:ascii="Times New Roman" w:hAnsi="Times New Roman"/>
          <w:i/>
        </w:rPr>
        <w:t>NIM</w:t>
      </w:r>
      <w:r>
        <w:rPr>
          <w:rFonts w:ascii="Times New Roman" w:hAnsi="Times New Roman"/>
        </w:rPr>
        <w:t xml:space="preserve"> vajadzībām.</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Tādēļ </w:t>
      </w:r>
      <w:r>
        <w:rPr>
          <w:rFonts w:ascii="Times New Roman" w:hAnsi="Times New Roman"/>
          <w:i/>
        </w:rPr>
        <w:t>NIM</w:t>
      </w:r>
      <w:r>
        <w:rPr>
          <w:rFonts w:ascii="Times New Roman" w:hAnsi="Times New Roman"/>
        </w:rPr>
        <w:t xml:space="preserve"> dokumentu iesniegšana notiks iteratīvā procesā, kas parādīts </w:t>
      </w:r>
      <w:r>
        <w:rPr>
          <w:rFonts w:ascii="Times New Roman" w:hAnsi="Times New Roman"/>
          <w:b/>
        </w:rPr>
        <w:t>2. attēlā</w:t>
      </w:r>
      <w:r>
        <w:rPr>
          <w:rFonts w:ascii="Times New Roman" w:hAnsi="Times New Roman"/>
        </w:rPr>
        <w:t xml:space="preserve"> un kurā kompetentās iestādes datus vairākkārt iesniegs Komisijai, kā arī tiks veiktas dažādas aprēķinu darbības, lai rezultātā noteiktu galīgo piešķiramo kvotu apjomu visām sarakstā ietvertajām iekārtām. Turpmāk ir uzskaitītas šīs darbības, norādot arī dažādo iesniedzamo dokumentu formu (izmantotās terminoloģijas pārskatu sk. arī 2. tabulā):</w:t>
      </w:r>
    </w:p>
    <w:p w:rsidR="00335CDF" w:rsidRPr="001E6CF9" w:rsidRDefault="00335CDF" w:rsidP="001C62E2">
      <w:pPr>
        <w:pStyle w:val="BodyText"/>
        <w:numPr>
          <w:ilvl w:val="0"/>
          <w:numId w:val="8"/>
        </w:numPr>
        <w:tabs>
          <w:tab w:val="left" w:pos="403"/>
        </w:tabs>
        <w:ind w:left="426" w:hanging="426"/>
        <w:jc w:val="both"/>
        <w:rPr>
          <w:rFonts w:ascii="Times New Roman" w:hAnsi="Times New Roman"/>
          <w:noProof/>
        </w:rPr>
      </w:pPr>
      <w:r>
        <w:rPr>
          <w:rFonts w:ascii="Times New Roman" w:hAnsi="Times New Roman"/>
          <w:i/>
        </w:rPr>
        <w:t>NIM</w:t>
      </w:r>
      <w:r>
        <w:rPr>
          <w:rFonts w:ascii="Times New Roman" w:hAnsi="Times New Roman"/>
        </w:rPr>
        <w:t xml:space="preserve"> saraksta (kurā nav norādīti piešķiramo kvotu apjomi) pirmajam kvotu piešķiršanas periodam iesniegšana, ko līdz 2019. gada 30. septembrim veic kompetentās iestādes, sniedzot bāzlīnijas datus, kas nepieciešami gan līmeņatzīmju atjaunināšanai, gan piešķiramo kvotu apjoma aprēķiniem, un ko iesnieguši operatori, ietverot tos bāzlīnijas datu ziņojumos;</w:t>
      </w:r>
    </w:p>
    <w:p w:rsidR="00335CDF" w:rsidRPr="001E6CF9" w:rsidRDefault="00335CDF" w:rsidP="001C62E2">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 xml:space="preserve">atjaunināto līmeņatzīmju vērtību aprēķināšana, ko veic Komisija, pamatojoties uz datiem, kas ietverti </w:t>
      </w:r>
      <w:r>
        <w:rPr>
          <w:rFonts w:ascii="Times New Roman" w:hAnsi="Times New Roman"/>
          <w:i/>
        </w:rPr>
        <w:t>NIM</w:t>
      </w:r>
      <w:r>
        <w:rPr>
          <w:rFonts w:ascii="Times New Roman" w:hAnsi="Times New Roman"/>
        </w:rPr>
        <w:t xml:space="preserve"> sarakstā;</w:t>
      </w:r>
    </w:p>
    <w:p w:rsidR="00335CDF" w:rsidRPr="001E6CF9" w:rsidRDefault="00335CDF" w:rsidP="001C62E2">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provizorisko piešķiramo kvotu apjoma aprēķināšana, ko veic dalībvalstis, pamatojoties uz atjauninātajām līmeņatzīmju vērtībām;</w:t>
      </w:r>
    </w:p>
    <w:p w:rsidR="00335CDF" w:rsidRPr="001E6CF9" w:rsidRDefault="00335CDF" w:rsidP="001C62E2">
      <w:pPr>
        <w:pStyle w:val="BodyText"/>
        <w:numPr>
          <w:ilvl w:val="0"/>
          <w:numId w:val="8"/>
        </w:numPr>
        <w:tabs>
          <w:tab w:val="left" w:pos="403"/>
        </w:tabs>
        <w:ind w:left="426" w:hanging="426"/>
        <w:jc w:val="both"/>
        <w:rPr>
          <w:rFonts w:ascii="Times New Roman" w:hAnsi="Times New Roman"/>
          <w:noProof/>
        </w:rPr>
      </w:pPr>
      <w:r>
        <w:rPr>
          <w:rFonts w:ascii="Times New Roman" w:hAnsi="Times New Roman"/>
          <w:i/>
        </w:rPr>
        <w:t>NIM</w:t>
      </w:r>
      <w:r>
        <w:rPr>
          <w:rFonts w:ascii="Times New Roman" w:hAnsi="Times New Roman"/>
        </w:rPr>
        <w:t xml:space="preserve"> saraksta, kurā norādīti provizoriskie piešķiramo kvotu apjomi, iesniegšana, ko veic dalībvalstis;</w:t>
      </w:r>
    </w:p>
    <w:p w:rsidR="00335CDF" w:rsidRPr="001E6CF9" w:rsidRDefault="00335CDF" w:rsidP="001C62E2">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starpsektoru korekcijas koeficienta SSKK aprēķināšana, ko veic Komisija (attiecīgos gadījumos);</w:t>
      </w:r>
    </w:p>
    <w:p w:rsidR="00335CDF" w:rsidRPr="001E6CF9" w:rsidRDefault="00335CDF" w:rsidP="001C62E2">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galīgā piešķiramo kvotu apjoma aprēķināšana, ko veic dalībvalstis, attiecīgos gadījumos ņemot vērā SSKK un LSK;</w:t>
      </w:r>
    </w:p>
    <w:p w:rsidR="00335CDF" w:rsidRPr="001E6CF9" w:rsidRDefault="00335CDF" w:rsidP="001C62E2">
      <w:pPr>
        <w:pStyle w:val="BodyText"/>
        <w:numPr>
          <w:ilvl w:val="0"/>
          <w:numId w:val="8"/>
        </w:numPr>
        <w:tabs>
          <w:tab w:val="left" w:pos="403"/>
        </w:tabs>
        <w:ind w:left="426" w:hanging="426"/>
        <w:jc w:val="both"/>
        <w:rPr>
          <w:rFonts w:ascii="Times New Roman" w:hAnsi="Times New Roman"/>
          <w:noProof/>
        </w:rPr>
      </w:pPr>
      <w:r>
        <w:rPr>
          <w:rFonts w:ascii="Times New Roman" w:hAnsi="Times New Roman"/>
          <w:i/>
        </w:rPr>
        <w:t>NIM</w:t>
      </w:r>
      <w:r>
        <w:rPr>
          <w:rFonts w:ascii="Times New Roman" w:hAnsi="Times New Roman"/>
        </w:rPr>
        <w:t xml:space="preserve"> saraksta, kurā norādīti galīgie piešķiramo kvotu apjomi, iesniegšana, ko veic dalībvalstis.</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Galīgie piešķiramo kvotu apjomi tiks noteikti Komisijas lēmumos. </w:t>
      </w:r>
      <w:r>
        <w:rPr>
          <w:rFonts w:ascii="Times New Roman" w:hAnsi="Times New Roman"/>
          <w:b/>
        </w:rPr>
        <w:t xml:space="preserve">2. attēlā </w:t>
      </w:r>
      <w:r>
        <w:rPr>
          <w:rFonts w:ascii="Times New Roman" w:hAnsi="Times New Roman"/>
        </w:rPr>
        <w:t>parādīts galvenais process, kura rezultātā tiek noteikts galīgais kopējais ikgadējais piešķiramais bezmaksas kvotu apjoms iekārtām.</w:t>
      </w:r>
    </w:p>
    <w:p w:rsidR="00257BD6" w:rsidRDefault="00257BD6">
      <w:pPr>
        <w:rPr>
          <w:rFonts w:ascii="Times New Roman" w:eastAsia="Calibri" w:hAnsi="Times New Roman" w:cs="Calibri"/>
          <w:noProof/>
          <w:sz w:val="24"/>
          <w:szCs w:val="25"/>
        </w:rPr>
      </w:pPr>
      <w:r>
        <w:rPr>
          <w:rFonts w:ascii="Times New Roman" w:eastAsia="Calibri" w:hAnsi="Times New Roman" w:cs="Calibri"/>
          <w:noProof/>
          <w:sz w:val="24"/>
          <w:szCs w:val="25"/>
        </w:rPr>
        <w:br w:type="page"/>
      </w:r>
    </w:p>
    <w:p w:rsidR="00335CDF" w:rsidRPr="001E6CF9" w:rsidRDefault="00335CDF" w:rsidP="00DE30DA">
      <w:pPr>
        <w:jc w:val="both"/>
        <w:rPr>
          <w:rFonts w:ascii="Times New Roman" w:eastAsia="Calibri" w:hAnsi="Times New Roman" w:cs="Calibri"/>
          <w:noProof/>
          <w:sz w:val="24"/>
          <w:szCs w:val="25"/>
        </w:rPr>
      </w:pPr>
    </w:p>
    <w:p w:rsidR="00335CDF" w:rsidRPr="001E6CF9" w:rsidRDefault="00335CDF" w:rsidP="00DE30DA">
      <w:pPr>
        <w:jc w:val="both"/>
        <w:rPr>
          <w:rFonts w:ascii="Times New Roman" w:hAnsi="Times New Roman"/>
          <w:b/>
          <w:noProof/>
          <w:sz w:val="24"/>
        </w:rPr>
      </w:pPr>
      <w:r>
        <w:rPr>
          <w:rFonts w:ascii="Times New Roman" w:hAnsi="Times New Roman"/>
          <w:b/>
          <w:sz w:val="24"/>
        </w:rPr>
        <w:t>2. tabula. Terminoloģija, kas tiek izmantota dažādos iesniedzamajos dokumentos, un veidnes, ko izmanto kvotu piešķiršanas procesā</w:t>
      </w:r>
      <w:bookmarkStart w:id="19" w:name="_bookmark11"/>
      <w:bookmarkEnd w:id="19"/>
    </w:p>
    <w:p w:rsidR="00335CDF" w:rsidRPr="001E6CF9" w:rsidRDefault="00335CDF" w:rsidP="00DE30DA">
      <w:pPr>
        <w:jc w:val="both"/>
        <w:rPr>
          <w:rFonts w:ascii="Times New Roman" w:eastAsia="Calibri" w:hAnsi="Times New Roman" w:cs="Calibri"/>
          <w:b/>
          <w:bCs/>
          <w:noProof/>
          <w:sz w:val="24"/>
          <w:szCs w:val="10"/>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2543"/>
        <w:gridCol w:w="2300"/>
        <w:gridCol w:w="4285"/>
      </w:tblGrid>
      <w:tr w:rsidR="001E6CF9" w:rsidRPr="001C62E2" w:rsidTr="001C62E2">
        <w:tc>
          <w:tcPr>
            <w:tcW w:w="1393"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b/>
                <w:noProof/>
                <w:sz w:val="20"/>
                <w:szCs w:val="20"/>
              </w:rPr>
            </w:pPr>
            <w:r>
              <w:rPr>
                <w:rFonts w:ascii="Times New Roman" w:hAnsi="Times New Roman"/>
                <w:b/>
                <w:sz w:val="20"/>
                <w:szCs w:val="20"/>
              </w:rPr>
              <w:t>Iesniedzamie dokumenti</w:t>
            </w:r>
          </w:p>
        </w:tc>
        <w:tc>
          <w:tcPr>
            <w:tcW w:w="1260"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b/>
                <w:noProof/>
                <w:sz w:val="20"/>
                <w:szCs w:val="20"/>
              </w:rPr>
            </w:pPr>
            <w:r>
              <w:rPr>
                <w:rFonts w:ascii="Times New Roman" w:hAnsi="Times New Roman"/>
                <w:b/>
                <w:sz w:val="20"/>
                <w:szCs w:val="20"/>
              </w:rPr>
              <w:t>Izmantotā veidne</w:t>
            </w:r>
          </w:p>
        </w:tc>
        <w:tc>
          <w:tcPr>
            <w:tcW w:w="2347"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b/>
                <w:noProof/>
                <w:sz w:val="20"/>
                <w:szCs w:val="20"/>
              </w:rPr>
            </w:pPr>
            <w:r>
              <w:rPr>
                <w:rFonts w:ascii="Times New Roman" w:hAnsi="Times New Roman"/>
                <w:b/>
                <w:sz w:val="20"/>
                <w:szCs w:val="20"/>
              </w:rPr>
              <w:t>Izmantotais procesa posms</w:t>
            </w:r>
          </w:p>
        </w:tc>
      </w:tr>
      <w:tr w:rsidR="001E6CF9" w:rsidRPr="001C62E2" w:rsidTr="001C62E2">
        <w:tc>
          <w:tcPr>
            <w:tcW w:w="1393"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Bāzlīnijas datu ziņojums</w:t>
            </w:r>
          </w:p>
        </w:tc>
        <w:tc>
          <w:tcPr>
            <w:tcW w:w="1260"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Bāzlīnijas datu veidne</w:t>
            </w:r>
          </w:p>
        </w:tc>
        <w:tc>
          <w:tcPr>
            <w:tcW w:w="2347"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 xml:space="preserve">Datu vākšana līmeņatzīmju atjaunināšanai un piešķiramo kvotu apjoma aprēķināšanai esošajām iekārtām, sagatavojot (pirmo) </w:t>
            </w:r>
            <w:r>
              <w:rPr>
                <w:rFonts w:ascii="Times New Roman" w:hAnsi="Times New Roman"/>
                <w:i/>
                <w:sz w:val="20"/>
                <w:szCs w:val="20"/>
              </w:rPr>
              <w:t>NIM</w:t>
            </w:r>
          </w:p>
        </w:tc>
      </w:tr>
      <w:tr w:rsidR="001E6CF9" w:rsidRPr="001C62E2" w:rsidTr="001C62E2">
        <w:tc>
          <w:tcPr>
            <w:tcW w:w="1393"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i/>
                <w:sz w:val="20"/>
                <w:szCs w:val="20"/>
              </w:rPr>
              <w:t>NIM</w:t>
            </w:r>
            <w:r>
              <w:rPr>
                <w:rFonts w:ascii="Times New Roman" w:hAnsi="Times New Roman"/>
                <w:sz w:val="20"/>
                <w:szCs w:val="20"/>
              </w:rPr>
              <w:t xml:space="preserve"> saraksts</w:t>
            </w:r>
          </w:p>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(nav piešķiramo kvotu)</w:t>
            </w:r>
          </w:p>
        </w:tc>
        <w:tc>
          <w:tcPr>
            <w:tcW w:w="1260"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i/>
                <w:sz w:val="20"/>
                <w:szCs w:val="20"/>
              </w:rPr>
              <w:t>NIM</w:t>
            </w:r>
            <w:r>
              <w:rPr>
                <w:rFonts w:ascii="Times New Roman" w:hAnsi="Times New Roman"/>
                <w:sz w:val="20"/>
                <w:szCs w:val="20"/>
              </w:rPr>
              <w:t xml:space="preserve"> saraksta veidne</w:t>
            </w:r>
          </w:p>
        </w:tc>
        <w:tc>
          <w:tcPr>
            <w:tcW w:w="2347"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Līmeņatzīmju vērtību atjaunināšana, sagatavojot provizoriskā piešķiramo kvotu apjoma aprēķinu</w:t>
            </w:r>
          </w:p>
        </w:tc>
      </w:tr>
      <w:tr w:rsidR="001E6CF9" w:rsidRPr="001C62E2" w:rsidTr="001C62E2">
        <w:tc>
          <w:tcPr>
            <w:tcW w:w="1393"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i/>
                <w:sz w:val="20"/>
                <w:szCs w:val="20"/>
              </w:rPr>
              <w:t>NIM</w:t>
            </w:r>
            <w:r>
              <w:rPr>
                <w:rFonts w:ascii="Times New Roman" w:hAnsi="Times New Roman"/>
                <w:sz w:val="20"/>
                <w:szCs w:val="20"/>
              </w:rPr>
              <w:t xml:space="preserve"> saraksts, kurā norādīti provizoriskie piešķiramo kvotu apjomi</w:t>
            </w:r>
          </w:p>
        </w:tc>
        <w:tc>
          <w:tcPr>
            <w:tcW w:w="1260"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 xml:space="preserve">(paplašinātā) </w:t>
            </w:r>
            <w:r>
              <w:rPr>
                <w:rFonts w:ascii="Times New Roman" w:hAnsi="Times New Roman"/>
                <w:i/>
                <w:sz w:val="20"/>
                <w:szCs w:val="20"/>
              </w:rPr>
              <w:t>NIM</w:t>
            </w:r>
            <w:r>
              <w:rPr>
                <w:rFonts w:ascii="Times New Roman" w:hAnsi="Times New Roman"/>
                <w:sz w:val="20"/>
                <w:szCs w:val="20"/>
              </w:rPr>
              <w:t xml:space="preserve"> saraksta veidne</w:t>
            </w:r>
          </w:p>
        </w:tc>
        <w:tc>
          <w:tcPr>
            <w:tcW w:w="2347"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Provizoriskā piešķiramo kvotu apjoma aprēķināšana esošajām iekārtām</w:t>
            </w:r>
          </w:p>
        </w:tc>
      </w:tr>
      <w:tr w:rsidR="001E6CF9" w:rsidRPr="001C62E2" w:rsidTr="001C62E2">
        <w:tc>
          <w:tcPr>
            <w:tcW w:w="1393"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i/>
                <w:sz w:val="20"/>
                <w:szCs w:val="20"/>
              </w:rPr>
              <w:t>NIM</w:t>
            </w:r>
            <w:r>
              <w:rPr>
                <w:rFonts w:ascii="Times New Roman" w:hAnsi="Times New Roman"/>
                <w:sz w:val="20"/>
                <w:szCs w:val="20"/>
              </w:rPr>
              <w:t xml:space="preserve"> saraksts, kurā norādīti galīgie piešķiramo kvotu apjomi</w:t>
            </w:r>
          </w:p>
        </w:tc>
        <w:tc>
          <w:tcPr>
            <w:tcW w:w="1260"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 xml:space="preserve">(paplašinātā) </w:t>
            </w:r>
            <w:r>
              <w:rPr>
                <w:rFonts w:ascii="Times New Roman" w:hAnsi="Times New Roman"/>
                <w:i/>
                <w:sz w:val="20"/>
                <w:szCs w:val="20"/>
              </w:rPr>
              <w:t>NIM</w:t>
            </w:r>
            <w:r>
              <w:rPr>
                <w:rFonts w:ascii="Times New Roman" w:hAnsi="Times New Roman"/>
                <w:sz w:val="20"/>
                <w:szCs w:val="20"/>
              </w:rPr>
              <w:t xml:space="preserve"> saraksta veidne</w:t>
            </w:r>
          </w:p>
        </w:tc>
        <w:tc>
          <w:tcPr>
            <w:tcW w:w="2347"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Galīgā piešķiramo kvotu apjoma aprēķināšana esošajām iekārtām pēc tam, kad ir noteikts SSKK</w:t>
            </w:r>
          </w:p>
        </w:tc>
      </w:tr>
      <w:tr w:rsidR="001E6CF9" w:rsidRPr="001C62E2" w:rsidTr="001C62E2">
        <w:tc>
          <w:tcPr>
            <w:tcW w:w="1393"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Jaunas iekārtas datu ziņojums</w:t>
            </w:r>
          </w:p>
        </w:tc>
        <w:tc>
          <w:tcPr>
            <w:tcW w:w="1260"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Jaunas iekārtas datu veidne</w:t>
            </w:r>
          </w:p>
        </w:tc>
        <w:tc>
          <w:tcPr>
            <w:tcW w:w="2347"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 xml:space="preserve">Jaunu iekārtu operatoru pieteikšanās uz bez maksas piešķiramajām kvotām (pēc </w:t>
            </w:r>
            <w:r>
              <w:rPr>
                <w:rFonts w:ascii="Times New Roman" w:hAnsi="Times New Roman"/>
                <w:i/>
                <w:sz w:val="20"/>
                <w:szCs w:val="20"/>
              </w:rPr>
              <w:t>NIM</w:t>
            </w:r>
            <w:r>
              <w:rPr>
                <w:rFonts w:ascii="Times New Roman" w:hAnsi="Times New Roman"/>
                <w:sz w:val="20"/>
                <w:szCs w:val="20"/>
              </w:rPr>
              <w:t>)</w:t>
            </w:r>
          </w:p>
        </w:tc>
      </w:tr>
      <w:tr w:rsidR="00335CDF" w:rsidRPr="001C62E2" w:rsidTr="001C62E2">
        <w:tc>
          <w:tcPr>
            <w:tcW w:w="1393"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Ikgadējais ziņojums par darbības līmeni</w:t>
            </w:r>
          </w:p>
        </w:tc>
        <w:tc>
          <w:tcPr>
            <w:tcW w:w="1260"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Ziņojuma par darbības līmeni (</w:t>
            </w:r>
            <w:r>
              <w:rPr>
                <w:rFonts w:ascii="Times New Roman" w:hAnsi="Times New Roman"/>
                <w:i/>
                <w:sz w:val="20"/>
                <w:szCs w:val="20"/>
              </w:rPr>
              <w:t>ALR</w:t>
            </w:r>
            <w:r>
              <w:rPr>
                <w:rFonts w:ascii="Times New Roman" w:hAnsi="Times New Roman"/>
                <w:sz w:val="20"/>
                <w:szCs w:val="20"/>
              </w:rPr>
              <w:t>) veidne</w:t>
            </w:r>
          </w:p>
        </w:tc>
        <w:tc>
          <w:tcPr>
            <w:tcW w:w="2347" w:type="pct"/>
            <w:tcBorders>
              <w:top w:val="single" w:sz="5" w:space="0" w:color="000000"/>
              <w:left w:val="single" w:sz="5" w:space="0" w:color="000000"/>
              <w:bottom w:val="single" w:sz="5" w:space="0" w:color="000000"/>
              <w:right w:val="single" w:sz="5" w:space="0" w:color="000000"/>
            </w:tcBorders>
          </w:tcPr>
          <w:p w:rsidR="00335CDF" w:rsidRPr="001C62E2" w:rsidRDefault="00335CDF" w:rsidP="00DE30DA">
            <w:pPr>
              <w:pStyle w:val="TableParagraph"/>
              <w:jc w:val="both"/>
              <w:rPr>
                <w:rFonts w:ascii="Times New Roman" w:hAnsi="Times New Roman"/>
                <w:noProof/>
                <w:sz w:val="20"/>
                <w:szCs w:val="20"/>
              </w:rPr>
            </w:pPr>
            <w:r>
              <w:rPr>
                <w:rFonts w:ascii="Times New Roman" w:hAnsi="Times New Roman"/>
                <w:sz w:val="20"/>
                <w:szCs w:val="20"/>
              </w:rPr>
              <w:t xml:space="preserve">Monitorings, lai noteiktu nepieciešamību veikt izmaiņas attiecībā uz kvotu bezmaksas piešķiršanu esošajām iekārtām darbības līmeņa izmaiņu dēļ (pēc </w:t>
            </w:r>
            <w:r>
              <w:rPr>
                <w:rFonts w:ascii="Times New Roman" w:hAnsi="Times New Roman"/>
                <w:i/>
                <w:sz w:val="20"/>
                <w:szCs w:val="20"/>
              </w:rPr>
              <w:t>NIM</w:t>
            </w:r>
            <w:r>
              <w:rPr>
                <w:rFonts w:ascii="Times New Roman" w:hAnsi="Times New Roman"/>
                <w:sz w:val="20"/>
                <w:szCs w:val="20"/>
              </w:rPr>
              <w:t>)</w:t>
            </w:r>
          </w:p>
        </w:tc>
      </w:tr>
    </w:tbl>
    <w:p w:rsidR="00335CDF" w:rsidRPr="001E6CF9" w:rsidRDefault="00335CDF" w:rsidP="00DE30DA">
      <w:pPr>
        <w:jc w:val="both"/>
        <w:rPr>
          <w:rFonts w:ascii="Times New Roman" w:eastAsia="Calibri" w:hAnsi="Times New Roman" w:cs="Calibri"/>
          <w:b/>
          <w:bCs/>
          <w:noProof/>
          <w:sz w:val="24"/>
          <w:szCs w:val="1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Pirmajā </w:t>
      </w:r>
      <w:r>
        <w:rPr>
          <w:rFonts w:ascii="Times New Roman" w:hAnsi="Times New Roman"/>
          <w:i/>
        </w:rPr>
        <w:t>NIM</w:t>
      </w:r>
      <w:r>
        <w:rPr>
          <w:rFonts w:ascii="Times New Roman" w:hAnsi="Times New Roman"/>
        </w:rPr>
        <w:t xml:space="preserve"> sarakstā (kurā nav norādīts piešķiramo kvotu apjoms) saskaņā ar </w:t>
      </w:r>
      <w:r>
        <w:rPr>
          <w:rFonts w:ascii="Times New Roman" w:hAnsi="Times New Roman"/>
          <w:i/>
        </w:rPr>
        <w:t>FAR</w:t>
      </w:r>
      <w:r>
        <w:rPr>
          <w:rFonts w:ascii="Times New Roman" w:hAnsi="Times New Roman"/>
        </w:rPr>
        <w:t xml:space="preserve"> 14. pantu būs ietverti dati par turpmāk norādītajiem elementiem apakšiekārtu līmenī piecos kalendārajos gados pirms tā iesniegšanas:</w:t>
      </w:r>
    </w:p>
    <w:p w:rsidR="00335CDF" w:rsidRPr="001E6CF9" w:rsidRDefault="00335CDF" w:rsidP="00DE30DA">
      <w:pPr>
        <w:pStyle w:val="BodyText"/>
        <w:numPr>
          <w:ilvl w:val="0"/>
          <w:numId w:val="8"/>
        </w:numPr>
        <w:tabs>
          <w:tab w:val="left" w:pos="403"/>
        </w:tabs>
        <w:ind w:left="0" w:firstLine="0"/>
        <w:jc w:val="both"/>
        <w:rPr>
          <w:rFonts w:ascii="Times New Roman" w:hAnsi="Times New Roman"/>
          <w:noProof/>
        </w:rPr>
      </w:pPr>
      <w:r>
        <w:rPr>
          <w:rFonts w:ascii="Times New Roman" w:hAnsi="Times New Roman"/>
        </w:rPr>
        <w:t>darbības līmeņi;</w:t>
      </w:r>
    </w:p>
    <w:p w:rsidR="00335CDF" w:rsidRPr="001E6CF9" w:rsidRDefault="00335CDF" w:rsidP="00DE30DA">
      <w:pPr>
        <w:pStyle w:val="BodyText"/>
        <w:numPr>
          <w:ilvl w:val="0"/>
          <w:numId w:val="8"/>
        </w:numPr>
        <w:tabs>
          <w:tab w:val="left" w:pos="403"/>
        </w:tabs>
        <w:ind w:left="0" w:firstLine="0"/>
        <w:jc w:val="both"/>
        <w:rPr>
          <w:rFonts w:ascii="Times New Roman" w:hAnsi="Times New Roman"/>
          <w:noProof/>
        </w:rPr>
      </w:pPr>
      <w:r>
        <w:rPr>
          <w:rFonts w:ascii="Times New Roman" w:hAnsi="Times New Roman"/>
        </w:rPr>
        <w:t>siltuma un gāzu pārvade;</w:t>
      </w:r>
    </w:p>
    <w:p w:rsidR="00335CDF" w:rsidRPr="001E6CF9" w:rsidRDefault="00335CDF" w:rsidP="00DE30DA">
      <w:pPr>
        <w:pStyle w:val="BodyText"/>
        <w:numPr>
          <w:ilvl w:val="0"/>
          <w:numId w:val="8"/>
        </w:numPr>
        <w:tabs>
          <w:tab w:val="left" w:pos="403"/>
        </w:tabs>
        <w:ind w:left="0" w:firstLine="0"/>
        <w:jc w:val="both"/>
        <w:rPr>
          <w:rFonts w:ascii="Times New Roman" w:hAnsi="Times New Roman"/>
          <w:noProof/>
        </w:rPr>
      </w:pPr>
      <w:r>
        <w:rPr>
          <w:rFonts w:ascii="Times New Roman" w:hAnsi="Times New Roman"/>
        </w:rPr>
        <w:t>elektroenerģijas ražošana un</w:t>
      </w:r>
    </w:p>
    <w:p w:rsidR="00335CDF" w:rsidRPr="001E6CF9" w:rsidRDefault="00335CDF" w:rsidP="00DE30DA">
      <w:pPr>
        <w:pStyle w:val="BodyText"/>
        <w:numPr>
          <w:ilvl w:val="0"/>
          <w:numId w:val="8"/>
        </w:numPr>
        <w:tabs>
          <w:tab w:val="left" w:pos="403"/>
        </w:tabs>
        <w:ind w:left="0" w:firstLine="0"/>
        <w:jc w:val="both"/>
        <w:rPr>
          <w:rFonts w:ascii="Times New Roman" w:hAnsi="Times New Roman"/>
          <w:noProof/>
        </w:rPr>
      </w:pPr>
      <w:r>
        <w:rPr>
          <w:rFonts w:ascii="Times New Roman" w:hAnsi="Times New Roman"/>
        </w:rPr>
        <w:t>emisijas.</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Otrajā sarakstā, ko iesniedz dalībvalstis (“</w:t>
      </w:r>
      <w:r>
        <w:rPr>
          <w:rFonts w:ascii="Times New Roman" w:hAnsi="Times New Roman"/>
          <w:i/>
        </w:rPr>
        <w:t>NIM</w:t>
      </w:r>
      <w:r>
        <w:rPr>
          <w:rFonts w:ascii="Times New Roman" w:hAnsi="Times New Roman"/>
        </w:rPr>
        <w:t xml:space="preserve"> sarakstā, kurā norādīti provizoriskie piešķiramo kvotu apjomi”), būs ietverti:</w:t>
      </w:r>
    </w:p>
    <w:p w:rsidR="00335CDF" w:rsidRPr="001E6CF9" w:rsidRDefault="00335CDF" w:rsidP="001C62E2">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dati, kas ietverti iepriekš iesniegtajā sarakstā (tostarp visas korekcijas, ko noteikusi Komisija, ja tādas ir);</w:t>
      </w:r>
    </w:p>
    <w:p w:rsidR="00335CDF" w:rsidRPr="001E6CF9" w:rsidRDefault="00335CDF" w:rsidP="001C62E2">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 xml:space="preserve">dati par provizorisko ikgadējo bez maksas piešķiramo emisijas kvotu apjomu katrai </w:t>
      </w:r>
      <w:r>
        <w:rPr>
          <w:rFonts w:ascii="Times New Roman" w:hAnsi="Times New Roman"/>
          <w:b/>
        </w:rPr>
        <w:t>apakšiekārtai</w:t>
      </w:r>
      <w:r>
        <w:rPr>
          <w:rFonts w:ascii="Times New Roman" w:hAnsi="Times New Roman"/>
        </w:rPr>
        <w:t>;</w:t>
      </w:r>
    </w:p>
    <w:p w:rsidR="00335CDF" w:rsidRPr="001C62E2" w:rsidRDefault="00335CDF" w:rsidP="001C62E2">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 xml:space="preserve">dati par provizorisko kopējo ikgadējo bez maksas piešķiramo emisijas kvotu apjomu katrai </w:t>
      </w:r>
      <w:r>
        <w:rPr>
          <w:rFonts w:ascii="Times New Roman" w:hAnsi="Times New Roman"/>
          <w:b/>
        </w:rPr>
        <w:t>iekārtai</w:t>
      </w:r>
      <w:r>
        <w:rPr>
          <w:rFonts w:ascii="Times New Roman" w:hAnsi="Times New Roman"/>
        </w:rPr>
        <w:t xml:space="preserve"> (t. i., provizorisko kopējo piešķiramo ikgadējo emisijas kvotu apjomu atsevišķām apakšiekārtām summu).</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Pēdējajā sarakstā, ko iesniedz dalībvalstis (“</w:t>
      </w:r>
      <w:r>
        <w:rPr>
          <w:rFonts w:ascii="Times New Roman" w:hAnsi="Times New Roman"/>
          <w:i/>
        </w:rPr>
        <w:t>NIM</w:t>
      </w:r>
      <w:r>
        <w:rPr>
          <w:rFonts w:ascii="Times New Roman" w:hAnsi="Times New Roman"/>
        </w:rPr>
        <w:t xml:space="preserve"> sarakstā, kurā norādīti galīgie piešķiramo kvotu apjomi”), būs dati, kas ietverti iepriekš iesniegtajā sarakstā, kā arī būs norādīts galīgais piešķiramo kvotu apjoms pēc SSKK un LSK piemērošanas (attiecīgā gadījumā) katrai no sarakstā ietvertajām iekārtām.</w:t>
      </w:r>
    </w:p>
    <w:p w:rsidR="00335CDF" w:rsidRPr="001E6CF9" w:rsidRDefault="00335CDF" w:rsidP="00DE30DA">
      <w:pPr>
        <w:jc w:val="both"/>
        <w:rPr>
          <w:rFonts w:ascii="Times New Roman" w:hAnsi="Times New Roman"/>
          <w:i/>
          <w:noProof/>
          <w:sz w:val="24"/>
        </w:rPr>
      </w:pPr>
      <w:r>
        <w:rPr>
          <w:rFonts w:ascii="Times New Roman" w:hAnsi="Times New Roman"/>
          <w:i/>
          <w:sz w:val="24"/>
        </w:rPr>
        <w:t>Sīki izstrādātus norādījumus par to, kā tiek aprēķināts piešķiramo emisijas kvotu apjoms, sk. šī norādījumu dokumenta 5. iedaļā un Norādījumu dokumentā Nr. 2 par kvotu piešķiršanu iekārtas līmenī.</w:t>
      </w:r>
    </w:p>
    <w:p w:rsidR="00335CDF" w:rsidRPr="001E6CF9" w:rsidRDefault="00335CDF" w:rsidP="00DE30DA">
      <w:pPr>
        <w:jc w:val="both"/>
        <w:rPr>
          <w:rFonts w:ascii="Times New Roman" w:eastAsia="Calibri" w:hAnsi="Times New Roman" w:cs="Calibri"/>
          <w:i/>
          <w:noProof/>
          <w:sz w:val="24"/>
          <w:szCs w:val="20"/>
        </w:rPr>
      </w:pPr>
    </w:p>
    <w:p w:rsidR="008C68EA" w:rsidRPr="001E6CF9" w:rsidRDefault="00D33668" w:rsidP="00DE30DA">
      <w:pPr>
        <w:jc w:val="both"/>
        <w:rPr>
          <w:rFonts w:ascii="Times New Roman" w:eastAsia="Calibri" w:hAnsi="Times New Roman" w:cs="Calibri"/>
          <w:i/>
          <w:noProof/>
          <w:sz w:val="24"/>
          <w:szCs w:val="20"/>
        </w:rPr>
      </w:pPr>
      <w:r>
        <w:rPr>
          <w:rFonts w:ascii="Times New Roman" w:eastAsia="Calibri" w:hAnsi="Times New Roman" w:cs="Calibri"/>
          <w:i/>
          <w:noProof/>
          <w:sz w:val="24"/>
          <w:szCs w:val="20"/>
        </w:rPr>
        <w:lastRenderedPageBreak/>
        <w:drawing>
          <wp:inline distT="0" distB="0" distL="0" distR="0">
            <wp:extent cx="5760720" cy="411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114800"/>
                    </a:xfrm>
                    <a:prstGeom prst="rect">
                      <a:avLst/>
                    </a:prstGeom>
                    <a:noFill/>
                    <a:ln>
                      <a:noFill/>
                    </a:ln>
                  </pic:spPr>
                </pic:pic>
              </a:graphicData>
            </a:graphic>
          </wp:inline>
        </w:drawing>
      </w:r>
    </w:p>
    <w:p w:rsidR="00335CDF" w:rsidRPr="001C62E2" w:rsidRDefault="00335CDF" w:rsidP="00DE30DA">
      <w:pPr>
        <w:jc w:val="both"/>
        <w:rPr>
          <w:rFonts w:ascii="Times New Roman" w:eastAsia="Calibri" w:hAnsi="Times New Roman" w:cs="Calibri"/>
          <w:iCs/>
          <w:noProof/>
          <w:sz w:val="24"/>
          <w:szCs w:val="20"/>
        </w:rPr>
      </w:pPr>
    </w:p>
    <w:p w:rsidR="00335CDF" w:rsidRPr="001E6CF9" w:rsidRDefault="00335CDF" w:rsidP="00DE30DA">
      <w:pPr>
        <w:jc w:val="both"/>
        <w:rPr>
          <w:rFonts w:ascii="Times New Roman" w:hAnsi="Times New Roman"/>
          <w:noProof/>
          <w:sz w:val="24"/>
        </w:rPr>
      </w:pPr>
      <w:r>
        <w:rPr>
          <w:rFonts w:ascii="Times New Roman" w:hAnsi="Times New Roman"/>
          <w:b/>
          <w:sz w:val="24"/>
        </w:rPr>
        <w:t xml:space="preserve">2. attēls. </w:t>
      </w:r>
      <w:r>
        <w:rPr>
          <w:rFonts w:ascii="Times New Roman" w:hAnsi="Times New Roman"/>
          <w:sz w:val="24"/>
        </w:rPr>
        <w:t>Procesu shēma galīgā iekārtai bez maksas piešķiramo kvotu apjoma noteikšanai. Noteiktām iekārtām (piem., centralizētās siltumapgādes iekārtām) var tikt</w:t>
      </w:r>
      <w:bookmarkStart w:id="20" w:name="_bookmark12"/>
      <w:bookmarkEnd w:id="20"/>
      <w:r>
        <w:rPr>
          <w:rFonts w:ascii="Times New Roman" w:hAnsi="Times New Roman"/>
          <w:sz w:val="24"/>
        </w:rPr>
        <w:t xml:space="preserve"> piemērots lineārais samazinājuma koeficients. Tas šajā attēlā nav parādīts, lai nodrošinātu labāku salasāmību.</w:t>
      </w:r>
    </w:p>
    <w:p w:rsidR="00D52372" w:rsidRDefault="00D52372">
      <w:pPr>
        <w:rPr>
          <w:rFonts w:ascii="Times New Roman" w:eastAsia="Calibri" w:hAnsi="Times New Roman" w:cs="Calibri"/>
          <w:noProof/>
          <w:sz w:val="24"/>
          <w:szCs w:val="20"/>
        </w:rPr>
      </w:pPr>
      <w:r>
        <w:br w:type="page"/>
      </w:r>
    </w:p>
    <w:p w:rsidR="00335CDF" w:rsidRPr="001E6CF9" w:rsidRDefault="00335CDF" w:rsidP="00DE30DA">
      <w:pPr>
        <w:jc w:val="both"/>
        <w:rPr>
          <w:rFonts w:ascii="Times New Roman" w:eastAsia="Calibri" w:hAnsi="Times New Roman" w:cs="Calibri"/>
          <w:noProof/>
          <w:sz w:val="24"/>
          <w:szCs w:val="11"/>
        </w:rPr>
      </w:pPr>
    </w:p>
    <w:p w:rsidR="00335CDF" w:rsidRPr="001E6CF9" w:rsidRDefault="00D52372" w:rsidP="00D52372">
      <w:pPr>
        <w:pStyle w:val="Heading1"/>
        <w:tabs>
          <w:tab w:val="left" w:pos="403"/>
        </w:tabs>
        <w:spacing w:before="0"/>
        <w:ind w:left="0" w:firstLine="0"/>
        <w:jc w:val="both"/>
        <w:rPr>
          <w:rFonts w:ascii="Times New Roman" w:hAnsi="Times New Roman"/>
          <w:noProof/>
          <w:sz w:val="24"/>
        </w:rPr>
      </w:pPr>
      <w:bookmarkStart w:id="21" w:name="_Toc31010885"/>
      <w:r>
        <w:rPr>
          <w:rFonts w:ascii="Times New Roman" w:hAnsi="Times New Roman"/>
          <w:sz w:val="24"/>
        </w:rPr>
        <w:t>4. Attiecīgās iekārtas</w:t>
      </w:r>
      <w:bookmarkStart w:id="22" w:name="_bookmark13"/>
      <w:bookmarkEnd w:id="22"/>
      <w:bookmarkEnd w:id="21"/>
    </w:p>
    <w:p w:rsidR="00335CDF" w:rsidRPr="001E6CF9" w:rsidRDefault="00335CDF" w:rsidP="00DE30DA">
      <w:pPr>
        <w:jc w:val="both"/>
        <w:rPr>
          <w:rFonts w:ascii="Times New Roman" w:eastAsia="Calibri" w:hAnsi="Times New Roman" w:cs="Calibri"/>
          <w:b/>
          <w:bCs/>
          <w:noProof/>
          <w:sz w:val="24"/>
          <w:szCs w:val="28"/>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Šajā iedaļā sniegts vispārīgs pārskats par iekārtām, kas 4. periodā var pretendēt uz kvotu bezmaksas piešķiršanu saskaņā ar ES ETS direktīvas 10.a pantu.</w:t>
      </w:r>
    </w:p>
    <w:p w:rsidR="00335CDF" w:rsidRPr="001E6CF9" w:rsidRDefault="00335CDF" w:rsidP="00DE30DA">
      <w:pPr>
        <w:jc w:val="both"/>
        <w:rPr>
          <w:rFonts w:ascii="Times New Roman" w:eastAsia="Calibri" w:hAnsi="Times New Roman" w:cs="Calibri"/>
          <w:noProof/>
          <w:sz w:val="24"/>
          <w:szCs w:val="19"/>
        </w:rPr>
      </w:pPr>
    </w:p>
    <w:p w:rsidR="00335CDF" w:rsidRPr="001E6CF9" w:rsidRDefault="00D52372" w:rsidP="00D52372">
      <w:pPr>
        <w:pStyle w:val="Heading2"/>
        <w:tabs>
          <w:tab w:val="left" w:pos="695"/>
        </w:tabs>
        <w:ind w:left="0" w:firstLine="0"/>
        <w:jc w:val="both"/>
        <w:rPr>
          <w:rFonts w:ascii="Times New Roman" w:hAnsi="Times New Roman"/>
          <w:noProof/>
          <w:sz w:val="24"/>
        </w:rPr>
      </w:pPr>
      <w:bookmarkStart w:id="23" w:name="_Toc31010886"/>
      <w:r>
        <w:rPr>
          <w:rFonts w:ascii="Times New Roman" w:hAnsi="Times New Roman"/>
          <w:sz w:val="24"/>
        </w:rPr>
        <w:t xml:space="preserve">4.1. Kurām iekārtām jābūt norādītām </w:t>
      </w:r>
      <w:r>
        <w:rPr>
          <w:rFonts w:ascii="Times New Roman" w:hAnsi="Times New Roman"/>
          <w:i/>
          <w:sz w:val="24"/>
        </w:rPr>
        <w:t>NIM</w:t>
      </w:r>
      <w:r>
        <w:rPr>
          <w:rFonts w:ascii="Times New Roman" w:hAnsi="Times New Roman"/>
          <w:sz w:val="24"/>
        </w:rPr>
        <w:t xml:space="preserve"> sarakstā?</w:t>
      </w:r>
      <w:bookmarkStart w:id="24" w:name="_bookmark14"/>
      <w:bookmarkEnd w:id="24"/>
      <w:bookmarkEnd w:id="23"/>
    </w:p>
    <w:p w:rsidR="00D52372" w:rsidRDefault="00D52372" w:rsidP="00DE30DA">
      <w:pPr>
        <w:pStyle w:val="BodyText"/>
        <w:ind w:left="0"/>
        <w:jc w:val="both"/>
        <w:rPr>
          <w:rFonts w:ascii="Times New Roman" w:hAnsi="Times New Roman"/>
          <w:noProof/>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Valsts īstenošanas pasākumu (</w:t>
      </w:r>
      <w:r>
        <w:rPr>
          <w:rFonts w:ascii="Times New Roman" w:hAnsi="Times New Roman"/>
          <w:i/>
        </w:rPr>
        <w:t>NIM</w:t>
      </w:r>
      <w:r>
        <w:rPr>
          <w:rFonts w:ascii="Times New Roman" w:hAnsi="Times New Roman"/>
        </w:rPr>
        <w:t>) sarakstā būs uzskaitītas visas “esošās iekārtas”, kas ietvertas ES ETS</w:t>
      </w:r>
      <w:r w:rsidR="00D52372">
        <w:rPr>
          <w:rStyle w:val="FootnoteReference"/>
          <w:rFonts w:ascii="Times New Roman" w:hAnsi="Times New Roman" w:cs="Calibri"/>
          <w:noProof/>
        </w:rPr>
        <w:footnoteReference w:id="20"/>
      </w:r>
      <w:r>
        <w:rPr>
          <w:rFonts w:ascii="Times New Roman" w:hAnsi="Times New Roman"/>
        </w:rPr>
        <w:t>, neatkarīgi no tā, vai tās saņem vai nesaņem bez maksas piešķiramās kvotas saskaņā ar Direktīvas 10.a pantu, t. i., visas iekārtas, kas:</w:t>
      </w:r>
    </w:p>
    <w:p w:rsidR="00335CDF" w:rsidRPr="001E6CF9" w:rsidRDefault="00335CDF" w:rsidP="00D52372">
      <w:pPr>
        <w:pStyle w:val="BodyText"/>
        <w:numPr>
          <w:ilvl w:val="2"/>
          <w:numId w:val="9"/>
        </w:numPr>
        <w:tabs>
          <w:tab w:val="left" w:pos="403"/>
        </w:tabs>
        <w:ind w:left="426" w:hanging="426"/>
        <w:jc w:val="both"/>
        <w:rPr>
          <w:rFonts w:ascii="Times New Roman" w:hAnsi="Times New Roman"/>
          <w:noProof/>
        </w:rPr>
      </w:pPr>
      <w:r>
        <w:rPr>
          <w:rFonts w:ascii="Times New Roman" w:hAnsi="Times New Roman"/>
        </w:rPr>
        <w:t>tiek izmantotas tajās nozarēs, kas 4. periodā ietvertas ES ETS;</w:t>
      </w:r>
    </w:p>
    <w:p w:rsidR="00335CDF" w:rsidRPr="001E6CF9" w:rsidRDefault="00335CDF" w:rsidP="00D52372">
      <w:pPr>
        <w:ind w:left="426"/>
        <w:jc w:val="both"/>
        <w:rPr>
          <w:rFonts w:ascii="Times New Roman" w:eastAsia="Calibri" w:hAnsi="Times New Roman" w:cs="Calibri"/>
          <w:noProof/>
          <w:sz w:val="24"/>
          <w:szCs w:val="24"/>
        </w:rPr>
      </w:pPr>
      <w:r>
        <w:rPr>
          <w:rFonts w:ascii="Times New Roman" w:hAnsi="Times New Roman"/>
          <w:sz w:val="24"/>
        </w:rPr>
        <w:t xml:space="preserve">lai pārliecinātos, ka attiecīgā iekārta ietilpst ES ETS darbības jomā, </w:t>
      </w:r>
      <w:r>
        <w:rPr>
          <w:rFonts w:ascii="Times New Roman" w:hAnsi="Times New Roman"/>
          <w:i/>
          <w:sz w:val="24"/>
        </w:rPr>
        <w:t>lūdzu, sk. arī Norādījumus ES ETS direktīvas I pielikuma interpretēšanai (izņemot aviācijas darbības)</w:t>
      </w:r>
      <w:r>
        <w:rPr>
          <w:rFonts w:ascii="Times New Roman" w:hAnsi="Times New Roman"/>
          <w:sz w:val="24"/>
        </w:rPr>
        <w:t>; jāietver arī iekārtas, kas iekļautas saskaņā ar Direktīvas 24. pantu;</w:t>
      </w:r>
    </w:p>
    <w:p w:rsidR="00335CDF" w:rsidRPr="001E6CF9" w:rsidRDefault="00335CDF" w:rsidP="00D52372">
      <w:pPr>
        <w:pStyle w:val="BodyText"/>
        <w:ind w:left="426"/>
        <w:jc w:val="both"/>
        <w:rPr>
          <w:rFonts w:ascii="Times New Roman" w:hAnsi="Times New Roman"/>
          <w:noProof/>
        </w:rPr>
      </w:pPr>
      <w:r>
        <w:rPr>
          <w:rFonts w:ascii="Times New Roman" w:hAnsi="Times New Roman"/>
        </w:rPr>
        <w:t>UN</w:t>
      </w:r>
    </w:p>
    <w:p w:rsidR="00335CDF" w:rsidRPr="001E6CF9" w:rsidRDefault="00335CDF" w:rsidP="00D52372">
      <w:pPr>
        <w:pStyle w:val="BodyText"/>
        <w:numPr>
          <w:ilvl w:val="2"/>
          <w:numId w:val="9"/>
        </w:numPr>
        <w:tabs>
          <w:tab w:val="left" w:pos="403"/>
        </w:tabs>
        <w:ind w:left="426" w:hanging="426"/>
        <w:jc w:val="both"/>
        <w:rPr>
          <w:rFonts w:ascii="Times New Roman" w:hAnsi="Times New Roman"/>
          <w:noProof/>
        </w:rPr>
      </w:pPr>
      <w:r>
        <w:rPr>
          <w:rFonts w:ascii="Times New Roman" w:hAnsi="Times New Roman"/>
        </w:rPr>
        <w:t>saņēmušas SEG emisijas atļauju 2021.–2025. gada periodam 2019. gada 30. jūnijā vai pirms šī datuma vai arī – 2026.–2030. gada periodam – 2024. gada 30. jūnijā vai pirms šī datuma.</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i/>
          <w:noProof/>
        </w:rPr>
      </w:pPr>
      <w:r>
        <w:rPr>
          <w:rFonts w:ascii="Times New Roman" w:hAnsi="Times New Roman"/>
        </w:rPr>
        <w:t xml:space="preserve">Gadījumā, ja nav nekādu šaubu par to, ka iekārta tiks slēgta pirms 4. perioda sākuma, attiecīgās kompetentās iestādes var nepieprasīt, lai tiktu iesniegta veidne, ko aizpildījuši šie operatori. Jaunas iekārtas, kurām vēl nav siltumnīcefekta gāzu emisijas atļaujas un kuras tiek būvētas, to ekspluatāciju uzsākot pēc bāzlīnijas perioda, bet pirms 4. perioda sākuma, nav nepieciešams norādīt </w:t>
      </w:r>
      <w:r>
        <w:rPr>
          <w:rFonts w:ascii="Times New Roman" w:hAnsi="Times New Roman"/>
          <w:i/>
        </w:rPr>
        <w:t>NIM</w:t>
      </w:r>
      <w:r>
        <w:rPr>
          <w:rFonts w:ascii="Times New Roman" w:hAnsi="Times New Roman"/>
        </w:rPr>
        <w:t xml:space="preserve"> sarakstā. Vēlāk tās tiks uzskatītas par jaunām iekārtām. </w:t>
      </w:r>
      <w:r>
        <w:rPr>
          <w:rFonts w:ascii="Times New Roman" w:hAnsi="Times New Roman"/>
          <w:i/>
        </w:rPr>
        <w:t>Papildu informāciju sk. Norādījumu dokumentā Nr. 7 par jaunām iekārtām.</w:t>
      </w:r>
    </w:p>
    <w:p w:rsidR="00335CDF" w:rsidRPr="001E6CF9" w:rsidRDefault="00335CDF" w:rsidP="00DE30DA">
      <w:pPr>
        <w:jc w:val="both"/>
        <w:rPr>
          <w:rFonts w:ascii="Times New Roman" w:hAnsi="Times New Roman"/>
          <w:i/>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Esošās elektroenerģijas ražošanas iekārtas ir jāietver </w:t>
      </w:r>
      <w:r>
        <w:rPr>
          <w:rFonts w:ascii="Times New Roman" w:hAnsi="Times New Roman"/>
          <w:i/>
        </w:rPr>
        <w:t>NIM</w:t>
      </w:r>
      <w:r>
        <w:rPr>
          <w:rFonts w:ascii="Times New Roman" w:hAnsi="Times New Roman"/>
        </w:rPr>
        <w:t xml:space="preserve"> sarakstā, bet to operatoriem nav jāiesniedz dati, kas jānorāda saskaņā ar </w:t>
      </w:r>
      <w:r>
        <w:rPr>
          <w:rFonts w:ascii="Times New Roman" w:hAnsi="Times New Roman"/>
          <w:i/>
        </w:rPr>
        <w:t>FAR</w:t>
      </w:r>
      <w:r>
        <w:rPr>
          <w:rFonts w:ascii="Times New Roman" w:hAnsi="Times New Roman"/>
        </w:rPr>
        <w:t xml:space="preserve"> 14. panta 2. punktu, ja vien tie nevēlas saskaņā ar Direktīvas 10.a pantu saņemt bez maksas piešķiramās kvotas par saražoto siltumu, kas netiek izmantots elektroenerģijas ražošanai. Līdzīgā kārtā arī tajā ietverto ģeneratoru, kas neražo elektroenerģiju, operatoriem jāiesniedz nepieciešamie dati vienīgi tadā gadījumā, ja tie piesakās uz bez maksas piešķiramajām kvotām.</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Sarakstā jānorāda arī mazie emitētāji, ko dalībvalsts var izvēlēties neietvert ES ETS saskaņā ar ES ETS direktīvas 27. un 27.a pantu. Tā kā Komisija var izvērtēt un attiecīgos gadījumos noraidīt šādu izslēgšanu no sistēmas, šie (ļoti) mazie emitētāji šī pirmā soļa īstenošanas laikā ir jāuzskata par ES ETS ietvertām iekārtām.</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52372">
      <w:pPr>
        <w:pStyle w:val="BodyText"/>
        <w:ind w:left="0"/>
        <w:jc w:val="both"/>
        <w:rPr>
          <w:rFonts w:ascii="Times New Roman" w:hAnsi="Times New Roman"/>
          <w:i/>
          <w:noProof/>
        </w:rPr>
      </w:pPr>
      <w:r>
        <w:rPr>
          <w:rFonts w:ascii="Times New Roman" w:hAnsi="Times New Roman"/>
        </w:rPr>
        <w:t xml:space="preserve">(Apakš-)iekārtas, kuru normāla ekspluatācija sākas pēc 2018. gada (attiecīgi – 2023. gada) 1. janvāra, bāzlīnijas periodā nebūs bijušas ekspluatācijā pilnu kalendāro gadu, un tādēļ par tām nebūs visu nepieciešamo pieejamo datu pieteikuma iesniegšanai. Šādos gadījumos (apakš-)iekārta ir jāietver </w:t>
      </w:r>
      <w:r>
        <w:rPr>
          <w:rFonts w:ascii="Times New Roman" w:hAnsi="Times New Roman"/>
          <w:i/>
        </w:rPr>
        <w:t>NIM</w:t>
      </w:r>
      <w:r>
        <w:rPr>
          <w:rFonts w:ascii="Times New Roman" w:hAnsi="Times New Roman"/>
        </w:rPr>
        <w:t xml:space="preserve"> bez kvotu piešķiršanas, un piešķiramo kvotu apjoms tiks aprēķināts vēlāk. </w:t>
      </w:r>
      <w:r>
        <w:rPr>
          <w:rFonts w:ascii="Times New Roman" w:hAnsi="Times New Roman"/>
          <w:i/>
        </w:rPr>
        <w:t>Papildu informāciju par (apakš-)iekārtām, kas nav bijušas ekspluatācijā pilnu bāzlīnijas periodu, sk. Norādījumu dokumenta Nr. 2 par kvotu piešķiršanas metodoloģijām 6.2. iedaļā.</w:t>
      </w:r>
    </w:p>
    <w:p w:rsidR="00335CDF" w:rsidRPr="001E6CF9" w:rsidRDefault="00335CDF" w:rsidP="00DE30DA">
      <w:pPr>
        <w:jc w:val="both"/>
        <w:rPr>
          <w:rFonts w:ascii="Times New Roman" w:eastAsia="Calibri" w:hAnsi="Times New Roman" w:cs="Calibri"/>
          <w:i/>
          <w:noProof/>
          <w:sz w:val="24"/>
          <w:szCs w:val="23"/>
        </w:rPr>
      </w:pPr>
    </w:p>
    <w:p w:rsidR="00335CDF" w:rsidRPr="001E6CF9" w:rsidRDefault="00335CDF" w:rsidP="00DE30DA">
      <w:pPr>
        <w:jc w:val="both"/>
        <w:rPr>
          <w:rFonts w:ascii="Times New Roman" w:hAnsi="Times New Roman"/>
          <w:i/>
          <w:noProof/>
          <w:sz w:val="24"/>
        </w:rPr>
      </w:pPr>
      <w:r>
        <w:rPr>
          <w:rFonts w:ascii="Times New Roman" w:hAnsi="Times New Roman"/>
          <w:sz w:val="24"/>
        </w:rPr>
        <w:lastRenderedPageBreak/>
        <w:t>Iekārtas, kas tiek ietvertas ES ETS attiecīgi pēc 2019. gada 30. jūnija vai 2024. gada 30. jūnija (atkarībā no tā, kad tās saņem SEG emisijas atļauju), proti, tā sauktās jaunās iekārtas</w:t>
      </w:r>
      <w:r w:rsidR="00D52372">
        <w:rPr>
          <w:rStyle w:val="FootnoteReference"/>
          <w:rFonts w:ascii="Times New Roman" w:hAnsi="Times New Roman" w:cs="Calibri"/>
          <w:noProof/>
          <w:sz w:val="24"/>
        </w:rPr>
        <w:footnoteReference w:id="21"/>
      </w:r>
      <w:r>
        <w:rPr>
          <w:rFonts w:ascii="Times New Roman" w:hAnsi="Times New Roman"/>
          <w:sz w:val="24"/>
        </w:rPr>
        <w:t xml:space="preserve">, nav ietvertas </w:t>
      </w:r>
      <w:r>
        <w:rPr>
          <w:rFonts w:ascii="Times New Roman" w:hAnsi="Times New Roman"/>
          <w:i/>
          <w:sz w:val="24"/>
        </w:rPr>
        <w:t>NIM</w:t>
      </w:r>
      <w:r>
        <w:rPr>
          <w:rFonts w:ascii="Times New Roman" w:hAnsi="Times New Roman"/>
          <w:sz w:val="24"/>
        </w:rPr>
        <w:t xml:space="preserve"> atbilstošajiem kvotu piešķiršanas periodiem. </w:t>
      </w:r>
      <w:r>
        <w:rPr>
          <w:rFonts w:ascii="Times New Roman" w:hAnsi="Times New Roman"/>
          <w:i/>
          <w:sz w:val="24"/>
        </w:rPr>
        <w:t>Papildu norādījumus par kvotu piešķiršanu jaunām iekārtām sk. Norādījumu dokumentā Nr. 7.</w:t>
      </w:r>
    </w:p>
    <w:p w:rsidR="00335CDF" w:rsidRPr="001E6CF9" w:rsidRDefault="00335CDF" w:rsidP="00DE30DA">
      <w:pPr>
        <w:jc w:val="both"/>
        <w:rPr>
          <w:rFonts w:ascii="Times New Roman" w:hAnsi="Times New Roman"/>
          <w:i/>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Turpmāk ietvertajā 3. tabulā sniegts pārskats par to, kuras iekārtas (un apakšiekārtas) ir jāiekļauj </w:t>
      </w:r>
      <w:r>
        <w:rPr>
          <w:rFonts w:ascii="Times New Roman" w:hAnsi="Times New Roman"/>
          <w:i/>
        </w:rPr>
        <w:t>NIM</w:t>
      </w:r>
      <w:r>
        <w:rPr>
          <w:rFonts w:ascii="Times New Roman" w:hAnsi="Times New Roman"/>
        </w:rPr>
        <w:t xml:space="preserve"> un par kurām no tām ir jāiesniedz dati, kas noteikti saskaņā ar </w:t>
      </w:r>
      <w:r>
        <w:rPr>
          <w:rFonts w:ascii="Times New Roman" w:hAnsi="Times New Roman"/>
          <w:i/>
        </w:rPr>
        <w:t>FAR</w:t>
      </w:r>
      <w:r>
        <w:rPr>
          <w:rFonts w:ascii="Times New Roman" w:hAnsi="Times New Roman"/>
        </w:rPr>
        <w:t xml:space="preserve"> 14. pantu.</w:t>
      </w:r>
    </w:p>
    <w:p w:rsidR="00335CDF" w:rsidRPr="001E6CF9" w:rsidRDefault="00335CDF" w:rsidP="00DE30DA">
      <w:pPr>
        <w:jc w:val="both"/>
        <w:rPr>
          <w:rFonts w:ascii="Times New Roman" w:eastAsia="Calibri" w:hAnsi="Times New Roman" w:cs="Calibri"/>
          <w:noProof/>
          <w:sz w:val="24"/>
          <w:szCs w:val="23"/>
        </w:rPr>
      </w:pPr>
    </w:p>
    <w:p w:rsidR="00335CDF" w:rsidRDefault="00335CDF" w:rsidP="00DE30DA">
      <w:pPr>
        <w:jc w:val="both"/>
        <w:rPr>
          <w:rFonts w:ascii="Times New Roman" w:hAnsi="Times New Roman"/>
          <w:b/>
          <w:noProof/>
          <w:sz w:val="24"/>
        </w:rPr>
      </w:pPr>
      <w:r>
        <w:rPr>
          <w:rFonts w:ascii="Times New Roman" w:hAnsi="Times New Roman"/>
          <w:b/>
          <w:sz w:val="24"/>
        </w:rPr>
        <w:t xml:space="preserve">3. tabula. Pārskats par tām (apakš-)iekārtām, kuras ir jāietver </w:t>
      </w:r>
      <w:r>
        <w:rPr>
          <w:rFonts w:ascii="Times New Roman" w:hAnsi="Times New Roman"/>
          <w:b/>
          <w:i/>
          <w:sz w:val="24"/>
        </w:rPr>
        <w:t>NIM</w:t>
      </w:r>
      <w:r>
        <w:rPr>
          <w:rFonts w:ascii="Times New Roman" w:hAnsi="Times New Roman"/>
          <w:b/>
          <w:sz w:val="24"/>
        </w:rPr>
        <w:t xml:space="preserve"> un par kurām ir jāiesniedz dati, kā noteikts saskaņā ar </w:t>
      </w:r>
      <w:r>
        <w:rPr>
          <w:rFonts w:ascii="Times New Roman" w:hAnsi="Times New Roman"/>
          <w:b/>
          <w:i/>
          <w:sz w:val="24"/>
        </w:rPr>
        <w:t>FAR</w:t>
      </w:r>
      <w:r>
        <w:rPr>
          <w:rFonts w:ascii="Times New Roman" w:hAnsi="Times New Roman"/>
          <w:b/>
          <w:sz w:val="24"/>
        </w:rPr>
        <w:t xml:space="preserve"> 14. pantu.</w:t>
      </w:r>
      <w:bookmarkStart w:id="25" w:name="_bookmark15"/>
      <w:bookmarkEnd w:id="25"/>
    </w:p>
    <w:p w:rsidR="00D52372" w:rsidRPr="001E6CF9" w:rsidRDefault="00D52372" w:rsidP="00DE30DA">
      <w:pPr>
        <w:jc w:val="both"/>
        <w:rPr>
          <w:rFonts w:ascii="Times New Roman" w:hAnsi="Times New Roman"/>
          <w:b/>
          <w:noProof/>
          <w:sz w:val="24"/>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3919"/>
        <w:gridCol w:w="1773"/>
        <w:gridCol w:w="3436"/>
      </w:tblGrid>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Iekārta</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 xml:space="preserve">Vai jāietver </w:t>
            </w:r>
            <w:r>
              <w:rPr>
                <w:rFonts w:ascii="Times New Roman" w:hAnsi="Times New Roman"/>
                <w:i/>
                <w:sz w:val="20"/>
                <w:szCs w:val="20"/>
              </w:rPr>
              <w:t>NIM</w:t>
            </w:r>
            <w:r>
              <w:rPr>
                <w:rFonts w:ascii="Times New Roman" w:hAnsi="Times New Roman"/>
                <w:sz w:val="20"/>
                <w:szCs w:val="20"/>
              </w:rPr>
              <w:t>?</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Lai iesniegtu datus</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Esoša iekārta</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Jā</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Jā, ja tiek iesniegts pieteikums bezmaksas kvotu piešķiršanai</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Esoša iekārta, par kuru nav iesniegts pieteikums bezmaksas kvotu piešķiršanai</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Jā</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Nē</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Esošā elektroenerģijas ražošanas iekārta</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Jā</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Jā, ja tiek iesniegts pieteikums bezmaksas kvotu piešķiršanai saskaņā ar ETS direktīvas 10.a pantu</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Iekārtas, kuras jāiekļauj saskaņā ar ETS direktīvas 24. pantu</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Jā</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Jā</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Iekārtas, kuras nav jāiekļauj saskaņā ar ETS direktīvas 27./27.a pantu</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Jā</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Jā, ja nav vēlmes uzņemties risku attiecībā uz to, ka tās tiks no jauna ietvertas ETS, kur būs tāds pats kvotu piešķiršanas periods, kurā nebūs bez maksas piešķiramo kvotu</w:t>
            </w:r>
          </w:p>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Nē, ja tiek pieņemts risks, ka tās no jauna tiks ietvertas ETS, kur nebūs bez maksas piešķiramo kvotu, vai ja ir zināms, ka to rādītāji ir ievērojami zemāki par sliekšņvērtību</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Esoša iekārta, kuras vēsturiskais darbības līmenis ir 0</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Jā</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 xml:space="preserve">Jā, ja tiek iesniegts pieteikums bezmaksas kvotu piešķiršanai (un </w:t>
            </w:r>
            <w:r>
              <w:rPr>
                <w:rFonts w:ascii="Times New Roman" w:hAnsi="Times New Roman"/>
                <w:i/>
                <w:sz w:val="20"/>
                <w:szCs w:val="20"/>
              </w:rPr>
              <w:t>HAL</w:t>
            </w:r>
            <w:r>
              <w:rPr>
                <w:rFonts w:ascii="Times New Roman" w:hAnsi="Times New Roman"/>
                <w:sz w:val="20"/>
                <w:szCs w:val="20"/>
              </w:rPr>
              <w:t xml:space="preserve"> = 0)</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Iekārtas, kas SEG atļauju saņēmušas pirms 2019. gada (vai 2024. gada) 30. jūnija vai 2019. gada (vai 2024. gada) 30. jūnijā</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Jā</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Jā, ja tiek iesniegts pieteikums bezmaksas kvotu piešķiršanai</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Iekārtai, kurai ir SEG atļauja un kuras ekspluatācija vēl nav uzsākta</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Jā</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Nē</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Tāda jauna apakšiekārta esošajā iekārtā, kas izveidota 2019. gada (vai 2024. gada) 30. jūnijā vai pirms šī datuma un kuras darbības dati par pirmo kalendāro gadu ir pieejami līdz šim datumam</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Jā</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Jā, ja tiek iesniegts pieteikums bezmaksas kvotu piešķiršanai</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Tāda jauna apakšiekārta esošajā iekārtā, par kuru līdz 2019. gada (vai 2024. gada) 30. jūnijam nav darbības datu par pirmo gadu</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Jā</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Nē</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Tāda jauna apakšiekārta esošajā iekārtā, kuras ekspluatācija tiek uzsākta pēc 2019. gada (vai 2024. gada) 30. jūnija</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 xml:space="preserve">Nē, tas tiks aplūkots </w:t>
            </w:r>
            <w:r>
              <w:rPr>
                <w:rFonts w:ascii="Times New Roman" w:hAnsi="Times New Roman"/>
                <w:i/>
                <w:sz w:val="20"/>
                <w:szCs w:val="20"/>
              </w:rPr>
              <w:t>ALC</w:t>
            </w:r>
            <w:r>
              <w:rPr>
                <w:rFonts w:ascii="Times New Roman" w:hAnsi="Times New Roman"/>
                <w:sz w:val="20"/>
                <w:szCs w:val="20"/>
              </w:rPr>
              <w:t xml:space="preserve"> noteikumos</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Nē</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Tāda iekārta būvniecības stadijā, kurai nav SEG atļaujas un kuras ekspluatācija tiek uzsākta pēc bāzlīnijas perioda, bet pirms kvotu piešķiršanas perioda sākuma</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Nē, tā būs jauna iekārta</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Nē</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lastRenderedPageBreak/>
              <w:t>Tāda iekārta būvniecības stadijā, kurai nav SEG atļaujas un kuras ekspluatācija tiek uzsākta pēc kvotu piešķiršanas perioda sākuma</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Nē, tā būs jauna iekārta</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Nē</w:t>
            </w:r>
          </w:p>
        </w:tc>
      </w:tr>
      <w:tr w:rsidR="001E6CF9"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Esošās iekārtas, kas tiek ietvertas ES ETS (saņem SEG atļauju pēc 30. jūnija)</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Nē, tā būs jauna iekārta</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Nē</w:t>
            </w:r>
          </w:p>
        </w:tc>
      </w:tr>
      <w:tr w:rsidR="00335CDF" w:rsidRPr="00135592" w:rsidTr="00135592">
        <w:tc>
          <w:tcPr>
            <w:tcW w:w="2147"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Esoša iekārta, kas tiks slēgta pirms kvotu piešķiršanas perioda sākuma</w:t>
            </w:r>
          </w:p>
        </w:tc>
        <w:tc>
          <w:tcPr>
            <w:tcW w:w="971" w:type="pct"/>
            <w:tcBorders>
              <w:top w:val="single" w:sz="5" w:space="0" w:color="000000"/>
              <w:left w:val="single" w:sz="5" w:space="0" w:color="000000"/>
              <w:bottom w:val="single" w:sz="5" w:space="0" w:color="000000"/>
              <w:right w:val="single" w:sz="5" w:space="0" w:color="000000"/>
            </w:tcBorders>
          </w:tcPr>
          <w:p w:rsidR="00335CDF" w:rsidRPr="00135592" w:rsidRDefault="00335CDF" w:rsidP="00135592">
            <w:pPr>
              <w:pStyle w:val="TableParagraph"/>
              <w:jc w:val="center"/>
              <w:rPr>
                <w:rFonts w:ascii="Times New Roman" w:hAnsi="Times New Roman" w:cs="Times New Roman"/>
                <w:noProof/>
                <w:sz w:val="20"/>
                <w:szCs w:val="20"/>
              </w:rPr>
            </w:pPr>
            <w:r>
              <w:rPr>
                <w:rFonts w:ascii="Times New Roman" w:hAnsi="Times New Roman"/>
                <w:sz w:val="20"/>
                <w:szCs w:val="20"/>
              </w:rPr>
              <w:t>Jā</w:t>
            </w:r>
          </w:p>
        </w:tc>
        <w:tc>
          <w:tcPr>
            <w:tcW w:w="1882" w:type="pct"/>
            <w:tcBorders>
              <w:top w:val="single" w:sz="5" w:space="0" w:color="000000"/>
              <w:left w:val="single" w:sz="5" w:space="0" w:color="000000"/>
              <w:bottom w:val="single" w:sz="5" w:space="0" w:color="000000"/>
              <w:right w:val="single" w:sz="5" w:space="0" w:color="000000"/>
            </w:tcBorders>
          </w:tcPr>
          <w:p w:rsidR="00335CDF" w:rsidRPr="00135592"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Nē</w:t>
            </w:r>
          </w:p>
        </w:tc>
      </w:tr>
    </w:tbl>
    <w:p w:rsidR="00335CDF" w:rsidRPr="001E6CF9" w:rsidRDefault="00335CDF" w:rsidP="00DE30DA">
      <w:pPr>
        <w:jc w:val="both"/>
        <w:rPr>
          <w:rFonts w:ascii="Times New Roman" w:eastAsia="Calibri" w:hAnsi="Times New Roman" w:cs="Calibri"/>
          <w:noProof/>
          <w:sz w:val="24"/>
          <w:szCs w:val="20"/>
        </w:rPr>
      </w:pPr>
    </w:p>
    <w:p w:rsidR="00335CDF" w:rsidRPr="001E6CF9" w:rsidRDefault="00135592" w:rsidP="00135592">
      <w:pPr>
        <w:pStyle w:val="Heading2"/>
        <w:tabs>
          <w:tab w:val="left" w:pos="695"/>
        </w:tabs>
        <w:ind w:left="0" w:firstLine="0"/>
        <w:jc w:val="both"/>
        <w:rPr>
          <w:rFonts w:ascii="Times New Roman" w:hAnsi="Times New Roman"/>
          <w:noProof/>
          <w:sz w:val="24"/>
        </w:rPr>
      </w:pPr>
      <w:bookmarkStart w:id="26" w:name="_Toc31010887"/>
      <w:r>
        <w:rPr>
          <w:rFonts w:ascii="Times New Roman" w:hAnsi="Times New Roman"/>
          <w:sz w:val="24"/>
        </w:rPr>
        <w:t>4.2. Kas bez maksas saņem emisijas kvotas?</w:t>
      </w:r>
      <w:bookmarkStart w:id="27" w:name="_bookmark16"/>
      <w:bookmarkEnd w:id="27"/>
      <w:bookmarkEnd w:id="26"/>
    </w:p>
    <w:p w:rsidR="00135592" w:rsidRDefault="00135592" w:rsidP="00DE30DA">
      <w:pPr>
        <w:pStyle w:val="BodyText"/>
        <w:ind w:left="0"/>
        <w:jc w:val="both"/>
        <w:rPr>
          <w:rFonts w:ascii="Times New Roman" w:hAnsi="Times New Roman"/>
          <w:noProof/>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Visas </w:t>
      </w:r>
      <w:r>
        <w:rPr>
          <w:rFonts w:ascii="Times New Roman" w:hAnsi="Times New Roman"/>
          <w:i/>
        </w:rPr>
        <w:t>NIM</w:t>
      </w:r>
      <w:r>
        <w:rPr>
          <w:rFonts w:ascii="Times New Roman" w:hAnsi="Times New Roman"/>
        </w:rPr>
        <w:t xml:space="preserve"> sarakstā ietvertās iekārtas principā var pretendēt uz kvotu bezmaksas piešķiršanu, izņemot tās iekārtas, kas ražo tikai elektroenerģiju, vai iekārtas, kuras tiek izmantotas CO</w:t>
      </w:r>
      <w:r>
        <w:rPr>
          <w:rFonts w:ascii="Times New Roman" w:hAnsi="Times New Roman"/>
          <w:vertAlign w:val="subscript"/>
        </w:rPr>
        <w:t>2</w:t>
      </w:r>
      <w:r>
        <w:rPr>
          <w:rFonts w:ascii="Times New Roman" w:hAnsi="Times New Roman"/>
        </w:rPr>
        <w:t xml:space="preserve"> uztveršanai, transportēšanai un uzglabāšanai. Iekārtu, kas var pretendēt uz kvotu piešķiršanu, operatoriem, kuri vēlas saņemt bez maksas piešķiramās kvotas, ir attiecīgajai kompetentajai iestādei jāiesniedz pieteikums saskaņā ar </w:t>
      </w:r>
      <w:r>
        <w:rPr>
          <w:rFonts w:ascii="Times New Roman" w:hAnsi="Times New Roman"/>
          <w:i/>
        </w:rPr>
        <w:t>FAR</w:t>
      </w:r>
      <w:r>
        <w:rPr>
          <w:rFonts w:ascii="Times New Roman" w:hAnsi="Times New Roman"/>
        </w:rPr>
        <w:t xml:space="preserve"> 4. pantu. Jāatzīmē, ka operatori var, sākot ar ceturto periodu, izvēlēties atteikties no tiem bez maksas piešķiramajām kvotām (piemēram, ja tie uzskata, ka ieguvumi, kas saistīti ar bez maksas piešķiramo kvotu saņemšanu, nav pietiekami, lai veltītu pūles monitoringa, ziņošanas un attiecīgo datu verifikācijas veikšanai). Iekārtām, par kurām pirms 2019. gada 30. maija vai dalībvalstu noteiktā termiņa netiek iesniegti Direktīvas 11. panta 1. punktā noteiktie dati, kvotas bez maksas nevar tikt piešķirtas.</w:t>
      </w:r>
    </w:p>
    <w:p w:rsidR="00335CDF" w:rsidRPr="001E6CF9" w:rsidRDefault="00335CDF" w:rsidP="00DE30DA">
      <w:pPr>
        <w:jc w:val="both"/>
        <w:rPr>
          <w:rFonts w:ascii="Times New Roman" w:hAnsi="Times New Roman"/>
          <w:noProof/>
          <w:sz w:val="24"/>
        </w:rPr>
      </w:pPr>
    </w:p>
    <w:p w:rsidR="00335CDF" w:rsidRPr="001E6CF9" w:rsidRDefault="00335CDF" w:rsidP="00DE30DA">
      <w:pPr>
        <w:jc w:val="both"/>
        <w:rPr>
          <w:rFonts w:ascii="Times New Roman" w:hAnsi="Times New Roman"/>
          <w:i/>
          <w:noProof/>
          <w:sz w:val="24"/>
        </w:rPr>
      </w:pPr>
      <w:r>
        <w:rPr>
          <w:rFonts w:ascii="Times New Roman" w:hAnsi="Times New Roman"/>
          <w:i/>
          <w:sz w:val="24"/>
        </w:rPr>
        <w:t>Sīkāku informāciju par atbilstības kritērijiem attiecībā uz produktu līmeņatzīmēm, siltuma līmeņatzīmēm (tostarp centralizētajai siltumapgādei), kurināmā līmeņatzīmēm un pieeju attiecībā uz procesa emisijām, lūdzu, sk. Norādījumu dokumentā Nr. 2 par kvotu piešķiršanas metodoloģijām. Par atlikumgāzu atbilstību</w:t>
      </w:r>
      <w:r w:rsidR="008F23E1">
        <w:rPr>
          <w:rFonts w:ascii="Times New Roman" w:hAnsi="Times New Roman"/>
          <w:i/>
          <w:sz w:val="24"/>
        </w:rPr>
        <w:t xml:space="preserve"> </w:t>
      </w:r>
      <w:bookmarkStart w:id="28" w:name="_GoBack"/>
      <w:bookmarkEnd w:id="28"/>
      <w:r>
        <w:rPr>
          <w:rFonts w:ascii="Times New Roman" w:hAnsi="Times New Roman"/>
          <w:i/>
          <w:sz w:val="24"/>
        </w:rPr>
        <w:t>sk. Norādījumu dokumentu Nr. 8.</w:t>
      </w:r>
    </w:p>
    <w:p w:rsidR="00335CDF" w:rsidRPr="001E6CF9" w:rsidRDefault="00335CDF" w:rsidP="00DE30DA">
      <w:pPr>
        <w:jc w:val="both"/>
        <w:rPr>
          <w:rFonts w:ascii="Times New Roman" w:eastAsia="Calibri" w:hAnsi="Times New Roman" w:cs="Calibri"/>
          <w: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Tomēr jāievēro tas, ka, pat ja iekārtas, kas ražo tikai elektroenerģiju, vai iekārtas, kuras tiek izmantotas CO</w:t>
      </w:r>
      <w:r>
        <w:rPr>
          <w:rFonts w:ascii="Times New Roman" w:hAnsi="Times New Roman"/>
          <w:vertAlign w:val="subscript"/>
        </w:rPr>
        <w:t>2</w:t>
      </w:r>
      <w:r>
        <w:rPr>
          <w:rFonts w:ascii="Times New Roman" w:hAnsi="Times New Roman"/>
        </w:rPr>
        <w:t xml:space="preserve"> uztveršanai, transportēšanai un uzglabāšanai, nevar pretendēt uz kvotu bezmaksas piešķiršanu, tās ir jāietver </w:t>
      </w:r>
      <w:r>
        <w:rPr>
          <w:rFonts w:ascii="Times New Roman" w:hAnsi="Times New Roman"/>
          <w:i/>
        </w:rPr>
        <w:t>NIM</w:t>
      </w:r>
      <w:r>
        <w:rPr>
          <w:rFonts w:ascii="Times New Roman" w:hAnsi="Times New Roman"/>
        </w:rPr>
        <w:t xml:space="preserve"> sarakstā.</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jc w:val="both"/>
        <w:rPr>
          <w:rFonts w:ascii="Times New Roman" w:eastAsia="Calibri" w:hAnsi="Times New Roman" w:cs="Calibri"/>
          <w:i/>
          <w:noProof/>
          <w:sz w:val="24"/>
          <w:szCs w:val="24"/>
        </w:rPr>
      </w:pPr>
      <w:r>
        <w:rPr>
          <w:rFonts w:ascii="Times New Roman" w:hAnsi="Times New Roman"/>
          <w:sz w:val="24"/>
          <w:szCs w:val="24"/>
        </w:rPr>
        <w:t xml:space="preserve">Arī “jaunas iekārtas”, kas nav ietvertas </w:t>
      </w:r>
      <w:r>
        <w:rPr>
          <w:rFonts w:ascii="Times New Roman" w:hAnsi="Times New Roman"/>
          <w:i/>
          <w:sz w:val="24"/>
          <w:szCs w:val="24"/>
        </w:rPr>
        <w:t>NIM</w:t>
      </w:r>
      <w:r>
        <w:rPr>
          <w:rFonts w:ascii="Times New Roman" w:hAnsi="Times New Roman"/>
          <w:sz w:val="24"/>
          <w:szCs w:val="24"/>
        </w:rPr>
        <w:t xml:space="preserve"> sarakstā, var saņemt bez maksas piešķiramās kvotas.</w:t>
      </w:r>
      <w:r>
        <w:rPr>
          <w:rFonts w:ascii="Times New Roman" w:hAnsi="Times New Roman"/>
          <w:i/>
          <w:sz w:val="24"/>
          <w:szCs w:val="24"/>
        </w:rPr>
        <w:t xml:space="preserve"> Papildu paskaidrojums attiecībā uz jaunu iekārtu noteikšanu un to īpašajiem noteikumiem sniegts Norādījumu dokumentā Nr. 7 par jaunām iekārtām un slēgtām iekārtām. </w:t>
      </w:r>
      <w:r>
        <w:rPr>
          <w:rFonts w:ascii="Times New Roman" w:hAnsi="Times New Roman"/>
          <w:sz w:val="24"/>
          <w:szCs w:val="24"/>
        </w:rPr>
        <w:t xml:space="preserve">Jāievēro, ka jaunās apakšiekārtas esošajās iekārtās saskaņā ar pārskatīto ES ETS direktīvu netiek uzskatītas par jaunām iekārtām. Tās nav arī ietvertas </w:t>
      </w:r>
      <w:r>
        <w:rPr>
          <w:rFonts w:ascii="Times New Roman" w:hAnsi="Times New Roman"/>
          <w:i/>
          <w:sz w:val="24"/>
          <w:szCs w:val="24"/>
        </w:rPr>
        <w:t>NIM</w:t>
      </w:r>
      <w:r>
        <w:rPr>
          <w:rFonts w:ascii="Times New Roman" w:hAnsi="Times New Roman"/>
          <w:sz w:val="24"/>
          <w:szCs w:val="24"/>
        </w:rPr>
        <w:t xml:space="preserve"> sarakstā. </w:t>
      </w:r>
      <w:r>
        <w:rPr>
          <w:rFonts w:ascii="Times New Roman" w:hAnsi="Times New Roman"/>
          <w:i/>
          <w:sz w:val="24"/>
          <w:szCs w:val="24"/>
        </w:rPr>
        <w:t>Lai precīzi noskaidrotu, kā tiek noteiktas piešķiramās kvotas šādu jaunu apakšiekārtu gadījumā, sk. Norādījumu dokumentu par darbības līmeņu izmaiņām.</w:t>
      </w:r>
    </w:p>
    <w:p w:rsidR="00135592" w:rsidRDefault="00135592">
      <w:pPr>
        <w:rPr>
          <w:rFonts w:ascii="Times New Roman" w:eastAsia="Calibri" w:hAnsi="Times New Roman" w:cs="Calibri"/>
          <w:i/>
          <w:noProof/>
          <w:sz w:val="24"/>
          <w:szCs w:val="24"/>
        </w:rPr>
      </w:pPr>
      <w:r>
        <w:br w:type="page"/>
      </w:r>
    </w:p>
    <w:p w:rsidR="008C68EA" w:rsidRPr="001E6CF9" w:rsidRDefault="008C68EA" w:rsidP="00DE30DA">
      <w:pPr>
        <w:jc w:val="both"/>
        <w:rPr>
          <w:rFonts w:ascii="Times New Roman" w:eastAsia="Calibri" w:hAnsi="Times New Roman" w:cs="Calibri"/>
          <w:i/>
          <w:noProof/>
          <w:sz w:val="24"/>
          <w:szCs w:val="24"/>
        </w:rPr>
      </w:pPr>
    </w:p>
    <w:p w:rsidR="00335CDF" w:rsidRPr="001E6CF9" w:rsidRDefault="00135592" w:rsidP="00135592">
      <w:pPr>
        <w:pStyle w:val="Heading1"/>
        <w:tabs>
          <w:tab w:val="left" w:pos="403"/>
        </w:tabs>
        <w:spacing w:before="0"/>
        <w:ind w:left="0" w:firstLine="0"/>
        <w:jc w:val="both"/>
        <w:rPr>
          <w:rFonts w:ascii="Times New Roman" w:hAnsi="Times New Roman"/>
          <w:noProof/>
          <w:sz w:val="24"/>
        </w:rPr>
      </w:pPr>
      <w:bookmarkStart w:id="29" w:name="_Toc31010888"/>
      <w:r>
        <w:rPr>
          <w:rFonts w:ascii="Times New Roman" w:hAnsi="Times New Roman"/>
          <w:sz w:val="24"/>
        </w:rPr>
        <w:t>5. Kvotu piešķiršanas metodoloģija</w:t>
      </w:r>
      <w:bookmarkStart w:id="30" w:name="_bookmark17"/>
      <w:bookmarkEnd w:id="30"/>
      <w:bookmarkEnd w:id="29"/>
    </w:p>
    <w:p w:rsidR="00335CDF" w:rsidRPr="001E6CF9" w:rsidRDefault="00335CDF" w:rsidP="00DE30DA">
      <w:pPr>
        <w:jc w:val="both"/>
        <w:rPr>
          <w:rFonts w:ascii="Times New Roman" w:eastAsia="Calibri" w:hAnsi="Times New Roman" w:cs="Calibri"/>
          <w:b/>
          <w:bCs/>
          <w:noProof/>
          <w:sz w:val="24"/>
          <w:szCs w:val="28"/>
        </w:rPr>
      </w:pPr>
    </w:p>
    <w:p w:rsidR="00335CDF" w:rsidRPr="001E6CF9" w:rsidRDefault="00335CDF" w:rsidP="00DE30DA">
      <w:pPr>
        <w:jc w:val="both"/>
        <w:rPr>
          <w:rFonts w:ascii="Times New Roman" w:eastAsia="Calibri" w:hAnsi="Times New Roman" w:cs="Calibri"/>
          <w:noProof/>
          <w:sz w:val="24"/>
          <w:szCs w:val="24"/>
        </w:rPr>
      </w:pPr>
      <w:r>
        <w:rPr>
          <w:rFonts w:ascii="Times New Roman" w:hAnsi="Times New Roman"/>
          <w:sz w:val="24"/>
          <w:szCs w:val="24"/>
        </w:rPr>
        <w:t xml:space="preserve">Detalizētā līmenī uz dažādām iekārtas daļām var attiekties atšķirīgi kvotu piešķiršanas noteikumi, kas atkarīgi no to mērķa. Tādēļ, lai noteiktu piešķiramās kvotas, izšķir tā sauktās “apakšiekārtas”. Piešķiramo kvotu apjomu iekārtas līmenī nosaka, summējot apakšiekārtām piešķiramo kvotu apjomus. Šajā iedaļā sniegts vispārīgs kvotu piešķiršanas metodoloģijas un dažāda veida apakšiekārtām izmantoto pieeju pārskats. </w:t>
      </w:r>
      <w:r>
        <w:rPr>
          <w:rFonts w:ascii="Times New Roman" w:hAnsi="Times New Roman"/>
          <w:i/>
          <w:sz w:val="24"/>
          <w:szCs w:val="24"/>
        </w:rPr>
        <w:t xml:space="preserve">Sīkāku paskaidrojumu sk. Norādījumu dokumentā Nr. 2 par kvotu piešķiršanas metodoloģijām </w:t>
      </w:r>
      <w:r>
        <w:rPr>
          <w:rFonts w:ascii="Times New Roman" w:hAnsi="Times New Roman"/>
          <w:sz w:val="24"/>
          <w:szCs w:val="24"/>
        </w:rPr>
        <w:t>(iekārtas līmenī)</w:t>
      </w:r>
      <w:r>
        <w:rPr>
          <w:rFonts w:ascii="Times New Roman" w:hAnsi="Times New Roman"/>
          <w:i/>
          <w:sz w:val="24"/>
          <w:szCs w:val="24"/>
        </w:rPr>
        <w:t xml:space="preserve"> un Norādījumu dokumentā Nr. 3 par datu vākšanu.</w:t>
      </w:r>
    </w:p>
    <w:p w:rsidR="00335CDF" w:rsidRPr="001E6CF9" w:rsidRDefault="00335CDF" w:rsidP="00DE30DA">
      <w:pPr>
        <w:jc w:val="both"/>
        <w:rPr>
          <w:rFonts w:ascii="Times New Roman" w:eastAsia="Calibri" w:hAnsi="Times New Roman" w:cs="Calibri"/>
          <w:i/>
          <w:noProof/>
          <w:sz w:val="24"/>
          <w:szCs w:val="24"/>
        </w:rPr>
      </w:pPr>
    </w:p>
    <w:p w:rsidR="00335CDF" w:rsidRPr="001E6CF9" w:rsidRDefault="00135592" w:rsidP="00135592">
      <w:pPr>
        <w:pStyle w:val="Heading2"/>
        <w:tabs>
          <w:tab w:val="left" w:pos="695"/>
        </w:tabs>
        <w:ind w:left="0" w:firstLine="0"/>
        <w:jc w:val="both"/>
        <w:rPr>
          <w:rFonts w:ascii="Times New Roman" w:hAnsi="Times New Roman"/>
          <w:noProof/>
          <w:sz w:val="24"/>
        </w:rPr>
      </w:pPr>
      <w:bookmarkStart w:id="31" w:name="_Toc31010889"/>
      <w:r>
        <w:rPr>
          <w:rFonts w:ascii="Times New Roman" w:hAnsi="Times New Roman"/>
          <w:sz w:val="24"/>
        </w:rPr>
        <w:t>5.1. Pārskats par kvotu piešķiršanas pieejām apakšiekārtām</w:t>
      </w:r>
      <w:bookmarkStart w:id="32" w:name="_bookmark18"/>
      <w:bookmarkEnd w:id="32"/>
      <w:bookmarkEnd w:id="31"/>
    </w:p>
    <w:p w:rsidR="00135592" w:rsidRDefault="00135592" w:rsidP="00DE30DA">
      <w:pPr>
        <w:pStyle w:val="BodyText"/>
        <w:ind w:left="0"/>
        <w:jc w:val="both"/>
        <w:rPr>
          <w:rFonts w:ascii="Times New Roman" w:hAnsi="Times New Roman"/>
          <w:noProof/>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Rūpnieciskās ražošanas procesos kurināmais un/vai siltums parasti veido ielaidi un produkts un/vai siltums vai kurināmais – izlaidi (3. attēls). Noteiktos procesos var veidoties arī procesa emisijas.</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Elektroenerģija var veidot arī enerģijas ielaidi rūpnieciskajā procesā, bet attiecībā uz bez maksas piešķiramo kvotu noteikšanu vairumā gadījumu tas nav būtiski. Izņēmums attiecībā uz šo noteikumu ir elektroenerģijas patēriņš ražošanas procesos, uz ko attiecas produktu līmeņatzīmes un kuros elektroenerģija un kurināmais tiek izmantots, tos savstarpēji aizstājot. Plašāku informāciju par šo tēmu sk. Norādījumu dokumenta Nr. 2 par kvotu piešķiršanas metodoloģijām 3.1. iedaļā.</w:t>
      </w:r>
    </w:p>
    <w:p w:rsidR="00335CDF" w:rsidRPr="001E6CF9" w:rsidRDefault="00335CDF" w:rsidP="00DE30DA">
      <w:pPr>
        <w:jc w:val="both"/>
        <w:rPr>
          <w:rFonts w:ascii="Times New Roman" w:eastAsia="Calibri" w:hAnsi="Times New Roman" w:cs="Calibri"/>
          <w:noProof/>
          <w:sz w:val="24"/>
          <w:szCs w:val="20"/>
        </w:rPr>
      </w:pPr>
    </w:p>
    <w:p w:rsidR="00335CDF" w:rsidRPr="001E6CF9" w:rsidRDefault="003E66A3" w:rsidP="00135592">
      <w:pPr>
        <w:jc w:val="center"/>
        <w:rPr>
          <w:rFonts w:ascii="Times New Roman" w:eastAsia="Calibri" w:hAnsi="Times New Roman" w:cs="Calibri"/>
          <w:noProof/>
          <w:sz w:val="24"/>
          <w:szCs w:val="28"/>
        </w:rPr>
      </w:pPr>
      <w:r>
        <w:rPr>
          <w:rFonts w:ascii="Times New Roman" w:eastAsia="Calibri" w:hAnsi="Times New Roman" w:cs="Calibri"/>
          <w:noProof/>
          <w:sz w:val="24"/>
          <w:szCs w:val="28"/>
        </w:rPr>
        <w:drawing>
          <wp:inline distT="0" distB="0" distL="0" distR="0">
            <wp:extent cx="5753735" cy="3070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735" cy="3070860"/>
                    </a:xfrm>
                    <a:prstGeom prst="rect">
                      <a:avLst/>
                    </a:prstGeom>
                    <a:noFill/>
                    <a:ln>
                      <a:noFill/>
                    </a:ln>
                  </pic:spPr>
                </pic:pic>
              </a:graphicData>
            </a:graphic>
          </wp:inline>
        </w:drawing>
      </w:r>
    </w:p>
    <w:p w:rsidR="00135592" w:rsidRDefault="00135592" w:rsidP="00DE30DA">
      <w:pPr>
        <w:jc w:val="both"/>
        <w:rPr>
          <w:rFonts w:ascii="Times New Roman" w:eastAsia="Calibri" w:hAnsi="Times New Roman" w:cs="Calibri"/>
          <w:noProof/>
          <w:sz w:val="24"/>
          <w:szCs w:val="20"/>
        </w:rPr>
      </w:pPr>
    </w:p>
    <w:p w:rsidR="00335CDF" w:rsidRPr="001E6CF9" w:rsidRDefault="00335CDF" w:rsidP="00135592">
      <w:pPr>
        <w:jc w:val="center"/>
        <w:rPr>
          <w:rFonts w:ascii="Times New Roman" w:hAnsi="Times New Roman"/>
          <w:b/>
          <w:noProof/>
          <w:sz w:val="24"/>
        </w:rPr>
      </w:pPr>
      <w:r>
        <w:rPr>
          <w:rFonts w:ascii="Times New Roman" w:hAnsi="Times New Roman"/>
          <w:b/>
          <w:sz w:val="24"/>
        </w:rPr>
        <w:t>3. attēls. Rūpnieciskās ražošanas procesa vispārējais attēlojums</w:t>
      </w:r>
      <w:bookmarkStart w:id="33" w:name="_bookmark19"/>
      <w:bookmarkEnd w:id="33"/>
    </w:p>
    <w:p w:rsidR="00335CDF" w:rsidRPr="001E6CF9" w:rsidRDefault="00335CDF" w:rsidP="00DE30DA">
      <w:pPr>
        <w:jc w:val="both"/>
        <w:rPr>
          <w:rFonts w:ascii="Times New Roman" w:eastAsia="Calibri" w:hAnsi="Times New Roman" w:cs="Calibri"/>
          <w:b/>
          <w:bCs/>
          <w:noProof/>
          <w:sz w:val="24"/>
          <w:szCs w:val="28"/>
        </w:rPr>
      </w:pPr>
    </w:p>
    <w:p w:rsidR="00335CDF" w:rsidRDefault="00335CDF" w:rsidP="00DE30DA">
      <w:pPr>
        <w:pStyle w:val="BodyText"/>
        <w:ind w:left="0"/>
        <w:jc w:val="both"/>
        <w:rPr>
          <w:rFonts w:ascii="Times New Roman" w:hAnsi="Times New Roman"/>
          <w:noProof/>
        </w:rPr>
      </w:pPr>
      <w:r>
        <w:rPr>
          <w:rFonts w:ascii="Times New Roman" w:hAnsi="Times New Roman"/>
        </w:rPr>
        <w:t>Katra iekārta, kura var pretendēt uz kvotu bezmaksas kvotu piešķiršanu (sk. 4.2. iedaļu), saņems piešķiramās kvotas, pamatojoties uz vismaz vienu no šādām pieejām:</w:t>
      </w:r>
    </w:p>
    <w:p w:rsidR="00135592" w:rsidRPr="001E6CF9" w:rsidRDefault="00135592" w:rsidP="00DE30DA">
      <w:pPr>
        <w:pStyle w:val="BodyText"/>
        <w:ind w:left="0"/>
        <w:jc w:val="both"/>
        <w:rPr>
          <w:rFonts w:ascii="Times New Roman" w:hAnsi="Times New Roman"/>
          <w:noProof/>
        </w:rPr>
      </w:pPr>
    </w:p>
    <w:p w:rsidR="00335CDF" w:rsidRPr="001E6CF9" w:rsidRDefault="00335CDF" w:rsidP="00135592">
      <w:pPr>
        <w:numPr>
          <w:ilvl w:val="2"/>
          <w:numId w:val="9"/>
        </w:numPr>
        <w:tabs>
          <w:tab w:val="left" w:pos="403"/>
        </w:tabs>
        <w:ind w:left="426" w:hanging="426"/>
        <w:jc w:val="both"/>
        <w:rPr>
          <w:rFonts w:ascii="Times New Roman" w:eastAsia="Calibri" w:hAnsi="Times New Roman" w:cs="Calibri"/>
          <w:noProof/>
          <w:sz w:val="24"/>
          <w:szCs w:val="24"/>
        </w:rPr>
      </w:pPr>
      <w:r>
        <w:rPr>
          <w:rFonts w:ascii="Times New Roman" w:hAnsi="Times New Roman"/>
          <w:b/>
          <w:sz w:val="24"/>
        </w:rPr>
        <w:t xml:space="preserve">produkta līmeņatzīmes noteikšanu </w:t>
      </w:r>
      <w:r>
        <w:rPr>
          <w:rFonts w:ascii="Times New Roman" w:hAnsi="Times New Roman"/>
          <w:sz w:val="24"/>
        </w:rPr>
        <w:t>(kvotas vai ESK</w:t>
      </w:r>
      <w:r w:rsidR="00135592">
        <w:rPr>
          <w:rStyle w:val="FootnoteReference"/>
          <w:rFonts w:ascii="Times New Roman" w:hAnsi="Times New Roman" w:cs="Calibri"/>
          <w:noProof/>
          <w:sz w:val="24"/>
        </w:rPr>
        <w:footnoteReference w:id="22"/>
      </w:r>
      <w:r>
        <w:rPr>
          <w:rFonts w:ascii="Times New Roman" w:hAnsi="Times New Roman"/>
          <w:sz w:val="24"/>
        </w:rPr>
        <w:t xml:space="preserve"> / t produkts); piešķiramo kvotu </w:t>
      </w:r>
      <w:r>
        <w:rPr>
          <w:rFonts w:ascii="Times New Roman" w:hAnsi="Times New Roman"/>
          <w:sz w:val="24"/>
        </w:rPr>
        <w:lastRenderedPageBreak/>
        <w:t>apjomu nosaka, pamatojoties uz produktu izlaidi;</w:t>
      </w:r>
    </w:p>
    <w:p w:rsidR="00335CDF" w:rsidRPr="001E6CF9" w:rsidRDefault="00335CDF" w:rsidP="00135592">
      <w:pPr>
        <w:pStyle w:val="BodyText"/>
        <w:numPr>
          <w:ilvl w:val="2"/>
          <w:numId w:val="9"/>
        </w:numPr>
        <w:tabs>
          <w:tab w:val="left" w:pos="403"/>
        </w:tabs>
        <w:ind w:left="426" w:hanging="426"/>
        <w:jc w:val="both"/>
        <w:rPr>
          <w:rFonts w:ascii="Times New Roman" w:hAnsi="Times New Roman"/>
          <w:noProof/>
        </w:rPr>
      </w:pPr>
      <w:r>
        <w:rPr>
          <w:rFonts w:ascii="Times New Roman" w:hAnsi="Times New Roman"/>
          <w:b/>
        </w:rPr>
        <w:t xml:space="preserve">siltuma līmeņatzīmes noteikšanu </w:t>
      </w:r>
      <w:r>
        <w:rPr>
          <w:rFonts w:ascii="Times New Roman" w:hAnsi="Times New Roman"/>
        </w:rPr>
        <w:t xml:space="preserve">(kvotas / neto izmērāmā siltuma </w:t>
      </w:r>
      <w:r>
        <w:rPr>
          <w:rFonts w:ascii="Times New Roman" w:hAnsi="Times New Roman"/>
          <w:i/>
          <w:iCs/>
        </w:rPr>
        <w:t>TJ</w:t>
      </w:r>
      <w:r>
        <w:rPr>
          <w:rFonts w:ascii="Times New Roman" w:hAnsi="Times New Roman"/>
        </w:rPr>
        <w:t>); piešķiramo kvotu apjomu nosaka, pamatojoties uz izmērāmā siltuma daudzumu</w:t>
      </w:r>
      <w:r w:rsidR="00135592">
        <w:rPr>
          <w:rStyle w:val="FootnoteReference"/>
          <w:rFonts w:ascii="Times New Roman" w:hAnsi="Times New Roman" w:cs="Calibri"/>
          <w:noProof/>
        </w:rPr>
        <w:footnoteReference w:id="23"/>
      </w:r>
      <w:r>
        <w:rPr>
          <w:rFonts w:ascii="Times New Roman" w:hAnsi="Times New Roman"/>
        </w:rPr>
        <w:t>, kas tiek patērēts vai eksportēts uz ETS neaptvertām iekārtām vai vienībām;</w:t>
      </w:r>
    </w:p>
    <w:p w:rsidR="00335CDF" w:rsidRPr="001E6CF9" w:rsidRDefault="00335CDF" w:rsidP="00135592">
      <w:pPr>
        <w:pStyle w:val="BodyText"/>
        <w:numPr>
          <w:ilvl w:val="2"/>
          <w:numId w:val="9"/>
        </w:numPr>
        <w:tabs>
          <w:tab w:val="left" w:pos="403"/>
        </w:tabs>
        <w:ind w:left="426" w:hanging="426"/>
        <w:jc w:val="both"/>
        <w:rPr>
          <w:rFonts w:ascii="Times New Roman" w:hAnsi="Times New Roman"/>
          <w:noProof/>
        </w:rPr>
      </w:pPr>
      <w:r>
        <w:rPr>
          <w:rFonts w:ascii="Times New Roman" w:hAnsi="Times New Roman"/>
          <w:b/>
        </w:rPr>
        <w:t xml:space="preserve">kurināmā līmeņatzīmes noteikšanu </w:t>
      </w:r>
      <w:r>
        <w:rPr>
          <w:rFonts w:ascii="Times New Roman" w:hAnsi="Times New Roman"/>
        </w:rPr>
        <w:t xml:space="preserve">(kvotas / izmantotā kurināmā </w:t>
      </w:r>
      <w:r>
        <w:rPr>
          <w:rFonts w:ascii="Times New Roman" w:hAnsi="Times New Roman"/>
          <w:i/>
          <w:iCs/>
        </w:rPr>
        <w:t>TJ</w:t>
      </w:r>
      <w:r>
        <w:rPr>
          <w:rFonts w:ascii="Times New Roman" w:hAnsi="Times New Roman"/>
        </w:rPr>
        <w:t>); piešķiramo kvotu apjomu nosaka, pamatojoties uz patērētā kurināmā daudzumu;</w:t>
      </w:r>
    </w:p>
    <w:p w:rsidR="00335CDF" w:rsidRPr="001E6CF9" w:rsidRDefault="00335CDF" w:rsidP="00135592">
      <w:pPr>
        <w:numPr>
          <w:ilvl w:val="2"/>
          <w:numId w:val="9"/>
        </w:numPr>
        <w:tabs>
          <w:tab w:val="left" w:pos="403"/>
        </w:tabs>
        <w:ind w:left="426" w:hanging="426"/>
        <w:jc w:val="both"/>
        <w:rPr>
          <w:rFonts w:ascii="Times New Roman" w:eastAsia="Calibri" w:hAnsi="Times New Roman" w:cs="Calibri"/>
          <w:noProof/>
          <w:sz w:val="24"/>
          <w:szCs w:val="24"/>
        </w:rPr>
      </w:pPr>
      <w:r>
        <w:rPr>
          <w:rFonts w:ascii="Times New Roman" w:hAnsi="Times New Roman"/>
          <w:b/>
          <w:sz w:val="24"/>
        </w:rPr>
        <w:t>procesa emisiju pieeju</w:t>
      </w:r>
      <w:r>
        <w:rPr>
          <w:rFonts w:ascii="Times New Roman" w:hAnsi="Times New Roman"/>
          <w:sz w:val="24"/>
        </w:rPr>
        <w:t>; piešķiramo kvotu apjoms ir 97 % no vēsturiskajām emisijām.</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jc w:val="both"/>
        <w:rPr>
          <w:rFonts w:ascii="Times New Roman" w:hAnsi="Times New Roman"/>
          <w:i/>
          <w:noProof/>
          <w:sz w:val="24"/>
        </w:rPr>
      </w:pPr>
      <w:r>
        <w:rPr>
          <w:rFonts w:ascii="Times New Roman" w:hAnsi="Times New Roman"/>
          <w:sz w:val="24"/>
        </w:rPr>
        <w:t>Jāievēro, ka iepriekš minētais attiecas uz izmantotajām līmeņatzīmēm, nevis apakšiekārtām. Pastāv atšķirība gadījumā, kad siltuma līmeņatzīme tiek piemērota 2 dažādām apakšiekārtām. Atšķirībā no siltuma, kas tiek patērēts uz vietas vai tiek eksportēts vajadzībām, kas nav saistītas ar centralizēto siltumapgādi (</w:t>
      </w:r>
      <w:r>
        <w:rPr>
          <w:rFonts w:ascii="Times New Roman" w:hAnsi="Times New Roman"/>
          <w:i/>
          <w:sz w:val="24"/>
        </w:rPr>
        <w:t>DH</w:t>
      </w:r>
      <w:r>
        <w:rPr>
          <w:rFonts w:ascii="Times New Roman" w:hAnsi="Times New Roman"/>
          <w:sz w:val="24"/>
        </w:rPr>
        <w:t xml:space="preserve">), siltums, kas tiek eksportēts </w:t>
      </w:r>
      <w:r>
        <w:rPr>
          <w:rFonts w:ascii="Times New Roman" w:hAnsi="Times New Roman"/>
          <w:i/>
          <w:sz w:val="24"/>
        </w:rPr>
        <w:t>DH</w:t>
      </w:r>
      <w:r>
        <w:rPr>
          <w:rFonts w:ascii="Times New Roman" w:hAnsi="Times New Roman"/>
          <w:sz w:val="24"/>
        </w:rPr>
        <w:t xml:space="preserve"> vajadzībām, tiek attiecināts uz citu apakšiekārtu. Piešķiramo kvotu apjomu </w:t>
      </w:r>
      <w:r>
        <w:rPr>
          <w:rFonts w:ascii="Times New Roman" w:hAnsi="Times New Roman"/>
          <w:i/>
          <w:sz w:val="24"/>
        </w:rPr>
        <w:t>DH</w:t>
      </w:r>
      <w:r>
        <w:rPr>
          <w:rFonts w:ascii="Times New Roman" w:hAnsi="Times New Roman"/>
          <w:sz w:val="24"/>
        </w:rPr>
        <w:t xml:space="preserve"> apakšiekārtām nosaka, pamatojoties uz izmērāmā siltuma daudzumu, kas tiek eksportēts </w:t>
      </w:r>
      <w:r>
        <w:rPr>
          <w:rFonts w:ascii="Times New Roman" w:hAnsi="Times New Roman"/>
          <w:i/>
          <w:sz w:val="24"/>
        </w:rPr>
        <w:t>DH</w:t>
      </w:r>
      <w:r>
        <w:rPr>
          <w:rFonts w:ascii="Times New Roman" w:hAnsi="Times New Roman"/>
          <w:sz w:val="24"/>
        </w:rPr>
        <w:t xml:space="preserve"> vajadzībām, un izmantojot to pašu siltuma līmeņatzīmi. </w:t>
      </w:r>
      <w:r>
        <w:rPr>
          <w:rFonts w:ascii="Times New Roman" w:hAnsi="Times New Roman"/>
          <w:i/>
          <w:sz w:val="24"/>
        </w:rPr>
        <w:t>Sīkāku informāciju par dažādiem izmantotajiem jēdzieniem un terminoloģiju, kas saistīta ar centralizēto siltumapgādi, sk. Norādījumu dokumentā Nr. 2 par kvotu piešķiršanu iekārtas līmenī.</w:t>
      </w:r>
    </w:p>
    <w:p w:rsidR="00335CDF" w:rsidRPr="001E6CF9" w:rsidRDefault="00335CDF" w:rsidP="00DE30DA">
      <w:pPr>
        <w:jc w:val="both"/>
        <w:rPr>
          <w:rFonts w:ascii="Times New Roman" w:hAnsi="Times New Roman"/>
          <w:i/>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Emisijas kvotu bezmaksas piešķiršana, cik vien iespējams, balstīsies uz Savienības mēroga </w:t>
      </w:r>
      <w:r>
        <w:rPr>
          <w:rFonts w:ascii="Times New Roman" w:hAnsi="Times New Roman"/>
          <w:i/>
        </w:rPr>
        <w:t>ex-ante</w:t>
      </w:r>
      <w:r>
        <w:rPr>
          <w:rFonts w:ascii="Times New Roman" w:hAnsi="Times New Roman"/>
        </w:rPr>
        <w:t xml:space="preserve"> produktu līmeņatzīmēm, jo tas nodrošina vislielāko stimulu emisiju samazināšanai. Tomēr ne visos gadījumos gadījumos var noteikt produktu līmeņatzīmes, piemēram, tādēļ, ka produkcijas sortiments ir pārāk dažāds vai mainīgs. Šajos gadījumos tiek izmantotas tā sauktās “rezerves” pieejas, kas pamatojas uz siltuma līmeņatzīmi, kurināmā līmeņatzīmi vai procesa emisiju pieeju, iepriekš norādītajā secībā, kā noteikts </w:t>
      </w:r>
      <w:r>
        <w:rPr>
          <w:rFonts w:ascii="Times New Roman" w:hAnsi="Times New Roman"/>
          <w:i/>
        </w:rPr>
        <w:t>FAR</w:t>
      </w:r>
      <w:r>
        <w:rPr>
          <w:rFonts w:ascii="Times New Roman" w:hAnsi="Times New Roman"/>
        </w:rPr>
        <w:t xml:space="preserve"> 10. panta 2. punktā.</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Izmantojot šīs pieejas, emisijas kvotu provizorisko ikgadējo skaitu katrai apakšiekārtai var aprēķināt visiem ES ETS aptvertajiem emisiju avotiem, kas var pretendēt uz kvotu bezmaksas piešķiršanu. 4. tabulā apkopotas katras kvotu piešķiršanas metodoloģijas vispārīgās iezīmes. Šajā tabulā arī parādīts tas, kad katra konkrētā metodoloģija ir jāizmanto. Pareizi izmantojot šīs pieejas, tiek nodrošināts, ka attiecībā uz visām emisijām var izmantot tikai vienu metodoloģiju.</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jc w:val="both"/>
        <w:rPr>
          <w:rFonts w:ascii="Times New Roman" w:hAnsi="Times New Roman"/>
          <w:i/>
          <w:noProof/>
          <w:sz w:val="24"/>
        </w:rPr>
      </w:pPr>
      <w:r>
        <w:rPr>
          <w:rFonts w:ascii="Times New Roman" w:hAnsi="Times New Roman"/>
          <w:i/>
          <w:sz w:val="24"/>
        </w:rPr>
        <w:t>Sīkāka informācija par kvotu piešķiršanas metodoloģiju izmantošanas nosacījumiem atrodama Norādījumu dokumentā Nr. 2 par kvotu piešķiršanu iekārtas līmenī.</w:t>
      </w:r>
    </w:p>
    <w:p w:rsidR="00135592" w:rsidRDefault="00135592">
      <w:pPr>
        <w:rPr>
          <w:rFonts w:ascii="Times New Roman" w:eastAsia="Calibri" w:hAnsi="Times New Roman" w:cs="Calibri"/>
          <w:i/>
          <w:noProof/>
          <w:sz w:val="24"/>
          <w:szCs w:val="20"/>
        </w:rPr>
      </w:pPr>
      <w:r>
        <w:br w:type="page"/>
      </w:r>
    </w:p>
    <w:p w:rsidR="008C68EA" w:rsidRPr="001E6CF9" w:rsidRDefault="008C68EA" w:rsidP="00DE30DA">
      <w:pPr>
        <w:jc w:val="both"/>
        <w:rPr>
          <w:rFonts w:ascii="Times New Roman" w:hAnsi="Times New Roman"/>
          <w:b/>
          <w:noProof/>
          <w:sz w:val="24"/>
        </w:rPr>
      </w:pPr>
    </w:p>
    <w:p w:rsidR="00335CDF" w:rsidRPr="001E6CF9" w:rsidRDefault="00335CDF" w:rsidP="00DE30DA">
      <w:pPr>
        <w:jc w:val="both"/>
        <w:rPr>
          <w:rFonts w:ascii="Times New Roman" w:hAnsi="Times New Roman"/>
          <w:b/>
          <w:noProof/>
          <w:sz w:val="24"/>
        </w:rPr>
      </w:pPr>
      <w:r>
        <w:rPr>
          <w:rFonts w:ascii="Times New Roman" w:hAnsi="Times New Roman"/>
          <w:b/>
          <w:sz w:val="24"/>
        </w:rPr>
        <w:t>4. tabula. Kvotu piešķiršanas pieeju raksturojums</w:t>
      </w:r>
      <w:bookmarkStart w:id="34" w:name="_bookmark20"/>
      <w:bookmarkEnd w:id="34"/>
    </w:p>
    <w:p w:rsidR="00335CDF" w:rsidRPr="001E6CF9" w:rsidRDefault="00335CDF" w:rsidP="00DE30DA">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46"/>
        <w:gridCol w:w="1559"/>
        <w:gridCol w:w="1559"/>
        <w:gridCol w:w="2739"/>
        <w:gridCol w:w="1825"/>
      </w:tblGrid>
      <w:tr w:rsidR="00135592" w:rsidRPr="00135592" w:rsidTr="003E66A3">
        <w:tc>
          <w:tcPr>
            <w:tcW w:w="1446" w:type="dxa"/>
            <w:tcBorders>
              <w:top w:val="single" w:sz="4" w:space="0" w:color="auto"/>
              <w:bottom w:val="single" w:sz="4" w:space="0" w:color="auto"/>
            </w:tcBorders>
          </w:tcPr>
          <w:p w:rsidR="00135592" w:rsidRPr="00135592" w:rsidRDefault="00135592" w:rsidP="003E66A3">
            <w:pPr>
              <w:jc w:val="center"/>
              <w:rPr>
                <w:rFonts w:ascii="Times New Roman" w:eastAsia="Calibri" w:hAnsi="Times New Roman" w:cs="Times New Roman"/>
                <w:b/>
                <w:bCs/>
                <w:noProof/>
                <w:sz w:val="20"/>
                <w:szCs w:val="20"/>
              </w:rPr>
            </w:pPr>
            <w:r>
              <w:rPr>
                <w:rFonts w:ascii="Times New Roman" w:hAnsi="Times New Roman"/>
                <w:b/>
                <w:bCs/>
                <w:sz w:val="20"/>
                <w:szCs w:val="20"/>
              </w:rPr>
              <w:t>Pieeja</w:t>
            </w:r>
          </w:p>
        </w:tc>
        <w:tc>
          <w:tcPr>
            <w:tcW w:w="1559" w:type="dxa"/>
            <w:tcBorders>
              <w:top w:val="single" w:sz="4" w:space="0" w:color="auto"/>
              <w:bottom w:val="single" w:sz="4" w:space="0" w:color="auto"/>
            </w:tcBorders>
          </w:tcPr>
          <w:p w:rsidR="00135592" w:rsidRPr="00135592" w:rsidRDefault="00135592" w:rsidP="003E66A3">
            <w:pPr>
              <w:jc w:val="center"/>
              <w:rPr>
                <w:rFonts w:ascii="Times New Roman" w:eastAsia="Calibri" w:hAnsi="Times New Roman" w:cs="Times New Roman"/>
                <w:b/>
                <w:bCs/>
                <w:noProof/>
                <w:sz w:val="20"/>
                <w:szCs w:val="20"/>
              </w:rPr>
            </w:pPr>
            <w:r>
              <w:rPr>
                <w:rFonts w:ascii="Times New Roman" w:hAnsi="Times New Roman"/>
                <w:b/>
                <w:bCs/>
                <w:sz w:val="20"/>
                <w:szCs w:val="20"/>
              </w:rPr>
              <w:t>Vērtība</w:t>
            </w:r>
          </w:p>
        </w:tc>
        <w:tc>
          <w:tcPr>
            <w:tcW w:w="1559" w:type="dxa"/>
            <w:tcBorders>
              <w:top w:val="single" w:sz="4" w:space="0" w:color="auto"/>
              <w:bottom w:val="single" w:sz="4" w:space="0" w:color="auto"/>
            </w:tcBorders>
          </w:tcPr>
          <w:p w:rsidR="00135592" w:rsidRPr="00135592" w:rsidRDefault="00135592" w:rsidP="003E66A3">
            <w:pPr>
              <w:jc w:val="center"/>
              <w:rPr>
                <w:rFonts w:ascii="Times New Roman" w:eastAsia="Calibri" w:hAnsi="Times New Roman" w:cs="Times New Roman"/>
                <w:b/>
                <w:bCs/>
                <w:noProof/>
                <w:sz w:val="20"/>
                <w:szCs w:val="20"/>
              </w:rPr>
            </w:pPr>
            <w:r>
              <w:rPr>
                <w:rFonts w:ascii="Times New Roman" w:hAnsi="Times New Roman"/>
                <w:b/>
                <w:bCs/>
                <w:sz w:val="20"/>
                <w:szCs w:val="20"/>
              </w:rPr>
              <w:t>Mērvienība</w:t>
            </w:r>
          </w:p>
        </w:tc>
        <w:tc>
          <w:tcPr>
            <w:tcW w:w="2739" w:type="dxa"/>
            <w:tcBorders>
              <w:top w:val="single" w:sz="4" w:space="0" w:color="auto"/>
              <w:bottom w:val="single" w:sz="4" w:space="0" w:color="auto"/>
            </w:tcBorders>
          </w:tcPr>
          <w:p w:rsidR="00135592" w:rsidRPr="00135592" w:rsidRDefault="00135592" w:rsidP="00DE30DA">
            <w:pPr>
              <w:jc w:val="both"/>
              <w:rPr>
                <w:rFonts w:ascii="Times New Roman" w:eastAsia="Calibri" w:hAnsi="Times New Roman" w:cs="Times New Roman"/>
                <w:b/>
                <w:bCs/>
                <w:noProof/>
                <w:sz w:val="20"/>
                <w:szCs w:val="20"/>
              </w:rPr>
            </w:pPr>
            <w:r>
              <w:rPr>
                <w:rFonts w:ascii="Times New Roman" w:hAnsi="Times New Roman"/>
                <w:b/>
                <w:bCs/>
                <w:sz w:val="20"/>
                <w:szCs w:val="20"/>
              </w:rPr>
              <w:t>Nosacījumi</w:t>
            </w:r>
          </w:p>
        </w:tc>
        <w:tc>
          <w:tcPr>
            <w:tcW w:w="1825" w:type="dxa"/>
            <w:tcBorders>
              <w:top w:val="single" w:sz="4" w:space="0" w:color="auto"/>
              <w:bottom w:val="single" w:sz="4" w:space="0" w:color="auto"/>
            </w:tcBorders>
          </w:tcPr>
          <w:p w:rsidR="00135592" w:rsidRPr="00135592" w:rsidRDefault="00135592" w:rsidP="00DE30DA">
            <w:pPr>
              <w:jc w:val="both"/>
              <w:rPr>
                <w:rFonts w:ascii="Times New Roman" w:eastAsia="Calibri" w:hAnsi="Times New Roman" w:cs="Times New Roman"/>
                <w:b/>
                <w:bCs/>
                <w:noProof/>
                <w:sz w:val="20"/>
                <w:szCs w:val="20"/>
              </w:rPr>
            </w:pPr>
            <w:r>
              <w:rPr>
                <w:rFonts w:ascii="Times New Roman" w:hAnsi="Times New Roman"/>
                <w:b/>
                <w:bCs/>
                <w:sz w:val="20"/>
                <w:szCs w:val="20"/>
              </w:rPr>
              <w:t>Attiecīgās emisijas</w:t>
            </w:r>
          </w:p>
        </w:tc>
      </w:tr>
      <w:tr w:rsidR="00135592" w:rsidRPr="00135592" w:rsidTr="003E66A3">
        <w:tc>
          <w:tcPr>
            <w:tcW w:w="1446" w:type="dxa"/>
            <w:tcBorders>
              <w:top w:val="single" w:sz="4" w:space="0" w:color="auto"/>
            </w:tcBorders>
          </w:tcPr>
          <w:p w:rsidR="00135592" w:rsidRPr="00135592" w:rsidRDefault="00135592" w:rsidP="003E66A3">
            <w:pPr>
              <w:jc w:val="center"/>
              <w:rPr>
                <w:rFonts w:ascii="Times New Roman" w:eastAsia="Calibri" w:hAnsi="Times New Roman" w:cs="Times New Roman"/>
                <w:noProof/>
                <w:sz w:val="20"/>
                <w:szCs w:val="20"/>
              </w:rPr>
            </w:pPr>
            <w:r>
              <w:rPr>
                <w:rFonts w:ascii="Times New Roman" w:hAnsi="Times New Roman"/>
                <w:sz w:val="20"/>
                <w:szCs w:val="20"/>
              </w:rPr>
              <w:t>Produkta līmeņatzīme</w:t>
            </w:r>
          </w:p>
        </w:tc>
        <w:tc>
          <w:tcPr>
            <w:tcW w:w="1559" w:type="dxa"/>
            <w:tcBorders>
              <w:top w:val="single" w:sz="4" w:space="0" w:color="auto"/>
            </w:tcBorders>
          </w:tcPr>
          <w:p w:rsidR="00135592" w:rsidRPr="00135592" w:rsidRDefault="00135592" w:rsidP="003E66A3">
            <w:pPr>
              <w:jc w:val="center"/>
              <w:rPr>
                <w:rFonts w:ascii="Times New Roman" w:eastAsia="Calibri" w:hAnsi="Times New Roman" w:cs="Times New Roman"/>
                <w:noProof/>
                <w:sz w:val="20"/>
                <w:szCs w:val="20"/>
              </w:rPr>
            </w:pPr>
            <w:r>
              <w:rPr>
                <w:rFonts w:ascii="Times New Roman" w:hAnsi="Times New Roman"/>
                <w:sz w:val="20"/>
                <w:szCs w:val="20"/>
              </w:rPr>
              <w:t xml:space="preserve">Atjauninātās vērtības sk. </w:t>
            </w:r>
            <w:r>
              <w:rPr>
                <w:rFonts w:ascii="Times New Roman" w:hAnsi="Times New Roman"/>
                <w:i/>
                <w:sz w:val="20"/>
                <w:szCs w:val="20"/>
              </w:rPr>
              <w:t>BMU</w:t>
            </w:r>
          </w:p>
        </w:tc>
        <w:tc>
          <w:tcPr>
            <w:tcW w:w="1559" w:type="dxa"/>
            <w:tcBorders>
              <w:top w:val="single" w:sz="4" w:space="0" w:color="auto"/>
            </w:tcBorders>
          </w:tcPr>
          <w:p w:rsidR="00135592" w:rsidRPr="00135592" w:rsidRDefault="00135592" w:rsidP="003E66A3">
            <w:pPr>
              <w:jc w:val="center"/>
              <w:rPr>
                <w:rFonts w:ascii="Times New Roman" w:eastAsia="Calibri" w:hAnsi="Times New Roman" w:cs="Times New Roman"/>
                <w:noProof/>
                <w:sz w:val="20"/>
                <w:szCs w:val="20"/>
              </w:rPr>
            </w:pPr>
            <w:r>
              <w:rPr>
                <w:rFonts w:ascii="Times New Roman" w:hAnsi="Times New Roman"/>
                <w:sz w:val="20"/>
                <w:szCs w:val="20"/>
              </w:rPr>
              <w:t>kvotas / produkta vienība</w:t>
            </w:r>
          </w:p>
        </w:tc>
        <w:tc>
          <w:tcPr>
            <w:tcW w:w="2739" w:type="dxa"/>
            <w:tcBorders>
              <w:top w:val="single" w:sz="4" w:space="0" w:color="auto"/>
            </w:tcBorders>
          </w:tcPr>
          <w:p w:rsidR="00135592" w:rsidRPr="00C703A6" w:rsidRDefault="00135592" w:rsidP="00C703A6">
            <w:pPr>
              <w:pStyle w:val="ListParagraph"/>
              <w:numPr>
                <w:ilvl w:val="0"/>
                <w:numId w:val="16"/>
              </w:numPr>
              <w:ind w:left="402"/>
              <w:jc w:val="both"/>
              <w:rPr>
                <w:rFonts w:ascii="Times New Roman" w:eastAsia="Calibri" w:hAnsi="Times New Roman" w:cs="Times New Roman"/>
                <w:noProof/>
                <w:sz w:val="20"/>
                <w:szCs w:val="20"/>
              </w:rPr>
            </w:pPr>
            <w:r>
              <w:rPr>
                <w:rFonts w:ascii="Times New Roman" w:hAnsi="Times New Roman"/>
                <w:sz w:val="20"/>
                <w:szCs w:val="20"/>
              </w:rPr>
              <w:t>Pieejamā produkta līmeņatzīme</w:t>
            </w:r>
          </w:p>
        </w:tc>
        <w:tc>
          <w:tcPr>
            <w:tcW w:w="1825" w:type="dxa"/>
            <w:tcBorders>
              <w:top w:val="single" w:sz="4" w:space="0" w:color="auto"/>
            </w:tcBorders>
          </w:tcPr>
          <w:p w:rsidR="00135592" w:rsidRPr="00135592" w:rsidRDefault="00C703A6" w:rsidP="00DE30DA">
            <w:pPr>
              <w:jc w:val="both"/>
              <w:rPr>
                <w:rFonts w:ascii="Times New Roman" w:eastAsia="Calibri" w:hAnsi="Times New Roman" w:cs="Times New Roman"/>
                <w:noProof/>
                <w:sz w:val="20"/>
                <w:szCs w:val="20"/>
              </w:rPr>
            </w:pPr>
            <w:r>
              <w:rPr>
                <w:rFonts w:ascii="Times New Roman" w:hAnsi="Times New Roman"/>
                <w:sz w:val="20"/>
                <w:szCs w:val="20"/>
              </w:rPr>
              <w:t xml:space="preserve">Produkta radītās emisijas sistēmas robežās, kā norādīts </w:t>
            </w:r>
            <w:r>
              <w:rPr>
                <w:rFonts w:ascii="Times New Roman" w:hAnsi="Times New Roman"/>
                <w:i/>
                <w:sz w:val="20"/>
                <w:szCs w:val="20"/>
              </w:rPr>
              <w:t>FAR</w:t>
            </w:r>
            <w:r>
              <w:rPr>
                <w:rFonts w:ascii="Times New Roman" w:hAnsi="Times New Roman"/>
                <w:sz w:val="20"/>
                <w:szCs w:val="20"/>
              </w:rPr>
              <w:t xml:space="preserve"> I pielikumā</w:t>
            </w:r>
          </w:p>
        </w:tc>
      </w:tr>
      <w:tr w:rsidR="00135592" w:rsidRPr="00135592" w:rsidTr="003E66A3">
        <w:tc>
          <w:tcPr>
            <w:tcW w:w="1446" w:type="dxa"/>
          </w:tcPr>
          <w:p w:rsidR="00135592" w:rsidRPr="00135592" w:rsidRDefault="00135592" w:rsidP="003E66A3">
            <w:pPr>
              <w:jc w:val="center"/>
              <w:rPr>
                <w:rFonts w:ascii="Times New Roman" w:eastAsia="Calibri" w:hAnsi="Times New Roman" w:cs="Times New Roman"/>
                <w:noProof/>
                <w:sz w:val="20"/>
                <w:szCs w:val="20"/>
              </w:rPr>
            </w:pPr>
            <w:r>
              <w:rPr>
                <w:rFonts w:ascii="Times New Roman" w:hAnsi="Times New Roman"/>
                <w:sz w:val="20"/>
                <w:szCs w:val="20"/>
              </w:rPr>
              <w:t>Siltuma līmeņatzīme (tostarp centralizētajai siltumapgādei)</w:t>
            </w:r>
          </w:p>
        </w:tc>
        <w:tc>
          <w:tcPr>
            <w:tcW w:w="1559" w:type="dxa"/>
          </w:tcPr>
          <w:p w:rsidR="00135592" w:rsidRPr="00135592" w:rsidRDefault="00135592" w:rsidP="003E66A3">
            <w:pPr>
              <w:jc w:val="center"/>
              <w:rPr>
                <w:rFonts w:ascii="Times New Roman" w:eastAsia="Calibri" w:hAnsi="Times New Roman" w:cs="Times New Roman"/>
                <w:noProof/>
                <w:sz w:val="20"/>
                <w:szCs w:val="20"/>
              </w:rPr>
            </w:pPr>
            <w:r>
              <w:rPr>
                <w:rFonts w:ascii="Times New Roman" w:hAnsi="Times New Roman"/>
                <w:sz w:val="20"/>
                <w:szCs w:val="20"/>
              </w:rPr>
              <w:t xml:space="preserve">Atjauninātā vērtība: </w:t>
            </w:r>
            <w:r w:rsidRPr="003E66A3">
              <w:rPr>
                <w:rFonts w:ascii="Times New Roman" w:hAnsi="Times New Roman"/>
                <w:sz w:val="20"/>
                <w:szCs w:val="20"/>
                <w:highlight w:val="yellow"/>
              </w:rPr>
              <w:t>XX</w:t>
            </w:r>
          </w:p>
        </w:tc>
        <w:tc>
          <w:tcPr>
            <w:tcW w:w="1559" w:type="dxa"/>
          </w:tcPr>
          <w:p w:rsidR="00135592" w:rsidRPr="00135592" w:rsidRDefault="00135592" w:rsidP="003E66A3">
            <w:pPr>
              <w:jc w:val="center"/>
              <w:rPr>
                <w:rFonts w:ascii="Times New Roman" w:eastAsia="Calibri" w:hAnsi="Times New Roman" w:cs="Times New Roman"/>
                <w:noProof/>
                <w:sz w:val="20"/>
                <w:szCs w:val="20"/>
              </w:rPr>
            </w:pPr>
            <w:r>
              <w:rPr>
                <w:rFonts w:ascii="Times New Roman" w:hAnsi="Times New Roman"/>
                <w:sz w:val="20"/>
                <w:szCs w:val="20"/>
              </w:rPr>
              <w:t xml:space="preserve">kvotas / </w:t>
            </w:r>
            <w:r>
              <w:rPr>
                <w:rFonts w:ascii="Times New Roman" w:hAnsi="Times New Roman"/>
                <w:i/>
                <w:iCs/>
                <w:sz w:val="20"/>
                <w:szCs w:val="20"/>
              </w:rPr>
              <w:t>TJ</w:t>
            </w:r>
          </w:p>
        </w:tc>
        <w:tc>
          <w:tcPr>
            <w:tcW w:w="2739" w:type="dxa"/>
          </w:tcPr>
          <w:p w:rsidR="00135592" w:rsidRPr="00C703A6" w:rsidRDefault="00C703A6" w:rsidP="00C703A6">
            <w:pPr>
              <w:pStyle w:val="ListParagraph"/>
              <w:numPr>
                <w:ilvl w:val="0"/>
                <w:numId w:val="15"/>
              </w:numPr>
              <w:ind w:left="402"/>
              <w:jc w:val="both"/>
              <w:rPr>
                <w:rFonts w:ascii="Times New Roman" w:eastAsia="Calibri" w:hAnsi="Times New Roman" w:cs="Times New Roman"/>
                <w:noProof/>
                <w:sz w:val="20"/>
                <w:szCs w:val="20"/>
              </w:rPr>
            </w:pPr>
            <w:r>
              <w:rPr>
                <w:rFonts w:ascii="Times New Roman" w:hAnsi="Times New Roman"/>
                <w:sz w:val="20"/>
                <w:szCs w:val="20"/>
              </w:rPr>
              <w:t>Produkta līmeņatzīme nav pieejama</w:t>
            </w:r>
          </w:p>
          <w:p w:rsidR="00C703A6" w:rsidRPr="00C703A6" w:rsidRDefault="00C703A6" w:rsidP="00C703A6">
            <w:pPr>
              <w:pStyle w:val="ListParagraph"/>
              <w:numPr>
                <w:ilvl w:val="0"/>
                <w:numId w:val="15"/>
              </w:numPr>
              <w:ind w:left="402"/>
              <w:jc w:val="both"/>
              <w:rPr>
                <w:rFonts w:ascii="Times New Roman" w:eastAsia="Calibri" w:hAnsi="Times New Roman" w:cs="Times New Roman"/>
                <w:noProof/>
                <w:sz w:val="20"/>
                <w:szCs w:val="20"/>
              </w:rPr>
            </w:pPr>
            <w:r>
              <w:rPr>
                <w:rFonts w:ascii="Times New Roman" w:hAnsi="Times New Roman"/>
                <w:sz w:val="20"/>
                <w:szCs w:val="20"/>
              </w:rPr>
              <w:t>Siltums ir izmērāms</w:t>
            </w:r>
          </w:p>
          <w:p w:rsidR="00C703A6" w:rsidRPr="00C703A6" w:rsidRDefault="00C703A6" w:rsidP="00C703A6">
            <w:pPr>
              <w:pStyle w:val="ListParagraph"/>
              <w:numPr>
                <w:ilvl w:val="0"/>
                <w:numId w:val="15"/>
              </w:numPr>
              <w:ind w:left="402"/>
              <w:jc w:val="both"/>
              <w:rPr>
                <w:rFonts w:ascii="Times New Roman" w:eastAsia="Calibri" w:hAnsi="Times New Roman" w:cs="Times New Roman"/>
                <w:noProof/>
                <w:sz w:val="20"/>
                <w:szCs w:val="20"/>
              </w:rPr>
            </w:pPr>
            <w:r>
              <w:rPr>
                <w:rFonts w:ascii="Times New Roman" w:hAnsi="Times New Roman"/>
                <w:sz w:val="20"/>
                <w:szCs w:val="20"/>
              </w:rPr>
              <w:t>Siltums netiek izmantots elektroenerģijas ražošanai</w:t>
            </w:r>
          </w:p>
          <w:p w:rsidR="00C703A6" w:rsidRPr="00C703A6" w:rsidRDefault="00C703A6" w:rsidP="00C703A6">
            <w:pPr>
              <w:pStyle w:val="ListParagraph"/>
              <w:numPr>
                <w:ilvl w:val="0"/>
                <w:numId w:val="15"/>
              </w:numPr>
              <w:ind w:left="402"/>
              <w:jc w:val="both"/>
              <w:rPr>
                <w:rFonts w:ascii="Times New Roman" w:eastAsia="Calibri" w:hAnsi="Times New Roman" w:cs="Times New Roman"/>
                <w:noProof/>
                <w:sz w:val="20"/>
                <w:szCs w:val="20"/>
              </w:rPr>
            </w:pPr>
            <w:r>
              <w:rPr>
                <w:rFonts w:ascii="Times New Roman" w:hAnsi="Times New Roman"/>
                <w:sz w:val="20"/>
                <w:szCs w:val="20"/>
              </w:rPr>
              <w:t>Siltumenerģija netiek ražota no elektroenerģijas</w:t>
            </w:r>
          </w:p>
        </w:tc>
        <w:tc>
          <w:tcPr>
            <w:tcW w:w="1825" w:type="dxa"/>
          </w:tcPr>
          <w:p w:rsidR="00135592" w:rsidRPr="00135592" w:rsidRDefault="00C703A6" w:rsidP="00DE30DA">
            <w:pPr>
              <w:jc w:val="both"/>
              <w:rPr>
                <w:rFonts w:ascii="Times New Roman" w:eastAsia="Calibri" w:hAnsi="Times New Roman" w:cs="Times New Roman"/>
                <w:noProof/>
                <w:sz w:val="20"/>
                <w:szCs w:val="20"/>
              </w:rPr>
            </w:pPr>
            <w:r>
              <w:rPr>
                <w:rFonts w:ascii="Times New Roman" w:hAnsi="Times New Roman"/>
                <w:sz w:val="20"/>
                <w:szCs w:val="20"/>
              </w:rPr>
              <w:t>Emisijas, kas saistītas ar tā izmērāma siltuma ražošanu, kas tiek patērēts vai tiek eksportēts uz ETS neaptvertu iekārtu un uz ko neattiecas produkta līmeņatzīme</w:t>
            </w:r>
          </w:p>
        </w:tc>
      </w:tr>
      <w:tr w:rsidR="00135592" w:rsidRPr="00135592" w:rsidTr="003E66A3">
        <w:tc>
          <w:tcPr>
            <w:tcW w:w="1446" w:type="dxa"/>
          </w:tcPr>
          <w:p w:rsidR="00135592" w:rsidRPr="00135592" w:rsidRDefault="00135592" w:rsidP="003E66A3">
            <w:pPr>
              <w:jc w:val="center"/>
              <w:rPr>
                <w:rFonts w:ascii="Times New Roman" w:eastAsia="Calibri" w:hAnsi="Times New Roman" w:cs="Times New Roman"/>
                <w:noProof/>
                <w:sz w:val="20"/>
                <w:szCs w:val="20"/>
              </w:rPr>
            </w:pPr>
            <w:r>
              <w:rPr>
                <w:rFonts w:ascii="Times New Roman" w:hAnsi="Times New Roman"/>
                <w:sz w:val="20"/>
                <w:szCs w:val="20"/>
              </w:rPr>
              <w:t>Kurināmā līmeņatzīme</w:t>
            </w:r>
          </w:p>
        </w:tc>
        <w:tc>
          <w:tcPr>
            <w:tcW w:w="1559" w:type="dxa"/>
          </w:tcPr>
          <w:p w:rsidR="00135592" w:rsidRPr="00135592" w:rsidRDefault="00135592" w:rsidP="003E66A3">
            <w:pPr>
              <w:jc w:val="center"/>
              <w:rPr>
                <w:rFonts w:ascii="Times New Roman" w:eastAsia="Calibri" w:hAnsi="Times New Roman" w:cs="Times New Roman"/>
                <w:noProof/>
                <w:sz w:val="20"/>
                <w:szCs w:val="20"/>
              </w:rPr>
            </w:pPr>
            <w:r>
              <w:rPr>
                <w:rFonts w:ascii="Times New Roman" w:hAnsi="Times New Roman"/>
                <w:sz w:val="20"/>
                <w:szCs w:val="20"/>
              </w:rPr>
              <w:t xml:space="preserve">Atjauninātā vērtība: </w:t>
            </w:r>
            <w:r w:rsidRPr="003E66A3">
              <w:rPr>
                <w:rFonts w:ascii="Times New Roman" w:hAnsi="Times New Roman"/>
                <w:sz w:val="20"/>
                <w:szCs w:val="20"/>
                <w:highlight w:val="yellow"/>
              </w:rPr>
              <w:t>XX</w:t>
            </w:r>
          </w:p>
        </w:tc>
        <w:tc>
          <w:tcPr>
            <w:tcW w:w="1559" w:type="dxa"/>
          </w:tcPr>
          <w:p w:rsidR="00135592" w:rsidRPr="00135592" w:rsidRDefault="00135592" w:rsidP="003E66A3">
            <w:pPr>
              <w:jc w:val="center"/>
              <w:rPr>
                <w:rFonts w:ascii="Times New Roman" w:eastAsia="Calibri" w:hAnsi="Times New Roman" w:cs="Times New Roman"/>
                <w:noProof/>
                <w:sz w:val="20"/>
                <w:szCs w:val="20"/>
              </w:rPr>
            </w:pPr>
            <w:r>
              <w:rPr>
                <w:rFonts w:ascii="Times New Roman" w:hAnsi="Times New Roman"/>
                <w:sz w:val="20"/>
                <w:szCs w:val="20"/>
              </w:rPr>
              <w:t xml:space="preserve">kvotas / kurināmā </w:t>
            </w:r>
            <w:r>
              <w:rPr>
                <w:rFonts w:ascii="Times New Roman" w:hAnsi="Times New Roman"/>
                <w:i/>
                <w:iCs/>
                <w:sz w:val="20"/>
                <w:szCs w:val="20"/>
              </w:rPr>
              <w:t>TJ</w:t>
            </w:r>
          </w:p>
        </w:tc>
        <w:tc>
          <w:tcPr>
            <w:tcW w:w="2739" w:type="dxa"/>
          </w:tcPr>
          <w:p w:rsidR="00135592" w:rsidRPr="00C703A6" w:rsidRDefault="00C703A6" w:rsidP="00C703A6">
            <w:pPr>
              <w:pStyle w:val="ListParagraph"/>
              <w:numPr>
                <w:ilvl w:val="0"/>
                <w:numId w:val="17"/>
              </w:numPr>
              <w:ind w:left="402"/>
              <w:jc w:val="both"/>
              <w:rPr>
                <w:rFonts w:ascii="Times New Roman" w:eastAsia="Calibri" w:hAnsi="Times New Roman" w:cs="Times New Roman"/>
                <w:noProof/>
                <w:sz w:val="20"/>
                <w:szCs w:val="20"/>
              </w:rPr>
            </w:pPr>
            <w:r>
              <w:rPr>
                <w:rFonts w:ascii="Times New Roman" w:hAnsi="Times New Roman"/>
                <w:sz w:val="20"/>
                <w:szCs w:val="20"/>
              </w:rPr>
              <w:t>Produkta līmeņatzīme nav pieejama</w:t>
            </w:r>
          </w:p>
          <w:p w:rsidR="00C703A6" w:rsidRPr="00C703A6" w:rsidRDefault="00C703A6" w:rsidP="00C703A6">
            <w:pPr>
              <w:pStyle w:val="ListParagraph"/>
              <w:numPr>
                <w:ilvl w:val="0"/>
                <w:numId w:val="17"/>
              </w:numPr>
              <w:ind w:left="402"/>
              <w:jc w:val="both"/>
              <w:rPr>
                <w:rFonts w:ascii="Times New Roman" w:eastAsia="Calibri" w:hAnsi="Times New Roman" w:cs="Times New Roman"/>
                <w:noProof/>
                <w:sz w:val="20"/>
                <w:szCs w:val="20"/>
              </w:rPr>
            </w:pPr>
            <w:r>
              <w:rPr>
                <w:rFonts w:ascii="Times New Roman" w:hAnsi="Times New Roman"/>
                <w:sz w:val="20"/>
                <w:szCs w:val="20"/>
              </w:rPr>
              <w:t>Siltums nav izmērāms</w:t>
            </w:r>
          </w:p>
          <w:p w:rsidR="00C703A6" w:rsidRPr="00C703A6" w:rsidRDefault="00C703A6" w:rsidP="00C703A6">
            <w:pPr>
              <w:pStyle w:val="ListParagraph"/>
              <w:numPr>
                <w:ilvl w:val="0"/>
                <w:numId w:val="17"/>
              </w:numPr>
              <w:ind w:left="402"/>
              <w:jc w:val="both"/>
              <w:rPr>
                <w:rFonts w:ascii="Times New Roman" w:eastAsia="Calibri" w:hAnsi="Times New Roman" w:cs="Times New Roman"/>
                <w:noProof/>
                <w:sz w:val="20"/>
                <w:szCs w:val="20"/>
              </w:rPr>
            </w:pPr>
            <w:r>
              <w:rPr>
                <w:rFonts w:ascii="Times New Roman" w:hAnsi="Times New Roman"/>
                <w:sz w:val="20"/>
                <w:szCs w:val="20"/>
              </w:rPr>
              <w:t>Kurināmais tiek sadedzināts</w:t>
            </w:r>
          </w:p>
        </w:tc>
        <w:tc>
          <w:tcPr>
            <w:tcW w:w="1825" w:type="dxa"/>
          </w:tcPr>
          <w:p w:rsidR="00135592" w:rsidRPr="00135592" w:rsidRDefault="00C703A6" w:rsidP="00DE30DA">
            <w:pPr>
              <w:jc w:val="both"/>
              <w:rPr>
                <w:rFonts w:ascii="Times New Roman" w:eastAsia="Calibri" w:hAnsi="Times New Roman" w:cs="Times New Roman"/>
                <w:noProof/>
                <w:sz w:val="20"/>
                <w:szCs w:val="20"/>
              </w:rPr>
            </w:pPr>
            <w:r>
              <w:rPr>
                <w:rFonts w:ascii="Times New Roman" w:hAnsi="Times New Roman"/>
                <w:sz w:val="20"/>
                <w:szCs w:val="20"/>
              </w:rPr>
              <w:t>Emisijas, kas rodas tā kurināmā sadedzināšanas rezultātā, uz kuru neattiecas produkta vai siltuma ražošanas līmeņatzīme</w:t>
            </w:r>
          </w:p>
        </w:tc>
      </w:tr>
      <w:tr w:rsidR="00135592" w:rsidRPr="00135592" w:rsidTr="003E66A3">
        <w:tc>
          <w:tcPr>
            <w:tcW w:w="1446" w:type="dxa"/>
            <w:tcBorders>
              <w:bottom w:val="single" w:sz="4" w:space="0" w:color="auto"/>
            </w:tcBorders>
          </w:tcPr>
          <w:p w:rsidR="00135592" w:rsidRPr="00135592" w:rsidRDefault="00135592" w:rsidP="003E66A3">
            <w:pPr>
              <w:jc w:val="center"/>
              <w:rPr>
                <w:rFonts w:ascii="Times New Roman" w:eastAsia="Calibri" w:hAnsi="Times New Roman" w:cs="Times New Roman"/>
                <w:noProof/>
                <w:sz w:val="20"/>
                <w:szCs w:val="20"/>
              </w:rPr>
            </w:pPr>
            <w:r>
              <w:rPr>
                <w:rFonts w:ascii="Times New Roman" w:hAnsi="Times New Roman"/>
                <w:sz w:val="20"/>
                <w:szCs w:val="20"/>
              </w:rPr>
              <w:t>Pieeja attiecībā uz procesa emisijām</w:t>
            </w:r>
          </w:p>
        </w:tc>
        <w:tc>
          <w:tcPr>
            <w:tcW w:w="3118" w:type="dxa"/>
            <w:gridSpan w:val="2"/>
            <w:tcBorders>
              <w:bottom w:val="single" w:sz="4" w:space="0" w:color="auto"/>
            </w:tcBorders>
          </w:tcPr>
          <w:p w:rsidR="00135592" w:rsidRPr="00135592" w:rsidRDefault="00135592" w:rsidP="003E66A3">
            <w:pPr>
              <w:jc w:val="center"/>
              <w:rPr>
                <w:rFonts w:ascii="Times New Roman" w:eastAsia="Calibri" w:hAnsi="Times New Roman" w:cs="Times New Roman"/>
                <w:noProof/>
                <w:sz w:val="20"/>
                <w:szCs w:val="20"/>
              </w:rPr>
            </w:pPr>
            <w:r>
              <w:rPr>
                <w:rFonts w:ascii="Times New Roman" w:hAnsi="Times New Roman"/>
                <w:sz w:val="20"/>
                <w:szCs w:val="20"/>
              </w:rPr>
              <w:t>97 % no vēsturiskajām emisijām</w:t>
            </w:r>
          </w:p>
          <w:p w:rsidR="00135592" w:rsidRPr="00135592" w:rsidRDefault="00135592" w:rsidP="003E66A3">
            <w:pPr>
              <w:jc w:val="center"/>
              <w:rPr>
                <w:rFonts w:ascii="Times New Roman" w:eastAsia="Calibri" w:hAnsi="Times New Roman" w:cs="Times New Roman"/>
                <w:noProof/>
                <w:sz w:val="20"/>
                <w:szCs w:val="20"/>
              </w:rPr>
            </w:pPr>
            <w:r>
              <w:rPr>
                <w:rFonts w:ascii="Times New Roman" w:hAnsi="Times New Roman"/>
                <w:sz w:val="20"/>
                <w:szCs w:val="20"/>
              </w:rPr>
              <w:t>(kvotas)</w:t>
            </w:r>
          </w:p>
        </w:tc>
        <w:tc>
          <w:tcPr>
            <w:tcW w:w="2739" w:type="dxa"/>
            <w:tcBorders>
              <w:bottom w:val="single" w:sz="4" w:space="0" w:color="auto"/>
            </w:tcBorders>
          </w:tcPr>
          <w:p w:rsidR="00135592" w:rsidRPr="00C703A6" w:rsidRDefault="00C703A6" w:rsidP="00C703A6">
            <w:pPr>
              <w:pStyle w:val="ListParagraph"/>
              <w:numPr>
                <w:ilvl w:val="0"/>
                <w:numId w:val="18"/>
              </w:numPr>
              <w:ind w:left="402"/>
              <w:jc w:val="both"/>
              <w:rPr>
                <w:rFonts w:ascii="Times New Roman" w:eastAsia="Calibri" w:hAnsi="Times New Roman" w:cs="Times New Roman"/>
                <w:noProof/>
                <w:sz w:val="20"/>
                <w:szCs w:val="20"/>
              </w:rPr>
            </w:pPr>
            <w:r>
              <w:rPr>
                <w:rFonts w:ascii="Times New Roman" w:hAnsi="Times New Roman"/>
                <w:sz w:val="20"/>
                <w:szCs w:val="20"/>
              </w:rPr>
              <w:t>Produkta līmeņatzīme nav pieejama</w:t>
            </w:r>
          </w:p>
          <w:p w:rsidR="00C703A6" w:rsidRPr="00C703A6" w:rsidRDefault="00C703A6" w:rsidP="00C703A6">
            <w:pPr>
              <w:pStyle w:val="ListParagraph"/>
              <w:numPr>
                <w:ilvl w:val="0"/>
                <w:numId w:val="18"/>
              </w:numPr>
              <w:ind w:left="402"/>
              <w:jc w:val="both"/>
              <w:rPr>
                <w:rFonts w:ascii="Times New Roman" w:eastAsia="Calibri" w:hAnsi="Times New Roman" w:cs="Times New Roman"/>
                <w:noProof/>
                <w:sz w:val="20"/>
                <w:szCs w:val="20"/>
              </w:rPr>
            </w:pPr>
            <w:r>
              <w:rPr>
                <w:rFonts w:ascii="Times New Roman" w:hAnsi="Times New Roman"/>
                <w:sz w:val="20"/>
                <w:szCs w:val="20"/>
              </w:rPr>
              <w:t>Emisijas nerodas kurināmā sadedzināšanas rezultātā</w:t>
            </w:r>
          </w:p>
          <w:p w:rsidR="00C703A6" w:rsidRPr="00C703A6" w:rsidRDefault="00C703A6" w:rsidP="00C703A6">
            <w:pPr>
              <w:pStyle w:val="ListParagraph"/>
              <w:numPr>
                <w:ilvl w:val="0"/>
                <w:numId w:val="18"/>
              </w:numPr>
              <w:ind w:left="402"/>
              <w:jc w:val="both"/>
              <w:rPr>
                <w:rFonts w:ascii="Times New Roman" w:eastAsia="Calibri" w:hAnsi="Times New Roman" w:cs="Times New Roman"/>
                <w:noProof/>
                <w:sz w:val="20"/>
                <w:szCs w:val="20"/>
              </w:rPr>
            </w:pPr>
            <w:r>
              <w:rPr>
                <w:rFonts w:ascii="Times New Roman" w:hAnsi="Times New Roman"/>
                <w:sz w:val="20"/>
                <w:szCs w:val="20"/>
              </w:rPr>
              <w:t>Emisijas ir “procesa emisijas”</w:t>
            </w:r>
            <w:r>
              <w:rPr>
                <w:rStyle w:val="FootnoteReference"/>
                <w:rFonts w:ascii="Times New Roman" w:eastAsia="Calibri" w:hAnsi="Times New Roman" w:cs="Times New Roman"/>
                <w:noProof/>
                <w:sz w:val="20"/>
                <w:szCs w:val="20"/>
              </w:rPr>
              <w:footnoteReference w:id="24"/>
            </w:r>
          </w:p>
        </w:tc>
        <w:tc>
          <w:tcPr>
            <w:tcW w:w="1825" w:type="dxa"/>
            <w:tcBorders>
              <w:bottom w:val="single" w:sz="4" w:space="0" w:color="auto"/>
            </w:tcBorders>
          </w:tcPr>
          <w:p w:rsidR="00135592" w:rsidRPr="00135592" w:rsidRDefault="00C703A6" w:rsidP="00DE30DA">
            <w:pPr>
              <w:jc w:val="both"/>
              <w:rPr>
                <w:rFonts w:ascii="Times New Roman" w:eastAsia="Calibri" w:hAnsi="Times New Roman" w:cs="Times New Roman"/>
                <w:noProof/>
                <w:sz w:val="20"/>
                <w:szCs w:val="20"/>
              </w:rPr>
            </w:pPr>
            <w:r>
              <w:rPr>
                <w:rFonts w:ascii="Times New Roman" w:hAnsi="Times New Roman"/>
                <w:sz w:val="20"/>
                <w:szCs w:val="20"/>
              </w:rPr>
              <w:t>Visas procesa emisijas, kas netiek aptvertas iepriekšējās pieejās</w:t>
            </w:r>
          </w:p>
        </w:tc>
      </w:tr>
    </w:tbl>
    <w:p w:rsidR="00335CDF" w:rsidRPr="001E6CF9" w:rsidRDefault="00335CDF" w:rsidP="00DE30DA">
      <w:pPr>
        <w:jc w:val="both"/>
        <w:rPr>
          <w:rFonts w:ascii="Times New Roman" w:eastAsia="Calibri" w:hAnsi="Times New Roman" w:cs="Calibri"/>
          <w:noProof/>
          <w:sz w:val="24"/>
          <w:szCs w:val="20"/>
        </w:rPr>
      </w:pPr>
    </w:p>
    <w:p w:rsidR="00C703A6" w:rsidRDefault="00C703A6">
      <w:pPr>
        <w:rPr>
          <w:rFonts w:ascii="Times New Roman" w:eastAsia="Calibri" w:hAnsi="Times New Roman" w:cs="Calibri"/>
          <w:noProof/>
          <w:sz w:val="24"/>
          <w:szCs w:val="20"/>
        </w:rPr>
      </w:pPr>
      <w:r>
        <w:br w:type="page"/>
      </w:r>
    </w:p>
    <w:p w:rsidR="00335CDF" w:rsidRPr="001E6CF9" w:rsidRDefault="00335CDF" w:rsidP="00DE30DA">
      <w:pPr>
        <w:jc w:val="both"/>
        <w:rPr>
          <w:rFonts w:ascii="Times New Roman" w:eastAsia="Calibri" w:hAnsi="Times New Roman" w:cs="Calibri"/>
          <w:noProof/>
          <w:sz w:val="24"/>
          <w:szCs w:val="20"/>
        </w:rPr>
      </w:pPr>
    </w:p>
    <w:p w:rsidR="00335CDF" w:rsidRPr="001E6CF9" w:rsidRDefault="00A03DB9" w:rsidP="00DE30DA">
      <w:pPr>
        <w:jc w:val="both"/>
        <w:rPr>
          <w:rFonts w:ascii="Times New Roman" w:eastAsia="Calibri" w:hAnsi="Times New Roman" w:cs="Calibri"/>
          <w:noProof/>
          <w:sz w:val="24"/>
          <w:szCs w:val="20"/>
        </w:rPr>
      </w:pPr>
      <w:r>
        <w:rPr>
          <w:rFonts w:ascii="Times New Roman" w:eastAsia="Calibri" w:hAnsi="Times New Roman" w:cs="Calibri"/>
          <w:noProof/>
          <w:sz w:val="24"/>
          <w:szCs w:val="20"/>
        </w:rPr>
        <w:drawing>
          <wp:inline distT="0" distB="0" distL="0" distR="0">
            <wp:extent cx="5756910" cy="4257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4257675"/>
                    </a:xfrm>
                    <a:prstGeom prst="rect">
                      <a:avLst/>
                    </a:prstGeom>
                    <a:noFill/>
                    <a:ln>
                      <a:noFill/>
                    </a:ln>
                  </pic:spPr>
                </pic:pic>
              </a:graphicData>
            </a:graphic>
          </wp:inline>
        </w:drawing>
      </w:r>
    </w:p>
    <w:p w:rsidR="00335CDF" w:rsidRPr="001E6CF9" w:rsidRDefault="00335CDF" w:rsidP="00DE30DA">
      <w:pPr>
        <w:jc w:val="both"/>
        <w:rPr>
          <w:rFonts w:ascii="Times New Roman" w:eastAsia="Calibri" w:hAnsi="Times New Roman" w:cs="Calibri"/>
          <w:noProof/>
          <w:sz w:val="24"/>
          <w:szCs w:val="20"/>
        </w:rPr>
      </w:pPr>
    </w:p>
    <w:p w:rsidR="00335CDF" w:rsidRPr="001E6CF9" w:rsidRDefault="00335CDF" w:rsidP="00DE30DA">
      <w:pPr>
        <w:jc w:val="both"/>
        <w:rPr>
          <w:rFonts w:ascii="Times New Roman" w:eastAsia="Calibri" w:hAnsi="Times New Roman" w:cs="Calibri"/>
          <w:noProof/>
          <w:sz w:val="24"/>
          <w:szCs w:val="20"/>
        </w:rPr>
      </w:pPr>
      <w:r>
        <w:rPr>
          <w:rFonts w:ascii="Times New Roman" w:hAnsi="Times New Roman"/>
          <w:b/>
          <w:sz w:val="24"/>
        </w:rPr>
        <w:t>4. attēls.</w:t>
      </w:r>
      <w:r>
        <w:rPr>
          <w:rFonts w:ascii="Times New Roman" w:hAnsi="Times New Roman"/>
          <w:sz w:val="24"/>
        </w:rPr>
        <w:t xml:space="preserve"> Soļi bez maksas piešķiramo kvotu apjoma aprēķināšanai iekārtas līmenī</w:t>
      </w:r>
    </w:p>
    <w:p w:rsidR="00335CDF" w:rsidRPr="001E6CF9" w:rsidRDefault="00335CDF" w:rsidP="00DE30DA">
      <w:pPr>
        <w:jc w:val="both"/>
        <w:rPr>
          <w:rFonts w:ascii="Times New Roman" w:eastAsia="Calibri" w:hAnsi="Times New Roman" w:cs="Calibri"/>
          <w:noProof/>
          <w:sz w:val="24"/>
          <w:szCs w:val="11"/>
        </w:rPr>
      </w:pPr>
    </w:p>
    <w:p w:rsidR="00335CDF" w:rsidRPr="001E6CF9" w:rsidRDefault="00D731BA" w:rsidP="00D731BA">
      <w:pPr>
        <w:pStyle w:val="Heading2"/>
        <w:tabs>
          <w:tab w:val="left" w:pos="695"/>
        </w:tabs>
        <w:ind w:left="0" w:firstLine="0"/>
        <w:jc w:val="both"/>
        <w:rPr>
          <w:rFonts w:ascii="Times New Roman" w:hAnsi="Times New Roman"/>
          <w:noProof/>
          <w:sz w:val="24"/>
        </w:rPr>
      </w:pPr>
      <w:bookmarkStart w:id="35" w:name="_Toc31010890"/>
      <w:r>
        <w:rPr>
          <w:rFonts w:ascii="Times New Roman" w:hAnsi="Times New Roman"/>
          <w:sz w:val="24"/>
        </w:rPr>
        <w:t>5.2. Sašķelšana apakšiekārtās</w:t>
      </w:r>
      <w:bookmarkStart w:id="36" w:name="_bookmark21"/>
      <w:bookmarkEnd w:id="36"/>
      <w:bookmarkEnd w:id="35"/>
    </w:p>
    <w:p w:rsidR="00D731BA" w:rsidRDefault="00D731BA" w:rsidP="00DE30DA">
      <w:pPr>
        <w:pStyle w:val="BodyText"/>
        <w:ind w:left="0"/>
        <w:jc w:val="both"/>
        <w:rPr>
          <w:rFonts w:ascii="Times New Roman" w:hAnsi="Times New Roman"/>
          <w:noProof/>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Lai pareizi un pareizā secībā izmantotu attiecīgo kvotu piešķiršanas metodoloģiju, operatoriem ir jāveic savas(-u) iekārtas(-u) sašķelšana tā sauktajās apakšiekārtās.</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Apakšiekārta ir visa ielaide, izlaide un attiecīgās emisijas, kas saistītas ar konkrēto pieeju kvotu piešķiršanai. Apakšiekārtas robežas nosaka to, kādas būs konkrētās masas un enerģijas bilances robežas, un fizikālā procesa vienību robežas ne vienmēr nosaka šo apakšiekārtu robežas</w:t>
      </w:r>
      <w:r w:rsidR="00D731BA">
        <w:rPr>
          <w:rStyle w:val="FootnoteReference"/>
          <w:rFonts w:ascii="Times New Roman" w:hAnsi="Times New Roman" w:cs="Calibri"/>
          <w:noProof/>
        </w:rPr>
        <w:footnoteReference w:id="25"/>
      </w:r>
      <w:r>
        <w:rPr>
          <w:rFonts w:ascii="Times New Roman" w:hAnsi="Times New Roman"/>
        </w:rPr>
        <w:t>. Attiecībā uz šo ielaidi un izlaidi ir pienācīgi jāņem vērā tikai attiecīgās avota plūsmas</w:t>
      </w:r>
      <w:r w:rsidR="00D731BA">
        <w:rPr>
          <w:rStyle w:val="FootnoteReference"/>
          <w:rFonts w:ascii="Times New Roman" w:hAnsi="Times New Roman" w:cs="Calibri"/>
          <w:noProof/>
        </w:rPr>
        <w:footnoteReference w:id="26"/>
      </w:r>
      <w:r>
        <w:rPr>
          <w:rFonts w:ascii="Times New Roman" w:hAnsi="Times New Roman"/>
        </w:rPr>
        <w:t xml:space="preserve">, kas tiek uzraudzītas saskaņā ar Monitoringa un ziņošanas regulu (MZR) un tiek uzskaitītas monitoringa metodoloģijas plānā, ja tāds ir. Tas nozīmē to, ka darbības, ko nepatver ETS, netiek ņemtas vērā, veicot iekārtas sašķelšanu apakšiekārtās. Veicot sašķelšanu apakšiekārtās, ir nepieciešamas pamatīgas zināšanas par ES ETS un MZR darbības jomu. </w:t>
      </w:r>
      <w:r>
        <w:rPr>
          <w:rFonts w:ascii="Times New Roman" w:hAnsi="Times New Roman"/>
          <w:i/>
        </w:rPr>
        <w:t xml:space="preserve">Norādījumu dokumentā Nr. 2 par kvotu piešķiršanas metodoloģijām ir sniegta papildu informācija par šo tēmu. </w:t>
      </w:r>
      <w:r>
        <w:rPr>
          <w:rFonts w:ascii="Times New Roman" w:hAnsi="Times New Roman"/>
        </w:rPr>
        <w:t xml:space="preserve">Jāievēro, ka dažos gadījumos, lai varētu veikt līmeņatzīmju vērtību atjaunināšanu, ir jānosaka papildu avota plūsmas, kas nav ietvertas monitoringa plānā saskaņā </w:t>
      </w:r>
      <w:r>
        <w:rPr>
          <w:rFonts w:ascii="Times New Roman" w:hAnsi="Times New Roman"/>
        </w:rPr>
        <w:lastRenderedPageBreak/>
        <w:t>ar MZR. Tas ir būtiski gadījumos, kad avota plūsma tiek veidota vienā apakšiekārtā un tiek patērēta citā apakšiekārtā (piemēram, tās ir atlikumgāzes vai kokss, kas tiek saražots koksa apakšiekārtā un tiek patērēts “karstā metāla” apakšiekārtā).</w:t>
      </w:r>
    </w:p>
    <w:p w:rsidR="00335CDF" w:rsidRPr="001E6CF9" w:rsidRDefault="00335CDF" w:rsidP="00DE30DA">
      <w:pPr>
        <w:jc w:val="both"/>
        <w:rPr>
          <w:rFonts w:ascii="Times New Roman" w:hAnsi="Times New Roman"/>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Iekārtai, kas ražo vairāk par vienu produktu ar produkta līmeņatzīmi (pieņemsim, ka ir piemērojamas </w:t>
      </w:r>
      <w:r>
        <w:rPr>
          <w:rFonts w:ascii="Times New Roman" w:hAnsi="Times New Roman"/>
          <w:i/>
        </w:rPr>
        <w:t xml:space="preserve">n </w:t>
      </w:r>
      <w:r>
        <w:rPr>
          <w:rFonts w:ascii="Times New Roman" w:hAnsi="Times New Roman"/>
        </w:rPr>
        <w:t>produktu līmeņatzīmes), jānosaka tāds pats “apakšiekārtu” skaits (</w:t>
      </w:r>
      <w:r>
        <w:rPr>
          <w:rFonts w:ascii="Times New Roman" w:hAnsi="Times New Roman"/>
          <w:i/>
        </w:rPr>
        <w:t>n</w:t>
      </w:r>
      <w:r>
        <w:rPr>
          <w:rFonts w:ascii="Times New Roman" w:hAnsi="Times New Roman"/>
        </w:rPr>
        <w:t>) tā, ka katras apakšiekārtas sistēmas robežas atbilst attiecīgās produkta līmeņatzīmes robežām. Attiecībā uz šīm apakšiekārtām ir jāizmanto produktu līmeņatzīmju pieeja, tostarp jāpiemēro atbilstošais oglekļa emisiju pārvirzes riska koeficients.</w:t>
      </w:r>
    </w:p>
    <w:p w:rsidR="00335CDF" w:rsidRPr="001E6CF9" w:rsidRDefault="00335CDF" w:rsidP="00DE30DA">
      <w:pPr>
        <w:jc w:val="both"/>
        <w:rPr>
          <w:rFonts w:ascii="Times New Roman" w:hAnsi="Times New Roman"/>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Atlikušo iekārtas daļu (to daļu, kurai nepiemēro produkta līmeņatzīmes) var sadalīt </w:t>
      </w:r>
      <w:r>
        <w:rPr>
          <w:rFonts w:ascii="Times New Roman" w:hAnsi="Times New Roman"/>
          <w:u w:val="single" w:color="000000"/>
        </w:rPr>
        <w:t>ne vairāk kā 7 apakšiekārtās (rezerves apakšiekārtās)</w:t>
      </w:r>
      <w:r>
        <w:rPr>
          <w:rFonts w:ascii="Times New Roman" w:hAnsi="Times New Roman"/>
        </w:rPr>
        <w:t>: vienā tādā apakšiekārtā, kura tiek uzskatīta par tādu, kas ir pakļauta ievērojamam oglekļa emisiju pārvirzes riskam, un vienā apakšiekārtā, kura netiek uzskatīta par tādu, kas ir pakļauta ievērojamam oglekļa emisiju pārvirzes riskam, atbilstoši katrai rezerves metodoloģijai (sk. arī 5.3.1. punktu), kā arī atsevišķā centralizētās siltumapgādes (</w:t>
      </w:r>
      <w:r>
        <w:rPr>
          <w:rFonts w:ascii="Times New Roman" w:hAnsi="Times New Roman"/>
          <w:i/>
        </w:rPr>
        <w:t>DH</w:t>
      </w:r>
      <w:r>
        <w:rPr>
          <w:rFonts w:ascii="Times New Roman" w:hAnsi="Times New Roman"/>
        </w:rPr>
        <w:t xml:space="preserve">) apakšiekārtā, kā norādīts turpmākajā tabulā. Centralizētā siltumapgāde netiek uzskatīta par pakļautu ievērojamam oglekļa emisiju pārvirzes riskam, un tādēļ tiek izšķirts tikai viens apkakšiekārtas veids. Tomēr, aprēķinot bezmaksas kvotu provizorisko apjomu, </w:t>
      </w:r>
      <w:r>
        <w:rPr>
          <w:rFonts w:ascii="Times New Roman" w:hAnsi="Times New Roman"/>
          <w:i/>
        </w:rPr>
        <w:t>DH</w:t>
      </w:r>
      <w:r>
        <w:rPr>
          <w:rFonts w:ascii="Times New Roman" w:hAnsi="Times New Roman"/>
        </w:rPr>
        <w:t xml:space="preserve"> apakšiekārtas tiek vērtētas citādi nekā iekārtas bez oglekļa emisiju pārvirzes, jo tās arī pēc 2026. gada turpinās saņemt 30 % no aprēķinātā bezmaksas kvotu apjoma saskaņā ar 10.a pantu (</w:t>
      </w:r>
      <w:r>
        <w:rPr>
          <w:rFonts w:ascii="Times New Roman" w:hAnsi="Times New Roman"/>
          <w:i/>
        </w:rPr>
        <w:t>CLEF</w:t>
      </w:r>
      <w:r>
        <w:rPr>
          <w:rFonts w:ascii="Times New Roman" w:hAnsi="Times New Roman"/>
        </w:rPr>
        <w:t> = 0,3).</w:t>
      </w:r>
    </w:p>
    <w:p w:rsidR="008C68EA" w:rsidRPr="001E6CF9" w:rsidRDefault="008C68EA" w:rsidP="00DE30DA">
      <w:pPr>
        <w:pStyle w:val="BodyText"/>
        <w:tabs>
          <w:tab w:val="left" w:pos="9198"/>
        </w:tabs>
        <w:ind w:left="0"/>
        <w:jc w:val="both"/>
        <w:rPr>
          <w:rFonts w:ascii="Times New Roman" w:hAnsi="Times New Roman"/>
          <w:noProof/>
          <w:u w:val="thick" w:color="000000"/>
        </w:rPr>
      </w:pPr>
    </w:p>
    <w:p w:rsidR="00335CDF" w:rsidRPr="00455471" w:rsidRDefault="00335CDF" w:rsidP="00DE30DA">
      <w:pPr>
        <w:pStyle w:val="BodyText"/>
        <w:tabs>
          <w:tab w:val="left" w:pos="9198"/>
        </w:tabs>
        <w:ind w:left="0"/>
        <w:jc w:val="both"/>
        <w:rPr>
          <w:rFonts w:ascii="Times New Roman" w:hAnsi="Times New Roman"/>
          <w:noProof/>
          <w:u w:val="single"/>
        </w:rPr>
      </w:pPr>
      <w:r>
        <w:rPr>
          <w:rFonts w:ascii="Times New Roman" w:hAnsi="Times New Roman"/>
          <w:u w:val="single"/>
        </w:rPr>
        <w:t>5. tabula. Maksimālais iespējamo apakšiekārtu skaits gadījumā, kad izmanto rezerves pieejas</w:t>
      </w:r>
    </w:p>
    <w:p w:rsidR="00455471" w:rsidRPr="001E6CF9" w:rsidRDefault="00455471" w:rsidP="00DE30DA">
      <w:pPr>
        <w:pStyle w:val="BodyText"/>
        <w:tabs>
          <w:tab w:val="left" w:pos="9198"/>
        </w:tabs>
        <w:ind w:left="0"/>
        <w:jc w:val="both"/>
        <w:rPr>
          <w:rFonts w:ascii="Times New Roman" w:hAnsi="Times New Roman"/>
          <w:noProof/>
          <w:u w:val="thick" w:color="000000"/>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2779"/>
        <w:gridCol w:w="2052"/>
        <w:gridCol w:w="2395"/>
        <w:gridCol w:w="1902"/>
      </w:tblGrid>
      <w:tr w:rsidR="001E6CF9" w:rsidRPr="001E6CF9" w:rsidTr="00455471">
        <w:tc>
          <w:tcPr>
            <w:tcW w:w="1522" w:type="pct"/>
            <w:tcBorders>
              <w:top w:val="nil"/>
              <w:left w:val="nil"/>
              <w:bottom w:val="single" w:sz="12" w:space="0" w:color="000000"/>
              <w:right w:val="nil"/>
            </w:tcBorders>
          </w:tcPr>
          <w:p w:rsidR="00335CDF" w:rsidRPr="001E6CF9" w:rsidRDefault="00335CDF" w:rsidP="002D1611">
            <w:pPr>
              <w:pStyle w:val="TableParagraph"/>
              <w:jc w:val="center"/>
              <w:rPr>
                <w:rFonts w:ascii="Times New Roman" w:hAnsi="Times New Roman"/>
                <w:b/>
                <w:noProof/>
                <w:sz w:val="24"/>
              </w:rPr>
            </w:pPr>
            <w:r>
              <w:rPr>
                <w:rFonts w:ascii="Times New Roman" w:hAnsi="Times New Roman"/>
                <w:b/>
                <w:sz w:val="24"/>
              </w:rPr>
              <w:t>Kvotu piešķiršanas metodoloģija</w:t>
            </w:r>
          </w:p>
        </w:tc>
        <w:tc>
          <w:tcPr>
            <w:tcW w:w="1124" w:type="pct"/>
            <w:tcBorders>
              <w:top w:val="nil"/>
              <w:left w:val="nil"/>
              <w:bottom w:val="single" w:sz="12" w:space="0" w:color="000000"/>
              <w:right w:val="nil"/>
            </w:tcBorders>
          </w:tcPr>
          <w:p w:rsidR="00335CDF" w:rsidRPr="001E6CF9" w:rsidRDefault="00335CDF" w:rsidP="002D1611">
            <w:pPr>
              <w:pStyle w:val="TableParagraph"/>
              <w:jc w:val="center"/>
              <w:rPr>
                <w:rFonts w:ascii="Times New Roman" w:hAnsi="Times New Roman"/>
                <w:b/>
                <w:noProof/>
                <w:sz w:val="24"/>
              </w:rPr>
            </w:pPr>
            <w:r>
              <w:rPr>
                <w:rFonts w:ascii="Times New Roman" w:hAnsi="Times New Roman"/>
                <w:b/>
                <w:sz w:val="24"/>
              </w:rPr>
              <w:t>Oglekļa emisiju pārvirze</w:t>
            </w:r>
          </w:p>
        </w:tc>
        <w:tc>
          <w:tcPr>
            <w:tcW w:w="1312" w:type="pct"/>
            <w:tcBorders>
              <w:top w:val="nil"/>
              <w:left w:val="nil"/>
              <w:bottom w:val="single" w:sz="12" w:space="0" w:color="000000"/>
              <w:right w:val="nil"/>
            </w:tcBorders>
          </w:tcPr>
          <w:p w:rsidR="00335CDF" w:rsidRPr="001E6CF9" w:rsidRDefault="00335CDF" w:rsidP="002D1611">
            <w:pPr>
              <w:pStyle w:val="TableParagraph"/>
              <w:jc w:val="center"/>
              <w:rPr>
                <w:rFonts w:ascii="Times New Roman" w:hAnsi="Times New Roman"/>
                <w:b/>
                <w:noProof/>
                <w:sz w:val="24"/>
              </w:rPr>
            </w:pPr>
            <w:r>
              <w:rPr>
                <w:rFonts w:ascii="Times New Roman" w:hAnsi="Times New Roman"/>
                <w:b/>
                <w:sz w:val="24"/>
              </w:rPr>
              <w:t>Bez oglekļa emisiju pārvirzes</w:t>
            </w:r>
          </w:p>
        </w:tc>
        <w:tc>
          <w:tcPr>
            <w:tcW w:w="1043" w:type="pct"/>
            <w:tcBorders>
              <w:top w:val="nil"/>
              <w:left w:val="nil"/>
              <w:bottom w:val="single" w:sz="12" w:space="0" w:color="000000"/>
              <w:right w:val="nil"/>
            </w:tcBorders>
          </w:tcPr>
          <w:p w:rsidR="00335CDF" w:rsidRPr="001E6CF9" w:rsidRDefault="00335CDF" w:rsidP="002D1611">
            <w:pPr>
              <w:pStyle w:val="TableParagraph"/>
              <w:jc w:val="center"/>
              <w:rPr>
                <w:rFonts w:ascii="Times New Roman" w:hAnsi="Times New Roman"/>
                <w:b/>
                <w:noProof/>
                <w:sz w:val="24"/>
              </w:rPr>
            </w:pPr>
            <w:r>
              <w:rPr>
                <w:rFonts w:ascii="Times New Roman" w:hAnsi="Times New Roman"/>
                <w:b/>
                <w:sz w:val="24"/>
              </w:rPr>
              <w:t>Centralizēta siltumapgāde</w:t>
            </w:r>
          </w:p>
        </w:tc>
      </w:tr>
      <w:tr w:rsidR="001E6CF9" w:rsidRPr="001E6CF9" w:rsidTr="00455471">
        <w:tc>
          <w:tcPr>
            <w:tcW w:w="1522" w:type="pct"/>
            <w:tcBorders>
              <w:top w:val="single" w:sz="12" w:space="0" w:color="000000"/>
              <w:left w:val="nil"/>
              <w:bottom w:val="single" w:sz="5" w:space="0" w:color="000000"/>
              <w:right w:val="nil"/>
            </w:tcBorders>
          </w:tcPr>
          <w:p w:rsidR="00335CDF" w:rsidRPr="001E6CF9" w:rsidRDefault="00335CDF" w:rsidP="00DE30DA">
            <w:pPr>
              <w:pStyle w:val="TableParagraph"/>
              <w:jc w:val="both"/>
              <w:rPr>
                <w:rFonts w:ascii="Times New Roman" w:hAnsi="Times New Roman"/>
                <w:noProof/>
                <w:sz w:val="24"/>
              </w:rPr>
            </w:pPr>
            <w:r>
              <w:rPr>
                <w:rFonts w:ascii="Times New Roman" w:hAnsi="Times New Roman"/>
                <w:sz w:val="24"/>
              </w:rPr>
              <w:t>Siltuma līmeņatzīme</w:t>
            </w:r>
          </w:p>
        </w:tc>
        <w:tc>
          <w:tcPr>
            <w:tcW w:w="1124" w:type="pct"/>
            <w:tcBorders>
              <w:top w:val="single" w:sz="12" w:space="0" w:color="000000"/>
              <w:left w:val="nil"/>
              <w:bottom w:val="single" w:sz="5" w:space="0" w:color="000000"/>
              <w:right w:val="nil"/>
            </w:tcBorders>
          </w:tcPr>
          <w:p w:rsidR="00335CDF" w:rsidRPr="001E6CF9" w:rsidRDefault="00335CDF" w:rsidP="002D1611">
            <w:pPr>
              <w:pStyle w:val="TableParagraph"/>
              <w:jc w:val="center"/>
              <w:rPr>
                <w:rFonts w:ascii="Times New Roman" w:hAnsi="Times New Roman"/>
                <w:noProof/>
                <w:sz w:val="24"/>
              </w:rPr>
            </w:pPr>
            <w:r>
              <w:rPr>
                <w:rFonts w:ascii="Times New Roman" w:hAnsi="Times New Roman"/>
                <w:sz w:val="24"/>
              </w:rPr>
              <w:t>1</w:t>
            </w:r>
          </w:p>
        </w:tc>
        <w:tc>
          <w:tcPr>
            <w:tcW w:w="1312" w:type="pct"/>
            <w:tcBorders>
              <w:top w:val="single" w:sz="12" w:space="0" w:color="000000"/>
              <w:left w:val="nil"/>
              <w:bottom w:val="single" w:sz="5" w:space="0" w:color="000000"/>
              <w:right w:val="nil"/>
            </w:tcBorders>
          </w:tcPr>
          <w:p w:rsidR="00335CDF" w:rsidRPr="001E6CF9" w:rsidRDefault="00335CDF" w:rsidP="002D1611">
            <w:pPr>
              <w:pStyle w:val="TableParagraph"/>
              <w:jc w:val="center"/>
              <w:rPr>
                <w:rFonts w:ascii="Times New Roman" w:hAnsi="Times New Roman"/>
                <w:noProof/>
                <w:sz w:val="24"/>
              </w:rPr>
            </w:pPr>
            <w:r>
              <w:rPr>
                <w:rFonts w:ascii="Times New Roman" w:hAnsi="Times New Roman"/>
                <w:sz w:val="24"/>
              </w:rPr>
              <w:t>1</w:t>
            </w:r>
          </w:p>
        </w:tc>
        <w:tc>
          <w:tcPr>
            <w:tcW w:w="1043" w:type="pct"/>
            <w:tcBorders>
              <w:top w:val="single" w:sz="12" w:space="0" w:color="000000"/>
              <w:left w:val="nil"/>
              <w:bottom w:val="single" w:sz="5" w:space="0" w:color="000000"/>
              <w:right w:val="nil"/>
            </w:tcBorders>
          </w:tcPr>
          <w:p w:rsidR="00335CDF" w:rsidRPr="001E6CF9" w:rsidRDefault="00335CDF" w:rsidP="002D1611">
            <w:pPr>
              <w:pStyle w:val="TableParagraph"/>
              <w:jc w:val="center"/>
              <w:rPr>
                <w:rFonts w:ascii="Times New Roman" w:hAnsi="Times New Roman"/>
                <w:noProof/>
                <w:sz w:val="24"/>
              </w:rPr>
            </w:pPr>
            <w:r>
              <w:rPr>
                <w:rFonts w:ascii="Times New Roman" w:hAnsi="Times New Roman"/>
                <w:sz w:val="24"/>
              </w:rPr>
              <w:t>1</w:t>
            </w:r>
          </w:p>
        </w:tc>
      </w:tr>
      <w:tr w:rsidR="001E6CF9" w:rsidRPr="001E6CF9" w:rsidTr="00455471">
        <w:tc>
          <w:tcPr>
            <w:tcW w:w="1522" w:type="pct"/>
            <w:tcBorders>
              <w:top w:val="single" w:sz="5" w:space="0" w:color="000000"/>
              <w:left w:val="nil"/>
              <w:bottom w:val="single" w:sz="5" w:space="0" w:color="000000"/>
              <w:right w:val="nil"/>
            </w:tcBorders>
          </w:tcPr>
          <w:p w:rsidR="00335CDF" w:rsidRPr="001E6CF9" w:rsidRDefault="00335CDF" w:rsidP="00DE30DA">
            <w:pPr>
              <w:pStyle w:val="TableParagraph"/>
              <w:jc w:val="both"/>
              <w:rPr>
                <w:rFonts w:ascii="Times New Roman" w:hAnsi="Times New Roman"/>
                <w:noProof/>
                <w:sz w:val="24"/>
              </w:rPr>
            </w:pPr>
            <w:r>
              <w:rPr>
                <w:rFonts w:ascii="Times New Roman" w:hAnsi="Times New Roman"/>
                <w:sz w:val="24"/>
              </w:rPr>
              <w:t>Kurināmā līmeņatzīme</w:t>
            </w:r>
          </w:p>
        </w:tc>
        <w:tc>
          <w:tcPr>
            <w:tcW w:w="1124" w:type="pct"/>
            <w:tcBorders>
              <w:top w:val="single" w:sz="5" w:space="0" w:color="000000"/>
              <w:left w:val="nil"/>
              <w:bottom w:val="single" w:sz="5" w:space="0" w:color="000000"/>
              <w:right w:val="nil"/>
            </w:tcBorders>
          </w:tcPr>
          <w:p w:rsidR="00335CDF" w:rsidRPr="001E6CF9" w:rsidRDefault="00335CDF" w:rsidP="002D1611">
            <w:pPr>
              <w:pStyle w:val="TableParagraph"/>
              <w:jc w:val="center"/>
              <w:rPr>
                <w:rFonts w:ascii="Times New Roman" w:hAnsi="Times New Roman"/>
                <w:noProof/>
                <w:sz w:val="24"/>
              </w:rPr>
            </w:pPr>
            <w:r>
              <w:rPr>
                <w:rFonts w:ascii="Times New Roman" w:hAnsi="Times New Roman"/>
                <w:sz w:val="24"/>
              </w:rPr>
              <w:t>1</w:t>
            </w:r>
          </w:p>
        </w:tc>
        <w:tc>
          <w:tcPr>
            <w:tcW w:w="1312" w:type="pct"/>
            <w:tcBorders>
              <w:top w:val="single" w:sz="5" w:space="0" w:color="000000"/>
              <w:left w:val="nil"/>
              <w:bottom w:val="single" w:sz="5" w:space="0" w:color="000000"/>
              <w:right w:val="nil"/>
            </w:tcBorders>
          </w:tcPr>
          <w:p w:rsidR="00335CDF" w:rsidRPr="001E6CF9" w:rsidRDefault="00335CDF" w:rsidP="002D1611">
            <w:pPr>
              <w:pStyle w:val="TableParagraph"/>
              <w:jc w:val="center"/>
              <w:rPr>
                <w:rFonts w:ascii="Times New Roman" w:hAnsi="Times New Roman"/>
                <w:noProof/>
                <w:sz w:val="24"/>
              </w:rPr>
            </w:pPr>
            <w:r>
              <w:rPr>
                <w:rFonts w:ascii="Times New Roman" w:hAnsi="Times New Roman"/>
                <w:sz w:val="24"/>
              </w:rPr>
              <w:t>1</w:t>
            </w:r>
          </w:p>
        </w:tc>
        <w:tc>
          <w:tcPr>
            <w:tcW w:w="1043" w:type="pct"/>
            <w:tcBorders>
              <w:top w:val="single" w:sz="5" w:space="0" w:color="000000"/>
              <w:left w:val="nil"/>
              <w:bottom w:val="single" w:sz="5" w:space="0" w:color="000000"/>
              <w:right w:val="nil"/>
            </w:tcBorders>
          </w:tcPr>
          <w:p w:rsidR="00335CDF" w:rsidRPr="001E6CF9" w:rsidRDefault="00335CDF" w:rsidP="002D1611">
            <w:pPr>
              <w:jc w:val="center"/>
              <w:rPr>
                <w:rFonts w:ascii="Times New Roman" w:hAnsi="Times New Roman"/>
                <w:noProof/>
                <w:sz w:val="24"/>
              </w:rPr>
            </w:pPr>
          </w:p>
        </w:tc>
      </w:tr>
      <w:tr w:rsidR="00335CDF" w:rsidRPr="001E6CF9" w:rsidTr="00455471">
        <w:tc>
          <w:tcPr>
            <w:tcW w:w="1522" w:type="pct"/>
            <w:tcBorders>
              <w:top w:val="single" w:sz="5" w:space="0" w:color="000000"/>
              <w:left w:val="nil"/>
              <w:bottom w:val="single" w:sz="12" w:space="0" w:color="000000"/>
              <w:right w:val="nil"/>
            </w:tcBorders>
          </w:tcPr>
          <w:p w:rsidR="00335CDF" w:rsidRPr="001E6CF9" w:rsidRDefault="00335CDF" w:rsidP="00DE30DA">
            <w:pPr>
              <w:pStyle w:val="TableParagraph"/>
              <w:jc w:val="both"/>
              <w:rPr>
                <w:rFonts w:ascii="Times New Roman" w:hAnsi="Times New Roman"/>
                <w:noProof/>
                <w:sz w:val="24"/>
              </w:rPr>
            </w:pPr>
            <w:r>
              <w:rPr>
                <w:rFonts w:ascii="Times New Roman" w:hAnsi="Times New Roman"/>
                <w:sz w:val="24"/>
              </w:rPr>
              <w:t>Procesa emisiju pieeja</w:t>
            </w:r>
          </w:p>
        </w:tc>
        <w:tc>
          <w:tcPr>
            <w:tcW w:w="1124" w:type="pct"/>
            <w:tcBorders>
              <w:top w:val="single" w:sz="5" w:space="0" w:color="000000"/>
              <w:left w:val="nil"/>
              <w:bottom w:val="single" w:sz="12" w:space="0" w:color="000000"/>
              <w:right w:val="nil"/>
            </w:tcBorders>
          </w:tcPr>
          <w:p w:rsidR="00335CDF" w:rsidRPr="001E6CF9" w:rsidRDefault="00335CDF" w:rsidP="002D1611">
            <w:pPr>
              <w:pStyle w:val="TableParagraph"/>
              <w:jc w:val="center"/>
              <w:rPr>
                <w:rFonts w:ascii="Times New Roman" w:hAnsi="Times New Roman"/>
                <w:noProof/>
                <w:sz w:val="24"/>
              </w:rPr>
            </w:pPr>
            <w:r>
              <w:rPr>
                <w:rFonts w:ascii="Times New Roman" w:hAnsi="Times New Roman"/>
                <w:sz w:val="24"/>
              </w:rPr>
              <w:t>1</w:t>
            </w:r>
          </w:p>
        </w:tc>
        <w:tc>
          <w:tcPr>
            <w:tcW w:w="1312" w:type="pct"/>
            <w:tcBorders>
              <w:top w:val="single" w:sz="5" w:space="0" w:color="000000"/>
              <w:left w:val="nil"/>
              <w:bottom w:val="single" w:sz="12" w:space="0" w:color="000000"/>
              <w:right w:val="nil"/>
            </w:tcBorders>
          </w:tcPr>
          <w:p w:rsidR="00335CDF" w:rsidRPr="001E6CF9" w:rsidRDefault="00335CDF" w:rsidP="002D1611">
            <w:pPr>
              <w:pStyle w:val="TableParagraph"/>
              <w:jc w:val="center"/>
              <w:rPr>
                <w:rFonts w:ascii="Times New Roman" w:hAnsi="Times New Roman"/>
                <w:noProof/>
                <w:sz w:val="24"/>
              </w:rPr>
            </w:pPr>
            <w:r>
              <w:rPr>
                <w:rFonts w:ascii="Times New Roman" w:hAnsi="Times New Roman"/>
                <w:sz w:val="24"/>
              </w:rPr>
              <w:t>1</w:t>
            </w:r>
          </w:p>
        </w:tc>
        <w:tc>
          <w:tcPr>
            <w:tcW w:w="1043" w:type="pct"/>
            <w:tcBorders>
              <w:top w:val="single" w:sz="5" w:space="0" w:color="000000"/>
              <w:left w:val="nil"/>
              <w:bottom w:val="single" w:sz="12" w:space="0" w:color="000000"/>
              <w:right w:val="nil"/>
            </w:tcBorders>
          </w:tcPr>
          <w:p w:rsidR="00335CDF" w:rsidRPr="001E6CF9" w:rsidRDefault="00335CDF" w:rsidP="002D1611">
            <w:pPr>
              <w:jc w:val="center"/>
              <w:rPr>
                <w:rFonts w:ascii="Times New Roman" w:hAnsi="Times New Roman"/>
                <w:noProof/>
                <w:sz w:val="24"/>
              </w:rPr>
            </w:pPr>
          </w:p>
        </w:tc>
      </w:tr>
    </w:tbl>
    <w:p w:rsidR="00335CDF" w:rsidRPr="001E6CF9" w:rsidRDefault="00335CDF" w:rsidP="00DE30DA">
      <w:pPr>
        <w:jc w:val="both"/>
        <w:rPr>
          <w:rFonts w:ascii="Times New Roman" w:eastAsia="Calibri" w:hAnsi="Times New Roman" w:cs="Calibri"/>
          <w:noProof/>
          <w:sz w:val="24"/>
          <w:szCs w:val="19"/>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Principā par saražoto siltumu var pretendēt uz kvotu bezmaksas piešķiršanu, ja tas var tikt uzskatīts par saražotu ES ETS iekārtā, ar nosacījumu, ka tas netiek ražots no elektroenerģijas. Tas jo īpaši varētu attiekties uz gadījumu, kad izmērāmais siltums (degšanas procesā vai eksotermiskas ražošanas procesā) ir tieši saistīts ar avota plūsmām, kas ir ietvertas iekārtas, ko aptver ES ETS, monitoringa plānā (MP).</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Par saražoto siltumu nevar pretendēt uz kvotām turpmāk norādītajos gadījumos.</w:t>
      </w:r>
    </w:p>
    <w:p w:rsidR="00335CDF" w:rsidRPr="001E6CF9" w:rsidRDefault="00335CDF" w:rsidP="0045547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 xml:space="preserve">Par slāpekļskābes ražošanas procesā saražotā siltuma eksportu vai patēriņu nevar pretendēt uz kvotu bezmaksas piešķiršanu, jo šis siltums jau ir ņemts vērā slāpekļskābes līmeņatzīmē (sk. </w:t>
      </w:r>
      <w:r>
        <w:rPr>
          <w:rFonts w:ascii="Times New Roman" w:hAnsi="Times New Roman"/>
          <w:i/>
        </w:rPr>
        <w:t>FAR</w:t>
      </w:r>
      <w:r>
        <w:rPr>
          <w:rFonts w:ascii="Times New Roman" w:hAnsi="Times New Roman"/>
        </w:rPr>
        <w:t xml:space="preserve"> 26. panta 5. punktu).</w:t>
      </w:r>
    </w:p>
    <w:p w:rsidR="00335CDF" w:rsidRPr="001E6CF9" w:rsidRDefault="00335CDF" w:rsidP="0045547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 xml:space="preserve">Par tāda siltuma patēriņu, ko saražojusi iekārta (uz ko neattiecas SEG emisijas atļauja), ko nepatver ETS, nevar pretendēt uz kvotu bezmaksas piešķiršanu (sk. </w:t>
      </w:r>
      <w:r>
        <w:rPr>
          <w:rFonts w:ascii="Times New Roman" w:hAnsi="Times New Roman"/>
          <w:i/>
        </w:rPr>
        <w:t>FAR</w:t>
      </w:r>
      <w:r>
        <w:rPr>
          <w:rFonts w:ascii="Times New Roman" w:hAnsi="Times New Roman"/>
        </w:rPr>
        <w:t xml:space="preserve"> 28.b pantu un 32. pantu).</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Par siltuma, kas tiek izmantots elektroenerģijas ražošanai, eksportu vai patēriņu nevar pretendēt uz kvotu bezmaksas piešķiršanu (sk. </w:t>
      </w:r>
      <w:r>
        <w:rPr>
          <w:rFonts w:ascii="Times New Roman" w:hAnsi="Times New Roman"/>
          <w:i/>
        </w:rPr>
        <w:t>FAR</w:t>
      </w:r>
      <w:r>
        <w:rPr>
          <w:rFonts w:ascii="Times New Roman" w:hAnsi="Times New Roman"/>
        </w:rPr>
        <w:t xml:space="preserve"> 3. panta c) punktu un 28.b pantu).</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Jāievēro, ka pēc tam, kad veikta visas ielaides, izlaides un emisiju attiecināšana uz apakšiekārtām, zināma daļa no ielaides, izlaides un emisijām nebūs attiecināta uz nevienu </w:t>
      </w:r>
      <w:r>
        <w:rPr>
          <w:rFonts w:ascii="Times New Roman" w:hAnsi="Times New Roman"/>
        </w:rPr>
        <w:lastRenderedPageBreak/>
        <w:t>apakšiekārtu, jo par šiem elementiem nevar pretendēt uz kvotu bezmaksas piešķiršanu. Tas attiecas uz:</w:t>
      </w:r>
    </w:p>
    <w:p w:rsidR="00335CDF" w:rsidRPr="001E6CF9" w:rsidRDefault="00335CDF" w:rsidP="0045547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kurināmo un/vai izmērāmu siltumu, ko izmanto elektroenerģijas ražošanai;</w:t>
      </w:r>
    </w:p>
    <w:p w:rsidR="00335CDF" w:rsidRPr="001E6CF9" w:rsidRDefault="00335CDF" w:rsidP="0045547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izmērāmu siltumu, kas saražots slāpekļskābes apakšiekārtās vai tiek importēts no ETS neaptvertām vienībām;</w:t>
      </w:r>
    </w:p>
    <w:p w:rsidR="00335CDF" w:rsidRPr="001E6CF9" w:rsidRDefault="00335CDF" w:rsidP="0045547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emisijām, kas saistītas ar siltumu, kas tiek eksportēts uz ES ETS iekārtām;</w:t>
      </w:r>
    </w:p>
    <w:p w:rsidR="00335CDF" w:rsidRPr="001E6CF9" w:rsidRDefault="00335CDF" w:rsidP="00455471">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atlikumgāzēm vai kurināmo, kas sadedzināts lāpā tādām vajadzībām, kas nav saistītas ar sadedzināšanu lāpā drošības apsvērumu dēļ</w:t>
      </w:r>
      <w:r w:rsidR="00455471">
        <w:rPr>
          <w:rStyle w:val="FootnoteReference"/>
          <w:rFonts w:ascii="Times New Roman" w:hAnsi="Times New Roman" w:cs="Calibri"/>
          <w:noProof/>
        </w:rPr>
        <w:footnoteReference w:id="27"/>
      </w:r>
      <w:r>
        <w:rPr>
          <w:rFonts w:ascii="Times New Roman" w:hAnsi="Times New Roman"/>
        </w:rPr>
        <w:t>.</w:t>
      </w:r>
    </w:p>
    <w:p w:rsidR="00335CDF" w:rsidRPr="001E6CF9" w:rsidRDefault="00335CDF" w:rsidP="00DE30DA">
      <w:pPr>
        <w:jc w:val="both"/>
        <w:rPr>
          <w:rFonts w:ascii="Times New Roman" w:eastAsia="Calibri" w:hAnsi="Times New Roman" w:cs="Calibri"/>
          <w:noProof/>
          <w:sz w:val="24"/>
          <w:szCs w:val="26"/>
        </w:rPr>
      </w:pPr>
    </w:p>
    <w:p w:rsidR="00455471" w:rsidRDefault="00335CDF" w:rsidP="00DE30DA">
      <w:pPr>
        <w:pStyle w:val="BodyText"/>
        <w:ind w:left="0"/>
        <w:jc w:val="both"/>
        <w:rPr>
          <w:rFonts w:ascii="Times New Roman" w:hAnsi="Times New Roman"/>
          <w:b/>
          <w:noProof/>
        </w:rPr>
      </w:pPr>
      <w:r>
        <w:rPr>
          <w:rFonts w:ascii="Times New Roman" w:hAnsi="Times New Roman"/>
          <w:b/>
        </w:rPr>
        <w:t>Piemērs. Oglekļa emisiju pārvirze: iespējama vairāk nekā viena apakšiekārta, izmantojot vienu rezerves pieeju</w:t>
      </w: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Aplūkosim izdomātu pienotavu ar katlu, kas ražo izmērāmu siltumu gan piena pulvera ražošanai (saskaņā ar Komisijas Lēmumu </w:t>
      </w:r>
      <w:r>
        <w:rPr>
          <w:rFonts w:ascii="Times New Roman" w:hAnsi="Times New Roman"/>
          <w:highlight w:val="yellow"/>
        </w:rPr>
        <w:t>xxx</w:t>
      </w:r>
      <w:r w:rsidR="00455471">
        <w:rPr>
          <w:rStyle w:val="FootnoteReference"/>
          <w:rFonts w:ascii="Times New Roman" w:hAnsi="Times New Roman" w:cs="Calibri"/>
          <w:noProof/>
          <w:highlight w:val="yellow"/>
        </w:rPr>
        <w:footnoteReference w:id="28"/>
      </w:r>
      <w:r>
        <w:rPr>
          <w:rFonts w:ascii="Times New Roman" w:hAnsi="Times New Roman"/>
        </w:rPr>
        <w:t xml:space="preserve"> tiek uzskatīts, ka tā ir pakļauta oglekļa emisiju pārvirzes riskam), gan šķidrā piena sterilizācijas procesam (saskaņā ar Komisijas Lēmumu </w:t>
      </w:r>
      <w:r>
        <w:rPr>
          <w:rFonts w:ascii="Times New Roman" w:hAnsi="Times New Roman"/>
          <w:highlight w:val="yellow"/>
        </w:rPr>
        <w:t>xxx</w:t>
      </w:r>
      <w:r>
        <w:rPr>
          <w:rFonts w:ascii="Times New Roman" w:hAnsi="Times New Roman"/>
        </w:rPr>
        <w:t xml:space="preserve"> tiek uzskatīts, ka tas nav pakļauts oglekļa emisiju pārvirzes riskam). Uz nevienu no minētajiem produktiem neattiecas produkta līmeņatzīme, un tādēļ, ja vien iespējams, ir jāizmanto siltuma līmeņatzīmes metodoloģija. Tā kā šajos ražošanas procesos tiek patērēts izmērāms siltums, šī rezerves pieeja tik tiešām ir piemērojama. Tomēr siltums tiek patērēts divos ražošanas procesos, un katram no tiem ir atšķirīgs oglekļa emisiju pārvirzes statuss. Tādēļ patērētais siltums (ko saražojis katls), ir jāsadala pa divām apakšiekārtām; katrai daļai ir atsevišķs oglekļa emisiju pārvirzes statuss.</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cs="Calibri"/>
          <w:noProof/>
        </w:rPr>
      </w:pPr>
      <w:r>
        <w:rPr>
          <w:rFonts w:ascii="Times New Roman" w:hAnsi="Times New Roman"/>
        </w:rPr>
        <w:t xml:space="preserve">Ja vismaz 95 % no iekārtā patērētā kopējā siltuma ir tas pats oglekļa emisiju pārvirzes statuss, var pieņemt, ka arī atlikušajam patērētā siltuma daudzumam (5 % vai mazāk) ir tas pats oglekļa emisiju pārvirzes statuss. Tas pats </w:t>
      </w:r>
      <w:r>
        <w:rPr>
          <w:rFonts w:ascii="Times New Roman" w:hAnsi="Times New Roman"/>
          <w:i/>
        </w:rPr>
        <w:t>de minimis</w:t>
      </w:r>
      <w:r>
        <w:rPr>
          <w:rFonts w:ascii="Times New Roman" w:hAnsi="Times New Roman"/>
        </w:rPr>
        <w:t xml:space="preserve"> noteikums attiecas uz kurināmā līmeņatzīmes apakšiekārtām un procesa emisiju apakšiekārtām. Šis noteikums sīkāk izskaidrots </w:t>
      </w:r>
      <w:r>
        <w:rPr>
          <w:rFonts w:ascii="Times New Roman" w:hAnsi="Times New Roman"/>
          <w:i/>
        </w:rPr>
        <w:t>Norādījumu dokumentā Nr. 2 par kvotu piešķiršanu iekārtas līmenī</w:t>
      </w:r>
      <w:r>
        <w:rPr>
          <w:rFonts w:ascii="Times New Roman" w:hAnsi="Times New Roman"/>
        </w:rPr>
        <w:t>.</w:t>
      </w:r>
    </w:p>
    <w:p w:rsidR="00335CDF" w:rsidRPr="001E6CF9" w:rsidRDefault="00335CDF" w:rsidP="00DE30DA">
      <w:pPr>
        <w:jc w:val="both"/>
        <w:rPr>
          <w:rFonts w:ascii="Times New Roman" w:eastAsia="Calibri" w:hAnsi="Times New Roman" w:cs="Calibri"/>
          <w:i/>
          <w:noProof/>
          <w:sz w:val="24"/>
          <w:szCs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Faktiski tas attiecas uz visu ielaidi, izlaidi un attiecīgajām emisijām, kas norādītas “siltuma līmeņatzīmes apakšiekārtas” definīcijā (sk. </w:t>
      </w:r>
      <w:r>
        <w:rPr>
          <w:rFonts w:ascii="Times New Roman" w:hAnsi="Times New Roman"/>
          <w:i/>
        </w:rPr>
        <w:t>FAR</w:t>
      </w:r>
      <w:r>
        <w:rPr>
          <w:rFonts w:ascii="Times New Roman" w:hAnsi="Times New Roman"/>
        </w:rPr>
        <w:t xml:space="preserve"> 2. panta 3. punktu). Šāda pati loģika ir attiecināma arī uz kurināmā un procesa emisiju apakšiekārtām, kas saistītas ar produktiem, kuriem ir atšķirīgi oglekļa emisiju pārvirzes statusi.</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jc w:val="both"/>
        <w:rPr>
          <w:rFonts w:ascii="Times New Roman" w:hAnsi="Times New Roman"/>
          <w:i/>
          <w:noProof/>
          <w:sz w:val="24"/>
        </w:rPr>
      </w:pPr>
      <w:r>
        <w:rPr>
          <w:rFonts w:ascii="Times New Roman" w:hAnsi="Times New Roman"/>
          <w:i/>
          <w:sz w:val="24"/>
        </w:rPr>
        <w:t>Sīkāku informāciju par to, kā piemērot sadales principu, darbības attiecinot uz vairāk nekā vienu apakšiekārtu, sk. Norādījumu dokumentā Nr. 3 par datu vākšanu.</w:t>
      </w:r>
    </w:p>
    <w:p w:rsidR="00335CDF" w:rsidRPr="001E6CF9" w:rsidRDefault="00335CDF" w:rsidP="00DE30DA">
      <w:pPr>
        <w:jc w:val="both"/>
        <w:rPr>
          <w:rFonts w:ascii="Times New Roman" w:eastAsia="Calibri" w:hAnsi="Times New Roman" w:cs="Calibri"/>
          <w: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Pienācīgi jāparūpējas par to, lai:</w:t>
      </w:r>
    </w:p>
    <w:p w:rsidR="00335CDF" w:rsidRPr="001E6CF9" w:rsidRDefault="00335CDF" w:rsidP="00455471">
      <w:pPr>
        <w:pStyle w:val="BodyText"/>
        <w:numPr>
          <w:ilvl w:val="1"/>
          <w:numId w:val="8"/>
        </w:numPr>
        <w:tabs>
          <w:tab w:val="left" w:pos="426"/>
        </w:tabs>
        <w:ind w:left="426" w:hanging="426"/>
        <w:jc w:val="both"/>
        <w:rPr>
          <w:rFonts w:ascii="Times New Roman" w:hAnsi="Times New Roman"/>
          <w:noProof/>
        </w:rPr>
      </w:pPr>
      <w:r>
        <w:rPr>
          <w:rFonts w:ascii="Times New Roman" w:hAnsi="Times New Roman"/>
        </w:rPr>
        <w:t>apakšiekārtas savstarpēji nepārklājas (nebūtu divkāršas uzskaites);</w:t>
      </w:r>
    </w:p>
    <w:p w:rsidR="00335CDF" w:rsidRPr="001E6CF9" w:rsidRDefault="00335CDF" w:rsidP="00455471">
      <w:pPr>
        <w:pStyle w:val="BodyText"/>
        <w:numPr>
          <w:ilvl w:val="1"/>
          <w:numId w:val="8"/>
        </w:numPr>
        <w:tabs>
          <w:tab w:val="left" w:pos="426"/>
        </w:tabs>
        <w:ind w:left="426" w:hanging="426"/>
        <w:jc w:val="both"/>
        <w:rPr>
          <w:rFonts w:ascii="Times New Roman" w:hAnsi="Times New Roman"/>
          <w:noProof/>
        </w:rPr>
      </w:pPr>
      <w:r>
        <w:rPr>
          <w:rFonts w:ascii="Times New Roman" w:hAnsi="Times New Roman"/>
        </w:rPr>
        <w:t>tiktu ņemta vērā visa atbilstošā ielaide (kurināmais, siltums u. tml.) un izlaide (produkti, siltums, elektroenerģija u. tml.).</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455471" w:rsidP="00455471">
      <w:pPr>
        <w:pStyle w:val="Heading2"/>
        <w:tabs>
          <w:tab w:val="left" w:pos="695"/>
        </w:tabs>
        <w:ind w:left="0" w:firstLine="0"/>
        <w:jc w:val="both"/>
        <w:rPr>
          <w:rFonts w:ascii="Times New Roman" w:hAnsi="Times New Roman"/>
          <w:noProof/>
          <w:sz w:val="24"/>
        </w:rPr>
      </w:pPr>
      <w:bookmarkStart w:id="37" w:name="_Toc31010891"/>
      <w:r>
        <w:rPr>
          <w:rFonts w:ascii="Times New Roman" w:hAnsi="Times New Roman"/>
          <w:sz w:val="24"/>
        </w:rPr>
        <w:t>5.3. Korekcijas koeficienti</w:t>
      </w:r>
      <w:bookmarkStart w:id="38" w:name="_bookmark22"/>
      <w:bookmarkEnd w:id="38"/>
      <w:bookmarkEnd w:id="37"/>
    </w:p>
    <w:p w:rsidR="00455471" w:rsidRDefault="00455471" w:rsidP="00DE30DA">
      <w:pPr>
        <w:pStyle w:val="BodyText"/>
        <w:ind w:left="0"/>
        <w:jc w:val="both"/>
        <w:rPr>
          <w:rFonts w:ascii="Times New Roman" w:hAnsi="Times New Roman"/>
          <w:noProof/>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Piešķiramo kvotu provizorisko ikgadējo apjomu, kas tiek noteikts apakšiekārtas līmenī, var koriģēt, izmantojot vairākus korekcijas koeficientus, kas ir apkopoti turpmākajā tabulā un īsi aprakstīti turpmākajās apakšiedaļās.</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jc w:val="both"/>
        <w:rPr>
          <w:rFonts w:ascii="Times New Roman" w:hAnsi="Times New Roman"/>
          <w:b/>
          <w:noProof/>
          <w:sz w:val="24"/>
        </w:rPr>
      </w:pPr>
      <w:r>
        <w:rPr>
          <w:rFonts w:ascii="Times New Roman" w:hAnsi="Times New Roman"/>
          <w:b/>
          <w:sz w:val="24"/>
        </w:rPr>
        <w:lastRenderedPageBreak/>
        <w:t>6. tabula. Pārskats par korekcijas koeficientiem, kas var tikt piemēroti galīgā piešķiramo kvotu apjoma aprēķinā</w:t>
      </w:r>
    </w:p>
    <w:p w:rsidR="00335CDF" w:rsidRPr="001E6CF9" w:rsidRDefault="00335CDF" w:rsidP="00DE30DA">
      <w:pPr>
        <w:jc w:val="both"/>
        <w:rPr>
          <w:rFonts w:ascii="Times New Roman" w:eastAsia="Calibri" w:hAnsi="Times New Roman" w:cs="Calibri"/>
          <w:b/>
          <w:bCs/>
          <w:noProof/>
          <w:sz w:val="24"/>
          <w:szCs w:val="10"/>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1049"/>
        <w:gridCol w:w="902"/>
        <w:gridCol w:w="1238"/>
        <w:gridCol w:w="975"/>
        <w:gridCol w:w="4964"/>
      </w:tblGrid>
      <w:tr w:rsidR="001E6CF9" w:rsidRPr="00455471" w:rsidTr="00455471">
        <w:tc>
          <w:tcPr>
            <w:tcW w:w="575"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Korekcijas koeficients</w:t>
            </w:r>
          </w:p>
        </w:tc>
        <w:tc>
          <w:tcPr>
            <w:tcW w:w="494"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Oglekļa emisiju pārvirzes statuss</w:t>
            </w:r>
          </w:p>
        </w:tc>
        <w:tc>
          <w:tcPr>
            <w:tcW w:w="678"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Nosaka</w:t>
            </w:r>
          </w:p>
        </w:tc>
        <w:tc>
          <w:tcPr>
            <w:tcW w:w="534"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vērtība</w:t>
            </w:r>
          </w:p>
        </w:tc>
        <w:tc>
          <w:tcPr>
            <w:tcW w:w="2720"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Piemērojamība</w:t>
            </w:r>
          </w:p>
        </w:tc>
      </w:tr>
      <w:tr w:rsidR="001E6CF9" w:rsidRPr="00455471" w:rsidTr="00455471">
        <w:tc>
          <w:tcPr>
            <w:tcW w:w="575" w:type="pct"/>
            <w:tcBorders>
              <w:top w:val="single" w:sz="5" w:space="0" w:color="000000"/>
              <w:left w:val="single" w:sz="5" w:space="0" w:color="000000"/>
              <w:bottom w:val="nil"/>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i/>
                <w:sz w:val="20"/>
                <w:szCs w:val="20"/>
              </w:rPr>
              <w:t>CLEF</w:t>
            </w:r>
          </w:p>
        </w:tc>
        <w:tc>
          <w:tcPr>
            <w:tcW w:w="494"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i/>
                <w:sz w:val="20"/>
                <w:szCs w:val="20"/>
              </w:rPr>
              <w:t>CL</w:t>
            </w:r>
          </w:p>
        </w:tc>
        <w:tc>
          <w:tcPr>
            <w:tcW w:w="678"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Direktīva</w:t>
            </w:r>
          </w:p>
        </w:tc>
        <w:tc>
          <w:tcPr>
            <w:tcW w:w="534"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1,000</w:t>
            </w:r>
          </w:p>
        </w:tc>
        <w:tc>
          <w:tcPr>
            <w:tcW w:w="2720"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Visām apakšiekārtām, kuras tiek uzskatītas par tādām, kas visos gados ir pakļautas ievērojamam oglekļa emisiju pārvirzes riskam</w:t>
            </w:r>
          </w:p>
        </w:tc>
      </w:tr>
      <w:tr w:rsidR="001E6CF9" w:rsidRPr="00455471" w:rsidTr="00455471">
        <w:tc>
          <w:tcPr>
            <w:tcW w:w="575" w:type="pct"/>
            <w:tcBorders>
              <w:top w:val="nil"/>
              <w:left w:val="single" w:sz="5" w:space="0" w:color="000000"/>
              <w:bottom w:val="nil"/>
              <w:right w:val="single" w:sz="5" w:space="0" w:color="000000"/>
            </w:tcBorders>
          </w:tcPr>
          <w:p w:rsidR="008C68EA" w:rsidRPr="00455471" w:rsidRDefault="008C68EA" w:rsidP="00DE30DA">
            <w:pPr>
              <w:jc w:val="both"/>
              <w:rPr>
                <w:rFonts w:ascii="Times New Roman" w:hAnsi="Times New Roman"/>
                <w:noProof/>
                <w:sz w:val="20"/>
                <w:szCs w:val="20"/>
              </w:rPr>
            </w:pPr>
          </w:p>
        </w:tc>
        <w:tc>
          <w:tcPr>
            <w:tcW w:w="494" w:type="pct"/>
            <w:tcBorders>
              <w:top w:val="single" w:sz="5" w:space="0" w:color="000000"/>
              <w:left w:val="single" w:sz="5" w:space="0" w:color="000000"/>
              <w:bottom w:val="nil"/>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 xml:space="preserve">Nav </w:t>
            </w:r>
            <w:r>
              <w:rPr>
                <w:rFonts w:ascii="Times New Roman" w:hAnsi="Times New Roman"/>
                <w:i/>
                <w:sz w:val="20"/>
                <w:szCs w:val="20"/>
              </w:rPr>
              <w:t>CL</w:t>
            </w:r>
          </w:p>
        </w:tc>
        <w:tc>
          <w:tcPr>
            <w:tcW w:w="678"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Direktīva</w:t>
            </w:r>
          </w:p>
        </w:tc>
        <w:tc>
          <w:tcPr>
            <w:tcW w:w="534"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0,300 līdz 0,000</w:t>
            </w:r>
          </w:p>
        </w:tc>
        <w:tc>
          <w:tcPr>
            <w:tcW w:w="2720"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Visām apakšiekārtām, kuras netiek uzskatītas par tādām, kas ir pakļautas ievērojamam oglekļa emisiju pārvirzes riskam; pēc 2026. gada koeficienta vērtība samazinās no 0,300 līdz 0 2030. gadā</w:t>
            </w:r>
          </w:p>
        </w:tc>
      </w:tr>
      <w:tr w:rsidR="001E6CF9" w:rsidRPr="00455471" w:rsidTr="00455471">
        <w:tc>
          <w:tcPr>
            <w:tcW w:w="575" w:type="pct"/>
            <w:tcBorders>
              <w:top w:val="nil"/>
              <w:left w:val="single" w:sz="5" w:space="0" w:color="000000"/>
              <w:bottom w:val="single" w:sz="5" w:space="0" w:color="000000"/>
              <w:right w:val="single" w:sz="5" w:space="0" w:color="000000"/>
            </w:tcBorders>
          </w:tcPr>
          <w:p w:rsidR="008C68EA" w:rsidRPr="00455471" w:rsidRDefault="008C68EA" w:rsidP="00DE30DA">
            <w:pPr>
              <w:jc w:val="both"/>
              <w:rPr>
                <w:rFonts w:ascii="Times New Roman" w:hAnsi="Times New Roman"/>
                <w:noProof/>
                <w:sz w:val="20"/>
                <w:szCs w:val="20"/>
              </w:rPr>
            </w:pPr>
          </w:p>
        </w:tc>
        <w:tc>
          <w:tcPr>
            <w:tcW w:w="494" w:type="pct"/>
            <w:tcBorders>
              <w:top w:val="nil"/>
              <w:left w:val="single" w:sz="5" w:space="0" w:color="000000"/>
              <w:bottom w:val="single" w:sz="5" w:space="0" w:color="000000"/>
              <w:right w:val="single" w:sz="5" w:space="0" w:color="000000"/>
            </w:tcBorders>
          </w:tcPr>
          <w:p w:rsidR="008C68EA" w:rsidRPr="00455471" w:rsidRDefault="008C68EA" w:rsidP="00DE30DA">
            <w:pPr>
              <w:jc w:val="both"/>
              <w:rPr>
                <w:rFonts w:ascii="Times New Roman" w:hAnsi="Times New Roman"/>
                <w:noProof/>
                <w:sz w:val="20"/>
                <w:szCs w:val="20"/>
              </w:rPr>
            </w:pPr>
          </w:p>
        </w:tc>
        <w:tc>
          <w:tcPr>
            <w:tcW w:w="678"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Direktīva</w:t>
            </w:r>
          </w:p>
        </w:tc>
        <w:tc>
          <w:tcPr>
            <w:tcW w:w="534"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0,300</w:t>
            </w:r>
          </w:p>
        </w:tc>
        <w:tc>
          <w:tcPr>
            <w:tcW w:w="2720"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Centralizētās siltumapgādes apakšiekārtām visos gados</w:t>
            </w:r>
          </w:p>
        </w:tc>
      </w:tr>
      <w:tr w:rsidR="008C68EA" w:rsidRPr="00455471" w:rsidTr="00455471">
        <w:tc>
          <w:tcPr>
            <w:tcW w:w="575" w:type="pct"/>
            <w:tcBorders>
              <w:top w:val="single" w:sz="5" w:space="0" w:color="000000"/>
              <w:left w:val="single" w:sz="5" w:space="0" w:color="000000"/>
              <w:bottom w:val="single" w:sz="5" w:space="0" w:color="000000"/>
              <w:right w:val="nil"/>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SSKK</w:t>
            </w:r>
          </w:p>
        </w:tc>
        <w:tc>
          <w:tcPr>
            <w:tcW w:w="494" w:type="pct"/>
            <w:tcBorders>
              <w:top w:val="single" w:sz="5" w:space="0" w:color="000000"/>
              <w:left w:val="nil"/>
              <w:bottom w:val="single" w:sz="5" w:space="0" w:color="000000"/>
              <w:right w:val="single" w:sz="5" w:space="0" w:color="000000"/>
            </w:tcBorders>
          </w:tcPr>
          <w:p w:rsidR="008C68EA" w:rsidRPr="00455471" w:rsidRDefault="008C68EA" w:rsidP="00DE30DA">
            <w:pPr>
              <w:jc w:val="both"/>
              <w:rPr>
                <w:rFonts w:ascii="Times New Roman" w:hAnsi="Times New Roman"/>
                <w:noProof/>
                <w:sz w:val="20"/>
                <w:szCs w:val="20"/>
              </w:rPr>
            </w:pPr>
          </w:p>
        </w:tc>
        <w:tc>
          <w:tcPr>
            <w:tcW w:w="678"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Komisija</w:t>
            </w:r>
          </w:p>
        </w:tc>
        <w:tc>
          <w:tcPr>
            <w:tcW w:w="534"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Būs jānosaka</w:t>
            </w:r>
          </w:p>
        </w:tc>
        <w:tc>
          <w:tcPr>
            <w:tcW w:w="2720" w:type="pct"/>
            <w:tcBorders>
              <w:top w:val="single" w:sz="5" w:space="0" w:color="000000"/>
              <w:left w:val="single" w:sz="5" w:space="0" w:color="000000"/>
              <w:bottom w:val="single" w:sz="5" w:space="0" w:color="000000"/>
              <w:right w:val="single" w:sz="5" w:space="0" w:color="000000"/>
            </w:tcBorders>
          </w:tcPr>
          <w:p w:rsidR="008C68EA" w:rsidRPr="00455471" w:rsidRDefault="008C68EA" w:rsidP="00DE30DA">
            <w:pPr>
              <w:pStyle w:val="TableParagraph"/>
              <w:jc w:val="both"/>
              <w:rPr>
                <w:rFonts w:ascii="Times New Roman" w:hAnsi="Times New Roman"/>
                <w:noProof/>
                <w:sz w:val="20"/>
                <w:szCs w:val="20"/>
              </w:rPr>
            </w:pPr>
            <w:r>
              <w:rPr>
                <w:rFonts w:ascii="Times New Roman" w:hAnsi="Times New Roman"/>
                <w:sz w:val="20"/>
                <w:szCs w:val="20"/>
              </w:rPr>
              <w:t>Visām esošajām iekārtām, kuras var pretendēt uz kvotu bezmaksas piešķiršanu saskaņā ar 10.a pantu gados, kad provizoriskais bez maksas piešķiramo kvotu apjoms pārsniedz pieejamo bezmaksas kvotu daudzumu, kas noteikts Direktīvā</w:t>
            </w:r>
          </w:p>
        </w:tc>
      </w:tr>
      <w:tr w:rsidR="001E6CF9" w:rsidRPr="00455471" w:rsidTr="00455471">
        <w:tc>
          <w:tcPr>
            <w:tcW w:w="1069" w:type="pct"/>
            <w:gridSpan w:val="2"/>
            <w:tcBorders>
              <w:top w:val="single" w:sz="5" w:space="0" w:color="000000"/>
              <w:left w:val="single" w:sz="5" w:space="0" w:color="000000"/>
              <w:bottom w:val="single" w:sz="5" w:space="0" w:color="000000"/>
              <w:right w:val="single" w:sz="5" w:space="0" w:color="000000"/>
            </w:tcBorders>
          </w:tcPr>
          <w:p w:rsidR="00335CDF" w:rsidRPr="00455471" w:rsidRDefault="00335CDF" w:rsidP="00DE30DA">
            <w:pPr>
              <w:pStyle w:val="TableParagraph"/>
              <w:jc w:val="both"/>
              <w:rPr>
                <w:rFonts w:ascii="Times New Roman" w:eastAsia="Calibri" w:hAnsi="Times New Roman" w:cs="Calibri"/>
                <w:noProof/>
                <w:sz w:val="20"/>
                <w:szCs w:val="20"/>
              </w:rPr>
            </w:pPr>
            <w:r>
              <w:rPr>
                <w:rFonts w:ascii="Times New Roman" w:hAnsi="Times New Roman"/>
                <w:sz w:val="20"/>
                <w:szCs w:val="20"/>
              </w:rPr>
              <w:t>LSK</w:t>
            </w:r>
            <w:r w:rsidR="00CC65DE">
              <w:rPr>
                <w:rStyle w:val="FootnoteReference"/>
                <w:rFonts w:ascii="Times New Roman" w:hAnsi="Times New Roman" w:cs="Calibri"/>
                <w:noProof/>
                <w:sz w:val="20"/>
                <w:szCs w:val="20"/>
              </w:rPr>
              <w:footnoteReference w:id="29"/>
            </w:r>
          </w:p>
        </w:tc>
        <w:tc>
          <w:tcPr>
            <w:tcW w:w="678" w:type="pct"/>
            <w:tcBorders>
              <w:top w:val="single" w:sz="5" w:space="0" w:color="000000"/>
              <w:left w:val="single" w:sz="5" w:space="0" w:color="000000"/>
              <w:bottom w:val="single" w:sz="5" w:space="0" w:color="000000"/>
              <w:right w:val="single" w:sz="5" w:space="0" w:color="000000"/>
            </w:tcBorders>
          </w:tcPr>
          <w:p w:rsidR="00335CDF" w:rsidRPr="00455471" w:rsidRDefault="00335CDF" w:rsidP="00DE30DA">
            <w:pPr>
              <w:pStyle w:val="TableParagraph"/>
              <w:jc w:val="both"/>
              <w:rPr>
                <w:rFonts w:ascii="Times New Roman" w:hAnsi="Times New Roman"/>
                <w:noProof/>
                <w:sz w:val="20"/>
                <w:szCs w:val="20"/>
              </w:rPr>
            </w:pPr>
            <w:r>
              <w:rPr>
                <w:rFonts w:ascii="Times New Roman" w:hAnsi="Times New Roman"/>
                <w:sz w:val="20"/>
                <w:szCs w:val="20"/>
              </w:rPr>
              <w:t xml:space="preserve">Direktīva un </w:t>
            </w:r>
            <w:r>
              <w:rPr>
                <w:rFonts w:ascii="Times New Roman" w:hAnsi="Times New Roman"/>
                <w:i/>
                <w:sz w:val="20"/>
                <w:szCs w:val="20"/>
              </w:rPr>
              <w:t>FAR</w:t>
            </w:r>
          </w:p>
        </w:tc>
        <w:tc>
          <w:tcPr>
            <w:tcW w:w="534" w:type="pct"/>
            <w:tcBorders>
              <w:top w:val="single" w:sz="5" w:space="0" w:color="000000"/>
              <w:left w:val="single" w:sz="5" w:space="0" w:color="000000"/>
              <w:bottom w:val="single" w:sz="5" w:space="0" w:color="000000"/>
              <w:right w:val="single" w:sz="5" w:space="0" w:color="000000"/>
            </w:tcBorders>
          </w:tcPr>
          <w:p w:rsidR="00335CDF" w:rsidRPr="00455471" w:rsidRDefault="00335CDF" w:rsidP="00DE30DA">
            <w:pPr>
              <w:pStyle w:val="TableParagraph"/>
              <w:jc w:val="both"/>
              <w:rPr>
                <w:rFonts w:ascii="Times New Roman" w:hAnsi="Times New Roman"/>
                <w:noProof/>
                <w:sz w:val="20"/>
                <w:szCs w:val="20"/>
              </w:rPr>
            </w:pPr>
            <w:r>
              <w:rPr>
                <w:rFonts w:ascii="Times New Roman" w:hAnsi="Times New Roman"/>
                <w:sz w:val="20"/>
                <w:szCs w:val="20"/>
              </w:rPr>
              <w:t>2,2 %</w:t>
            </w:r>
          </w:p>
        </w:tc>
        <w:tc>
          <w:tcPr>
            <w:tcW w:w="2720" w:type="pct"/>
            <w:tcBorders>
              <w:top w:val="single" w:sz="5" w:space="0" w:color="000000"/>
              <w:left w:val="single" w:sz="5" w:space="0" w:color="000000"/>
              <w:bottom w:val="single" w:sz="5" w:space="0" w:color="000000"/>
              <w:right w:val="single" w:sz="5" w:space="0" w:color="000000"/>
            </w:tcBorders>
          </w:tcPr>
          <w:p w:rsidR="00335CDF" w:rsidRPr="00455471" w:rsidRDefault="00335CDF" w:rsidP="00DE30DA">
            <w:pPr>
              <w:pStyle w:val="TableParagraph"/>
              <w:jc w:val="both"/>
              <w:rPr>
                <w:rFonts w:ascii="Times New Roman" w:hAnsi="Times New Roman"/>
                <w:noProof/>
                <w:sz w:val="20"/>
                <w:szCs w:val="20"/>
              </w:rPr>
            </w:pPr>
            <w:r>
              <w:rPr>
                <w:rFonts w:ascii="Times New Roman" w:hAnsi="Times New Roman"/>
                <w:sz w:val="20"/>
                <w:szCs w:val="20"/>
              </w:rPr>
              <w:t xml:space="preserve">Elektroenerģijas ražošanas iekārtas, kas var pretendēt uz kvotu bezmaksas piešķiršanu (centralizētā siltumapgāde, augstas efektivitātes </w:t>
            </w:r>
            <w:r>
              <w:rPr>
                <w:rFonts w:ascii="Times New Roman" w:hAnsi="Times New Roman"/>
                <w:i/>
                <w:sz w:val="20"/>
                <w:szCs w:val="20"/>
              </w:rPr>
              <w:t>CHP</w:t>
            </w:r>
            <w:r>
              <w:rPr>
                <w:rFonts w:ascii="Times New Roman" w:hAnsi="Times New Roman"/>
                <w:sz w:val="20"/>
                <w:szCs w:val="20"/>
              </w:rPr>
              <w:t>) gadījumā, ja attiecīgajā gadā netiek piemērots SSKK. LSK tiek piemērots no 2013. gada, tā vērtībai pieaugot līdz 2,2 % 2021. gadā</w:t>
            </w:r>
          </w:p>
        </w:tc>
      </w:tr>
      <w:tr w:rsidR="00335CDF" w:rsidRPr="00455471" w:rsidTr="00455471">
        <w:tc>
          <w:tcPr>
            <w:tcW w:w="1069" w:type="pct"/>
            <w:gridSpan w:val="2"/>
            <w:tcBorders>
              <w:top w:val="single" w:sz="5" w:space="0" w:color="000000"/>
              <w:left w:val="single" w:sz="5" w:space="0" w:color="000000"/>
              <w:bottom w:val="single" w:sz="5" w:space="0" w:color="000000"/>
              <w:right w:val="single" w:sz="5" w:space="0" w:color="000000"/>
            </w:tcBorders>
          </w:tcPr>
          <w:p w:rsidR="00335CDF" w:rsidRPr="00455471" w:rsidRDefault="00335CDF" w:rsidP="00DE30DA">
            <w:pPr>
              <w:pStyle w:val="TableParagraph"/>
              <w:jc w:val="both"/>
              <w:rPr>
                <w:rFonts w:ascii="Times New Roman" w:hAnsi="Times New Roman"/>
                <w:noProof/>
                <w:sz w:val="20"/>
                <w:szCs w:val="20"/>
              </w:rPr>
            </w:pPr>
            <w:r>
              <w:rPr>
                <w:rFonts w:ascii="Times New Roman" w:hAnsi="Times New Roman"/>
                <w:sz w:val="20"/>
                <w:szCs w:val="20"/>
              </w:rPr>
              <w:t>LSK</w:t>
            </w:r>
          </w:p>
        </w:tc>
        <w:tc>
          <w:tcPr>
            <w:tcW w:w="678" w:type="pct"/>
            <w:tcBorders>
              <w:top w:val="single" w:sz="5" w:space="0" w:color="000000"/>
              <w:left w:val="single" w:sz="5" w:space="0" w:color="000000"/>
              <w:bottom w:val="single" w:sz="5" w:space="0" w:color="000000"/>
              <w:right w:val="single" w:sz="5" w:space="0" w:color="000000"/>
            </w:tcBorders>
          </w:tcPr>
          <w:p w:rsidR="00335CDF" w:rsidRPr="00455471" w:rsidRDefault="00335CDF" w:rsidP="00DE30DA">
            <w:pPr>
              <w:pStyle w:val="TableParagraph"/>
              <w:jc w:val="both"/>
              <w:rPr>
                <w:rFonts w:ascii="Times New Roman" w:hAnsi="Times New Roman"/>
                <w:noProof/>
                <w:sz w:val="20"/>
                <w:szCs w:val="20"/>
              </w:rPr>
            </w:pPr>
            <w:r>
              <w:rPr>
                <w:rFonts w:ascii="Times New Roman" w:hAnsi="Times New Roman"/>
                <w:i/>
                <w:sz w:val="20"/>
                <w:szCs w:val="20"/>
              </w:rPr>
              <w:t>FAR</w:t>
            </w:r>
          </w:p>
        </w:tc>
        <w:tc>
          <w:tcPr>
            <w:tcW w:w="534" w:type="pct"/>
            <w:tcBorders>
              <w:top w:val="single" w:sz="5" w:space="0" w:color="000000"/>
              <w:left w:val="single" w:sz="5" w:space="0" w:color="000000"/>
              <w:bottom w:val="single" w:sz="5" w:space="0" w:color="000000"/>
              <w:right w:val="single" w:sz="5" w:space="0" w:color="000000"/>
            </w:tcBorders>
          </w:tcPr>
          <w:p w:rsidR="00335CDF" w:rsidRPr="00455471" w:rsidRDefault="00335CDF" w:rsidP="00DE30DA">
            <w:pPr>
              <w:pStyle w:val="TableParagraph"/>
              <w:jc w:val="both"/>
              <w:rPr>
                <w:rFonts w:ascii="Times New Roman" w:hAnsi="Times New Roman"/>
                <w:noProof/>
                <w:sz w:val="20"/>
                <w:szCs w:val="20"/>
              </w:rPr>
            </w:pPr>
            <w:r>
              <w:rPr>
                <w:rFonts w:ascii="Times New Roman" w:hAnsi="Times New Roman"/>
                <w:sz w:val="20"/>
                <w:szCs w:val="20"/>
              </w:rPr>
              <w:t>2,2 %</w:t>
            </w:r>
          </w:p>
        </w:tc>
        <w:tc>
          <w:tcPr>
            <w:tcW w:w="2720" w:type="pct"/>
            <w:tcBorders>
              <w:top w:val="single" w:sz="5" w:space="0" w:color="000000"/>
              <w:left w:val="single" w:sz="5" w:space="0" w:color="000000"/>
              <w:bottom w:val="single" w:sz="5" w:space="0" w:color="000000"/>
              <w:right w:val="single" w:sz="5" w:space="0" w:color="000000"/>
            </w:tcBorders>
          </w:tcPr>
          <w:p w:rsidR="00335CDF" w:rsidRPr="00455471" w:rsidRDefault="00335CDF" w:rsidP="00DE30DA">
            <w:pPr>
              <w:pStyle w:val="TableParagraph"/>
              <w:jc w:val="both"/>
              <w:rPr>
                <w:rFonts w:ascii="Times New Roman" w:eastAsia="Calibri" w:hAnsi="Times New Roman" w:cs="Calibri"/>
                <w:noProof/>
                <w:sz w:val="20"/>
                <w:szCs w:val="20"/>
              </w:rPr>
            </w:pPr>
            <w:r>
              <w:rPr>
                <w:rFonts w:ascii="Times New Roman" w:hAnsi="Times New Roman"/>
                <w:sz w:val="20"/>
                <w:szCs w:val="20"/>
              </w:rPr>
              <w:t>Jaunas iekārtas, sākot ar katra kvotu piešķiršanas perioda 1. gadu</w:t>
            </w:r>
          </w:p>
          <w:p w:rsidR="00335CDF" w:rsidRPr="00455471" w:rsidRDefault="00335CDF" w:rsidP="00DE30DA">
            <w:pPr>
              <w:pStyle w:val="TableParagraph"/>
              <w:jc w:val="both"/>
              <w:rPr>
                <w:rFonts w:ascii="Times New Roman" w:hAnsi="Times New Roman"/>
                <w:noProof/>
                <w:sz w:val="20"/>
                <w:szCs w:val="20"/>
              </w:rPr>
            </w:pPr>
            <w:r>
              <w:rPr>
                <w:rFonts w:ascii="Times New Roman" w:hAnsi="Times New Roman"/>
                <w:sz w:val="20"/>
                <w:szCs w:val="20"/>
              </w:rPr>
              <w:t>Jaunām elektroenerģijas ražošanas iekārtām, kas var pretendēt uz kvotu bezmaksas piešķiršanu, to piemēro tikai gadījumā, ja attiecīgajā gadā netiek piemērots SSKK</w:t>
            </w:r>
          </w:p>
        </w:tc>
      </w:tr>
    </w:tbl>
    <w:p w:rsidR="00335CDF" w:rsidRPr="001E6CF9" w:rsidRDefault="00335CDF" w:rsidP="00DE30DA">
      <w:pPr>
        <w:jc w:val="both"/>
        <w:rPr>
          <w:rFonts w:ascii="Times New Roman" w:eastAsia="Calibri" w:hAnsi="Times New Roman" w:cs="Calibri"/>
          <w:b/>
          <w:bCs/>
          <w:noProof/>
          <w:sz w:val="24"/>
          <w:szCs w:val="20"/>
        </w:rPr>
      </w:pPr>
    </w:p>
    <w:p w:rsidR="00335CDF" w:rsidRPr="001E6CF9" w:rsidRDefault="00CC65DE" w:rsidP="00CC65DE">
      <w:pPr>
        <w:pStyle w:val="Heading3"/>
        <w:tabs>
          <w:tab w:val="left" w:pos="839"/>
        </w:tabs>
        <w:ind w:left="0" w:firstLine="0"/>
        <w:jc w:val="both"/>
        <w:rPr>
          <w:rFonts w:ascii="Times New Roman" w:hAnsi="Times New Roman"/>
          <w:noProof/>
        </w:rPr>
      </w:pPr>
      <w:bookmarkStart w:id="39" w:name="_Toc31010892"/>
      <w:r>
        <w:rPr>
          <w:rFonts w:ascii="Times New Roman" w:hAnsi="Times New Roman"/>
        </w:rPr>
        <w:t>5.3.1. Oglekļa emisiju pārvirzes riska koeficients</w:t>
      </w:r>
      <w:bookmarkStart w:id="40" w:name="_bookmark23"/>
      <w:bookmarkEnd w:id="40"/>
      <w:bookmarkEnd w:id="39"/>
    </w:p>
    <w:p w:rsidR="00CC65DE" w:rsidRDefault="00CC65DE" w:rsidP="00DE30DA">
      <w:pPr>
        <w:jc w:val="both"/>
        <w:rPr>
          <w:rFonts w:ascii="Times New Roman" w:hAnsi="Times New Roman"/>
          <w:i/>
          <w:noProof/>
          <w:sz w:val="24"/>
        </w:rPr>
      </w:pPr>
    </w:p>
    <w:p w:rsidR="00335CDF" w:rsidRPr="001E6CF9" w:rsidRDefault="00335CDF" w:rsidP="00DE30DA">
      <w:pPr>
        <w:jc w:val="both"/>
        <w:rPr>
          <w:rFonts w:ascii="Times New Roman" w:hAnsi="Times New Roman"/>
          <w:i/>
          <w:noProof/>
          <w:sz w:val="24"/>
        </w:rPr>
      </w:pPr>
      <w:r>
        <w:rPr>
          <w:rFonts w:ascii="Times New Roman" w:hAnsi="Times New Roman"/>
          <w:i/>
          <w:sz w:val="24"/>
        </w:rPr>
        <w:t>Sīki izstrādāts paskaidrojums atrodams Norādījumu dokumentā Nr. 2 par kvotu piešķiršanas metodoloģiju iekārtas līmenī.</w:t>
      </w:r>
    </w:p>
    <w:p w:rsidR="00335CDF" w:rsidRPr="001E6CF9" w:rsidRDefault="00335CDF" w:rsidP="00DE30DA">
      <w:pPr>
        <w:jc w:val="both"/>
        <w:rPr>
          <w:rFonts w:ascii="Times New Roman" w:eastAsia="Calibri" w:hAnsi="Times New Roman" w:cs="Calibri"/>
          <w: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Emisijas kvotu provizorisko ikgadējo apjomu reizina ar tā saukto “oglekļa emisiju pārvirzes riska koeficientu” (</w:t>
      </w:r>
      <w:r>
        <w:rPr>
          <w:rFonts w:ascii="Times New Roman" w:hAnsi="Times New Roman"/>
          <w:i/>
        </w:rPr>
        <w:t>CLEF</w:t>
      </w:r>
      <w:r>
        <w:rPr>
          <w:rFonts w:ascii="Times New Roman" w:hAnsi="Times New Roman"/>
        </w:rPr>
        <w:t>).</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Komisija ir izstrādājusi to nozaru un apakšnozaru (provizorisko) sarakstu, kuras tiek uzskatītas par tādām, kas ir pakļautas ievērojamam oglekļa emisiju pārvirzes riskam. Oglekļa emisiju pārvirzes riska koeficients (</w:t>
      </w:r>
      <w:r>
        <w:rPr>
          <w:rFonts w:ascii="Times New Roman" w:hAnsi="Times New Roman"/>
          <w:i/>
        </w:rPr>
        <w:t>CLEF</w:t>
      </w:r>
      <w:r>
        <w:rPr>
          <w:rFonts w:ascii="Times New Roman" w:hAnsi="Times New Roman"/>
        </w:rPr>
        <w:t>), ko izmanto, piešķirot kvotas šīm nozarēm, visiem gadiem ir 1,00.</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Piešķirot kvotas nozarēm, kas nav ietvertas šajā sarakstā, oglekļa emisiju pārvirzes riska koeficients ir 0,30 līdz 2026. gadam, samazinoties līdz 0 2030. gadā. Tas nozīmē, ka no tā brīža par iekārtām, kas ir šajās nozarēs, katru gadu tiks saņemts mazāk kvotu nekā iepriekšējā gadā.</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7. tabulā sniegts pārskats par oglekļa emisiju pārvirzes riska koeficientiem.</w:t>
      </w:r>
    </w:p>
    <w:p w:rsidR="002D1611" w:rsidRDefault="002D1611">
      <w:pPr>
        <w:rPr>
          <w:rFonts w:ascii="Times New Roman" w:eastAsia="Calibri" w:hAnsi="Times New Roman" w:cs="Calibri"/>
          <w:noProof/>
          <w:sz w:val="24"/>
          <w:szCs w:val="24"/>
        </w:rPr>
      </w:pPr>
      <w:r>
        <w:rPr>
          <w:rFonts w:ascii="Times New Roman" w:eastAsia="Calibri" w:hAnsi="Times New Roman" w:cs="Calibri"/>
          <w:noProof/>
          <w:sz w:val="24"/>
          <w:szCs w:val="24"/>
        </w:rPr>
        <w:br w:type="page"/>
      </w:r>
    </w:p>
    <w:p w:rsidR="00335CDF" w:rsidRPr="001E6CF9" w:rsidRDefault="00335CDF" w:rsidP="00DE30DA">
      <w:pPr>
        <w:jc w:val="both"/>
        <w:rPr>
          <w:rFonts w:ascii="Times New Roman" w:eastAsia="Calibri" w:hAnsi="Times New Roman" w:cs="Calibri"/>
          <w:noProof/>
          <w:sz w:val="24"/>
          <w:szCs w:val="24"/>
        </w:rPr>
      </w:pPr>
    </w:p>
    <w:p w:rsidR="00335CDF" w:rsidRPr="00CC65DE" w:rsidRDefault="00335CDF" w:rsidP="00DE30DA">
      <w:pPr>
        <w:tabs>
          <w:tab w:val="left" w:pos="9408"/>
        </w:tabs>
        <w:jc w:val="both"/>
        <w:rPr>
          <w:rFonts w:ascii="Times New Roman" w:hAnsi="Times New Roman"/>
          <w:b/>
          <w:noProof/>
          <w:sz w:val="24"/>
          <w:u w:val="single"/>
        </w:rPr>
      </w:pPr>
      <w:r>
        <w:rPr>
          <w:rFonts w:ascii="Times New Roman" w:hAnsi="Times New Roman"/>
          <w:b/>
          <w:sz w:val="24"/>
          <w:u w:val="single"/>
        </w:rPr>
        <w:t>7. tabula. Pārskats par oglekļa emisiju pārvirzes riska koeficientiem</w:t>
      </w:r>
      <w:bookmarkStart w:id="41" w:name="_bookmark24"/>
      <w:bookmarkEnd w:id="41"/>
    </w:p>
    <w:p w:rsidR="00335CDF" w:rsidRPr="001E6CF9" w:rsidRDefault="00335CDF" w:rsidP="00DE30DA">
      <w:pPr>
        <w:jc w:val="both"/>
        <w:rPr>
          <w:rFonts w:ascii="Times New Roman" w:eastAsia="Calibri" w:hAnsi="Times New Roman" w:cs="Calibri"/>
          <w:b/>
          <w:bCs/>
          <w:noProof/>
          <w:sz w:val="24"/>
          <w:szCs w:val="10"/>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2109"/>
        <w:gridCol w:w="690"/>
        <w:gridCol w:w="703"/>
        <w:gridCol w:w="703"/>
        <w:gridCol w:w="703"/>
        <w:gridCol w:w="703"/>
        <w:gridCol w:w="703"/>
        <w:gridCol w:w="703"/>
        <w:gridCol w:w="703"/>
        <w:gridCol w:w="703"/>
        <w:gridCol w:w="705"/>
      </w:tblGrid>
      <w:tr w:rsidR="001E6CF9" w:rsidRPr="00CC65DE" w:rsidTr="00CC65DE">
        <w:tc>
          <w:tcPr>
            <w:tcW w:w="1155" w:type="pct"/>
            <w:tcBorders>
              <w:top w:val="nil"/>
              <w:left w:val="nil"/>
              <w:bottom w:val="single" w:sz="12" w:space="0" w:color="000000"/>
              <w:right w:val="nil"/>
            </w:tcBorders>
          </w:tcPr>
          <w:p w:rsidR="00335CDF" w:rsidRPr="00CC65DE" w:rsidRDefault="00335CDF" w:rsidP="00DE30DA">
            <w:pPr>
              <w:pStyle w:val="TableParagraph"/>
              <w:jc w:val="both"/>
              <w:rPr>
                <w:rFonts w:ascii="Times New Roman" w:hAnsi="Times New Roman"/>
                <w:b/>
                <w:noProof/>
                <w:sz w:val="20"/>
                <w:szCs w:val="20"/>
              </w:rPr>
            </w:pPr>
            <w:r>
              <w:rPr>
                <w:rFonts w:ascii="Times New Roman" w:hAnsi="Times New Roman"/>
                <w:b/>
                <w:sz w:val="20"/>
                <w:szCs w:val="20"/>
              </w:rPr>
              <w:t>Gads</w:t>
            </w:r>
          </w:p>
        </w:tc>
        <w:tc>
          <w:tcPr>
            <w:tcW w:w="378" w:type="pct"/>
            <w:tcBorders>
              <w:top w:val="nil"/>
              <w:left w:val="nil"/>
              <w:bottom w:val="single" w:sz="12" w:space="0" w:color="000000"/>
              <w:right w:val="nil"/>
            </w:tcBorders>
          </w:tcPr>
          <w:p w:rsidR="00335CDF" w:rsidRPr="00CC65DE" w:rsidRDefault="00335CDF" w:rsidP="00CC65DE">
            <w:pPr>
              <w:pStyle w:val="TableParagraph"/>
              <w:jc w:val="center"/>
              <w:rPr>
                <w:rFonts w:ascii="Times New Roman" w:hAnsi="Times New Roman"/>
                <w:b/>
                <w:noProof/>
                <w:sz w:val="20"/>
                <w:szCs w:val="20"/>
              </w:rPr>
            </w:pPr>
            <w:r>
              <w:rPr>
                <w:rFonts w:ascii="Times New Roman" w:hAnsi="Times New Roman"/>
                <w:b/>
                <w:sz w:val="20"/>
                <w:szCs w:val="20"/>
              </w:rPr>
              <w:t>2021</w:t>
            </w:r>
          </w:p>
        </w:tc>
        <w:tc>
          <w:tcPr>
            <w:tcW w:w="385" w:type="pct"/>
            <w:tcBorders>
              <w:top w:val="nil"/>
              <w:left w:val="nil"/>
              <w:bottom w:val="single" w:sz="12" w:space="0" w:color="000000"/>
              <w:right w:val="nil"/>
            </w:tcBorders>
          </w:tcPr>
          <w:p w:rsidR="00335CDF" w:rsidRPr="00CC65DE" w:rsidRDefault="00335CDF" w:rsidP="00CC65DE">
            <w:pPr>
              <w:pStyle w:val="TableParagraph"/>
              <w:jc w:val="center"/>
              <w:rPr>
                <w:rFonts w:ascii="Times New Roman" w:hAnsi="Times New Roman"/>
                <w:b/>
                <w:noProof/>
                <w:sz w:val="20"/>
                <w:szCs w:val="20"/>
              </w:rPr>
            </w:pPr>
            <w:r>
              <w:rPr>
                <w:rFonts w:ascii="Times New Roman" w:hAnsi="Times New Roman"/>
                <w:b/>
                <w:sz w:val="20"/>
                <w:szCs w:val="20"/>
              </w:rPr>
              <w:t>2022</w:t>
            </w:r>
          </w:p>
        </w:tc>
        <w:tc>
          <w:tcPr>
            <w:tcW w:w="385" w:type="pct"/>
            <w:tcBorders>
              <w:top w:val="nil"/>
              <w:left w:val="nil"/>
              <w:bottom w:val="single" w:sz="12" w:space="0" w:color="000000"/>
              <w:right w:val="nil"/>
            </w:tcBorders>
          </w:tcPr>
          <w:p w:rsidR="00335CDF" w:rsidRPr="00CC65DE" w:rsidRDefault="00335CDF" w:rsidP="00CC65DE">
            <w:pPr>
              <w:pStyle w:val="TableParagraph"/>
              <w:jc w:val="center"/>
              <w:rPr>
                <w:rFonts w:ascii="Times New Roman" w:hAnsi="Times New Roman"/>
                <w:b/>
                <w:noProof/>
                <w:sz w:val="20"/>
                <w:szCs w:val="20"/>
              </w:rPr>
            </w:pPr>
            <w:r>
              <w:rPr>
                <w:rFonts w:ascii="Times New Roman" w:hAnsi="Times New Roman"/>
                <w:b/>
                <w:sz w:val="20"/>
                <w:szCs w:val="20"/>
              </w:rPr>
              <w:t>2023</w:t>
            </w:r>
          </w:p>
        </w:tc>
        <w:tc>
          <w:tcPr>
            <w:tcW w:w="385" w:type="pct"/>
            <w:tcBorders>
              <w:top w:val="nil"/>
              <w:left w:val="nil"/>
              <w:bottom w:val="single" w:sz="12" w:space="0" w:color="000000"/>
              <w:right w:val="nil"/>
            </w:tcBorders>
          </w:tcPr>
          <w:p w:rsidR="00335CDF" w:rsidRPr="00CC65DE" w:rsidRDefault="00335CDF" w:rsidP="00CC65DE">
            <w:pPr>
              <w:pStyle w:val="TableParagraph"/>
              <w:jc w:val="center"/>
              <w:rPr>
                <w:rFonts w:ascii="Times New Roman" w:hAnsi="Times New Roman"/>
                <w:b/>
                <w:noProof/>
                <w:sz w:val="20"/>
                <w:szCs w:val="20"/>
              </w:rPr>
            </w:pPr>
            <w:r>
              <w:rPr>
                <w:rFonts w:ascii="Times New Roman" w:hAnsi="Times New Roman"/>
                <w:b/>
                <w:sz w:val="20"/>
                <w:szCs w:val="20"/>
              </w:rPr>
              <w:t>2024</w:t>
            </w:r>
          </w:p>
        </w:tc>
        <w:tc>
          <w:tcPr>
            <w:tcW w:w="385" w:type="pct"/>
            <w:tcBorders>
              <w:top w:val="nil"/>
              <w:left w:val="nil"/>
              <w:bottom w:val="single" w:sz="12" w:space="0" w:color="000000"/>
              <w:right w:val="nil"/>
            </w:tcBorders>
          </w:tcPr>
          <w:p w:rsidR="00335CDF" w:rsidRPr="00CC65DE" w:rsidRDefault="00335CDF" w:rsidP="00CC65DE">
            <w:pPr>
              <w:pStyle w:val="TableParagraph"/>
              <w:jc w:val="center"/>
              <w:rPr>
                <w:rFonts w:ascii="Times New Roman" w:hAnsi="Times New Roman"/>
                <w:b/>
                <w:noProof/>
                <w:sz w:val="20"/>
                <w:szCs w:val="20"/>
              </w:rPr>
            </w:pPr>
            <w:r>
              <w:rPr>
                <w:rFonts w:ascii="Times New Roman" w:hAnsi="Times New Roman"/>
                <w:b/>
                <w:sz w:val="20"/>
                <w:szCs w:val="20"/>
              </w:rPr>
              <w:t>2025</w:t>
            </w:r>
          </w:p>
        </w:tc>
        <w:tc>
          <w:tcPr>
            <w:tcW w:w="385" w:type="pct"/>
            <w:tcBorders>
              <w:top w:val="nil"/>
              <w:left w:val="nil"/>
              <w:bottom w:val="single" w:sz="12" w:space="0" w:color="000000"/>
              <w:right w:val="nil"/>
            </w:tcBorders>
          </w:tcPr>
          <w:p w:rsidR="00335CDF" w:rsidRPr="00CC65DE" w:rsidRDefault="00335CDF" w:rsidP="00CC65DE">
            <w:pPr>
              <w:pStyle w:val="TableParagraph"/>
              <w:jc w:val="center"/>
              <w:rPr>
                <w:rFonts w:ascii="Times New Roman" w:hAnsi="Times New Roman"/>
                <w:b/>
                <w:noProof/>
                <w:sz w:val="20"/>
                <w:szCs w:val="20"/>
              </w:rPr>
            </w:pPr>
            <w:r>
              <w:rPr>
                <w:rFonts w:ascii="Times New Roman" w:hAnsi="Times New Roman"/>
                <w:b/>
                <w:sz w:val="20"/>
                <w:szCs w:val="20"/>
              </w:rPr>
              <w:t>2026</w:t>
            </w:r>
          </w:p>
        </w:tc>
        <w:tc>
          <w:tcPr>
            <w:tcW w:w="385" w:type="pct"/>
            <w:tcBorders>
              <w:top w:val="nil"/>
              <w:left w:val="nil"/>
              <w:bottom w:val="single" w:sz="12" w:space="0" w:color="000000"/>
              <w:right w:val="nil"/>
            </w:tcBorders>
          </w:tcPr>
          <w:p w:rsidR="00335CDF" w:rsidRPr="00CC65DE" w:rsidRDefault="00335CDF" w:rsidP="00CC65DE">
            <w:pPr>
              <w:pStyle w:val="TableParagraph"/>
              <w:jc w:val="center"/>
              <w:rPr>
                <w:rFonts w:ascii="Times New Roman" w:hAnsi="Times New Roman"/>
                <w:b/>
                <w:noProof/>
                <w:sz w:val="20"/>
                <w:szCs w:val="20"/>
              </w:rPr>
            </w:pPr>
            <w:r>
              <w:rPr>
                <w:rFonts w:ascii="Times New Roman" w:hAnsi="Times New Roman"/>
                <w:b/>
                <w:sz w:val="20"/>
                <w:szCs w:val="20"/>
              </w:rPr>
              <w:t>2027</w:t>
            </w:r>
          </w:p>
        </w:tc>
        <w:tc>
          <w:tcPr>
            <w:tcW w:w="385" w:type="pct"/>
            <w:tcBorders>
              <w:top w:val="nil"/>
              <w:left w:val="nil"/>
              <w:bottom w:val="single" w:sz="12" w:space="0" w:color="000000"/>
              <w:right w:val="nil"/>
            </w:tcBorders>
          </w:tcPr>
          <w:p w:rsidR="00335CDF" w:rsidRPr="00CC65DE" w:rsidRDefault="00335CDF" w:rsidP="00CC65DE">
            <w:pPr>
              <w:pStyle w:val="TableParagraph"/>
              <w:jc w:val="center"/>
              <w:rPr>
                <w:rFonts w:ascii="Times New Roman" w:hAnsi="Times New Roman"/>
                <w:b/>
                <w:noProof/>
                <w:sz w:val="20"/>
                <w:szCs w:val="20"/>
              </w:rPr>
            </w:pPr>
            <w:r>
              <w:rPr>
                <w:rFonts w:ascii="Times New Roman" w:hAnsi="Times New Roman"/>
                <w:b/>
                <w:sz w:val="20"/>
                <w:szCs w:val="20"/>
              </w:rPr>
              <w:t>2028</w:t>
            </w:r>
          </w:p>
        </w:tc>
        <w:tc>
          <w:tcPr>
            <w:tcW w:w="385" w:type="pct"/>
            <w:tcBorders>
              <w:top w:val="nil"/>
              <w:left w:val="nil"/>
              <w:bottom w:val="single" w:sz="12" w:space="0" w:color="000000"/>
              <w:right w:val="nil"/>
            </w:tcBorders>
          </w:tcPr>
          <w:p w:rsidR="00335CDF" w:rsidRPr="00CC65DE" w:rsidRDefault="00335CDF" w:rsidP="00CC65DE">
            <w:pPr>
              <w:pStyle w:val="TableParagraph"/>
              <w:jc w:val="center"/>
              <w:rPr>
                <w:rFonts w:ascii="Times New Roman" w:hAnsi="Times New Roman"/>
                <w:b/>
                <w:noProof/>
                <w:sz w:val="20"/>
                <w:szCs w:val="20"/>
              </w:rPr>
            </w:pPr>
            <w:r>
              <w:rPr>
                <w:rFonts w:ascii="Times New Roman" w:hAnsi="Times New Roman"/>
                <w:b/>
                <w:sz w:val="20"/>
                <w:szCs w:val="20"/>
              </w:rPr>
              <w:t>2029</w:t>
            </w:r>
          </w:p>
        </w:tc>
        <w:tc>
          <w:tcPr>
            <w:tcW w:w="386" w:type="pct"/>
            <w:tcBorders>
              <w:top w:val="nil"/>
              <w:left w:val="nil"/>
              <w:bottom w:val="single" w:sz="12" w:space="0" w:color="000000"/>
              <w:right w:val="nil"/>
            </w:tcBorders>
          </w:tcPr>
          <w:p w:rsidR="00335CDF" w:rsidRPr="00CC65DE" w:rsidRDefault="00335CDF" w:rsidP="00CC65DE">
            <w:pPr>
              <w:pStyle w:val="TableParagraph"/>
              <w:jc w:val="center"/>
              <w:rPr>
                <w:rFonts w:ascii="Times New Roman" w:hAnsi="Times New Roman"/>
                <w:b/>
                <w:noProof/>
                <w:sz w:val="20"/>
                <w:szCs w:val="20"/>
              </w:rPr>
            </w:pPr>
            <w:r>
              <w:rPr>
                <w:rFonts w:ascii="Times New Roman" w:hAnsi="Times New Roman"/>
                <w:b/>
                <w:sz w:val="20"/>
                <w:szCs w:val="20"/>
              </w:rPr>
              <w:t>2030</w:t>
            </w:r>
          </w:p>
        </w:tc>
      </w:tr>
      <w:tr w:rsidR="001E6CF9" w:rsidRPr="00CC65DE" w:rsidTr="00CC65DE">
        <w:tc>
          <w:tcPr>
            <w:tcW w:w="1155" w:type="pct"/>
            <w:tcBorders>
              <w:top w:val="single" w:sz="12" w:space="0" w:color="000000"/>
              <w:left w:val="nil"/>
              <w:bottom w:val="single" w:sz="5" w:space="0" w:color="000000"/>
              <w:right w:val="nil"/>
            </w:tcBorders>
          </w:tcPr>
          <w:p w:rsidR="00335CDF" w:rsidRPr="00CC65DE" w:rsidRDefault="00335CDF" w:rsidP="00DE30DA">
            <w:pPr>
              <w:pStyle w:val="TableParagraph"/>
              <w:jc w:val="both"/>
              <w:rPr>
                <w:rFonts w:ascii="Times New Roman" w:hAnsi="Times New Roman"/>
                <w:noProof/>
                <w:sz w:val="20"/>
                <w:szCs w:val="20"/>
              </w:rPr>
            </w:pPr>
            <w:r>
              <w:rPr>
                <w:rFonts w:ascii="Times New Roman" w:hAnsi="Times New Roman"/>
                <w:sz w:val="20"/>
                <w:szCs w:val="20"/>
              </w:rPr>
              <w:t>Riska koeficients (</w:t>
            </w:r>
            <w:r>
              <w:rPr>
                <w:rFonts w:ascii="Times New Roman" w:hAnsi="Times New Roman"/>
                <w:i/>
                <w:sz w:val="20"/>
                <w:szCs w:val="20"/>
              </w:rPr>
              <w:t>CLEF</w:t>
            </w:r>
            <w:r>
              <w:rPr>
                <w:rFonts w:ascii="Times New Roman" w:hAnsi="Times New Roman"/>
                <w:sz w:val="20"/>
                <w:szCs w:val="20"/>
              </w:rPr>
              <w:t>), ja tiek uzskatīts, ka pastāv ievērojams oglekļa emisiju pārvirzes (</w:t>
            </w:r>
            <w:r>
              <w:rPr>
                <w:rFonts w:ascii="Times New Roman" w:hAnsi="Times New Roman"/>
                <w:i/>
                <w:sz w:val="20"/>
                <w:szCs w:val="20"/>
              </w:rPr>
              <w:t>CL</w:t>
            </w:r>
            <w:r>
              <w:rPr>
                <w:rFonts w:ascii="Times New Roman" w:hAnsi="Times New Roman"/>
                <w:sz w:val="20"/>
                <w:szCs w:val="20"/>
              </w:rPr>
              <w:t>) risks</w:t>
            </w:r>
          </w:p>
        </w:tc>
        <w:tc>
          <w:tcPr>
            <w:tcW w:w="378" w:type="pct"/>
            <w:tcBorders>
              <w:top w:val="single" w:sz="12"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1</w:t>
            </w:r>
          </w:p>
        </w:tc>
        <w:tc>
          <w:tcPr>
            <w:tcW w:w="385" w:type="pct"/>
            <w:tcBorders>
              <w:top w:val="single" w:sz="12"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1</w:t>
            </w:r>
          </w:p>
        </w:tc>
        <w:tc>
          <w:tcPr>
            <w:tcW w:w="385" w:type="pct"/>
            <w:tcBorders>
              <w:top w:val="single" w:sz="12"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1</w:t>
            </w:r>
          </w:p>
        </w:tc>
        <w:tc>
          <w:tcPr>
            <w:tcW w:w="385" w:type="pct"/>
            <w:tcBorders>
              <w:top w:val="single" w:sz="12"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1</w:t>
            </w:r>
          </w:p>
        </w:tc>
        <w:tc>
          <w:tcPr>
            <w:tcW w:w="385" w:type="pct"/>
            <w:tcBorders>
              <w:top w:val="single" w:sz="12"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1</w:t>
            </w:r>
          </w:p>
        </w:tc>
        <w:tc>
          <w:tcPr>
            <w:tcW w:w="385" w:type="pct"/>
            <w:tcBorders>
              <w:top w:val="single" w:sz="12"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1</w:t>
            </w:r>
          </w:p>
        </w:tc>
        <w:tc>
          <w:tcPr>
            <w:tcW w:w="385" w:type="pct"/>
            <w:tcBorders>
              <w:top w:val="single" w:sz="12"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1</w:t>
            </w:r>
          </w:p>
        </w:tc>
        <w:tc>
          <w:tcPr>
            <w:tcW w:w="385" w:type="pct"/>
            <w:tcBorders>
              <w:top w:val="single" w:sz="12"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1</w:t>
            </w:r>
          </w:p>
        </w:tc>
        <w:tc>
          <w:tcPr>
            <w:tcW w:w="385" w:type="pct"/>
            <w:tcBorders>
              <w:top w:val="single" w:sz="12"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1</w:t>
            </w:r>
          </w:p>
        </w:tc>
        <w:tc>
          <w:tcPr>
            <w:tcW w:w="386" w:type="pct"/>
            <w:tcBorders>
              <w:top w:val="single" w:sz="12"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1</w:t>
            </w:r>
          </w:p>
        </w:tc>
      </w:tr>
      <w:tr w:rsidR="001E6CF9" w:rsidRPr="00CC65DE" w:rsidTr="00CC65DE">
        <w:tc>
          <w:tcPr>
            <w:tcW w:w="1155" w:type="pct"/>
            <w:tcBorders>
              <w:top w:val="single" w:sz="5" w:space="0" w:color="000000"/>
              <w:left w:val="nil"/>
              <w:bottom w:val="single" w:sz="5" w:space="0" w:color="000000"/>
              <w:right w:val="nil"/>
            </w:tcBorders>
          </w:tcPr>
          <w:p w:rsidR="00335CDF" w:rsidRPr="00CC65DE" w:rsidRDefault="00335CDF" w:rsidP="00DE30DA">
            <w:pPr>
              <w:pStyle w:val="TableParagraph"/>
              <w:jc w:val="both"/>
              <w:rPr>
                <w:rFonts w:ascii="Times New Roman" w:hAnsi="Times New Roman"/>
                <w:noProof/>
                <w:sz w:val="20"/>
                <w:szCs w:val="20"/>
              </w:rPr>
            </w:pPr>
            <w:r>
              <w:rPr>
                <w:rFonts w:ascii="Times New Roman" w:hAnsi="Times New Roman"/>
                <w:i/>
                <w:sz w:val="20"/>
                <w:szCs w:val="20"/>
              </w:rPr>
              <w:t>CLEF</w:t>
            </w:r>
            <w:r>
              <w:rPr>
                <w:rFonts w:ascii="Times New Roman" w:hAnsi="Times New Roman"/>
                <w:sz w:val="20"/>
                <w:szCs w:val="20"/>
              </w:rPr>
              <w:t xml:space="preserve">, ja tiek uzskaitīts, ka nepastāv ievērojams </w:t>
            </w:r>
            <w:r>
              <w:rPr>
                <w:rFonts w:ascii="Times New Roman" w:hAnsi="Times New Roman"/>
                <w:i/>
                <w:sz w:val="20"/>
                <w:szCs w:val="20"/>
              </w:rPr>
              <w:t>CL</w:t>
            </w:r>
            <w:r>
              <w:rPr>
                <w:rFonts w:ascii="Times New Roman" w:hAnsi="Times New Roman"/>
                <w:sz w:val="20"/>
                <w:szCs w:val="20"/>
              </w:rPr>
              <w:t xml:space="preserve"> risks</w:t>
            </w:r>
          </w:p>
        </w:tc>
        <w:tc>
          <w:tcPr>
            <w:tcW w:w="378" w:type="pct"/>
            <w:tcBorders>
              <w:top w:val="single" w:sz="5"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0,225</w:t>
            </w:r>
          </w:p>
        </w:tc>
        <w:tc>
          <w:tcPr>
            <w:tcW w:w="385" w:type="pct"/>
            <w:tcBorders>
              <w:top w:val="single" w:sz="5"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0,150</w:t>
            </w:r>
          </w:p>
        </w:tc>
        <w:tc>
          <w:tcPr>
            <w:tcW w:w="385" w:type="pct"/>
            <w:tcBorders>
              <w:top w:val="single" w:sz="5"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0,075</w:t>
            </w:r>
          </w:p>
        </w:tc>
        <w:tc>
          <w:tcPr>
            <w:tcW w:w="386" w:type="pct"/>
            <w:tcBorders>
              <w:top w:val="single" w:sz="5" w:space="0" w:color="000000"/>
              <w:left w:val="nil"/>
              <w:bottom w:val="single" w:sz="5"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w:t>
            </w:r>
          </w:p>
        </w:tc>
      </w:tr>
      <w:tr w:rsidR="00335CDF" w:rsidRPr="00CC65DE" w:rsidTr="00CC65DE">
        <w:tc>
          <w:tcPr>
            <w:tcW w:w="1155" w:type="pct"/>
            <w:tcBorders>
              <w:top w:val="single" w:sz="5" w:space="0" w:color="000000"/>
              <w:left w:val="nil"/>
              <w:bottom w:val="single" w:sz="12" w:space="0" w:color="000000"/>
              <w:right w:val="nil"/>
            </w:tcBorders>
          </w:tcPr>
          <w:p w:rsidR="00335CDF" w:rsidRPr="00CC65DE" w:rsidRDefault="00335CDF" w:rsidP="00DE30DA">
            <w:pPr>
              <w:pStyle w:val="TableParagraph"/>
              <w:jc w:val="both"/>
              <w:rPr>
                <w:rFonts w:ascii="Times New Roman" w:hAnsi="Times New Roman"/>
                <w:noProof/>
                <w:sz w:val="20"/>
                <w:szCs w:val="20"/>
              </w:rPr>
            </w:pPr>
            <w:r>
              <w:rPr>
                <w:rFonts w:ascii="Times New Roman" w:hAnsi="Times New Roman"/>
                <w:i/>
                <w:sz w:val="20"/>
                <w:szCs w:val="20"/>
              </w:rPr>
              <w:t>CLEF</w:t>
            </w:r>
            <w:r>
              <w:rPr>
                <w:rFonts w:ascii="Times New Roman" w:hAnsi="Times New Roman"/>
                <w:sz w:val="20"/>
                <w:szCs w:val="20"/>
              </w:rPr>
              <w:t xml:space="preserve"> centralizētajai siltumapgādei</w:t>
            </w:r>
          </w:p>
        </w:tc>
        <w:tc>
          <w:tcPr>
            <w:tcW w:w="378" w:type="pct"/>
            <w:tcBorders>
              <w:top w:val="single" w:sz="5" w:space="0" w:color="000000"/>
              <w:left w:val="nil"/>
              <w:bottom w:val="single" w:sz="12"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12"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12"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12"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12"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12"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12"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12"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5" w:type="pct"/>
            <w:tcBorders>
              <w:top w:val="single" w:sz="5" w:space="0" w:color="000000"/>
              <w:left w:val="nil"/>
              <w:bottom w:val="single" w:sz="12"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c>
          <w:tcPr>
            <w:tcW w:w="386" w:type="pct"/>
            <w:tcBorders>
              <w:top w:val="single" w:sz="5" w:space="0" w:color="000000"/>
              <w:left w:val="nil"/>
              <w:bottom w:val="single" w:sz="12" w:space="0" w:color="000000"/>
              <w:right w:val="nil"/>
            </w:tcBorders>
          </w:tcPr>
          <w:p w:rsidR="00335CDF" w:rsidRPr="00CC65DE" w:rsidRDefault="00335CDF" w:rsidP="00CC65DE">
            <w:pPr>
              <w:pStyle w:val="TableParagraph"/>
              <w:jc w:val="center"/>
              <w:rPr>
                <w:rFonts w:ascii="Times New Roman" w:hAnsi="Times New Roman"/>
                <w:noProof/>
                <w:sz w:val="20"/>
                <w:szCs w:val="20"/>
              </w:rPr>
            </w:pPr>
            <w:r>
              <w:rPr>
                <w:rFonts w:ascii="Times New Roman" w:hAnsi="Times New Roman"/>
                <w:sz w:val="20"/>
                <w:szCs w:val="20"/>
              </w:rPr>
              <w:t>0,300</w:t>
            </w:r>
          </w:p>
        </w:tc>
      </w:tr>
    </w:tbl>
    <w:p w:rsidR="00335CDF" w:rsidRPr="001E6CF9" w:rsidRDefault="00335CDF" w:rsidP="00DE30DA">
      <w:pPr>
        <w:jc w:val="both"/>
        <w:rPr>
          <w:rFonts w:ascii="Times New Roman" w:eastAsia="Calibri" w:hAnsi="Times New Roman" w:cs="Calibri"/>
          <w:b/>
          <w:bCs/>
          <w:noProof/>
          <w:sz w:val="24"/>
          <w:szCs w:val="18"/>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Pēc tam, kad ticis piemērots oglekļa emisiju pārvirzes riska koeficients, var piemērot starpsektoru korekcijas koeficientu vai lineāro samazinājuma koeficientu.</w:t>
      </w:r>
    </w:p>
    <w:p w:rsidR="00335CDF" w:rsidRPr="001E6CF9" w:rsidRDefault="00335CDF" w:rsidP="00DE30DA">
      <w:pPr>
        <w:jc w:val="both"/>
        <w:rPr>
          <w:rFonts w:ascii="Times New Roman" w:eastAsia="Calibri" w:hAnsi="Times New Roman" w:cs="Calibri"/>
          <w:noProof/>
          <w:sz w:val="24"/>
          <w:szCs w:val="18"/>
        </w:rPr>
      </w:pPr>
    </w:p>
    <w:p w:rsidR="00335CDF" w:rsidRPr="001E6CF9" w:rsidRDefault="00CC65DE" w:rsidP="00CC65DE">
      <w:pPr>
        <w:pStyle w:val="Heading3"/>
        <w:tabs>
          <w:tab w:val="left" w:pos="839"/>
        </w:tabs>
        <w:ind w:left="0" w:firstLine="0"/>
        <w:jc w:val="both"/>
        <w:rPr>
          <w:rFonts w:ascii="Times New Roman" w:hAnsi="Times New Roman"/>
          <w:noProof/>
        </w:rPr>
      </w:pPr>
      <w:bookmarkStart w:id="42" w:name="_Toc31010893"/>
      <w:r>
        <w:rPr>
          <w:rFonts w:ascii="Times New Roman" w:hAnsi="Times New Roman"/>
        </w:rPr>
        <w:t>5.3.2. Starpsektoru korekcijas koeficients</w:t>
      </w:r>
      <w:bookmarkStart w:id="43" w:name="_bookmark25"/>
      <w:bookmarkEnd w:id="43"/>
      <w:bookmarkEnd w:id="42"/>
    </w:p>
    <w:p w:rsidR="00CC65DE" w:rsidRDefault="00CC65DE" w:rsidP="00DE30DA">
      <w:pPr>
        <w:pStyle w:val="BodyText"/>
        <w:ind w:left="0"/>
        <w:jc w:val="both"/>
        <w:rPr>
          <w:rFonts w:ascii="Times New Roman" w:hAnsi="Times New Roman"/>
          <w:noProof/>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Visām iekārtām, kuras var pretendēt uz bezmaksas kvotām saskaņā ar pārskatītās direktīvas 10.a pantu, nepieciešamības gadījumā ir jāpiemēro</w:t>
      </w:r>
      <w:r w:rsidR="00CC65DE">
        <w:rPr>
          <w:rStyle w:val="FootnoteReference"/>
          <w:rFonts w:ascii="Times New Roman" w:hAnsi="Times New Roman" w:cs="Calibri"/>
          <w:noProof/>
        </w:rPr>
        <w:footnoteReference w:id="30"/>
      </w:r>
      <w:r>
        <w:rPr>
          <w:rFonts w:ascii="Times New Roman" w:hAnsi="Times New Roman"/>
        </w:rPr>
        <w:t xml:space="preserve"> starpsektoru korekcijas koeficients. Tostarp šādas iekārtas ir ģeneratori, kas neražo elektroenerģiju, kā arī elektroenerģijas ražošanas iekārtas, kas var pretendēt uz bezmaksas kvotām saskaņā ar 10.a panta 4. punktu, t. i., augstas efektivitātes </w:t>
      </w:r>
      <w:r>
        <w:rPr>
          <w:rFonts w:ascii="Times New Roman" w:hAnsi="Times New Roman"/>
          <w:i/>
        </w:rPr>
        <w:t>CHP</w:t>
      </w:r>
      <w:r>
        <w:rPr>
          <w:rFonts w:ascii="Times New Roman" w:hAnsi="Times New Roman"/>
        </w:rPr>
        <w:t xml:space="preserve"> un centralizētās siltumapgādes iekārtas.</w:t>
      </w:r>
    </w:p>
    <w:p w:rsidR="00335CDF" w:rsidRPr="001E6CF9" w:rsidRDefault="00335CDF" w:rsidP="00DE30DA">
      <w:pPr>
        <w:jc w:val="both"/>
        <w:rPr>
          <w:rFonts w:ascii="Times New Roman" w:hAnsi="Times New Roman"/>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Starpsektoru korekcijas koeficients var būt nepieciešams, lai nodrošinātu, ka kopējais bez maksas piešķiramo kvotu apjoms nepārsniedz bez maksas piešķiramo kvotu maksimālo apjomu saskaņā ar ETS direktīvas 10.a panta 5. punktu un 10.a panta 5.a punktu</w:t>
      </w:r>
      <w:r w:rsidR="00CC65DE">
        <w:rPr>
          <w:rStyle w:val="FootnoteReference"/>
          <w:rFonts w:ascii="Times New Roman" w:hAnsi="Times New Roman" w:cs="Calibri"/>
          <w:noProof/>
        </w:rPr>
        <w:footnoteReference w:id="31"/>
      </w:r>
      <w:r>
        <w:rPr>
          <w:rFonts w:ascii="Times New Roman" w:hAnsi="Times New Roman"/>
        </w:rPr>
        <w:t>. Tādēļ provizoriskais bez maksas piešķiramo kvotu apjoms var atšķirties no galīgā bez maksas piešķiramo kvotu apjoma, ko saņemtu operatori.</w:t>
      </w:r>
    </w:p>
    <w:p w:rsidR="00335CDF" w:rsidRPr="001E6CF9" w:rsidRDefault="00335CDF" w:rsidP="00DE30DA">
      <w:pPr>
        <w:jc w:val="both"/>
        <w:rPr>
          <w:rFonts w:ascii="Times New Roman" w:hAnsi="Times New Roman"/>
          <w:noProof/>
          <w:sz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To, vai starpsektoru korekcijas koeficients ir nepieciešams, un – attiecīgos gadījumos – tā vērtību noteiks Komisija pēc informācijas par visiem </w:t>
      </w:r>
      <w:r>
        <w:rPr>
          <w:rFonts w:ascii="Times New Roman" w:hAnsi="Times New Roman"/>
          <w:i/>
        </w:rPr>
        <w:t>NIM</w:t>
      </w:r>
      <w:r>
        <w:rPr>
          <w:rFonts w:ascii="Times New Roman" w:hAnsi="Times New Roman"/>
        </w:rPr>
        <w:t xml:space="preserve"> saņemšanas, ņemot vērā provizorisko bez maksas piešķiramo kvotu apjomu, izmantojot atjauninātās līmeņatzīmju vērtības un piemērojot attiecīgo oglekļa emisiju pārvirzes koeficientu. Ja tiktu piemērots starpsektoru korekcijas koeficients, tas būtu identisks visām esošajām iekārtām. SSKK netiek piemērots jaunām iekārtām. Nepieciešamība šo koeficientu izmantot un tā vērtība dažādos ceturtā tirdzniecības perioda gados var būt atšķirīga.</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jc w:val="both"/>
        <w:rPr>
          <w:rFonts w:ascii="Times New Roman" w:hAnsi="Times New Roman"/>
          <w:i/>
          <w:noProof/>
          <w:sz w:val="24"/>
        </w:rPr>
      </w:pPr>
      <w:r>
        <w:rPr>
          <w:rFonts w:ascii="Times New Roman" w:hAnsi="Times New Roman"/>
          <w:i/>
          <w:sz w:val="24"/>
        </w:rPr>
        <w:t>Vienādojumus, kurus izmanto, piemērojot starpsektoru korekcijas koeficientu, sk. šā norādījumu dokumenta 2. iedaļā un Norādījumu dokumenta Nr. 2 4. iedaļā.</w:t>
      </w:r>
    </w:p>
    <w:p w:rsidR="002D1611" w:rsidRDefault="002D1611">
      <w:pPr>
        <w:rPr>
          <w:rFonts w:ascii="Times New Roman" w:eastAsia="Calibri" w:hAnsi="Times New Roman" w:cs="Calibri"/>
          <w:i/>
          <w:noProof/>
          <w:sz w:val="24"/>
          <w:szCs w:val="19"/>
        </w:rPr>
      </w:pPr>
      <w:r>
        <w:rPr>
          <w:rFonts w:ascii="Times New Roman" w:eastAsia="Calibri" w:hAnsi="Times New Roman" w:cs="Calibri"/>
          <w:i/>
          <w:noProof/>
          <w:sz w:val="24"/>
          <w:szCs w:val="19"/>
        </w:rPr>
        <w:br w:type="page"/>
      </w:r>
    </w:p>
    <w:p w:rsidR="00335CDF" w:rsidRPr="001E6CF9" w:rsidRDefault="00335CDF" w:rsidP="00DE30DA">
      <w:pPr>
        <w:jc w:val="both"/>
        <w:rPr>
          <w:rFonts w:ascii="Times New Roman" w:eastAsia="Calibri" w:hAnsi="Times New Roman" w:cs="Calibri"/>
          <w:i/>
          <w:noProof/>
          <w:sz w:val="24"/>
          <w:szCs w:val="19"/>
        </w:rPr>
      </w:pPr>
    </w:p>
    <w:p w:rsidR="00335CDF" w:rsidRPr="001E6CF9" w:rsidRDefault="00CC65DE" w:rsidP="00CC65DE">
      <w:pPr>
        <w:pStyle w:val="Heading3"/>
        <w:tabs>
          <w:tab w:val="left" w:pos="839"/>
        </w:tabs>
        <w:ind w:left="0" w:firstLine="0"/>
        <w:jc w:val="both"/>
        <w:rPr>
          <w:rFonts w:ascii="Times New Roman" w:hAnsi="Times New Roman"/>
          <w:noProof/>
        </w:rPr>
      </w:pPr>
      <w:bookmarkStart w:id="44" w:name="_Toc31010894"/>
      <w:r>
        <w:rPr>
          <w:rFonts w:ascii="Times New Roman" w:hAnsi="Times New Roman"/>
        </w:rPr>
        <w:t>5.3.3. Lineārais samazinājuma koeficients</w:t>
      </w:r>
      <w:bookmarkStart w:id="45" w:name="_bookmark26"/>
      <w:bookmarkEnd w:id="45"/>
      <w:bookmarkEnd w:id="44"/>
    </w:p>
    <w:p w:rsidR="00CC65DE" w:rsidRDefault="00CC65DE" w:rsidP="00DE30DA">
      <w:pPr>
        <w:pStyle w:val="BodyText"/>
        <w:ind w:left="0"/>
        <w:jc w:val="both"/>
        <w:rPr>
          <w:rFonts w:ascii="Times New Roman" w:hAnsi="Times New Roman"/>
          <w:noProof/>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Saskaņā ar pārskatītās direktīvas 9. pantu kopējais bez maksas izdoto kvotu apjoms lineāri samazinās, piemērojot koeficientu 2,2 %, katru gadu, sākot no 2021. gada. Tādēļ jaunām iekārtām provizoriskais kopējais ikgadējais piešķiramo emisijas kvotu apjoms tiks samazināts katru gadu 2,2 % apmērā no provizoriskā kopējā ikgadējā piešķiramo kvotu apjoma, un katra kvotu piešķiršanas perioda pirmais gads būs atskaites gads. Elektroenerģijas ražošanas iekārtām, kas var pretendēt uz kvotu bezmaksas piešķiršanu (centralizētā siltumapgāde, augstas efektivitātes </w:t>
      </w:r>
      <w:r>
        <w:rPr>
          <w:rFonts w:ascii="Times New Roman" w:hAnsi="Times New Roman"/>
          <w:i/>
        </w:rPr>
        <w:t>CHP</w:t>
      </w:r>
      <w:r>
        <w:rPr>
          <w:rFonts w:ascii="Times New Roman" w:hAnsi="Times New Roman"/>
        </w:rPr>
        <w:t>), LSK tiek piemērots vienīgi gadījumā, ja attiecīgā gadā netiek piemērots SSKK (pārskatītās direktīvas 10.a panta 4. punkts). LSK netiek piemērots citu esošo iekārtu provizoriskajam piešķiramo kvotu apjomam.</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8. tabulā norādītas LSK vērtības, ko piemēro katrā 4. perioda gadā, katrā no kvotu piešķiršanas periodiem nošķirot elektroenerģijas ražošanas iekārtas un jaunas iekārtas.</w:t>
      </w:r>
    </w:p>
    <w:p w:rsidR="00335CDF" w:rsidRPr="001E6CF9" w:rsidRDefault="00335CDF" w:rsidP="00DE30DA">
      <w:pPr>
        <w:jc w:val="both"/>
        <w:rPr>
          <w:rFonts w:ascii="Times New Roman" w:eastAsia="Calibri" w:hAnsi="Times New Roman" w:cs="Calibri"/>
          <w:noProof/>
          <w:sz w:val="24"/>
          <w:szCs w:val="20"/>
        </w:rPr>
      </w:pPr>
    </w:p>
    <w:p w:rsidR="00335CDF" w:rsidRDefault="00335CDF" w:rsidP="00DE30DA">
      <w:pPr>
        <w:jc w:val="both"/>
        <w:rPr>
          <w:rFonts w:ascii="Times New Roman" w:hAnsi="Times New Roman"/>
          <w:b/>
          <w:noProof/>
          <w:sz w:val="24"/>
        </w:rPr>
      </w:pPr>
      <w:r>
        <w:rPr>
          <w:rFonts w:ascii="Times New Roman" w:hAnsi="Times New Roman"/>
          <w:b/>
          <w:sz w:val="24"/>
        </w:rPr>
        <w:t>8. tabula. Lineārā samazinājuma koeficienta vērtības katram gadam</w:t>
      </w:r>
      <w:bookmarkStart w:id="46" w:name="_bookmark27"/>
      <w:bookmarkEnd w:id="46"/>
    </w:p>
    <w:p w:rsidR="00CC65DE" w:rsidRPr="001E6CF9" w:rsidRDefault="00CC65DE" w:rsidP="00DE30DA">
      <w:pPr>
        <w:jc w:val="both"/>
        <w:rPr>
          <w:rFonts w:ascii="Times New Roman" w:hAnsi="Times New Roman"/>
          <w:b/>
          <w:noProof/>
          <w:sz w:val="24"/>
        </w:r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2499"/>
        <w:gridCol w:w="2160"/>
        <w:gridCol w:w="2590"/>
      </w:tblGrid>
      <w:tr w:rsidR="00CC65DE" w:rsidRPr="001E6CF9" w:rsidTr="00CC65DE">
        <w:tc>
          <w:tcPr>
            <w:tcW w:w="1009" w:type="pct"/>
          </w:tcPr>
          <w:p w:rsidR="00CC65DE" w:rsidRPr="001E6CF9" w:rsidRDefault="00CC65DE" w:rsidP="00CC65DE">
            <w:pPr>
              <w:pStyle w:val="TableParagraph"/>
              <w:jc w:val="center"/>
              <w:rPr>
                <w:rFonts w:ascii="Times New Roman" w:hAnsi="Times New Roman"/>
                <w:b/>
                <w:noProof/>
                <w:sz w:val="24"/>
              </w:rPr>
            </w:pPr>
            <w:r>
              <w:rPr>
                <w:rFonts w:ascii="Times New Roman" w:hAnsi="Times New Roman"/>
                <w:b/>
                <w:sz w:val="24"/>
              </w:rPr>
              <w:t>Gads</w:t>
            </w:r>
          </w:p>
        </w:tc>
        <w:tc>
          <w:tcPr>
            <w:tcW w:w="3991" w:type="pct"/>
            <w:gridSpan w:val="3"/>
          </w:tcPr>
          <w:p w:rsidR="00CC65DE" w:rsidRPr="001E6CF9" w:rsidRDefault="00CC65DE" w:rsidP="00CC65DE">
            <w:pPr>
              <w:pStyle w:val="TableParagraph"/>
              <w:jc w:val="center"/>
              <w:rPr>
                <w:rFonts w:ascii="Times New Roman" w:hAnsi="Times New Roman"/>
                <w:b/>
                <w:noProof/>
                <w:sz w:val="24"/>
              </w:rPr>
            </w:pPr>
            <w:r>
              <w:rPr>
                <w:rFonts w:ascii="Times New Roman" w:hAnsi="Times New Roman"/>
                <w:b/>
                <w:sz w:val="24"/>
              </w:rPr>
              <w:t>Lineārais samazinājuma koeficients</w:t>
            </w:r>
          </w:p>
        </w:tc>
      </w:tr>
      <w:tr w:rsidR="001E6CF9" w:rsidRPr="001E6CF9" w:rsidTr="00CC65DE">
        <w:tc>
          <w:tcPr>
            <w:tcW w:w="1009" w:type="pct"/>
          </w:tcPr>
          <w:p w:rsidR="00335CDF" w:rsidRPr="001E6CF9" w:rsidRDefault="00335CDF" w:rsidP="00CC65DE">
            <w:pPr>
              <w:jc w:val="center"/>
              <w:rPr>
                <w:rFonts w:ascii="Times New Roman" w:hAnsi="Times New Roman"/>
                <w:noProof/>
                <w:sz w:val="24"/>
              </w:rPr>
            </w:pPr>
          </w:p>
        </w:tc>
        <w:tc>
          <w:tcPr>
            <w:tcW w:w="1376" w:type="pct"/>
          </w:tcPr>
          <w:p w:rsidR="00335CDF" w:rsidRPr="001E6CF9" w:rsidRDefault="00335CDF" w:rsidP="00CC65DE">
            <w:pPr>
              <w:pStyle w:val="TableParagraph"/>
              <w:jc w:val="center"/>
              <w:rPr>
                <w:rFonts w:ascii="Times New Roman" w:hAnsi="Times New Roman"/>
                <w:noProof/>
                <w:sz w:val="24"/>
              </w:rPr>
            </w:pPr>
            <w:r>
              <w:rPr>
                <w:rFonts w:ascii="Times New Roman" w:hAnsi="Times New Roman"/>
                <w:sz w:val="24"/>
              </w:rPr>
              <w:t>Elektroenerģijas ražošanas iekārtas</w:t>
            </w:r>
          </w:p>
        </w:tc>
        <w:tc>
          <w:tcPr>
            <w:tcW w:w="2615" w:type="pct"/>
            <w:gridSpan w:val="2"/>
          </w:tcPr>
          <w:p w:rsidR="00335CDF" w:rsidRPr="001E6CF9" w:rsidRDefault="00335CDF" w:rsidP="00CC65DE">
            <w:pPr>
              <w:pStyle w:val="TableParagraph"/>
              <w:jc w:val="center"/>
              <w:rPr>
                <w:rFonts w:ascii="Times New Roman" w:hAnsi="Times New Roman"/>
                <w:noProof/>
                <w:sz w:val="24"/>
              </w:rPr>
            </w:pPr>
            <w:r>
              <w:rPr>
                <w:rFonts w:ascii="Times New Roman" w:hAnsi="Times New Roman"/>
                <w:sz w:val="24"/>
              </w:rPr>
              <w:t>Jaunas iekārtas</w:t>
            </w:r>
          </w:p>
        </w:tc>
      </w:tr>
      <w:tr w:rsidR="00CC65DE" w:rsidRPr="001E6CF9" w:rsidTr="00CC65DE">
        <w:tc>
          <w:tcPr>
            <w:tcW w:w="100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2021</w:t>
            </w:r>
          </w:p>
        </w:tc>
        <w:tc>
          <w:tcPr>
            <w:tcW w:w="137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0,8562</w:t>
            </w:r>
          </w:p>
        </w:tc>
        <w:tc>
          <w:tcPr>
            <w:tcW w:w="118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1,000</w:t>
            </w:r>
          </w:p>
        </w:tc>
        <w:tc>
          <w:tcPr>
            <w:tcW w:w="1426" w:type="pct"/>
          </w:tcPr>
          <w:p w:rsidR="00CC65DE" w:rsidRPr="001E6CF9" w:rsidRDefault="00CC65DE" w:rsidP="00CC65DE">
            <w:pPr>
              <w:pStyle w:val="TableParagraph"/>
              <w:jc w:val="center"/>
              <w:rPr>
                <w:rFonts w:ascii="Times New Roman" w:hAnsi="Times New Roman"/>
                <w:noProof/>
                <w:sz w:val="24"/>
              </w:rPr>
            </w:pPr>
          </w:p>
        </w:tc>
      </w:tr>
      <w:tr w:rsidR="00CC65DE" w:rsidRPr="001E6CF9" w:rsidTr="00CC65DE">
        <w:tc>
          <w:tcPr>
            <w:tcW w:w="100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2022</w:t>
            </w:r>
          </w:p>
        </w:tc>
        <w:tc>
          <w:tcPr>
            <w:tcW w:w="137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0,8342</w:t>
            </w:r>
          </w:p>
        </w:tc>
        <w:tc>
          <w:tcPr>
            <w:tcW w:w="118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0,9780</w:t>
            </w:r>
          </w:p>
        </w:tc>
        <w:tc>
          <w:tcPr>
            <w:tcW w:w="1426" w:type="pct"/>
          </w:tcPr>
          <w:p w:rsidR="00CC65DE" w:rsidRPr="001E6CF9" w:rsidRDefault="00CC65DE" w:rsidP="00CC65DE">
            <w:pPr>
              <w:pStyle w:val="TableParagraph"/>
              <w:jc w:val="center"/>
              <w:rPr>
                <w:rFonts w:ascii="Times New Roman" w:hAnsi="Times New Roman"/>
                <w:noProof/>
                <w:sz w:val="24"/>
              </w:rPr>
            </w:pPr>
          </w:p>
        </w:tc>
      </w:tr>
      <w:tr w:rsidR="00CC65DE" w:rsidRPr="001E6CF9" w:rsidTr="00CC65DE">
        <w:tc>
          <w:tcPr>
            <w:tcW w:w="100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2023</w:t>
            </w:r>
          </w:p>
        </w:tc>
        <w:tc>
          <w:tcPr>
            <w:tcW w:w="137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0,8122</w:t>
            </w:r>
          </w:p>
        </w:tc>
        <w:tc>
          <w:tcPr>
            <w:tcW w:w="118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0,9560</w:t>
            </w:r>
          </w:p>
        </w:tc>
        <w:tc>
          <w:tcPr>
            <w:tcW w:w="1426" w:type="pct"/>
          </w:tcPr>
          <w:p w:rsidR="00CC65DE" w:rsidRPr="001E6CF9" w:rsidRDefault="00CC65DE" w:rsidP="00CC65DE">
            <w:pPr>
              <w:pStyle w:val="TableParagraph"/>
              <w:jc w:val="center"/>
              <w:rPr>
                <w:rFonts w:ascii="Times New Roman" w:hAnsi="Times New Roman"/>
                <w:noProof/>
                <w:sz w:val="24"/>
              </w:rPr>
            </w:pPr>
          </w:p>
        </w:tc>
      </w:tr>
      <w:tr w:rsidR="00CC65DE" w:rsidRPr="001E6CF9" w:rsidTr="00CC65DE">
        <w:tc>
          <w:tcPr>
            <w:tcW w:w="100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2024</w:t>
            </w:r>
          </w:p>
        </w:tc>
        <w:tc>
          <w:tcPr>
            <w:tcW w:w="137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0,7902</w:t>
            </w:r>
          </w:p>
        </w:tc>
        <w:tc>
          <w:tcPr>
            <w:tcW w:w="118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0,9340</w:t>
            </w:r>
          </w:p>
        </w:tc>
        <w:tc>
          <w:tcPr>
            <w:tcW w:w="1426" w:type="pct"/>
          </w:tcPr>
          <w:p w:rsidR="00CC65DE" w:rsidRPr="001E6CF9" w:rsidRDefault="00CC65DE" w:rsidP="00CC65DE">
            <w:pPr>
              <w:pStyle w:val="TableParagraph"/>
              <w:jc w:val="center"/>
              <w:rPr>
                <w:rFonts w:ascii="Times New Roman" w:hAnsi="Times New Roman"/>
                <w:noProof/>
                <w:sz w:val="24"/>
              </w:rPr>
            </w:pPr>
          </w:p>
        </w:tc>
      </w:tr>
      <w:tr w:rsidR="00CC65DE" w:rsidRPr="001E6CF9" w:rsidTr="00CC65DE">
        <w:tc>
          <w:tcPr>
            <w:tcW w:w="100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2025</w:t>
            </w:r>
          </w:p>
        </w:tc>
        <w:tc>
          <w:tcPr>
            <w:tcW w:w="137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0,7682</w:t>
            </w:r>
          </w:p>
        </w:tc>
        <w:tc>
          <w:tcPr>
            <w:tcW w:w="118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0,9120</w:t>
            </w:r>
          </w:p>
        </w:tc>
        <w:tc>
          <w:tcPr>
            <w:tcW w:w="1426" w:type="pct"/>
          </w:tcPr>
          <w:p w:rsidR="00CC65DE" w:rsidRPr="001E6CF9" w:rsidRDefault="00CC65DE" w:rsidP="00CC65DE">
            <w:pPr>
              <w:pStyle w:val="TableParagraph"/>
              <w:jc w:val="center"/>
              <w:rPr>
                <w:rFonts w:ascii="Times New Roman" w:hAnsi="Times New Roman"/>
                <w:noProof/>
                <w:sz w:val="24"/>
              </w:rPr>
            </w:pPr>
          </w:p>
        </w:tc>
      </w:tr>
      <w:tr w:rsidR="00CC65DE" w:rsidRPr="001E6CF9" w:rsidTr="00CC65DE">
        <w:tc>
          <w:tcPr>
            <w:tcW w:w="100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2026</w:t>
            </w:r>
          </w:p>
        </w:tc>
        <w:tc>
          <w:tcPr>
            <w:tcW w:w="137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0,7462</w:t>
            </w:r>
          </w:p>
        </w:tc>
        <w:tc>
          <w:tcPr>
            <w:tcW w:w="1189" w:type="pct"/>
          </w:tcPr>
          <w:p w:rsidR="00CC65DE" w:rsidRPr="001E6CF9" w:rsidRDefault="00CC65DE" w:rsidP="00CC65DE">
            <w:pPr>
              <w:pStyle w:val="TableParagraph"/>
              <w:jc w:val="center"/>
              <w:rPr>
                <w:rFonts w:ascii="Times New Roman" w:hAnsi="Times New Roman"/>
                <w:noProof/>
                <w:sz w:val="24"/>
              </w:rPr>
            </w:pPr>
          </w:p>
        </w:tc>
        <w:tc>
          <w:tcPr>
            <w:tcW w:w="142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1,000</w:t>
            </w:r>
          </w:p>
        </w:tc>
      </w:tr>
      <w:tr w:rsidR="00CC65DE" w:rsidRPr="001E6CF9" w:rsidTr="00CC65DE">
        <w:tc>
          <w:tcPr>
            <w:tcW w:w="100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2027</w:t>
            </w:r>
          </w:p>
        </w:tc>
        <w:tc>
          <w:tcPr>
            <w:tcW w:w="137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0,7242</w:t>
            </w:r>
          </w:p>
        </w:tc>
        <w:tc>
          <w:tcPr>
            <w:tcW w:w="1189" w:type="pct"/>
          </w:tcPr>
          <w:p w:rsidR="00CC65DE" w:rsidRPr="001E6CF9" w:rsidRDefault="00CC65DE" w:rsidP="00CC65DE">
            <w:pPr>
              <w:pStyle w:val="TableParagraph"/>
              <w:jc w:val="center"/>
              <w:rPr>
                <w:rFonts w:ascii="Times New Roman" w:hAnsi="Times New Roman"/>
                <w:noProof/>
                <w:sz w:val="24"/>
              </w:rPr>
            </w:pPr>
          </w:p>
        </w:tc>
        <w:tc>
          <w:tcPr>
            <w:tcW w:w="142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0,9780</w:t>
            </w:r>
          </w:p>
        </w:tc>
      </w:tr>
      <w:tr w:rsidR="00CC65DE" w:rsidRPr="001E6CF9" w:rsidTr="00CC65DE">
        <w:tc>
          <w:tcPr>
            <w:tcW w:w="100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2028</w:t>
            </w:r>
          </w:p>
        </w:tc>
        <w:tc>
          <w:tcPr>
            <w:tcW w:w="137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0,7022</w:t>
            </w:r>
          </w:p>
        </w:tc>
        <w:tc>
          <w:tcPr>
            <w:tcW w:w="1189" w:type="pct"/>
          </w:tcPr>
          <w:p w:rsidR="00CC65DE" w:rsidRPr="001E6CF9" w:rsidRDefault="00CC65DE" w:rsidP="00CC65DE">
            <w:pPr>
              <w:pStyle w:val="TableParagraph"/>
              <w:jc w:val="center"/>
              <w:rPr>
                <w:rFonts w:ascii="Times New Roman" w:hAnsi="Times New Roman"/>
                <w:noProof/>
                <w:sz w:val="24"/>
              </w:rPr>
            </w:pPr>
          </w:p>
        </w:tc>
        <w:tc>
          <w:tcPr>
            <w:tcW w:w="142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0,9560</w:t>
            </w:r>
          </w:p>
        </w:tc>
      </w:tr>
      <w:tr w:rsidR="00CC65DE" w:rsidRPr="001E6CF9" w:rsidTr="00CC65DE">
        <w:tc>
          <w:tcPr>
            <w:tcW w:w="100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2029</w:t>
            </w:r>
          </w:p>
        </w:tc>
        <w:tc>
          <w:tcPr>
            <w:tcW w:w="137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0,6802</w:t>
            </w:r>
          </w:p>
        </w:tc>
        <w:tc>
          <w:tcPr>
            <w:tcW w:w="1189" w:type="pct"/>
          </w:tcPr>
          <w:p w:rsidR="00CC65DE" w:rsidRPr="001E6CF9" w:rsidRDefault="00CC65DE" w:rsidP="00CC65DE">
            <w:pPr>
              <w:pStyle w:val="TableParagraph"/>
              <w:jc w:val="center"/>
              <w:rPr>
                <w:rFonts w:ascii="Times New Roman" w:hAnsi="Times New Roman"/>
                <w:noProof/>
                <w:sz w:val="24"/>
              </w:rPr>
            </w:pPr>
          </w:p>
        </w:tc>
        <w:tc>
          <w:tcPr>
            <w:tcW w:w="142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0,9340</w:t>
            </w:r>
          </w:p>
        </w:tc>
      </w:tr>
      <w:tr w:rsidR="00CC65DE" w:rsidRPr="001E6CF9" w:rsidTr="00CC65DE">
        <w:tc>
          <w:tcPr>
            <w:tcW w:w="1009"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2030</w:t>
            </w:r>
          </w:p>
        </w:tc>
        <w:tc>
          <w:tcPr>
            <w:tcW w:w="137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0,6582</w:t>
            </w:r>
          </w:p>
        </w:tc>
        <w:tc>
          <w:tcPr>
            <w:tcW w:w="1189" w:type="pct"/>
          </w:tcPr>
          <w:p w:rsidR="00CC65DE" w:rsidRPr="001E6CF9" w:rsidRDefault="00CC65DE" w:rsidP="00CC65DE">
            <w:pPr>
              <w:pStyle w:val="TableParagraph"/>
              <w:jc w:val="center"/>
              <w:rPr>
                <w:rFonts w:ascii="Times New Roman" w:hAnsi="Times New Roman"/>
                <w:noProof/>
                <w:sz w:val="24"/>
              </w:rPr>
            </w:pPr>
          </w:p>
        </w:tc>
        <w:tc>
          <w:tcPr>
            <w:tcW w:w="1426" w:type="pct"/>
          </w:tcPr>
          <w:p w:rsidR="00CC65DE" w:rsidRPr="001E6CF9" w:rsidRDefault="00CC65DE" w:rsidP="00CC65DE">
            <w:pPr>
              <w:pStyle w:val="TableParagraph"/>
              <w:jc w:val="center"/>
              <w:rPr>
                <w:rFonts w:ascii="Times New Roman" w:hAnsi="Times New Roman"/>
                <w:noProof/>
                <w:sz w:val="24"/>
              </w:rPr>
            </w:pPr>
            <w:r>
              <w:rPr>
                <w:rFonts w:ascii="Times New Roman" w:hAnsi="Times New Roman"/>
                <w:sz w:val="24"/>
              </w:rPr>
              <w:t>0,9120</w:t>
            </w:r>
          </w:p>
        </w:tc>
      </w:tr>
    </w:tbl>
    <w:p w:rsidR="00335CDF" w:rsidRPr="001E6CF9" w:rsidRDefault="00335CDF" w:rsidP="00DE30DA">
      <w:pPr>
        <w:jc w:val="both"/>
        <w:rPr>
          <w:rFonts w:ascii="Times New Roman" w:eastAsia="Calibri" w:hAnsi="Times New Roman" w:cs="Calibri"/>
          <w:b/>
          <w:bCs/>
          <w:noProof/>
          <w:sz w:val="24"/>
          <w:szCs w:val="20"/>
        </w:rPr>
      </w:pPr>
    </w:p>
    <w:p w:rsidR="00335CDF" w:rsidRPr="001E6CF9" w:rsidRDefault="00335CDF" w:rsidP="00DE30DA">
      <w:pPr>
        <w:jc w:val="both"/>
        <w:rPr>
          <w:rFonts w:ascii="Times New Roman" w:hAnsi="Times New Roman"/>
          <w:i/>
          <w:noProof/>
          <w:sz w:val="24"/>
        </w:rPr>
      </w:pPr>
      <w:r>
        <w:rPr>
          <w:rFonts w:ascii="Times New Roman" w:hAnsi="Times New Roman"/>
          <w:i/>
          <w:sz w:val="24"/>
        </w:rPr>
        <w:t>Vienādojumus, kurus izmanto, piemērojot lineārā samazinājuma koeficientu, sk. Norādījumu dokumenta Nr. 2 4. iedaļā.</w:t>
      </w:r>
    </w:p>
    <w:p w:rsidR="00CC65DE" w:rsidRDefault="00CC65DE">
      <w:pPr>
        <w:rPr>
          <w:rFonts w:ascii="Times New Roman" w:eastAsia="Calibri" w:hAnsi="Times New Roman"/>
          <w:b/>
          <w:bCs/>
          <w:noProof/>
          <w:sz w:val="24"/>
          <w:szCs w:val="32"/>
        </w:rPr>
      </w:pPr>
      <w:r>
        <w:br w:type="page"/>
      </w:r>
    </w:p>
    <w:p w:rsidR="008C68EA" w:rsidRPr="001E6CF9" w:rsidRDefault="008C68EA" w:rsidP="00DE30DA">
      <w:pPr>
        <w:pStyle w:val="Heading1"/>
        <w:tabs>
          <w:tab w:val="left" w:pos="1558"/>
        </w:tabs>
        <w:spacing w:before="0"/>
        <w:ind w:left="0" w:firstLine="0"/>
        <w:jc w:val="both"/>
        <w:rPr>
          <w:rFonts w:ascii="Times New Roman" w:hAnsi="Times New Roman"/>
          <w:noProof/>
          <w:sz w:val="24"/>
        </w:rPr>
      </w:pPr>
    </w:p>
    <w:p w:rsidR="00335CDF" w:rsidRPr="001E6CF9" w:rsidRDefault="00335CDF" w:rsidP="00DE30DA">
      <w:pPr>
        <w:pStyle w:val="Heading1"/>
        <w:tabs>
          <w:tab w:val="left" w:pos="1558"/>
        </w:tabs>
        <w:spacing w:before="0"/>
        <w:ind w:left="0" w:firstLine="0"/>
        <w:jc w:val="both"/>
        <w:rPr>
          <w:rFonts w:ascii="Times New Roman" w:hAnsi="Times New Roman"/>
          <w:noProof/>
          <w:sz w:val="24"/>
        </w:rPr>
      </w:pPr>
      <w:bookmarkStart w:id="47" w:name="_Toc31010895"/>
      <w:r>
        <w:rPr>
          <w:rFonts w:ascii="Times New Roman" w:hAnsi="Times New Roman"/>
          <w:sz w:val="24"/>
        </w:rPr>
        <w:t>A pielikums. Laika grafiks – pārskatītajā ES ETS noteiktie svarīgākie datumi</w:t>
      </w:r>
      <w:bookmarkStart w:id="48" w:name="_bookmark28"/>
      <w:bookmarkEnd w:id="48"/>
      <w:bookmarkEnd w:id="47"/>
    </w:p>
    <w:p w:rsidR="00335CDF" w:rsidRPr="001E6CF9" w:rsidRDefault="00335CDF" w:rsidP="00DE30DA">
      <w:pPr>
        <w:jc w:val="both"/>
        <w:rPr>
          <w:rFonts w:ascii="Times New Roman" w:eastAsia="Calibri" w:hAnsi="Times New Roman" w:cs="Calibri"/>
          <w:b/>
          <w:bCs/>
          <w:noProof/>
          <w:sz w:val="24"/>
          <w:szCs w:val="20"/>
        </w:rPr>
      </w:pPr>
    </w:p>
    <w:p w:rsidR="00335CDF" w:rsidRPr="001E6CF9" w:rsidRDefault="00335CDF" w:rsidP="00DE30DA">
      <w:pPr>
        <w:jc w:val="both"/>
        <w:rPr>
          <w:rFonts w:ascii="Times New Roman" w:eastAsia="Calibri" w:hAnsi="Times New Roman" w:cs="Calibri"/>
          <w:b/>
          <w:bCs/>
          <w:noProof/>
          <w:sz w:val="24"/>
          <w:szCs w:val="20"/>
        </w:rPr>
      </w:pPr>
    </w:p>
    <w:p w:rsidR="00335CDF" w:rsidRPr="001E6CF9" w:rsidRDefault="00335CDF" w:rsidP="002D1611">
      <w:pPr>
        <w:pStyle w:val="BodyText"/>
        <w:ind w:left="2835" w:hanging="2835"/>
        <w:jc w:val="both"/>
        <w:rPr>
          <w:rFonts w:ascii="Times New Roman" w:hAnsi="Times New Roman"/>
          <w:noProof/>
          <w:szCs w:val="16"/>
        </w:rPr>
      </w:pPr>
      <w:r>
        <w:rPr>
          <w:rFonts w:ascii="Times New Roman" w:hAnsi="Times New Roman"/>
          <w:highlight w:val="yellow"/>
        </w:rPr>
        <w:t>XX</w:t>
      </w:r>
      <w:r>
        <w:rPr>
          <w:rFonts w:ascii="Times New Roman" w:hAnsi="Times New Roman"/>
        </w:rPr>
        <w:tab/>
        <w:t>Komisija pieņem Savienības mēroga pārejas noteikumus saskaņotai bezmaksas emisijas kvotu iedalei</w:t>
      </w:r>
      <w:r w:rsidR="00CC65DE">
        <w:rPr>
          <w:rStyle w:val="FootnoteReference"/>
          <w:rFonts w:ascii="Times New Roman" w:hAnsi="Times New Roman" w:cs="Calibri"/>
          <w:noProof/>
        </w:rPr>
        <w:footnoteReference w:id="32"/>
      </w:r>
      <w:r>
        <w:rPr>
          <w:rFonts w:ascii="Times New Roman" w:hAnsi="Times New Roman"/>
        </w:rPr>
        <w:t xml:space="preserve"> Deleģētā akta veidā, kam seko 2 mēnešus ilgs pārbaudes periods.</w:t>
      </w:r>
      <w:r w:rsidR="00CC65DE">
        <w:rPr>
          <w:rStyle w:val="FootnoteReference"/>
          <w:rFonts w:ascii="Times New Roman" w:hAnsi="Times New Roman"/>
          <w:noProof/>
        </w:rPr>
        <w:footnoteReference w:id="33"/>
      </w:r>
    </w:p>
    <w:p w:rsidR="00335CDF" w:rsidRPr="001E6CF9" w:rsidRDefault="00335CDF" w:rsidP="002D1611">
      <w:pPr>
        <w:ind w:left="2835" w:hanging="2835"/>
        <w:jc w:val="both"/>
        <w:rPr>
          <w:rFonts w:ascii="Times New Roman" w:eastAsia="Calibri" w:hAnsi="Times New Roman" w:cs="Calibri"/>
          <w:noProof/>
          <w:sz w:val="24"/>
          <w:szCs w:val="24"/>
        </w:rPr>
      </w:pPr>
    </w:p>
    <w:p w:rsidR="00335CDF" w:rsidRPr="001E6CF9" w:rsidRDefault="00335CDF" w:rsidP="002D1611">
      <w:pPr>
        <w:pStyle w:val="BodyText"/>
        <w:ind w:left="2835" w:hanging="2835"/>
        <w:jc w:val="both"/>
        <w:rPr>
          <w:rFonts w:ascii="Times New Roman" w:hAnsi="Times New Roman"/>
          <w:noProof/>
        </w:rPr>
      </w:pPr>
      <w:r>
        <w:rPr>
          <w:rFonts w:ascii="Times New Roman" w:hAnsi="Times New Roman"/>
        </w:rPr>
        <w:t>2019. gada 30. maijs</w:t>
      </w:r>
      <w:r>
        <w:rPr>
          <w:rFonts w:ascii="Times New Roman" w:hAnsi="Times New Roman"/>
        </w:rPr>
        <w:tab/>
        <w:t>Pieteikšanās</w:t>
      </w:r>
      <w:r w:rsidR="00CC65DE">
        <w:rPr>
          <w:rStyle w:val="FootnoteReference"/>
          <w:rFonts w:ascii="Times New Roman" w:hAnsi="Times New Roman" w:cs="Calibri"/>
          <w:noProof/>
        </w:rPr>
        <w:footnoteReference w:id="34"/>
      </w:r>
      <w:r>
        <w:rPr>
          <w:rFonts w:ascii="Times New Roman" w:hAnsi="Times New Roman"/>
        </w:rPr>
        <w:t xml:space="preserve"> termiņš dalībvalstīm kvotu bezmaksas piešķiršanai 2021.–2025. gadā (dalībvalstis var noteikt atšķirīgu termiņu, kas ir ne vairāk kā vienu mēnesi agrāks vai vēlāks).</w:t>
      </w:r>
    </w:p>
    <w:p w:rsidR="00335CDF" w:rsidRPr="001E6CF9" w:rsidRDefault="00335CDF" w:rsidP="002D1611">
      <w:pPr>
        <w:ind w:left="2835" w:hanging="2835"/>
        <w:jc w:val="both"/>
        <w:rPr>
          <w:rFonts w:ascii="Times New Roman" w:eastAsia="Calibri" w:hAnsi="Times New Roman" w:cs="Calibri"/>
          <w:noProof/>
          <w:sz w:val="24"/>
          <w:szCs w:val="23"/>
        </w:rPr>
      </w:pPr>
    </w:p>
    <w:p w:rsidR="00335CDF" w:rsidRPr="001E6CF9" w:rsidRDefault="00335CDF" w:rsidP="002D1611">
      <w:pPr>
        <w:pStyle w:val="BodyText"/>
        <w:ind w:left="2835" w:hanging="2835"/>
        <w:jc w:val="both"/>
        <w:rPr>
          <w:rFonts w:ascii="Times New Roman" w:hAnsi="Times New Roman"/>
          <w:noProof/>
          <w:szCs w:val="16"/>
        </w:rPr>
      </w:pPr>
      <w:r>
        <w:rPr>
          <w:rFonts w:ascii="Times New Roman" w:hAnsi="Times New Roman"/>
        </w:rPr>
        <w:t>2019. gada 30. jūnijs</w:t>
      </w:r>
      <w:r>
        <w:rPr>
          <w:rFonts w:ascii="Times New Roman" w:hAnsi="Times New Roman"/>
        </w:rPr>
        <w:tab/>
        <w:t>Datums, kurā tiek nošķirtas “jaunas iekārtas” un “esošas iekārtas” pirmajam kvotu piešķiršanas periodam 4. periodā. Sk. šā norādījumu dokumenta 4.1. iedaļu.</w:t>
      </w:r>
      <w:r w:rsidR="00CC65DE">
        <w:rPr>
          <w:rStyle w:val="FootnoteReference"/>
          <w:rFonts w:ascii="Times New Roman" w:hAnsi="Times New Roman"/>
          <w:noProof/>
        </w:rPr>
        <w:footnoteReference w:id="35"/>
      </w:r>
    </w:p>
    <w:p w:rsidR="00335CDF" w:rsidRPr="001E6CF9" w:rsidRDefault="00335CDF" w:rsidP="002D1611">
      <w:pPr>
        <w:ind w:left="2835" w:hanging="2835"/>
        <w:jc w:val="both"/>
        <w:rPr>
          <w:rFonts w:ascii="Times New Roman" w:eastAsia="Calibri" w:hAnsi="Times New Roman" w:cs="Calibri"/>
          <w:noProof/>
          <w:sz w:val="24"/>
          <w:szCs w:val="24"/>
        </w:rPr>
      </w:pPr>
    </w:p>
    <w:p w:rsidR="00335CDF" w:rsidRPr="001E6CF9" w:rsidRDefault="00335CDF" w:rsidP="002D1611">
      <w:pPr>
        <w:pStyle w:val="BodyText"/>
        <w:ind w:left="2835" w:hanging="2835"/>
        <w:jc w:val="both"/>
        <w:rPr>
          <w:rFonts w:ascii="Times New Roman" w:hAnsi="Times New Roman"/>
          <w:noProof/>
        </w:rPr>
      </w:pPr>
      <w:r>
        <w:rPr>
          <w:rFonts w:ascii="Times New Roman" w:hAnsi="Times New Roman"/>
        </w:rPr>
        <w:t>2019. gada 30. septembris</w:t>
      </w:r>
      <w:r>
        <w:rPr>
          <w:rFonts w:ascii="Times New Roman" w:hAnsi="Times New Roman"/>
        </w:rPr>
        <w:tab/>
        <w:t>DV informācijas iesniegšana par valsts īstenošanas pasākumiem pirmajam kvotu piešķiršanas periodam 4. periodā</w:t>
      </w:r>
      <w:r w:rsidR="00B823C5">
        <w:rPr>
          <w:rStyle w:val="FootnoteReference"/>
          <w:rFonts w:ascii="Times New Roman" w:hAnsi="Times New Roman" w:cs="Calibri"/>
          <w:noProof/>
        </w:rPr>
        <w:footnoteReference w:id="36"/>
      </w:r>
      <w:r>
        <w:rPr>
          <w:rFonts w:ascii="Times New Roman" w:hAnsi="Times New Roman"/>
        </w:rPr>
        <w:t>.</w:t>
      </w:r>
    </w:p>
    <w:p w:rsidR="00335CDF" w:rsidRPr="001E6CF9" w:rsidRDefault="00335CDF" w:rsidP="002D1611">
      <w:pPr>
        <w:ind w:left="2835" w:hanging="2835"/>
        <w:jc w:val="both"/>
        <w:rPr>
          <w:rFonts w:ascii="Times New Roman" w:eastAsia="Calibri" w:hAnsi="Times New Roman" w:cs="Calibri"/>
          <w:noProof/>
          <w:sz w:val="24"/>
          <w:szCs w:val="23"/>
        </w:rPr>
      </w:pPr>
    </w:p>
    <w:p w:rsidR="00335CDF" w:rsidRPr="001E6CF9" w:rsidRDefault="00335CDF" w:rsidP="002D1611">
      <w:pPr>
        <w:pStyle w:val="BodyText"/>
        <w:ind w:left="2835" w:hanging="2835"/>
        <w:jc w:val="both"/>
        <w:rPr>
          <w:rFonts w:ascii="Times New Roman" w:hAnsi="Times New Roman"/>
          <w:noProof/>
          <w:szCs w:val="16"/>
        </w:rPr>
      </w:pPr>
      <w:r>
        <w:rPr>
          <w:rFonts w:ascii="Times New Roman" w:hAnsi="Times New Roman"/>
        </w:rPr>
        <w:t>2021. gada 28. februāris</w:t>
      </w:r>
      <w:r>
        <w:rPr>
          <w:rFonts w:ascii="Times New Roman" w:hAnsi="Times New Roman"/>
        </w:rPr>
        <w:tab/>
        <w:t>Pirmā bezmaksas kvotu apjoma piešķiršana iekārtām pirmajam kvotu piešķiršanas periodam 4. periodā</w:t>
      </w:r>
      <w:r w:rsidR="00B823C5">
        <w:rPr>
          <w:rStyle w:val="FootnoteReference"/>
          <w:rFonts w:ascii="Times New Roman" w:hAnsi="Times New Roman"/>
          <w:noProof/>
        </w:rPr>
        <w:footnoteReference w:id="37"/>
      </w:r>
      <w:r>
        <w:rPr>
          <w:rFonts w:ascii="Times New Roman" w:hAnsi="Times New Roman"/>
        </w:rPr>
        <w:t>.</w:t>
      </w:r>
    </w:p>
    <w:p w:rsidR="00335CDF" w:rsidRPr="001E6CF9" w:rsidRDefault="00335CDF" w:rsidP="002D1611">
      <w:pPr>
        <w:ind w:left="2835" w:hanging="2835"/>
        <w:jc w:val="both"/>
        <w:rPr>
          <w:rFonts w:ascii="Times New Roman" w:eastAsia="Calibri" w:hAnsi="Times New Roman" w:cs="Calibri"/>
          <w:noProof/>
          <w:sz w:val="24"/>
          <w:szCs w:val="24"/>
        </w:rPr>
      </w:pPr>
    </w:p>
    <w:p w:rsidR="00335CDF" w:rsidRPr="001E6CF9" w:rsidRDefault="00335CDF" w:rsidP="002D1611">
      <w:pPr>
        <w:pStyle w:val="BodyText"/>
        <w:ind w:left="2835" w:hanging="2835"/>
        <w:jc w:val="both"/>
        <w:rPr>
          <w:rFonts w:ascii="Times New Roman" w:hAnsi="Times New Roman"/>
          <w:noProof/>
        </w:rPr>
      </w:pPr>
      <w:r>
        <w:rPr>
          <w:rFonts w:ascii="Times New Roman" w:hAnsi="Times New Roman"/>
        </w:rPr>
        <w:t>2024. gada 30. maijs</w:t>
      </w:r>
      <w:r>
        <w:rPr>
          <w:rFonts w:ascii="Times New Roman" w:hAnsi="Times New Roman"/>
        </w:rPr>
        <w:tab/>
        <w:t>Pieteikšanās termiņš dalībvalstīm kvotu bezmaksas piešķiršanai 2021.–2025. gadā (dalībvalstis var noteikt atšķirīgu termiņu, kas ir ne vairāk kā vienu mēnesi agrāks vai vēlāks).</w:t>
      </w:r>
    </w:p>
    <w:p w:rsidR="00335CDF" w:rsidRPr="001E6CF9" w:rsidRDefault="00335CDF" w:rsidP="002D1611">
      <w:pPr>
        <w:ind w:left="2835" w:hanging="2835"/>
        <w:jc w:val="both"/>
        <w:rPr>
          <w:rFonts w:ascii="Times New Roman" w:eastAsia="Calibri" w:hAnsi="Times New Roman" w:cs="Calibri"/>
          <w:noProof/>
          <w:sz w:val="24"/>
          <w:szCs w:val="23"/>
        </w:rPr>
      </w:pPr>
    </w:p>
    <w:p w:rsidR="00335CDF" w:rsidRPr="001E6CF9" w:rsidRDefault="00335CDF" w:rsidP="002D1611">
      <w:pPr>
        <w:pStyle w:val="BodyText"/>
        <w:ind w:left="2835" w:hanging="2835"/>
        <w:jc w:val="both"/>
        <w:rPr>
          <w:rFonts w:ascii="Times New Roman" w:hAnsi="Times New Roman"/>
          <w:noProof/>
        </w:rPr>
      </w:pPr>
      <w:r>
        <w:rPr>
          <w:rFonts w:ascii="Times New Roman" w:hAnsi="Times New Roman"/>
        </w:rPr>
        <w:t>2024. gada 30. jūnijs</w:t>
      </w:r>
      <w:r>
        <w:rPr>
          <w:rFonts w:ascii="Times New Roman" w:hAnsi="Times New Roman"/>
        </w:rPr>
        <w:tab/>
        <w:t>Datums, kurā tiek nošķirtas “jaunas iekārtas” un “esošas iekārtas” otrajam kvotu piešķiršanas periodam 4. periodā.</w:t>
      </w:r>
    </w:p>
    <w:p w:rsidR="00335CDF" w:rsidRPr="001E6CF9" w:rsidRDefault="00335CDF" w:rsidP="002D1611">
      <w:pPr>
        <w:ind w:left="2835" w:hanging="2835"/>
        <w:jc w:val="both"/>
        <w:rPr>
          <w:rFonts w:ascii="Times New Roman" w:eastAsia="Calibri" w:hAnsi="Times New Roman" w:cs="Calibri"/>
          <w:noProof/>
          <w:sz w:val="24"/>
          <w:szCs w:val="23"/>
        </w:rPr>
      </w:pPr>
    </w:p>
    <w:p w:rsidR="00335CDF" w:rsidRPr="001E6CF9" w:rsidRDefault="00335CDF" w:rsidP="002D1611">
      <w:pPr>
        <w:pStyle w:val="BodyText"/>
        <w:ind w:left="2835" w:hanging="2835"/>
        <w:jc w:val="both"/>
        <w:rPr>
          <w:rFonts w:ascii="Times New Roman" w:hAnsi="Times New Roman"/>
          <w:noProof/>
        </w:rPr>
      </w:pPr>
      <w:r>
        <w:rPr>
          <w:rFonts w:ascii="Times New Roman" w:hAnsi="Times New Roman"/>
        </w:rPr>
        <w:t>2024. gada 30. septembris</w:t>
      </w:r>
      <w:r>
        <w:rPr>
          <w:rFonts w:ascii="Times New Roman" w:hAnsi="Times New Roman"/>
        </w:rPr>
        <w:tab/>
        <w:t>DV informācijas iesniegšana par valsts īstenošanas pasākumiem otrajam kvotu piešķiršanas periodam 4. periodā</w:t>
      </w:r>
      <w:r w:rsidR="00B823C5">
        <w:rPr>
          <w:rStyle w:val="FootnoteReference"/>
          <w:rFonts w:ascii="Times New Roman" w:hAnsi="Times New Roman" w:cs="Calibri"/>
          <w:noProof/>
        </w:rPr>
        <w:footnoteReference w:id="38"/>
      </w:r>
      <w:r>
        <w:rPr>
          <w:rFonts w:ascii="Times New Roman" w:hAnsi="Times New Roman"/>
        </w:rPr>
        <w:t>.</w:t>
      </w:r>
    </w:p>
    <w:p w:rsidR="00335CDF" w:rsidRPr="001E6CF9" w:rsidRDefault="00335CDF" w:rsidP="002D1611">
      <w:pPr>
        <w:ind w:left="2835" w:hanging="2835"/>
        <w:jc w:val="both"/>
        <w:rPr>
          <w:rFonts w:ascii="Times New Roman" w:eastAsia="Calibri" w:hAnsi="Times New Roman" w:cs="Calibri"/>
          <w:noProof/>
          <w:sz w:val="24"/>
          <w:szCs w:val="23"/>
        </w:rPr>
      </w:pPr>
    </w:p>
    <w:p w:rsidR="00335CDF" w:rsidRPr="001E6CF9" w:rsidRDefault="00335CDF" w:rsidP="002D1611">
      <w:pPr>
        <w:pStyle w:val="BodyText"/>
        <w:ind w:left="2835" w:hanging="2835"/>
        <w:jc w:val="both"/>
        <w:rPr>
          <w:rFonts w:ascii="Times New Roman" w:hAnsi="Times New Roman"/>
          <w:noProof/>
          <w:szCs w:val="16"/>
        </w:rPr>
      </w:pPr>
      <w:r>
        <w:rPr>
          <w:rFonts w:ascii="Times New Roman" w:hAnsi="Times New Roman"/>
        </w:rPr>
        <w:t>2026. gada 28. februāris</w:t>
      </w:r>
      <w:r>
        <w:rPr>
          <w:rFonts w:ascii="Times New Roman" w:hAnsi="Times New Roman"/>
        </w:rPr>
        <w:tab/>
        <w:t>Pirmā bezmaksas kvotu apjoma piešķiršana iekārtām otrajam kvotu piešķiršanas periodam 4. periodā</w:t>
      </w:r>
      <w:r w:rsidR="00B823C5">
        <w:rPr>
          <w:rStyle w:val="FootnoteReference"/>
          <w:rFonts w:ascii="Times New Roman" w:hAnsi="Times New Roman"/>
          <w:noProof/>
        </w:rPr>
        <w:footnoteReference w:id="39"/>
      </w:r>
      <w:r>
        <w:rPr>
          <w:rFonts w:ascii="Times New Roman" w:hAnsi="Times New Roman"/>
        </w:rPr>
        <w:t>.</w:t>
      </w:r>
    </w:p>
    <w:p w:rsidR="00B823C5" w:rsidRDefault="00B823C5">
      <w:pPr>
        <w:rPr>
          <w:rFonts w:ascii="Times New Roman" w:eastAsia="Calibri" w:hAnsi="Times New Roman" w:cs="Calibri"/>
          <w:noProof/>
          <w:sz w:val="24"/>
          <w:szCs w:val="20"/>
        </w:rPr>
      </w:pPr>
      <w:r>
        <w:br w:type="page"/>
      </w:r>
    </w:p>
    <w:p w:rsidR="008C68EA" w:rsidRPr="001E6CF9" w:rsidRDefault="008C68EA" w:rsidP="00DE30DA">
      <w:pPr>
        <w:pStyle w:val="Heading1"/>
        <w:spacing w:before="0"/>
        <w:ind w:left="0" w:firstLine="0"/>
        <w:jc w:val="both"/>
        <w:rPr>
          <w:rFonts w:ascii="Times New Roman" w:hAnsi="Times New Roman"/>
          <w:noProof/>
          <w:sz w:val="24"/>
        </w:rPr>
      </w:pPr>
    </w:p>
    <w:p w:rsidR="00335CDF" w:rsidRPr="001E6CF9" w:rsidRDefault="00335CDF" w:rsidP="00DE30DA">
      <w:pPr>
        <w:pStyle w:val="Heading1"/>
        <w:spacing w:before="0"/>
        <w:ind w:left="0" w:firstLine="0"/>
        <w:jc w:val="both"/>
        <w:rPr>
          <w:rFonts w:ascii="Times New Roman" w:hAnsi="Times New Roman"/>
          <w:noProof/>
          <w:sz w:val="24"/>
        </w:rPr>
      </w:pPr>
      <w:bookmarkStart w:id="49" w:name="_Toc31010896"/>
      <w:r>
        <w:rPr>
          <w:rFonts w:ascii="Times New Roman" w:hAnsi="Times New Roman"/>
          <w:sz w:val="24"/>
        </w:rPr>
        <w:t>B saraksts. Definīciju saraksts</w:t>
      </w:r>
      <w:bookmarkStart w:id="50" w:name="_bookmark29"/>
      <w:bookmarkEnd w:id="50"/>
      <w:bookmarkEnd w:id="49"/>
    </w:p>
    <w:p w:rsidR="00335CDF" w:rsidRDefault="00335CDF" w:rsidP="00DE30DA">
      <w:pPr>
        <w:jc w:val="both"/>
        <w:rPr>
          <w:rFonts w:ascii="Times New Roman" w:eastAsia="Calibri" w:hAnsi="Times New Roman" w:cs="Calibri"/>
          <w:b/>
          <w:bCs/>
          <w:noProof/>
          <w:sz w:val="24"/>
          <w:szCs w:val="28"/>
        </w:rPr>
      </w:pPr>
    </w:p>
    <w:p w:rsidR="008826B9" w:rsidRPr="001E6CF9" w:rsidRDefault="008826B9" w:rsidP="00DE30DA">
      <w:pPr>
        <w:jc w:val="both"/>
        <w:rPr>
          <w:rFonts w:ascii="Times New Roman" w:eastAsia="Calibri" w:hAnsi="Times New Roman" w:cs="Calibri"/>
          <w:b/>
          <w:bCs/>
          <w:noProof/>
          <w:sz w:val="24"/>
          <w:szCs w:val="28"/>
        </w:rPr>
      </w:pPr>
    </w:p>
    <w:p w:rsidR="00335CDF" w:rsidRPr="001E6CF9" w:rsidRDefault="00335CDF" w:rsidP="00DE30DA">
      <w:pPr>
        <w:jc w:val="both"/>
        <w:rPr>
          <w:rFonts w:ascii="Times New Roman" w:eastAsia="Calibri" w:hAnsi="Times New Roman" w:cs="Calibri"/>
          <w:i/>
          <w:noProof/>
          <w:sz w:val="24"/>
          <w:szCs w:val="24"/>
        </w:rPr>
      </w:pPr>
      <w:r>
        <w:rPr>
          <w:rFonts w:ascii="Times New Roman" w:hAnsi="Times New Roman"/>
          <w:i/>
          <w:sz w:val="24"/>
          <w:szCs w:val="24"/>
        </w:rPr>
        <w:t>Šajā pielikumā ietverts to jēdzienu definīciju saraksts, kuri attiecas uz bezmaksas kvotu piešķiršanu ES ETS 4. periodā. Ietvertas gan oficiālās definīcijas, kas sniegtas pārskatītās ES ETS direktīvas vai FAR juridiskajos tekstos (ievietotas pēdiņās), kā arī neformāli paskaidrojumi. Šie paskaidrojumi ir izstrādāti, lai veicinātu lasītāju izpratni par norādījumu dokumentiem. Šajā pielikumā ietvertie neformālie paskaidrojumi neaizstāj juridiskās definīcijas, un tiem nav juridiska statusa. Turpmāk vispirms sniegta oficiālā definīcija (ja tāda ir), tostarp arī attiecīgais panta numurs, un attiecīgos gadījumos tai seko neformālais paskaidrojums.</w:t>
      </w:r>
    </w:p>
    <w:p w:rsidR="00335CDF" w:rsidRPr="001E6CF9" w:rsidRDefault="00335CDF" w:rsidP="00DE30DA">
      <w:pPr>
        <w:jc w:val="both"/>
        <w:rPr>
          <w:rFonts w:ascii="Times New Roman" w:eastAsia="Calibri" w:hAnsi="Times New Roman" w:cs="Calibri"/>
          <w:i/>
          <w:noProof/>
          <w:sz w:val="24"/>
          <w:szCs w:val="24"/>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I pielikumā norādītās darbības</w:t>
      </w:r>
    </w:p>
    <w:p w:rsidR="002D1611" w:rsidRPr="001E6CF9" w:rsidRDefault="002D1611" w:rsidP="002D1611">
      <w:pPr>
        <w:pStyle w:val="BodyText"/>
        <w:ind w:left="0"/>
        <w:jc w:val="both"/>
        <w:rPr>
          <w:rFonts w:ascii="Times New Roman" w:hAnsi="Times New Roman"/>
          <w:noProof/>
        </w:rPr>
      </w:pPr>
      <w:r>
        <w:rPr>
          <w:rFonts w:ascii="Times New Roman" w:hAnsi="Times New Roman"/>
        </w:rPr>
        <w:t>ES ETS direktīvas I pielikumā ietvertais darbību saraksts, kurā noteiktas “darbību kategorijas, uz kurām attiecas šī direktīva”. Citiem vārdiem sakot: I pielikumā noteiktas darbības un darbību sliekšņvērtības, kas nosaka to, kuras iekārtas ir jāietver ES ETS.</w:t>
      </w:r>
    </w:p>
    <w:p w:rsidR="002D1611" w:rsidRPr="001E6CF9" w:rsidRDefault="002D1611" w:rsidP="002D1611">
      <w:pPr>
        <w:jc w:val="both"/>
        <w:rPr>
          <w:rFonts w:ascii="Times New Roman" w:eastAsia="Calibri" w:hAnsi="Times New Roman" w:cs="Calibri"/>
          <w:noProof/>
          <w:sz w:val="24"/>
          <w:szCs w:val="24"/>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Apakšiekārta</w:t>
      </w:r>
    </w:p>
    <w:p w:rsidR="002D1611" w:rsidRPr="001E6CF9" w:rsidRDefault="002D1611" w:rsidP="002D1611">
      <w:pPr>
        <w:pStyle w:val="BodyText"/>
        <w:ind w:left="0"/>
        <w:jc w:val="both"/>
        <w:rPr>
          <w:rFonts w:ascii="Times New Roman" w:hAnsi="Times New Roman"/>
          <w:noProof/>
        </w:rPr>
      </w:pPr>
      <w:r>
        <w:rPr>
          <w:rFonts w:ascii="Times New Roman" w:hAnsi="Times New Roman"/>
        </w:rPr>
        <w:t xml:space="preserve">Apakšiekārta ir visa ielaide, izlaide un attiecīgās emisijas, kas saistītas ar konkrēto pieeju kvotu piešķiršanai. Šis jēdziens sīkāk paskaidrots </w:t>
      </w:r>
      <w:r>
        <w:rPr>
          <w:rFonts w:ascii="Times New Roman" w:hAnsi="Times New Roman"/>
          <w:i/>
        </w:rPr>
        <w:t>Norādījumu dokumenta Nr. 5</w:t>
      </w:r>
      <w:r>
        <w:rPr>
          <w:rFonts w:ascii="Times New Roman" w:hAnsi="Times New Roman"/>
        </w:rPr>
        <w:t xml:space="preserve"> pielikumā.</w:t>
      </w:r>
    </w:p>
    <w:p w:rsidR="002D1611" w:rsidRPr="001E6CF9" w:rsidRDefault="002D1611" w:rsidP="002D1611">
      <w:pPr>
        <w:pStyle w:val="Heading4"/>
        <w:ind w:left="0"/>
        <w:jc w:val="both"/>
        <w:rPr>
          <w:rFonts w:ascii="Times New Roman" w:hAnsi="Times New Roman"/>
          <w:noProof/>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Atlikumgāzes</w:t>
      </w:r>
    </w:p>
    <w:p w:rsidR="002D1611" w:rsidRPr="001E6CF9" w:rsidRDefault="002D1611" w:rsidP="002D1611">
      <w:pPr>
        <w:pStyle w:val="BodyText"/>
        <w:ind w:left="0"/>
        <w:jc w:val="both"/>
        <w:rPr>
          <w:rFonts w:ascii="Times New Roman" w:hAnsi="Times New Roman"/>
          <w:noProof/>
        </w:rPr>
      </w:pPr>
      <w:r>
        <w:rPr>
          <w:rFonts w:ascii="Times New Roman" w:hAnsi="Times New Roman"/>
          <w:i/>
        </w:rPr>
        <w:t>FAR</w:t>
      </w:r>
      <w:r>
        <w:rPr>
          <w:rFonts w:ascii="Times New Roman" w:hAnsi="Times New Roman"/>
        </w:rPr>
        <w:t xml:space="preserve"> 2. panta 11. punkts: ““atlikumgāze” ir gāze, kas standartapstākļos satur nepilnīgi oksidējušos oglekli gāzveida stāvoklī un kas radusies kādā no 10. punktā uzskaitītajiem procesiem; saskaņā ar Komisijas Regulas (ES) Nr. 601/2012 3. panta 50. punktu “standartapstākļi” ir 273,15 K temperatūra un 101 325 Pa spiediens, kas raksturo normālkubikmetru (Nm3)”.</w:t>
      </w:r>
    </w:p>
    <w:p w:rsidR="002D1611" w:rsidRPr="001E6CF9" w:rsidRDefault="002D1611" w:rsidP="002D1611">
      <w:pPr>
        <w:jc w:val="both"/>
        <w:rPr>
          <w:rFonts w:ascii="Times New Roman" w:eastAsia="Calibri" w:hAnsi="Times New Roman" w:cs="Calibri"/>
          <w:noProof/>
          <w:sz w:val="24"/>
          <w:szCs w:val="23"/>
        </w:rPr>
      </w:pPr>
    </w:p>
    <w:p w:rsidR="002D1611" w:rsidRDefault="002D1611" w:rsidP="002D1611">
      <w:pPr>
        <w:jc w:val="both"/>
        <w:rPr>
          <w:rFonts w:ascii="Times New Roman" w:hAnsi="Times New Roman"/>
          <w:i/>
          <w:sz w:val="24"/>
        </w:rPr>
      </w:pPr>
      <w:r>
        <w:rPr>
          <w:rFonts w:ascii="Times New Roman" w:hAnsi="Times New Roman"/>
          <w:sz w:val="24"/>
        </w:rPr>
        <w:t xml:space="preserve">Atlikumgāzes, ja tās rodas ārpus produkta līmeņatzīmes robežām, ir gāzes, kas satur nepilnīgi sadedzinātu oglekli, kas tiek iegūts jebkādu </w:t>
      </w:r>
      <w:r>
        <w:rPr>
          <w:rFonts w:ascii="Times New Roman" w:hAnsi="Times New Roman"/>
          <w:i/>
          <w:sz w:val="24"/>
        </w:rPr>
        <w:t>FAR</w:t>
      </w:r>
      <w:r>
        <w:rPr>
          <w:rFonts w:ascii="Times New Roman" w:hAnsi="Times New Roman"/>
          <w:sz w:val="24"/>
        </w:rPr>
        <w:t xml:space="preserve"> 2. panta 10. punkta a) līdz f) apakšpunktā uzskaitīto darbību rezultātā. </w:t>
      </w:r>
      <w:r>
        <w:rPr>
          <w:rFonts w:ascii="Times New Roman" w:hAnsi="Times New Roman"/>
          <w:i/>
          <w:sz w:val="24"/>
        </w:rPr>
        <w:t>Papildu norādījumus par šo tēmu sk. arī Norādījumu dokumentā Nr. 8 par atlikumgāzēm.</w:t>
      </w:r>
    </w:p>
    <w:p w:rsidR="002D1611" w:rsidRPr="001E6CF9" w:rsidRDefault="002D1611" w:rsidP="002D1611">
      <w:pPr>
        <w:jc w:val="both"/>
        <w:rPr>
          <w:rFonts w:ascii="Times New Roman" w:hAnsi="Times New Roman"/>
          <w:i/>
          <w:noProof/>
          <w:sz w:val="24"/>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Centralizēta siltumapgāde</w:t>
      </w:r>
    </w:p>
    <w:p w:rsidR="002D1611" w:rsidRPr="001E6CF9" w:rsidRDefault="002D1611" w:rsidP="002D1611">
      <w:pPr>
        <w:pStyle w:val="BodyText"/>
        <w:ind w:left="0"/>
        <w:jc w:val="both"/>
        <w:rPr>
          <w:rFonts w:ascii="Times New Roman" w:hAnsi="Times New Roman"/>
          <w:noProof/>
        </w:rPr>
      </w:pPr>
      <w:r>
        <w:rPr>
          <w:rFonts w:ascii="Times New Roman" w:hAnsi="Times New Roman"/>
          <w:i/>
        </w:rPr>
        <w:t>FAR</w:t>
      </w:r>
      <w:r>
        <w:rPr>
          <w:rFonts w:ascii="Times New Roman" w:hAnsi="Times New Roman"/>
        </w:rPr>
        <w:t xml:space="preserve"> 2. panta 4. punkts: ““centralizēta siltumapgāde” ir telpas siltumapgādei vai aukstumapgādei vai mājsaimniecībām domāta karstā ūdens ražošanai paredzēta izmērāma siltuma sadale tīklā ēkām vai objektiem, ko neaptver ES ETS, izņemot izmērāmo siltumu, ko izmanto produktu ražošanai un saistītām darbībām vai elektroenerģijas ražošanai”.</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BodyText"/>
        <w:ind w:left="0"/>
        <w:jc w:val="both"/>
        <w:rPr>
          <w:rFonts w:ascii="Times New Roman" w:hAnsi="Times New Roman"/>
          <w:noProof/>
        </w:rPr>
      </w:pPr>
      <w:r>
        <w:rPr>
          <w:rFonts w:ascii="Times New Roman" w:hAnsi="Times New Roman"/>
        </w:rPr>
        <w:t>Siltums, kas tīklā tiek eksportēts uz objektiem, ko neaptver ES ETS, un ko izmanto telpu apsildei, aukstumapgādei vai mājsaimniecību karstā ūdens ražošanai.</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Centralizētās siltumapgādes apakšiekārta</w:t>
      </w:r>
    </w:p>
    <w:p w:rsidR="002D1611" w:rsidRPr="001E6CF9" w:rsidRDefault="002D1611" w:rsidP="002D1611">
      <w:pPr>
        <w:pStyle w:val="BodyText"/>
        <w:ind w:left="0"/>
        <w:jc w:val="both"/>
        <w:rPr>
          <w:rFonts w:ascii="Times New Roman" w:hAnsi="Times New Roman"/>
          <w:noProof/>
        </w:rPr>
      </w:pPr>
      <w:r>
        <w:rPr>
          <w:rFonts w:ascii="Times New Roman" w:hAnsi="Times New Roman"/>
          <w:i/>
        </w:rPr>
        <w:t>FAR</w:t>
      </w:r>
      <w:r>
        <w:rPr>
          <w:rFonts w:ascii="Times New Roman" w:hAnsi="Times New Roman"/>
        </w:rPr>
        <w:t xml:space="preserve"> 2. panta 5. punkts: ““centralizētās siltumapgādes apakšiekārta” ir ielaide, izlaide un attiecīgās emisijas, ko neaptver produkta līmeņatzīmes apakšiekārta, kas saistītas ar izmērāma siltuma ražošanu un/vai importu no ES ETS aptvertas iekārtas, ja šo siltumu eksportē centralizētās siltumapgādes vajadzībām”.</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BodyText"/>
        <w:ind w:left="0"/>
        <w:jc w:val="both"/>
        <w:rPr>
          <w:rFonts w:ascii="Times New Roman" w:hAnsi="Times New Roman"/>
          <w:noProof/>
        </w:rPr>
      </w:pPr>
      <w:r>
        <w:rPr>
          <w:rFonts w:ascii="Times New Roman" w:hAnsi="Times New Roman"/>
        </w:rPr>
        <w:t xml:space="preserve">Apakšiekārta, kas noteikta ES ETS iekārtā, lai aprēķinātu bez maksas piešķiramo emisijas kvotu apjomu, uz kādu iekārta var pretendēt tādēļ, ka tā eksportē siltumu centralizētās </w:t>
      </w:r>
      <w:r>
        <w:rPr>
          <w:rFonts w:ascii="Times New Roman" w:hAnsi="Times New Roman"/>
        </w:rPr>
        <w:lastRenderedPageBreak/>
        <w:t>siltumapgādes vajadzībām.</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Elektroenerģijas ražošanas iekārta</w:t>
      </w:r>
    </w:p>
    <w:p w:rsidR="002D1611" w:rsidRPr="001E6CF9" w:rsidRDefault="002D1611" w:rsidP="002D1611">
      <w:pPr>
        <w:pStyle w:val="BodyText"/>
        <w:ind w:left="0"/>
        <w:jc w:val="both"/>
        <w:rPr>
          <w:rFonts w:ascii="Times New Roman" w:hAnsi="Times New Roman"/>
          <w:noProof/>
        </w:rPr>
      </w:pPr>
      <w:r>
        <w:rPr>
          <w:rFonts w:ascii="Times New Roman" w:hAnsi="Times New Roman"/>
        </w:rPr>
        <w:t>Direktīvas 3. panta u) punkts: ““elektroenerģijas ražošanas iekārta” ir iekārta, kurā 2005. gada janvārī vai pēc tam ražota elektroenerģija pārdošanai trešām personām un kurā no I pielikumā uzskaitītajām darbībām tiek veikta vienīgi “kurināmā sadedzināšana””.</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BodyText"/>
        <w:ind w:left="0"/>
        <w:jc w:val="both"/>
        <w:rPr>
          <w:rFonts w:ascii="Times New Roman" w:hAnsi="Times New Roman"/>
          <w:noProof/>
        </w:rPr>
      </w:pPr>
      <w:r>
        <w:rPr>
          <w:rFonts w:ascii="Times New Roman" w:hAnsi="Times New Roman"/>
        </w:rPr>
        <w:t>Īpaši elektroenerģijas ražotāji (kuriem ir konts Eiropas Savienības darījumu žurnālā (</w:t>
      </w:r>
      <w:r>
        <w:rPr>
          <w:rFonts w:ascii="Times New Roman" w:hAnsi="Times New Roman"/>
          <w:i/>
        </w:rPr>
        <w:t>EUTL</w:t>
      </w:r>
      <w:r>
        <w:rPr>
          <w:rFonts w:ascii="Times New Roman" w:hAnsi="Times New Roman"/>
        </w:rPr>
        <w:t xml:space="preserve">)), kas ražo un pārdod elektroenerģiju, kā arī var ražot siltumu, cita veida enerģiju vai produktus, ar nosacījumu, ka tie nav saistīti ar I pielikumā uzskaitītajām darbībām. Tas nozīmē to, ka iekārta, kas ražo elektroenerģiju, ko tā pati iekārta izmanto I pielikumā uzskaitīto produktu ražošanai, netiek uzskatīta par elektroenerģijas ražošanas iekārtu. Tikai tādā gadījumā, ja elektroenerģija (vai tās daļa) tiek pārdota, tie tiek uzskatīti par elektroenerģijas ražošanas iekārtām. Tādēļ ir jāņem vērā periods no 2005. līdz 2018. gadam (ieskaitot). Sīkāku informāciju sk. </w:t>
      </w:r>
      <w:r>
        <w:rPr>
          <w:rFonts w:ascii="Times New Roman" w:hAnsi="Times New Roman"/>
          <w:i/>
        </w:rPr>
        <w:t>Norādījumu dokumentā elektroenerģijas ražošanas iekārtu identificēšanai</w:t>
      </w:r>
      <w:r>
        <w:rPr>
          <w:rStyle w:val="FootnoteReference"/>
          <w:rFonts w:ascii="Times New Roman" w:hAnsi="Times New Roman" w:cs="Calibri"/>
          <w:i/>
          <w:noProof/>
        </w:rPr>
        <w:footnoteReference w:id="40"/>
      </w:r>
      <w:r>
        <w:rPr>
          <w:rFonts w:ascii="Times New Roman" w:hAnsi="Times New Roman"/>
        </w:rPr>
        <w:t>.</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ES ETS direktīva</w:t>
      </w:r>
    </w:p>
    <w:p w:rsidR="002D1611" w:rsidRPr="001E6CF9" w:rsidRDefault="002D1611" w:rsidP="002D1611">
      <w:pPr>
        <w:pStyle w:val="BodyText"/>
        <w:ind w:left="0"/>
        <w:jc w:val="both"/>
        <w:rPr>
          <w:rFonts w:ascii="Times New Roman" w:hAnsi="Times New Roman"/>
          <w:noProof/>
        </w:rPr>
      </w:pPr>
      <w:r>
        <w:rPr>
          <w:rFonts w:ascii="Times New Roman" w:hAnsi="Times New Roman"/>
        </w:rPr>
        <w:t>Direktīva 2003/87/EK, kurā jaunākie grozījumi izdarīti ar Direktīvu 2018/410/EK, kas šajā dokumentā saukta par “pārskatīto ES ETS direktīvu”.</w:t>
      </w:r>
    </w:p>
    <w:p w:rsidR="002D1611" w:rsidRPr="001E6CF9" w:rsidRDefault="002D1611" w:rsidP="002D1611">
      <w:pPr>
        <w:jc w:val="both"/>
        <w:rPr>
          <w:rFonts w:ascii="Times New Roman" w:eastAsia="Calibri" w:hAnsi="Times New Roman" w:cs="Calibri"/>
          <w:noProof/>
          <w:sz w:val="24"/>
          <w:szCs w:val="24"/>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Esoša iekārta</w:t>
      </w:r>
    </w:p>
    <w:p w:rsidR="002D1611" w:rsidRPr="001E6CF9" w:rsidRDefault="002D1611" w:rsidP="002D1611">
      <w:pPr>
        <w:pStyle w:val="BodyText"/>
        <w:ind w:left="0"/>
        <w:jc w:val="both"/>
        <w:rPr>
          <w:rFonts w:ascii="Times New Roman" w:hAnsi="Times New Roman"/>
          <w:noProof/>
        </w:rPr>
      </w:pPr>
      <w:r>
        <w:rPr>
          <w:rFonts w:ascii="Times New Roman" w:hAnsi="Times New Roman"/>
          <w:i/>
        </w:rPr>
        <w:t>FAR</w:t>
      </w:r>
      <w:r>
        <w:rPr>
          <w:rFonts w:ascii="Times New Roman" w:hAnsi="Times New Roman"/>
        </w:rPr>
        <w:t xml:space="preserve"> 2. panta 1. punkts: ““esoša iekārta” ir jebkura iekārta, kas veic vai nu vienu vai vairākas Direktīvas 2003/87/EK I pielikumā uzskaitītās darbības, vai darbību, kura ES ETS pirmo reizi iekļauta saskaņā ar minētās direktīvas 24. pantu, un kam siltumnīcefekta gāzu emisijas atļauja piešķirta līdz šādai dienai vai šādā dienā:</w:t>
      </w:r>
    </w:p>
    <w:p w:rsidR="002D1611" w:rsidRPr="001E6CF9" w:rsidRDefault="002D1611" w:rsidP="002D1611">
      <w:pPr>
        <w:pStyle w:val="BodyText"/>
        <w:ind w:left="0"/>
        <w:jc w:val="both"/>
        <w:rPr>
          <w:rFonts w:ascii="Times New Roman" w:hAnsi="Times New Roman"/>
          <w:noProof/>
        </w:rPr>
      </w:pPr>
      <w:r>
        <w:rPr>
          <w:rFonts w:ascii="Times New Roman" w:hAnsi="Times New Roman"/>
        </w:rPr>
        <w:t>a) uz 2021.–2025. gada periodu – 2019. gada 30. jūnijs;</w:t>
      </w:r>
    </w:p>
    <w:p w:rsidR="002D1611" w:rsidRPr="001E6CF9" w:rsidRDefault="002D1611" w:rsidP="002D1611">
      <w:pPr>
        <w:pStyle w:val="BodyText"/>
        <w:ind w:left="0"/>
        <w:jc w:val="both"/>
        <w:rPr>
          <w:rFonts w:ascii="Times New Roman" w:hAnsi="Times New Roman"/>
          <w:noProof/>
        </w:rPr>
      </w:pPr>
      <w:r>
        <w:rPr>
          <w:rFonts w:ascii="Times New Roman" w:hAnsi="Times New Roman"/>
        </w:rPr>
        <w:t>b) uz 2026.–2030. gada periodu – 2024. gada 30. jūnijs”.</w:t>
      </w:r>
    </w:p>
    <w:p w:rsidR="002D1611" w:rsidRPr="001E6CF9" w:rsidRDefault="002D1611" w:rsidP="002D1611">
      <w:pPr>
        <w:jc w:val="both"/>
        <w:rPr>
          <w:rFonts w:ascii="Times New Roman" w:eastAsia="Calibri" w:hAnsi="Times New Roman" w:cs="Calibri"/>
          <w:noProof/>
          <w:sz w:val="24"/>
          <w:szCs w:val="24"/>
        </w:rPr>
      </w:pPr>
    </w:p>
    <w:p w:rsidR="002D1611" w:rsidRPr="001E6CF9" w:rsidRDefault="002D1611" w:rsidP="002D1611">
      <w:pPr>
        <w:pStyle w:val="BodyText"/>
        <w:ind w:left="0"/>
        <w:jc w:val="both"/>
        <w:rPr>
          <w:rFonts w:ascii="Times New Roman" w:hAnsi="Times New Roman"/>
          <w:noProof/>
        </w:rPr>
      </w:pPr>
      <w:r>
        <w:rPr>
          <w:rFonts w:ascii="Times New Roman" w:hAnsi="Times New Roman"/>
        </w:rPr>
        <w:t>Jebkura tāda iekārta ES ETS darbības jomā, kas nav jauna iekārta.</w:t>
      </w:r>
    </w:p>
    <w:p w:rsidR="002D1611" w:rsidRPr="001E6CF9" w:rsidRDefault="002D1611" w:rsidP="002D1611">
      <w:pPr>
        <w:jc w:val="both"/>
        <w:rPr>
          <w:rFonts w:ascii="Times New Roman" w:eastAsia="Calibri" w:hAnsi="Times New Roman" w:cs="Calibri"/>
          <w:noProof/>
          <w:sz w:val="24"/>
          <w:szCs w:val="23"/>
        </w:rPr>
      </w:pPr>
    </w:p>
    <w:p w:rsidR="00335CDF" w:rsidRPr="001E6CF9" w:rsidRDefault="00335CDF" w:rsidP="00DE30DA">
      <w:pPr>
        <w:pStyle w:val="Heading4"/>
        <w:ind w:left="0"/>
        <w:jc w:val="both"/>
        <w:rPr>
          <w:rFonts w:ascii="Times New Roman" w:hAnsi="Times New Roman"/>
          <w:noProof/>
        </w:rPr>
      </w:pPr>
      <w:r>
        <w:rPr>
          <w:rFonts w:ascii="Times New Roman" w:hAnsi="Times New Roman"/>
        </w:rPr>
        <w:t>Iedales periods</w:t>
      </w:r>
    </w:p>
    <w:p w:rsidR="00335CDF" w:rsidRPr="001E6CF9" w:rsidRDefault="00335CDF" w:rsidP="00DE30DA">
      <w:pPr>
        <w:pStyle w:val="BodyText"/>
        <w:ind w:left="0"/>
        <w:jc w:val="both"/>
        <w:rPr>
          <w:rFonts w:ascii="Times New Roman" w:hAnsi="Times New Roman"/>
          <w:noProof/>
        </w:rPr>
      </w:pPr>
      <w:r>
        <w:rPr>
          <w:rFonts w:ascii="Times New Roman" w:hAnsi="Times New Roman"/>
          <w:i/>
        </w:rPr>
        <w:t>FAR</w:t>
      </w:r>
      <w:r>
        <w:rPr>
          <w:rFonts w:ascii="Times New Roman" w:hAnsi="Times New Roman"/>
        </w:rPr>
        <w:t xml:space="preserve"> 2. panta 15. punkts: ““iedales periods” ir piecu gadu periods, kas sākas 2021. gada 1. janvārī, un katrs nākamais piecu gadu periods”.</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4. periods sastāv no 2 iedales periodiem; pirmais no tiem ilgst no 2021. gada 1. janvāra līdz 2025. gada 31. decembrim, otrais – no 2026. gada 1. janvāra līdz 2030. gada 31. decembrim.</w:t>
      </w:r>
    </w:p>
    <w:p w:rsidR="00335CDF" w:rsidRPr="001E6CF9" w:rsidRDefault="00335CDF" w:rsidP="00DE30DA">
      <w:pPr>
        <w:jc w:val="both"/>
        <w:rPr>
          <w:rFonts w:ascii="Times New Roman" w:eastAsia="Calibri" w:hAnsi="Times New Roman" w:cs="Calibri"/>
          <w:noProof/>
          <w:sz w:val="24"/>
          <w:szCs w:val="23"/>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Iekārta</w:t>
      </w:r>
    </w:p>
    <w:p w:rsidR="002D1611" w:rsidRPr="001E6CF9" w:rsidRDefault="002D1611" w:rsidP="002D1611">
      <w:pPr>
        <w:pStyle w:val="BodyText"/>
        <w:ind w:left="0"/>
        <w:jc w:val="both"/>
        <w:rPr>
          <w:rFonts w:ascii="Times New Roman" w:hAnsi="Times New Roman"/>
          <w:noProof/>
        </w:rPr>
      </w:pPr>
      <w:r>
        <w:rPr>
          <w:rFonts w:ascii="Times New Roman" w:hAnsi="Times New Roman"/>
        </w:rPr>
        <w:t>Direktīvas 3. panta e) punkts: ““iekārta” nozīmē stacionāru tehnisko vienību, kur veic vienu vai vairākas darbības, kas minētas (ES ETS direktīvas) I pielikumā, un citas tieši saistītas darbības, kurām ir tehniska saistība ar šajā objektā veicamajām darbībām un kuras var ietekmēt emisijas un piesārņojumu”.</w:t>
      </w:r>
    </w:p>
    <w:p w:rsidR="002D1611" w:rsidRPr="001E6CF9" w:rsidRDefault="002D1611" w:rsidP="002D1611">
      <w:pPr>
        <w:jc w:val="both"/>
        <w:rPr>
          <w:rFonts w:ascii="Times New Roman" w:eastAsia="Calibri" w:hAnsi="Times New Roman" w:cs="Calibri"/>
          <w:noProof/>
          <w:sz w:val="24"/>
          <w:szCs w:val="24"/>
        </w:rPr>
      </w:pPr>
    </w:p>
    <w:p w:rsidR="002D1611" w:rsidRPr="001E6CF9" w:rsidRDefault="002D1611" w:rsidP="002D1611">
      <w:pPr>
        <w:pStyle w:val="BodyText"/>
        <w:ind w:left="0"/>
        <w:jc w:val="both"/>
        <w:rPr>
          <w:rFonts w:ascii="Times New Roman" w:hAnsi="Times New Roman"/>
          <w:noProof/>
        </w:rPr>
      </w:pPr>
      <w:r>
        <w:rPr>
          <w:rFonts w:ascii="Times New Roman" w:hAnsi="Times New Roman"/>
        </w:rPr>
        <w:t>Stacionāra iekārta vai vienība, kas ražo enerģiju vai produktus, ko aptver ES ETS, un saistītās darbības, kurām ir tehniska saistība ar iekārtu vai vienību un kuras ietekmē emisijas.</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Izmērāms siltums</w:t>
      </w:r>
    </w:p>
    <w:p w:rsidR="002D1611" w:rsidRPr="001E6CF9" w:rsidRDefault="002D1611" w:rsidP="002D1611">
      <w:pPr>
        <w:pStyle w:val="BodyText"/>
        <w:ind w:left="0"/>
        <w:jc w:val="both"/>
        <w:rPr>
          <w:rFonts w:ascii="Times New Roman" w:hAnsi="Times New Roman"/>
          <w:noProof/>
        </w:rPr>
      </w:pPr>
      <w:r>
        <w:rPr>
          <w:rFonts w:ascii="Times New Roman" w:hAnsi="Times New Roman"/>
          <w:i/>
        </w:rPr>
        <w:t>FAR</w:t>
      </w:r>
      <w:r>
        <w:rPr>
          <w:rFonts w:ascii="Times New Roman" w:hAnsi="Times New Roman"/>
        </w:rPr>
        <w:t xml:space="preserve"> 2. panta 7. punkts: ““izmērāms siltums” ir neto siltuma plūsma, kas tiek transportēta pa identificējamiem cauruļvadiem vai kanāliem ar siltumnesēju, piemēram, tvaiku, karstu gaisu, </w:t>
      </w:r>
      <w:r>
        <w:rPr>
          <w:rFonts w:ascii="Times New Roman" w:hAnsi="Times New Roman"/>
        </w:rPr>
        <w:lastRenderedPageBreak/>
        <w:t>ūdeni, eļļu, šķidriem metāliem un sāļiem, un kam ir uzstādīts siltuma skaitītājs vai tādu būtu iespējams uzstādīt”.</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BodyText"/>
        <w:ind w:left="0"/>
        <w:jc w:val="both"/>
        <w:rPr>
          <w:rFonts w:ascii="Times New Roman" w:hAnsi="Times New Roman"/>
          <w:noProof/>
        </w:rPr>
      </w:pPr>
      <w:r>
        <w:rPr>
          <w:rFonts w:ascii="Times New Roman" w:hAnsi="Times New Roman"/>
        </w:rPr>
        <w:t>Izmērāma siltuma plūsmām ir visas turpmāk minētās īpašības:</w:t>
      </w:r>
    </w:p>
    <w:p w:rsidR="002D1611" w:rsidRPr="001E6CF9" w:rsidRDefault="002D1611" w:rsidP="002D1611">
      <w:pPr>
        <w:pStyle w:val="BodyText"/>
        <w:numPr>
          <w:ilvl w:val="1"/>
          <w:numId w:val="8"/>
        </w:numPr>
        <w:tabs>
          <w:tab w:val="left" w:pos="403"/>
        </w:tabs>
        <w:ind w:left="426" w:hanging="426"/>
        <w:jc w:val="both"/>
        <w:rPr>
          <w:rFonts w:ascii="Times New Roman" w:hAnsi="Times New Roman"/>
          <w:noProof/>
        </w:rPr>
      </w:pPr>
      <w:r>
        <w:rPr>
          <w:rFonts w:ascii="Times New Roman" w:hAnsi="Times New Roman"/>
        </w:rPr>
        <w:t>tās ir neto plūsmas, kas nozīmē, ka siltumsaturs kondensātā vai siltumnesējā, kas atgriežas līdz siltuma piegādātājam, tiek atskaitīts;</w:t>
      </w:r>
    </w:p>
    <w:p w:rsidR="002D1611" w:rsidRDefault="002D1611" w:rsidP="002D1611">
      <w:pPr>
        <w:pStyle w:val="BodyText"/>
        <w:numPr>
          <w:ilvl w:val="1"/>
          <w:numId w:val="8"/>
        </w:numPr>
        <w:tabs>
          <w:tab w:val="left" w:pos="403"/>
        </w:tabs>
        <w:ind w:left="426" w:hanging="426"/>
        <w:jc w:val="both"/>
        <w:rPr>
          <w:rFonts w:ascii="Times New Roman" w:hAnsi="Times New Roman"/>
          <w:noProof/>
        </w:rPr>
      </w:pPr>
      <w:r>
        <w:rPr>
          <w:rFonts w:ascii="Times New Roman" w:hAnsi="Times New Roman"/>
        </w:rPr>
        <w:t>siltuma plūsmas tiek transportētas pa cauruļvadiem vai kanāliem;</w:t>
      </w:r>
    </w:p>
    <w:p w:rsidR="002D1611" w:rsidRPr="001E6CF9" w:rsidRDefault="002D1611" w:rsidP="002D1611">
      <w:pPr>
        <w:pStyle w:val="BodyText"/>
        <w:tabs>
          <w:tab w:val="left" w:pos="403"/>
        </w:tabs>
        <w:ind w:left="426"/>
        <w:jc w:val="both"/>
        <w:rPr>
          <w:rFonts w:ascii="Times New Roman" w:hAnsi="Times New Roman"/>
          <w:noProof/>
        </w:rPr>
      </w:pPr>
      <w:r>
        <w:rPr>
          <w:rFonts w:ascii="Times New Roman" w:hAnsi="Times New Roman"/>
        </w:rPr>
        <w:t>UN</w:t>
      </w:r>
    </w:p>
    <w:p w:rsidR="002D1611" w:rsidRPr="001E6CF9" w:rsidRDefault="002D1611" w:rsidP="002D1611">
      <w:pPr>
        <w:pStyle w:val="BodyText"/>
        <w:numPr>
          <w:ilvl w:val="1"/>
          <w:numId w:val="8"/>
        </w:numPr>
        <w:tabs>
          <w:tab w:val="left" w:pos="403"/>
        </w:tabs>
        <w:ind w:left="426" w:hanging="426"/>
        <w:jc w:val="both"/>
        <w:rPr>
          <w:rFonts w:ascii="Times New Roman" w:hAnsi="Times New Roman"/>
          <w:noProof/>
        </w:rPr>
      </w:pPr>
      <w:r>
        <w:rPr>
          <w:rFonts w:ascii="Times New Roman" w:hAnsi="Times New Roman"/>
        </w:rPr>
        <w:t>siltuma plūsmas tiek transportētas ar siltumnesēju, piemēram, tvaiku, karstu gaisu, ūdeni, eļļu, šķidriem metāliem vai sāļiem;</w:t>
      </w:r>
    </w:p>
    <w:p w:rsidR="002D1611" w:rsidRPr="001E6CF9" w:rsidRDefault="002D1611" w:rsidP="002D1611">
      <w:pPr>
        <w:pStyle w:val="BodyText"/>
        <w:ind w:left="426"/>
        <w:jc w:val="both"/>
        <w:rPr>
          <w:rFonts w:ascii="Times New Roman" w:hAnsi="Times New Roman"/>
          <w:noProof/>
        </w:rPr>
      </w:pPr>
      <w:r>
        <w:rPr>
          <w:rFonts w:ascii="Times New Roman" w:hAnsi="Times New Roman"/>
        </w:rPr>
        <w:t>UN</w:t>
      </w:r>
    </w:p>
    <w:p w:rsidR="002D1611" w:rsidRPr="001E6CF9" w:rsidRDefault="002D1611" w:rsidP="002D1611">
      <w:pPr>
        <w:pStyle w:val="BodyText"/>
        <w:numPr>
          <w:ilvl w:val="1"/>
          <w:numId w:val="8"/>
        </w:numPr>
        <w:tabs>
          <w:tab w:val="left" w:pos="403"/>
        </w:tabs>
        <w:ind w:left="426" w:hanging="426"/>
        <w:jc w:val="both"/>
        <w:rPr>
          <w:rFonts w:ascii="Times New Roman" w:hAnsi="Times New Roman"/>
          <w:noProof/>
        </w:rPr>
      </w:pPr>
      <w:r>
        <w:rPr>
          <w:rFonts w:ascii="Times New Roman" w:hAnsi="Times New Roman"/>
        </w:rPr>
        <w:t>siltuma plūsmas tiek mērītas vai var izmērīt ar siltuma skaitītāju</w:t>
      </w:r>
      <w:r>
        <w:rPr>
          <w:rStyle w:val="FootnoteReference"/>
          <w:rFonts w:ascii="Times New Roman" w:hAnsi="Times New Roman" w:cs="Calibri"/>
          <w:noProof/>
        </w:rPr>
        <w:footnoteReference w:id="41"/>
      </w:r>
      <w:r>
        <w:rPr>
          <w:rFonts w:ascii="Times New Roman" w:hAnsi="Times New Roman"/>
        </w:rPr>
        <w:t xml:space="preserve"> (proti, ja siltuma skaitītājs ir jebkāda ierīce, kas var izmērīt saražotās enerģijas daudzumu, balstoties uz plūsmas apjomiem un temperatūrām).</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Jauna iekārta</w:t>
      </w:r>
    </w:p>
    <w:p w:rsidR="002D1611" w:rsidRPr="001E6CF9" w:rsidRDefault="002D1611" w:rsidP="002D1611">
      <w:pPr>
        <w:pStyle w:val="BodyText"/>
        <w:ind w:left="0"/>
        <w:jc w:val="both"/>
        <w:rPr>
          <w:rFonts w:ascii="Times New Roman" w:hAnsi="Times New Roman"/>
          <w:noProof/>
        </w:rPr>
      </w:pPr>
      <w:r>
        <w:rPr>
          <w:rFonts w:ascii="Times New Roman" w:hAnsi="Times New Roman"/>
        </w:rPr>
        <w:t>Direktīvas 3. panta h) punkts: ““jauna iekārta” ir jebkura iekārta, kura veic vienu vai vairākas I pielikumā uzskaitītās darbības un kurai siltumnīcas efektu izraisošo gāzu emisijas atļauja atļauja pirmo reizi saņemta laikposmā, kas sākas trīs mēnešus pirms dienas, kurā iesniedzams 11. panta 1. punktā paredzētais saraksts, un beidzas trīs mēnešus pirms dienas, kurā iesniedzams nākamais minētajā pantā paredzētais saraksts”.</w:t>
      </w:r>
    </w:p>
    <w:p w:rsidR="002D1611" w:rsidRPr="001E6CF9" w:rsidRDefault="002D1611" w:rsidP="002D1611">
      <w:pPr>
        <w:jc w:val="both"/>
        <w:rPr>
          <w:rFonts w:ascii="Times New Roman" w:eastAsia="Calibri" w:hAnsi="Times New Roman" w:cs="Calibri"/>
          <w:noProof/>
          <w:sz w:val="24"/>
          <w:szCs w:val="24"/>
        </w:rPr>
      </w:pPr>
    </w:p>
    <w:p w:rsidR="002D1611" w:rsidRPr="001E6CF9" w:rsidRDefault="002D1611" w:rsidP="002D1611">
      <w:pPr>
        <w:pStyle w:val="BodyText"/>
        <w:ind w:left="0"/>
        <w:jc w:val="both"/>
        <w:rPr>
          <w:rFonts w:ascii="Times New Roman" w:hAnsi="Times New Roman"/>
          <w:noProof/>
        </w:rPr>
      </w:pPr>
      <w:r>
        <w:rPr>
          <w:rFonts w:ascii="Times New Roman" w:hAnsi="Times New Roman"/>
        </w:rPr>
        <w:t xml:space="preserve">Pilnīgi jaunas iekārtas, kas nav ekspluatācijā </w:t>
      </w:r>
      <w:r>
        <w:rPr>
          <w:rFonts w:ascii="Times New Roman" w:hAnsi="Times New Roman"/>
          <w:i/>
        </w:rPr>
        <w:t>NIM</w:t>
      </w:r>
      <w:r>
        <w:rPr>
          <w:rFonts w:ascii="Times New Roman" w:hAnsi="Times New Roman"/>
        </w:rPr>
        <w:t xml:space="preserve"> saraksta izveidošanas laikā un ko nosaka atkarībā no siltumnīcefekta gāzu emisijas atļaujas saņemšanas datuma (pēdējais termiņš ir 3 mēneši pirms </w:t>
      </w:r>
      <w:r>
        <w:rPr>
          <w:rFonts w:ascii="Times New Roman" w:hAnsi="Times New Roman"/>
          <w:i/>
        </w:rPr>
        <w:t>NIM</w:t>
      </w:r>
      <w:r>
        <w:rPr>
          <w:rFonts w:ascii="Times New Roman" w:hAnsi="Times New Roman"/>
        </w:rPr>
        <w:t xml:space="preserve"> saraksta iesniegšanas).</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Kompetentā iestāde</w:t>
      </w:r>
    </w:p>
    <w:p w:rsidR="002D1611" w:rsidRPr="001E6CF9" w:rsidRDefault="002D1611" w:rsidP="002D1611">
      <w:pPr>
        <w:pStyle w:val="BodyText"/>
        <w:ind w:left="0"/>
        <w:jc w:val="both"/>
        <w:rPr>
          <w:rFonts w:ascii="Times New Roman" w:hAnsi="Times New Roman"/>
          <w:noProof/>
        </w:rPr>
      </w:pPr>
      <w:r>
        <w:rPr>
          <w:rFonts w:ascii="Times New Roman" w:hAnsi="Times New Roman"/>
        </w:rPr>
        <w:t>Kompetentā iestāde vai iestādes, kas izraudzītas saskaņā ar Direktīvas 2003/87/EK 18. pantu. Katrai dalībvalstij var būt viena vai vairākas kompetentās iestādes.</w:t>
      </w:r>
    </w:p>
    <w:p w:rsidR="002D1611" w:rsidRPr="001E6CF9" w:rsidRDefault="002D1611" w:rsidP="002D1611">
      <w:pPr>
        <w:jc w:val="both"/>
        <w:rPr>
          <w:rFonts w:ascii="Times New Roman" w:eastAsia="Calibri" w:hAnsi="Times New Roman" w:cs="Calibri"/>
          <w:noProof/>
          <w:sz w:val="24"/>
          <w:szCs w:val="24"/>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Kurināmā līmeņatzīmes apakšiekārta</w:t>
      </w:r>
    </w:p>
    <w:p w:rsidR="002D1611" w:rsidRPr="001E6CF9" w:rsidRDefault="002D1611" w:rsidP="002D1611">
      <w:pPr>
        <w:pStyle w:val="BodyText"/>
        <w:ind w:left="0"/>
        <w:jc w:val="both"/>
        <w:rPr>
          <w:rFonts w:ascii="Times New Roman" w:hAnsi="Times New Roman"/>
          <w:noProof/>
        </w:rPr>
      </w:pPr>
      <w:r>
        <w:rPr>
          <w:rFonts w:ascii="Times New Roman" w:hAnsi="Times New Roman"/>
          <w:i/>
        </w:rPr>
        <w:t>FAR</w:t>
      </w:r>
      <w:r>
        <w:rPr>
          <w:rFonts w:ascii="Times New Roman" w:hAnsi="Times New Roman"/>
        </w:rPr>
        <w:t xml:space="preserve"> 2. panta 6. punkts: ““kurināmā līmeņatzīmes apakšiekārta” ir ielaide, izlaide un attiecīgās emisijas, ko neaptver produkta līmeņatzīmes apakšiekārta, kas saistītas ar neizmērāmā siltuma ražošanu, sadedzinot kurināmo, kuru izmanto produktu ražošanai, mehāniskās enerģijas ražošanai (izņemot nolūkā saražot elektroenerģiju), siltumapgādei vai aukstumapgādei (izņemot patēriņu nolūkā saražot elektroenerģiju), ieskaitot sadedzināšanu lāpā drošības apsvērumu dēļ”.</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BodyText"/>
        <w:ind w:left="0"/>
        <w:jc w:val="both"/>
        <w:rPr>
          <w:rFonts w:ascii="Times New Roman" w:hAnsi="Times New Roman"/>
          <w:noProof/>
        </w:rPr>
      </w:pPr>
      <w:r>
        <w:rPr>
          <w:rFonts w:ascii="Times New Roman" w:hAnsi="Times New Roman"/>
        </w:rPr>
        <w:t>Apakšiekārta, kas noteikta ES ETS iekārtā, lai aprēķinātu bez maksas piešķiramo emisijas kvotu apjomu, uz kādu iekārta var pretendēt tādēļ, ka tā patērē kurināmo (kad to neizmanto, lai ražotu produktus, uz kuriem attiecas produktu līmeņatzīmes, vai ražotu izmērāmu siltumu, uz ko attiecas kurināmā līmeņatzīme, vai arī ražotu elektroenerģiju).</w:t>
      </w:r>
    </w:p>
    <w:p w:rsidR="002D1611" w:rsidRPr="001E6CF9" w:rsidRDefault="002D1611" w:rsidP="002D1611">
      <w:pPr>
        <w:jc w:val="both"/>
        <w:rPr>
          <w:rFonts w:ascii="Times New Roman" w:eastAsia="Calibri" w:hAnsi="Times New Roman" w:cs="Calibri"/>
          <w:noProof/>
          <w:sz w:val="24"/>
          <w:szCs w:val="23"/>
        </w:rPr>
      </w:pPr>
    </w:p>
    <w:p w:rsidR="00335CDF" w:rsidRPr="001E6CF9" w:rsidRDefault="00335CDF" w:rsidP="00DE30DA">
      <w:pPr>
        <w:pStyle w:val="Heading4"/>
        <w:ind w:left="0"/>
        <w:jc w:val="both"/>
        <w:rPr>
          <w:rFonts w:ascii="Times New Roman" w:hAnsi="Times New Roman"/>
          <w:noProof/>
        </w:rPr>
      </w:pPr>
      <w:r>
        <w:rPr>
          <w:rFonts w:ascii="Times New Roman" w:hAnsi="Times New Roman"/>
        </w:rPr>
        <w:t>Kvota</w:t>
      </w:r>
    </w:p>
    <w:p w:rsidR="00335CDF" w:rsidRPr="001E6CF9" w:rsidRDefault="00335CDF" w:rsidP="00DE30DA">
      <w:pPr>
        <w:pStyle w:val="BodyText"/>
        <w:ind w:left="0"/>
        <w:jc w:val="both"/>
        <w:rPr>
          <w:rFonts w:ascii="Times New Roman" w:hAnsi="Times New Roman"/>
          <w:noProof/>
        </w:rPr>
      </w:pPr>
      <w:r>
        <w:rPr>
          <w:rFonts w:ascii="Times New Roman" w:hAnsi="Times New Roman"/>
        </w:rPr>
        <w:t>Direktīvas 3. panta a) punkts: ““kvota” nozīmē atļauju emitēt vienu tonnu oglekļa dioksīda ekvivalenta noteiktā periodā, un tā ir derīga vienīgi šajā direktīvā izvirzītajiem mērķiem un pārskaitāma citiem saskaņā ar šīs direktīvas noteikumiem”.</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BodyText"/>
        <w:ind w:left="0"/>
        <w:jc w:val="both"/>
        <w:rPr>
          <w:rFonts w:ascii="Times New Roman" w:hAnsi="Times New Roman"/>
          <w:noProof/>
        </w:rPr>
      </w:pPr>
      <w:r>
        <w:rPr>
          <w:rFonts w:ascii="Times New Roman" w:hAnsi="Times New Roman"/>
        </w:rPr>
        <w:lastRenderedPageBreak/>
        <w:t>Kvota, kuru var izmantot, lai, izpildot ES ETS noteiktās saistības, nosegtu vienu tonnu SEG emisijas, ko radījis ES ETS dalībnieks, un kura ir pārskaitāma (t. i., tirgojama).</w:t>
      </w:r>
    </w:p>
    <w:p w:rsidR="00335CDF" w:rsidRPr="001E6CF9" w:rsidRDefault="00335CDF" w:rsidP="00DE30DA">
      <w:pPr>
        <w:jc w:val="both"/>
        <w:rPr>
          <w:rFonts w:ascii="Times New Roman" w:eastAsia="Calibri" w:hAnsi="Times New Roman" w:cs="Calibri"/>
          <w:noProof/>
          <w:sz w:val="24"/>
          <w:szCs w:val="23"/>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Operators</w:t>
      </w:r>
    </w:p>
    <w:p w:rsidR="002D1611" w:rsidRPr="001E6CF9" w:rsidRDefault="002D1611" w:rsidP="002D1611">
      <w:pPr>
        <w:pStyle w:val="BodyText"/>
        <w:ind w:left="0"/>
        <w:jc w:val="both"/>
        <w:rPr>
          <w:rFonts w:ascii="Times New Roman" w:hAnsi="Times New Roman"/>
          <w:noProof/>
        </w:rPr>
      </w:pPr>
      <w:r>
        <w:rPr>
          <w:rFonts w:ascii="Times New Roman" w:hAnsi="Times New Roman"/>
        </w:rPr>
        <w:t>Direktīvas 3. panta f) punkts: ““operators” nozīmē jebkuru personu, kas ekspluatē vai kontrolē iekārtu, vai gadījumos, kad to paredz attiecīgās valsts tiesību akti, personu, kurai deleģētas ekonomiskas pilnvaras attiecībā uz iekārtas tehnisku funkcionēšanu”.</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BodyText"/>
        <w:ind w:left="0"/>
        <w:jc w:val="both"/>
        <w:rPr>
          <w:rFonts w:ascii="Times New Roman" w:hAnsi="Times New Roman"/>
          <w:noProof/>
        </w:rPr>
      </w:pPr>
      <w:r>
        <w:rPr>
          <w:rFonts w:ascii="Times New Roman" w:hAnsi="Times New Roman"/>
        </w:rPr>
        <w:t>Persona, kas tiesīga pieņemt lēmumus par iekārtu.</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Procesa emisiju apakšiekārta</w:t>
      </w:r>
    </w:p>
    <w:p w:rsidR="002D1611" w:rsidRPr="001E6CF9" w:rsidRDefault="002D1611" w:rsidP="002D1611">
      <w:pPr>
        <w:pStyle w:val="BodyText"/>
        <w:ind w:left="0"/>
        <w:jc w:val="both"/>
        <w:rPr>
          <w:rFonts w:ascii="Times New Roman" w:hAnsi="Times New Roman"/>
          <w:noProof/>
        </w:rPr>
      </w:pPr>
      <w:r>
        <w:rPr>
          <w:rFonts w:ascii="Times New Roman" w:hAnsi="Times New Roman"/>
          <w:i/>
        </w:rPr>
        <w:t>FAR</w:t>
      </w:r>
      <w:r>
        <w:rPr>
          <w:rFonts w:ascii="Times New Roman" w:hAnsi="Times New Roman"/>
        </w:rPr>
        <w:t xml:space="preserve"> 2. panta 10. punkts: ““procesa emisiju apakšiekārta” ir Direktīvas 2003/87/EK I pielikumā uzskaitītās siltumnīcefekta gāzu emisijas (izņemot oglekļa dioksīda emisijas), kas rodas ārpus šīs regulas I pielikumā iekļauto produktu līmeņatzīmju sistēmu robežām, vai oglekļa dioksīda emisijas, kas rodas ārpus šīs regulas I pielikumā iekļauto produktu līmeņatzīmju sistēmu robežām, ja tās ir jebkura turpmāk minētā procesa tiešs un tūlītējs rezultāts, un emisijas, kas rodas atlikumgāzu sadedzināšanā izmērāma siltuma, neizmērāma siltuma vai elektroenerģijas ražošanai, ar nosacījumu, ka tiek atskaitītas emisijas, kas būtu radušās, sadedzinot tādu dabasgāzes daudzumu, kurš līdzvērtīgs sadedzinātā nepilnīgi oksidētā oglekļa tehniski izmantojamajam enerģētiskajam saturam:</w:t>
      </w:r>
    </w:p>
    <w:p w:rsidR="002D1611" w:rsidRPr="001E6CF9" w:rsidRDefault="002D1611" w:rsidP="002D1611">
      <w:pPr>
        <w:pStyle w:val="BodyText"/>
        <w:tabs>
          <w:tab w:val="left" w:pos="827"/>
        </w:tabs>
        <w:ind w:left="0"/>
        <w:jc w:val="both"/>
        <w:rPr>
          <w:rFonts w:ascii="Times New Roman" w:hAnsi="Times New Roman"/>
          <w:noProof/>
        </w:rPr>
      </w:pPr>
      <w:r>
        <w:rPr>
          <w:rFonts w:ascii="Times New Roman" w:hAnsi="Times New Roman"/>
        </w:rPr>
        <w:t>a) tāda metāla savienojumu ķīmiskā, elektrolītiskā vai pirometalurģiskā reducēšana rūdās, koncentrātos un sekundārajos materiālos, kuras pamatmērķis nav siltuma ražošana;</w:t>
      </w:r>
    </w:p>
    <w:p w:rsidR="002D1611" w:rsidRPr="001E6CF9" w:rsidRDefault="002D1611" w:rsidP="002D1611">
      <w:pPr>
        <w:pStyle w:val="BodyText"/>
        <w:tabs>
          <w:tab w:val="left" w:pos="827"/>
        </w:tabs>
        <w:ind w:left="0"/>
        <w:jc w:val="both"/>
        <w:rPr>
          <w:rFonts w:ascii="Times New Roman" w:hAnsi="Times New Roman"/>
          <w:noProof/>
        </w:rPr>
      </w:pPr>
      <w:r>
        <w:rPr>
          <w:rFonts w:ascii="Times New Roman" w:hAnsi="Times New Roman"/>
        </w:rPr>
        <w:t>b) tāda piemaisījumu atdalīšana no metāliem un metālu savienojumiem, kuras pamatmērķis nav siltuma ražošana;</w:t>
      </w:r>
    </w:p>
    <w:p w:rsidR="002D1611" w:rsidRPr="001E6CF9" w:rsidRDefault="002D1611" w:rsidP="002D1611">
      <w:pPr>
        <w:pStyle w:val="BodyText"/>
        <w:tabs>
          <w:tab w:val="left" w:pos="827"/>
        </w:tabs>
        <w:ind w:left="0"/>
        <w:jc w:val="both"/>
        <w:rPr>
          <w:rFonts w:ascii="Times New Roman" w:hAnsi="Times New Roman"/>
          <w:noProof/>
        </w:rPr>
      </w:pPr>
      <w:r>
        <w:rPr>
          <w:rFonts w:ascii="Times New Roman" w:hAnsi="Times New Roman"/>
        </w:rPr>
        <w:t>c) karbonātu sadalīšana (izņemot karbonātus dūmgāzu attīrīšanai skruberī), kuras pamatmērķis nav siltuma ražošana;</w:t>
      </w:r>
    </w:p>
    <w:p w:rsidR="002D1611" w:rsidRPr="001E6CF9" w:rsidRDefault="002D1611" w:rsidP="002D1611">
      <w:pPr>
        <w:pStyle w:val="BodyText"/>
        <w:tabs>
          <w:tab w:val="left" w:pos="827"/>
        </w:tabs>
        <w:ind w:left="0"/>
        <w:jc w:val="both"/>
        <w:rPr>
          <w:rFonts w:ascii="Times New Roman" w:hAnsi="Times New Roman"/>
          <w:noProof/>
        </w:rPr>
      </w:pPr>
      <w:r>
        <w:rPr>
          <w:rFonts w:ascii="Times New Roman" w:hAnsi="Times New Roman"/>
        </w:rPr>
        <w:t>d) produktu un starpproduktu ķīmiskā sintēze, kuras ietvaros reakcijā piedalās oglekli saturošs materiāls un kuras pamatmērķis nav siltuma ražošana;</w:t>
      </w:r>
    </w:p>
    <w:p w:rsidR="002D1611" w:rsidRPr="001E6CF9" w:rsidRDefault="002D1611" w:rsidP="002D1611">
      <w:pPr>
        <w:pStyle w:val="BodyText"/>
        <w:tabs>
          <w:tab w:val="left" w:pos="827"/>
        </w:tabs>
        <w:ind w:left="0"/>
        <w:jc w:val="both"/>
        <w:rPr>
          <w:rFonts w:ascii="Times New Roman" w:hAnsi="Times New Roman"/>
          <w:noProof/>
        </w:rPr>
      </w:pPr>
      <w:r>
        <w:rPr>
          <w:rFonts w:ascii="Times New Roman" w:hAnsi="Times New Roman"/>
        </w:rPr>
        <w:t>e) oglekli saturošu piedevu vai izejmateriālu izmantošana pamatmērķim, kas nav siltuma ražošana;</w:t>
      </w:r>
    </w:p>
    <w:p w:rsidR="002D1611" w:rsidRPr="001E6CF9" w:rsidRDefault="002D1611" w:rsidP="002D1611">
      <w:pPr>
        <w:pStyle w:val="BodyText"/>
        <w:tabs>
          <w:tab w:val="left" w:pos="827"/>
        </w:tabs>
        <w:ind w:left="0"/>
        <w:jc w:val="both"/>
        <w:rPr>
          <w:rFonts w:ascii="Times New Roman" w:hAnsi="Times New Roman"/>
          <w:noProof/>
        </w:rPr>
      </w:pPr>
      <w:r>
        <w:rPr>
          <w:rFonts w:ascii="Times New Roman" w:hAnsi="Times New Roman"/>
        </w:rPr>
        <w:t>f) pusmetālu vai nemetālu oksīdu, piem., silīcija oksīdu un fosfātu, ķīmiskā vai elektrolītiskā reducēšana, kuras pamatmērķis nav siltuma ražošana”.</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BodyText"/>
        <w:ind w:left="0"/>
        <w:jc w:val="both"/>
        <w:rPr>
          <w:rFonts w:ascii="Times New Roman" w:hAnsi="Times New Roman"/>
          <w:noProof/>
        </w:rPr>
      </w:pPr>
      <w:r>
        <w:rPr>
          <w:rFonts w:ascii="Times New Roman" w:hAnsi="Times New Roman"/>
        </w:rPr>
        <w:t>Apakšiekārta, kas noteikta ES ETS iekārtā, lai aprēķinātu bez maksas piešķiramo emisijas kvotu apjomu, uz kādu iekārta var pretendēt tādēļ, ka tā emitē procesa emisijas. Procesa emisiju apakšiekārta var radīt jebkādas no turpmāk minētajām emisijām, ja emisijas notiek ārpus produkta līmeņatzīmes robežām:</w:t>
      </w:r>
    </w:p>
    <w:p w:rsidR="002D1611" w:rsidRPr="001E6CF9" w:rsidRDefault="002D1611" w:rsidP="002D1611">
      <w:pPr>
        <w:pStyle w:val="BodyText"/>
        <w:tabs>
          <w:tab w:val="left" w:pos="403"/>
        </w:tabs>
        <w:ind w:left="0"/>
        <w:jc w:val="both"/>
        <w:rPr>
          <w:rFonts w:ascii="Times New Roman" w:hAnsi="Times New Roman"/>
          <w:noProof/>
        </w:rPr>
      </w:pPr>
      <w:r>
        <w:rPr>
          <w:rFonts w:ascii="Times New Roman" w:hAnsi="Times New Roman"/>
        </w:rPr>
        <w:t>1. siltumnīcefekta gāzu emisijas, kas nav saistītas ar CO</w:t>
      </w:r>
      <w:r>
        <w:rPr>
          <w:rFonts w:ascii="Times New Roman" w:hAnsi="Times New Roman"/>
          <w:vertAlign w:val="subscript"/>
        </w:rPr>
        <w:t>2</w:t>
      </w:r>
      <w:r>
        <w:rPr>
          <w:rFonts w:ascii="Times New Roman" w:hAnsi="Times New Roman"/>
        </w:rPr>
        <w:t xml:space="preserve"> emisijām (t. i., N</w:t>
      </w:r>
      <w:r>
        <w:rPr>
          <w:rFonts w:ascii="Times New Roman" w:hAnsi="Times New Roman"/>
          <w:vertAlign w:val="subscript"/>
        </w:rPr>
        <w:t>2</w:t>
      </w:r>
      <w:r>
        <w:rPr>
          <w:rFonts w:ascii="Times New Roman" w:hAnsi="Times New Roman"/>
        </w:rPr>
        <w:t>O emisijas noteiktās nozarēs; to darbību sarakstu, attiecībā uz kurām N</w:t>
      </w:r>
      <w:r>
        <w:rPr>
          <w:rFonts w:ascii="Times New Roman" w:hAnsi="Times New Roman"/>
          <w:vertAlign w:val="subscript"/>
        </w:rPr>
        <w:t>2</w:t>
      </w:r>
      <w:r>
        <w:rPr>
          <w:rFonts w:ascii="Times New Roman" w:hAnsi="Times New Roman"/>
        </w:rPr>
        <w:t>O emisijas ir ietvertas ES ETS 4. periodam, sk. ES ETS direktīvas I pielikumu);</w:t>
      </w:r>
    </w:p>
    <w:p w:rsidR="002D1611" w:rsidRPr="001E6CF9" w:rsidRDefault="002D1611" w:rsidP="002D1611">
      <w:pPr>
        <w:pStyle w:val="BodyText"/>
        <w:tabs>
          <w:tab w:val="left" w:pos="403"/>
        </w:tabs>
        <w:ind w:left="0"/>
        <w:jc w:val="both"/>
        <w:rPr>
          <w:rFonts w:ascii="Times New Roman" w:hAnsi="Times New Roman"/>
          <w:noProof/>
        </w:rPr>
      </w:pPr>
      <w:r>
        <w:rPr>
          <w:rFonts w:ascii="Times New Roman" w:hAnsi="Times New Roman"/>
        </w:rPr>
        <w:t>2. CO</w:t>
      </w:r>
      <w:r>
        <w:rPr>
          <w:rFonts w:ascii="Times New Roman" w:hAnsi="Times New Roman"/>
          <w:vertAlign w:val="subscript"/>
        </w:rPr>
        <w:t>2</w:t>
      </w:r>
      <w:r>
        <w:rPr>
          <w:rFonts w:ascii="Times New Roman" w:hAnsi="Times New Roman"/>
        </w:rPr>
        <w:t xml:space="preserve"> emisijas jebkādu </w:t>
      </w:r>
      <w:r>
        <w:rPr>
          <w:rFonts w:ascii="Times New Roman" w:hAnsi="Times New Roman"/>
          <w:i/>
        </w:rPr>
        <w:t>FAR</w:t>
      </w:r>
      <w:r>
        <w:rPr>
          <w:rFonts w:ascii="Times New Roman" w:hAnsi="Times New Roman"/>
        </w:rPr>
        <w:t xml:space="preserve"> 2. panta 10. punkta a) līdz f) apakšpunktā uzskaitīto darbību rezultātā;</w:t>
      </w:r>
    </w:p>
    <w:p w:rsidR="002D1611" w:rsidRPr="001E6CF9" w:rsidRDefault="002D1611" w:rsidP="002D1611">
      <w:pPr>
        <w:pStyle w:val="BodyText"/>
        <w:tabs>
          <w:tab w:val="left" w:pos="403"/>
        </w:tabs>
        <w:ind w:left="0"/>
        <w:jc w:val="both"/>
        <w:rPr>
          <w:rFonts w:ascii="Times New Roman" w:hAnsi="Times New Roman"/>
          <w:noProof/>
        </w:rPr>
      </w:pPr>
      <w:r>
        <w:rPr>
          <w:rFonts w:ascii="Times New Roman" w:hAnsi="Times New Roman"/>
        </w:rPr>
        <w:t>3. emisijas, kas radušās, sadedzinot atlikumgāzes, ja tās tiek sadedzinātas, lai ražotu siltumu vai elektroenerģiju. Tiek ņemtas vērā vienīgi tās emisijas, kas radušās papildus emisijām, kas rastos, ja tiktu izmantota dabasgāze. Tāpat arī tiek ņemts vērā vienīgi “tehniski izmantojamais enerģētiskais saturs”, kas nozīmē, ka rezultātā iegūtajam daudzumam tiek piemērota korekcija, kas balstās uz to, ka gadījumos, kad tiek izmantota atlikumgāze, un gadījumos, kad tiek izmantots tāds pats references kurināmā daudzums, ir atšķirīga efektivitāte. Šī veida procesa emisijas attiecas uz atlikumgāzēm. Papildu norādījumus par šo tēmu sk. Norādījumu dokumentā Nr. 8 par atlikumgāzēm.</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BodyText"/>
        <w:ind w:left="0"/>
        <w:jc w:val="both"/>
        <w:rPr>
          <w:rFonts w:ascii="Times New Roman" w:hAnsi="Times New Roman"/>
          <w:noProof/>
        </w:rPr>
      </w:pPr>
      <w:r>
        <w:rPr>
          <w:rFonts w:ascii="Times New Roman" w:hAnsi="Times New Roman"/>
        </w:rPr>
        <w:lastRenderedPageBreak/>
        <w:t xml:space="preserve">“Procesa emisijas”, kas definētas Monitoringa un ziņošanas regulā, ne vienmēr atbilst “procesa emisijām”, kas noteiktas, veicot sašķelšanu apakšiekārtās, lai varētu piešķirt kvotas. Proti, procesa emisijas dūmgāzu attīrīšanas rezultātā tiek uzskatītas par daļu no attiecīgā sadedzināšanas procesa siltuma un kurināmā līmeņatzīmes apakšiekārtās. Gadījumā, ja pastāv atšķirības starp </w:t>
      </w:r>
      <w:r>
        <w:rPr>
          <w:rFonts w:ascii="Times New Roman" w:hAnsi="Times New Roman"/>
          <w:i/>
        </w:rPr>
        <w:t>FAR</w:t>
      </w:r>
      <w:r>
        <w:rPr>
          <w:rFonts w:ascii="Times New Roman" w:hAnsi="Times New Roman"/>
        </w:rPr>
        <w:t xml:space="preserve"> un MZR, noteicošie ir </w:t>
      </w:r>
      <w:r>
        <w:rPr>
          <w:rFonts w:ascii="Times New Roman" w:hAnsi="Times New Roman"/>
          <w:i/>
        </w:rPr>
        <w:t>FAR</w:t>
      </w:r>
      <w:r>
        <w:rPr>
          <w:rFonts w:ascii="Times New Roman" w:hAnsi="Times New Roman"/>
        </w:rPr>
        <w:t>.</w:t>
      </w:r>
    </w:p>
    <w:p w:rsidR="002D1611" w:rsidRPr="001E6CF9" w:rsidRDefault="002D1611" w:rsidP="002D1611">
      <w:pPr>
        <w:jc w:val="both"/>
        <w:rPr>
          <w:rFonts w:ascii="Times New Roman" w:eastAsia="Calibri" w:hAnsi="Times New Roman" w:cs="Calibri"/>
          <w:noProof/>
          <w:sz w:val="24"/>
          <w:szCs w:val="23"/>
        </w:rPr>
      </w:pPr>
    </w:p>
    <w:p w:rsidR="002D1611" w:rsidRPr="001E6CF9" w:rsidRDefault="002D1611" w:rsidP="002D1611">
      <w:pPr>
        <w:pStyle w:val="Heading4"/>
        <w:ind w:left="0"/>
        <w:jc w:val="both"/>
        <w:rPr>
          <w:rFonts w:ascii="Times New Roman" w:hAnsi="Times New Roman"/>
          <w:noProof/>
        </w:rPr>
      </w:pPr>
      <w:r>
        <w:rPr>
          <w:rFonts w:ascii="Times New Roman" w:hAnsi="Times New Roman"/>
        </w:rPr>
        <w:t>Produkta līmeņatzīmes apakšiekārta</w:t>
      </w:r>
    </w:p>
    <w:p w:rsidR="002D1611" w:rsidRPr="001E6CF9" w:rsidRDefault="002D1611" w:rsidP="002D1611">
      <w:pPr>
        <w:pStyle w:val="BodyText"/>
        <w:ind w:left="0"/>
        <w:jc w:val="both"/>
        <w:rPr>
          <w:rFonts w:ascii="Times New Roman" w:hAnsi="Times New Roman"/>
          <w:noProof/>
          <w:highlight w:val="yellow"/>
        </w:rPr>
      </w:pPr>
      <w:r>
        <w:rPr>
          <w:rFonts w:ascii="Times New Roman" w:hAnsi="Times New Roman"/>
          <w:i/>
        </w:rPr>
        <w:t>FAR</w:t>
      </w:r>
      <w:r>
        <w:rPr>
          <w:rFonts w:ascii="Times New Roman" w:hAnsi="Times New Roman"/>
        </w:rPr>
        <w:t xml:space="preserve"> 2. panta 2. punkts: ““produkta līmeņatzīmes apakšiekārta” ir ar tāda produkta ražošanu saistītā ielaide, izlaide un attiecīgās emisijas, kuram Komisijas Deleģētās regulas </w:t>
      </w:r>
      <w:r>
        <w:rPr>
          <w:rFonts w:ascii="Times New Roman" w:hAnsi="Times New Roman"/>
          <w:highlight w:val="yellow"/>
        </w:rPr>
        <w:t>XXX</w:t>
      </w:r>
      <w:r>
        <w:rPr>
          <w:rFonts w:ascii="Times New Roman" w:hAnsi="Times New Roman"/>
        </w:rPr>
        <w:t xml:space="preserve"> I pielikumā noteikta līmeņatzīme”.</w:t>
      </w:r>
    </w:p>
    <w:p w:rsidR="002D1611" w:rsidRPr="001E6CF9" w:rsidRDefault="002D1611" w:rsidP="002D1611">
      <w:pPr>
        <w:jc w:val="both"/>
        <w:rPr>
          <w:rFonts w:ascii="Times New Roman" w:eastAsia="Calibri" w:hAnsi="Times New Roman" w:cs="Calibri"/>
          <w:noProof/>
          <w:sz w:val="24"/>
          <w:szCs w:val="24"/>
        </w:rPr>
      </w:pPr>
    </w:p>
    <w:p w:rsidR="002D1611" w:rsidRPr="001E6CF9" w:rsidRDefault="002D1611" w:rsidP="002D1611">
      <w:pPr>
        <w:pStyle w:val="BodyText"/>
        <w:ind w:left="0"/>
        <w:jc w:val="both"/>
        <w:rPr>
          <w:rFonts w:ascii="Times New Roman" w:hAnsi="Times New Roman"/>
          <w:noProof/>
        </w:rPr>
      </w:pPr>
      <w:r>
        <w:rPr>
          <w:rFonts w:ascii="Times New Roman" w:hAnsi="Times New Roman"/>
        </w:rPr>
        <w:t>Apakšiekārta, kas noteikta ES ETS iekārtā, lai aprēķinātu bez maksas piešķiramo emisijas kvotu apjomu, uz kādu iekārta var pretendēt saistībā ar to, ka tā ražo produktus, uz kuriem attiecas produktu līmeņatzīmes.</w:t>
      </w:r>
    </w:p>
    <w:p w:rsidR="002D1611" w:rsidRPr="001E6CF9" w:rsidRDefault="002D1611" w:rsidP="002D1611">
      <w:pPr>
        <w:jc w:val="both"/>
        <w:rPr>
          <w:rFonts w:ascii="Times New Roman" w:eastAsia="Calibri" w:hAnsi="Times New Roman" w:cs="Calibri"/>
          <w:noProof/>
          <w:sz w:val="24"/>
          <w:szCs w:val="23"/>
        </w:rPr>
      </w:pPr>
    </w:p>
    <w:p w:rsidR="00335CDF" w:rsidRPr="001E6CF9" w:rsidRDefault="00335CDF" w:rsidP="00DE30DA">
      <w:pPr>
        <w:pStyle w:val="Heading4"/>
        <w:ind w:left="0"/>
        <w:jc w:val="both"/>
        <w:rPr>
          <w:rFonts w:ascii="Times New Roman" w:hAnsi="Times New Roman"/>
          <w:noProof/>
        </w:rPr>
      </w:pPr>
      <w:r>
        <w:rPr>
          <w:rFonts w:ascii="Times New Roman" w:hAnsi="Times New Roman"/>
        </w:rPr>
        <w:t>Sadedzināšana</w:t>
      </w:r>
    </w:p>
    <w:p w:rsidR="00335CDF" w:rsidRPr="001E6CF9" w:rsidRDefault="00335CDF" w:rsidP="00DE30DA">
      <w:pPr>
        <w:pStyle w:val="BodyText"/>
        <w:ind w:left="0"/>
        <w:jc w:val="both"/>
        <w:rPr>
          <w:rFonts w:ascii="Times New Roman" w:hAnsi="Times New Roman"/>
          <w:noProof/>
        </w:rPr>
      </w:pPr>
      <w:r>
        <w:rPr>
          <w:rFonts w:ascii="Times New Roman" w:hAnsi="Times New Roman"/>
        </w:rPr>
        <w:t>Direktīvas 3. panta t) punkts: ““sadedzināšana” ir kurināmā oksidēšana neatkarīgi no tā, kā tiek izmantota šajā procesā ražotā siltumenerģija, elektroenerģija vai mehāniskā enerģija, un citas tieši saistītas darbības, tostarp dūmgāzu attīrīšana”.</w:t>
      </w:r>
    </w:p>
    <w:p w:rsidR="00335CDF" w:rsidRPr="001E6CF9" w:rsidRDefault="00335CDF" w:rsidP="00DE30DA">
      <w:pPr>
        <w:jc w:val="both"/>
        <w:rPr>
          <w:rFonts w:ascii="Times New Roman" w:eastAsia="Calibri" w:hAnsi="Times New Roman" w:cs="Calibri"/>
          <w:noProof/>
          <w:sz w:val="24"/>
          <w:szCs w:val="23"/>
        </w:rPr>
      </w:pPr>
    </w:p>
    <w:p w:rsidR="00335CDF" w:rsidRPr="001E6CF9" w:rsidRDefault="00335CDF" w:rsidP="00DE30DA">
      <w:pPr>
        <w:pStyle w:val="Heading4"/>
        <w:ind w:left="0"/>
        <w:jc w:val="both"/>
        <w:rPr>
          <w:rFonts w:ascii="Times New Roman" w:hAnsi="Times New Roman"/>
          <w:noProof/>
        </w:rPr>
      </w:pPr>
      <w:r>
        <w:rPr>
          <w:rFonts w:ascii="Times New Roman" w:hAnsi="Times New Roman"/>
        </w:rPr>
        <w:t>Siltuma līmeņatzīmes apakšiekārta</w:t>
      </w:r>
    </w:p>
    <w:p w:rsidR="00335CDF" w:rsidRPr="001E6CF9" w:rsidRDefault="00335CDF" w:rsidP="00DE30DA">
      <w:pPr>
        <w:pStyle w:val="BodyText"/>
        <w:ind w:left="0"/>
        <w:jc w:val="both"/>
        <w:rPr>
          <w:rFonts w:ascii="Times New Roman" w:hAnsi="Times New Roman"/>
          <w:noProof/>
        </w:rPr>
      </w:pPr>
      <w:r>
        <w:rPr>
          <w:rFonts w:ascii="Times New Roman" w:hAnsi="Times New Roman"/>
          <w:i/>
        </w:rPr>
        <w:t>FAR</w:t>
      </w:r>
      <w:r>
        <w:rPr>
          <w:rFonts w:ascii="Times New Roman" w:hAnsi="Times New Roman"/>
        </w:rPr>
        <w:t xml:space="preserve"> 2. panta 3. punkts: ““siltuma līmeņatzīmes apakšiekārta” ir ielaide, izlaide un attiecīgās emisijas, ko neaptver ar ražošanu saistītā produkta līmeņatzīmes apakšiekārta, kas saistītas ar izmērāma siltuma ražošanu (izņemot ražošanu no elektroenerģijas) un/vai importu no ES ETS aptvertas iekārtas, ja šis siltums:</w:t>
      </w:r>
    </w:p>
    <w:p w:rsidR="00335CDF" w:rsidRPr="001E6CF9" w:rsidRDefault="00335CDF" w:rsidP="00B823C5">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tiek patērēts konkrētās iekārtas robežās produktu ražošanai, mehāniskās enerģijas ražošanai (izņemot nolūkā saražot elektroenerģiju), siltumapgādei vai aukstumapgādei (izņemot patēriņu nolūkā saražot elektroenerģiju)</w:t>
      </w:r>
    </w:p>
    <w:p w:rsidR="00335CDF" w:rsidRPr="001E6CF9" w:rsidRDefault="00335CDF" w:rsidP="00B823C5">
      <w:pPr>
        <w:pStyle w:val="BodyText"/>
        <w:numPr>
          <w:ilvl w:val="0"/>
          <w:numId w:val="8"/>
        </w:numPr>
        <w:tabs>
          <w:tab w:val="left" w:pos="403"/>
        </w:tabs>
        <w:ind w:left="426" w:hanging="426"/>
        <w:jc w:val="both"/>
        <w:rPr>
          <w:rFonts w:ascii="Times New Roman" w:hAnsi="Times New Roman"/>
          <w:noProof/>
        </w:rPr>
      </w:pPr>
      <w:r>
        <w:rPr>
          <w:rFonts w:ascii="Times New Roman" w:hAnsi="Times New Roman"/>
        </w:rPr>
        <w:t>vai tiek eksportēts uz iekārtu vai citu vienību, ko ES ETS neaptver, taču ne centralizētās siltumapgādes vajadzībām; te neietilpst eksports elektroenerģijas ražošanai”.</w:t>
      </w:r>
    </w:p>
    <w:p w:rsidR="00335CDF" w:rsidRPr="001E6CF9" w:rsidRDefault="00335CDF" w:rsidP="00DE30DA">
      <w:pPr>
        <w:jc w:val="both"/>
        <w:rPr>
          <w:rFonts w:ascii="Times New Roman" w:eastAsia="Calibri" w:hAnsi="Times New Roman" w:cs="Calibri"/>
          <w:noProof/>
          <w:sz w:val="24"/>
          <w:szCs w:val="24"/>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Apakšiekārta, kas noteikta ES ETS iekārtā, lai aprēķinātu bez maksas piešķiramo emisijas kvotu apjomu, uz kādu iekārta var pretendēt tādēļ, ka tā patērē izmērāmu siltumu (kad to neizmanto, lai ražotu produktus, uz kuriem attiecas produktu līmeņatzīmes, vai ražotu elektroenerģiju) vai eksportē siltumu ārpus ES ETS tādām vajadzībām, kas nav saistītas ar centralizēto siltumapgādi.</w:t>
      </w:r>
    </w:p>
    <w:p w:rsidR="00335CDF" w:rsidRPr="001E6CF9" w:rsidRDefault="00335CDF" w:rsidP="00DE30DA">
      <w:pPr>
        <w:jc w:val="both"/>
        <w:rPr>
          <w:rFonts w:ascii="Times New Roman" w:eastAsia="Calibri" w:hAnsi="Times New Roman" w:cs="Calibri"/>
          <w:noProof/>
          <w:sz w:val="24"/>
          <w:szCs w:val="23"/>
        </w:rPr>
      </w:pPr>
    </w:p>
    <w:p w:rsidR="008826B9" w:rsidRDefault="008826B9">
      <w:pPr>
        <w:rPr>
          <w:rFonts w:ascii="Times New Roman" w:hAnsi="Times New Roman"/>
          <w:b/>
          <w:noProof/>
          <w:sz w:val="24"/>
        </w:rPr>
      </w:pPr>
      <w:r>
        <w:br w:type="page"/>
      </w:r>
    </w:p>
    <w:p w:rsidR="008C68EA" w:rsidRPr="001E6CF9" w:rsidRDefault="008C68EA" w:rsidP="00DE30DA">
      <w:pPr>
        <w:tabs>
          <w:tab w:val="left" w:pos="1558"/>
        </w:tabs>
        <w:jc w:val="both"/>
        <w:rPr>
          <w:rFonts w:ascii="Times New Roman" w:hAnsi="Times New Roman"/>
          <w:b/>
          <w:noProof/>
          <w:sz w:val="24"/>
        </w:rPr>
      </w:pPr>
    </w:p>
    <w:p w:rsidR="00335CDF" w:rsidRPr="00900881" w:rsidRDefault="00335CDF" w:rsidP="00900881">
      <w:pPr>
        <w:pStyle w:val="Heading1"/>
        <w:ind w:left="0" w:firstLine="0"/>
        <w:jc w:val="both"/>
        <w:rPr>
          <w:rFonts w:ascii="Times New Roman" w:hAnsi="Times New Roman" w:cs="Times New Roman"/>
          <w:noProof/>
          <w:sz w:val="24"/>
        </w:rPr>
      </w:pPr>
      <w:bookmarkStart w:id="51" w:name="_Toc31010897"/>
      <w:r w:rsidRPr="00900881">
        <w:rPr>
          <w:rFonts w:ascii="Times New Roman" w:hAnsi="Times New Roman" w:cs="Times New Roman"/>
          <w:sz w:val="24"/>
        </w:rPr>
        <w:t>C pielikums. Saīsinājumu saraksts</w:t>
      </w:r>
      <w:bookmarkStart w:id="52" w:name="_bookmark30"/>
      <w:bookmarkEnd w:id="52"/>
      <w:bookmarkEnd w:id="51"/>
    </w:p>
    <w:p w:rsidR="00335CDF" w:rsidRDefault="00335CDF" w:rsidP="00DE30DA">
      <w:pPr>
        <w:jc w:val="both"/>
        <w:rPr>
          <w:rFonts w:ascii="Times New Roman" w:eastAsia="Calibri" w:hAnsi="Times New Roman" w:cs="Calibri"/>
          <w:b/>
          <w:bCs/>
          <w:noProof/>
          <w:sz w:val="24"/>
          <w:szCs w:val="28"/>
        </w:rPr>
      </w:pPr>
    </w:p>
    <w:p w:rsidR="008826B9" w:rsidRPr="001E6CF9" w:rsidRDefault="008826B9" w:rsidP="00DE30DA">
      <w:pPr>
        <w:jc w:val="both"/>
        <w:rPr>
          <w:rFonts w:ascii="Times New Roman" w:eastAsia="Calibri" w:hAnsi="Times New Roman" w:cs="Calibri"/>
          <w:b/>
          <w:bCs/>
          <w:noProof/>
          <w:sz w:val="24"/>
          <w:szCs w:val="28"/>
        </w:rPr>
      </w:pP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ALC</w:t>
      </w:r>
      <w:r>
        <w:rPr>
          <w:rFonts w:ascii="Times New Roman" w:hAnsi="Times New Roman"/>
          <w:i/>
        </w:rPr>
        <w:tab/>
      </w:r>
      <w:r>
        <w:rPr>
          <w:rFonts w:ascii="Times New Roman" w:hAnsi="Times New Roman"/>
        </w:rPr>
        <w:t>Darbības līmeņa izmaiņu īstenošanas akts</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Adt</w:t>
      </w:r>
      <w:r>
        <w:rPr>
          <w:rFonts w:ascii="Times New Roman" w:hAnsi="Times New Roman"/>
          <w:i/>
        </w:rPr>
        <w:tab/>
      </w:r>
      <w:r>
        <w:rPr>
          <w:rFonts w:ascii="Times New Roman" w:hAnsi="Times New Roman"/>
        </w:rPr>
        <w:t>gaissausās tonnas</w:t>
      </w:r>
    </w:p>
    <w:p w:rsidR="008826B9" w:rsidRDefault="00335CDF" w:rsidP="008826B9">
      <w:pPr>
        <w:pStyle w:val="BodyText"/>
        <w:tabs>
          <w:tab w:val="left" w:pos="1701"/>
        </w:tabs>
        <w:ind w:left="1701" w:hanging="1701"/>
        <w:jc w:val="both"/>
        <w:rPr>
          <w:rFonts w:ascii="Times New Roman" w:hAnsi="Times New Roman"/>
          <w:noProof/>
        </w:rPr>
      </w:pPr>
      <w:r>
        <w:rPr>
          <w:rFonts w:ascii="Times New Roman" w:hAnsi="Times New Roman"/>
        </w:rPr>
        <w:t>AVR</w:t>
      </w:r>
      <w:r>
        <w:rPr>
          <w:rFonts w:ascii="Times New Roman" w:hAnsi="Times New Roman"/>
        </w:rPr>
        <w:tab/>
        <w:t>Akreditācijas un verifikācijas regula</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BFG</w:t>
      </w:r>
      <w:r>
        <w:rPr>
          <w:rFonts w:ascii="Times New Roman" w:hAnsi="Times New Roman"/>
          <w:i/>
        </w:rPr>
        <w:tab/>
      </w:r>
      <w:r>
        <w:rPr>
          <w:rFonts w:ascii="Times New Roman" w:hAnsi="Times New Roman"/>
        </w:rPr>
        <w:t>domnas gāze</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BOFG</w:t>
      </w:r>
      <w:r>
        <w:rPr>
          <w:rFonts w:ascii="Times New Roman" w:hAnsi="Times New Roman"/>
          <w:i/>
        </w:rPr>
        <w:tab/>
      </w:r>
      <w:r>
        <w:rPr>
          <w:rFonts w:ascii="Times New Roman" w:hAnsi="Times New Roman"/>
        </w:rPr>
        <w:t>skābekļa konvertora gāze</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BM</w:t>
      </w:r>
      <w:r>
        <w:rPr>
          <w:rFonts w:ascii="Times New Roman" w:hAnsi="Times New Roman"/>
          <w:i/>
        </w:rPr>
        <w:tab/>
      </w:r>
      <w:r>
        <w:rPr>
          <w:rFonts w:ascii="Times New Roman" w:hAnsi="Times New Roman"/>
        </w:rPr>
        <w:t>līmeņatzīme</w:t>
      </w:r>
    </w:p>
    <w:p w:rsidR="008826B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BMU</w:t>
      </w:r>
      <w:r>
        <w:rPr>
          <w:rFonts w:ascii="Times New Roman" w:hAnsi="Times New Roman"/>
          <w:i/>
        </w:rPr>
        <w:tab/>
      </w:r>
      <w:r>
        <w:rPr>
          <w:rFonts w:ascii="Times New Roman" w:hAnsi="Times New Roman"/>
        </w:rPr>
        <w:t>Līmeņatzīmju atjaunināšanas īstenošanas akts</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CA</w:t>
      </w:r>
      <w:r>
        <w:rPr>
          <w:rFonts w:ascii="Times New Roman" w:hAnsi="Times New Roman"/>
          <w:i/>
        </w:rPr>
        <w:tab/>
      </w:r>
      <w:r>
        <w:rPr>
          <w:rFonts w:ascii="Times New Roman" w:hAnsi="Times New Roman"/>
        </w:rPr>
        <w:t>kompetentās iestādes</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CCS</w:t>
      </w:r>
      <w:r>
        <w:rPr>
          <w:rFonts w:ascii="Times New Roman" w:hAnsi="Times New Roman"/>
          <w:i/>
        </w:rPr>
        <w:tab/>
      </w:r>
      <w:r>
        <w:rPr>
          <w:rFonts w:ascii="Times New Roman" w:hAnsi="Times New Roman"/>
        </w:rPr>
        <w:t>oglekļa dioksīda uztveršana un uzglabāšana</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CCU</w:t>
      </w:r>
      <w:r>
        <w:rPr>
          <w:rFonts w:ascii="Times New Roman" w:hAnsi="Times New Roman"/>
          <w:i/>
        </w:rPr>
        <w:tab/>
      </w:r>
      <w:r>
        <w:rPr>
          <w:rFonts w:ascii="Times New Roman" w:hAnsi="Times New Roman"/>
        </w:rPr>
        <w:t>oglekļa dioksīda uztveršana un izmantošana</w:t>
      </w:r>
    </w:p>
    <w:p w:rsidR="008826B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CEMS</w:t>
      </w:r>
      <w:r>
        <w:rPr>
          <w:rFonts w:ascii="Times New Roman" w:hAnsi="Times New Roman"/>
          <w:i/>
        </w:rPr>
        <w:tab/>
      </w:r>
      <w:r>
        <w:rPr>
          <w:rFonts w:ascii="Times New Roman" w:hAnsi="Times New Roman"/>
        </w:rPr>
        <w:t>pastāvīgās emisiju monitoringa sistēmas</w:t>
      </w:r>
    </w:p>
    <w:p w:rsidR="008826B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CEN</w:t>
      </w:r>
      <w:r>
        <w:rPr>
          <w:rFonts w:ascii="Times New Roman" w:hAnsi="Times New Roman"/>
          <w:i/>
        </w:rPr>
        <w:tab/>
      </w:r>
      <w:r>
        <w:rPr>
          <w:rFonts w:ascii="Times New Roman" w:hAnsi="Times New Roman"/>
        </w:rPr>
        <w:t>Eiropas Standartizācijas komiteja</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CHP</w:t>
      </w:r>
      <w:r>
        <w:rPr>
          <w:rFonts w:ascii="Times New Roman" w:hAnsi="Times New Roman"/>
          <w:i/>
        </w:rPr>
        <w:tab/>
      </w:r>
      <w:r>
        <w:rPr>
          <w:rFonts w:ascii="Times New Roman" w:hAnsi="Times New Roman"/>
        </w:rPr>
        <w:t>koģenerācija</w:t>
      </w:r>
    </w:p>
    <w:p w:rsidR="00335CDF" w:rsidRPr="001E6CF9" w:rsidRDefault="00335CDF" w:rsidP="008826B9">
      <w:pPr>
        <w:pStyle w:val="BodyText"/>
        <w:tabs>
          <w:tab w:val="left" w:pos="1701"/>
        </w:tabs>
        <w:ind w:left="1701" w:hanging="1701"/>
        <w:jc w:val="both"/>
        <w:rPr>
          <w:rFonts w:ascii="Times New Roman" w:hAnsi="Times New Roman" w:cs="Calibri"/>
          <w:noProof/>
          <w:szCs w:val="23"/>
        </w:rPr>
      </w:pPr>
      <w:r>
        <w:rPr>
          <w:rFonts w:ascii="Times New Roman" w:hAnsi="Times New Roman"/>
          <w:i/>
        </w:rPr>
        <w:t>CIM</w:t>
      </w:r>
      <w:r>
        <w:rPr>
          <w:rFonts w:ascii="Times New Roman" w:hAnsi="Times New Roman"/>
          <w:i/>
        </w:rPr>
        <w:tab/>
      </w:r>
      <w:r>
        <w:rPr>
          <w:rFonts w:ascii="Times New Roman" w:hAnsi="Times New Roman"/>
        </w:rPr>
        <w:t>pilnīgi saskaņotie Savienības mēroga pārejas pasākumi saskaņā ar ES ETS direktīvas 10.a panta 1. punktu</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CLL</w:t>
      </w:r>
      <w:r>
        <w:rPr>
          <w:rFonts w:ascii="Times New Roman" w:hAnsi="Times New Roman"/>
          <w:i/>
        </w:rPr>
        <w:tab/>
      </w:r>
      <w:r>
        <w:rPr>
          <w:rFonts w:ascii="Times New Roman" w:hAnsi="Times New Roman"/>
        </w:rPr>
        <w:t>Oglekļa emisiju pārvirzes saraksts, deleģētais akts</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COG</w:t>
      </w:r>
      <w:r>
        <w:rPr>
          <w:rFonts w:ascii="Times New Roman" w:hAnsi="Times New Roman"/>
          <w:i/>
        </w:rPr>
        <w:tab/>
      </w:r>
      <w:r>
        <w:rPr>
          <w:rFonts w:ascii="Times New Roman" w:hAnsi="Times New Roman"/>
        </w:rPr>
        <w:t>koksa gāze</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CWT</w:t>
      </w:r>
      <w:r>
        <w:rPr>
          <w:rFonts w:ascii="Times New Roman" w:hAnsi="Times New Roman"/>
          <w:i/>
        </w:rPr>
        <w:tab/>
      </w:r>
      <w:r>
        <w:rPr>
          <w:rFonts w:ascii="Times New Roman" w:hAnsi="Times New Roman"/>
        </w:rPr>
        <w:t>CO</w:t>
      </w:r>
      <w:r>
        <w:rPr>
          <w:rFonts w:ascii="Times New Roman" w:hAnsi="Times New Roman"/>
          <w:vertAlign w:val="subscript"/>
        </w:rPr>
        <w:t>2</w:t>
      </w:r>
      <w:r>
        <w:rPr>
          <w:rFonts w:ascii="Times New Roman" w:hAnsi="Times New Roman"/>
        </w:rPr>
        <w:t xml:space="preserve"> svērtā tonna</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CLEF</w:t>
      </w:r>
      <w:r>
        <w:rPr>
          <w:rFonts w:ascii="Times New Roman" w:hAnsi="Times New Roman"/>
          <w:i/>
        </w:rPr>
        <w:tab/>
      </w:r>
      <w:r>
        <w:rPr>
          <w:rFonts w:ascii="Times New Roman" w:hAnsi="Times New Roman"/>
        </w:rPr>
        <w:t>oglekļa emisiju pārvirzes riska koeficients</w:t>
      </w:r>
    </w:p>
    <w:p w:rsidR="00C22746" w:rsidRPr="001E6CF9" w:rsidRDefault="00C22746" w:rsidP="00C22746">
      <w:pPr>
        <w:pStyle w:val="BodyText"/>
        <w:tabs>
          <w:tab w:val="left" w:pos="1701"/>
        </w:tabs>
        <w:ind w:left="1701" w:hanging="1701"/>
        <w:jc w:val="both"/>
        <w:rPr>
          <w:rFonts w:ascii="Times New Roman" w:hAnsi="Times New Roman"/>
          <w:noProof/>
        </w:rPr>
      </w:pPr>
      <w:r>
        <w:rPr>
          <w:rFonts w:ascii="Times New Roman" w:hAnsi="Times New Roman"/>
        </w:rPr>
        <w:t>DV</w:t>
      </w:r>
      <w:r>
        <w:rPr>
          <w:rFonts w:ascii="Times New Roman" w:hAnsi="Times New Roman"/>
        </w:rPr>
        <w:tab/>
        <w:t>dalībvalstis</w:t>
      </w:r>
    </w:p>
    <w:p w:rsidR="00C22746" w:rsidRPr="001E6CF9" w:rsidRDefault="00C22746" w:rsidP="00C22746">
      <w:pPr>
        <w:pStyle w:val="BodyText"/>
        <w:tabs>
          <w:tab w:val="left" w:pos="1701"/>
        </w:tabs>
        <w:ind w:left="1701" w:hanging="1701"/>
        <w:jc w:val="both"/>
        <w:rPr>
          <w:rFonts w:ascii="Times New Roman" w:hAnsi="Times New Roman"/>
          <w:noProof/>
        </w:rPr>
      </w:pPr>
      <w:r>
        <w:rPr>
          <w:rFonts w:ascii="Times New Roman" w:hAnsi="Times New Roman"/>
        </w:rPr>
        <w:t>EK</w:t>
      </w:r>
      <w:r>
        <w:rPr>
          <w:rFonts w:ascii="Times New Roman" w:hAnsi="Times New Roman"/>
        </w:rPr>
        <w:tab/>
        <w:t>Eiropas Komisija</w:t>
      </w:r>
    </w:p>
    <w:p w:rsidR="00C22746" w:rsidRPr="001E6CF9" w:rsidRDefault="00C22746" w:rsidP="00C22746">
      <w:pPr>
        <w:pStyle w:val="BodyText"/>
        <w:tabs>
          <w:tab w:val="left" w:pos="1701"/>
        </w:tabs>
        <w:ind w:left="1701" w:hanging="1701"/>
        <w:jc w:val="both"/>
        <w:rPr>
          <w:rFonts w:ascii="Times New Roman" w:hAnsi="Times New Roman"/>
          <w:noProof/>
        </w:rPr>
      </w:pPr>
      <w:r>
        <w:rPr>
          <w:rFonts w:ascii="Times New Roman" w:hAnsi="Times New Roman"/>
        </w:rPr>
        <w:t>ES ETS</w:t>
      </w:r>
      <w:r>
        <w:rPr>
          <w:rFonts w:ascii="Times New Roman" w:hAnsi="Times New Roman"/>
        </w:rPr>
        <w:tab/>
        <w:t>Eiropas emisijas kvotu tirdzniecības sistēma</w:t>
      </w:r>
    </w:p>
    <w:p w:rsidR="008826B9" w:rsidRDefault="00335CDF" w:rsidP="008826B9">
      <w:pPr>
        <w:pStyle w:val="BodyText"/>
        <w:tabs>
          <w:tab w:val="left" w:pos="1701"/>
        </w:tabs>
        <w:ind w:left="1701" w:hanging="1701"/>
        <w:jc w:val="both"/>
        <w:rPr>
          <w:rFonts w:ascii="Times New Roman" w:hAnsi="Times New Roman"/>
          <w:noProof/>
        </w:rPr>
      </w:pPr>
      <w:r>
        <w:rPr>
          <w:rFonts w:ascii="Times New Roman" w:hAnsi="Times New Roman"/>
        </w:rPr>
        <w:t>ETS</w:t>
      </w:r>
      <w:r>
        <w:rPr>
          <w:rFonts w:ascii="Times New Roman" w:hAnsi="Times New Roman"/>
        </w:rPr>
        <w:tab/>
        <w:t>emisijas kvotu tirdzniecības sistēma; šeit vienmēr tā ir ES ETS</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FAR</w:t>
      </w:r>
      <w:r>
        <w:rPr>
          <w:rFonts w:ascii="Times New Roman" w:hAnsi="Times New Roman"/>
          <w:i/>
        </w:rPr>
        <w:tab/>
      </w:r>
      <w:r>
        <w:rPr>
          <w:rFonts w:ascii="Times New Roman" w:hAnsi="Times New Roman"/>
        </w:rPr>
        <w:t>Savienības mēroga noteikumi saskaņotai bezmaksas emisijas kvotu iedalei saskaņā ar ES ETS direktīvas 10.a panta 1. punktu</w:t>
      </w:r>
    </w:p>
    <w:p w:rsidR="00C22746" w:rsidRPr="001E6CF9" w:rsidRDefault="00C22746" w:rsidP="00C22746">
      <w:pPr>
        <w:pStyle w:val="BodyText"/>
        <w:tabs>
          <w:tab w:val="left" w:pos="1701"/>
        </w:tabs>
        <w:ind w:left="1701" w:hanging="1701"/>
        <w:jc w:val="both"/>
        <w:rPr>
          <w:rFonts w:ascii="Times New Roman" w:hAnsi="Times New Roman"/>
          <w:noProof/>
        </w:rPr>
      </w:pPr>
      <w:r>
        <w:rPr>
          <w:rFonts w:ascii="Times New Roman" w:hAnsi="Times New Roman"/>
          <w:i/>
        </w:rPr>
        <w:t>HAL</w:t>
      </w:r>
      <w:r>
        <w:rPr>
          <w:rFonts w:ascii="Times New Roman" w:hAnsi="Times New Roman"/>
          <w:i/>
        </w:rPr>
        <w:tab/>
      </w:r>
      <w:r>
        <w:rPr>
          <w:rFonts w:ascii="Times New Roman" w:hAnsi="Times New Roman"/>
        </w:rPr>
        <w:t>vēsturiskais darbības līmenis</w:t>
      </w:r>
    </w:p>
    <w:p w:rsidR="00335CDF" w:rsidRDefault="00335CDF" w:rsidP="008826B9">
      <w:pPr>
        <w:pStyle w:val="BodyText"/>
        <w:tabs>
          <w:tab w:val="left" w:pos="1701"/>
        </w:tabs>
        <w:ind w:left="1701" w:hanging="1701"/>
        <w:jc w:val="both"/>
        <w:rPr>
          <w:rFonts w:ascii="Times New Roman" w:hAnsi="Times New Roman"/>
        </w:rPr>
      </w:pPr>
      <w:r>
        <w:rPr>
          <w:rFonts w:ascii="Times New Roman" w:hAnsi="Times New Roman"/>
        </w:rPr>
        <w:t>IKP</w:t>
      </w:r>
      <w:r>
        <w:rPr>
          <w:rFonts w:ascii="Times New Roman" w:hAnsi="Times New Roman"/>
        </w:rPr>
        <w:tab/>
        <w:t>iekšzemes kopprodukts</w:t>
      </w:r>
    </w:p>
    <w:p w:rsidR="00C22746" w:rsidRDefault="00C22746" w:rsidP="00C22746">
      <w:pPr>
        <w:pStyle w:val="BodyText"/>
        <w:tabs>
          <w:tab w:val="left" w:pos="1701"/>
        </w:tabs>
        <w:ind w:left="1701" w:hanging="1701"/>
        <w:jc w:val="both"/>
        <w:rPr>
          <w:rFonts w:ascii="Times New Roman" w:hAnsi="Times New Roman"/>
          <w:noProof/>
        </w:rPr>
      </w:pPr>
      <w:r>
        <w:rPr>
          <w:rFonts w:ascii="Times New Roman" w:hAnsi="Times New Roman"/>
          <w:i/>
        </w:rPr>
        <w:t>IPPC</w:t>
      </w:r>
      <w:r>
        <w:rPr>
          <w:rFonts w:ascii="Times New Roman" w:hAnsi="Times New Roman"/>
          <w:i/>
        </w:rPr>
        <w:tab/>
      </w:r>
      <w:r>
        <w:rPr>
          <w:rFonts w:ascii="Times New Roman" w:hAnsi="Times New Roman"/>
        </w:rPr>
        <w:t>piesārņojuma integrēta novēršana un kontrole</w:t>
      </w:r>
    </w:p>
    <w:p w:rsidR="00C22746" w:rsidRDefault="00C22746" w:rsidP="00C22746">
      <w:pPr>
        <w:pStyle w:val="BodyText"/>
        <w:tabs>
          <w:tab w:val="left" w:pos="1701"/>
        </w:tabs>
        <w:ind w:left="1701" w:hanging="1701"/>
        <w:jc w:val="both"/>
        <w:rPr>
          <w:rFonts w:ascii="Times New Roman" w:hAnsi="Times New Roman"/>
          <w:noProof/>
        </w:rPr>
      </w:pPr>
      <w:r>
        <w:rPr>
          <w:rFonts w:ascii="Times New Roman" w:hAnsi="Times New Roman"/>
        </w:rPr>
        <w:t>ISO</w:t>
      </w:r>
      <w:r>
        <w:rPr>
          <w:rFonts w:ascii="Times New Roman" w:hAnsi="Times New Roman"/>
        </w:rPr>
        <w:tab/>
        <w:t>Starptautiskā Standartizācijas organizācija</w:t>
      </w:r>
    </w:p>
    <w:p w:rsidR="00C22746" w:rsidRPr="001E6CF9" w:rsidRDefault="00C22746" w:rsidP="00C22746">
      <w:pPr>
        <w:pStyle w:val="BodyText"/>
        <w:tabs>
          <w:tab w:val="left" w:pos="1701"/>
        </w:tabs>
        <w:ind w:left="1701" w:hanging="1701"/>
        <w:jc w:val="both"/>
        <w:rPr>
          <w:rFonts w:ascii="Times New Roman" w:hAnsi="Times New Roman"/>
          <w:noProof/>
        </w:rPr>
      </w:pPr>
      <w:r>
        <w:rPr>
          <w:rFonts w:ascii="Times New Roman" w:hAnsi="Times New Roman"/>
        </w:rPr>
        <w:t>KN/KK</w:t>
      </w:r>
      <w:r>
        <w:rPr>
          <w:rFonts w:ascii="Times New Roman" w:hAnsi="Times New Roman"/>
        </w:rPr>
        <w:tab/>
        <w:t>kvalitātes nodrošināšana/kvalitātes kontrole</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rPr>
        <w:t>LSK</w:t>
      </w:r>
      <w:r>
        <w:rPr>
          <w:rFonts w:ascii="Times New Roman" w:hAnsi="Times New Roman"/>
        </w:rPr>
        <w:tab/>
        <w:t>lineārais samazinājuma koeficients</w:t>
      </w:r>
    </w:p>
    <w:p w:rsidR="008826B9" w:rsidRDefault="00335CDF" w:rsidP="008826B9">
      <w:pPr>
        <w:pStyle w:val="BodyText"/>
        <w:tabs>
          <w:tab w:val="left" w:pos="1701"/>
        </w:tabs>
        <w:ind w:left="1701" w:hanging="1701"/>
        <w:jc w:val="both"/>
        <w:rPr>
          <w:rFonts w:ascii="Times New Roman" w:hAnsi="Times New Roman"/>
          <w:noProof/>
        </w:rPr>
      </w:pPr>
      <w:r>
        <w:rPr>
          <w:rFonts w:ascii="Times New Roman" w:hAnsi="Times New Roman"/>
        </w:rPr>
        <w:t>MZR</w:t>
      </w:r>
      <w:r>
        <w:rPr>
          <w:rFonts w:ascii="Times New Roman" w:hAnsi="Times New Roman"/>
        </w:rPr>
        <w:tab/>
        <w:t>Monitoringa un ziņošanas regula</w:t>
      </w:r>
    </w:p>
    <w:p w:rsidR="008826B9" w:rsidRDefault="00335CDF" w:rsidP="008826B9">
      <w:pPr>
        <w:pStyle w:val="BodyText"/>
        <w:tabs>
          <w:tab w:val="left" w:pos="1701"/>
        </w:tabs>
        <w:ind w:left="1701" w:hanging="1701"/>
        <w:jc w:val="both"/>
        <w:rPr>
          <w:rFonts w:ascii="Times New Roman" w:hAnsi="Times New Roman"/>
          <w:noProof/>
        </w:rPr>
      </w:pPr>
      <w:r>
        <w:rPr>
          <w:rFonts w:ascii="Times New Roman" w:hAnsi="Times New Roman"/>
        </w:rPr>
        <w:t>MZV</w:t>
      </w:r>
      <w:r>
        <w:rPr>
          <w:rFonts w:ascii="Times New Roman" w:hAnsi="Times New Roman"/>
        </w:rPr>
        <w:tab/>
        <w:t>monitorings, ziņošana un verifikācija</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NCV</w:t>
      </w:r>
      <w:r>
        <w:rPr>
          <w:rFonts w:ascii="Times New Roman" w:hAnsi="Times New Roman"/>
          <w:i/>
        </w:rPr>
        <w:tab/>
      </w:r>
      <w:r>
        <w:rPr>
          <w:rFonts w:ascii="Times New Roman" w:hAnsi="Times New Roman"/>
        </w:rPr>
        <w:t>zemākā siltumspēja</w:t>
      </w:r>
    </w:p>
    <w:p w:rsidR="008826B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NIM</w:t>
      </w:r>
      <w:r>
        <w:rPr>
          <w:rFonts w:ascii="Times New Roman" w:hAnsi="Times New Roman"/>
          <w:i/>
        </w:rPr>
        <w:tab/>
      </w:r>
      <w:r>
        <w:rPr>
          <w:rFonts w:ascii="Times New Roman" w:hAnsi="Times New Roman"/>
        </w:rPr>
        <w:t>valsts īstenošanas pasākumi</w:t>
      </w:r>
    </w:p>
    <w:p w:rsidR="00C22746" w:rsidRPr="001E6CF9" w:rsidRDefault="00C22746" w:rsidP="00C22746">
      <w:pPr>
        <w:pStyle w:val="BodyText"/>
        <w:tabs>
          <w:tab w:val="left" w:pos="1701"/>
        </w:tabs>
        <w:ind w:left="1701" w:hanging="1701"/>
        <w:jc w:val="both"/>
        <w:rPr>
          <w:rFonts w:ascii="Times New Roman" w:hAnsi="Times New Roman"/>
          <w:noProof/>
        </w:rPr>
      </w:pPr>
      <w:r>
        <w:rPr>
          <w:rFonts w:ascii="Times New Roman" w:hAnsi="Times New Roman"/>
        </w:rPr>
        <w:t>SEG</w:t>
      </w:r>
      <w:r>
        <w:rPr>
          <w:rFonts w:ascii="Times New Roman" w:hAnsi="Times New Roman"/>
        </w:rPr>
        <w:tab/>
        <w:t>siltumnīcefekta gāze</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rPr>
        <w:t>SK</w:t>
      </w:r>
      <w:r>
        <w:rPr>
          <w:rFonts w:ascii="Times New Roman" w:hAnsi="Times New Roman"/>
        </w:rPr>
        <w:tab/>
        <w:t>samazinājuma koeficients</w:t>
      </w:r>
    </w:p>
    <w:p w:rsidR="00C22746" w:rsidRPr="001E6CF9" w:rsidRDefault="00C22746" w:rsidP="00C22746">
      <w:pPr>
        <w:pStyle w:val="BodyText"/>
        <w:tabs>
          <w:tab w:val="left" w:pos="1701"/>
        </w:tabs>
        <w:ind w:left="1701" w:hanging="1701"/>
        <w:jc w:val="both"/>
        <w:rPr>
          <w:rFonts w:ascii="Times New Roman" w:hAnsi="Times New Roman"/>
          <w:noProof/>
        </w:rPr>
      </w:pPr>
      <w:r>
        <w:rPr>
          <w:rFonts w:ascii="Times New Roman" w:hAnsi="Times New Roman"/>
        </w:rPr>
        <w:t>SSKK</w:t>
      </w:r>
      <w:r>
        <w:rPr>
          <w:rFonts w:ascii="Times New Roman" w:hAnsi="Times New Roman"/>
          <w:i/>
        </w:rPr>
        <w:tab/>
      </w:r>
      <w:r>
        <w:rPr>
          <w:rFonts w:ascii="Times New Roman" w:hAnsi="Times New Roman"/>
        </w:rPr>
        <w:t>starpsektoru korekcijas koeficients</w:t>
      </w:r>
    </w:p>
    <w:p w:rsidR="008826B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UCTE</w:t>
      </w:r>
      <w:r>
        <w:rPr>
          <w:rFonts w:ascii="Times New Roman" w:hAnsi="Times New Roman"/>
          <w:i/>
        </w:rPr>
        <w:tab/>
      </w:r>
      <w:r>
        <w:rPr>
          <w:rFonts w:ascii="Times New Roman" w:hAnsi="Times New Roman"/>
        </w:rPr>
        <w:t>Elektroenerģijas pārvades koordinācijas apvienība</w:t>
      </w:r>
    </w:p>
    <w:p w:rsidR="00335CDF" w:rsidRPr="001E6CF9" w:rsidRDefault="00335CDF" w:rsidP="008826B9">
      <w:pPr>
        <w:pStyle w:val="BodyText"/>
        <w:tabs>
          <w:tab w:val="left" w:pos="1701"/>
        </w:tabs>
        <w:ind w:left="1701" w:hanging="1701"/>
        <w:jc w:val="both"/>
        <w:rPr>
          <w:rFonts w:ascii="Times New Roman" w:hAnsi="Times New Roman"/>
          <w:noProof/>
        </w:rPr>
      </w:pPr>
      <w:r>
        <w:rPr>
          <w:rFonts w:ascii="Times New Roman" w:hAnsi="Times New Roman"/>
          <w:i/>
        </w:rPr>
        <w:t>VCM</w:t>
      </w:r>
      <w:r>
        <w:rPr>
          <w:rFonts w:ascii="Times New Roman" w:hAnsi="Times New Roman"/>
          <w:i/>
        </w:rPr>
        <w:tab/>
      </w:r>
      <w:r>
        <w:rPr>
          <w:rFonts w:ascii="Times New Roman" w:hAnsi="Times New Roman"/>
        </w:rPr>
        <w:t>vinilhlorīda monomērs</w:t>
      </w:r>
    </w:p>
    <w:p w:rsidR="008826B9" w:rsidRDefault="008826B9">
      <w:pPr>
        <w:rPr>
          <w:rFonts w:ascii="Times New Roman" w:eastAsia="Calibri" w:hAnsi="Times New Roman" w:cs="Calibri"/>
          <w:noProof/>
          <w:sz w:val="24"/>
          <w:szCs w:val="20"/>
        </w:rPr>
      </w:pPr>
      <w:r>
        <w:br w:type="page"/>
      </w:r>
    </w:p>
    <w:p w:rsidR="00335CDF" w:rsidRPr="001E6CF9" w:rsidRDefault="00335CDF" w:rsidP="00DE30DA">
      <w:pPr>
        <w:jc w:val="both"/>
        <w:rPr>
          <w:rFonts w:ascii="Times New Roman" w:eastAsia="Calibri" w:hAnsi="Times New Roman" w:cs="Calibri"/>
          <w:noProof/>
          <w:sz w:val="24"/>
          <w:szCs w:val="16"/>
        </w:rPr>
      </w:pPr>
    </w:p>
    <w:p w:rsidR="00335CDF" w:rsidRPr="00900881" w:rsidRDefault="00335CDF" w:rsidP="00900881">
      <w:pPr>
        <w:pStyle w:val="Heading1"/>
        <w:ind w:left="0" w:firstLine="0"/>
        <w:rPr>
          <w:rFonts w:ascii="Times New Roman" w:hAnsi="Times New Roman" w:cs="Times New Roman"/>
          <w:noProof/>
          <w:sz w:val="24"/>
        </w:rPr>
      </w:pPr>
      <w:bookmarkStart w:id="53" w:name="_Toc31010898"/>
      <w:r w:rsidRPr="00900881">
        <w:rPr>
          <w:rFonts w:ascii="Times New Roman" w:hAnsi="Times New Roman" w:cs="Times New Roman"/>
          <w:sz w:val="24"/>
        </w:rPr>
        <w:t>D pielikums. Salīdzinājums ar 2011. gada Norādījumu dokumentu Nr. 1</w:t>
      </w:r>
      <w:bookmarkStart w:id="54" w:name="_bookmark31"/>
      <w:bookmarkEnd w:id="54"/>
      <w:bookmarkEnd w:id="53"/>
    </w:p>
    <w:p w:rsidR="00335CDF" w:rsidRPr="008826B9" w:rsidRDefault="00335CDF" w:rsidP="00DE30DA">
      <w:pPr>
        <w:jc w:val="both"/>
        <w:rPr>
          <w:rFonts w:ascii="Times New Roman" w:eastAsia="Calibri" w:hAnsi="Times New Roman" w:cs="Calibri"/>
          <w:noProof/>
          <w:sz w:val="24"/>
          <w:szCs w:val="28"/>
        </w:rPr>
      </w:pPr>
    </w:p>
    <w:p w:rsidR="008826B9" w:rsidRPr="008826B9" w:rsidRDefault="008826B9" w:rsidP="00DE30DA">
      <w:pPr>
        <w:jc w:val="both"/>
        <w:rPr>
          <w:rFonts w:ascii="Times New Roman" w:eastAsia="Calibri" w:hAnsi="Times New Roman" w:cs="Calibri"/>
          <w:noProof/>
          <w:sz w:val="24"/>
          <w:szCs w:val="28"/>
        </w:rPr>
      </w:pPr>
    </w:p>
    <w:p w:rsidR="00335CDF" w:rsidRPr="001E6CF9" w:rsidRDefault="00335CDF" w:rsidP="00DE30DA">
      <w:pPr>
        <w:pStyle w:val="BodyText"/>
        <w:ind w:left="0"/>
        <w:jc w:val="both"/>
        <w:rPr>
          <w:rFonts w:ascii="Times New Roman" w:hAnsi="Times New Roman"/>
          <w:noProof/>
        </w:rPr>
      </w:pPr>
      <w:r>
        <w:rPr>
          <w:rFonts w:ascii="Times New Roman" w:hAnsi="Times New Roman"/>
        </w:rPr>
        <w:t xml:space="preserve">Turpmākajā tabulā parādīts, kāda ir 2011. gadā izdotās Norādījumu dokumenta Nr. 1 versijas iedaļu savstarpējā saistība ar pašreizējās 2019. gada versijas iedaļām, kā arī tas, kur aplūkotas galvenās tēmas. Lūdzu, ievērojiet, ka dažādo versiju atbilstošo iedaļu saturs var būt ievērojami izmainīts atbilstoši jaunajiem noteikumiem, kas ietverti pārskatītajā ETS direktīvā vai </w:t>
      </w:r>
      <w:r>
        <w:rPr>
          <w:rFonts w:ascii="Times New Roman" w:hAnsi="Times New Roman"/>
          <w:i/>
        </w:rPr>
        <w:t>FAR</w:t>
      </w:r>
      <w:r>
        <w:rPr>
          <w:rFonts w:ascii="Times New Roman" w:hAnsi="Times New Roman"/>
        </w:rPr>
        <w:t xml:space="preserve"> regulā. “-” nozīmē to, ka tēma netika ietverta attiecīgajā </w:t>
      </w:r>
      <w:r>
        <w:rPr>
          <w:rFonts w:ascii="Times New Roman" w:hAnsi="Times New Roman"/>
          <w:i/>
        </w:rPr>
        <w:t>GD</w:t>
      </w:r>
      <w:r>
        <w:rPr>
          <w:rFonts w:ascii="Times New Roman" w:hAnsi="Times New Roman"/>
        </w:rPr>
        <w:t>.</w:t>
      </w:r>
    </w:p>
    <w:p w:rsidR="00335CDF" w:rsidRPr="001E6CF9" w:rsidRDefault="00335CDF" w:rsidP="00DE30DA">
      <w:pPr>
        <w:jc w:val="both"/>
        <w:rPr>
          <w:rFonts w:ascii="Times New Roman" w:eastAsia="Calibri" w:hAnsi="Times New Roman" w:cs="Calibri"/>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745"/>
        <w:gridCol w:w="208"/>
        <w:gridCol w:w="191"/>
        <w:gridCol w:w="655"/>
        <w:gridCol w:w="208"/>
        <w:gridCol w:w="832"/>
        <w:gridCol w:w="4289"/>
      </w:tblGrid>
      <w:tr w:rsidR="001E6CF9" w:rsidRPr="008826B9" w:rsidTr="008826B9">
        <w:tc>
          <w:tcPr>
            <w:tcW w:w="1646" w:type="pct"/>
            <w:tcBorders>
              <w:top w:val="single" w:sz="5" w:space="0" w:color="000000"/>
              <w:left w:val="single" w:sz="5" w:space="0" w:color="000000"/>
              <w:bottom w:val="nil"/>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Satura rādītājs</w:t>
            </w:r>
          </w:p>
        </w:tc>
        <w:tc>
          <w:tcPr>
            <w:tcW w:w="161" w:type="pct"/>
            <w:gridSpan w:val="2"/>
            <w:tcBorders>
              <w:top w:val="single" w:sz="5" w:space="0" w:color="000000"/>
              <w:left w:val="single" w:sz="5" w:space="0" w:color="000000"/>
              <w:bottom w:val="single" w:sz="5" w:space="0" w:color="000000"/>
              <w:right w:val="nil"/>
            </w:tcBorders>
          </w:tcPr>
          <w:p w:rsidR="008C68EA" w:rsidRPr="008826B9" w:rsidRDefault="008C68EA" w:rsidP="00DE30DA">
            <w:pPr>
              <w:jc w:val="both"/>
              <w:rPr>
                <w:rFonts w:ascii="Times New Roman" w:hAnsi="Times New Roman" w:cs="Times New Roman"/>
                <w:noProof/>
                <w:sz w:val="20"/>
                <w:szCs w:val="20"/>
              </w:rPr>
            </w:pPr>
          </w:p>
        </w:tc>
        <w:tc>
          <w:tcPr>
            <w:tcW w:w="701" w:type="pct"/>
            <w:gridSpan w:val="3"/>
            <w:tcBorders>
              <w:top w:val="single" w:sz="5" w:space="0" w:color="000000"/>
              <w:left w:val="nil"/>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Iedaļa</w:t>
            </w:r>
          </w:p>
        </w:tc>
        <w:tc>
          <w:tcPr>
            <w:tcW w:w="2492"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Komentāri</w:t>
            </w:r>
          </w:p>
        </w:tc>
      </w:tr>
      <w:tr w:rsidR="001E6CF9" w:rsidRPr="008826B9" w:rsidTr="008826B9">
        <w:tc>
          <w:tcPr>
            <w:tcW w:w="1646" w:type="pct"/>
            <w:tcBorders>
              <w:top w:val="nil"/>
              <w:left w:val="single" w:sz="5" w:space="0" w:color="000000"/>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81" w:type="pct"/>
            <w:tcBorders>
              <w:top w:val="single" w:sz="5" w:space="0" w:color="000000"/>
              <w:left w:val="single" w:sz="5" w:space="0" w:color="000000"/>
              <w:bottom w:val="single" w:sz="5" w:space="0" w:color="000000"/>
              <w:right w:val="nil"/>
            </w:tcBorders>
          </w:tcPr>
          <w:p w:rsidR="008C68EA" w:rsidRPr="008826B9" w:rsidRDefault="008C68EA" w:rsidP="00DE30DA">
            <w:pPr>
              <w:jc w:val="both"/>
              <w:rPr>
                <w:rFonts w:ascii="Times New Roman" w:hAnsi="Times New Roman" w:cs="Times New Roman"/>
                <w:noProof/>
                <w:sz w:val="20"/>
                <w:szCs w:val="20"/>
              </w:rPr>
            </w:pPr>
          </w:p>
        </w:tc>
        <w:tc>
          <w:tcPr>
            <w:tcW w:w="354" w:type="pct"/>
            <w:gridSpan w:val="2"/>
            <w:tcBorders>
              <w:top w:val="single" w:sz="5" w:space="0" w:color="000000"/>
              <w:left w:val="nil"/>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2011</w:t>
            </w:r>
          </w:p>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i/>
                <w:sz w:val="20"/>
                <w:szCs w:val="20"/>
              </w:rPr>
              <w:t>GD</w:t>
            </w:r>
            <w:r>
              <w:rPr>
                <w:rFonts w:ascii="Times New Roman" w:hAnsi="Times New Roman"/>
                <w:sz w:val="20"/>
                <w:szCs w:val="20"/>
              </w:rPr>
              <w:t>1</w:t>
            </w:r>
          </w:p>
        </w:tc>
        <w:tc>
          <w:tcPr>
            <w:tcW w:w="85" w:type="pct"/>
            <w:tcBorders>
              <w:top w:val="single" w:sz="5" w:space="0" w:color="000000"/>
              <w:left w:val="single" w:sz="5" w:space="0" w:color="000000"/>
              <w:bottom w:val="single" w:sz="5" w:space="0" w:color="000000"/>
              <w:right w:val="nil"/>
            </w:tcBorders>
          </w:tcPr>
          <w:p w:rsidR="008C68EA" w:rsidRPr="008826B9" w:rsidRDefault="008C68EA" w:rsidP="00DE30DA">
            <w:pPr>
              <w:jc w:val="both"/>
              <w:rPr>
                <w:rFonts w:ascii="Times New Roman" w:hAnsi="Times New Roman" w:cs="Times New Roman"/>
                <w:noProof/>
                <w:sz w:val="20"/>
                <w:szCs w:val="20"/>
              </w:rPr>
            </w:pPr>
          </w:p>
        </w:tc>
        <w:tc>
          <w:tcPr>
            <w:tcW w:w="342" w:type="pct"/>
            <w:tcBorders>
              <w:top w:val="single" w:sz="5" w:space="0" w:color="000000"/>
              <w:left w:val="nil"/>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2019</w:t>
            </w:r>
          </w:p>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i/>
                <w:sz w:val="20"/>
                <w:szCs w:val="20"/>
              </w:rPr>
              <w:t>GD</w:t>
            </w:r>
            <w:r>
              <w:rPr>
                <w:rFonts w:ascii="Times New Roman" w:hAnsi="Times New Roman"/>
                <w:sz w:val="20"/>
                <w:szCs w:val="20"/>
              </w:rPr>
              <w:t>1</w:t>
            </w:r>
          </w:p>
        </w:tc>
        <w:tc>
          <w:tcPr>
            <w:tcW w:w="2492"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r>
      <w:tr w:rsidR="008826B9" w:rsidRPr="008826B9" w:rsidTr="008826B9">
        <w:tc>
          <w:tcPr>
            <w:tcW w:w="1646"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Ievads</w:t>
            </w:r>
          </w:p>
        </w:tc>
        <w:tc>
          <w:tcPr>
            <w:tcW w:w="81" w:type="pct"/>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1.</w:t>
            </w:r>
          </w:p>
        </w:tc>
        <w:tc>
          <w:tcPr>
            <w:tcW w:w="80" w:type="pct"/>
            <w:tcBorders>
              <w:top w:val="single" w:sz="5" w:space="0" w:color="000000"/>
              <w:left w:val="nil"/>
              <w:bottom w:val="single" w:sz="5" w:space="0" w:color="000000"/>
              <w:right w:val="nil"/>
            </w:tcBorders>
          </w:tcPr>
          <w:p w:rsidR="008C68EA" w:rsidRPr="008826B9" w:rsidRDefault="008C68EA" w:rsidP="00DE30DA">
            <w:pPr>
              <w:jc w:val="both"/>
              <w:rPr>
                <w:rFonts w:ascii="Times New Roman" w:hAnsi="Times New Roman" w:cs="Times New Roman"/>
                <w:noProof/>
                <w:sz w:val="20"/>
                <w:szCs w:val="20"/>
              </w:rPr>
            </w:pPr>
          </w:p>
        </w:tc>
        <w:tc>
          <w:tcPr>
            <w:tcW w:w="274"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85" w:type="pct"/>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1.</w:t>
            </w:r>
          </w:p>
        </w:tc>
        <w:tc>
          <w:tcPr>
            <w:tcW w:w="342"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2492"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 xml:space="preserve">Precizēts, </w:t>
            </w:r>
            <w:r>
              <w:rPr>
                <w:rFonts w:ascii="Times New Roman" w:hAnsi="Times New Roman"/>
                <w:i/>
                <w:sz w:val="20"/>
                <w:szCs w:val="20"/>
              </w:rPr>
              <w:t>CIMS</w:t>
            </w:r>
            <w:r>
              <w:rPr>
                <w:rFonts w:ascii="Times New Roman" w:hAnsi="Times New Roman"/>
                <w:sz w:val="20"/>
                <w:szCs w:val="20"/>
              </w:rPr>
              <w:t xml:space="preserve"> 2011. gada </w:t>
            </w:r>
            <w:r>
              <w:rPr>
                <w:rFonts w:ascii="Times New Roman" w:hAnsi="Times New Roman"/>
                <w:i/>
                <w:sz w:val="20"/>
                <w:szCs w:val="20"/>
              </w:rPr>
              <w:t>GD</w:t>
            </w:r>
            <w:r>
              <w:rPr>
                <w:rFonts w:ascii="Times New Roman" w:hAnsi="Times New Roman"/>
                <w:sz w:val="20"/>
                <w:szCs w:val="20"/>
              </w:rPr>
              <w:t xml:space="preserve"> aizstājot ar </w:t>
            </w:r>
            <w:r>
              <w:rPr>
                <w:rFonts w:ascii="Times New Roman" w:hAnsi="Times New Roman"/>
                <w:i/>
                <w:sz w:val="20"/>
                <w:szCs w:val="20"/>
              </w:rPr>
              <w:t>FAR</w:t>
            </w:r>
            <w:r>
              <w:rPr>
                <w:rFonts w:ascii="Times New Roman" w:hAnsi="Times New Roman"/>
                <w:sz w:val="20"/>
                <w:szCs w:val="20"/>
              </w:rPr>
              <w:t xml:space="preserve"> 2019. gada </w:t>
            </w:r>
            <w:r>
              <w:rPr>
                <w:rFonts w:ascii="Times New Roman" w:hAnsi="Times New Roman"/>
                <w:i/>
                <w:sz w:val="20"/>
                <w:szCs w:val="20"/>
              </w:rPr>
              <w:t>GD</w:t>
            </w: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8C68EA" w:rsidRPr="008826B9" w:rsidRDefault="008C68EA" w:rsidP="008826B9">
            <w:pPr>
              <w:pStyle w:val="TableParagraph"/>
              <w:ind w:left="142"/>
              <w:jc w:val="both"/>
              <w:rPr>
                <w:rFonts w:ascii="Times New Roman" w:hAnsi="Times New Roman" w:cs="Times New Roman"/>
                <w:noProof/>
                <w:sz w:val="20"/>
                <w:szCs w:val="20"/>
              </w:rPr>
            </w:pPr>
            <w:r>
              <w:rPr>
                <w:rFonts w:ascii="Times New Roman" w:hAnsi="Times New Roman"/>
                <w:sz w:val="20"/>
                <w:szCs w:val="20"/>
              </w:rPr>
              <w:t>Norādījumu dokumenta statuss</w:t>
            </w:r>
          </w:p>
        </w:tc>
        <w:tc>
          <w:tcPr>
            <w:tcW w:w="161" w:type="pct"/>
            <w:gridSpan w:val="2"/>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1.1.</w:t>
            </w:r>
          </w:p>
        </w:tc>
        <w:tc>
          <w:tcPr>
            <w:tcW w:w="274"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427" w:type="pct"/>
            <w:gridSpan w:val="2"/>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1.1.</w:t>
            </w:r>
          </w:p>
        </w:tc>
        <w:tc>
          <w:tcPr>
            <w:tcW w:w="2492"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8C68EA" w:rsidRPr="008826B9" w:rsidRDefault="008C68EA" w:rsidP="008826B9">
            <w:pPr>
              <w:pStyle w:val="TableParagraph"/>
              <w:ind w:left="142"/>
              <w:jc w:val="both"/>
              <w:rPr>
                <w:rFonts w:ascii="Times New Roman" w:hAnsi="Times New Roman" w:cs="Times New Roman"/>
                <w:noProof/>
                <w:sz w:val="20"/>
                <w:szCs w:val="20"/>
              </w:rPr>
            </w:pPr>
            <w:r>
              <w:rPr>
                <w:rFonts w:ascii="Times New Roman" w:hAnsi="Times New Roman"/>
                <w:sz w:val="20"/>
                <w:szCs w:val="20"/>
              </w:rPr>
              <w:t>Norādījumu dokumentu vispārīgs apraksts</w:t>
            </w:r>
          </w:p>
        </w:tc>
        <w:tc>
          <w:tcPr>
            <w:tcW w:w="161" w:type="pct"/>
            <w:gridSpan w:val="2"/>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1.2.</w:t>
            </w:r>
          </w:p>
        </w:tc>
        <w:tc>
          <w:tcPr>
            <w:tcW w:w="274"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427" w:type="pct"/>
            <w:gridSpan w:val="2"/>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1.2.</w:t>
            </w:r>
          </w:p>
        </w:tc>
        <w:tc>
          <w:tcPr>
            <w:tcW w:w="2492"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 xml:space="preserve">Atjaunināts </w:t>
            </w:r>
            <w:r>
              <w:rPr>
                <w:rFonts w:ascii="Times New Roman" w:hAnsi="Times New Roman"/>
                <w:i/>
                <w:sz w:val="20"/>
                <w:szCs w:val="20"/>
              </w:rPr>
              <w:t>GD</w:t>
            </w:r>
            <w:r>
              <w:rPr>
                <w:rFonts w:ascii="Times New Roman" w:hAnsi="Times New Roman"/>
                <w:sz w:val="20"/>
                <w:szCs w:val="20"/>
              </w:rPr>
              <w:t xml:space="preserve"> saraksts, lai tas atbilstu 2019. gada versijas darbības jomai un nosaukumiem</w:t>
            </w: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8C68EA" w:rsidRPr="008826B9" w:rsidRDefault="008C68EA" w:rsidP="008826B9">
            <w:pPr>
              <w:pStyle w:val="TableParagraph"/>
              <w:ind w:left="142"/>
              <w:jc w:val="both"/>
              <w:rPr>
                <w:rFonts w:ascii="Times New Roman" w:hAnsi="Times New Roman" w:cs="Times New Roman"/>
                <w:noProof/>
                <w:sz w:val="20"/>
                <w:szCs w:val="20"/>
              </w:rPr>
            </w:pPr>
            <w:r>
              <w:rPr>
                <w:rFonts w:ascii="Times New Roman" w:hAnsi="Times New Roman"/>
                <w:sz w:val="20"/>
                <w:szCs w:val="20"/>
              </w:rPr>
              <w:t>Norādījumu dokumentu izmantošana</w:t>
            </w:r>
          </w:p>
        </w:tc>
        <w:tc>
          <w:tcPr>
            <w:tcW w:w="161" w:type="pct"/>
            <w:gridSpan w:val="2"/>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1.3.</w:t>
            </w:r>
          </w:p>
        </w:tc>
        <w:tc>
          <w:tcPr>
            <w:tcW w:w="274"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427" w:type="pct"/>
            <w:gridSpan w:val="2"/>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1.3.</w:t>
            </w:r>
          </w:p>
        </w:tc>
        <w:tc>
          <w:tcPr>
            <w:tcW w:w="2492"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8C68EA" w:rsidRPr="008826B9" w:rsidRDefault="008C68EA" w:rsidP="008826B9">
            <w:pPr>
              <w:pStyle w:val="TableParagraph"/>
              <w:ind w:left="142"/>
              <w:jc w:val="both"/>
              <w:rPr>
                <w:rFonts w:ascii="Times New Roman" w:hAnsi="Times New Roman" w:cs="Times New Roman"/>
                <w:noProof/>
                <w:sz w:val="20"/>
                <w:szCs w:val="20"/>
              </w:rPr>
            </w:pPr>
            <w:r>
              <w:rPr>
                <w:rFonts w:ascii="Times New Roman" w:hAnsi="Times New Roman"/>
                <w:sz w:val="20"/>
                <w:szCs w:val="20"/>
              </w:rPr>
              <w:t>Šā norādījumu dokumenta darbības joma</w:t>
            </w:r>
          </w:p>
        </w:tc>
        <w:tc>
          <w:tcPr>
            <w:tcW w:w="161" w:type="pct"/>
            <w:gridSpan w:val="2"/>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1.4.</w:t>
            </w:r>
          </w:p>
        </w:tc>
        <w:tc>
          <w:tcPr>
            <w:tcW w:w="274"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427" w:type="pct"/>
            <w:gridSpan w:val="2"/>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1.5.</w:t>
            </w:r>
          </w:p>
        </w:tc>
        <w:tc>
          <w:tcPr>
            <w:tcW w:w="2492"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8C68EA" w:rsidRPr="008826B9" w:rsidRDefault="008C68EA" w:rsidP="008826B9">
            <w:pPr>
              <w:pStyle w:val="TableParagraph"/>
              <w:ind w:left="142"/>
              <w:jc w:val="both"/>
              <w:rPr>
                <w:rFonts w:ascii="Times New Roman" w:hAnsi="Times New Roman" w:cs="Times New Roman"/>
                <w:noProof/>
                <w:sz w:val="20"/>
                <w:szCs w:val="20"/>
              </w:rPr>
            </w:pPr>
            <w:r>
              <w:rPr>
                <w:rFonts w:ascii="Times New Roman" w:hAnsi="Times New Roman"/>
                <w:sz w:val="20"/>
                <w:szCs w:val="20"/>
              </w:rPr>
              <w:t>Papildu norādījumi</w:t>
            </w:r>
          </w:p>
        </w:tc>
        <w:tc>
          <w:tcPr>
            <w:tcW w:w="161" w:type="pct"/>
            <w:gridSpan w:val="2"/>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1.5.</w:t>
            </w:r>
          </w:p>
        </w:tc>
        <w:tc>
          <w:tcPr>
            <w:tcW w:w="274"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427" w:type="pct"/>
            <w:gridSpan w:val="2"/>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1.4.</w:t>
            </w:r>
          </w:p>
        </w:tc>
        <w:tc>
          <w:tcPr>
            <w:tcW w:w="2492"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r>
      <w:tr w:rsidR="008826B9" w:rsidRPr="008826B9" w:rsidTr="008826B9">
        <w:tc>
          <w:tcPr>
            <w:tcW w:w="1646"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Jauni elementi kvotu piešķiršanas metodoloģijā</w:t>
            </w:r>
          </w:p>
        </w:tc>
        <w:tc>
          <w:tcPr>
            <w:tcW w:w="81" w:type="pct"/>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2.</w:t>
            </w:r>
          </w:p>
        </w:tc>
        <w:tc>
          <w:tcPr>
            <w:tcW w:w="80" w:type="pct"/>
            <w:tcBorders>
              <w:top w:val="single" w:sz="5" w:space="0" w:color="000000"/>
              <w:left w:val="nil"/>
              <w:bottom w:val="single" w:sz="5" w:space="0" w:color="000000"/>
              <w:right w:val="nil"/>
            </w:tcBorders>
          </w:tcPr>
          <w:p w:rsidR="008C68EA" w:rsidRPr="008826B9" w:rsidRDefault="008C68EA" w:rsidP="00DE30DA">
            <w:pPr>
              <w:jc w:val="both"/>
              <w:rPr>
                <w:rFonts w:ascii="Times New Roman" w:hAnsi="Times New Roman" w:cs="Times New Roman"/>
                <w:noProof/>
                <w:sz w:val="20"/>
                <w:szCs w:val="20"/>
              </w:rPr>
            </w:pPr>
          </w:p>
        </w:tc>
        <w:tc>
          <w:tcPr>
            <w:tcW w:w="274"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85" w:type="pct"/>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2.</w:t>
            </w:r>
          </w:p>
        </w:tc>
        <w:tc>
          <w:tcPr>
            <w:tcW w:w="342"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2492"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eastAsia="Calibri" w:hAnsi="Times New Roman" w:cs="Times New Roman"/>
                <w:noProof/>
                <w:sz w:val="20"/>
                <w:szCs w:val="20"/>
              </w:rPr>
            </w:pPr>
            <w:r>
              <w:rPr>
                <w:rFonts w:ascii="Times New Roman" w:hAnsi="Times New Roman"/>
                <w:sz w:val="20"/>
                <w:szCs w:val="20"/>
              </w:rPr>
              <w:t xml:space="preserve">2011. gada </w:t>
            </w:r>
            <w:r>
              <w:rPr>
                <w:rFonts w:ascii="Times New Roman" w:hAnsi="Times New Roman"/>
                <w:i/>
                <w:sz w:val="20"/>
                <w:szCs w:val="20"/>
              </w:rPr>
              <w:t>GD</w:t>
            </w:r>
            <w:r>
              <w:rPr>
                <w:rFonts w:ascii="Times New Roman" w:hAnsi="Times New Roman"/>
                <w:sz w:val="20"/>
                <w:szCs w:val="20"/>
              </w:rPr>
              <w:t xml:space="preserve"> saukts par “mērķi”</w:t>
            </w:r>
          </w:p>
        </w:tc>
      </w:tr>
      <w:tr w:rsidR="008826B9" w:rsidRPr="008826B9" w:rsidTr="008826B9">
        <w:tc>
          <w:tcPr>
            <w:tcW w:w="1646"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Emisijas kvotu piešķiršanas procesa pārskats</w:t>
            </w:r>
          </w:p>
        </w:tc>
        <w:tc>
          <w:tcPr>
            <w:tcW w:w="81" w:type="pct"/>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3.</w:t>
            </w:r>
          </w:p>
        </w:tc>
        <w:tc>
          <w:tcPr>
            <w:tcW w:w="80" w:type="pct"/>
            <w:tcBorders>
              <w:top w:val="single" w:sz="5" w:space="0" w:color="000000"/>
              <w:left w:val="nil"/>
              <w:bottom w:val="single" w:sz="5" w:space="0" w:color="000000"/>
              <w:right w:val="nil"/>
            </w:tcBorders>
          </w:tcPr>
          <w:p w:rsidR="008C68EA" w:rsidRPr="008826B9" w:rsidRDefault="008C68EA" w:rsidP="00DE30DA">
            <w:pPr>
              <w:jc w:val="both"/>
              <w:rPr>
                <w:rFonts w:ascii="Times New Roman" w:hAnsi="Times New Roman" w:cs="Times New Roman"/>
                <w:noProof/>
                <w:sz w:val="20"/>
                <w:szCs w:val="20"/>
              </w:rPr>
            </w:pPr>
          </w:p>
        </w:tc>
        <w:tc>
          <w:tcPr>
            <w:tcW w:w="274"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85" w:type="pct"/>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3.</w:t>
            </w:r>
          </w:p>
        </w:tc>
        <w:tc>
          <w:tcPr>
            <w:tcW w:w="342"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2492"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 xml:space="preserve">2019. gada </w:t>
            </w:r>
            <w:r>
              <w:rPr>
                <w:rFonts w:ascii="Times New Roman" w:hAnsi="Times New Roman"/>
                <w:i/>
                <w:sz w:val="20"/>
                <w:szCs w:val="20"/>
              </w:rPr>
              <w:t>GD</w:t>
            </w:r>
            <w:r>
              <w:rPr>
                <w:rFonts w:ascii="Times New Roman" w:hAnsi="Times New Roman"/>
                <w:sz w:val="20"/>
                <w:szCs w:val="20"/>
              </w:rPr>
              <w:t xml:space="preserve"> atjaunināts process, datu vākšanā un piešķiramo kvotu apjoma aprēķināšanā ietverot </w:t>
            </w:r>
            <w:r>
              <w:rPr>
                <w:rFonts w:ascii="Times New Roman" w:hAnsi="Times New Roman"/>
                <w:i/>
                <w:sz w:val="20"/>
                <w:szCs w:val="20"/>
              </w:rPr>
              <w:t>BM</w:t>
            </w:r>
            <w:r>
              <w:rPr>
                <w:rFonts w:ascii="Times New Roman" w:hAnsi="Times New Roman"/>
                <w:sz w:val="20"/>
                <w:szCs w:val="20"/>
              </w:rPr>
              <w:t xml:space="preserve"> atjaunināšanas soli, kā arī ietverot jaunus elementus/soļus </w:t>
            </w:r>
            <w:r>
              <w:rPr>
                <w:rFonts w:ascii="Times New Roman" w:hAnsi="Times New Roman"/>
                <w:i/>
                <w:sz w:val="20"/>
                <w:szCs w:val="20"/>
              </w:rPr>
              <w:t>FAR</w:t>
            </w:r>
            <w:r>
              <w:rPr>
                <w:rFonts w:ascii="Times New Roman" w:hAnsi="Times New Roman"/>
                <w:sz w:val="20"/>
                <w:szCs w:val="20"/>
              </w:rPr>
              <w:t>, un ieviesta standartizēta terminoloģija ziņojumiem, veidnēm un iesniedzamajiem dokumentiem</w:t>
            </w:r>
          </w:p>
        </w:tc>
      </w:tr>
      <w:tr w:rsidR="008826B9" w:rsidRPr="008826B9" w:rsidTr="008826B9">
        <w:tc>
          <w:tcPr>
            <w:tcW w:w="1646"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Attiecīgās iekārtas</w:t>
            </w:r>
          </w:p>
        </w:tc>
        <w:tc>
          <w:tcPr>
            <w:tcW w:w="81" w:type="pct"/>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4.</w:t>
            </w:r>
          </w:p>
        </w:tc>
        <w:tc>
          <w:tcPr>
            <w:tcW w:w="80" w:type="pct"/>
            <w:tcBorders>
              <w:top w:val="single" w:sz="5" w:space="0" w:color="000000"/>
              <w:left w:val="nil"/>
              <w:bottom w:val="single" w:sz="5" w:space="0" w:color="000000"/>
              <w:right w:val="nil"/>
            </w:tcBorders>
          </w:tcPr>
          <w:p w:rsidR="008C68EA" w:rsidRPr="008826B9" w:rsidRDefault="008C68EA" w:rsidP="00DE30DA">
            <w:pPr>
              <w:jc w:val="both"/>
              <w:rPr>
                <w:rFonts w:ascii="Times New Roman" w:hAnsi="Times New Roman" w:cs="Times New Roman"/>
                <w:noProof/>
                <w:sz w:val="20"/>
                <w:szCs w:val="20"/>
              </w:rPr>
            </w:pPr>
          </w:p>
        </w:tc>
        <w:tc>
          <w:tcPr>
            <w:tcW w:w="274"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85" w:type="pct"/>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4.</w:t>
            </w:r>
          </w:p>
        </w:tc>
        <w:tc>
          <w:tcPr>
            <w:tcW w:w="342"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2492"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 xml:space="preserve">2019. gada </w:t>
            </w:r>
            <w:r>
              <w:rPr>
                <w:rFonts w:ascii="Times New Roman" w:hAnsi="Times New Roman"/>
                <w:i/>
                <w:sz w:val="20"/>
                <w:szCs w:val="20"/>
              </w:rPr>
              <w:t xml:space="preserve">GD </w:t>
            </w:r>
            <w:r>
              <w:rPr>
                <w:rFonts w:ascii="Times New Roman" w:hAnsi="Times New Roman"/>
                <w:sz w:val="20"/>
                <w:szCs w:val="20"/>
              </w:rPr>
              <w:t xml:space="preserve">ietverts pārskats par prasībām dažāda veida (apakš-)iekārtām attiecībā uz </w:t>
            </w:r>
            <w:r>
              <w:rPr>
                <w:rFonts w:ascii="Times New Roman" w:hAnsi="Times New Roman"/>
                <w:i/>
                <w:sz w:val="20"/>
                <w:szCs w:val="20"/>
              </w:rPr>
              <w:t>NIM</w:t>
            </w:r>
            <w:r>
              <w:rPr>
                <w:rFonts w:ascii="Times New Roman" w:hAnsi="Times New Roman"/>
                <w:sz w:val="20"/>
                <w:szCs w:val="20"/>
              </w:rPr>
              <w:t xml:space="preserve"> iekļaušanu un datu iesniegšanu</w:t>
            </w:r>
          </w:p>
        </w:tc>
      </w:tr>
      <w:tr w:rsidR="008C68EA" w:rsidRPr="008826B9" w:rsidTr="008826B9">
        <w:tc>
          <w:tcPr>
            <w:tcW w:w="1646" w:type="pct"/>
            <w:tcBorders>
              <w:top w:val="single" w:sz="5" w:space="0" w:color="000000"/>
              <w:left w:val="single" w:sz="5" w:space="0" w:color="000000"/>
              <w:bottom w:val="single" w:sz="5" w:space="0" w:color="000000"/>
              <w:right w:val="single" w:sz="5" w:space="0" w:color="000000"/>
            </w:tcBorders>
          </w:tcPr>
          <w:p w:rsidR="008C68EA" w:rsidRPr="008826B9" w:rsidRDefault="008C68EA" w:rsidP="008826B9">
            <w:pPr>
              <w:pStyle w:val="TableParagraph"/>
              <w:ind w:left="142"/>
              <w:jc w:val="both"/>
              <w:rPr>
                <w:rFonts w:ascii="Times New Roman" w:hAnsi="Times New Roman" w:cs="Times New Roman"/>
                <w:noProof/>
                <w:sz w:val="20"/>
                <w:szCs w:val="20"/>
              </w:rPr>
            </w:pPr>
            <w:r>
              <w:rPr>
                <w:rFonts w:ascii="Times New Roman" w:hAnsi="Times New Roman"/>
                <w:sz w:val="20"/>
                <w:szCs w:val="20"/>
              </w:rPr>
              <w:t xml:space="preserve">Kuras iekārtas ir iekļautas </w:t>
            </w:r>
            <w:r>
              <w:rPr>
                <w:rFonts w:ascii="Times New Roman" w:hAnsi="Times New Roman"/>
                <w:i/>
                <w:iCs/>
                <w:sz w:val="20"/>
                <w:szCs w:val="20"/>
              </w:rPr>
              <w:t>NIM</w:t>
            </w:r>
            <w:r>
              <w:rPr>
                <w:rFonts w:ascii="Times New Roman" w:hAnsi="Times New Roman"/>
                <w:sz w:val="20"/>
                <w:szCs w:val="20"/>
              </w:rPr>
              <w:t>?</w:t>
            </w:r>
          </w:p>
        </w:tc>
        <w:tc>
          <w:tcPr>
            <w:tcW w:w="161" w:type="pct"/>
            <w:gridSpan w:val="2"/>
            <w:tcBorders>
              <w:top w:val="single" w:sz="5" w:space="0" w:color="000000"/>
              <w:left w:val="single" w:sz="5" w:space="0" w:color="000000"/>
              <w:bottom w:val="single" w:sz="5" w:space="0" w:color="000000"/>
              <w:right w:val="nil"/>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4.1.</w:t>
            </w:r>
          </w:p>
        </w:tc>
        <w:tc>
          <w:tcPr>
            <w:tcW w:w="274" w:type="pct"/>
            <w:tcBorders>
              <w:top w:val="single" w:sz="5" w:space="0" w:color="000000"/>
              <w:left w:val="nil"/>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c>
          <w:tcPr>
            <w:tcW w:w="427" w:type="pct"/>
            <w:gridSpan w:val="2"/>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pStyle w:val="TableParagraph"/>
              <w:jc w:val="both"/>
              <w:rPr>
                <w:rFonts w:ascii="Times New Roman" w:hAnsi="Times New Roman" w:cs="Times New Roman"/>
                <w:noProof/>
                <w:sz w:val="20"/>
                <w:szCs w:val="20"/>
              </w:rPr>
            </w:pPr>
            <w:r>
              <w:rPr>
                <w:rFonts w:ascii="Times New Roman" w:hAnsi="Times New Roman"/>
                <w:sz w:val="20"/>
                <w:szCs w:val="20"/>
              </w:rPr>
              <w:t>4.1.</w:t>
            </w:r>
          </w:p>
        </w:tc>
        <w:tc>
          <w:tcPr>
            <w:tcW w:w="2492" w:type="pct"/>
            <w:tcBorders>
              <w:top w:val="single" w:sz="5" w:space="0" w:color="000000"/>
              <w:left w:val="single" w:sz="5" w:space="0" w:color="000000"/>
              <w:bottom w:val="single" w:sz="5" w:space="0" w:color="000000"/>
              <w:right w:val="single" w:sz="5" w:space="0" w:color="000000"/>
            </w:tcBorders>
          </w:tcPr>
          <w:p w:rsidR="008C68EA" w:rsidRPr="008826B9" w:rsidRDefault="008C68EA" w:rsidP="00DE30DA">
            <w:pPr>
              <w:jc w:val="both"/>
              <w:rPr>
                <w:rFonts w:ascii="Times New Roman" w:hAnsi="Times New Roman" w:cs="Times New Roman"/>
                <w:noProof/>
                <w:sz w:val="20"/>
                <w:szCs w:val="20"/>
              </w:rPr>
            </w:pP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335CDF" w:rsidRPr="008826B9" w:rsidRDefault="00335CDF" w:rsidP="008826B9">
            <w:pPr>
              <w:pStyle w:val="TableParagraph"/>
              <w:ind w:left="142"/>
              <w:jc w:val="both"/>
              <w:rPr>
                <w:rFonts w:ascii="Times New Roman" w:hAnsi="Times New Roman" w:cs="Times New Roman"/>
                <w:noProof/>
                <w:sz w:val="20"/>
                <w:szCs w:val="20"/>
              </w:rPr>
            </w:pPr>
            <w:r>
              <w:rPr>
                <w:rFonts w:ascii="Times New Roman" w:hAnsi="Times New Roman"/>
                <w:sz w:val="20"/>
                <w:szCs w:val="20"/>
              </w:rPr>
              <w:t>Kas bez maksas saņem emisijas kvotas?</w:t>
            </w:r>
          </w:p>
        </w:tc>
        <w:tc>
          <w:tcPr>
            <w:tcW w:w="435" w:type="pct"/>
            <w:gridSpan w:val="3"/>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4.2.</w:t>
            </w:r>
          </w:p>
        </w:tc>
        <w:tc>
          <w:tcPr>
            <w:tcW w:w="427" w:type="pct"/>
            <w:gridSpan w:val="2"/>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4.1.</w:t>
            </w:r>
          </w:p>
        </w:tc>
        <w:tc>
          <w:tcPr>
            <w:tcW w:w="2492"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jc w:val="both"/>
              <w:rPr>
                <w:rFonts w:ascii="Times New Roman" w:hAnsi="Times New Roman" w:cs="Times New Roman"/>
                <w:noProof/>
                <w:sz w:val="20"/>
                <w:szCs w:val="20"/>
              </w:rPr>
            </w:pP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Kvotu piešķiršanas metodoloģijas</w:t>
            </w:r>
          </w:p>
        </w:tc>
        <w:tc>
          <w:tcPr>
            <w:tcW w:w="435" w:type="pct"/>
            <w:gridSpan w:val="3"/>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w:t>
            </w:r>
          </w:p>
        </w:tc>
        <w:tc>
          <w:tcPr>
            <w:tcW w:w="427" w:type="pct"/>
            <w:gridSpan w:val="2"/>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w:t>
            </w:r>
          </w:p>
        </w:tc>
        <w:tc>
          <w:tcPr>
            <w:tcW w:w="2492"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jc w:val="both"/>
              <w:rPr>
                <w:rFonts w:ascii="Times New Roman" w:hAnsi="Times New Roman" w:cs="Times New Roman"/>
                <w:noProof/>
                <w:sz w:val="20"/>
                <w:szCs w:val="20"/>
              </w:rPr>
            </w:pP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335CDF" w:rsidRPr="008826B9" w:rsidRDefault="00335CDF" w:rsidP="008826B9">
            <w:pPr>
              <w:pStyle w:val="TableParagraph"/>
              <w:ind w:left="142"/>
              <w:jc w:val="both"/>
              <w:rPr>
                <w:rFonts w:ascii="Times New Roman" w:hAnsi="Times New Roman" w:cs="Times New Roman"/>
                <w:noProof/>
                <w:sz w:val="20"/>
                <w:szCs w:val="20"/>
              </w:rPr>
            </w:pPr>
            <w:r>
              <w:rPr>
                <w:rFonts w:ascii="Times New Roman" w:hAnsi="Times New Roman"/>
                <w:sz w:val="20"/>
                <w:szCs w:val="20"/>
              </w:rPr>
              <w:t>Pieejas pārskats apakšiekārtas līmenī</w:t>
            </w:r>
          </w:p>
        </w:tc>
        <w:tc>
          <w:tcPr>
            <w:tcW w:w="435" w:type="pct"/>
            <w:gridSpan w:val="3"/>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5.1.</w:t>
            </w:r>
          </w:p>
        </w:tc>
        <w:tc>
          <w:tcPr>
            <w:tcW w:w="427" w:type="pct"/>
            <w:gridSpan w:val="2"/>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5.2.</w:t>
            </w:r>
          </w:p>
        </w:tc>
        <w:tc>
          <w:tcPr>
            <w:tcW w:w="2492"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 xml:space="preserve">2019. gada </w:t>
            </w:r>
            <w:r>
              <w:rPr>
                <w:rFonts w:ascii="Times New Roman" w:hAnsi="Times New Roman"/>
                <w:i/>
                <w:sz w:val="20"/>
                <w:szCs w:val="20"/>
              </w:rPr>
              <w:t xml:space="preserve">GD </w:t>
            </w:r>
            <w:r>
              <w:rPr>
                <w:rFonts w:ascii="Times New Roman" w:hAnsi="Times New Roman"/>
                <w:sz w:val="20"/>
                <w:szCs w:val="20"/>
              </w:rPr>
              <w:t>ietverts jauns apakšiekārtas veids; šī apakšiekārta paredzēta siltuma eksportam centralizētās siltumapgādes vajadzībām</w:t>
            </w: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335CDF" w:rsidRPr="008826B9" w:rsidRDefault="00335CDF" w:rsidP="008826B9">
            <w:pPr>
              <w:pStyle w:val="TableParagraph"/>
              <w:ind w:left="142"/>
              <w:jc w:val="both"/>
              <w:rPr>
                <w:rFonts w:ascii="Times New Roman" w:hAnsi="Times New Roman" w:cs="Times New Roman"/>
                <w:noProof/>
                <w:sz w:val="20"/>
                <w:szCs w:val="20"/>
              </w:rPr>
            </w:pPr>
            <w:r>
              <w:rPr>
                <w:rFonts w:ascii="Times New Roman" w:hAnsi="Times New Roman"/>
                <w:sz w:val="20"/>
                <w:szCs w:val="20"/>
              </w:rPr>
              <w:t>Vispārīga informācija par produktu līmeņatzīmēm</w:t>
            </w:r>
          </w:p>
        </w:tc>
        <w:tc>
          <w:tcPr>
            <w:tcW w:w="435" w:type="pct"/>
            <w:gridSpan w:val="3"/>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5.2.</w:t>
            </w:r>
          </w:p>
        </w:tc>
        <w:tc>
          <w:tcPr>
            <w:tcW w:w="427" w:type="pct"/>
            <w:gridSpan w:val="2"/>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w:t>
            </w:r>
          </w:p>
        </w:tc>
        <w:tc>
          <w:tcPr>
            <w:tcW w:w="2492"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jc w:val="both"/>
              <w:rPr>
                <w:rFonts w:ascii="Times New Roman" w:hAnsi="Times New Roman" w:cs="Times New Roman"/>
                <w:noProof/>
                <w:sz w:val="20"/>
                <w:szCs w:val="20"/>
              </w:rPr>
            </w:pP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335CDF" w:rsidRPr="008826B9" w:rsidRDefault="00335CDF" w:rsidP="008826B9">
            <w:pPr>
              <w:pStyle w:val="TableParagraph"/>
              <w:ind w:left="142"/>
              <w:jc w:val="both"/>
              <w:rPr>
                <w:rFonts w:ascii="Times New Roman" w:hAnsi="Times New Roman" w:cs="Times New Roman"/>
                <w:noProof/>
                <w:sz w:val="20"/>
                <w:szCs w:val="20"/>
              </w:rPr>
            </w:pPr>
            <w:r>
              <w:rPr>
                <w:rFonts w:ascii="Times New Roman" w:hAnsi="Times New Roman"/>
                <w:sz w:val="20"/>
                <w:szCs w:val="20"/>
              </w:rPr>
              <w:t>Sašķelšana apakšiekārtās</w:t>
            </w:r>
          </w:p>
        </w:tc>
        <w:tc>
          <w:tcPr>
            <w:tcW w:w="435" w:type="pct"/>
            <w:gridSpan w:val="3"/>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5.3.</w:t>
            </w:r>
          </w:p>
        </w:tc>
        <w:tc>
          <w:tcPr>
            <w:tcW w:w="427" w:type="pct"/>
            <w:gridSpan w:val="2"/>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5.2.</w:t>
            </w:r>
          </w:p>
        </w:tc>
        <w:tc>
          <w:tcPr>
            <w:tcW w:w="2492"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jc w:val="both"/>
              <w:rPr>
                <w:rFonts w:ascii="Times New Roman" w:hAnsi="Times New Roman" w:cs="Times New Roman"/>
                <w:noProof/>
                <w:sz w:val="20"/>
                <w:szCs w:val="20"/>
              </w:rPr>
            </w:pP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335CDF" w:rsidRPr="008826B9" w:rsidRDefault="00335CDF" w:rsidP="008826B9">
            <w:pPr>
              <w:pStyle w:val="TableParagraph"/>
              <w:ind w:left="142"/>
              <w:jc w:val="both"/>
              <w:rPr>
                <w:rFonts w:ascii="Times New Roman" w:hAnsi="Times New Roman" w:cs="Times New Roman"/>
                <w:noProof/>
                <w:sz w:val="20"/>
                <w:szCs w:val="20"/>
              </w:rPr>
            </w:pPr>
            <w:r>
              <w:rPr>
                <w:rFonts w:ascii="Times New Roman" w:hAnsi="Times New Roman"/>
                <w:sz w:val="20"/>
                <w:szCs w:val="20"/>
              </w:rPr>
              <w:t>Korekcijas koeficienti</w:t>
            </w:r>
          </w:p>
        </w:tc>
        <w:tc>
          <w:tcPr>
            <w:tcW w:w="435" w:type="pct"/>
            <w:gridSpan w:val="3"/>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5.4.</w:t>
            </w:r>
          </w:p>
        </w:tc>
        <w:tc>
          <w:tcPr>
            <w:tcW w:w="427" w:type="pct"/>
            <w:gridSpan w:val="2"/>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5.3.</w:t>
            </w:r>
          </w:p>
        </w:tc>
        <w:tc>
          <w:tcPr>
            <w:tcW w:w="2492"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 xml:space="preserve">2019. gada </w:t>
            </w:r>
            <w:r>
              <w:rPr>
                <w:rFonts w:ascii="Times New Roman" w:hAnsi="Times New Roman"/>
                <w:i/>
                <w:sz w:val="20"/>
                <w:szCs w:val="20"/>
              </w:rPr>
              <w:t>GD</w:t>
            </w:r>
            <w:r>
              <w:rPr>
                <w:rFonts w:ascii="Times New Roman" w:hAnsi="Times New Roman"/>
                <w:sz w:val="20"/>
                <w:szCs w:val="20"/>
              </w:rPr>
              <w:t xml:space="preserve"> ietverts pārskats par to, kad/kuros gadījumos katrs no korekcijas koeficientiem ir jāpiemēro</w:t>
            </w: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335CDF" w:rsidRPr="008826B9" w:rsidRDefault="00335CDF" w:rsidP="008826B9">
            <w:pPr>
              <w:pStyle w:val="TableParagraph"/>
              <w:ind w:left="284"/>
              <w:jc w:val="both"/>
              <w:rPr>
                <w:rFonts w:ascii="Times New Roman" w:hAnsi="Times New Roman" w:cs="Times New Roman"/>
                <w:noProof/>
                <w:sz w:val="20"/>
                <w:szCs w:val="20"/>
              </w:rPr>
            </w:pPr>
            <w:r>
              <w:rPr>
                <w:rFonts w:ascii="Times New Roman" w:hAnsi="Times New Roman"/>
                <w:sz w:val="20"/>
                <w:szCs w:val="20"/>
              </w:rPr>
              <w:t>Oglekļa emisiju pārvirzes riska koeficients</w:t>
            </w:r>
          </w:p>
        </w:tc>
        <w:tc>
          <w:tcPr>
            <w:tcW w:w="435" w:type="pct"/>
            <w:gridSpan w:val="3"/>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5.4.1.</w:t>
            </w:r>
          </w:p>
        </w:tc>
        <w:tc>
          <w:tcPr>
            <w:tcW w:w="427" w:type="pct"/>
            <w:gridSpan w:val="2"/>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5.3.1.</w:t>
            </w:r>
          </w:p>
        </w:tc>
        <w:tc>
          <w:tcPr>
            <w:tcW w:w="2492"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jc w:val="both"/>
              <w:rPr>
                <w:rFonts w:ascii="Times New Roman" w:hAnsi="Times New Roman" w:cs="Times New Roman"/>
                <w:noProof/>
                <w:sz w:val="20"/>
                <w:szCs w:val="20"/>
              </w:rPr>
            </w:pP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335CDF" w:rsidRPr="008826B9" w:rsidRDefault="00335CDF" w:rsidP="008826B9">
            <w:pPr>
              <w:pStyle w:val="TableParagraph"/>
              <w:ind w:left="284"/>
              <w:jc w:val="both"/>
              <w:rPr>
                <w:rFonts w:ascii="Times New Roman" w:hAnsi="Times New Roman" w:cs="Times New Roman"/>
                <w:noProof/>
                <w:sz w:val="20"/>
                <w:szCs w:val="20"/>
              </w:rPr>
            </w:pPr>
            <w:r>
              <w:rPr>
                <w:rFonts w:ascii="Times New Roman" w:hAnsi="Times New Roman"/>
                <w:sz w:val="20"/>
                <w:szCs w:val="20"/>
              </w:rPr>
              <w:t>Starpsektoru korekcijas koeficients</w:t>
            </w:r>
          </w:p>
        </w:tc>
        <w:tc>
          <w:tcPr>
            <w:tcW w:w="435" w:type="pct"/>
            <w:gridSpan w:val="3"/>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5.4.2.</w:t>
            </w:r>
          </w:p>
        </w:tc>
        <w:tc>
          <w:tcPr>
            <w:tcW w:w="427" w:type="pct"/>
            <w:gridSpan w:val="2"/>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5.3.2.</w:t>
            </w:r>
          </w:p>
        </w:tc>
        <w:tc>
          <w:tcPr>
            <w:tcW w:w="2492"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jc w:val="both"/>
              <w:rPr>
                <w:rFonts w:ascii="Times New Roman" w:hAnsi="Times New Roman" w:cs="Times New Roman"/>
                <w:noProof/>
                <w:sz w:val="20"/>
                <w:szCs w:val="20"/>
              </w:rPr>
            </w:pP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335CDF" w:rsidRPr="008826B9" w:rsidRDefault="00335CDF" w:rsidP="008826B9">
            <w:pPr>
              <w:pStyle w:val="TableParagraph"/>
              <w:ind w:left="284"/>
              <w:jc w:val="both"/>
              <w:rPr>
                <w:rFonts w:ascii="Times New Roman" w:hAnsi="Times New Roman" w:cs="Times New Roman"/>
                <w:noProof/>
                <w:sz w:val="20"/>
                <w:szCs w:val="20"/>
              </w:rPr>
            </w:pPr>
            <w:r>
              <w:rPr>
                <w:rFonts w:ascii="Times New Roman" w:hAnsi="Times New Roman"/>
                <w:sz w:val="20"/>
                <w:szCs w:val="20"/>
              </w:rPr>
              <w:lastRenderedPageBreak/>
              <w:t>Lineārais samazinājuma koeficients</w:t>
            </w:r>
          </w:p>
        </w:tc>
        <w:tc>
          <w:tcPr>
            <w:tcW w:w="435" w:type="pct"/>
            <w:gridSpan w:val="3"/>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5.4.3.</w:t>
            </w:r>
          </w:p>
        </w:tc>
        <w:tc>
          <w:tcPr>
            <w:tcW w:w="427" w:type="pct"/>
            <w:gridSpan w:val="2"/>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5.4.3.</w:t>
            </w:r>
          </w:p>
        </w:tc>
        <w:tc>
          <w:tcPr>
            <w:tcW w:w="2492"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 xml:space="preserve">Tabula ar LSK vērtībām pārcelta no </w:t>
            </w:r>
            <w:r>
              <w:rPr>
                <w:rFonts w:ascii="Times New Roman" w:hAnsi="Times New Roman"/>
                <w:i/>
                <w:sz w:val="20"/>
                <w:szCs w:val="20"/>
              </w:rPr>
              <w:t>GD</w:t>
            </w:r>
            <w:r>
              <w:rPr>
                <w:rFonts w:ascii="Times New Roman" w:hAnsi="Times New Roman"/>
                <w:sz w:val="20"/>
                <w:szCs w:val="20"/>
              </w:rPr>
              <w:t xml:space="preserve">2 uz </w:t>
            </w:r>
            <w:r>
              <w:rPr>
                <w:rFonts w:ascii="Times New Roman" w:hAnsi="Times New Roman"/>
                <w:i/>
                <w:sz w:val="20"/>
                <w:szCs w:val="20"/>
              </w:rPr>
              <w:t>GD</w:t>
            </w:r>
            <w:r>
              <w:rPr>
                <w:rFonts w:ascii="Times New Roman" w:hAnsi="Times New Roman"/>
                <w:sz w:val="20"/>
                <w:szCs w:val="20"/>
              </w:rPr>
              <w:t xml:space="preserve">1 2019. gada </w:t>
            </w:r>
            <w:r>
              <w:rPr>
                <w:rFonts w:ascii="Times New Roman" w:hAnsi="Times New Roman"/>
                <w:i/>
                <w:sz w:val="20"/>
                <w:szCs w:val="20"/>
              </w:rPr>
              <w:t>GD</w:t>
            </w: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Laika grafiks – pārskatītajā ES ETS noteiktie svarīgākie datumi</w:t>
            </w:r>
          </w:p>
        </w:tc>
        <w:tc>
          <w:tcPr>
            <w:tcW w:w="435" w:type="pct"/>
            <w:gridSpan w:val="3"/>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A pielikums</w:t>
            </w:r>
          </w:p>
        </w:tc>
        <w:tc>
          <w:tcPr>
            <w:tcW w:w="427" w:type="pct"/>
            <w:gridSpan w:val="2"/>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A pielikums</w:t>
            </w:r>
          </w:p>
        </w:tc>
        <w:tc>
          <w:tcPr>
            <w:tcW w:w="2492"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jc w:val="both"/>
              <w:rPr>
                <w:rFonts w:ascii="Times New Roman" w:hAnsi="Times New Roman" w:cs="Times New Roman"/>
                <w:noProof/>
                <w:sz w:val="20"/>
                <w:szCs w:val="20"/>
              </w:rPr>
            </w:pPr>
          </w:p>
        </w:tc>
      </w:tr>
      <w:tr w:rsidR="001E6CF9" w:rsidRPr="008826B9" w:rsidTr="008826B9">
        <w:tc>
          <w:tcPr>
            <w:tcW w:w="1646"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Definīciju saraksts</w:t>
            </w:r>
          </w:p>
        </w:tc>
        <w:tc>
          <w:tcPr>
            <w:tcW w:w="435" w:type="pct"/>
            <w:gridSpan w:val="3"/>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B pielikums</w:t>
            </w:r>
          </w:p>
        </w:tc>
        <w:tc>
          <w:tcPr>
            <w:tcW w:w="427" w:type="pct"/>
            <w:gridSpan w:val="2"/>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B pielikums</w:t>
            </w:r>
          </w:p>
        </w:tc>
        <w:tc>
          <w:tcPr>
            <w:tcW w:w="2492"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 xml:space="preserve">Ietvertas gan oficiālās definīcijas no ETS direktīvas un </w:t>
            </w:r>
            <w:r>
              <w:rPr>
                <w:rFonts w:ascii="Times New Roman" w:hAnsi="Times New Roman"/>
                <w:i/>
                <w:sz w:val="20"/>
                <w:szCs w:val="20"/>
              </w:rPr>
              <w:t>FAR</w:t>
            </w:r>
            <w:r>
              <w:rPr>
                <w:rFonts w:ascii="Times New Roman" w:hAnsi="Times New Roman"/>
                <w:sz w:val="20"/>
                <w:szCs w:val="20"/>
              </w:rPr>
              <w:t xml:space="preserve">, gan arī neformālie paskaidrojumi 2019. gada </w:t>
            </w:r>
            <w:r>
              <w:rPr>
                <w:rFonts w:ascii="Times New Roman" w:hAnsi="Times New Roman"/>
                <w:i/>
                <w:sz w:val="20"/>
                <w:szCs w:val="20"/>
              </w:rPr>
              <w:t>GD</w:t>
            </w:r>
          </w:p>
        </w:tc>
      </w:tr>
      <w:tr w:rsidR="00335CDF" w:rsidRPr="008826B9" w:rsidTr="008826B9">
        <w:tc>
          <w:tcPr>
            <w:tcW w:w="1646"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Saīsinājumu saraksts</w:t>
            </w:r>
          </w:p>
        </w:tc>
        <w:tc>
          <w:tcPr>
            <w:tcW w:w="435" w:type="pct"/>
            <w:gridSpan w:val="3"/>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C pielikums</w:t>
            </w:r>
          </w:p>
        </w:tc>
        <w:tc>
          <w:tcPr>
            <w:tcW w:w="427" w:type="pct"/>
            <w:gridSpan w:val="2"/>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pStyle w:val="TableParagraph"/>
              <w:jc w:val="both"/>
              <w:rPr>
                <w:rFonts w:ascii="Times New Roman" w:hAnsi="Times New Roman" w:cs="Times New Roman"/>
                <w:noProof/>
                <w:sz w:val="20"/>
                <w:szCs w:val="20"/>
              </w:rPr>
            </w:pPr>
            <w:r>
              <w:rPr>
                <w:rFonts w:ascii="Times New Roman" w:hAnsi="Times New Roman"/>
                <w:sz w:val="20"/>
                <w:szCs w:val="20"/>
              </w:rPr>
              <w:t>C pielikums</w:t>
            </w:r>
          </w:p>
        </w:tc>
        <w:tc>
          <w:tcPr>
            <w:tcW w:w="2492" w:type="pct"/>
            <w:tcBorders>
              <w:top w:val="single" w:sz="5" w:space="0" w:color="000000"/>
              <w:left w:val="single" w:sz="5" w:space="0" w:color="000000"/>
              <w:bottom w:val="single" w:sz="5" w:space="0" w:color="000000"/>
              <w:right w:val="single" w:sz="5" w:space="0" w:color="000000"/>
            </w:tcBorders>
          </w:tcPr>
          <w:p w:rsidR="00335CDF" w:rsidRPr="008826B9" w:rsidRDefault="00335CDF" w:rsidP="00DE30DA">
            <w:pPr>
              <w:jc w:val="both"/>
              <w:rPr>
                <w:rFonts w:ascii="Times New Roman" w:hAnsi="Times New Roman" w:cs="Times New Roman"/>
                <w:noProof/>
                <w:sz w:val="20"/>
                <w:szCs w:val="20"/>
              </w:rPr>
            </w:pPr>
          </w:p>
        </w:tc>
      </w:tr>
    </w:tbl>
    <w:p w:rsidR="00335CDF" w:rsidRPr="001E6CF9" w:rsidRDefault="00335CDF" w:rsidP="00DE30DA">
      <w:pPr>
        <w:jc w:val="both"/>
        <w:rPr>
          <w:rFonts w:ascii="Times New Roman" w:hAnsi="Times New Roman"/>
          <w:noProof/>
          <w:sz w:val="24"/>
        </w:rPr>
      </w:pPr>
    </w:p>
    <w:sectPr w:rsidR="00335CDF" w:rsidRPr="001E6CF9" w:rsidSect="008C68EA">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881" w:rsidRPr="00335CDF" w:rsidRDefault="00900881">
      <w:pPr>
        <w:rPr>
          <w:noProof/>
        </w:rPr>
      </w:pPr>
      <w:r w:rsidRPr="00335CDF">
        <w:rPr>
          <w:noProof/>
        </w:rPr>
        <w:separator/>
      </w:r>
    </w:p>
  </w:endnote>
  <w:endnote w:type="continuationSeparator" w:id="0">
    <w:p w:rsidR="00900881" w:rsidRPr="00335CDF" w:rsidRDefault="00900881">
      <w:pPr>
        <w:rPr>
          <w:noProof/>
        </w:rPr>
      </w:pPr>
      <w:r w:rsidRPr="00335CD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881" w:rsidRPr="00900881" w:rsidRDefault="00900881" w:rsidP="00900881">
    <w:pPr>
      <w:pStyle w:val="Header"/>
      <w:tabs>
        <w:tab w:val="clear" w:pos="4153"/>
        <w:tab w:val="clear" w:pos="8306"/>
        <w:tab w:val="left" w:pos="9072"/>
      </w:tabs>
      <w:rPr>
        <w:rStyle w:val="PageNumber"/>
        <w:rFonts w:ascii="Times New Roman" w:hAnsi="Times New Roman" w:cs="Times New Roman"/>
        <w:sz w:val="20"/>
        <w:szCs w:val="18"/>
      </w:rPr>
    </w:pPr>
  </w:p>
  <w:p w:rsidR="00900881" w:rsidRPr="00900881" w:rsidRDefault="00900881" w:rsidP="00900881">
    <w:pPr>
      <w:pStyle w:val="Header"/>
      <w:tabs>
        <w:tab w:val="clear" w:pos="4153"/>
        <w:tab w:val="clear" w:pos="8306"/>
        <w:tab w:val="right" w:leader="underscore" w:pos="9072"/>
      </w:tabs>
      <w:rPr>
        <w:rStyle w:val="PageNumber"/>
        <w:rFonts w:ascii="Times New Roman" w:hAnsi="Times New Roman" w:cs="Times New Roman"/>
        <w:sz w:val="20"/>
        <w:szCs w:val="18"/>
      </w:rPr>
    </w:pPr>
    <w:r w:rsidRPr="00900881">
      <w:rPr>
        <w:rStyle w:val="PageNumber"/>
        <w:rFonts w:ascii="Times New Roman" w:hAnsi="Times New Roman" w:cs="Times New Roman"/>
        <w:sz w:val="20"/>
        <w:szCs w:val="18"/>
      </w:rPr>
      <w:tab/>
    </w:r>
  </w:p>
  <w:p w:rsidR="00900881" w:rsidRPr="00900881" w:rsidRDefault="00900881" w:rsidP="00900881">
    <w:pPr>
      <w:pStyle w:val="Header"/>
      <w:tabs>
        <w:tab w:val="clear" w:pos="4153"/>
        <w:tab w:val="clear" w:pos="8306"/>
        <w:tab w:val="right" w:pos="9072"/>
      </w:tabs>
      <w:rPr>
        <w:rStyle w:val="PageNumber"/>
        <w:rFonts w:ascii="Times New Roman" w:hAnsi="Times New Roman" w:cs="Times New Roman"/>
        <w:sz w:val="20"/>
        <w:szCs w:val="18"/>
      </w:rPr>
    </w:pPr>
  </w:p>
  <w:p w:rsidR="00900881" w:rsidRPr="00900881" w:rsidRDefault="00900881" w:rsidP="00900881">
    <w:pPr>
      <w:pStyle w:val="Footer"/>
      <w:tabs>
        <w:tab w:val="clear" w:pos="4153"/>
        <w:tab w:val="clear" w:pos="8306"/>
        <w:tab w:val="right" w:pos="9072"/>
      </w:tabs>
      <w:rPr>
        <w:rFonts w:ascii="Times New Roman" w:hAnsi="Times New Roman" w:cs="Times New Roman"/>
        <w:sz w:val="20"/>
        <w:szCs w:val="18"/>
      </w:rPr>
    </w:pPr>
    <w:r w:rsidRPr="00900881">
      <w:rPr>
        <w:rFonts w:ascii="Times New Roman" w:hAnsi="Times New Roman" w:cs="Times New Roman"/>
        <w:noProof/>
        <w:sz w:val="20"/>
        <w:szCs w:val="18"/>
      </w:rPr>
      <w:t xml:space="preserve">Tulkojums </w:t>
    </w:r>
    <w:r w:rsidRPr="00900881">
      <w:rPr>
        <w:rFonts w:ascii="Times New Roman" w:hAnsi="Times New Roman" w:cs="Times New Roman"/>
        <w:noProof/>
        <w:sz w:val="20"/>
        <w:szCs w:val="18"/>
      </w:rPr>
      <w:fldChar w:fldCharType="begin"/>
    </w:r>
    <w:r w:rsidRPr="00900881">
      <w:rPr>
        <w:rFonts w:ascii="Times New Roman" w:hAnsi="Times New Roman" w:cs="Times New Roman"/>
        <w:noProof/>
        <w:sz w:val="20"/>
        <w:szCs w:val="18"/>
      </w:rPr>
      <w:instrText>symbol 211 \f "Symbol" \s 9</w:instrText>
    </w:r>
    <w:r w:rsidRPr="00900881">
      <w:rPr>
        <w:rFonts w:ascii="Times New Roman" w:hAnsi="Times New Roman" w:cs="Times New Roman"/>
        <w:noProof/>
        <w:sz w:val="20"/>
        <w:szCs w:val="18"/>
      </w:rPr>
      <w:fldChar w:fldCharType="separate"/>
    </w:r>
    <w:r w:rsidRPr="00900881">
      <w:rPr>
        <w:rFonts w:ascii="Times New Roman" w:hAnsi="Times New Roman" w:cs="Times New Roman"/>
        <w:noProof/>
        <w:sz w:val="20"/>
        <w:szCs w:val="18"/>
      </w:rPr>
      <w:t>Ó</w:t>
    </w:r>
    <w:r w:rsidRPr="00900881">
      <w:rPr>
        <w:rFonts w:ascii="Times New Roman" w:hAnsi="Times New Roman" w:cs="Times New Roman"/>
        <w:noProof/>
        <w:sz w:val="20"/>
        <w:szCs w:val="18"/>
      </w:rPr>
      <w:fldChar w:fldCharType="end"/>
    </w:r>
    <w:r w:rsidRPr="00900881">
      <w:rPr>
        <w:rFonts w:ascii="Times New Roman" w:hAnsi="Times New Roman" w:cs="Times New Roman"/>
        <w:noProof/>
        <w:sz w:val="20"/>
        <w:szCs w:val="18"/>
      </w:rPr>
      <w:t xml:space="preserve"> Valsts valodas centrs, 2020</w:t>
    </w:r>
    <w:r w:rsidRPr="00900881">
      <w:rPr>
        <w:rFonts w:ascii="Times New Roman" w:hAnsi="Times New Roman" w:cs="Times New Roman"/>
        <w:sz w:val="20"/>
        <w:szCs w:val="18"/>
      </w:rPr>
      <w:tab/>
    </w:r>
    <w:r w:rsidRPr="00900881">
      <w:rPr>
        <w:rStyle w:val="PageNumber"/>
        <w:rFonts w:ascii="Times New Roman" w:hAnsi="Times New Roman" w:cs="Times New Roman"/>
        <w:sz w:val="20"/>
        <w:szCs w:val="18"/>
      </w:rPr>
      <w:fldChar w:fldCharType="begin"/>
    </w:r>
    <w:r w:rsidRPr="00900881">
      <w:rPr>
        <w:rStyle w:val="PageNumber"/>
        <w:rFonts w:ascii="Times New Roman" w:hAnsi="Times New Roman" w:cs="Times New Roman"/>
        <w:sz w:val="20"/>
        <w:szCs w:val="18"/>
      </w:rPr>
      <w:instrText xml:space="preserve">page </w:instrText>
    </w:r>
    <w:r w:rsidRPr="00900881">
      <w:rPr>
        <w:rStyle w:val="PageNumber"/>
        <w:rFonts w:ascii="Times New Roman" w:hAnsi="Times New Roman" w:cs="Times New Roman"/>
        <w:sz w:val="20"/>
        <w:szCs w:val="18"/>
      </w:rPr>
      <w:fldChar w:fldCharType="separate"/>
    </w:r>
    <w:r w:rsidRPr="00900881">
      <w:rPr>
        <w:rStyle w:val="PageNumber"/>
        <w:rFonts w:ascii="Times New Roman" w:hAnsi="Times New Roman" w:cs="Times New Roman"/>
        <w:sz w:val="20"/>
        <w:szCs w:val="18"/>
      </w:rPr>
      <w:t>2</w:t>
    </w:r>
    <w:r w:rsidRPr="00900881">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881" w:rsidRPr="00900881" w:rsidRDefault="00900881" w:rsidP="00900881">
    <w:pPr>
      <w:pStyle w:val="Header"/>
      <w:tabs>
        <w:tab w:val="clear" w:pos="4153"/>
        <w:tab w:val="clear" w:pos="8306"/>
        <w:tab w:val="left" w:pos="9072"/>
      </w:tabs>
      <w:rPr>
        <w:rStyle w:val="PageNumber"/>
        <w:rFonts w:ascii="Times New Roman" w:hAnsi="Times New Roman" w:cs="Times New Roman"/>
        <w:sz w:val="20"/>
        <w:szCs w:val="18"/>
      </w:rPr>
    </w:pPr>
    <w:bookmarkStart w:id="69" w:name="_Hlk496261764"/>
    <w:bookmarkStart w:id="70" w:name="_Hlk496261765"/>
    <w:bookmarkStart w:id="71" w:name="_Hlk496261766"/>
    <w:bookmarkStart w:id="72" w:name="_Hlk30491075"/>
    <w:bookmarkStart w:id="73" w:name="_Hlk30491076"/>
  </w:p>
  <w:p w:rsidR="00900881" w:rsidRPr="00900881" w:rsidRDefault="00900881" w:rsidP="00900881">
    <w:pPr>
      <w:pStyle w:val="Header"/>
      <w:tabs>
        <w:tab w:val="clear" w:pos="4153"/>
        <w:tab w:val="clear" w:pos="8306"/>
        <w:tab w:val="left" w:leader="underscore" w:pos="9072"/>
      </w:tabs>
      <w:rPr>
        <w:rStyle w:val="PageNumber"/>
        <w:rFonts w:ascii="Times New Roman" w:hAnsi="Times New Roman" w:cs="Times New Roman"/>
        <w:sz w:val="20"/>
        <w:szCs w:val="18"/>
      </w:rPr>
    </w:pPr>
    <w:r w:rsidRPr="00900881">
      <w:rPr>
        <w:rStyle w:val="PageNumber"/>
        <w:rFonts w:ascii="Times New Roman" w:hAnsi="Times New Roman" w:cs="Times New Roman"/>
        <w:sz w:val="20"/>
        <w:szCs w:val="18"/>
      </w:rPr>
      <w:tab/>
    </w:r>
  </w:p>
  <w:p w:rsidR="00900881" w:rsidRPr="00900881" w:rsidRDefault="00900881" w:rsidP="00900881">
    <w:pPr>
      <w:pStyle w:val="Header"/>
      <w:tabs>
        <w:tab w:val="clear" w:pos="4153"/>
        <w:tab w:val="clear" w:pos="8306"/>
        <w:tab w:val="left" w:pos="9072"/>
      </w:tabs>
      <w:rPr>
        <w:rStyle w:val="PageNumber"/>
        <w:rFonts w:ascii="Times New Roman" w:hAnsi="Times New Roman" w:cs="Times New Roman"/>
        <w:sz w:val="20"/>
        <w:szCs w:val="18"/>
      </w:rPr>
    </w:pPr>
  </w:p>
  <w:p w:rsidR="00900881" w:rsidRPr="00900881" w:rsidRDefault="00900881" w:rsidP="00900881">
    <w:pPr>
      <w:pStyle w:val="Footer"/>
      <w:rPr>
        <w:rFonts w:ascii="Times New Roman" w:hAnsi="Times New Roman" w:cs="Times New Roman"/>
        <w:sz w:val="20"/>
        <w:szCs w:val="18"/>
      </w:rPr>
    </w:pPr>
    <w:r w:rsidRPr="00900881">
      <w:rPr>
        <w:rFonts w:ascii="Times New Roman" w:hAnsi="Times New Roman" w:cs="Times New Roman"/>
        <w:noProof/>
        <w:sz w:val="20"/>
        <w:szCs w:val="18"/>
      </w:rPr>
      <w:t xml:space="preserve">Tulkojums </w:t>
    </w:r>
    <w:r w:rsidRPr="00900881">
      <w:rPr>
        <w:rFonts w:ascii="Times New Roman" w:hAnsi="Times New Roman" w:cs="Times New Roman"/>
        <w:noProof/>
        <w:sz w:val="20"/>
        <w:szCs w:val="18"/>
      </w:rPr>
      <w:fldChar w:fldCharType="begin"/>
    </w:r>
    <w:r w:rsidRPr="00900881">
      <w:rPr>
        <w:rFonts w:ascii="Times New Roman" w:hAnsi="Times New Roman" w:cs="Times New Roman"/>
        <w:noProof/>
        <w:sz w:val="20"/>
        <w:szCs w:val="18"/>
      </w:rPr>
      <w:instrText>symbol 211 \f "Symbol" \s 9</w:instrText>
    </w:r>
    <w:r w:rsidRPr="00900881">
      <w:rPr>
        <w:rFonts w:ascii="Times New Roman" w:hAnsi="Times New Roman" w:cs="Times New Roman"/>
        <w:noProof/>
        <w:sz w:val="20"/>
        <w:szCs w:val="18"/>
      </w:rPr>
      <w:fldChar w:fldCharType="separate"/>
    </w:r>
    <w:r w:rsidRPr="00900881">
      <w:rPr>
        <w:rFonts w:ascii="Times New Roman" w:hAnsi="Times New Roman" w:cs="Times New Roman"/>
        <w:noProof/>
        <w:sz w:val="20"/>
        <w:szCs w:val="18"/>
      </w:rPr>
      <w:t>Ó</w:t>
    </w:r>
    <w:r w:rsidRPr="00900881">
      <w:rPr>
        <w:rFonts w:ascii="Times New Roman" w:hAnsi="Times New Roman" w:cs="Times New Roman"/>
        <w:noProof/>
        <w:sz w:val="20"/>
        <w:szCs w:val="18"/>
      </w:rPr>
      <w:fldChar w:fldCharType="end"/>
    </w:r>
    <w:r w:rsidRPr="00900881">
      <w:rPr>
        <w:rFonts w:ascii="Times New Roman" w:hAnsi="Times New Roman" w:cs="Times New Roman"/>
        <w:noProof/>
        <w:sz w:val="20"/>
        <w:szCs w:val="18"/>
      </w:rPr>
      <w:t xml:space="preserve"> Valsts valodas centrs, 20</w:t>
    </w:r>
    <w:bookmarkEnd w:id="69"/>
    <w:bookmarkEnd w:id="70"/>
    <w:bookmarkEnd w:id="71"/>
    <w:r w:rsidRPr="00900881">
      <w:rPr>
        <w:rFonts w:ascii="Times New Roman" w:hAnsi="Times New Roman" w:cs="Times New Roman"/>
        <w:noProof/>
        <w:sz w:val="20"/>
        <w:szCs w:val="18"/>
      </w:rPr>
      <w:t>20</w:t>
    </w:r>
    <w:bookmarkEnd w:id="72"/>
    <w:bookmarkEnd w:id="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881" w:rsidRPr="00335CDF" w:rsidRDefault="00900881">
      <w:pPr>
        <w:rPr>
          <w:noProof/>
        </w:rPr>
      </w:pPr>
      <w:r w:rsidRPr="00335CDF">
        <w:rPr>
          <w:noProof/>
        </w:rPr>
        <w:separator/>
      </w:r>
    </w:p>
  </w:footnote>
  <w:footnote w:type="continuationSeparator" w:id="0">
    <w:p w:rsidR="00900881" w:rsidRPr="00335CDF" w:rsidRDefault="00900881">
      <w:pPr>
        <w:rPr>
          <w:noProof/>
        </w:rPr>
      </w:pPr>
      <w:r w:rsidRPr="00335CDF">
        <w:rPr>
          <w:noProof/>
        </w:rPr>
        <w:continuationSeparator/>
      </w:r>
    </w:p>
  </w:footnote>
  <w:footnote w:id="1">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Iesniedzis konsultantu konsorcijs (</w:t>
      </w:r>
      <w:r>
        <w:rPr>
          <w:rFonts w:ascii="Times New Roman" w:hAnsi="Times New Roman"/>
          <w:i/>
        </w:rPr>
        <w:t>Ecofys NL, Fraunhofer ISI, Entec</w:t>
      </w:r>
      <w:r>
        <w:rPr>
          <w:rFonts w:ascii="Times New Roman" w:hAnsi="Times New Roman"/>
        </w:rPr>
        <w:t>).</w:t>
      </w:r>
    </w:p>
  </w:footnote>
  <w:footnote w:id="2">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Direktīvas 2003/87/EK 11. pants</w:t>
      </w:r>
    </w:p>
  </w:footnote>
  <w:footnote w:id="3">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rPr>
        <w:t>https://ec.europa.eu/clima/sites/clima/files/ets/docs/guidance_interpretation_en.pdf</w:t>
      </w:r>
    </w:p>
  </w:footnote>
  <w:footnote w:id="4">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rPr>
        <w:t>https://ec.europa.eu/clima/sites/clima/files/ets/docs/guidance_electricity_generators_en.pdf</w:t>
      </w:r>
    </w:p>
  </w:footnote>
  <w:footnote w:id="5">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rPr>
        <w:t>https://ec.europa.eu/clima/policies/ets/monitoring_en#tab-0-1</w:t>
      </w:r>
      <w:r>
        <w:rPr>
          <w:rFonts w:ascii="Times New Roman" w:hAnsi="Times New Roman"/>
          <w:u w:val="single" w:color="0000FF"/>
        </w:rPr>
        <w:t xml:space="preserve"> </w:t>
      </w:r>
      <w:r>
        <w:rPr>
          <w:rFonts w:ascii="Times New Roman" w:hAnsi="Times New Roman"/>
        </w:rPr>
        <w:t xml:space="preserve">– jo īpaši sk. iedaļu </w:t>
      </w:r>
      <w:r>
        <w:rPr>
          <w:rFonts w:ascii="Times New Roman" w:hAnsi="Times New Roman"/>
          <w:i/>
          <w:iCs/>
        </w:rPr>
        <w:t>Quick guides</w:t>
      </w:r>
      <w:r>
        <w:rPr>
          <w:rFonts w:ascii="Times New Roman" w:hAnsi="Times New Roman"/>
        </w:rPr>
        <w:t>.</w:t>
      </w:r>
    </w:p>
  </w:footnote>
  <w:footnote w:id="6">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highlight w:val="yellow"/>
        </w:rPr>
        <w:t>Sk.: Jāpievieno URL</w:t>
      </w:r>
    </w:p>
  </w:footnote>
  <w:footnote w:id="7">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https://eur-lex.europa.eu/eli/dir/2003/87/2018-04-08</w:t>
      </w:r>
    </w:p>
  </w:footnote>
  <w:footnote w:id="8">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Direktīvas 2009/29/EK 15. apsvērums</w:t>
      </w:r>
    </w:p>
  </w:footnote>
  <w:footnote w:id="9">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ETS direktīvas 10.a panta 1. punkts</w:t>
      </w:r>
    </w:p>
  </w:footnote>
  <w:footnote w:id="10">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Izņemot centralizētās siltumapgādes apakšiekārtas; sīkākus paskaidrojumus sk. 5. iedaļā</w:t>
      </w:r>
    </w:p>
  </w:footnote>
  <w:footnote w:id="11">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Direktīvas 2009/29/EK 24. apsvērums</w:t>
      </w:r>
    </w:p>
  </w:footnote>
  <w:footnote w:id="12">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Izņemot centralizētās siltumapgādes (</w:t>
      </w:r>
      <w:r>
        <w:rPr>
          <w:rFonts w:ascii="Times New Roman" w:hAnsi="Times New Roman"/>
          <w:i/>
        </w:rPr>
        <w:t>DH</w:t>
      </w:r>
      <w:r>
        <w:rPr>
          <w:rFonts w:ascii="Times New Roman" w:hAnsi="Times New Roman"/>
        </w:rPr>
        <w:t>) apakšiekārtas, kas no jauna ieviestas 4. periodā. Šīm apakšiekārtām bez maksas piešķiramo kvotu apjoms būs 30 % arī pēc 2026. gada.</w:t>
      </w:r>
    </w:p>
  </w:footnote>
  <w:footnote w:id="13">
    <w:p w:rsidR="00900881" w:rsidRPr="00B823C5" w:rsidRDefault="00900881" w:rsidP="00D73EE7">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Nozarēm, kuras netiek uzskatītas par tādām, kas ir pakļautas ievērojamam oglekļa emisiju pārvirzes riskam.</w:t>
      </w:r>
    </w:p>
  </w:footnote>
  <w:footnote w:id="14">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Tās ir noteiktas līdz datumam, kurā saņemta atļauja.</w:t>
      </w:r>
    </w:p>
  </w:footnote>
  <w:footnote w:id="15">
    <w:p w:rsidR="00900881" w:rsidRPr="00B823C5" w:rsidRDefault="00900881" w:rsidP="00D73E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Deleģētās regula </w:t>
      </w:r>
      <w:r>
        <w:rPr>
          <w:rFonts w:ascii="Times New Roman" w:hAnsi="Times New Roman"/>
          <w:highlight w:val="yellow"/>
        </w:rPr>
        <w:t>XX/XX</w:t>
      </w:r>
      <w:r>
        <w:rPr>
          <w:rFonts w:ascii="Times New Roman" w:hAnsi="Times New Roman"/>
        </w:rPr>
        <w:t>, ar ko nosaka Savienības mēroga pārejas noteikumus saskaņotai bezmaksas emisijas kvotu iedalei saskaņā ar Eiropas Parlamenta un Padomes Direktīvas 2003/87/EK 10.a pantu</w:t>
      </w:r>
    </w:p>
  </w:footnote>
  <w:footnote w:id="16">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FAR</w:t>
      </w:r>
      <w:r>
        <w:rPr>
          <w:rFonts w:ascii="Times New Roman" w:hAnsi="Times New Roman"/>
        </w:rPr>
        <w:t xml:space="preserve"> 1. pielikums</w:t>
      </w:r>
    </w:p>
  </w:footnote>
  <w:footnote w:id="17">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Deleģētais akts XX</w:t>
      </w:r>
    </w:p>
  </w:footnote>
  <w:footnote w:id="18">
    <w:p w:rsidR="00900881" w:rsidRPr="00B823C5" w:rsidRDefault="00900881" w:rsidP="001C62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Norādījumus par elektroenerģijas ražošanas iekārtu klasifikāciju, lūdzu, sk. </w:t>
      </w:r>
      <w:r>
        <w:rPr>
          <w:rFonts w:ascii="Times New Roman" w:hAnsi="Times New Roman"/>
          <w:i/>
        </w:rPr>
        <w:t>Vadlīnijās elektroenerģijas ražošanas iekārtu identificēšanai</w:t>
      </w:r>
      <w:r>
        <w:rPr>
          <w:rFonts w:ascii="Times New Roman" w:hAnsi="Times New Roman"/>
        </w:rPr>
        <w:t>, ko 2010. gada 18. martā apspriedusi EK un dalībvalstis: https://ec.europa.eu/clima/sites/clima/files/ets/docs/guidance_electricity_generators_en.pdf</w:t>
      </w:r>
    </w:p>
  </w:footnote>
  <w:footnote w:id="19">
    <w:p w:rsidR="00900881" w:rsidRPr="00B823C5" w:rsidRDefault="00900881" w:rsidP="001C62E2">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Formāli tas ir jebkurš koeficients, kas ir noteikts saskaņā ar Direktīvas 2003/87/EK 10.a panta 5. punktu.</w:t>
      </w:r>
    </w:p>
  </w:footnote>
  <w:footnote w:id="20">
    <w:p w:rsidR="00900881" w:rsidRPr="00B823C5" w:rsidRDefault="00900881" w:rsidP="00D52372">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Esošo iekārtu oficiālo definīciju sk. </w:t>
      </w:r>
      <w:r>
        <w:rPr>
          <w:rFonts w:ascii="Times New Roman" w:hAnsi="Times New Roman"/>
          <w:i/>
          <w:sz w:val="20"/>
          <w:szCs w:val="20"/>
        </w:rPr>
        <w:t>FAR</w:t>
      </w:r>
      <w:r>
        <w:rPr>
          <w:rFonts w:ascii="Times New Roman" w:hAnsi="Times New Roman"/>
          <w:sz w:val="20"/>
          <w:szCs w:val="20"/>
        </w:rPr>
        <w:t xml:space="preserve"> (Komisijas Deleģētās regulas </w:t>
      </w:r>
      <w:r>
        <w:rPr>
          <w:rFonts w:ascii="Times New Roman" w:hAnsi="Times New Roman"/>
          <w:sz w:val="20"/>
          <w:szCs w:val="20"/>
          <w:highlight w:val="yellow"/>
        </w:rPr>
        <w:t>XX/XX</w:t>
      </w:r>
      <w:r>
        <w:rPr>
          <w:rFonts w:ascii="Times New Roman" w:hAnsi="Times New Roman"/>
          <w:sz w:val="20"/>
          <w:szCs w:val="20"/>
        </w:rPr>
        <w:t xml:space="preserve"> par “Savienības mēroga pārejas noteikumiem saskaņotai bezmaksas emisijas kvotu iedalei saskaņā ar Direktīvas 2003/87/EK 10.a panta 1. daļu”) 2. panta 1. punktā.</w:t>
      </w:r>
    </w:p>
  </w:footnote>
  <w:footnote w:id="21">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“Jaunas iekārtas” definīciju, lūdzu, sk. Direktīvas 2003/87/EK 3. panta h) punktā.</w:t>
      </w:r>
    </w:p>
  </w:footnote>
  <w:footnote w:id="22">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Norādījumu dokumentos šos jēdzienus lieto kā sinonīmus.</w:t>
      </w:r>
    </w:p>
  </w:footnote>
  <w:footnote w:id="23">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Izmērāma siltuma definīciju sk. B pielikumā</w:t>
      </w:r>
    </w:p>
  </w:footnote>
  <w:footnote w:id="24">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w:t>
      </w:r>
      <w:r>
        <w:rPr>
          <w:rFonts w:ascii="Times New Roman" w:hAnsi="Times New Roman"/>
          <w:i/>
        </w:rPr>
        <w:t>FAR</w:t>
      </w:r>
      <w:r>
        <w:rPr>
          <w:rFonts w:ascii="Times New Roman" w:hAnsi="Times New Roman"/>
        </w:rPr>
        <w:t xml:space="preserve"> 2. panta 10. punktu. Sīkāku informāciju, lūdzu, sk. arī norādījumu dokumentā par kvotu piešķiršanas metodoloģijām.</w:t>
      </w:r>
    </w:p>
  </w:footnote>
  <w:footnote w:id="25">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Piecu veidu apakšiekārtu oficiālās definīcijas sk. </w:t>
      </w:r>
      <w:r>
        <w:rPr>
          <w:rFonts w:ascii="Times New Roman" w:hAnsi="Times New Roman"/>
          <w:i/>
        </w:rPr>
        <w:t>FAR</w:t>
      </w:r>
      <w:r>
        <w:rPr>
          <w:rFonts w:ascii="Times New Roman" w:hAnsi="Times New Roman"/>
        </w:rPr>
        <w:t>: produkta līmeņatzīmes apakšiekārta (2. panta 2. punkts), siltuma līmeņatzīmes apakšiekārta (2. panta 3. punkts), centralizētās siltumapgādes apakšiekārta (2. panta 5. punkts), kurināmā līmeņatzīmes apakšiekārta (2. panta 6. punkts) un procesa emisiju apakšiekārta (2. panta 10. punkts).</w:t>
      </w:r>
    </w:p>
  </w:footnote>
  <w:footnote w:id="26">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“Avota plūsma” ir konkrēta veida degviela/kurināmais, izejmateriāls vai produkts, kas izraisa attiecīgo siltumnīcefekta gāzu emisiju vienā vai vairākos emisijas avotos saistībā ar tā patēriņu vai ražošanu.</w:t>
      </w:r>
    </w:p>
  </w:footnote>
  <w:footnote w:id="27">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Papildu informāciju par šo tēmu sk. Norādījumu dokumentā Nr. 8 par atlikumgāzēm un procesa emisiju apakšiekārtām.</w:t>
      </w:r>
    </w:p>
  </w:footnote>
  <w:footnote w:id="28">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highlight w:val="yellow"/>
        </w:rPr>
        <w:footnoteRef/>
      </w:r>
      <w:r>
        <w:rPr>
          <w:rFonts w:ascii="Times New Roman" w:hAnsi="Times New Roman"/>
          <w:highlight w:val="yellow"/>
        </w:rPr>
        <w:t xml:space="preserve"> URL</w:t>
      </w:r>
      <w:r>
        <w:rPr>
          <w:rFonts w:ascii="Times New Roman" w:hAnsi="Times New Roman"/>
          <w:highlight w:val="yellow"/>
          <w:u w:val="single"/>
        </w:rPr>
        <w:t>…</w:t>
      </w:r>
    </w:p>
  </w:footnote>
  <w:footnote w:id="29">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Pārskatu par LSK skaitliskajām vērtībām gadu gaitā sk. </w:t>
      </w:r>
      <w:r>
        <w:rPr>
          <w:rFonts w:ascii="Times New Roman" w:hAnsi="Times New Roman"/>
          <w:i/>
        </w:rPr>
        <w:t>Norādījumu dokumentā Nr. 2 par kvotu piešķiršanu</w:t>
      </w:r>
      <w:r>
        <w:rPr>
          <w:rFonts w:ascii="Times New Roman" w:hAnsi="Times New Roman"/>
        </w:rPr>
        <w:t>.</w:t>
      </w:r>
    </w:p>
  </w:footnote>
  <w:footnote w:id="30">
    <w:p w:rsidR="00900881" w:rsidRPr="00B823C5" w:rsidRDefault="00900881" w:rsidP="00CC65D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nozīmē, ka SSKK vērtība ir mazāka par 1 (vai 100 %), ja to izmanto, lai aprēķinātu galīgo bez maksas piešķiramo kvotu apjomu.</w:t>
      </w:r>
    </w:p>
  </w:footnote>
  <w:footnote w:id="31">
    <w:p w:rsidR="00900881" w:rsidRPr="00B823C5" w:rsidRDefault="00900881" w:rsidP="00CC65DE">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Bez maksas piešķiramo kvotu maksimālais apjoms saskaņā ar pārskatītās ETS direktīvas 10.a panta 5. punktu un 5.a punktu = ETS emisiju maksimālā robežvērtību</w:t>
      </w:r>
    </w:p>
    <w:p w:rsidR="00900881" w:rsidRPr="00B823C5" w:rsidRDefault="00900881" w:rsidP="00CC65DE">
      <w:pPr>
        <w:jc w:val="both"/>
        <w:rPr>
          <w:rFonts w:ascii="Times New Roman" w:eastAsia="Calibri" w:hAnsi="Times New Roman" w:cs="Times New Roman"/>
          <w:noProof/>
          <w:sz w:val="20"/>
          <w:szCs w:val="20"/>
        </w:rPr>
      </w:pPr>
      <w:r>
        <w:rPr>
          <w:rFonts w:ascii="Times New Roman" w:hAnsi="Times New Roman"/>
          <w:sz w:val="20"/>
          <w:szCs w:val="20"/>
        </w:rPr>
        <w:t>* (1 – izsolāmo kvotu daļa (0,57) + bezmaksas piešķiršanas rezerve (0,03)). Ja maksimālais apjoms (57 %) gadā nav izmantots, atlikusī daļa tiek pārnesta uz nākamajiem gadiem.</w:t>
      </w:r>
    </w:p>
  </w:footnote>
  <w:footnote w:id="32">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Pārskatītās ETS direktīvas 10.a panta 1. punkts</w:t>
      </w:r>
    </w:p>
  </w:footnote>
  <w:footnote w:id="33">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stāsies spēkā, ja pārbaudes periodā nav izteikti iebildumi.</w:t>
      </w:r>
    </w:p>
  </w:footnote>
  <w:footnote w:id="34">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Definēta kā operatora verificētā </w:t>
      </w:r>
      <w:r>
        <w:rPr>
          <w:rFonts w:ascii="Times New Roman" w:hAnsi="Times New Roman"/>
          <w:i/>
        </w:rPr>
        <w:t>NIM</w:t>
      </w:r>
      <w:r>
        <w:rPr>
          <w:rFonts w:ascii="Times New Roman" w:hAnsi="Times New Roman"/>
        </w:rPr>
        <w:t xml:space="preserve"> bāzlīnijas ziņojuma un monitoringa metodoloģijas plāna (</w:t>
      </w:r>
      <w:r>
        <w:rPr>
          <w:rFonts w:ascii="Times New Roman" w:hAnsi="Times New Roman"/>
          <w:i/>
        </w:rPr>
        <w:t>MMP</w:t>
      </w:r>
      <w:r>
        <w:rPr>
          <w:rFonts w:ascii="Times New Roman" w:hAnsi="Times New Roman"/>
        </w:rPr>
        <w:t>) iesniegšana.</w:t>
      </w:r>
    </w:p>
  </w:footnote>
  <w:footnote w:id="35">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Pārskatītās ETS direktīvas 3.h pants</w:t>
      </w:r>
    </w:p>
  </w:footnote>
  <w:footnote w:id="36">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Pārskatītās ETS direktīvas 11. panta 1. punkts</w:t>
      </w:r>
    </w:p>
  </w:footnote>
  <w:footnote w:id="37">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Pārskatītās ETS direktīvas 11. panta 2. punkts</w:t>
      </w:r>
    </w:p>
  </w:footnote>
  <w:footnote w:id="38">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Pārskatītās ETS direktīvas 11. panta 1. punkts</w:t>
      </w:r>
    </w:p>
  </w:footnote>
  <w:footnote w:id="39">
    <w:p w:rsidR="00900881" w:rsidRPr="00B823C5" w:rsidRDefault="009008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Pārskatītās ETS direktīvas 11. panta 2. punkts</w:t>
      </w:r>
    </w:p>
  </w:footnote>
  <w:footnote w:id="40">
    <w:p w:rsidR="002D1611" w:rsidRPr="00B823C5" w:rsidRDefault="002D1611" w:rsidP="002D161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https://ec.europa.eu/clima/sites/clima/files/ets/docs/guidance_electricity_generators_en.pdf</w:t>
      </w:r>
    </w:p>
  </w:footnote>
  <w:footnote w:id="41">
    <w:p w:rsidR="002D1611" w:rsidRPr="008826B9" w:rsidRDefault="002D1611" w:rsidP="002D161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FAR</w:t>
      </w:r>
      <w:r>
        <w:rPr>
          <w:rFonts w:ascii="Times New Roman" w:hAnsi="Times New Roman"/>
        </w:rPr>
        <w:t xml:space="preserve"> joprojām tiek izmantots termins “siltuma skaitītājs”, kaut gan Mērinstrumentu direktīvā tiek izmantots termins “siltumenerģijas skaitītājs”.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881" w:rsidRPr="00900881" w:rsidRDefault="00900881" w:rsidP="00900881">
    <w:pPr>
      <w:pStyle w:val="Header"/>
      <w:tabs>
        <w:tab w:val="clear" w:pos="4153"/>
        <w:tab w:val="clear" w:pos="8306"/>
      </w:tabs>
      <w:rPr>
        <w:rStyle w:val="PageNumber"/>
        <w:rFonts w:ascii="Times New Roman" w:hAnsi="Times New Roman" w:cs="Times New Roman"/>
        <w:sz w:val="20"/>
        <w:szCs w:val="20"/>
      </w:rPr>
    </w:pPr>
    <w:bookmarkStart w:id="55" w:name="_Hlk496261784"/>
    <w:bookmarkStart w:id="56" w:name="_Hlk496261785"/>
    <w:bookmarkStart w:id="57" w:name="_Hlk496261786"/>
    <w:bookmarkStart w:id="58" w:name="_Hlk502757728"/>
    <w:bookmarkStart w:id="59" w:name="_Hlk502757729"/>
    <w:bookmarkStart w:id="60" w:name="_Hlk502757738"/>
    <w:bookmarkStart w:id="61" w:name="_Hlk502757739"/>
    <w:bookmarkStart w:id="62" w:name="_Hlk30491084"/>
    <w:bookmarkStart w:id="63" w:name="_Hlk30491085"/>
  </w:p>
  <w:p w:rsidR="00900881" w:rsidRPr="00900881" w:rsidRDefault="00900881" w:rsidP="00900881">
    <w:pPr>
      <w:pStyle w:val="Header"/>
      <w:tabs>
        <w:tab w:val="clear" w:pos="4153"/>
        <w:tab w:val="clear" w:pos="8306"/>
        <w:tab w:val="right" w:leader="underscore" w:pos="9072"/>
      </w:tabs>
      <w:rPr>
        <w:rStyle w:val="PageNumber"/>
        <w:rFonts w:ascii="Times New Roman" w:hAnsi="Times New Roman" w:cs="Times New Roman"/>
        <w:sz w:val="20"/>
        <w:szCs w:val="20"/>
      </w:rPr>
    </w:pPr>
    <w:r w:rsidRPr="00900881">
      <w:rPr>
        <w:rStyle w:val="PageNumber"/>
        <w:rFonts w:ascii="Times New Roman" w:hAnsi="Times New Roman" w:cs="Times New Roman"/>
        <w:sz w:val="20"/>
        <w:szCs w:val="20"/>
      </w:rPr>
      <w:tab/>
    </w:r>
  </w:p>
  <w:bookmarkEnd w:id="55"/>
  <w:bookmarkEnd w:id="56"/>
  <w:bookmarkEnd w:id="57"/>
  <w:bookmarkEnd w:id="58"/>
  <w:bookmarkEnd w:id="59"/>
  <w:bookmarkEnd w:id="60"/>
  <w:bookmarkEnd w:id="61"/>
  <w:bookmarkEnd w:id="62"/>
  <w:bookmarkEnd w:id="63"/>
  <w:p w:rsidR="00900881" w:rsidRPr="00900881" w:rsidRDefault="00900881" w:rsidP="00900881">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881" w:rsidRPr="00900881" w:rsidRDefault="00900881" w:rsidP="00900881">
    <w:pPr>
      <w:pBdr>
        <w:bottom w:val="single" w:sz="12" w:space="5" w:color="auto"/>
      </w:pBdr>
      <w:rPr>
        <w:rFonts w:ascii="Times New Roman" w:hAnsi="Times New Roman" w:cs="Times New Roman"/>
        <w:spacing w:val="-2"/>
        <w:sz w:val="20"/>
        <w:szCs w:val="20"/>
      </w:rPr>
    </w:pPr>
    <w:bookmarkStart w:id="64" w:name="_Hlk496261745"/>
    <w:bookmarkStart w:id="65" w:name="_Hlk496261746"/>
    <w:bookmarkStart w:id="66" w:name="_Hlk496261747"/>
    <w:bookmarkStart w:id="67" w:name="_Hlk30491063"/>
    <w:bookmarkStart w:id="68" w:name="_Hlk30491064"/>
  </w:p>
  <w:bookmarkEnd w:id="64"/>
  <w:bookmarkEnd w:id="65"/>
  <w:bookmarkEnd w:id="66"/>
  <w:bookmarkEnd w:id="67"/>
  <w:bookmarkEnd w:id="68"/>
  <w:p w:rsidR="00900881" w:rsidRPr="00900881" w:rsidRDefault="00900881" w:rsidP="00900881">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453"/>
    <w:multiLevelType w:val="hybridMultilevel"/>
    <w:tmpl w:val="04105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80681"/>
    <w:multiLevelType w:val="hybridMultilevel"/>
    <w:tmpl w:val="4ECC6542"/>
    <w:lvl w:ilvl="0" w:tplc="11E26CD2">
      <w:start w:val="1"/>
      <w:numFmt w:val="bullet"/>
      <w:lvlText w:val=""/>
      <w:lvlJc w:val="left"/>
      <w:pPr>
        <w:ind w:left="828" w:hanging="360"/>
      </w:pPr>
      <w:rPr>
        <w:rFonts w:ascii="Symbol" w:eastAsia="Symbol" w:hAnsi="Symbol" w:hint="default"/>
        <w:w w:val="99"/>
        <w:sz w:val="20"/>
        <w:szCs w:val="20"/>
      </w:rPr>
    </w:lvl>
    <w:lvl w:ilvl="1" w:tplc="4EF8E5A2">
      <w:start w:val="1"/>
      <w:numFmt w:val="bullet"/>
      <w:lvlText w:val="•"/>
      <w:lvlJc w:val="left"/>
      <w:pPr>
        <w:ind w:left="1230" w:hanging="360"/>
      </w:pPr>
      <w:rPr>
        <w:rFonts w:hint="default"/>
      </w:rPr>
    </w:lvl>
    <w:lvl w:ilvl="2" w:tplc="0A8CFC1A">
      <w:start w:val="1"/>
      <w:numFmt w:val="bullet"/>
      <w:lvlText w:val="•"/>
      <w:lvlJc w:val="left"/>
      <w:pPr>
        <w:ind w:left="1632" w:hanging="360"/>
      </w:pPr>
      <w:rPr>
        <w:rFonts w:hint="default"/>
      </w:rPr>
    </w:lvl>
    <w:lvl w:ilvl="3" w:tplc="F94EDC7C">
      <w:start w:val="1"/>
      <w:numFmt w:val="bullet"/>
      <w:lvlText w:val="•"/>
      <w:lvlJc w:val="left"/>
      <w:pPr>
        <w:ind w:left="2034" w:hanging="360"/>
      </w:pPr>
      <w:rPr>
        <w:rFonts w:hint="default"/>
      </w:rPr>
    </w:lvl>
    <w:lvl w:ilvl="4" w:tplc="40CEA3A2">
      <w:start w:val="1"/>
      <w:numFmt w:val="bullet"/>
      <w:lvlText w:val="•"/>
      <w:lvlJc w:val="left"/>
      <w:pPr>
        <w:ind w:left="2436" w:hanging="360"/>
      </w:pPr>
      <w:rPr>
        <w:rFonts w:hint="default"/>
      </w:rPr>
    </w:lvl>
    <w:lvl w:ilvl="5" w:tplc="F1BA2AA4">
      <w:start w:val="1"/>
      <w:numFmt w:val="bullet"/>
      <w:lvlText w:val="•"/>
      <w:lvlJc w:val="left"/>
      <w:pPr>
        <w:ind w:left="2838" w:hanging="360"/>
      </w:pPr>
      <w:rPr>
        <w:rFonts w:hint="default"/>
      </w:rPr>
    </w:lvl>
    <w:lvl w:ilvl="6" w:tplc="1DA6B18A">
      <w:start w:val="1"/>
      <w:numFmt w:val="bullet"/>
      <w:lvlText w:val="•"/>
      <w:lvlJc w:val="left"/>
      <w:pPr>
        <w:ind w:left="3241" w:hanging="360"/>
      </w:pPr>
      <w:rPr>
        <w:rFonts w:hint="default"/>
      </w:rPr>
    </w:lvl>
    <w:lvl w:ilvl="7" w:tplc="8AA8CD52">
      <w:start w:val="1"/>
      <w:numFmt w:val="bullet"/>
      <w:lvlText w:val="•"/>
      <w:lvlJc w:val="left"/>
      <w:pPr>
        <w:ind w:left="3643" w:hanging="360"/>
      </w:pPr>
      <w:rPr>
        <w:rFonts w:hint="default"/>
      </w:rPr>
    </w:lvl>
    <w:lvl w:ilvl="8" w:tplc="7EE0B5E8">
      <w:start w:val="1"/>
      <w:numFmt w:val="bullet"/>
      <w:lvlText w:val="•"/>
      <w:lvlJc w:val="left"/>
      <w:pPr>
        <w:ind w:left="4045" w:hanging="360"/>
      </w:pPr>
      <w:rPr>
        <w:rFonts w:hint="default"/>
      </w:rPr>
    </w:lvl>
  </w:abstractNum>
  <w:abstractNum w:abstractNumId="2" w15:restartNumberingAfterBreak="0">
    <w:nsid w:val="092D31CB"/>
    <w:multiLevelType w:val="hybridMultilevel"/>
    <w:tmpl w:val="F1444194"/>
    <w:lvl w:ilvl="0" w:tplc="257ECC6C">
      <w:start w:val="2"/>
      <w:numFmt w:val="lowerLetter"/>
      <w:lvlText w:val="(%1)"/>
      <w:lvlJc w:val="left"/>
      <w:pPr>
        <w:ind w:left="546" w:hanging="346"/>
      </w:pPr>
      <w:rPr>
        <w:rFonts w:ascii="Calibri" w:eastAsia="Calibri" w:hAnsi="Calibri" w:hint="default"/>
        <w:spacing w:val="-1"/>
        <w:sz w:val="24"/>
        <w:szCs w:val="24"/>
      </w:rPr>
    </w:lvl>
    <w:lvl w:ilvl="1" w:tplc="D7CEBCDE">
      <w:start w:val="1"/>
      <w:numFmt w:val="bullet"/>
      <w:lvlText w:val="•"/>
      <w:lvlJc w:val="left"/>
      <w:pPr>
        <w:ind w:left="1449" w:hanging="346"/>
      </w:pPr>
      <w:rPr>
        <w:rFonts w:hint="default"/>
      </w:rPr>
    </w:lvl>
    <w:lvl w:ilvl="2" w:tplc="3056CD16">
      <w:start w:val="1"/>
      <w:numFmt w:val="bullet"/>
      <w:lvlText w:val="•"/>
      <w:lvlJc w:val="left"/>
      <w:pPr>
        <w:ind w:left="2352" w:hanging="346"/>
      </w:pPr>
      <w:rPr>
        <w:rFonts w:hint="default"/>
      </w:rPr>
    </w:lvl>
    <w:lvl w:ilvl="3" w:tplc="5BECEC08">
      <w:start w:val="1"/>
      <w:numFmt w:val="bullet"/>
      <w:lvlText w:val="•"/>
      <w:lvlJc w:val="left"/>
      <w:pPr>
        <w:ind w:left="3256" w:hanging="346"/>
      </w:pPr>
      <w:rPr>
        <w:rFonts w:hint="default"/>
      </w:rPr>
    </w:lvl>
    <w:lvl w:ilvl="4" w:tplc="A9BE6C7C">
      <w:start w:val="1"/>
      <w:numFmt w:val="bullet"/>
      <w:lvlText w:val="•"/>
      <w:lvlJc w:val="left"/>
      <w:pPr>
        <w:ind w:left="4159" w:hanging="346"/>
      </w:pPr>
      <w:rPr>
        <w:rFonts w:hint="default"/>
      </w:rPr>
    </w:lvl>
    <w:lvl w:ilvl="5" w:tplc="2AD22E04">
      <w:start w:val="1"/>
      <w:numFmt w:val="bullet"/>
      <w:lvlText w:val="•"/>
      <w:lvlJc w:val="left"/>
      <w:pPr>
        <w:ind w:left="5063" w:hanging="346"/>
      </w:pPr>
      <w:rPr>
        <w:rFonts w:hint="default"/>
      </w:rPr>
    </w:lvl>
    <w:lvl w:ilvl="6" w:tplc="CEF63AD2">
      <w:start w:val="1"/>
      <w:numFmt w:val="bullet"/>
      <w:lvlText w:val="•"/>
      <w:lvlJc w:val="left"/>
      <w:pPr>
        <w:ind w:left="5966" w:hanging="346"/>
      </w:pPr>
      <w:rPr>
        <w:rFonts w:hint="default"/>
      </w:rPr>
    </w:lvl>
    <w:lvl w:ilvl="7" w:tplc="F6884A54">
      <w:start w:val="1"/>
      <w:numFmt w:val="bullet"/>
      <w:lvlText w:val="•"/>
      <w:lvlJc w:val="left"/>
      <w:pPr>
        <w:ind w:left="6869" w:hanging="346"/>
      </w:pPr>
      <w:rPr>
        <w:rFonts w:hint="default"/>
      </w:rPr>
    </w:lvl>
    <w:lvl w:ilvl="8" w:tplc="E2F20B4A">
      <w:start w:val="1"/>
      <w:numFmt w:val="bullet"/>
      <w:lvlText w:val="•"/>
      <w:lvlJc w:val="left"/>
      <w:pPr>
        <w:ind w:left="7773" w:hanging="346"/>
      </w:pPr>
      <w:rPr>
        <w:rFonts w:hint="default"/>
      </w:rPr>
    </w:lvl>
  </w:abstractNum>
  <w:abstractNum w:abstractNumId="3" w15:restartNumberingAfterBreak="0">
    <w:nsid w:val="0A522617"/>
    <w:multiLevelType w:val="hybridMultilevel"/>
    <w:tmpl w:val="DADE0050"/>
    <w:lvl w:ilvl="0" w:tplc="3DE046E0">
      <w:start w:val="1"/>
      <w:numFmt w:val="bullet"/>
      <w:lvlText w:val=""/>
      <w:lvlJc w:val="left"/>
      <w:pPr>
        <w:ind w:left="2845" w:hanging="219"/>
      </w:pPr>
      <w:rPr>
        <w:rFonts w:ascii="Symbol" w:eastAsia="Symbol" w:hAnsi="Symbol" w:hint="default"/>
        <w:sz w:val="18"/>
        <w:szCs w:val="18"/>
      </w:rPr>
    </w:lvl>
    <w:lvl w:ilvl="1" w:tplc="7520AF38">
      <w:start w:val="1"/>
      <w:numFmt w:val="bullet"/>
      <w:lvlText w:val="•"/>
      <w:lvlJc w:val="left"/>
      <w:pPr>
        <w:ind w:left="3177" w:hanging="219"/>
      </w:pPr>
      <w:rPr>
        <w:rFonts w:hint="default"/>
      </w:rPr>
    </w:lvl>
    <w:lvl w:ilvl="2" w:tplc="87D2FF4E">
      <w:start w:val="1"/>
      <w:numFmt w:val="bullet"/>
      <w:lvlText w:val="•"/>
      <w:lvlJc w:val="left"/>
      <w:pPr>
        <w:ind w:left="3509" w:hanging="219"/>
      </w:pPr>
      <w:rPr>
        <w:rFonts w:hint="default"/>
      </w:rPr>
    </w:lvl>
    <w:lvl w:ilvl="3" w:tplc="0DDE4CD0">
      <w:start w:val="1"/>
      <w:numFmt w:val="bullet"/>
      <w:lvlText w:val="•"/>
      <w:lvlJc w:val="left"/>
      <w:pPr>
        <w:ind w:left="3841" w:hanging="219"/>
      </w:pPr>
      <w:rPr>
        <w:rFonts w:hint="default"/>
      </w:rPr>
    </w:lvl>
    <w:lvl w:ilvl="4" w:tplc="206425F2">
      <w:start w:val="1"/>
      <w:numFmt w:val="bullet"/>
      <w:lvlText w:val="•"/>
      <w:lvlJc w:val="left"/>
      <w:pPr>
        <w:ind w:left="4173" w:hanging="219"/>
      </w:pPr>
      <w:rPr>
        <w:rFonts w:hint="default"/>
      </w:rPr>
    </w:lvl>
    <w:lvl w:ilvl="5" w:tplc="15F83B3E">
      <w:start w:val="1"/>
      <w:numFmt w:val="bullet"/>
      <w:lvlText w:val="•"/>
      <w:lvlJc w:val="left"/>
      <w:pPr>
        <w:ind w:left="4505" w:hanging="219"/>
      </w:pPr>
      <w:rPr>
        <w:rFonts w:hint="default"/>
      </w:rPr>
    </w:lvl>
    <w:lvl w:ilvl="6" w:tplc="0F103612">
      <w:start w:val="1"/>
      <w:numFmt w:val="bullet"/>
      <w:lvlText w:val="•"/>
      <w:lvlJc w:val="left"/>
      <w:pPr>
        <w:ind w:left="4837" w:hanging="219"/>
      </w:pPr>
      <w:rPr>
        <w:rFonts w:hint="default"/>
      </w:rPr>
    </w:lvl>
    <w:lvl w:ilvl="7" w:tplc="BC7A277E">
      <w:start w:val="1"/>
      <w:numFmt w:val="bullet"/>
      <w:lvlText w:val="•"/>
      <w:lvlJc w:val="left"/>
      <w:pPr>
        <w:ind w:left="5169" w:hanging="219"/>
      </w:pPr>
      <w:rPr>
        <w:rFonts w:hint="default"/>
      </w:rPr>
    </w:lvl>
    <w:lvl w:ilvl="8" w:tplc="810C13C8">
      <w:start w:val="1"/>
      <w:numFmt w:val="bullet"/>
      <w:lvlText w:val="•"/>
      <w:lvlJc w:val="left"/>
      <w:pPr>
        <w:ind w:left="5501" w:hanging="219"/>
      </w:pPr>
      <w:rPr>
        <w:rFonts w:hint="default"/>
      </w:rPr>
    </w:lvl>
  </w:abstractNum>
  <w:abstractNum w:abstractNumId="4" w15:restartNumberingAfterBreak="0">
    <w:nsid w:val="12CF399C"/>
    <w:multiLevelType w:val="hybridMultilevel"/>
    <w:tmpl w:val="8E165140"/>
    <w:lvl w:ilvl="0" w:tplc="5656ABD8">
      <w:start w:val="1"/>
      <w:numFmt w:val="bullet"/>
      <w:lvlText w:val=""/>
      <w:lvlJc w:val="left"/>
      <w:pPr>
        <w:ind w:left="866" w:hanging="361"/>
      </w:pPr>
      <w:rPr>
        <w:rFonts w:ascii="Symbol" w:eastAsia="Symbol" w:hAnsi="Symbol" w:hint="default"/>
        <w:w w:val="99"/>
        <w:sz w:val="20"/>
        <w:szCs w:val="20"/>
      </w:rPr>
    </w:lvl>
    <w:lvl w:ilvl="1" w:tplc="18F828CE">
      <w:start w:val="1"/>
      <w:numFmt w:val="bullet"/>
      <w:lvlText w:val="•"/>
      <w:lvlJc w:val="left"/>
      <w:pPr>
        <w:ind w:left="1230" w:hanging="361"/>
      </w:pPr>
      <w:rPr>
        <w:rFonts w:hint="default"/>
      </w:rPr>
    </w:lvl>
    <w:lvl w:ilvl="2" w:tplc="BD3AFD22">
      <w:start w:val="1"/>
      <w:numFmt w:val="bullet"/>
      <w:lvlText w:val="•"/>
      <w:lvlJc w:val="left"/>
      <w:pPr>
        <w:ind w:left="1594" w:hanging="361"/>
      </w:pPr>
      <w:rPr>
        <w:rFonts w:hint="default"/>
      </w:rPr>
    </w:lvl>
    <w:lvl w:ilvl="3" w:tplc="9732C8FA">
      <w:start w:val="1"/>
      <w:numFmt w:val="bullet"/>
      <w:lvlText w:val="•"/>
      <w:lvlJc w:val="left"/>
      <w:pPr>
        <w:ind w:left="1958" w:hanging="361"/>
      </w:pPr>
      <w:rPr>
        <w:rFonts w:hint="default"/>
      </w:rPr>
    </w:lvl>
    <w:lvl w:ilvl="4" w:tplc="D0F60E7E">
      <w:start w:val="1"/>
      <w:numFmt w:val="bullet"/>
      <w:lvlText w:val="•"/>
      <w:lvlJc w:val="left"/>
      <w:pPr>
        <w:ind w:left="2322" w:hanging="361"/>
      </w:pPr>
      <w:rPr>
        <w:rFonts w:hint="default"/>
      </w:rPr>
    </w:lvl>
    <w:lvl w:ilvl="5" w:tplc="63C63832">
      <w:start w:val="1"/>
      <w:numFmt w:val="bullet"/>
      <w:lvlText w:val="•"/>
      <w:lvlJc w:val="left"/>
      <w:pPr>
        <w:ind w:left="2686" w:hanging="361"/>
      </w:pPr>
      <w:rPr>
        <w:rFonts w:hint="default"/>
      </w:rPr>
    </w:lvl>
    <w:lvl w:ilvl="6" w:tplc="4260E344">
      <w:start w:val="1"/>
      <w:numFmt w:val="bullet"/>
      <w:lvlText w:val="•"/>
      <w:lvlJc w:val="left"/>
      <w:pPr>
        <w:ind w:left="3051" w:hanging="361"/>
      </w:pPr>
      <w:rPr>
        <w:rFonts w:hint="default"/>
      </w:rPr>
    </w:lvl>
    <w:lvl w:ilvl="7" w:tplc="38F43294">
      <w:start w:val="1"/>
      <w:numFmt w:val="bullet"/>
      <w:lvlText w:val="•"/>
      <w:lvlJc w:val="left"/>
      <w:pPr>
        <w:ind w:left="3415" w:hanging="361"/>
      </w:pPr>
      <w:rPr>
        <w:rFonts w:hint="default"/>
      </w:rPr>
    </w:lvl>
    <w:lvl w:ilvl="8" w:tplc="A90A76C0">
      <w:start w:val="1"/>
      <w:numFmt w:val="bullet"/>
      <w:lvlText w:val="•"/>
      <w:lvlJc w:val="left"/>
      <w:pPr>
        <w:ind w:left="3779" w:hanging="361"/>
      </w:pPr>
      <w:rPr>
        <w:rFonts w:hint="default"/>
      </w:rPr>
    </w:lvl>
  </w:abstractNum>
  <w:abstractNum w:abstractNumId="5" w15:restartNumberingAfterBreak="0">
    <w:nsid w:val="16F02D64"/>
    <w:multiLevelType w:val="multilevel"/>
    <w:tmpl w:val="2962EDB2"/>
    <w:lvl w:ilvl="0">
      <w:start w:val="5"/>
      <w:numFmt w:val="decimal"/>
      <w:lvlText w:val="%1"/>
      <w:lvlJc w:val="left"/>
      <w:pPr>
        <w:ind w:left="838" w:hanging="720"/>
      </w:pPr>
      <w:rPr>
        <w:rFonts w:hint="default"/>
      </w:rPr>
    </w:lvl>
    <w:lvl w:ilvl="1">
      <w:start w:val="3"/>
      <w:numFmt w:val="decimal"/>
      <w:lvlText w:val="%1.%2"/>
      <w:lvlJc w:val="left"/>
      <w:pPr>
        <w:ind w:left="838" w:hanging="720"/>
      </w:pPr>
      <w:rPr>
        <w:rFonts w:hint="default"/>
      </w:rPr>
    </w:lvl>
    <w:lvl w:ilvl="2">
      <w:start w:val="1"/>
      <w:numFmt w:val="decimal"/>
      <w:lvlText w:val="%1.%2.%3"/>
      <w:lvlJc w:val="left"/>
      <w:pPr>
        <w:ind w:left="838" w:hanging="720"/>
      </w:pPr>
      <w:rPr>
        <w:rFonts w:ascii="Calibri" w:eastAsia="Calibri" w:hAnsi="Calibri" w:hint="default"/>
        <w:b/>
        <w:bCs/>
        <w:w w:val="99"/>
        <w:sz w:val="24"/>
        <w:szCs w:val="24"/>
      </w:rPr>
    </w:lvl>
    <w:lvl w:ilvl="3">
      <w:start w:val="1"/>
      <w:numFmt w:val="bullet"/>
      <w:lvlText w:val="•"/>
      <w:lvlJc w:val="left"/>
      <w:pPr>
        <w:ind w:left="3461" w:hanging="720"/>
      </w:pPr>
      <w:rPr>
        <w:rFonts w:hint="default"/>
      </w:rPr>
    </w:lvl>
    <w:lvl w:ilvl="4">
      <w:start w:val="1"/>
      <w:numFmt w:val="bullet"/>
      <w:lvlText w:val="•"/>
      <w:lvlJc w:val="left"/>
      <w:pPr>
        <w:ind w:left="4335" w:hanging="720"/>
      </w:pPr>
      <w:rPr>
        <w:rFonts w:hint="default"/>
      </w:rPr>
    </w:lvl>
    <w:lvl w:ilvl="5">
      <w:start w:val="1"/>
      <w:numFmt w:val="bullet"/>
      <w:lvlText w:val="•"/>
      <w:lvlJc w:val="left"/>
      <w:pPr>
        <w:ind w:left="5209" w:hanging="720"/>
      </w:pPr>
      <w:rPr>
        <w:rFonts w:hint="default"/>
      </w:rPr>
    </w:lvl>
    <w:lvl w:ilvl="6">
      <w:start w:val="1"/>
      <w:numFmt w:val="bullet"/>
      <w:lvlText w:val="•"/>
      <w:lvlJc w:val="left"/>
      <w:pPr>
        <w:ind w:left="6083" w:hanging="720"/>
      </w:pPr>
      <w:rPr>
        <w:rFonts w:hint="default"/>
      </w:rPr>
    </w:lvl>
    <w:lvl w:ilvl="7">
      <w:start w:val="1"/>
      <w:numFmt w:val="bullet"/>
      <w:lvlText w:val="•"/>
      <w:lvlJc w:val="left"/>
      <w:pPr>
        <w:ind w:left="6957" w:hanging="720"/>
      </w:pPr>
      <w:rPr>
        <w:rFonts w:hint="default"/>
      </w:rPr>
    </w:lvl>
    <w:lvl w:ilvl="8">
      <w:start w:val="1"/>
      <w:numFmt w:val="bullet"/>
      <w:lvlText w:val="•"/>
      <w:lvlJc w:val="left"/>
      <w:pPr>
        <w:ind w:left="7831" w:hanging="720"/>
      </w:pPr>
      <w:rPr>
        <w:rFonts w:hint="default"/>
      </w:rPr>
    </w:lvl>
  </w:abstractNum>
  <w:abstractNum w:abstractNumId="6" w15:restartNumberingAfterBreak="0">
    <w:nsid w:val="286D2A18"/>
    <w:multiLevelType w:val="hybridMultilevel"/>
    <w:tmpl w:val="06DA4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1A4C77"/>
    <w:multiLevelType w:val="hybridMultilevel"/>
    <w:tmpl w:val="8A0A301C"/>
    <w:lvl w:ilvl="0" w:tplc="1EAE8164">
      <w:start w:val="1"/>
      <w:numFmt w:val="bullet"/>
      <w:lvlText w:val=""/>
      <w:lvlJc w:val="left"/>
      <w:pPr>
        <w:ind w:left="191" w:hanging="219"/>
      </w:pPr>
      <w:rPr>
        <w:rFonts w:ascii="Symbol" w:eastAsia="Symbol" w:hAnsi="Symbol" w:hint="default"/>
        <w:sz w:val="18"/>
        <w:szCs w:val="18"/>
      </w:rPr>
    </w:lvl>
    <w:lvl w:ilvl="1" w:tplc="6D26A342">
      <w:start w:val="1"/>
      <w:numFmt w:val="bullet"/>
      <w:lvlText w:val="•"/>
      <w:lvlJc w:val="left"/>
      <w:pPr>
        <w:ind w:left="808" w:hanging="219"/>
      </w:pPr>
      <w:rPr>
        <w:rFonts w:hint="default"/>
      </w:rPr>
    </w:lvl>
    <w:lvl w:ilvl="2" w:tplc="84E01B14">
      <w:start w:val="1"/>
      <w:numFmt w:val="bullet"/>
      <w:lvlText w:val="•"/>
      <w:lvlJc w:val="left"/>
      <w:pPr>
        <w:ind w:left="1425" w:hanging="219"/>
      </w:pPr>
      <w:rPr>
        <w:rFonts w:hint="default"/>
      </w:rPr>
    </w:lvl>
    <w:lvl w:ilvl="3" w:tplc="3D00B244">
      <w:start w:val="1"/>
      <w:numFmt w:val="bullet"/>
      <w:lvlText w:val="•"/>
      <w:lvlJc w:val="left"/>
      <w:pPr>
        <w:ind w:left="2042" w:hanging="219"/>
      </w:pPr>
      <w:rPr>
        <w:rFonts w:hint="default"/>
      </w:rPr>
    </w:lvl>
    <w:lvl w:ilvl="4" w:tplc="7A707868">
      <w:start w:val="1"/>
      <w:numFmt w:val="bullet"/>
      <w:lvlText w:val="•"/>
      <w:lvlJc w:val="left"/>
      <w:pPr>
        <w:ind w:left="2659" w:hanging="219"/>
      </w:pPr>
      <w:rPr>
        <w:rFonts w:hint="default"/>
      </w:rPr>
    </w:lvl>
    <w:lvl w:ilvl="5" w:tplc="96D03B54">
      <w:start w:val="1"/>
      <w:numFmt w:val="bullet"/>
      <w:lvlText w:val="•"/>
      <w:lvlJc w:val="left"/>
      <w:pPr>
        <w:ind w:left="3276" w:hanging="219"/>
      </w:pPr>
      <w:rPr>
        <w:rFonts w:hint="default"/>
      </w:rPr>
    </w:lvl>
    <w:lvl w:ilvl="6" w:tplc="6E6CC430">
      <w:start w:val="1"/>
      <w:numFmt w:val="bullet"/>
      <w:lvlText w:val="•"/>
      <w:lvlJc w:val="left"/>
      <w:pPr>
        <w:ind w:left="3893" w:hanging="219"/>
      </w:pPr>
      <w:rPr>
        <w:rFonts w:hint="default"/>
      </w:rPr>
    </w:lvl>
    <w:lvl w:ilvl="7" w:tplc="206075B2">
      <w:start w:val="1"/>
      <w:numFmt w:val="bullet"/>
      <w:lvlText w:val="•"/>
      <w:lvlJc w:val="left"/>
      <w:pPr>
        <w:ind w:left="4510" w:hanging="219"/>
      </w:pPr>
      <w:rPr>
        <w:rFonts w:hint="default"/>
      </w:rPr>
    </w:lvl>
    <w:lvl w:ilvl="8" w:tplc="8BEE9AEA">
      <w:start w:val="1"/>
      <w:numFmt w:val="bullet"/>
      <w:lvlText w:val="•"/>
      <w:lvlJc w:val="left"/>
      <w:pPr>
        <w:ind w:left="5127" w:hanging="219"/>
      </w:pPr>
      <w:rPr>
        <w:rFonts w:hint="default"/>
      </w:rPr>
    </w:lvl>
  </w:abstractNum>
  <w:abstractNum w:abstractNumId="8" w15:restartNumberingAfterBreak="0">
    <w:nsid w:val="2EC60D2E"/>
    <w:multiLevelType w:val="hybridMultilevel"/>
    <w:tmpl w:val="C2ACE690"/>
    <w:lvl w:ilvl="0" w:tplc="D954F99A">
      <w:start w:val="1"/>
      <w:numFmt w:val="lowerLetter"/>
      <w:lvlText w:val="(%1)"/>
      <w:lvlJc w:val="left"/>
      <w:pPr>
        <w:ind w:left="826" w:hanging="708"/>
      </w:pPr>
      <w:rPr>
        <w:rFonts w:ascii="Calibri" w:eastAsia="Calibri" w:hAnsi="Calibri" w:hint="default"/>
        <w:spacing w:val="-1"/>
        <w:sz w:val="24"/>
        <w:szCs w:val="24"/>
      </w:rPr>
    </w:lvl>
    <w:lvl w:ilvl="1" w:tplc="1DCCA37A">
      <w:start w:val="1"/>
      <w:numFmt w:val="bullet"/>
      <w:lvlText w:val="•"/>
      <w:lvlJc w:val="left"/>
      <w:pPr>
        <w:ind w:left="1702" w:hanging="708"/>
      </w:pPr>
      <w:rPr>
        <w:rFonts w:hint="default"/>
      </w:rPr>
    </w:lvl>
    <w:lvl w:ilvl="2" w:tplc="0CFA3BC0">
      <w:start w:val="1"/>
      <w:numFmt w:val="bullet"/>
      <w:lvlText w:val="•"/>
      <w:lvlJc w:val="left"/>
      <w:pPr>
        <w:ind w:left="2577" w:hanging="708"/>
      </w:pPr>
      <w:rPr>
        <w:rFonts w:hint="default"/>
      </w:rPr>
    </w:lvl>
    <w:lvl w:ilvl="3" w:tplc="9A0645FC">
      <w:start w:val="1"/>
      <w:numFmt w:val="bullet"/>
      <w:lvlText w:val="•"/>
      <w:lvlJc w:val="left"/>
      <w:pPr>
        <w:ind w:left="3452" w:hanging="708"/>
      </w:pPr>
      <w:rPr>
        <w:rFonts w:hint="default"/>
      </w:rPr>
    </w:lvl>
    <w:lvl w:ilvl="4" w:tplc="519C4A58">
      <w:start w:val="1"/>
      <w:numFmt w:val="bullet"/>
      <w:lvlText w:val="•"/>
      <w:lvlJc w:val="left"/>
      <w:pPr>
        <w:ind w:left="4328" w:hanging="708"/>
      </w:pPr>
      <w:rPr>
        <w:rFonts w:hint="default"/>
      </w:rPr>
    </w:lvl>
    <w:lvl w:ilvl="5" w:tplc="7C9CCA4C">
      <w:start w:val="1"/>
      <w:numFmt w:val="bullet"/>
      <w:lvlText w:val="•"/>
      <w:lvlJc w:val="left"/>
      <w:pPr>
        <w:ind w:left="5203" w:hanging="708"/>
      </w:pPr>
      <w:rPr>
        <w:rFonts w:hint="default"/>
      </w:rPr>
    </w:lvl>
    <w:lvl w:ilvl="6" w:tplc="4ABECC8C">
      <w:start w:val="1"/>
      <w:numFmt w:val="bullet"/>
      <w:lvlText w:val="•"/>
      <w:lvlJc w:val="left"/>
      <w:pPr>
        <w:ind w:left="6078" w:hanging="708"/>
      </w:pPr>
      <w:rPr>
        <w:rFonts w:hint="default"/>
      </w:rPr>
    </w:lvl>
    <w:lvl w:ilvl="7" w:tplc="BEAECCAE">
      <w:start w:val="1"/>
      <w:numFmt w:val="bullet"/>
      <w:lvlText w:val="•"/>
      <w:lvlJc w:val="left"/>
      <w:pPr>
        <w:ind w:left="6954" w:hanging="708"/>
      </w:pPr>
      <w:rPr>
        <w:rFonts w:hint="default"/>
      </w:rPr>
    </w:lvl>
    <w:lvl w:ilvl="8" w:tplc="CB52B396">
      <w:start w:val="1"/>
      <w:numFmt w:val="bullet"/>
      <w:lvlText w:val="•"/>
      <w:lvlJc w:val="left"/>
      <w:pPr>
        <w:ind w:left="7829" w:hanging="708"/>
      </w:pPr>
      <w:rPr>
        <w:rFonts w:hint="default"/>
      </w:rPr>
    </w:lvl>
  </w:abstractNum>
  <w:abstractNum w:abstractNumId="9" w15:restartNumberingAfterBreak="0">
    <w:nsid w:val="35D15CF9"/>
    <w:multiLevelType w:val="multilevel"/>
    <w:tmpl w:val="52C6E934"/>
    <w:lvl w:ilvl="0">
      <w:start w:val="1"/>
      <w:numFmt w:val="decimal"/>
      <w:lvlText w:val="%1"/>
      <w:lvlJc w:val="left"/>
      <w:pPr>
        <w:ind w:left="402" w:hanging="284"/>
      </w:pPr>
      <w:rPr>
        <w:rFonts w:ascii="Calibri" w:eastAsia="Calibri" w:hAnsi="Calibri" w:hint="default"/>
        <w:w w:val="99"/>
        <w:sz w:val="24"/>
        <w:szCs w:val="24"/>
      </w:rPr>
    </w:lvl>
    <w:lvl w:ilvl="1">
      <w:start w:val="1"/>
      <w:numFmt w:val="decimal"/>
      <w:lvlText w:val="%1.%2"/>
      <w:lvlJc w:val="left"/>
      <w:pPr>
        <w:ind w:left="999" w:hanging="641"/>
      </w:pPr>
      <w:rPr>
        <w:rFonts w:ascii="Calibri" w:eastAsia="Calibri" w:hAnsi="Calibri" w:hint="default"/>
        <w:sz w:val="24"/>
        <w:szCs w:val="24"/>
      </w:rPr>
    </w:lvl>
    <w:lvl w:ilvl="2">
      <w:start w:val="1"/>
      <w:numFmt w:val="decimal"/>
      <w:lvlText w:val="%1.%2.%3"/>
      <w:lvlJc w:val="left"/>
      <w:pPr>
        <w:ind w:left="1438" w:hanging="840"/>
      </w:pPr>
      <w:rPr>
        <w:rFonts w:ascii="Calibri" w:eastAsia="Calibri" w:hAnsi="Calibri" w:hint="default"/>
        <w:sz w:val="24"/>
        <w:szCs w:val="24"/>
      </w:rPr>
    </w:lvl>
    <w:lvl w:ilvl="3">
      <w:start w:val="1"/>
      <w:numFmt w:val="bullet"/>
      <w:lvlText w:val="•"/>
      <w:lvlJc w:val="left"/>
      <w:pPr>
        <w:ind w:left="2456" w:hanging="840"/>
      </w:pPr>
      <w:rPr>
        <w:rFonts w:hint="default"/>
      </w:rPr>
    </w:lvl>
    <w:lvl w:ilvl="4">
      <w:start w:val="1"/>
      <w:numFmt w:val="bullet"/>
      <w:lvlText w:val="•"/>
      <w:lvlJc w:val="left"/>
      <w:pPr>
        <w:ind w:left="3474" w:hanging="840"/>
      </w:pPr>
      <w:rPr>
        <w:rFonts w:hint="default"/>
      </w:rPr>
    </w:lvl>
    <w:lvl w:ilvl="5">
      <w:start w:val="1"/>
      <w:numFmt w:val="bullet"/>
      <w:lvlText w:val="•"/>
      <w:lvlJc w:val="left"/>
      <w:pPr>
        <w:ind w:left="4491" w:hanging="840"/>
      </w:pPr>
      <w:rPr>
        <w:rFonts w:hint="default"/>
      </w:rPr>
    </w:lvl>
    <w:lvl w:ilvl="6">
      <w:start w:val="1"/>
      <w:numFmt w:val="bullet"/>
      <w:lvlText w:val="•"/>
      <w:lvlJc w:val="left"/>
      <w:pPr>
        <w:ind w:left="5509" w:hanging="840"/>
      </w:pPr>
      <w:rPr>
        <w:rFonts w:hint="default"/>
      </w:rPr>
    </w:lvl>
    <w:lvl w:ilvl="7">
      <w:start w:val="1"/>
      <w:numFmt w:val="bullet"/>
      <w:lvlText w:val="•"/>
      <w:lvlJc w:val="left"/>
      <w:pPr>
        <w:ind w:left="6527" w:hanging="840"/>
      </w:pPr>
      <w:rPr>
        <w:rFonts w:hint="default"/>
      </w:rPr>
    </w:lvl>
    <w:lvl w:ilvl="8">
      <w:start w:val="1"/>
      <w:numFmt w:val="bullet"/>
      <w:lvlText w:val="•"/>
      <w:lvlJc w:val="left"/>
      <w:pPr>
        <w:ind w:left="7544" w:hanging="840"/>
      </w:pPr>
      <w:rPr>
        <w:rFonts w:hint="default"/>
      </w:rPr>
    </w:lvl>
  </w:abstractNum>
  <w:abstractNum w:abstractNumId="10" w15:restartNumberingAfterBreak="0">
    <w:nsid w:val="453E0F59"/>
    <w:multiLevelType w:val="hybridMultilevel"/>
    <w:tmpl w:val="E7E863F6"/>
    <w:lvl w:ilvl="0" w:tplc="366E8D48">
      <w:start w:val="1"/>
      <w:numFmt w:val="bullet"/>
      <w:lvlText w:val=""/>
      <w:lvlJc w:val="left"/>
      <w:pPr>
        <w:ind w:left="191" w:hanging="164"/>
      </w:pPr>
      <w:rPr>
        <w:rFonts w:ascii="Symbol" w:eastAsia="Symbol" w:hAnsi="Symbol" w:hint="default"/>
        <w:sz w:val="18"/>
        <w:szCs w:val="18"/>
      </w:rPr>
    </w:lvl>
    <w:lvl w:ilvl="1" w:tplc="9DC06AB8">
      <w:start w:val="1"/>
      <w:numFmt w:val="bullet"/>
      <w:lvlText w:val="•"/>
      <w:lvlJc w:val="left"/>
      <w:pPr>
        <w:ind w:left="661" w:hanging="164"/>
      </w:pPr>
      <w:rPr>
        <w:rFonts w:hint="default"/>
      </w:rPr>
    </w:lvl>
    <w:lvl w:ilvl="2" w:tplc="8BA60ABA">
      <w:start w:val="1"/>
      <w:numFmt w:val="bullet"/>
      <w:lvlText w:val="•"/>
      <w:lvlJc w:val="left"/>
      <w:pPr>
        <w:ind w:left="1131" w:hanging="164"/>
      </w:pPr>
      <w:rPr>
        <w:rFonts w:hint="default"/>
      </w:rPr>
    </w:lvl>
    <w:lvl w:ilvl="3" w:tplc="06B83EE6">
      <w:start w:val="1"/>
      <w:numFmt w:val="bullet"/>
      <w:lvlText w:val="•"/>
      <w:lvlJc w:val="left"/>
      <w:pPr>
        <w:ind w:left="1602" w:hanging="164"/>
      </w:pPr>
      <w:rPr>
        <w:rFonts w:hint="default"/>
      </w:rPr>
    </w:lvl>
    <w:lvl w:ilvl="4" w:tplc="76AC18FC">
      <w:start w:val="1"/>
      <w:numFmt w:val="bullet"/>
      <w:lvlText w:val="•"/>
      <w:lvlJc w:val="left"/>
      <w:pPr>
        <w:ind w:left="2072" w:hanging="164"/>
      </w:pPr>
      <w:rPr>
        <w:rFonts w:hint="default"/>
      </w:rPr>
    </w:lvl>
    <w:lvl w:ilvl="5" w:tplc="F47CDF20">
      <w:start w:val="1"/>
      <w:numFmt w:val="bullet"/>
      <w:lvlText w:val="•"/>
      <w:lvlJc w:val="left"/>
      <w:pPr>
        <w:ind w:left="2543" w:hanging="164"/>
      </w:pPr>
      <w:rPr>
        <w:rFonts w:hint="default"/>
      </w:rPr>
    </w:lvl>
    <w:lvl w:ilvl="6" w:tplc="6116E322">
      <w:start w:val="1"/>
      <w:numFmt w:val="bullet"/>
      <w:lvlText w:val="•"/>
      <w:lvlJc w:val="left"/>
      <w:pPr>
        <w:ind w:left="3013" w:hanging="164"/>
      </w:pPr>
      <w:rPr>
        <w:rFonts w:hint="default"/>
      </w:rPr>
    </w:lvl>
    <w:lvl w:ilvl="7" w:tplc="3F1A4084">
      <w:start w:val="1"/>
      <w:numFmt w:val="bullet"/>
      <w:lvlText w:val="•"/>
      <w:lvlJc w:val="left"/>
      <w:pPr>
        <w:ind w:left="3483" w:hanging="164"/>
      </w:pPr>
      <w:rPr>
        <w:rFonts w:hint="default"/>
      </w:rPr>
    </w:lvl>
    <w:lvl w:ilvl="8" w:tplc="53A20972">
      <w:start w:val="1"/>
      <w:numFmt w:val="bullet"/>
      <w:lvlText w:val="•"/>
      <w:lvlJc w:val="left"/>
      <w:pPr>
        <w:ind w:left="3954" w:hanging="164"/>
      </w:pPr>
      <w:rPr>
        <w:rFonts w:hint="default"/>
      </w:rPr>
    </w:lvl>
  </w:abstractNum>
  <w:abstractNum w:abstractNumId="11" w15:restartNumberingAfterBreak="0">
    <w:nsid w:val="49434F81"/>
    <w:multiLevelType w:val="hybridMultilevel"/>
    <w:tmpl w:val="9BD479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AEE632C"/>
    <w:multiLevelType w:val="multilevel"/>
    <w:tmpl w:val="322ACB4A"/>
    <w:lvl w:ilvl="0">
      <w:start w:val="1"/>
      <w:numFmt w:val="decimal"/>
      <w:lvlText w:val="%1"/>
      <w:lvlJc w:val="left"/>
      <w:pPr>
        <w:ind w:left="402" w:hanging="284"/>
      </w:pPr>
      <w:rPr>
        <w:rFonts w:ascii="Calibri" w:eastAsia="Calibri" w:hAnsi="Calibri" w:hint="default"/>
        <w:b/>
        <w:bCs/>
        <w:w w:val="99"/>
        <w:sz w:val="32"/>
        <w:szCs w:val="32"/>
      </w:rPr>
    </w:lvl>
    <w:lvl w:ilvl="1">
      <w:start w:val="1"/>
      <w:numFmt w:val="decimal"/>
      <w:lvlText w:val="%1.%2"/>
      <w:lvlJc w:val="left"/>
      <w:pPr>
        <w:ind w:left="694" w:hanging="576"/>
      </w:pPr>
      <w:rPr>
        <w:rFonts w:ascii="Calibri" w:eastAsia="Calibri" w:hAnsi="Calibri" w:hint="default"/>
        <w:b/>
        <w:bCs/>
        <w:spacing w:val="-1"/>
        <w:sz w:val="28"/>
        <w:szCs w:val="28"/>
      </w:rPr>
    </w:lvl>
    <w:lvl w:ilvl="2">
      <w:start w:val="1"/>
      <w:numFmt w:val="bullet"/>
      <w:lvlText w:val=""/>
      <w:lvlJc w:val="left"/>
      <w:pPr>
        <w:ind w:left="546" w:hanging="216"/>
      </w:pPr>
      <w:rPr>
        <w:rFonts w:ascii="Symbol" w:eastAsia="Symbol" w:hAnsi="Symbol" w:hint="default"/>
        <w:sz w:val="24"/>
        <w:szCs w:val="24"/>
      </w:rPr>
    </w:lvl>
    <w:lvl w:ilvl="3">
      <w:start w:val="1"/>
      <w:numFmt w:val="bullet"/>
      <w:lvlText w:val="•"/>
      <w:lvlJc w:val="left"/>
      <w:pPr>
        <w:ind w:left="1805" w:hanging="216"/>
      </w:pPr>
      <w:rPr>
        <w:rFonts w:hint="default"/>
      </w:rPr>
    </w:lvl>
    <w:lvl w:ilvl="4">
      <w:start w:val="1"/>
      <w:numFmt w:val="bullet"/>
      <w:lvlText w:val="•"/>
      <w:lvlJc w:val="left"/>
      <w:pPr>
        <w:ind w:left="2916" w:hanging="216"/>
      </w:pPr>
      <w:rPr>
        <w:rFonts w:hint="default"/>
      </w:rPr>
    </w:lvl>
    <w:lvl w:ilvl="5">
      <w:start w:val="1"/>
      <w:numFmt w:val="bullet"/>
      <w:lvlText w:val="•"/>
      <w:lvlJc w:val="left"/>
      <w:pPr>
        <w:ind w:left="4026" w:hanging="216"/>
      </w:pPr>
      <w:rPr>
        <w:rFonts w:hint="default"/>
      </w:rPr>
    </w:lvl>
    <w:lvl w:ilvl="6">
      <w:start w:val="1"/>
      <w:numFmt w:val="bullet"/>
      <w:lvlText w:val="•"/>
      <w:lvlJc w:val="left"/>
      <w:pPr>
        <w:ind w:left="5137" w:hanging="216"/>
      </w:pPr>
      <w:rPr>
        <w:rFonts w:hint="default"/>
      </w:rPr>
    </w:lvl>
    <w:lvl w:ilvl="7">
      <w:start w:val="1"/>
      <w:numFmt w:val="bullet"/>
      <w:lvlText w:val="•"/>
      <w:lvlJc w:val="left"/>
      <w:pPr>
        <w:ind w:left="6248" w:hanging="216"/>
      </w:pPr>
      <w:rPr>
        <w:rFonts w:hint="default"/>
      </w:rPr>
    </w:lvl>
    <w:lvl w:ilvl="8">
      <w:start w:val="1"/>
      <w:numFmt w:val="bullet"/>
      <w:lvlText w:val="•"/>
      <w:lvlJc w:val="left"/>
      <w:pPr>
        <w:ind w:left="7358" w:hanging="216"/>
      </w:pPr>
      <w:rPr>
        <w:rFonts w:hint="default"/>
      </w:rPr>
    </w:lvl>
  </w:abstractNum>
  <w:abstractNum w:abstractNumId="13" w15:restartNumberingAfterBreak="0">
    <w:nsid w:val="4DA75515"/>
    <w:multiLevelType w:val="multilevel"/>
    <w:tmpl w:val="68F891EC"/>
    <w:lvl w:ilvl="0">
      <w:start w:val="3"/>
      <w:numFmt w:val="decimal"/>
      <w:lvlText w:val="%1"/>
      <w:lvlJc w:val="left"/>
      <w:pPr>
        <w:ind w:left="402" w:hanging="284"/>
      </w:pPr>
      <w:rPr>
        <w:rFonts w:ascii="Calibri" w:eastAsia="Calibri" w:hAnsi="Calibri" w:hint="default"/>
        <w:b/>
        <w:bCs/>
        <w:w w:val="99"/>
        <w:sz w:val="32"/>
        <w:szCs w:val="32"/>
      </w:rPr>
    </w:lvl>
    <w:lvl w:ilvl="1">
      <w:start w:val="1"/>
      <w:numFmt w:val="decimal"/>
      <w:lvlText w:val="%1.%2"/>
      <w:lvlJc w:val="left"/>
      <w:pPr>
        <w:ind w:left="694" w:hanging="576"/>
      </w:pPr>
      <w:rPr>
        <w:rFonts w:ascii="Calibri" w:eastAsia="Calibri" w:hAnsi="Calibri" w:hint="default"/>
        <w:b/>
        <w:bCs/>
        <w:spacing w:val="-1"/>
        <w:sz w:val="28"/>
        <w:szCs w:val="28"/>
      </w:rPr>
    </w:lvl>
    <w:lvl w:ilvl="2">
      <w:start w:val="1"/>
      <w:numFmt w:val="bullet"/>
      <w:lvlText w:val=""/>
      <w:lvlJc w:val="left"/>
      <w:pPr>
        <w:ind w:left="546" w:hanging="216"/>
      </w:pPr>
      <w:rPr>
        <w:rFonts w:ascii="Symbol" w:eastAsia="Symbol" w:hAnsi="Symbol" w:hint="default"/>
        <w:sz w:val="24"/>
        <w:szCs w:val="24"/>
      </w:rPr>
    </w:lvl>
    <w:lvl w:ilvl="3">
      <w:start w:val="1"/>
      <w:numFmt w:val="bullet"/>
      <w:lvlText w:val="•"/>
      <w:lvlJc w:val="left"/>
      <w:pPr>
        <w:ind w:left="1805" w:hanging="216"/>
      </w:pPr>
      <w:rPr>
        <w:rFonts w:hint="default"/>
      </w:rPr>
    </w:lvl>
    <w:lvl w:ilvl="4">
      <w:start w:val="1"/>
      <w:numFmt w:val="bullet"/>
      <w:lvlText w:val="•"/>
      <w:lvlJc w:val="left"/>
      <w:pPr>
        <w:ind w:left="2916" w:hanging="216"/>
      </w:pPr>
      <w:rPr>
        <w:rFonts w:hint="default"/>
      </w:rPr>
    </w:lvl>
    <w:lvl w:ilvl="5">
      <w:start w:val="1"/>
      <w:numFmt w:val="bullet"/>
      <w:lvlText w:val="•"/>
      <w:lvlJc w:val="left"/>
      <w:pPr>
        <w:ind w:left="4026" w:hanging="216"/>
      </w:pPr>
      <w:rPr>
        <w:rFonts w:hint="default"/>
      </w:rPr>
    </w:lvl>
    <w:lvl w:ilvl="6">
      <w:start w:val="1"/>
      <w:numFmt w:val="bullet"/>
      <w:lvlText w:val="•"/>
      <w:lvlJc w:val="left"/>
      <w:pPr>
        <w:ind w:left="5137" w:hanging="216"/>
      </w:pPr>
      <w:rPr>
        <w:rFonts w:hint="default"/>
      </w:rPr>
    </w:lvl>
    <w:lvl w:ilvl="7">
      <w:start w:val="1"/>
      <w:numFmt w:val="bullet"/>
      <w:lvlText w:val="•"/>
      <w:lvlJc w:val="left"/>
      <w:pPr>
        <w:ind w:left="6248" w:hanging="216"/>
      </w:pPr>
      <w:rPr>
        <w:rFonts w:hint="default"/>
      </w:rPr>
    </w:lvl>
    <w:lvl w:ilvl="8">
      <w:start w:val="1"/>
      <w:numFmt w:val="bullet"/>
      <w:lvlText w:val="•"/>
      <w:lvlJc w:val="left"/>
      <w:pPr>
        <w:ind w:left="7358" w:hanging="216"/>
      </w:pPr>
      <w:rPr>
        <w:rFonts w:hint="default"/>
      </w:rPr>
    </w:lvl>
  </w:abstractNum>
  <w:abstractNum w:abstractNumId="14" w15:restartNumberingAfterBreak="0">
    <w:nsid w:val="521071DA"/>
    <w:multiLevelType w:val="hybridMultilevel"/>
    <w:tmpl w:val="187247CE"/>
    <w:lvl w:ilvl="0" w:tplc="F998EDDE">
      <w:start w:val="1"/>
      <w:numFmt w:val="bullet"/>
      <w:lvlText w:val=""/>
      <w:lvlJc w:val="left"/>
      <w:pPr>
        <w:ind w:left="478" w:hanging="284"/>
      </w:pPr>
      <w:rPr>
        <w:rFonts w:ascii="Symbol" w:eastAsia="Symbol" w:hAnsi="Symbol" w:hint="default"/>
        <w:sz w:val="24"/>
        <w:szCs w:val="24"/>
      </w:rPr>
    </w:lvl>
    <w:lvl w:ilvl="1" w:tplc="1D1068C0">
      <w:start w:val="1"/>
      <w:numFmt w:val="bullet"/>
      <w:lvlText w:val=""/>
      <w:lvlJc w:val="left"/>
      <w:pPr>
        <w:ind w:left="546" w:hanging="360"/>
      </w:pPr>
      <w:rPr>
        <w:rFonts w:ascii="Symbol" w:eastAsia="Symbol" w:hAnsi="Symbol" w:hint="default"/>
        <w:sz w:val="24"/>
        <w:szCs w:val="24"/>
      </w:rPr>
    </w:lvl>
    <w:lvl w:ilvl="2" w:tplc="FCE0DAB2">
      <w:start w:val="1"/>
      <w:numFmt w:val="bullet"/>
      <w:lvlText w:val="•"/>
      <w:lvlJc w:val="left"/>
      <w:pPr>
        <w:ind w:left="1549" w:hanging="360"/>
      </w:pPr>
      <w:rPr>
        <w:rFonts w:hint="default"/>
      </w:rPr>
    </w:lvl>
    <w:lvl w:ilvl="3" w:tplc="80A47C44">
      <w:start w:val="1"/>
      <w:numFmt w:val="bullet"/>
      <w:lvlText w:val="•"/>
      <w:lvlJc w:val="left"/>
      <w:pPr>
        <w:ind w:left="2553" w:hanging="360"/>
      </w:pPr>
      <w:rPr>
        <w:rFonts w:hint="default"/>
      </w:rPr>
    </w:lvl>
    <w:lvl w:ilvl="4" w:tplc="E0A48F1E">
      <w:start w:val="1"/>
      <w:numFmt w:val="bullet"/>
      <w:lvlText w:val="•"/>
      <w:lvlJc w:val="left"/>
      <w:pPr>
        <w:ind w:left="3557" w:hanging="360"/>
      </w:pPr>
      <w:rPr>
        <w:rFonts w:hint="default"/>
      </w:rPr>
    </w:lvl>
    <w:lvl w:ilvl="5" w:tplc="031E17F6">
      <w:start w:val="1"/>
      <w:numFmt w:val="bullet"/>
      <w:lvlText w:val="•"/>
      <w:lvlJc w:val="left"/>
      <w:pPr>
        <w:ind w:left="4561" w:hanging="360"/>
      </w:pPr>
      <w:rPr>
        <w:rFonts w:hint="default"/>
      </w:rPr>
    </w:lvl>
    <w:lvl w:ilvl="6" w:tplc="B142BDFC">
      <w:start w:val="1"/>
      <w:numFmt w:val="bullet"/>
      <w:lvlText w:val="•"/>
      <w:lvlJc w:val="left"/>
      <w:pPr>
        <w:ind w:left="5564" w:hanging="360"/>
      </w:pPr>
      <w:rPr>
        <w:rFonts w:hint="default"/>
      </w:rPr>
    </w:lvl>
    <w:lvl w:ilvl="7" w:tplc="FC4EEA36">
      <w:start w:val="1"/>
      <w:numFmt w:val="bullet"/>
      <w:lvlText w:val="•"/>
      <w:lvlJc w:val="left"/>
      <w:pPr>
        <w:ind w:left="6568" w:hanging="360"/>
      </w:pPr>
      <w:rPr>
        <w:rFonts w:hint="default"/>
      </w:rPr>
    </w:lvl>
    <w:lvl w:ilvl="8" w:tplc="D7965768">
      <w:start w:val="1"/>
      <w:numFmt w:val="bullet"/>
      <w:lvlText w:val="•"/>
      <w:lvlJc w:val="left"/>
      <w:pPr>
        <w:ind w:left="7572" w:hanging="360"/>
      </w:pPr>
      <w:rPr>
        <w:rFonts w:hint="default"/>
      </w:rPr>
    </w:lvl>
  </w:abstractNum>
  <w:abstractNum w:abstractNumId="15" w15:restartNumberingAfterBreak="0">
    <w:nsid w:val="6DA17E08"/>
    <w:multiLevelType w:val="hybridMultilevel"/>
    <w:tmpl w:val="AEEAC1A8"/>
    <w:lvl w:ilvl="0" w:tplc="C30677A0">
      <w:start w:val="1"/>
      <w:numFmt w:val="decimal"/>
      <w:lvlText w:val="%1."/>
      <w:lvlJc w:val="left"/>
      <w:pPr>
        <w:ind w:left="402" w:hanging="284"/>
      </w:pPr>
      <w:rPr>
        <w:rFonts w:ascii="Calibri" w:eastAsia="Calibri" w:hAnsi="Calibri" w:hint="default"/>
        <w:position w:val="2"/>
        <w:sz w:val="24"/>
        <w:szCs w:val="24"/>
      </w:rPr>
    </w:lvl>
    <w:lvl w:ilvl="1" w:tplc="A7BC64EE">
      <w:start w:val="1"/>
      <w:numFmt w:val="bullet"/>
      <w:lvlText w:val="•"/>
      <w:lvlJc w:val="left"/>
      <w:pPr>
        <w:ind w:left="1319" w:hanging="284"/>
      </w:pPr>
      <w:rPr>
        <w:rFonts w:hint="default"/>
      </w:rPr>
    </w:lvl>
    <w:lvl w:ilvl="2" w:tplc="691CF712">
      <w:start w:val="1"/>
      <w:numFmt w:val="bullet"/>
      <w:lvlText w:val="•"/>
      <w:lvlJc w:val="left"/>
      <w:pPr>
        <w:ind w:left="2237" w:hanging="284"/>
      </w:pPr>
      <w:rPr>
        <w:rFonts w:hint="default"/>
      </w:rPr>
    </w:lvl>
    <w:lvl w:ilvl="3" w:tplc="2EC0EF98">
      <w:start w:val="1"/>
      <w:numFmt w:val="bullet"/>
      <w:lvlText w:val="•"/>
      <w:lvlJc w:val="left"/>
      <w:pPr>
        <w:ind w:left="3155" w:hanging="284"/>
      </w:pPr>
      <w:rPr>
        <w:rFonts w:hint="default"/>
      </w:rPr>
    </w:lvl>
    <w:lvl w:ilvl="4" w:tplc="456824D6">
      <w:start w:val="1"/>
      <w:numFmt w:val="bullet"/>
      <w:lvlText w:val="•"/>
      <w:lvlJc w:val="left"/>
      <w:pPr>
        <w:ind w:left="4073" w:hanging="284"/>
      </w:pPr>
      <w:rPr>
        <w:rFonts w:hint="default"/>
      </w:rPr>
    </w:lvl>
    <w:lvl w:ilvl="5" w:tplc="8C0400E2">
      <w:start w:val="1"/>
      <w:numFmt w:val="bullet"/>
      <w:lvlText w:val="•"/>
      <w:lvlJc w:val="left"/>
      <w:pPr>
        <w:ind w:left="4991" w:hanging="284"/>
      </w:pPr>
      <w:rPr>
        <w:rFonts w:hint="default"/>
      </w:rPr>
    </w:lvl>
    <w:lvl w:ilvl="6" w:tplc="53F8B5CC">
      <w:start w:val="1"/>
      <w:numFmt w:val="bullet"/>
      <w:lvlText w:val="•"/>
      <w:lvlJc w:val="left"/>
      <w:pPr>
        <w:ind w:left="5908" w:hanging="284"/>
      </w:pPr>
      <w:rPr>
        <w:rFonts w:hint="default"/>
      </w:rPr>
    </w:lvl>
    <w:lvl w:ilvl="7" w:tplc="F1FA98F6">
      <w:start w:val="1"/>
      <w:numFmt w:val="bullet"/>
      <w:lvlText w:val="•"/>
      <w:lvlJc w:val="left"/>
      <w:pPr>
        <w:ind w:left="6826" w:hanging="284"/>
      </w:pPr>
      <w:rPr>
        <w:rFonts w:hint="default"/>
      </w:rPr>
    </w:lvl>
    <w:lvl w:ilvl="8" w:tplc="B058C808">
      <w:start w:val="1"/>
      <w:numFmt w:val="bullet"/>
      <w:lvlText w:val="•"/>
      <w:lvlJc w:val="left"/>
      <w:pPr>
        <w:ind w:left="7744" w:hanging="284"/>
      </w:pPr>
      <w:rPr>
        <w:rFonts w:hint="default"/>
      </w:rPr>
    </w:lvl>
  </w:abstractNum>
  <w:abstractNum w:abstractNumId="16" w15:restartNumberingAfterBreak="0">
    <w:nsid w:val="7CCE302F"/>
    <w:multiLevelType w:val="hybridMultilevel"/>
    <w:tmpl w:val="53FEC4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F45520E"/>
    <w:multiLevelType w:val="hybridMultilevel"/>
    <w:tmpl w:val="4DA2C31E"/>
    <w:lvl w:ilvl="0" w:tplc="07A6A548">
      <w:start w:val="1"/>
      <w:numFmt w:val="bullet"/>
      <w:lvlText w:val=""/>
      <w:lvlJc w:val="left"/>
      <w:pPr>
        <w:ind w:left="2845" w:hanging="219"/>
      </w:pPr>
      <w:rPr>
        <w:rFonts w:ascii="Symbol" w:eastAsia="Symbol" w:hAnsi="Symbol" w:hint="default"/>
        <w:sz w:val="18"/>
        <w:szCs w:val="18"/>
      </w:rPr>
    </w:lvl>
    <w:lvl w:ilvl="1" w:tplc="4D24E6D0">
      <w:start w:val="1"/>
      <w:numFmt w:val="bullet"/>
      <w:lvlText w:val="•"/>
      <w:lvlJc w:val="left"/>
      <w:pPr>
        <w:ind w:left="3177" w:hanging="219"/>
      </w:pPr>
      <w:rPr>
        <w:rFonts w:hint="default"/>
      </w:rPr>
    </w:lvl>
    <w:lvl w:ilvl="2" w:tplc="41FCAC66">
      <w:start w:val="1"/>
      <w:numFmt w:val="bullet"/>
      <w:lvlText w:val="•"/>
      <w:lvlJc w:val="left"/>
      <w:pPr>
        <w:ind w:left="3509" w:hanging="219"/>
      </w:pPr>
      <w:rPr>
        <w:rFonts w:hint="default"/>
      </w:rPr>
    </w:lvl>
    <w:lvl w:ilvl="3" w:tplc="3962EAA2">
      <w:start w:val="1"/>
      <w:numFmt w:val="bullet"/>
      <w:lvlText w:val="•"/>
      <w:lvlJc w:val="left"/>
      <w:pPr>
        <w:ind w:left="3841" w:hanging="219"/>
      </w:pPr>
      <w:rPr>
        <w:rFonts w:hint="default"/>
      </w:rPr>
    </w:lvl>
    <w:lvl w:ilvl="4" w:tplc="0FB85E54">
      <w:start w:val="1"/>
      <w:numFmt w:val="bullet"/>
      <w:lvlText w:val="•"/>
      <w:lvlJc w:val="left"/>
      <w:pPr>
        <w:ind w:left="4173" w:hanging="219"/>
      </w:pPr>
      <w:rPr>
        <w:rFonts w:hint="default"/>
      </w:rPr>
    </w:lvl>
    <w:lvl w:ilvl="5" w:tplc="1A9AC454">
      <w:start w:val="1"/>
      <w:numFmt w:val="bullet"/>
      <w:lvlText w:val="•"/>
      <w:lvlJc w:val="left"/>
      <w:pPr>
        <w:ind w:left="4505" w:hanging="219"/>
      </w:pPr>
      <w:rPr>
        <w:rFonts w:hint="default"/>
      </w:rPr>
    </w:lvl>
    <w:lvl w:ilvl="6" w:tplc="463CDACC">
      <w:start w:val="1"/>
      <w:numFmt w:val="bullet"/>
      <w:lvlText w:val="•"/>
      <w:lvlJc w:val="left"/>
      <w:pPr>
        <w:ind w:left="4837" w:hanging="219"/>
      </w:pPr>
      <w:rPr>
        <w:rFonts w:hint="default"/>
      </w:rPr>
    </w:lvl>
    <w:lvl w:ilvl="7" w:tplc="3C76E68E">
      <w:start w:val="1"/>
      <w:numFmt w:val="bullet"/>
      <w:lvlText w:val="•"/>
      <w:lvlJc w:val="left"/>
      <w:pPr>
        <w:ind w:left="5169" w:hanging="219"/>
      </w:pPr>
      <w:rPr>
        <w:rFonts w:hint="default"/>
      </w:rPr>
    </w:lvl>
    <w:lvl w:ilvl="8" w:tplc="85DE063E">
      <w:start w:val="1"/>
      <w:numFmt w:val="bullet"/>
      <w:lvlText w:val="•"/>
      <w:lvlJc w:val="left"/>
      <w:pPr>
        <w:ind w:left="5501" w:hanging="219"/>
      </w:pPr>
      <w:rPr>
        <w:rFonts w:hint="default"/>
      </w:rPr>
    </w:lvl>
  </w:abstractNum>
  <w:num w:numId="1">
    <w:abstractNumId w:val="17"/>
  </w:num>
  <w:num w:numId="2">
    <w:abstractNumId w:val="15"/>
  </w:num>
  <w:num w:numId="3">
    <w:abstractNumId w:val="8"/>
  </w:num>
  <w:num w:numId="4">
    <w:abstractNumId w:val="5"/>
  </w:num>
  <w:num w:numId="5">
    <w:abstractNumId w:val="3"/>
  </w:num>
  <w:num w:numId="6">
    <w:abstractNumId w:val="7"/>
  </w:num>
  <w:num w:numId="7">
    <w:abstractNumId w:val="10"/>
  </w:num>
  <w:num w:numId="8">
    <w:abstractNumId w:val="14"/>
  </w:num>
  <w:num w:numId="9">
    <w:abstractNumId w:val="13"/>
  </w:num>
  <w:num w:numId="10">
    <w:abstractNumId w:val="4"/>
  </w:num>
  <w:num w:numId="11">
    <w:abstractNumId w:val="1"/>
  </w:num>
  <w:num w:numId="12">
    <w:abstractNumId w:val="2"/>
  </w:num>
  <w:num w:numId="13">
    <w:abstractNumId w:val="12"/>
  </w:num>
  <w:num w:numId="14">
    <w:abstractNumId w:val="9"/>
  </w:num>
  <w:num w:numId="15">
    <w:abstractNumId w:val="16"/>
  </w:num>
  <w:num w:numId="16">
    <w:abstractNumId w:val="6"/>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D4F44"/>
    <w:rsid w:val="00023AF7"/>
    <w:rsid w:val="000A4F0F"/>
    <w:rsid w:val="00135592"/>
    <w:rsid w:val="001C62E2"/>
    <w:rsid w:val="001E6CF9"/>
    <w:rsid w:val="00257BD6"/>
    <w:rsid w:val="002D1611"/>
    <w:rsid w:val="003121BE"/>
    <w:rsid w:val="00335CDF"/>
    <w:rsid w:val="003E66A3"/>
    <w:rsid w:val="00455471"/>
    <w:rsid w:val="007F54C4"/>
    <w:rsid w:val="008826B9"/>
    <w:rsid w:val="008A3D27"/>
    <w:rsid w:val="008C68EA"/>
    <w:rsid w:val="008F23E1"/>
    <w:rsid w:val="00900881"/>
    <w:rsid w:val="00981D11"/>
    <w:rsid w:val="009D4F44"/>
    <w:rsid w:val="00A03DB9"/>
    <w:rsid w:val="00B823C5"/>
    <w:rsid w:val="00C22746"/>
    <w:rsid w:val="00C559FF"/>
    <w:rsid w:val="00C703A6"/>
    <w:rsid w:val="00C81765"/>
    <w:rsid w:val="00CC65DE"/>
    <w:rsid w:val="00D33668"/>
    <w:rsid w:val="00D52372"/>
    <w:rsid w:val="00D731BA"/>
    <w:rsid w:val="00D73EE7"/>
    <w:rsid w:val="00DE30DA"/>
    <w:rsid w:val="00EA1F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EF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20"/>
      <w:ind w:left="402" w:hanging="284"/>
      <w:outlineLvl w:val="0"/>
    </w:pPr>
    <w:rPr>
      <w:rFonts w:ascii="Calibri" w:eastAsia="Calibri" w:hAnsi="Calibri"/>
      <w:b/>
      <w:bCs/>
      <w:sz w:val="32"/>
      <w:szCs w:val="32"/>
    </w:rPr>
  </w:style>
  <w:style w:type="paragraph" w:styleId="Heading2">
    <w:name w:val="heading 2"/>
    <w:basedOn w:val="Normal"/>
    <w:uiPriority w:val="9"/>
    <w:unhideWhenUsed/>
    <w:qFormat/>
    <w:pPr>
      <w:ind w:left="694" w:hanging="576"/>
      <w:outlineLvl w:val="1"/>
    </w:pPr>
    <w:rPr>
      <w:rFonts w:ascii="Calibri" w:eastAsia="Calibri" w:hAnsi="Calibri"/>
      <w:b/>
      <w:bCs/>
      <w:sz w:val="28"/>
      <w:szCs w:val="28"/>
    </w:rPr>
  </w:style>
  <w:style w:type="paragraph" w:styleId="Heading3">
    <w:name w:val="heading 3"/>
    <w:basedOn w:val="Normal"/>
    <w:uiPriority w:val="9"/>
    <w:unhideWhenUsed/>
    <w:qFormat/>
    <w:pPr>
      <w:ind w:left="838" w:hanging="720"/>
      <w:outlineLvl w:val="2"/>
    </w:pPr>
    <w:rPr>
      <w:rFonts w:ascii="Calibri" w:eastAsia="Calibri" w:hAnsi="Calibri"/>
      <w:b/>
      <w:bCs/>
      <w:sz w:val="24"/>
      <w:szCs w:val="24"/>
    </w:rPr>
  </w:style>
  <w:style w:type="paragraph" w:styleId="Heading4">
    <w:name w:val="heading 4"/>
    <w:basedOn w:val="Normal"/>
    <w:uiPriority w:val="9"/>
    <w:unhideWhenUsed/>
    <w:qFormat/>
    <w:pPr>
      <w:ind w:left="118"/>
      <w:outlineLvl w:val="3"/>
    </w:pPr>
    <w:rPr>
      <w:rFonts w:ascii="Calibri" w:eastAsia="Calibri" w:hAnsi="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ind w:left="402" w:hanging="284"/>
    </w:pPr>
    <w:rPr>
      <w:rFonts w:ascii="Calibri" w:eastAsia="Calibri" w:hAnsi="Calibri"/>
      <w:sz w:val="24"/>
      <w:szCs w:val="24"/>
    </w:rPr>
  </w:style>
  <w:style w:type="paragraph" w:styleId="TOC2">
    <w:name w:val="toc 2"/>
    <w:basedOn w:val="Normal"/>
    <w:uiPriority w:val="39"/>
    <w:qFormat/>
    <w:pPr>
      <w:ind w:left="999" w:hanging="641"/>
    </w:pPr>
    <w:rPr>
      <w:rFonts w:ascii="Calibri" w:eastAsia="Calibri" w:hAnsi="Calibri"/>
      <w:sz w:val="24"/>
      <w:szCs w:val="24"/>
    </w:rPr>
  </w:style>
  <w:style w:type="paragraph" w:styleId="TOC3">
    <w:name w:val="toc 3"/>
    <w:basedOn w:val="Normal"/>
    <w:uiPriority w:val="39"/>
    <w:qFormat/>
    <w:pPr>
      <w:ind w:left="1438" w:hanging="840"/>
    </w:pPr>
    <w:rPr>
      <w:rFonts w:ascii="Calibri" w:eastAsia="Calibri" w:hAnsi="Calibri"/>
      <w:sz w:val="24"/>
      <w:szCs w:val="24"/>
    </w:rPr>
  </w:style>
  <w:style w:type="paragraph" w:styleId="BodyText">
    <w:name w:val="Body Text"/>
    <w:basedOn w:val="Normal"/>
    <w:uiPriority w:val="1"/>
    <w:qFormat/>
    <w:pPr>
      <w:ind w:left="118"/>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35CDF"/>
    <w:pPr>
      <w:tabs>
        <w:tab w:val="center" w:pos="4153"/>
        <w:tab w:val="right" w:pos="8306"/>
      </w:tabs>
    </w:pPr>
  </w:style>
  <w:style w:type="character" w:customStyle="1" w:styleId="HeaderChar">
    <w:name w:val="Header Char"/>
    <w:basedOn w:val="DefaultParagraphFont"/>
    <w:link w:val="Header"/>
    <w:uiPriority w:val="99"/>
    <w:rsid w:val="00335CDF"/>
  </w:style>
  <w:style w:type="paragraph" w:styleId="Footer">
    <w:name w:val="footer"/>
    <w:basedOn w:val="Normal"/>
    <w:link w:val="FooterChar"/>
    <w:unhideWhenUsed/>
    <w:rsid w:val="00335CDF"/>
    <w:pPr>
      <w:tabs>
        <w:tab w:val="center" w:pos="4153"/>
        <w:tab w:val="right" w:pos="8306"/>
      </w:tabs>
    </w:pPr>
  </w:style>
  <w:style w:type="character" w:customStyle="1" w:styleId="FooterChar">
    <w:name w:val="Footer Char"/>
    <w:basedOn w:val="DefaultParagraphFont"/>
    <w:link w:val="Footer"/>
    <w:uiPriority w:val="99"/>
    <w:rsid w:val="00335CDF"/>
  </w:style>
  <w:style w:type="table" w:styleId="TableGrid">
    <w:name w:val="Table Grid"/>
    <w:basedOn w:val="TableNormal"/>
    <w:uiPriority w:val="39"/>
    <w:rsid w:val="00C8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3D27"/>
    <w:rPr>
      <w:sz w:val="20"/>
      <w:szCs w:val="20"/>
    </w:rPr>
  </w:style>
  <w:style w:type="character" w:customStyle="1" w:styleId="FootnoteTextChar">
    <w:name w:val="Footnote Text Char"/>
    <w:basedOn w:val="DefaultParagraphFont"/>
    <w:link w:val="FootnoteText"/>
    <w:uiPriority w:val="99"/>
    <w:semiHidden/>
    <w:rsid w:val="008A3D27"/>
    <w:rPr>
      <w:sz w:val="20"/>
      <w:szCs w:val="20"/>
    </w:rPr>
  </w:style>
  <w:style w:type="character" w:styleId="FootnoteReference">
    <w:name w:val="footnote reference"/>
    <w:basedOn w:val="DefaultParagraphFont"/>
    <w:uiPriority w:val="99"/>
    <w:semiHidden/>
    <w:unhideWhenUsed/>
    <w:rsid w:val="008A3D27"/>
    <w:rPr>
      <w:vertAlign w:val="superscript"/>
    </w:rPr>
  </w:style>
  <w:style w:type="paragraph" w:styleId="BalloonText">
    <w:name w:val="Balloon Text"/>
    <w:basedOn w:val="Normal"/>
    <w:link w:val="BalloonTextChar"/>
    <w:uiPriority w:val="99"/>
    <w:semiHidden/>
    <w:unhideWhenUsed/>
    <w:rsid w:val="00900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881"/>
    <w:rPr>
      <w:rFonts w:ascii="Segoe UI" w:hAnsi="Segoe UI" w:cs="Segoe UI"/>
      <w:sz w:val="18"/>
      <w:szCs w:val="18"/>
    </w:rPr>
  </w:style>
  <w:style w:type="character" w:styleId="PageNumber">
    <w:name w:val="page number"/>
    <w:basedOn w:val="DefaultParagraphFont"/>
    <w:semiHidden/>
    <w:rsid w:val="00900881"/>
  </w:style>
  <w:style w:type="paragraph" w:styleId="TOCHeading">
    <w:name w:val="TOC Heading"/>
    <w:basedOn w:val="Heading1"/>
    <w:next w:val="Normal"/>
    <w:uiPriority w:val="39"/>
    <w:unhideWhenUsed/>
    <w:qFormat/>
    <w:rsid w:val="0090088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lang w:val="en-US"/>
    </w:rPr>
  </w:style>
  <w:style w:type="character" w:styleId="Hyperlink">
    <w:name w:val="Hyperlink"/>
    <w:basedOn w:val="DefaultParagraphFont"/>
    <w:uiPriority w:val="99"/>
    <w:unhideWhenUsed/>
    <w:rsid w:val="009008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A257F-63CF-496F-9023-5826C8F2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46111</Words>
  <Characters>26284</Characters>
  <Application>Microsoft Office Word</Application>
  <DocSecurity>0</DocSecurity>
  <Lines>219</Lines>
  <Paragraphs>144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2019-10-16T13:04:00Z</dcterms:created>
  <dcterms:modified xsi:type="dcterms:W3CDTF">2020-01-28T11:07:00Z</dcterms:modified>
</cp:coreProperties>
</file>