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3B" w:rsidRPr="006E6397" w:rsidRDefault="00E83A3B" w:rsidP="006E6397">
      <w:pPr>
        <w:jc w:val="both"/>
        <w:rPr>
          <w:rFonts w:ascii="Times New Roman" w:hAnsi="Times New Roman"/>
          <w:noProof/>
          <w:color w:val="005498"/>
          <w:sz w:val="20"/>
          <w:szCs w:val="20"/>
        </w:rPr>
      </w:pPr>
      <w:bookmarkStart w:id="0" w:name="_GoBack"/>
      <w:bookmarkEnd w:id="0"/>
      <w:r w:rsidRPr="006E6397">
        <w:rPr>
          <w:rFonts w:ascii="Times New Roman" w:hAnsi="Times New Roman"/>
          <w:noProof/>
          <w:color w:val="005498"/>
          <w:sz w:val="20"/>
          <w:szCs w:val="20"/>
        </w:rPr>
        <w:t>2015. GADA NOVEMBRIS</w:t>
      </w:r>
    </w:p>
    <w:p w:rsidR="006E6397" w:rsidRDefault="006E6397" w:rsidP="006E6397">
      <w:pPr>
        <w:jc w:val="both"/>
        <w:rPr>
          <w:rFonts w:ascii="Times New Roman" w:hAnsi="Times New Roman"/>
          <w:b/>
          <w:noProof/>
          <w:color w:val="005498"/>
          <w:sz w:val="24"/>
        </w:rPr>
      </w:pPr>
    </w:p>
    <w:p w:rsidR="00E83A3B" w:rsidRPr="006E6397" w:rsidRDefault="00E83A3B" w:rsidP="006E6397">
      <w:pPr>
        <w:jc w:val="center"/>
        <w:rPr>
          <w:rFonts w:ascii="Times New Roman" w:hAnsi="Times New Roman"/>
          <w:b/>
          <w:noProof/>
          <w:color w:val="005498"/>
          <w:sz w:val="24"/>
        </w:rPr>
      </w:pPr>
      <w:r w:rsidRPr="006E6397">
        <w:rPr>
          <w:rFonts w:ascii="Times New Roman" w:hAnsi="Times New Roman"/>
          <w:b/>
          <w:noProof/>
          <w:color w:val="005498"/>
          <w:sz w:val="24"/>
        </w:rPr>
        <w:t>EIROPAS DARBA KĀRTĪBA KULTŪRAI</w:t>
      </w:r>
    </w:p>
    <w:p w:rsidR="00E83A3B" w:rsidRPr="006E6397" w:rsidRDefault="00E83A3B" w:rsidP="006E6397">
      <w:pPr>
        <w:jc w:val="center"/>
        <w:rPr>
          <w:rFonts w:ascii="Times New Roman" w:hAnsi="Times New Roman"/>
          <w:noProof/>
          <w:color w:val="005498"/>
          <w:sz w:val="24"/>
        </w:rPr>
      </w:pPr>
      <w:r w:rsidRPr="006E6397">
        <w:rPr>
          <w:rFonts w:ascii="Times New Roman" w:hAnsi="Times New Roman"/>
          <w:noProof/>
          <w:color w:val="005498"/>
          <w:sz w:val="24"/>
        </w:rPr>
        <w:t>2015.–2018. GADA KULTŪRAS DARBA PLĀNS</w:t>
      </w:r>
    </w:p>
    <w:p w:rsidR="00E83A3B" w:rsidRPr="006E6397" w:rsidRDefault="00E83A3B" w:rsidP="006E6397">
      <w:pPr>
        <w:jc w:val="both"/>
        <w:rPr>
          <w:rFonts w:ascii="Times New Roman" w:eastAsia="Helvetica" w:hAnsi="Times New Roman" w:cs="Helvetica"/>
          <w:noProof/>
          <w:sz w:val="24"/>
          <w:szCs w:val="26"/>
        </w:rPr>
      </w:pPr>
    </w:p>
    <w:p w:rsidR="00E83A3B" w:rsidRDefault="00E83A3B" w:rsidP="006E6397">
      <w:pPr>
        <w:pStyle w:val="Heading1"/>
        <w:ind w:left="0" w:firstLine="0"/>
        <w:jc w:val="center"/>
        <w:rPr>
          <w:rFonts w:ascii="Times New Roman" w:hAnsi="Times New Roman"/>
          <w:noProof/>
          <w:color w:val="007A94"/>
          <w:sz w:val="24"/>
        </w:rPr>
      </w:pPr>
      <w:r w:rsidRPr="006E6397">
        <w:rPr>
          <w:rFonts w:ascii="Times New Roman" w:hAnsi="Times New Roman"/>
          <w:noProof/>
          <w:color w:val="007A94"/>
          <w:sz w:val="24"/>
        </w:rPr>
        <w:t>KOPSAVILKUMS</w:t>
      </w:r>
    </w:p>
    <w:p w:rsidR="006E6397" w:rsidRPr="006E6397" w:rsidRDefault="006E6397" w:rsidP="006E6397">
      <w:pPr>
        <w:pStyle w:val="Heading1"/>
        <w:ind w:left="0" w:firstLine="0"/>
        <w:jc w:val="both"/>
        <w:rPr>
          <w:rFonts w:ascii="Times New Roman" w:hAnsi="Times New Roman"/>
          <w:noProof/>
          <w:color w:val="007A94"/>
          <w:sz w:val="24"/>
        </w:rPr>
      </w:pPr>
    </w:p>
    <w:p w:rsidR="00E83A3B" w:rsidRPr="006E6397" w:rsidRDefault="00E83A3B" w:rsidP="006E6397">
      <w:pPr>
        <w:jc w:val="center"/>
        <w:rPr>
          <w:rFonts w:ascii="Times New Roman" w:hAnsi="Times New Roman"/>
          <w:noProof/>
          <w:color w:val="007A94"/>
          <w:sz w:val="28"/>
          <w:szCs w:val="28"/>
        </w:rPr>
      </w:pPr>
      <w:r w:rsidRPr="006E6397">
        <w:rPr>
          <w:rFonts w:ascii="Times New Roman" w:hAnsi="Times New Roman"/>
          <w:noProof/>
          <w:color w:val="007A94"/>
          <w:sz w:val="28"/>
          <w:szCs w:val="28"/>
        </w:rPr>
        <w:t>LABĀS PRAKSES ZIŅOJUMS</w:t>
      </w:r>
    </w:p>
    <w:p w:rsidR="00E83A3B" w:rsidRPr="006E6397" w:rsidRDefault="00E83A3B" w:rsidP="006E6397">
      <w:pPr>
        <w:pStyle w:val="Heading1"/>
        <w:ind w:left="0" w:hanging="1"/>
        <w:jc w:val="center"/>
        <w:rPr>
          <w:rFonts w:ascii="Times New Roman" w:hAnsi="Times New Roman"/>
          <w:noProof/>
          <w:color w:val="DD4943"/>
          <w:sz w:val="28"/>
          <w:szCs w:val="28"/>
        </w:rPr>
      </w:pPr>
      <w:r w:rsidRPr="006E6397">
        <w:rPr>
          <w:rFonts w:ascii="Times New Roman" w:hAnsi="Times New Roman"/>
          <w:noProof/>
          <w:color w:val="DD4943"/>
          <w:sz w:val="28"/>
          <w:szCs w:val="28"/>
        </w:rPr>
        <w:t>CEĻĀ UZ EFEKTĪVĀKU FINANŠU EKOSISTĒMU – INOVATĪVI INSTRUMENTI, LAI SEKMĒTU KULTŪRAS UN RADOŠO NOZARU (KRN) PIEKĻUVI FINANSĒJUMAM</w:t>
      </w:r>
    </w:p>
    <w:p w:rsidR="006E6397" w:rsidRPr="006E6397" w:rsidRDefault="006E6397" w:rsidP="006E6397">
      <w:pPr>
        <w:pStyle w:val="Heading1"/>
        <w:ind w:left="0" w:hanging="1"/>
        <w:jc w:val="both"/>
        <w:rPr>
          <w:rFonts w:ascii="Times New Roman" w:hAnsi="Times New Roman"/>
          <w:noProof/>
          <w:color w:val="DD4943"/>
          <w:sz w:val="24"/>
        </w:rPr>
      </w:pPr>
    </w:p>
    <w:p w:rsidR="00E83A3B" w:rsidRPr="006E6397" w:rsidRDefault="00E83A3B" w:rsidP="006E6397">
      <w:pPr>
        <w:ind w:hanging="1"/>
        <w:jc w:val="center"/>
        <w:rPr>
          <w:rFonts w:ascii="Times New Roman" w:eastAsia="Tahoma" w:hAnsi="Times New Roman" w:cs="Tahoma"/>
          <w:noProof/>
          <w:color w:val="007A94"/>
          <w:sz w:val="20"/>
          <w:szCs w:val="20"/>
        </w:rPr>
      </w:pPr>
      <w:r w:rsidRPr="006E6397">
        <w:rPr>
          <w:rFonts w:ascii="Times New Roman" w:hAnsi="Times New Roman"/>
          <w:noProof/>
          <w:color w:val="007A94"/>
          <w:sz w:val="20"/>
          <w:szCs w:val="20"/>
        </w:rPr>
        <w:t>ES DALĪBVALSTU KULTŪRAS UN RADOŠO NOZARU EKSPERTU ATKLĀTĀS KOORDINĀCIJAS METODES (AKM) DARBA GRUPA</w:t>
      </w:r>
    </w:p>
    <w:p w:rsidR="00E83A3B" w:rsidRPr="006E6397" w:rsidRDefault="00E83A3B" w:rsidP="006E6397">
      <w:pPr>
        <w:jc w:val="both"/>
        <w:rPr>
          <w:rFonts w:ascii="Times New Roman" w:eastAsia="Tahoma" w:hAnsi="Times New Roman" w:cs="Tahoma"/>
          <w:noProof/>
          <w:sz w:val="24"/>
          <w:szCs w:val="20"/>
        </w:rPr>
      </w:pPr>
    </w:p>
    <w:p w:rsidR="00E83A3B" w:rsidRPr="006E6397" w:rsidRDefault="006E6397" w:rsidP="006E6397">
      <w:pPr>
        <w:pStyle w:val="Heading1"/>
        <w:tabs>
          <w:tab w:val="left" w:pos="709"/>
        </w:tabs>
        <w:ind w:left="709" w:hanging="709"/>
        <w:jc w:val="both"/>
        <w:rPr>
          <w:rFonts w:ascii="Times New Roman" w:hAnsi="Times New Roman"/>
          <w:b w:val="0"/>
          <w:bCs w:val="0"/>
          <w:noProof/>
          <w:sz w:val="24"/>
        </w:rPr>
      </w:pPr>
      <w:r>
        <w:rPr>
          <w:rFonts w:ascii="Times New Roman" w:hAnsi="Times New Roman"/>
          <w:noProof/>
          <w:color w:val="005498"/>
          <w:sz w:val="24"/>
        </w:rPr>
        <w:t>1.</w:t>
      </w:r>
      <w:r>
        <w:rPr>
          <w:rFonts w:ascii="Times New Roman" w:hAnsi="Times New Roman"/>
          <w:noProof/>
          <w:color w:val="005498"/>
          <w:sz w:val="24"/>
        </w:rPr>
        <w:tab/>
      </w:r>
      <w:r w:rsidR="00660A1E" w:rsidRPr="006E6397">
        <w:rPr>
          <w:rFonts w:ascii="Times New Roman" w:hAnsi="Times New Roman"/>
          <w:noProof/>
          <w:color w:val="005498"/>
          <w:sz w:val="24"/>
        </w:rPr>
        <w:t>Ievads – izaicinājumi kultūras un radošo nozaru piekļuvē finansējumam</w:t>
      </w:r>
    </w:p>
    <w:p w:rsidR="00660A1E" w:rsidRPr="006E6397" w:rsidRDefault="00660A1E" w:rsidP="006E6397">
      <w:pPr>
        <w:pStyle w:val="BodyText"/>
        <w:tabs>
          <w:tab w:val="left" w:pos="5594"/>
        </w:tabs>
        <w:ind w:left="0"/>
        <w:jc w:val="both"/>
        <w:rPr>
          <w:rFonts w:ascii="Times New Roman" w:hAnsi="Times New Roman"/>
          <w:noProof/>
          <w:color w:val="1A181C"/>
          <w:sz w:val="24"/>
        </w:rPr>
      </w:pPr>
    </w:p>
    <w:p w:rsidR="00E83A3B" w:rsidRPr="006E6397" w:rsidRDefault="00E83A3B" w:rsidP="006E6397">
      <w:pPr>
        <w:pStyle w:val="BodyText"/>
        <w:tabs>
          <w:tab w:val="left" w:pos="5594"/>
        </w:tabs>
        <w:ind w:left="0"/>
        <w:jc w:val="both"/>
        <w:rPr>
          <w:rFonts w:ascii="Times New Roman" w:hAnsi="Times New Roman"/>
          <w:noProof/>
          <w:color w:val="1A181C"/>
          <w:sz w:val="24"/>
        </w:rPr>
      </w:pPr>
      <w:r w:rsidRPr="006E6397">
        <w:rPr>
          <w:rFonts w:ascii="Times New Roman" w:hAnsi="Times New Roman"/>
          <w:noProof/>
          <w:color w:val="1A181C"/>
          <w:sz w:val="24"/>
        </w:rPr>
        <w:t>Ekonomikā, kurā aizvien vairāk paļaujas uz jaunradi un nemateriālajiem aktīviem, kultūras un radošās nozares (KRN) ir starp tām, kas attīstās visstraujāk. Tomēr vairumam KRN mazo un vidējo uzņēmumu (MVU) ir grūti piekļūt finansējumam, un tas ir viens no galvenajiem šķēršļiem to izaugsmē. KRN darbībām piemītošo īpatnību dēļ (tostarp materiālo aktīvu trūkums, atkarība no nemateriāliem aktīviem, no tā izrietošais nodrošinājuma trūkums un ļoti nenoteiktais tirgus pieprasījums) tie radošie MVU, kas vēršas pēc finansējuma privātbankās, bieži saņem noraidījumu. Finanšu aprindām, tostarp bankām, joprojām ir ierobežota izpratne par šīm īpatnībām. KRN arī saskaras ar izaicinājumiem, kas saistīti ar finanšu instrumentu sadrumstalotību, informācijas asimetriskumu finanšu ekosistēmā, informācijas trūkumu par pieejamiem finansēšanas avotiem un problēmām, kas saistītas ar intelektuālā īpašuma (IĪ) vērtēšanu.</w:t>
      </w:r>
    </w:p>
    <w:p w:rsidR="00E83A3B" w:rsidRPr="006E6397" w:rsidRDefault="00E83A3B" w:rsidP="006E6397">
      <w:pPr>
        <w:jc w:val="both"/>
        <w:rPr>
          <w:rFonts w:ascii="Times New Roman" w:eastAsia="Arial" w:hAnsi="Times New Roman" w:cs="Arial"/>
          <w:noProof/>
          <w:sz w:val="24"/>
          <w:szCs w:val="20"/>
        </w:rPr>
      </w:pPr>
    </w:p>
    <w:p w:rsidR="00E83A3B" w:rsidRPr="006E6397" w:rsidRDefault="00E83A3B" w:rsidP="006E6397">
      <w:pPr>
        <w:jc w:val="both"/>
        <w:rPr>
          <w:rFonts w:ascii="Times New Roman" w:eastAsia="Arial" w:hAnsi="Times New Roman" w:cs="Arial"/>
          <w:b/>
          <w:bCs/>
          <w:noProof/>
          <w:color w:val="1A181C"/>
          <w:sz w:val="24"/>
          <w:szCs w:val="20"/>
        </w:rPr>
      </w:pPr>
      <w:r w:rsidRPr="006E6397">
        <w:rPr>
          <w:rFonts w:ascii="Times New Roman" w:hAnsi="Times New Roman"/>
          <w:noProof/>
          <w:color w:val="1A181C"/>
          <w:sz w:val="24"/>
        </w:rPr>
        <w:t xml:space="preserve">Ziņojumā šīs problēmas ir risinātas, tās aplūkojot dalībvalstīs esošo KRN uzņēmumiem piedāvāto inovatīvo finansēšanas shēmu kontekstā, un sniegti ieteikumi par to, kā pārvarēt visvājākās vietas. </w:t>
      </w:r>
      <w:r w:rsidRPr="006E6397">
        <w:rPr>
          <w:rFonts w:ascii="Times New Roman" w:hAnsi="Times New Roman"/>
          <w:b/>
          <w:noProof/>
          <w:color w:val="1A181C"/>
          <w:sz w:val="24"/>
        </w:rPr>
        <w:t>Ir atspoguļoti 32 veiksmes stāsti, kas ilustrē to, kā inovatīvs finansējums var saskanēt ar KRN uzņēmuma vajadzībām.</w:t>
      </w:r>
    </w:p>
    <w:p w:rsidR="00E83A3B" w:rsidRPr="006E6397" w:rsidRDefault="00E83A3B" w:rsidP="006E6397">
      <w:pPr>
        <w:jc w:val="both"/>
        <w:rPr>
          <w:rFonts w:ascii="Times New Roman" w:eastAsia="Arial" w:hAnsi="Times New Roman" w:cs="Arial"/>
          <w:b/>
          <w:bCs/>
          <w:noProof/>
          <w:color w:val="1A181C"/>
          <w:sz w:val="24"/>
          <w:szCs w:val="20"/>
        </w:rPr>
      </w:pPr>
    </w:p>
    <w:p w:rsidR="00E83A3B" w:rsidRPr="006E6397" w:rsidRDefault="00E83A3B" w:rsidP="006E6397">
      <w:pPr>
        <w:pStyle w:val="BodyText"/>
        <w:ind w:left="0"/>
        <w:jc w:val="both"/>
        <w:rPr>
          <w:rFonts w:ascii="Times New Roman" w:hAnsi="Times New Roman"/>
          <w:noProof/>
          <w:color w:val="1A181C"/>
          <w:sz w:val="24"/>
        </w:rPr>
      </w:pPr>
      <w:r w:rsidRPr="006E6397">
        <w:rPr>
          <w:rFonts w:ascii="Times New Roman" w:hAnsi="Times New Roman"/>
          <w:noProof/>
          <w:color w:val="1A181C"/>
          <w:sz w:val="24"/>
        </w:rPr>
        <w:t>Tomēr jāatzīmē, ka ziņojums neizsmeļ visus jautājumus saistībā ar KRN piekļuvi finansējumam, jo finanšu ekosistēma ir dinamiska un pastāvīgi mainās. Lai pēc iespējas palielinātu ekspertu grupas paveiktā darba ietekmi, ziņojuma secinājumi un tajā minēto ieteikumu īstenošana jāpārskata pirms pašreizējā Padomes kultūras darba plāna pabeigšanas 2018. gadā.</w:t>
      </w:r>
    </w:p>
    <w:p w:rsidR="00E83A3B" w:rsidRPr="006E6397" w:rsidRDefault="00E83A3B" w:rsidP="006E6397">
      <w:pPr>
        <w:jc w:val="both"/>
        <w:rPr>
          <w:rFonts w:ascii="Times New Roman" w:eastAsia="Arial" w:hAnsi="Times New Roman" w:cs="Arial"/>
          <w:noProof/>
          <w:sz w:val="24"/>
          <w:szCs w:val="20"/>
        </w:rPr>
      </w:pPr>
    </w:p>
    <w:p w:rsidR="00E83A3B" w:rsidRPr="006E6397" w:rsidRDefault="006E6397" w:rsidP="006E6397">
      <w:pPr>
        <w:pStyle w:val="Heading1"/>
        <w:tabs>
          <w:tab w:val="left" w:pos="709"/>
        </w:tabs>
        <w:ind w:left="0" w:firstLine="0"/>
        <w:jc w:val="both"/>
        <w:rPr>
          <w:rFonts w:ascii="Times New Roman" w:hAnsi="Times New Roman"/>
          <w:b w:val="0"/>
          <w:bCs w:val="0"/>
          <w:noProof/>
          <w:sz w:val="24"/>
        </w:rPr>
      </w:pPr>
      <w:r>
        <w:rPr>
          <w:rFonts w:ascii="Times New Roman" w:hAnsi="Times New Roman"/>
          <w:noProof/>
          <w:color w:val="005498"/>
          <w:sz w:val="24"/>
        </w:rPr>
        <w:t>2.</w:t>
      </w:r>
      <w:r>
        <w:rPr>
          <w:rFonts w:ascii="Times New Roman" w:hAnsi="Times New Roman"/>
          <w:noProof/>
          <w:color w:val="005498"/>
          <w:sz w:val="24"/>
        </w:rPr>
        <w:tab/>
      </w:r>
      <w:r w:rsidR="00660A1E" w:rsidRPr="006E6397">
        <w:rPr>
          <w:rFonts w:ascii="Times New Roman" w:hAnsi="Times New Roman"/>
          <w:noProof/>
          <w:color w:val="005498"/>
          <w:sz w:val="24"/>
        </w:rPr>
        <w:t>Ziņojuma konteksts</w:t>
      </w:r>
    </w:p>
    <w:p w:rsidR="00660A1E" w:rsidRPr="006E6397" w:rsidRDefault="00660A1E" w:rsidP="006E6397">
      <w:pPr>
        <w:pStyle w:val="BodyText"/>
        <w:ind w:left="0"/>
        <w:jc w:val="both"/>
        <w:rPr>
          <w:rFonts w:ascii="Times New Roman" w:hAnsi="Times New Roman"/>
          <w:noProof/>
          <w:color w:val="1A181C"/>
          <w:sz w:val="24"/>
        </w:rPr>
      </w:pPr>
    </w:p>
    <w:p w:rsidR="00E83A3B" w:rsidRPr="006E6397" w:rsidRDefault="00E83A3B" w:rsidP="006E6397">
      <w:pPr>
        <w:pStyle w:val="BodyText"/>
        <w:ind w:left="0"/>
        <w:jc w:val="both"/>
        <w:rPr>
          <w:rFonts w:ascii="Times New Roman" w:hAnsi="Times New Roman"/>
          <w:noProof/>
          <w:color w:val="1A181C"/>
          <w:sz w:val="24"/>
        </w:rPr>
      </w:pPr>
      <w:r w:rsidRPr="006E6397">
        <w:rPr>
          <w:rFonts w:ascii="Times New Roman" w:hAnsi="Times New Roman"/>
          <w:noProof/>
          <w:color w:val="1A181C"/>
          <w:sz w:val="24"/>
        </w:rPr>
        <w:t>Ziņojumu sagatavoja “atklātās koordinācijas metodes” (AKM) ekspertu grupa, kura izskatīja piekļuvi finansējumam KRN vajadzībām un uzsāka darbu 2014. gada jūlijā, pamatojoties uz Padomes 2011.-2014. gada kultūras darba plānu</w:t>
      </w:r>
      <w:r w:rsidRPr="006E6397">
        <w:rPr>
          <w:rStyle w:val="FootnoteReference"/>
          <w:rFonts w:ascii="Times New Roman" w:hAnsi="Times New Roman"/>
          <w:noProof/>
          <w:color w:val="1A181C"/>
          <w:sz w:val="24"/>
        </w:rPr>
        <w:footnoteReference w:id="1"/>
      </w:r>
      <w:r w:rsidRPr="006E6397">
        <w:rPr>
          <w:rFonts w:ascii="Times New Roman" w:hAnsi="Times New Roman"/>
          <w:noProof/>
          <w:color w:val="1A181C"/>
          <w:sz w:val="24"/>
        </w:rPr>
        <w:t>, un ziņojums tika pagarināts saskaņā ar Padomes 2015.-2018. gada kultūras darba plānu (“Kultūras un radošās nozares –</w:t>
      </w:r>
      <w:r w:rsidR="006E6397">
        <w:rPr>
          <w:rFonts w:ascii="Times New Roman" w:hAnsi="Times New Roman"/>
          <w:noProof/>
          <w:color w:val="1A181C"/>
          <w:sz w:val="24"/>
        </w:rPr>
        <w:t xml:space="preserve"> </w:t>
      </w:r>
      <w:r w:rsidRPr="006E6397">
        <w:rPr>
          <w:rFonts w:ascii="Times New Roman" w:hAnsi="Times New Roman"/>
          <w:noProof/>
          <w:color w:val="1A181C"/>
          <w:sz w:val="24"/>
        </w:rPr>
        <w:t>radošās ekonomikas un inovāciju prioritārā joma”)</w:t>
      </w:r>
      <w:r w:rsidRPr="006E6397">
        <w:rPr>
          <w:rStyle w:val="FootnoteReference"/>
          <w:rFonts w:ascii="Times New Roman" w:hAnsi="Times New Roman"/>
          <w:noProof/>
          <w:color w:val="1A181C"/>
          <w:sz w:val="24"/>
        </w:rPr>
        <w:footnoteReference w:id="2"/>
      </w:r>
      <w:r w:rsidRPr="006E6397">
        <w:rPr>
          <w:rFonts w:ascii="Times New Roman" w:hAnsi="Times New Roman"/>
          <w:noProof/>
          <w:color w:val="1A181C"/>
          <w:sz w:val="24"/>
        </w:rPr>
        <w:t>. Grupu veidoja dalībvalstu eksperti kultūras, uzņēmējdarbības politikas un finanšu jomā.</w:t>
      </w:r>
    </w:p>
    <w:p w:rsidR="00E83A3B" w:rsidRPr="006E6397" w:rsidRDefault="00E83A3B" w:rsidP="006E6397">
      <w:pPr>
        <w:jc w:val="both"/>
        <w:rPr>
          <w:rFonts w:ascii="Times New Roman" w:hAnsi="Times New Roman"/>
          <w:noProof/>
          <w:color w:val="1A181C"/>
          <w:sz w:val="24"/>
        </w:rPr>
      </w:pPr>
    </w:p>
    <w:p w:rsidR="00E83A3B" w:rsidRPr="006E6397" w:rsidRDefault="00E83A3B" w:rsidP="006E6397">
      <w:pPr>
        <w:pStyle w:val="BodyText"/>
        <w:ind w:left="0"/>
        <w:jc w:val="both"/>
        <w:rPr>
          <w:rFonts w:ascii="Times New Roman" w:hAnsi="Times New Roman"/>
          <w:noProof/>
          <w:color w:val="1A181C"/>
          <w:sz w:val="24"/>
        </w:rPr>
      </w:pPr>
      <w:r w:rsidRPr="006E6397">
        <w:rPr>
          <w:rFonts w:ascii="Times New Roman" w:hAnsi="Times New Roman"/>
          <w:noProof/>
          <w:color w:val="1A181C"/>
          <w:sz w:val="24"/>
        </w:rPr>
        <w:t>Atklātās koordinācijas metode ir dalībvalstu brīvprātīgas sadarbības veids, kura mērķis ir uzlabot politikas veidošanu un sistemātisku sadarbību, mācoties no kolēģiem un apmainoties ar labu praksi. Metodi 2008. gadā attiecināja uz kultūras jomu, reaģējot uz Eiropas Komisijas ieteikumu, ko tā 2007. gadā pauda Eiropas darba kārtībā kultūrai.</w:t>
      </w:r>
    </w:p>
    <w:p w:rsidR="00E83A3B" w:rsidRPr="006E6397" w:rsidRDefault="00E83A3B" w:rsidP="006E6397">
      <w:pPr>
        <w:jc w:val="both"/>
        <w:rPr>
          <w:rFonts w:ascii="Times New Roman" w:eastAsia="Tahoma" w:hAnsi="Times New Roman" w:cs="Tahoma"/>
          <w:noProof/>
          <w:sz w:val="24"/>
          <w:szCs w:val="18"/>
        </w:rPr>
      </w:pPr>
      <w:r w:rsidRPr="006E6397">
        <w:rPr>
          <w:rFonts w:ascii="Times New Roman" w:hAnsi="Times New Roman"/>
          <w:noProof/>
          <w:sz w:val="24"/>
          <w:lang w:bidi="ar-SA"/>
        </w:rPr>
        <w:drawing>
          <wp:anchor distT="0" distB="0" distL="114300" distR="114300" simplePos="0" relativeHeight="251657216" behindDoc="0" locked="0" layoutInCell="1" allowOverlap="1">
            <wp:simplePos x="0" y="0"/>
            <wp:positionH relativeFrom="page">
              <wp:posOffset>7070725</wp:posOffset>
            </wp:positionH>
            <wp:positionV relativeFrom="page">
              <wp:posOffset>92710</wp:posOffset>
            </wp:positionV>
            <wp:extent cx="492760" cy="106025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10602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A3B" w:rsidRPr="006E6397" w:rsidRDefault="00E83A3B" w:rsidP="006E6397">
      <w:pPr>
        <w:pStyle w:val="BodyText"/>
        <w:ind w:left="0"/>
        <w:jc w:val="both"/>
        <w:rPr>
          <w:rFonts w:ascii="Times New Roman" w:hAnsi="Times New Roman" w:cs="Arial"/>
          <w:noProof/>
          <w:color w:val="1A181C"/>
          <w:sz w:val="24"/>
        </w:rPr>
      </w:pPr>
      <w:r w:rsidRPr="006E6397">
        <w:rPr>
          <w:rFonts w:ascii="Times New Roman" w:hAnsi="Times New Roman"/>
          <w:noProof/>
          <w:color w:val="1A181C"/>
          <w:sz w:val="24"/>
        </w:rPr>
        <w:t>Atbilstoši savam mandātam galvenais AKM grupas uzdevums un ieguldījums bija aprakstīt KRN pieejamās finanšu ekosistēmas un padziļināti analizēt un izprast to specifiku, lai uzlabotu piekļuvi finansējumam.</w:t>
      </w:r>
    </w:p>
    <w:p w:rsidR="00E83A3B" w:rsidRPr="006E6397" w:rsidRDefault="00E83A3B" w:rsidP="006E6397">
      <w:pPr>
        <w:jc w:val="both"/>
        <w:rPr>
          <w:rFonts w:ascii="Times New Roman" w:eastAsia="Arial" w:hAnsi="Times New Roman" w:cs="Arial"/>
          <w:noProof/>
          <w:sz w:val="24"/>
          <w:szCs w:val="20"/>
        </w:rPr>
      </w:pPr>
    </w:p>
    <w:p w:rsidR="00E83A3B" w:rsidRPr="006E6397" w:rsidRDefault="00E83A3B" w:rsidP="006E6397">
      <w:pPr>
        <w:pStyle w:val="BodyText"/>
        <w:ind w:left="0"/>
        <w:jc w:val="both"/>
        <w:rPr>
          <w:rFonts w:ascii="Times New Roman" w:hAnsi="Times New Roman"/>
          <w:noProof/>
          <w:color w:val="1A181C"/>
          <w:sz w:val="24"/>
        </w:rPr>
      </w:pPr>
      <w:r w:rsidRPr="006E6397">
        <w:rPr>
          <w:rFonts w:ascii="Times New Roman" w:hAnsi="Times New Roman"/>
          <w:noProof/>
          <w:color w:val="1A181C"/>
          <w:sz w:val="24"/>
        </w:rPr>
        <w:t>Šajā ziņojumā ir arī 100 finansēšanas shēmu piemēri, kas ļauj mācīties no dalībvalstu kolēģiem.</w:t>
      </w:r>
    </w:p>
    <w:p w:rsidR="00E83A3B" w:rsidRPr="006E6397" w:rsidRDefault="00E83A3B" w:rsidP="006E6397">
      <w:pPr>
        <w:jc w:val="both"/>
        <w:rPr>
          <w:rFonts w:ascii="Times New Roman" w:eastAsia="Arial" w:hAnsi="Times New Roman" w:cs="Arial"/>
          <w:noProof/>
          <w:sz w:val="24"/>
          <w:szCs w:val="19"/>
        </w:rPr>
      </w:pPr>
    </w:p>
    <w:p w:rsidR="00E83A3B" w:rsidRPr="006E6397" w:rsidRDefault="006E6397" w:rsidP="006E6397">
      <w:pPr>
        <w:pStyle w:val="Heading1"/>
        <w:tabs>
          <w:tab w:val="left" w:pos="709"/>
        </w:tabs>
        <w:ind w:left="0" w:firstLine="0"/>
        <w:jc w:val="both"/>
        <w:rPr>
          <w:rFonts w:ascii="Times New Roman" w:eastAsia="Calibri" w:hAnsi="Times New Roman" w:cs="Calibri"/>
          <w:b w:val="0"/>
          <w:bCs w:val="0"/>
          <w:noProof/>
          <w:sz w:val="24"/>
        </w:rPr>
      </w:pPr>
      <w:r>
        <w:rPr>
          <w:rFonts w:ascii="Times New Roman" w:hAnsi="Times New Roman"/>
          <w:noProof/>
          <w:color w:val="005498"/>
          <w:sz w:val="24"/>
        </w:rPr>
        <w:t>3.</w:t>
      </w:r>
      <w:r>
        <w:rPr>
          <w:rFonts w:ascii="Times New Roman" w:hAnsi="Times New Roman"/>
          <w:noProof/>
          <w:color w:val="005498"/>
          <w:sz w:val="24"/>
        </w:rPr>
        <w:tab/>
      </w:r>
      <w:r w:rsidR="007048C7" w:rsidRPr="006E6397">
        <w:rPr>
          <w:rFonts w:ascii="Times New Roman" w:hAnsi="Times New Roman"/>
          <w:noProof/>
          <w:color w:val="005498"/>
          <w:sz w:val="24"/>
        </w:rPr>
        <w:t>Kam šis ziņojums paredzēts?</w:t>
      </w:r>
    </w:p>
    <w:p w:rsidR="007048C7" w:rsidRPr="006E6397" w:rsidRDefault="007048C7" w:rsidP="006E6397">
      <w:pPr>
        <w:pStyle w:val="BodyText"/>
        <w:ind w:left="0"/>
        <w:jc w:val="both"/>
        <w:rPr>
          <w:rFonts w:ascii="Times New Roman" w:hAnsi="Times New Roman" w:cs="Arial"/>
          <w:noProof/>
          <w:color w:val="1A181C"/>
          <w:sz w:val="24"/>
        </w:rPr>
      </w:pPr>
    </w:p>
    <w:p w:rsidR="00E83A3B" w:rsidRPr="006E6397" w:rsidRDefault="00E83A3B" w:rsidP="006E6397">
      <w:pPr>
        <w:pStyle w:val="BodyText"/>
        <w:ind w:left="0"/>
        <w:jc w:val="both"/>
        <w:rPr>
          <w:rFonts w:ascii="Times New Roman" w:hAnsi="Times New Roman" w:cs="Arial"/>
          <w:noProof/>
          <w:color w:val="1A181C"/>
          <w:sz w:val="24"/>
        </w:rPr>
      </w:pPr>
      <w:r w:rsidRPr="006E6397">
        <w:rPr>
          <w:rFonts w:ascii="Times New Roman" w:hAnsi="Times New Roman"/>
          <w:noProof/>
          <w:color w:val="1A181C"/>
          <w:sz w:val="24"/>
        </w:rPr>
        <w:t>Ziņojumam ir vairākas mērķgrupas. Pirmkārt un galvenokārt, tas ir uzrakstīts politisko lēmumu pieņēmējiem Eiropas, valstu un vietējā līmenī, bet to var attiecināt arī uz finansētājiem, KRN uzņēmumiem un profesionāļiem, kā arī uz citiem, kurus interesē KRN finansēšana. Ziņojumā iekļautajam novērtējumam par esošajām finansēšanas shēmām un tā ieteikumiem būtu jānodrošina visu ieinteresēto pušu izpratne par to, kā pārvarēt grūtības, ar kurām saskaras radošo nozaru uzņēmumi, meklējot finansējumu, un jāļauj izpausties KRN neapstrīdamajam potenciālam gudrai un iekļaujošai izaugsmei.</w:t>
      </w:r>
    </w:p>
    <w:p w:rsidR="00E83A3B" w:rsidRPr="006E6397" w:rsidRDefault="00E83A3B" w:rsidP="006E6397">
      <w:pPr>
        <w:jc w:val="both"/>
        <w:rPr>
          <w:rFonts w:ascii="Times New Roman" w:eastAsia="Arial" w:hAnsi="Times New Roman" w:cs="Arial"/>
          <w:noProof/>
          <w:sz w:val="24"/>
          <w:szCs w:val="20"/>
        </w:rPr>
      </w:pPr>
    </w:p>
    <w:p w:rsidR="00E83A3B" w:rsidRPr="006E6397" w:rsidRDefault="007048C7" w:rsidP="006E6397">
      <w:pPr>
        <w:pStyle w:val="Heading1"/>
        <w:tabs>
          <w:tab w:val="left" w:pos="548"/>
          <w:tab w:val="left" w:pos="4337"/>
          <w:tab w:val="left" w:pos="5996"/>
        </w:tabs>
        <w:ind w:left="0" w:firstLine="0"/>
        <w:jc w:val="both"/>
        <w:rPr>
          <w:rFonts w:ascii="Times New Roman" w:eastAsia="Calibri" w:hAnsi="Times New Roman" w:cs="Calibri"/>
          <w:b w:val="0"/>
          <w:bCs w:val="0"/>
          <w:noProof/>
          <w:sz w:val="24"/>
        </w:rPr>
      </w:pPr>
      <w:r w:rsidRPr="006E6397">
        <w:rPr>
          <w:rFonts w:ascii="Times New Roman" w:hAnsi="Times New Roman"/>
          <w:noProof/>
          <w:color w:val="005498"/>
          <w:sz w:val="24"/>
        </w:rPr>
        <w:t>4. Sākuma punkts – finanšu ekosistēmu definēšana</w:t>
      </w:r>
    </w:p>
    <w:p w:rsidR="007048C7" w:rsidRPr="006E6397" w:rsidRDefault="007048C7" w:rsidP="006E6397">
      <w:pPr>
        <w:pStyle w:val="BodyText"/>
        <w:ind w:left="0"/>
        <w:jc w:val="both"/>
        <w:rPr>
          <w:rFonts w:ascii="Times New Roman" w:hAnsi="Times New Roman"/>
          <w:noProof/>
          <w:color w:val="1A181C"/>
          <w:sz w:val="24"/>
        </w:rPr>
      </w:pPr>
    </w:p>
    <w:p w:rsidR="00E83A3B" w:rsidRPr="006E6397" w:rsidRDefault="00E83A3B" w:rsidP="006E6397">
      <w:pPr>
        <w:pStyle w:val="BodyText"/>
        <w:ind w:left="0"/>
        <w:jc w:val="both"/>
        <w:rPr>
          <w:rFonts w:ascii="Times New Roman" w:hAnsi="Times New Roman"/>
          <w:noProof/>
          <w:color w:val="1A181C"/>
          <w:sz w:val="24"/>
        </w:rPr>
      </w:pPr>
      <w:r w:rsidRPr="006E6397">
        <w:rPr>
          <w:rFonts w:ascii="Times New Roman" w:hAnsi="Times New Roman"/>
          <w:noProof/>
          <w:color w:val="1A181C"/>
          <w:sz w:val="24"/>
        </w:rPr>
        <w:t xml:space="preserve">Ekosistēmu parasti definē kā savstarpēji saistītu un mijiedarbībā esošu daļu sistēmu vai tīklu. KRN uzņēmuma finanšu ekosistēmai ir iekšējie elementi, piemēram, finanšu stāvoklis un aktīvi, spējas, zinātība, biznesa plāns un preces vai pakalpojumi, un ārējie elementi, piemēram, finanšu nodrošinātāji un sponsori, pieprasījums pēc uzņēmuma precēm/pakalpojumiem, tirgus dinamika un pieprasījums, kā arī reglamentējošā un politiskā sistēma, kurā tas darbojas. </w:t>
      </w:r>
      <w:r w:rsidRPr="006E6397">
        <w:rPr>
          <w:rFonts w:ascii="Times New Roman" w:hAnsi="Times New Roman"/>
          <w:b/>
          <w:noProof/>
          <w:color w:val="1A181C"/>
          <w:sz w:val="24"/>
        </w:rPr>
        <w:t>2. nodaļā</w:t>
      </w:r>
      <w:r w:rsidRPr="006E6397">
        <w:rPr>
          <w:rFonts w:ascii="Times New Roman" w:hAnsi="Times New Roman"/>
          <w:noProof/>
          <w:color w:val="1A181C"/>
          <w:sz w:val="24"/>
        </w:rPr>
        <w:t xml:space="preserve"> ir aprakstīta KRN finanšu ekosistēma, tostarp mijiedarbība starp dažādajiem iesaistītajiem elementiem un pusēm. Tajā ir risinātas arī problēmas attiecībā uz piekļuvi finansējumam, ar kurām saskaras KRN, īpašu uzmanību veltot IĪ tiesību (IĪT) būtiskajai lomai.</w:t>
      </w:r>
    </w:p>
    <w:p w:rsidR="00E83A3B" w:rsidRPr="006E6397" w:rsidRDefault="00E83A3B" w:rsidP="006E6397">
      <w:pPr>
        <w:jc w:val="both"/>
        <w:rPr>
          <w:rFonts w:ascii="Times New Roman" w:hAnsi="Times New Roman"/>
          <w:noProof/>
          <w:color w:val="1A181C"/>
          <w:sz w:val="24"/>
        </w:rPr>
      </w:pPr>
    </w:p>
    <w:p w:rsidR="00E83A3B" w:rsidRPr="006E6397" w:rsidRDefault="006E6397" w:rsidP="006E6397">
      <w:pPr>
        <w:pStyle w:val="Heading1"/>
        <w:tabs>
          <w:tab w:val="left" w:pos="709"/>
        </w:tabs>
        <w:ind w:left="0" w:firstLine="0"/>
        <w:jc w:val="both"/>
        <w:rPr>
          <w:rFonts w:ascii="Times New Roman" w:eastAsia="Calibri" w:hAnsi="Times New Roman" w:cs="Calibri"/>
          <w:b w:val="0"/>
          <w:bCs w:val="0"/>
          <w:noProof/>
          <w:sz w:val="24"/>
        </w:rPr>
      </w:pPr>
      <w:r>
        <w:rPr>
          <w:rFonts w:ascii="Times New Roman" w:hAnsi="Times New Roman"/>
          <w:noProof/>
          <w:color w:val="005498"/>
          <w:sz w:val="24"/>
        </w:rPr>
        <w:t>5.</w:t>
      </w:r>
      <w:r>
        <w:rPr>
          <w:rFonts w:ascii="Times New Roman" w:hAnsi="Times New Roman"/>
          <w:noProof/>
          <w:color w:val="005498"/>
          <w:sz w:val="24"/>
        </w:rPr>
        <w:tab/>
      </w:r>
      <w:r w:rsidR="007048C7" w:rsidRPr="006E6397">
        <w:rPr>
          <w:rFonts w:ascii="Times New Roman" w:hAnsi="Times New Roman"/>
          <w:noProof/>
          <w:color w:val="005498"/>
          <w:sz w:val="24"/>
        </w:rPr>
        <w:t>Inovatīvas finansēšanas shēmas un laba prakse</w:t>
      </w:r>
    </w:p>
    <w:p w:rsidR="007048C7" w:rsidRPr="006E6397" w:rsidRDefault="007048C7" w:rsidP="006E6397">
      <w:pPr>
        <w:pStyle w:val="BodyText"/>
        <w:ind w:left="0"/>
        <w:jc w:val="both"/>
        <w:rPr>
          <w:rFonts w:ascii="Times New Roman" w:hAnsi="Times New Roman"/>
          <w:noProof/>
          <w:color w:val="1A181C"/>
          <w:sz w:val="24"/>
        </w:rPr>
      </w:pPr>
    </w:p>
    <w:p w:rsidR="00E83A3B" w:rsidRPr="006E6397" w:rsidRDefault="00E83A3B" w:rsidP="006E6397">
      <w:pPr>
        <w:pStyle w:val="BodyText"/>
        <w:ind w:left="0"/>
        <w:jc w:val="both"/>
        <w:rPr>
          <w:rFonts w:ascii="Times New Roman" w:hAnsi="Times New Roman"/>
          <w:noProof/>
          <w:color w:val="1A181C"/>
          <w:sz w:val="24"/>
        </w:rPr>
      </w:pPr>
      <w:r w:rsidRPr="006E6397">
        <w:rPr>
          <w:rFonts w:ascii="Times New Roman" w:hAnsi="Times New Roman"/>
          <w:noProof/>
          <w:color w:val="1A181C"/>
          <w:sz w:val="24"/>
        </w:rPr>
        <w:t>Ziņojums ir vairāk nekā apraksts par problēmām, kuras rada mēģinājumi izcelt dažādajās dalībvalstīs esošos finanšu instrumentus, kas vai nu ir pieejami MVU kopumā, (tostarp KRN MVU) vai arī ir īpaši paredzēti KRN.</w:t>
      </w:r>
    </w:p>
    <w:p w:rsidR="00E83A3B" w:rsidRPr="006E6397" w:rsidRDefault="00E83A3B" w:rsidP="006E6397">
      <w:pPr>
        <w:jc w:val="both"/>
        <w:rPr>
          <w:rFonts w:ascii="Times New Roman" w:eastAsia="Arial" w:hAnsi="Times New Roman" w:cs="Arial"/>
          <w:noProof/>
          <w:sz w:val="24"/>
          <w:szCs w:val="20"/>
        </w:rPr>
      </w:pPr>
    </w:p>
    <w:p w:rsidR="00E83A3B" w:rsidRPr="006E6397" w:rsidRDefault="00E83A3B" w:rsidP="006E6397">
      <w:pPr>
        <w:pStyle w:val="BodyText"/>
        <w:ind w:left="0"/>
        <w:jc w:val="both"/>
        <w:rPr>
          <w:rFonts w:ascii="Times New Roman" w:hAnsi="Times New Roman" w:cs="Arial"/>
          <w:noProof/>
          <w:color w:val="1A181C"/>
          <w:sz w:val="24"/>
        </w:rPr>
      </w:pPr>
      <w:r w:rsidRPr="006E6397">
        <w:rPr>
          <w:rFonts w:ascii="Times New Roman" w:hAnsi="Times New Roman"/>
          <w:noProof/>
          <w:color w:val="1A181C"/>
          <w:sz w:val="24"/>
        </w:rPr>
        <w:t xml:space="preserve">KRN uzņēmumi var izmantot veselu virkni finansēšanas pasākumu, sākot no pašfinansēšanas līdz sabiedriskā atbalsta pasākumiem un privātajai finansēšanai (parādi un pašu kapitāls). Papildus ir alternatīvi (bieži vien “jaukti”) finansēšanas modeļi, kas struktūras un pieejamības ziņā ir visnovatoriskākie. </w:t>
      </w:r>
      <w:r w:rsidRPr="006E6397">
        <w:rPr>
          <w:rFonts w:ascii="Times New Roman" w:hAnsi="Times New Roman"/>
          <w:b/>
          <w:noProof/>
          <w:color w:val="1A181C"/>
          <w:sz w:val="24"/>
        </w:rPr>
        <w:t>3. nodaļas</w:t>
      </w:r>
      <w:r w:rsidRPr="006E6397">
        <w:rPr>
          <w:rFonts w:ascii="Times New Roman" w:hAnsi="Times New Roman"/>
          <w:noProof/>
          <w:color w:val="1A181C"/>
          <w:sz w:val="24"/>
        </w:rPr>
        <w:t xml:space="preserve"> (</w:t>
      </w:r>
      <w:r w:rsidRPr="006E6397">
        <w:rPr>
          <w:rFonts w:ascii="Times New Roman" w:hAnsi="Times New Roman"/>
          <w:i/>
          <w:noProof/>
          <w:color w:val="1A181C"/>
          <w:sz w:val="24"/>
        </w:rPr>
        <w:t>Finansēšanas modeļu tipoloģija</w:t>
      </w:r>
      <w:r w:rsidRPr="006E6397">
        <w:rPr>
          <w:rFonts w:ascii="Times New Roman" w:hAnsi="Times New Roman"/>
          <w:noProof/>
          <w:color w:val="1A181C"/>
          <w:sz w:val="24"/>
        </w:rPr>
        <w:t>) piemēri ir izvēlēti, pamatojoties uz novērtējuma vai izvērtējuma pieejamību, reputāciju, pieteikumu skaitu, budžeta lielumu un iespējām tos īstenot. Dažus no instrumentiem var pārņemt no vienas valsts otrā.</w:t>
      </w:r>
    </w:p>
    <w:p w:rsidR="00E83A3B" w:rsidRPr="006E6397" w:rsidRDefault="00E83A3B" w:rsidP="006E6397">
      <w:pPr>
        <w:jc w:val="both"/>
        <w:rPr>
          <w:rFonts w:ascii="Times New Roman" w:hAnsi="Times New Roman" w:cs="Arial"/>
          <w:noProof/>
          <w:color w:val="1A181C"/>
          <w:sz w:val="24"/>
        </w:rPr>
      </w:pPr>
    </w:p>
    <w:p w:rsidR="00E83A3B" w:rsidRPr="006E6397" w:rsidRDefault="00E83A3B" w:rsidP="006E6397">
      <w:pPr>
        <w:pStyle w:val="BodyText"/>
        <w:ind w:left="0"/>
        <w:jc w:val="both"/>
        <w:rPr>
          <w:rFonts w:ascii="Times New Roman" w:hAnsi="Times New Roman" w:cs="Arial"/>
          <w:noProof/>
          <w:color w:val="1A181C"/>
          <w:sz w:val="24"/>
        </w:rPr>
      </w:pPr>
      <w:r w:rsidRPr="006E6397">
        <w:rPr>
          <w:rFonts w:ascii="Times New Roman" w:hAnsi="Times New Roman"/>
          <w:b/>
          <w:noProof/>
          <w:color w:val="1A181C"/>
          <w:sz w:val="24"/>
        </w:rPr>
        <w:t>4. nodaļa</w:t>
      </w:r>
      <w:r w:rsidRPr="006E6397">
        <w:rPr>
          <w:rFonts w:ascii="Times New Roman" w:hAnsi="Times New Roman"/>
          <w:sz w:val="24"/>
        </w:rPr>
        <w:t xml:space="preserve"> (</w:t>
      </w:r>
      <w:r w:rsidRPr="006E6397">
        <w:rPr>
          <w:rFonts w:ascii="Times New Roman" w:hAnsi="Times New Roman"/>
          <w:i/>
          <w:noProof/>
          <w:color w:val="1A181C"/>
          <w:sz w:val="24"/>
        </w:rPr>
        <w:t>Kā saskaņot KRN uzņēmumu vajadzības ar inovatīvu finansējumu</w:t>
      </w:r>
      <w:r w:rsidRPr="006E6397">
        <w:rPr>
          <w:rFonts w:ascii="Times New Roman" w:hAnsi="Times New Roman"/>
          <w:sz w:val="24"/>
        </w:rPr>
        <w:t xml:space="preserve">) </w:t>
      </w:r>
      <w:r w:rsidRPr="006E6397">
        <w:rPr>
          <w:rFonts w:ascii="Times New Roman" w:hAnsi="Times New Roman"/>
          <w:noProof/>
          <w:color w:val="1A181C"/>
          <w:sz w:val="24"/>
        </w:rPr>
        <w:t xml:space="preserve">atspoguļo situāciju no KRN perspektīvas, izpētot </w:t>
      </w:r>
      <w:r w:rsidRPr="006E6397">
        <w:rPr>
          <w:rFonts w:ascii="Times New Roman" w:hAnsi="Times New Roman"/>
          <w:b/>
          <w:noProof/>
          <w:color w:val="1A181C"/>
          <w:sz w:val="24"/>
        </w:rPr>
        <w:t>32 uzņēmumus,</w:t>
      </w:r>
      <w:r w:rsidRPr="006E6397">
        <w:rPr>
          <w:rFonts w:ascii="Times New Roman" w:hAnsi="Times New Roman"/>
          <w:noProof/>
          <w:color w:val="1A181C"/>
          <w:sz w:val="24"/>
        </w:rPr>
        <w:t xml:space="preserve"> kas saņēmuši finansējumu, un </w:t>
      </w:r>
      <w:r w:rsidRPr="006E6397">
        <w:rPr>
          <w:rFonts w:ascii="Times New Roman" w:hAnsi="Times New Roman"/>
          <w:noProof/>
          <w:color w:val="1A181C"/>
          <w:sz w:val="24"/>
        </w:rPr>
        <w:lastRenderedPageBreak/>
        <w:t>aprakstot attiecīgās finansēšanas shēmas. Šajā ziņojuma nodaļā ir uzsvērta nepieciešamība saskaņot uzņēmumu vajadzības ar finansētāju vajadzībām, un tajā parādīts iespaidīgais preču un pakalpojumu daudzums, kas izstrādāts, saražots vai laists tirgū ar inovatīvo finansēšanas instrumentu atbalstu.</w:t>
      </w:r>
    </w:p>
    <w:p w:rsidR="00E83A3B" w:rsidRPr="006E6397" w:rsidRDefault="00E83A3B" w:rsidP="006E6397">
      <w:pPr>
        <w:jc w:val="both"/>
        <w:rPr>
          <w:rFonts w:ascii="Times New Roman" w:hAnsi="Times New Roman" w:cs="Arial"/>
          <w:noProof/>
          <w:color w:val="1A181C"/>
          <w:sz w:val="24"/>
        </w:rPr>
      </w:pPr>
    </w:p>
    <w:p w:rsidR="00E83A3B" w:rsidRPr="006E6397" w:rsidRDefault="00E83A3B" w:rsidP="006E6397">
      <w:pPr>
        <w:pStyle w:val="BodyText"/>
        <w:ind w:left="0"/>
        <w:jc w:val="both"/>
        <w:rPr>
          <w:rFonts w:ascii="Times New Roman" w:hAnsi="Times New Roman" w:cs="Arial"/>
          <w:noProof/>
          <w:sz w:val="24"/>
        </w:rPr>
      </w:pPr>
      <w:r w:rsidRPr="006E6397">
        <w:rPr>
          <w:rFonts w:ascii="Times New Roman" w:hAnsi="Times New Roman"/>
          <w:noProof/>
          <w:color w:val="1A181C"/>
          <w:sz w:val="24"/>
        </w:rPr>
        <w:t xml:space="preserve">Pamatojoties uz šīm divām savstarpēji papildinošajām klasifikācijām, </w:t>
      </w:r>
      <w:r w:rsidRPr="006E6397">
        <w:rPr>
          <w:rFonts w:ascii="Times New Roman" w:hAnsi="Times New Roman"/>
          <w:b/>
          <w:noProof/>
          <w:color w:val="1A181C"/>
          <w:sz w:val="24"/>
        </w:rPr>
        <w:t>5. nodaļā</w:t>
      </w:r>
      <w:r w:rsidRPr="006E6397">
        <w:rPr>
          <w:rFonts w:ascii="Times New Roman" w:hAnsi="Times New Roman"/>
          <w:noProof/>
          <w:color w:val="1A181C"/>
          <w:sz w:val="24"/>
        </w:rPr>
        <w:t xml:space="preserve"> tiek piedāvāts esošās prakses vērtējums.</w:t>
      </w:r>
    </w:p>
    <w:p w:rsidR="00E83A3B" w:rsidRPr="006E6397" w:rsidRDefault="00E83A3B" w:rsidP="006E6397">
      <w:pPr>
        <w:jc w:val="both"/>
        <w:rPr>
          <w:rFonts w:ascii="Times New Roman" w:eastAsia="Arial" w:hAnsi="Times New Roman" w:cs="Arial"/>
          <w:noProof/>
          <w:sz w:val="24"/>
          <w:szCs w:val="20"/>
        </w:rPr>
      </w:pPr>
      <w:r w:rsidRPr="006E6397">
        <w:rPr>
          <w:rFonts w:ascii="Times New Roman" w:eastAsia="Arial" w:hAnsi="Times New Roman" w:cs="Arial"/>
          <w:noProof/>
          <w:sz w:val="24"/>
          <w:szCs w:val="20"/>
          <w:lang w:bidi="ar-SA"/>
        </w:rPr>
        <w:drawing>
          <wp:anchor distT="0" distB="0" distL="114300" distR="114300" simplePos="0" relativeHeight="251659264" behindDoc="0" locked="0" layoutInCell="1" allowOverlap="1">
            <wp:simplePos x="0" y="0"/>
            <wp:positionH relativeFrom="page">
              <wp:posOffset>-6350</wp:posOffset>
            </wp:positionH>
            <wp:positionV relativeFrom="page">
              <wp:posOffset>92710</wp:posOffset>
            </wp:positionV>
            <wp:extent cx="517525" cy="106025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525" cy="10602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A3B" w:rsidRPr="006E6397" w:rsidRDefault="006E6397" w:rsidP="006E6397">
      <w:pPr>
        <w:pStyle w:val="Heading1"/>
        <w:tabs>
          <w:tab w:val="left" w:pos="709"/>
        </w:tabs>
        <w:ind w:left="0" w:firstLine="0"/>
        <w:jc w:val="both"/>
        <w:rPr>
          <w:rFonts w:ascii="Times New Roman" w:eastAsia="Trebuchet MS" w:hAnsi="Times New Roman" w:cs="Trebuchet MS"/>
          <w:b w:val="0"/>
          <w:bCs w:val="0"/>
          <w:noProof/>
          <w:sz w:val="24"/>
        </w:rPr>
      </w:pPr>
      <w:r>
        <w:rPr>
          <w:rFonts w:ascii="Times New Roman" w:hAnsi="Times New Roman"/>
          <w:noProof/>
          <w:color w:val="005498"/>
          <w:sz w:val="24"/>
        </w:rPr>
        <w:t>6.</w:t>
      </w:r>
      <w:r>
        <w:rPr>
          <w:rFonts w:ascii="Times New Roman" w:hAnsi="Times New Roman"/>
          <w:noProof/>
          <w:color w:val="005498"/>
          <w:sz w:val="24"/>
        </w:rPr>
        <w:tab/>
      </w:r>
      <w:r w:rsidR="007048C7" w:rsidRPr="006E6397">
        <w:rPr>
          <w:rFonts w:ascii="Times New Roman" w:hAnsi="Times New Roman"/>
          <w:noProof/>
          <w:color w:val="005498"/>
          <w:sz w:val="24"/>
        </w:rPr>
        <w:t>Secinājumi un ieteikumi (6. un 7. nodaļa)</w:t>
      </w:r>
    </w:p>
    <w:p w:rsidR="00E83A3B" w:rsidRPr="006E6397" w:rsidRDefault="00E83A3B" w:rsidP="006E6397">
      <w:pPr>
        <w:jc w:val="both"/>
        <w:rPr>
          <w:rFonts w:ascii="Times New Roman" w:eastAsia="Trebuchet MS" w:hAnsi="Times New Roman" w:cs="Trebuchet MS"/>
          <w:b/>
          <w:bCs/>
          <w:noProof/>
          <w:sz w:val="24"/>
          <w:szCs w:val="31"/>
        </w:rPr>
      </w:pPr>
    </w:p>
    <w:p w:rsidR="00E83A3B" w:rsidRPr="006E6397" w:rsidRDefault="00E83A3B" w:rsidP="006E6397">
      <w:pPr>
        <w:pStyle w:val="BodyText"/>
        <w:ind w:left="0"/>
        <w:jc w:val="both"/>
        <w:rPr>
          <w:rFonts w:ascii="Times New Roman" w:hAnsi="Times New Roman" w:cs="Arial"/>
          <w:noProof/>
          <w:color w:val="1A181C"/>
          <w:sz w:val="24"/>
        </w:rPr>
      </w:pPr>
      <w:r w:rsidRPr="006E6397">
        <w:rPr>
          <w:rFonts w:ascii="Times New Roman" w:hAnsi="Times New Roman"/>
          <w:noProof/>
          <w:color w:val="1A181C"/>
          <w:sz w:val="24"/>
        </w:rPr>
        <w:t>Nesen veiktajos pētījumos ir pierādīta KRN uzņēmumu spēja radīt izaugsmi un stimulēt inovāciju attiecībā uz ekonomiku kopumā; šie uzņēmumi arī palīdz radīt inovācijas un izaugsmi citās nozarēs. Tā kā KRN ir daudz, ko Eiropai piedāvāt, lēmumu pieņēmēji ir atbildīgi par to, lai tiktu risināts viens no šķēršļiem to izaugsmei – piekļuve finansējumam.</w:t>
      </w:r>
    </w:p>
    <w:p w:rsidR="00E83A3B" w:rsidRPr="006E6397" w:rsidRDefault="00E83A3B" w:rsidP="006E6397">
      <w:pPr>
        <w:jc w:val="both"/>
        <w:rPr>
          <w:rFonts w:ascii="Times New Roman" w:eastAsia="Arial" w:hAnsi="Times New Roman" w:cs="Arial"/>
          <w:noProof/>
          <w:sz w:val="24"/>
          <w:szCs w:val="20"/>
        </w:rPr>
      </w:pPr>
    </w:p>
    <w:p w:rsidR="00E83A3B" w:rsidRPr="006E6397" w:rsidRDefault="00E83A3B" w:rsidP="006E6397">
      <w:pPr>
        <w:pStyle w:val="BodyText"/>
        <w:ind w:left="0"/>
        <w:jc w:val="both"/>
        <w:rPr>
          <w:rFonts w:ascii="Times New Roman" w:hAnsi="Times New Roman" w:cs="Arial"/>
          <w:noProof/>
          <w:color w:val="1A181C"/>
          <w:sz w:val="24"/>
        </w:rPr>
      </w:pPr>
      <w:r w:rsidRPr="006E6397">
        <w:rPr>
          <w:rFonts w:ascii="Times New Roman" w:hAnsi="Times New Roman"/>
          <w:noProof/>
          <w:color w:val="1A181C"/>
          <w:sz w:val="24"/>
        </w:rPr>
        <w:t>Problēmas lielā mērā ir saistītas ar to, ka kopumā finansējumu vēl aizvien novirza tradicionālās ražošanas un rūpniecības stimulēšanai. Par to liecina fakts, ka nemateriālie aktīvi netiek atspoguļoti uzņēmumu bilancēs, kā arī sarežģījumi, kas apgrūtina to vērtēšanu un izmantošanu nodrošinājuma vajadzībām. Rezultātā no KRN un citu ekonomikas dinamisko nozaru viedokļa daudzi ar finansēšanu un nodrošinājumu saistītie normatīvu veidi ir mazliet novecojuši.</w:t>
      </w:r>
    </w:p>
    <w:p w:rsidR="00E83A3B" w:rsidRPr="006E6397" w:rsidRDefault="00E83A3B" w:rsidP="006E6397">
      <w:pPr>
        <w:jc w:val="both"/>
        <w:rPr>
          <w:rFonts w:ascii="Times New Roman" w:eastAsia="Arial" w:hAnsi="Times New Roman" w:cs="Arial"/>
          <w:noProof/>
          <w:sz w:val="24"/>
          <w:szCs w:val="20"/>
        </w:rPr>
      </w:pPr>
    </w:p>
    <w:p w:rsidR="00E83A3B" w:rsidRPr="006E6397" w:rsidRDefault="00E83A3B" w:rsidP="006E6397">
      <w:pPr>
        <w:pStyle w:val="BodyText"/>
        <w:ind w:left="0"/>
        <w:jc w:val="both"/>
        <w:rPr>
          <w:rFonts w:ascii="Times New Roman" w:hAnsi="Times New Roman" w:cs="Arial"/>
          <w:noProof/>
          <w:color w:val="1A181C"/>
          <w:sz w:val="24"/>
        </w:rPr>
      </w:pPr>
      <w:r w:rsidRPr="006E6397">
        <w:rPr>
          <w:rFonts w:ascii="Times New Roman" w:hAnsi="Times New Roman"/>
          <w:noProof/>
          <w:color w:val="1A181C"/>
          <w:sz w:val="24"/>
        </w:rPr>
        <w:t>Lai pārvarētu trūkumus un problēmas, kas kavē KRN piekļuvi finansējumam, AKM grupa dalībvalstīm un Komisijai savas kompetences ietvaros attiecīgajās jomās iesaka rīkoties, kā turpmāk norādīts.</w:t>
      </w:r>
    </w:p>
    <w:p w:rsidR="00E83A3B" w:rsidRPr="006E6397" w:rsidRDefault="00E83A3B" w:rsidP="006E6397">
      <w:pPr>
        <w:jc w:val="both"/>
        <w:rPr>
          <w:rFonts w:ascii="Times New Roman" w:eastAsia="Arial" w:hAnsi="Times New Roman" w:cs="Arial"/>
          <w:noProof/>
          <w:sz w:val="24"/>
          <w:szCs w:val="21"/>
        </w:rPr>
      </w:pPr>
    </w:p>
    <w:p w:rsidR="00E83A3B" w:rsidRPr="006E6397" w:rsidRDefault="00E83A3B" w:rsidP="006E6397">
      <w:pPr>
        <w:pStyle w:val="Heading2"/>
        <w:numPr>
          <w:ilvl w:val="0"/>
          <w:numId w:val="3"/>
        </w:numPr>
        <w:tabs>
          <w:tab w:val="left" w:pos="709"/>
        </w:tabs>
        <w:ind w:left="0" w:firstLine="0"/>
        <w:jc w:val="both"/>
        <w:rPr>
          <w:rFonts w:ascii="Times New Roman" w:hAnsi="Times New Roman"/>
          <w:noProof/>
          <w:color w:val="005498"/>
          <w:sz w:val="24"/>
        </w:rPr>
      </w:pPr>
      <w:r w:rsidRPr="006E6397">
        <w:rPr>
          <w:rFonts w:ascii="Times New Roman" w:hAnsi="Times New Roman"/>
          <w:noProof/>
          <w:color w:val="005498"/>
          <w:sz w:val="24"/>
        </w:rPr>
        <w:t>Izmēģināt un ieviest jaunas un inovatīvas finansēšanas shēmas</w:t>
      </w:r>
    </w:p>
    <w:p w:rsidR="00E83A3B" w:rsidRPr="006E6397" w:rsidRDefault="00E83A3B" w:rsidP="006E6397">
      <w:pPr>
        <w:pStyle w:val="BodyText"/>
        <w:ind w:left="709"/>
        <w:jc w:val="both"/>
        <w:rPr>
          <w:rFonts w:ascii="Times New Roman" w:hAnsi="Times New Roman"/>
          <w:noProof/>
          <w:color w:val="1A181C"/>
          <w:sz w:val="24"/>
        </w:rPr>
      </w:pPr>
      <w:r w:rsidRPr="006E6397">
        <w:rPr>
          <w:rFonts w:ascii="Times New Roman" w:hAnsi="Times New Roman"/>
          <w:noProof/>
          <w:color w:val="1A181C"/>
          <w:sz w:val="24"/>
        </w:rPr>
        <w:t>Daudziem KRN uzņēmumiem ir tādas pašas vajadzības pēc finansējuma kā citās nozarēs, jo to problēmas ir līdzīgas, bet daudziem uzņēmumiem nav piekļuves vai tie negūst labumu no vispārīgām finansēšanas shēmām. Jāievieš jauni finansēšanas instrumenti, kuru pamatā ir jaunas finansēšanas shēmas, piemēram, mikrokredīti, atmaksājami ieguldījumi, kolektīvā finansēšana u. tml.</w:t>
      </w:r>
    </w:p>
    <w:p w:rsidR="00E83A3B" w:rsidRPr="006E6397" w:rsidRDefault="00E83A3B" w:rsidP="006E6397">
      <w:pPr>
        <w:jc w:val="both"/>
        <w:rPr>
          <w:rFonts w:ascii="Times New Roman" w:eastAsia="Arial" w:hAnsi="Times New Roman" w:cs="Arial"/>
          <w:noProof/>
          <w:sz w:val="24"/>
          <w:szCs w:val="20"/>
        </w:rPr>
      </w:pPr>
    </w:p>
    <w:p w:rsidR="00E83A3B" w:rsidRPr="006E6397" w:rsidRDefault="00E83A3B" w:rsidP="006E6397">
      <w:pPr>
        <w:pStyle w:val="Heading2"/>
        <w:numPr>
          <w:ilvl w:val="0"/>
          <w:numId w:val="3"/>
        </w:numPr>
        <w:tabs>
          <w:tab w:val="left" w:pos="709"/>
        </w:tabs>
        <w:ind w:left="0" w:firstLine="0"/>
        <w:jc w:val="both"/>
        <w:rPr>
          <w:rFonts w:ascii="Times New Roman" w:hAnsi="Times New Roman"/>
          <w:noProof/>
          <w:color w:val="005498"/>
          <w:sz w:val="24"/>
        </w:rPr>
      </w:pPr>
      <w:r w:rsidRPr="006E6397">
        <w:rPr>
          <w:rFonts w:ascii="Times New Roman" w:hAnsi="Times New Roman"/>
          <w:noProof/>
          <w:color w:val="005498"/>
          <w:sz w:val="24"/>
        </w:rPr>
        <w:t>Uzlabot piekļuvi finansējumam, sniedzot lielāku atbalstu uzņēmējdarbībai</w:t>
      </w:r>
    </w:p>
    <w:p w:rsidR="00E83A3B" w:rsidRPr="006E6397" w:rsidRDefault="00E83A3B" w:rsidP="006E6397">
      <w:pPr>
        <w:pStyle w:val="BodyText"/>
        <w:ind w:left="709"/>
        <w:jc w:val="both"/>
        <w:rPr>
          <w:rFonts w:ascii="Times New Roman" w:hAnsi="Times New Roman" w:cs="Arial"/>
          <w:noProof/>
          <w:sz w:val="24"/>
        </w:rPr>
      </w:pPr>
      <w:r w:rsidRPr="006E6397">
        <w:rPr>
          <w:rFonts w:ascii="Times New Roman" w:hAnsi="Times New Roman"/>
          <w:noProof/>
          <w:color w:val="1A181C"/>
          <w:sz w:val="24"/>
        </w:rPr>
        <w:t>Jāuzlabo atbalsts KRN uzņēmumiem uzņēmējdarbības kompetenču veidošanas jomā, jo tas uzlabos to gatavību vērsties pie ārējiem investoriem</w:t>
      </w:r>
      <w:r w:rsidRPr="006E6397">
        <w:rPr>
          <w:rStyle w:val="FootnoteReference"/>
          <w:rFonts w:ascii="Times New Roman" w:hAnsi="Times New Roman"/>
          <w:noProof/>
          <w:color w:val="1A181C"/>
          <w:sz w:val="24"/>
        </w:rPr>
        <w:footnoteReference w:id="3"/>
      </w:r>
      <w:r w:rsidRPr="006E6397">
        <w:rPr>
          <w:rFonts w:ascii="Times New Roman" w:hAnsi="Times New Roman"/>
          <w:noProof/>
          <w:color w:val="1A181C"/>
          <w:sz w:val="24"/>
        </w:rPr>
        <w:t>.</w:t>
      </w:r>
    </w:p>
    <w:p w:rsidR="00E83A3B" w:rsidRPr="006E6397" w:rsidRDefault="00E83A3B" w:rsidP="006E6397">
      <w:pPr>
        <w:jc w:val="both"/>
        <w:rPr>
          <w:rFonts w:ascii="Times New Roman" w:eastAsia="Arial" w:hAnsi="Times New Roman" w:cs="Arial"/>
          <w:noProof/>
          <w:sz w:val="24"/>
          <w:szCs w:val="20"/>
        </w:rPr>
      </w:pPr>
    </w:p>
    <w:p w:rsidR="00E83A3B" w:rsidRPr="006E6397" w:rsidRDefault="00E83A3B" w:rsidP="006E6397">
      <w:pPr>
        <w:pStyle w:val="Heading2"/>
        <w:numPr>
          <w:ilvl w:val="0"/>
          <w:numId w:val="3"/>
        </w:numPr>
        <w:tabs>
          <w:tab w:val="left" w:pos="709"/>
        </w:tabs>
        <w:ind w:left="0" w:firstLine="0"/>
        <w:jc w:val="both"/>
        <w:rPr>
          <w:rFonts w:ascii="Times New Roman" w:hAnsi="Times New Roman"/>
          <w:noProof/>
          <w:color w:val="005498"/>
          <w:sz w:val="24"/>
        </w:rPr>
      </w:pPr>
      <w:r w:rsidRPr="006E6397">
        <w:rPr>
          <w:rFonts w:ascii="Times New Roman" w:hAnsi="Times New Roman"/>
          <w:noProof/>
          <w:color w:val="005498"/>
          <w:sz w:val="24"/>
        </w:rPr>
        <w:t>Atbalstīt partnerību ar uzņēmumiem citās nozarēs</w:t>
      </w:r>
    </w:p>
    <w:p w:rsidR="00E83A3B" w:rsidRPr="006E6397" w:rsidRDefault="00E83A3B" w:rsidP="006E6397">
      <w:pPr>
        <w:pStyle w:val="BodyText"/>
        <w:ind w:left="709"/>
        <w:jc w:val="both"/>
        <w:rPr>
          <w:rFonts w:ascii="Times New Roman" w:hAnsi="Times New Roman"/>
          <w:noProof/>
          <w:color w:val="1A181C"/>
          <w:sz w:val="24"/>
        </w:rPr>
      </w:pPr>
      <w:r w:rsidRPr="006E6397">
        <w:rPr>
          <w:rFonts w:ascii="Times New Roman" w:hAnsi="Times New Roman"/>
          <w:noProof/>
          <w:color w:val="1A181C"/>
          <w:sz w:val="24"/>
        </w:rPr>
        <w:t>Bizness biznesam (</w:t>
      </w:r>
      <w:r w:rsidRPr="006E6397">
        <w:rPr>
          <w:rFonts w:ascii="Times New Roman" w:hAnsi="Times New Roman"/>
          <w:i/>
          <w:noProof/>
          <w:color w:val="1A181C"/>
          <w:sz w:val="24"/>
        </w:rPr>
        <w:t>B2B</w:t>
      </w:r>
      <w:r w:rsidRPr="006E6397">
        <w:rPr>
          <w:rFonts w:ascii="Times New Roman" w:hAnsi="Times New Roman"/>
          <w:noProof/>
          <w:color w:val="1A181C"/>
          <w:sz w:val="24"/>
        </w:rPr>
        <w:t>) tirgus veidošanai starp KRN uzņēmumiem un plašākā ekonomikas jomā strādājošajiem uzņēmumiem ir ievērojams potenciāls, un tas var būt starpnozaru inovāciju katalizators. To var attīstīt ar inovācijas vaučeru shēmām, kas uzlabo piekļuvi tirgiem un finansējumam. No KRN jomā strādājošajiem MVU tas savukārt prasīs lielāku profesionalizāciju, attīstot šo uzņēmumu spēju noteikt izaicinājumus inovāciju jomā citās nozarēs un sabiedrībā kopumā.</w:t>
      </w:r>
    </w:p>
    <w:p w:rsidR="00E83A3B" w:rsidRPr="006E6397" w:rsidRDefault="00E83A3B" w:rsidP="006E6397">
      <w:pPr>
        <w:jc w:val="both"/>
        <w:rPr>
          <w:rFonts w:ascii="Times New Roman" w:eastAsia="Arial" w:hAnsi="Times New Roman" w:cs="Arial"/>
          <w:noProof/>
          <w:sz w:val="24"/>
          <w:szCs w:val="20"/>
        </w:rPr>
      </w:pPr>
    </w:p>
    <w:p w:rsidR="00E83A3B" w:rsidRPr="006E6397" w:rsidRDefault="00E83A3B" w:rsidP="006E6397">
      <w:pPr>
        <w:pStyle w:val="Heading2"/>
        <w:numPr>
          <w:ilvl w:val="0"/>
          <w:numId w:val="3"/>
        </w:numPr>
        <w:tabs>
          <w:tab w:val="left" w:pos="709"/>
        </w:tabs>
        <w:ind w:left="0" w:firstLine="0"/>
        <w:jc w:val="both"/>
        <w:rPr>
          <w:rFonts w:ascii="Times New Roman" w:hAnsi="Times New Roman"/>
          <w:noProof/>
          <w:color w:val="005498"/>
          <w:sz w:val="24"/>
        </w:rPr>
      </w:pPr>
      <w:r w:rsidRPr="006E6397">
        <w:rPr>
          <w:rFonts w:ascii="Times New Roman" w:hAnsi="Times New Roman"/>
          <w:noProof/>
          <w:color w:val="005498"/>
          <w:sz w:val="24"/>
        </w:rPr>
        <w:t>Uzlabot piekļuvi finansējumam, uzlabojot investoru informētību</w:t>
      </w:r>
    </w:p>
    <w:p w:rsidR="00E83A3B" w:rsidRPr="006E6397" w:rsidRDefault="00E83A3B" w:rsidP="006E6397">
      <w:pPr>
        <w:pStyle w:val="BodyText"/>
        <w:ind w:left="709"/>
        <w:jc w:val="both"/>
        <w:rPr>
          <w:rFonts w:ascii="Times New Roman" w:hAnsi="Times New Roman" w:cs="Arial"/>
          <w:noProof/>
          <w:color w:val="1A181C"/>
          <w:sz w:val="24"/>
        </w:rPr>
      </w:pPr>
      <w:r w:rsidRPr="006E6397">
        <w:rPr>
          <w:rFonts w:ascii="Times New Roman" w:hAnsi="Times New Roman"/>
          <w:noProof/>
          <w:color w:val="1A181C"/>
          <w:sz w:val="24"/>
        </w:rPr>
        <w:t xml:space="preserve">Sabiedrisko un privāto investoru informētība un izpratne par KRN uzņēmumu piedāvātajām investīciju un uzņēmējdarbības iespējām jāuzlabo ar jauniem labākās </w:t>
      </w:r>
      <w:r w:rsidRPr="006E6397">
        <w:rPr>
          <w:rFonts w:ascii="Times New Roman" w:hAnsi="Times New Roman"/>
          <w:noProof/>
          <w:color w:val="1A181C"/>
          <w:sz w:val="24"/>
        </w:rPr>
        <w:lastRenderedPageBreak/>
        <w:t>prakses piemēriem un kopīgi veiktu veicināšanas pasākumu iniciatīvām.</w:t>
      </w:r>
    </w:p>
    <w:p w:rsidR="00E83A3B" w:rsidRPr="006E6397" w:rsidRDefault="00E83A3B" w:rsidP="006E6397">
      <w:pPr>
        <w:jc w:val="both"/>
        <w:rPr>
          <w:rFonts w:ascii="Times New Roman" w:eastAsia="Arial" w:hAnsi="Times New Roman" w:cs="Arial"/>
          <w:noProof/>
          <w:sz w:val="24"/>
          <w:szCs w:val="20"/>
        </w:rPr>
      </w:pPr>
    </w:p>
    <w:p w:rsidR="00E83A3B" w:rsidRPr="006E6397" w:rsidRDefault="00E83A3B" w:rsidP="006E6397">
      <w:pPr>
        <w:pStyle w:val="Heading2"/>
        <w:numPr>
          <w:ilvl w:val="0"/>
          <w:numId w:val="3"/>
        </w:numPr>
        <w:tabs>
          <w:tab w:val="left" w:pos="709"/>
        </w:tabs>
        <w:ind w:left="0" w:firstLine="0"/>
        <w:jc w:val="both"/>
        <w:rPr>
          <w:rFonts w:ascii="Times New Roman" w:hAnsi="Times New Roman"/>
          <w:noProof/>
          <w:color w:val="005498"/>
          <w:sz w:val="24"/>
        </w:rPr>
      </w:pPr>
      <w:r w:rsidRPr="006E6397">
        <w:rPr>
          <w:rFonts w:ascii="Times New Roman" w:hAnsi="Times New Roman"/>
          <w:noProof/>
          <w:color w:val="005498"/>
          <w:sz w:val="24"/>
        </w:rPr>
        <w:t>Uzlabot datus par KRN un KRN uzņēmumiem</w:t>
      </w:r>
    </w:p>
    <w:p w:rsidR="00E83A3B" w:rsidRPr="006E6397" w:rsidRDefault="00E83A3B" w:rsidP="006E6397">
      <w:pPr>
        <w:pStyle w:val="BodyText"/>
        <w:ind w:left="709"/>
        <w:jc w:val="both"/>
        <w:rPr>
          <w:rFonts w:ascii="Times New Roman" w:hAnsi="Times New Roman"/>
          <w:noProof/>
          <w:color w:val="1A181C"/>
          <w:sz w:val="24"/>
        </w:rPr>
      </w:pPr>
      <w:r w:rsidRPr="006E6397">
        <w:rPr>
          <w:rFonts w:ascii="Times New Roman" w:hAnsi="Times New Roman"/>
          <w:noProof/>
          <w:color w:val="1A181C"/>
          <w:sz w:val="24"/>
        </w:rPr>
        <w:t>Ņemot vērā to, cik grūti ir izmērīt KRN ietekmi un dinamiku, ieteicams atbalstīt iniciatīvas un sadarbību, kuru mērķis ir būtisku un precīzu datu vākšana par attiecīgajām nozarēm – gan par nozarēm pašām par sevi, gan arī par to lomu inovāciju un izaugsmes stimulēšanā pārējā ekonomikā. Lai uzlabotu datus un informētību par labāko praksi, KRN uzņēmumiem ir vajadzīga stiprāka platforma gan valstu, gan Eiropas līmenī, kas palīdzēs piekļūt finansējumam.</w:t>
      </w:r>
    </w:p>
    <w:p w:rsidR="00E83A3B" w:rsidRPr="006E6397" w:rsidRDefault="00E83A3B" w:rsidP="006E6397">
      <w:pPr>
        <w:jc w:val="both"/>
        <w:rPr>
          <w:rFonts w:ascii="Times New Roman" w:eastAsia="Arial" w:hAnsi="Times New Roman" w:cs="Arial"/>
          <w:noProof/>
          <w:sz w:val="24"/>
          <w:szCs w:val="2"/>
        </w:rPr>
      </w:pPr>
    </w:p>
    <w:p w:rsidR="00E83A3B" w:rsidRPr="006E6397" w:rsidRDefault="00E83A3B" w:rsidP="006E6397">
      <w:pPr>
        <w:pStyle w:val="Heading2"/>
        <w:numPr>
          <w:ilvl w:val="0"/>
          <w:numId w:val="3"/>
        </w:numPr>
        <w:tabs>
          <w:tab w:val="left" w:pos="709"/>
        </w:tabs>
        <w:ind w:left="0" w:firstLine="0"/>
        <w:jc w:val="both"/>
        <w:rPr>
          <w:rFonts w:ascii="Times New Roman" w:hAnsi="Times New Roman"/>
          <w:noProof/>
          <w:color w:val="005498"/>
          <w:sz w:val="24"/>
        </w:rPr>
      </w:pPr>
      <w:r w:rsidRPr="006E6397">
        <w:rPr>
          <w:rFonts w:ascii="Times New Roman" w:hAnsi="Times New Roman"/>
          <w:noProof/>
          <w:color w:val="005498"/>
          <w:sz w:val="24"/>
        </w:rPr>
        <w:t>Plašāk izmantot IĪT kā aktīvus un nodrošinājumu</w:t>
      </w:r>
    </w:p>
    <w:p w:rsidR="00E83A3B" w:rsidRPr="006E6397" w:rsidRDefault="00E83A3B" w:rsidP="006E6397">
      <w:pPr>
        <w:pStyle w:val="BodyText"/>
        <w:ind w:left="709"/>
        <w:jc w:val="both"/>
        <w:rPr>
          <w:rFonts w:ascii="Times New Roman" w:hAnsi="Times New Roman"/>
          <w:noProof/>
          <w:color w:val="1A181C"/>
          <w:sz w:val="24"/>
        </w:rPr>
      </w:pPr>
      <w:r w:rsidRPr="006E6397">
        <w:rPr>
          <w:rFonts w:ascii="Times New Roman" w:hAnsi="Times New Roman"/>
          <w:noProof/>
          <w:color w:val="1A181C"/>
          <w:sz w:val="24"/>
        </w:rPr>
        <w:t>Ekonomiskajai ražošanai pastāvīgi attīstoties un veidojoties jauniem finansēšanas instrumentiem un praksei, jāparedz iniciatīvas, kas ļautu izmantot IĪT kā aktīvus un nodrošinājumu. Jo īpaši nepieciešama rīcība turpmāk norādītajos gadījumos.</w:t>
      </w:r>
    </w:p>
    <w:p w:rsidR="00E83A3B" w:rsidRPr="006E6397" w:rsidRDefault="00E83A3B" w:rsidP="006E6397">
      <w:pPr>
        <w:jc w:val="both"/>
        <w:rPr>
          <w:rFonts w:ascii="Times New Roman" w:eastAsia="Arial" w:hAnsi="Times New Roman" w:cs="Arial"/>
          <w:noProof/>
          <w:sz w:val="24"/>
          <w:szCs w:val="20"/>
        </w:rPr>
      </w:pPr>
    </w:p>
    <w:p w:rsidR="00E83A3B" w:rsidRPr="006E6397" w:rsidRDefault="006E6397" w:rsidP="006E6397">
      <w:pPr>
        <w:ind w:left="1134" w:hanging="425"/>
        <w:jc w:val="both"/>
        <w:rPr>
          <w:rFonts w:ascii="Times New Roman" w:eastAsia="Arial" w:hAnsi="Times New Roman" w:cs="Arial"/>
          <w:noProof/>
          <w:sz w:val="24"/>
          <w:szCs w:val="20"/>
        </w:rPr>
      </w:pPr>
      <w:r>
        <w:rPr>
          <w:rFonts w:ascii="Times New Roman" w:hAnsi="Times New Roman"/>
          <w:noProof/>
          <w:color w:val="005498"/>
          <w:sz w:val="24"/>
        </w:rPr>
        <w:t>&gt;</w:t>
      </w:r>
      <w:r>
        <w:rPr>
          <w:rFonts w:ascii="Times New Roman" w:hAnsi="Times New Roman"/>
          <w:noProof/>
          <w:color w:val="005498"/>
          <w:sz w:val="24"/>
        </w:rPr>
        <w:tab/>
      </w:r>
      <w:r w:rsidR="00E83A3B" w:rsidRPr="006E6397">
        <w:rPr>
          <w:rFonts w:ascii="Times New Roman" w:hAnsi="Times New Roman"/>
          <w:i/>
          <w:noProof/>
          <w:color w:val="005498"/>
          <w:sz w:val="24"/>
        </w:rPr>
        <w:t>Lai uzlabotu IĪT noteikšanu un vērtēšanu:</w:t>
      </w:r>
    </w:p>
    <w:p w:rsidR="00E83A3B" w:rsidRPr="006E6397" w:rsidRDefault="00E83A3B" w:rsidP="006E6397">
      <w:pPr>
        <w:pStyle w:val="BodyText"/>
        <w:numPr>
          <w:ilvl w:val="1"/>
          <w:numId w:val="1"/>
        </w:numPr>
        <w:tabs>
          <w:tab w:val="left" w:pos="709"/>
        </w:tabs>
        <w:ind w:left="1134" w:hanging="425"/>
        <w:jc w:val="both"/>
        <w:rPr>
          <w:rFonts w:ascii="Times New Roman" w:hAnsi="Times New Roman"/>
          <w:noProof/>
          <w:color w:val="1A181C"/>
          <w:sz w:val="24"/>
        </w:rPr>
      </w:pPr>
      <w:r w:rsidRPr="006E6397">
        <w:rPr>
          <w:rFonts w:ascii="Times New Roman" w:hAnsi="Times New Roman"/>
          <w:noProof/>
          <w:color w:val="1A181C"/>
          <w:sz w:val="24"/>
        </w:rPr>
        <w:t>jāsadarbojas ar uzņēmumiem, kas balstās uz IĪ, un finansētājiem, lai veicinātu identifikācijas un vērtēšanas instrumentu izstrādāšanu un lietošanu;</w:t>
      </w:r>
    </w:p>
    <w:p w:rsidR="00E83A3B" w:rsidRPr="006E6397" w:rsidRDefault="00E83A3B" w:rsidP="006E6397">
      <w:pPr>
        <w:pStyle w:val="BodyText"/>
        <w:numPr>
          <w:ilvl w:val="1"/>
          <w:numId w:val="1"/>
        </w:numPr>
        <w:tabs>
          <w:tab w:val="left" w:pos="709"/>
        </w:tabs>
        <w:ind w:left="1134" w:hanging="425"/>
        <w:jc w:val="both"/>
        <w:rPr>
          <w:rFonts w:ascii="Times New Roman" w:hAnsi="Times New Roman"/>
          <w:noProof/>
          <w:color w:val="1A181C"/>
          <w:sz w:val="24"/>
        </w:rPr>
      </w:pPr>
      <w:r w:rsidRPr="006E6397">
        <w:rPr>
          <w:rFonts w:ascii="Times New Roman" w:hAnsi="Times New Roman"/>
          <w:noProof/>
          <w:color w:val="1A181C"/>
          <w:sz w:val="24"/>
        </w:rPr>
        <w:t>jāapmainās ar pieredzi un praksi par šiem instrumentiem ES līmenī un, ja iespējams, jādomā par to kopīgu izmantošanu, nodrošinot instrumentu savietojamību.</w:t>
      </w:r>
    </w:p>
    <w:p w:rsidR="00E83A3B" w:rsidRPr="006E6397" w:rsidRDefault="00E83A3B" w:rsidP="006E6397">
      <w:pPr>
        <w:ind w:left="1134" w:hanging="425"/>
        <w:jc w:val="both"/>
        <w:rPr>
          <w:rFonts w:ascii="Times New Roman" w:eastAsia="Arial" w:hAnsi="Times New Roman" w:cs="Arial"/>
          <w:noProof/>
          <w:sz w:val="24"/>
          <w:szCs w:val="20"/>
        </w:rPr>
      </w:pPr>
    </w:p>
    <w:p w:rsidR="00E83A3B" w:rsidRPr="006E6397" w:rsidRDefault="00E83A3B" w:rsidP="006E6397">
      <w:pPr>
        <w:ind w:left="1134" w:hanging="425"/>
        <w:jc w:val="both"/>
        <w:rPr>
          <w:rFonts w:ascii="Times New Roman" w:eastAsia="Arial" w:hAnsi="Times New Roman" w:cs="Arial"/>
          <w:noProof/>
          <w:sz w:val="24"/>
          <w:szCs w:val="20"/>
        </w:rPr>
      </w:pPr>
      <w:r w:rsidRPr="006E6397">
        <w:rPr>
          <w:rFonts w:ascii="Times New Roman" w:hAnsi="Times New Roman"/>
          <w:noProof/>
          <w:color w:val="005498"/>
          <w:sz w:val="24"/>
        </w:rPr>
        <w:t>&gt;</w:t>
      </w:r>
      <w:r w:rsidR="006E6397">
        <w:rPr>
          <w:rFonts w:ascii="Times New Roman" w:hAnsi="Times New Roman"/>
          <w:noProof/>
          <w:color w:val="005498"/>
          <w:sz w:val="24"/>
        </w:rPr>
        <w:tab/>
      </w:r>
      <w:r w:rsidRPr="006E6397">
        <w:rPr>
          <w:rFonts w:ascii="Times New Roman" w:hAnsi="Times New Roman"/>
          <w:i/>
          <w:noProof/>
          <w:color w:val="005498"/>
          <w:sz w:val="24"/>
        </w:rPr>
        <w:t>Lai mazinātu ar IĪ aktīviem saistīto risku:</w:t>
      </w:r>
    </w:p>
    <w:p w:rsidR="00E83A3B" w:rsidRPr="006E6397" w:rsidRDefault="00E83A3B" w:rsidP="006E6397">
      <w:pPr>
        <w:pStyle w:val="BodyText"/>
        <w:numPr>
          <w:ilvl w:val="1"/>
          <w:numId w:val="1"/>
        </w:numPr>
        <w:tabs>
          <w:tab w:val="left" w:pos="709"/>
        </w:tabs>
        <w:ind w:left="1134" w:hanging="425"/>
        <w:jc w:val="both"/>
        <w:rPr>
          <w:rFonts w:ascii="Times New Roman" w:hAnsi="Times New Roman"/>
          <w:noProof/>
          <w:color w:val="1A181C"/>
          <w:sz w:val="24"/>
        </w:rPr>
      </w:pPr>
      <w:r w:rsidRPr="006E6397">
        <w:rPr>
          <w:rFonts w:ascii="Times New Roman" w:hAnsi="Times New Roman"/>
          <w:noProof/>
          <w:color w:val="1A181C"/>
          <w:sz w:val="24"/>
        </w:rPr>
        <w:t>jāveicina tādu produktu pieejamība, kuri nodrošinās finansētājus tiesvedības gadījumā, jo īpaši tādu produktu, kas apdrošina IĪT vērtību, apdrošinot tiesību portfeļa vērtību.</w:t>
      </w:r>
    </w:p>
    <w:p w:rsidR="00E83A3B" w:rsidRPr="006E6397" w:rsidRDefault="00E83A3B" w:rsidP="006E6397">
      <w:pPr>
        <w:ind w:left="1134" w:hanging="425"/>
        <w:jc w:val="both"/>
        <w:rPr>
          <w:rFonts w:ascii="Times New Roman" w:eastAsia="Arial" w:hAnsi="Times New Roman" w:cs="Arial"/>
          <w:noProof/>
          <w:sz w:val="24"/>
          <w:szCs w:val="21"/>
        </w:rPr>
      </w:pPr>
    </w:p>
    <w:p w:rsidR="00E83A3B" w:rsidRPr="006E6397" w:rsidRDefault="00E83A3B" w:rsidP="006E6397">
      <w:pPr>
        <w:ind w:left="1134" w:hanging="425"/>
        <w:jc w:val="both"/>
        <w:rPr>
          <w:rFonts w:ascii="Times New Roman" w:eastAsia="Arial" w:hAnsi="Times New Roman" w:cs="Arial"/>
          <w:noProof/>
          <w:sz w:val="24"/>
          <w:szCs w:val="20"/>
        </w:rPr>
      </w:pPr>
      <w:r w:rsidRPr="006E6397">
        <w:rPr>
          <w:rFonts w:ascii="Times New Roman" w:hAnsi="Times New Roman"/>
          <w:noProof/>
          <w:color w:val="005498"/>
          <w:sz w:val="24"/>
        </w:rPr>
        <w:t>&gt;</w:t>
      </w:r>
      <w:r w:rsidR="006E6397">
        <w:rPr>
          <w:rFonts w:ascii="Times New Roman" w:hAnsi="Times New Roman"/>
          <w:noProof/>
          <w:color w:val="005498"/>
          <w:sz w:val="24"/>
        </w:rPr>
        <w:tab/>
      </w:r>
      <w:r w:rsidRPr="006E6397">
        <w:rPr>
          <w:rFonts w:ascii="Times New Roman" w:hAnsi="Times New Roman"/>
          <w:i/>
          <w:noProof/>
          <w:color w:val="005498"/>
          <w:sz w:val="24"/>
        </w:rPr>
        <w:t>Lai nodrošinātu, ka tiesību akti par vērtspapīriem netraucē KRN un citiem ar IĪ bagātiem uzņēmumiem piekļūt finansējumam:</w:t>
      </w:r>
    </w:p>
    <w:p w:rsidR="00E83A3B" w:rsidRPr="006E6397" w:rsidRDefault="00E83A3B" w:rsidP="006E6397">
      <w:pPr>
        <w:pStyle w:val="BodyText"/>
        <w:numPr>
          <w:ilvl w:val="1"/>
          <w:numId w:val="1"/>
        </w:numPr>
        <w:tabs>
          <w:tab w:val="left" w:pos="709"/>
        </w:tabs>
        <w:ind w:left="1134" w:hanging="425"/>
        <w:jc w:val="both"/>
        <w:rPr>
          <w:rFonts w:ascii="Times New Roman" w:hAnsi="Times New Roman"/>
          <w:noProof/>
          <w:color w:val="1A181C"/>
          <w:sz w:val="24"/>
        </w:rPr>
      </w:pPr>
      <w:r w:rsidRPr="006E6397">
        <w:rPr>
          <w:rFonts w:ascii="Times New Roman" w:hAnsi="Times New Roman"/>
          <w:noProof/>
          <w:color w:val="1A181C"/>
          <w:sz w:val="24"/>
        </w:rPr>
        <w:t>jāpārskata tiesību akti, lai attiecīgas IĪT aizsardzības formas spētu darboties.</w:t>
      </w:r>
    </w:p>
    <w:p w:rsidR="00E83A3B" w:rsidRPr="006E6397" w:rsidRDefault="00E83A3B" w:rsidP="006E6397">
      <w:pPr>
        <w:ind w:left="1134" w:hanging="425"/>
        <w:jc w:val="both"/>
        <w:rPr>
          <w:rFonts w:ascii="Times New Roman" w:eastAsia="Arial" w:hAnsi="Times New Roman" w:cs="Arial"/>
          <w:noProof/>
          <w:sz w:val="24"/>
          <w:szCs w:val="21"/>
        </w:rPr>
      </w:pPr>
    </w:p>
    <w:p w:rsidR="00E83A3B" w:rsidRPr="006E6397" w:rsidRDefault="006E6397" w:rsidP="006E6397">
      <w:pPr>
        <w:ind w:left="1134" w:hanging="425"/>
        <w:jc w:val="both"/>
        <w:rPr>
          <w:rFonts w:ascii="Times New Roman" w:eastAsia="Arial" w:hAnsi="Times New Roman" w:cs="Arial"/>
          <w:noProof/>
          <w:sz w:val="24"/>
          <w:szCs w:val="20"/>
        </w:rPr>
      </w:pPr>
      <w:r>
        <w:rPr>
          <w:rFonts w:ascii="Times New Roman" w:hAnsi="Times New Roman"/>
          <w:noProof/>
          <w:color w:val="005498"/>
          <w:sz w:val="24"/>
        </w:rPr>
        <w:t>&gt;</w:t>
      </w:r>
      <w:r>
        <w:rPr>
          <w:rFonts w:ascii="Times New Roman" w:hAnsi="Times New Roman"/>
          <w:noProof/>
          <w:color w:val="005498"/>
          <w:sz w:val="24"/>
        </w:rPr>
        <w:tab/>
      </w:r>
      <w:r w:rsidR="00E83A3B" w:rsidRPr="006E6397">
        <w:rPr>
          <w:rFonts w:ascii="Times New Roman" w:hAnsi="Times New Roman"/>
          <w:i/>
          <w:noProof/>
          <w:color w:val="005498"/>
          <w:sz w:val="24"/>
        </w:rPr>
        <w:t>Lai labāk īstenotu izpildes stratēģijas:</w:t>
      </w:r>
    </w:p>
    <w:p w:rsidR="00E83A3B" w:rsidRPr="006E6397" w:rsidRDefault="00E83A3B" w:rsidP="006E6397">
      <w:pPr>
        <w:pStyle w:val="BodyText"/>
        <w:numPr>
          <w:ilvl w:val="1"/>
          <w:numId w:val="1"/>
        </w:numPr>
        <w:tabs>
          <w:tab w:val="left" w:pos="709"/>
        </w:tabs>
        <w:ind w:left="1134" w:hanging="425"/>
        <w:jc w:val="both"/>
        <w:rPr>
          <w:rFonts w:ascii="Times New Roman" w:hAnsi="Times New Roman"/>
          <w:noProof/>
          <w:color w:val="1A181C"/>
          <w:sz w:val="24"/>
        </w:rPr>
      </w:pPr>
      <w:r w:rsidRPr="006E6397">
        <w:rPr>
          <w:rFonts w:ascii="Times New Roman" w:hAnsi="Times New Roman"/>
          <w:noProof/>
          <w:color w:val="1A181C"/>
          <w:sz w:val="24"/>
        </w:rPr>
        <w:t>jāseko līdzi tirgus norisēm saistībā ar IĪ biržu veidošanos un jāveicina Eiropas IĪ biržu dibināšana, ja tas tiks uzskatīts par lietderīgu.</w:t>
      </w:r>
    </w:p>
    <w:p w:rsidR="00E83A3B" w:rsidRPr="006E6397" w:rsidRDefault="00E83A3B" w:rsidP="006E6397">
      <w:pPr>
        <w:ind w:left="1134" w:hanging="425"/>
        <w:jc w:val="both"/>
        <w:rPr>
          <w:rFonts w:ascii="Times New Roman" w:eastAsia="Arial" w:hAnsi="Times New Roman" w:cs="Arial"/>
          <w:noProof/>
          <w:sz w:val="24"/>
          <w:szCs w:val="20"/>
        </w:rPr>
      </w:pPr>
    </w:p>
    <w:p w:rsidR="00E83A3B" w:rsidRPr="006E6397" w:rsidRDefault="006E6397" w:rsidP="006E6397">
      <w:pPr>
        <w:ind w:left="1134" w:hanging="425"/>
        <w:jc w:val="both"/>
        <w:rPr>
          <w:rFonts w:ascii="Times New Roman" w:eastAsia="Arial" w:hAnsi="Times New Roman" w:cs="Arial"/>
          <w:noProof/>
          <w:sz w:val="24"/>
          <w:szCs w:val="20"/>
        </w:rPr>
      </w:pPr>
      <w:r>
        <w:rPr>
          <w:rFonts w:ascii="Times New Roman" w:hAnsi="Times New Roman"/>
          <w:noProof/>
          <w:color w:val="005498"/>
          <w:sz w:val="24"/>
        </w:rPr>
        <w:t>&gt;</w:t>
      </w:r>
      <w:r>
        <w:rPr>
          <w:rFonts w:ascii="Times New Roman" w:hAnsi="Times New Roman"/>
          <w:noProof/>
          <w:color w:val="005498"/>
          <w:sz w:val="24"/>
        </w:rPr>
        <w:tab/>
      </w:r>
      <w:r w:rsidR="00E83A3B" w:rsidRPr="006E6397">
        <w:rPr>
          <w:rFonts w:ascii="Times New Roman" w:hAnsi="Times New Roman"/>
          <w:i/>
          <w:noProof/>
          <w:color w:val="005498"/>
          <w:sz w:val="24"/>
        </w:rPr>
        <w:t>Lai radītu skaidrību starptautiskajos jautājumos:</w:t>
      </w:r>
    </w:p>
    <w:p w:rsidR="00E83A3B" w:rsidRPr="006E6397" w:rsidRDefault="00E83A3B" w:rsidP="006E6397">
      <w:pPr>
        <w:pStyle w:val="BodyText"/>
        <w:numPr>
          <w:ilvl w:val="1"/>
          <w:numId w:val="1"/>
        </w:numPr>
        <w:tabs>
          <w:tab w:val="left" w:pos="709"/>
        </w:tabs>
        <w:ind w:left="1134" w:hanging="425"/>
        <w:jc w:val="both"/>
        <w:rPr>
          <w:rFonts w:ascii="Times New Roman" w:hAnsi="Times New Roman"/>
          <w:noProof/>
          <w:color w:val="1A181C"/>
          <w:sz w:val="24"/>
        </w:rPr>
      </w:pPr>
      <w:r w:rsidRPr="006E6397">
        <w:rPr>
          <w:rFonts w:ascii="Times New Roman" w:hAnsi="Times New Roman"/>
          <w:noProof/>
          <w:color w:val="1A181C"/>
          <w:sz w:val="24"/>
        </w:rPr>
        <w:t>starptautiskajā sadarbībā jāņem vērā pret IĪ izsniegto aizdevumu specifika nodrošināto darījumu jomā, jo īpaši ANO Starptautiskās tirdzniecības tiesību komisijā (UNCITRAL).</w:t>
      </w:r>
    </w:p>
    <w:p w:rsidR="00E83A3B" w:rsidRPr="006E6397" w:rsidRDefault="00E83A3B" w:rsidP="006E6397">
      <w:pPr>
        <w:ind w:left="1134" w:hanging="425"/>
        <w:jc w:val="both"/>
        <w:rPr>
          <w:rFonts w:ascii="Times New Roman" w:eastAsia="Arial" w:hAnsi="Times New Roman" w:cs="Arial"/>
          <w:noProof/>
          <w:sz w:val="24"/>
          <w:szCs w:val="20"/>
        </w:rPr>
      </w:pPr>
    </w:p>
    <w:p w:rsidR="00E83A3B" w:rsidRPr="006E6397" w:rsidRDefault="006E6397" w:rsidP="006E6397">
      <w:pPr>
        <w:ind w:left="1134" w:hanging="425"/>
        <w:jc w:val="both"/>
        <w:rPr>
          <w:rFonts w:ascii="Times New Roman" w:eastAsia="Arial" w:hAnsi="Times New Roman" w:cs="Arial"/>
          <w:noProof/>
          <w:sz w:val="24"/>
          <w:szCs w:val="20"/>
        </w:rPr>
      </w:pPr>
      <w:r>
        <w:rPr>
          <w:rFonts w:ascii="Times New Roman" w:hAnsi="Times New Roman"/>
          <w:noProof/>
          <w:color w:val="005498"/>
          <w:sz w:val="24"/>
        </w:rPr>
        <w:t>&gt;</w:t>
      </w:r>
      <w:r>
        <w:rPr>
          <w:rFonts w:ascii="Times New Roman" w:hAnsi="Times New Roman"/>
          <w:noProof/>
          <w:color w:val="005498"/>
          <w:sz w:val="24"/>
        </w:rPr>
        <w:tab/>
      </w:r>
      <w:r w:rsidR="00E83A3B" w:rsidRPr="006E6397">
        <w:rPr>
          <w:rFonts w:ascii="Times New Roman" w:hAnsi="Times New Roman"/>
          <w:i/>
          <w:noProof/>
          <w:color w:val="005498"/>
          <w:sz w:val="24"/>
        </w:rPr>
        <w:t>Lai palielinātu IĪT “rentabilitāti” un atzītu to par pilnvērtīgu aktīvu:</w:t>
      </w:r>
    </w:p>
    <w:p w:rsidR="00E83A3B" w:rsidRPr="006E6397" w:rsidRDefault="00E83A3B" w:rsidP="006E6397">
      <w:pPr>
        <w:pStyle w:val="BodyText"/>
        <w:numPr>
          <w:ilvl w:val="1"/>
          <w:numId w:val="1"/>
        </w:numPr>
        <w:tabs>
          <w:tab w:val="left" w:pos="709"/>
        </w:tabs>
        <w:ind w:left="1134" w:hanging="425"/>
        <w:jc w:val="both"/>
        <w:rPr>
          <w:rFonts w:ascii="Times New Roman" w:hAnsi="Times New Roman"/>
          <w:noProof/>
          <w:color w:val="1A181C"/>
          <w:sz w:val="24"/>
        </w:rPr>
      </w:pPr>
      <w:r w:rsidRPr="006E6397">
        <w:rPr>
          <w:rFonts w:ascii="Times New Roman" w:hAnsi="Times New Roman"/>
          <w:noProof/>
          <w:color w:val="1A181C"/>
          <w:sz w:val="24"/>
        </w:rPr>
        <w:t>jāstrādā ar finansētājiem, apdrošinātājiem un finanšu starpniekiem, lai izpētītu iespējas un vajadzīgos mehānismus, kas palīdzētu veidot IĪT sekundāro tirgu.</w:t>
      </w:r>
    </w:p>
    <w:p w:rsidR="006E6397" w:rsidRDefault="006E6397">
      <w:pPr>
        <w:rPr>
          <w:rFonts w:ascii="Times New Roman" w:eastAsia="Arial" w:hAnsi="Times New Roman" w:cs="Arial"/>
          <w:noProof/>
          <w:sz w:val="24"/>
        </w:rPr>
      </w:pPr>
      <w:r>
        <w:rPr>
          <w:rFonts w:ascii="Times New Roman" w:eastAsia="Arial" w:hAnsi="Times New Roman" w:cs="Arial"/>
          <w:noProof/>
          <w:sz w:val="24"/>
        </w:rPr>
        <w:br w:type="page"/>
      </w:r>
    </w:p>
    <w:p w:rsidR="00E83A3B" w:rsidRPr="006E6397" w:rsidRDefault="00E83A3B" w:rsidP="006E6397">
      <w:pPr>
        <w:jc w:val="both"/>
        <w:rPr>
          <w:rFonts w:ascii="Times New Roman" w:eastAsia="Arial" w:hAnsi="Times New Roman" w:cs="Arial"/>
          <w:noProof/>
          <w:sz w:val="24"/>
        </w:rPr>
      </w:pPr>
    </w:p>
    <w:p w:rsidR="00E83A3B" w:rsidRPr="006E6397" w:rsidRDefault="00380272" w:rsidP="006E6397">
      <w:pPr>
        <w:jc w:val="both"/>
        <w:rPr>
          <w:rFonts w:ascii="Times New Roman" w:eastAsia="Arial" w:hAnsi="Times New Roman" w:cs="Arial"/>
          <w:noProof/>
          <w:color w:val="005498"/>
          <w:sz w:val="24"/>
          <w:szCs w:val="20"/>
        </w:rPr>
      </w:pPr>
      <w:r w:rsidRPr="006E6397">
        <w:rPr>
          <w:rFonts w:ascii="Times New Roman" w:hAnsi="Times New Roman"/>
          <w:b/>
          <w:noProof/>
          <w:color w:val="005498"/>
          <w:sz w:val="24"/>
        </w:rPr>
        <w:t>Pilns ziņojuma teksts</w:t>
      </w:r>
      <w:r w:rsidRPr="006E6397">
        <w:rPr>
          <w:rFonts w:ascii="Times New Roman" w:hAnsi="Times New Roman"/>
          <w:noProof/>
          <w:color w:val="005498"/>
          <w:sz w:val="24"/>
        </w:rPr>
        <w:t xml:space="preserve"> ir pieejams vietnē:</w:t>
      </w:r>
    </w:p>
    <w:p w:rsidR="00380272" w:rsidRPr="006E6397" w:rsidRDefault="00380272" w:rsidP="006E6397">
      <w:pPr>
        <w:jc w:val="both"/>
        <w:rPr>
          <w:rFonts w:ascii="Times New Roman" w:eastAsia="Arial" w:hAnsi="Times New Roman" w:cs="Arial"/>
          <w:noProof/>
          <w:sz w:val="24"/>
          <w:szCs w:val="20"/>
        </w:rPr>
      </w:pPr>
      <w:r w:rsidRPr="006E6397">
        <w:rPr>
          <w:rFonts w:ascii="Times New Roman" w:hAnsi="Times New Roman"/>
          <w:noProof/>
          <w:sz w:val="24"/>
        </w:rPr>
        <w:t>http://ec.europa.eu/culture/library/index_en.htm</w:t>
      </w:r>
    </w:p>
    <w:p w:rsidR="00380272" w:rsidRPr="006E6397" w:rsidRDefault="00380272" w:rsidP="006E6397">
      <w:pPr>
        <w:jc w:val="both"/>
        <w:rPr>
          <w:rFonts w:ascii="Times New Roman" w:eastAsia="Arial" w:hAnsi="Times New Roman" w:cs="Arial"/>
          <w:noProof/>
          <w:sz w:val="24"/>
          <w:szCs w:val="20"/>
        </w:rPr>
      </w:pPr>
    </w:p>
    <w:p w:rsidR="00380272" w:rsidRPr="006E6397" w:rsidRDefault="00380272" w:rsidP="006E6397">
      <w:pPr>
        <w:jc w:val="both"/>
        <w:rPr>
          <w:rFonts w:ascii="Times New Roman" w:eastAsia="Arial" w:hAnsi="Times New Roman" w:cs="Arial"/>
          <w:b/>
          <w:noProof/>
          <w:color w:val="005498"/>
          <w:sz w:val="24"/>
          <w:szCs w:val="20"/>
        </w:rPr>
      </w:pPr>
      <w:r w:rsidRPr="006E6397">
        <w:rPr>
          <w:rFonts w:ascii="Times New Roman" w:hAnsi="Times New Roman"/>
          <w:b/>
          <w:noProof/>
          <w:color w:val="005498"/>
          <w:sz w:val="24"/>
        </w:rPr>
        <w:t>AKM darba grupas līdzpriekšsēdētāji:</w:t>
      </w:r>
    </w:p>
    <w:p w:rsidR="006E6397" w:rsidRDefault="00380272" w:rsidP="006E6397">
      <w:pPr>
        <w:jc w:val="both"/>
        <w:rPr>
          <w:rFonts w:ascii="Times New Roman" w:hAnsi="Times New Roman"/>
          <w:noProof/>
          <w:sz w:val="24"/>
        </w:rPr>
      </w:pPr>
      <w:r w:rsidRPr="006E6397">
        <w:rPr>
          <w:rFonts w:ascii="Times New Roman" w:hAnsi="Times New Roman"/>
          <w:noProof/>
          <w:sz w:val="24"/>
        </w:rPr>
        <w:t>Kimmo Aulake [</w:t>
      </w:r>
      <w:r w:rsidRPr="006E6397">
        <w:rPr>
          <w:rFonts w:ascii="Times New Roman" w:hAnsi="Times New Roman"/>
          <w:i/>
          <w:noProof/>
          <w:sz w:val="24"/>
        </w:rPr>
        <w:t>Kimmo Aulake</w:t>
      </w:r>
      <w:r w:rsidRPr="006E6397">
        <w:rPr>
          <w:rFonts w:ascii="Times New Roman" w:hAnsi="Times New Roman"/>
          <w:noProof/>
          <w:sz w:val="24"/>
        </w:rPr>
        <w:t>] (Somijas izglītības un kultūras ministrs) un</w:t>
      </w:r>
    </w:p>
    <w:p w:rsidR="00380272" w:rsidRPr="006E6397" w:rsidRDefault="00380272" w:rsidP="006E6397">
      <w:pPr>
        <w:jc w:val="both"/>
        <w:rPr>
          <w:rFonts w:ascii="Times New Roman" w:eastAsia="Arial" w:hAnsi="Times New Roman" w:cs="Arial"/>
          <w:noProof/>
          <w:sz w:val="24"/>
          <w:szCs w:val="20"/>
        </w:rPr>
      </w:pPr>
      <w:r w:rsidRPr="006E6397">
        <w:rPr>
          <w:rFonts w:ascii="Times New Roman" w:hAnsi="Times New Roman"/>
          <w:noProof/>
          <w:sz w:val="24"/>
        </w:rPr>
        <w:t>Rasmuss Vinstets Černings [</w:t>
      </w:r>
      <w:r w:rsidRPr="006E6397">
        <w:rPr>
          <w:rFonts w:ascii="Times New Roman" w:hAnsi="Times New Roman"/>
          <w:i/>
          <w:noProof/>
          <w:sz w:val="24"/>
        </w:rPr>
        <w:t>Rasmus Wiinstedt Tscherning</w:t>
      </w:r>
      <w:r w:rsidRPr="006E6397">
        <w:rPr>
          <w:rFonts w:ascii="Times New Roman" w:hAnsi="Times New Roman"/>
          <w:noProof/>
          <w:sz w:val="24"/>
        </w:rPr>
        <w:t>] (Radošās uzņēmējdarbības kausa direktors, Dānija)</w:t>
      </w:r>
    </w:p>
    <w:p w:rsidR="00380272" w:rsidRPr="006E6397" w:rsidRDefault="00380272" w:rsidP="006E6397">
      <w:pPr>
        <w:jc w:val="both"/>
        <w:rPr>
          <w:rFonts w:ascii="Times New Roman" w:eastAsia="Arial" w:hAnsi="Times New Roman" w:cs="Arial"/>
          <w:noProof/>
          <w:sz w:val="24"/>
          <w:szCs w:val="20"/>
        </w:rPr>
      </w:pPr>
    </w:p>
    <w:p w:rsidR="00380272" w:rsidRPr="006E6397" w:rsidRDefault="00380272" w:rsidP="006E6397">
      <w:pPr>
        <w:jc w:val="both"/>
        <w:rPr>
          <w:rFonts w:ascii="Times New Roman" w:eastAsia="Arial" w:hAnsi="Times New Roman" w:cs="Arial"/>
          <w:b/>
          <w:noProof/>
          <w:color w:val="005498"/>
          <w:sz w:val="24"/>
          <w:szCs w:val="20"/>
        </w:rPr>
      </w:pPr>
      <w:r w:rsidRPr="006E6397">
        <w:rPr>
          <w:rFonts w:ascii="Times New Roman" w:hAnsi="Times New Roman"/>
          <w:b/>
          <w:noProof/>
          <w:color w:val="005498"/>
          <w:sz w:val="24"/>
        </w:rPr>
        <w:t>Lai iegūtu plašāku informāciju, lūdzu, sazinieties ar:</w:t>
      </w:r>
    </w:p>
    <w:p w:rsidR="00380272" w:rsidRPr="006E6397" w:rsidRDefault="00380272" w:rsidP="006E6397">
      <w:pPr>
        <w:jc w:val="both"/>
        <w:rPr>
          <w:rFonts w:ascii="Times New Roman" w:eastAsia="Arial" w:hAnsi="Times New Roman" w:cs="Arial"/>
          <w:noProof/>
          <w:sz w:val="24"/>
          <w:szCs w:val="20"/>
        </w:rPr>
      </w:pPr>
      <w:r w:rsidRPr="006E6397">
        <w:rPr>
          <w:rFonts w:ascii="Times New Roman" w:hAnsi="Times New Roman"/>
          <w:noProof/>
          <w:sz w:val="24"/>
        </w:rPr>
        <w:t>Eiropas Komisija</w:t>
      </w:r>
    </w:p>
    <w:p w:rsidR="00380272" w:rsidRPr="006E6397" w:rsidRDefault="00380272" w:rsidP="006E6397">
      <w:pPr>
        <w:jc w:val="both"/>
        <w:rPr>
          <w:rFonts w:ascii="Times New Roman" w:eastAsia="Arial" w:hAnsi="Times New Roman" w:cs="Arial"/>
          <w:noProof/>
          <w:sz w:val="24"/>
          <w:szCs w:val="20"/>
        </w:rPr>
      </w:pPr>
      <w:r w:rsidRPr="006E6397">
        <w:rPr>
          <w:rFonts w:ascii="Times New Roman" w:hAnsi="Times New Roman"/>
          <w:noProof/>
          <w:sz w:val="24"/>
        </w:rPr>
        <w:t>Izglītības un kultūras ģenerāldirektorāts</w:t>
      </w:r>
    </w:p>
    <w:p w:rsidR="00380272" w:rsidRPr="006E6397" w:rsidRDefault="00380272" w:rsidP="006E6397">
      <w:pPr>
        <w:jc w:val="both"/>
        <w:rPr>
          <w:rFonts w:ascii="Times New Roman" w:eastAsia="Arial" w:hAnsi="Times New Roman" w:cs="Arial"/>
          <w:noProof/>
          <w:sz w:val="24"/>
          <w:szCs w:val="20"/>
        </w:rPr>
      </w:pPr>
      <w:r w:rsidRPr="006E6397">
        <w:rPr>
          <w:rFonts w:ascii="Times New Roman" w:hAnsi="Times New Roman"/>
          <w:noProof/>
          <w:sz w:val="24"/>
        </w:rPr>
        <w:t>D direktorāts – kultūra un radošums</w:t>
      </w:r>
    </w:p>
    <w:p w:rsidR="00380272" w:rsidRPr="006E6397" w:rsidRDefault="00380272" w:rsidP="006E6397">
      <w:pPr>
        <w:jc w:val="both"/>
        <w:rPr>
          <w:rFonts w:ascii="Times New Roman" w:eastAsia="Arial" w:hAnsi="Times New Roman" w:cs="Arial"/>
          <w:noProof/>
          <w:sz w:val="24"/>
          <w:szCs w:val="20"/>
        </w:rPr>
      </w:pPr>
      <w:r w:rsidRPr="006E6397">
        <w:rPr>
          <w:rFonts w:ascii="Times New Roman" w:hAnsi="Times New Roman"/>
          <w:noProof/>
          <w:sz w:val="24"/>
        </w:rPr>
        <w:t>D1 struktūrvienība – kultūras dažādība un inovācija</w:t>
      </w:r>
    </w:p>
    <w:p w:rsidR="00380272" w:rsidRPr="006E6397" w:rsidRDefault="00380272" w:rsidP="006E6397">
      <w:pPr>
        <w:jc w:val="both"/>
        <w:rPr>
          <w:rFonts w:ascii="Times New Roman" w:eastAsia="Arial" w:hAnsi="Times New Roman" w:cs="Arial"/>
          <w:noProof/>
          <w:sz w:val="24"/>
          <w:szCs w:val="20"/>
        </w:rPr>
      </w:pPr>
      <w:r w:rsidRPr="006E6397">
        <w:rPr>
          <w:rFonts w:ascii="Times New Roman" w:hAnsi="Times New Roman"/>
          <w:noProof/>
          <w:sz w:val="24"/>
        </w:rPr>
        <w:t>E-pasta adrese: EAC-UNITE-D1@ec.europa.eu</w:t>
      </w:r>
    </w:p>
    <w:p w:rsidR="00380272" w:rsidRPr="006E6397" w:rsidRDefault="00380272" w:rsidP="006E6397">
      <w:pPr>
        <w:jc w:val="both"/>
        <w:rPr>
          <w:rFonts w:ascii="Times New Roman" w:eastAsia="Arial" w:hAnsi="Times New Roman" w:cs="Arial"/>
          <w:noProof/>
          <w:sz w:val="24"/>
          <w:szCs w:val="20"/>
        </w:rPr>
      </w:pPr>
    </w:p>
    <w:p w:rsidR="00E83A3B" w:rsidRPr="006E6397" w:rsidRDefault="00E83A3B" w:rsidP="006E6397">
      <w:pPr>
        <w:jc w:val="right"/>
        <w:rPr>
          <w:rFonts w:ascii="Times New Roman" w:hAnsi="Times New Roman"/>
          <w:noProof/>
          <w:color w:val="1A181C"/>
          <w:sz w:val="24"/>
        </w:rPr>
      </w:pPr>
      <w:r w:rsidRPr="006E6397">
        <w:rPr>
          <w:rFonts w:ascii="Times New Roman" w:hAnsi="Times New Roman"/>
          <w:noProof/>
          <w:color w:val="1A181C"/>
          <w:sz w:val="24"/>
        </w:rPr>
        <w:t>TULKOJUMS NO ANGĻU VALODAS</w:t>
      </w:r>
    </w:p>
    <w:sectPr w:rsidR="00E83A3B" w:rsidRPr="006E6397" w:rsidSect="006E6397">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A3B" w:rsidRPr="00E83A3B" w:rsidRDefault="00E83A3B" w:rsidP="00E83A3B">
      <w:pPr>
        <w:rPr>
          <w:noProof/>
        </w:rPr>
      </w:pPr>
      <w:r w:rsidRPr="00E83A3B">
        <w:rPr>
          <w:noProof/>
        </w:rPr>
        <w:separator/>
      </w:r>
    </w:p>
  </w:endnote>
  <w:endnote w:type="continuationSeparator" w:id="0">
    <w:p w:rsidR="00E83A3B" w:rsidRPr="00E83A3B" w:rsidRDefault="00E83A3B" w:rsidP="00E83A3B">
      <w:pPr>
        <w:rPr>
          <w:noProof/>
        </w:rPr>
      </w:pPr>
      <w:r w:rsidRPr="00E83A3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Helvetica">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97" w:rsidRPr="004F5D11" w:rsidRDefault="006E6397" w:rsidP="006E6397">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6E6397" w:rsidRPr="004F5D11" w:rsidRDefault="006E6397" w:rsidP="006E6397">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6E6397" w:rsidRPr="004F5D11" w:rsidRDefault="006E6397" w:rsidP="006E6397">
    <w:pPr>
      <w:pStyle w:val="Header"/>
      <w:tabs>
        <w:tab w:val="clear" w:pos="4153"/>
        <w:tab w:val="clear" w:pos="8306"/>
        <w:tab w:val="right" w:pos="9072"/>
      </w:tabs>
      <w:jc w:val="both"/>
      <w:rPr>
        <w:rStyle w:val="PageNumber"/>
        <w:rFonts w:ascii="Times New Roman" w:hAnsi="Times New Roman"/>
        <w:sz w:val="20"/>
        <w:szCs w:val="20"/>
      </w:rPr>
    </w:pPr>
  </w:p>
  <w:p w:rsidR="006E6397" w:rsidRPr="004F5D11" w:rsidRDefault="006E6397" w:rsidP="006E6397">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B71EE6">
      <w:rPr>
        <w:rStyle w:val="PageNumber"/>
        <w:rFonts w:ascii="Times New Roman" w:hAnsi="Times New Roman"/>
        <w:noProof/>
        <w:sz w:val="20"/>
        <w:szCs w:val="20"/>
      </w:rPr>
      <w:t>2</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97" w:rsidRPr="004F5D11" w:rsidRDefault="006E6397" w:rsidP="006E6397">
    <w:pPr>
      <w:pStyle w:val="Header"/>
      <w:tabs>
        <w:tab w:val="clear" w:pos="4153"/>
        <w:tab w:val="clear" w:pos="8306"/>
        <w:tab w:val="left" w:pos="9072"/>
      </w:tabs>
      <w:jc w:val="both"/>
      <w:rPr>
        <w:rStyle w:val="PageNumber"/>
        <w:rFonts w:ascii="Times New Roman" w:hAnsi="Times New Roman"/>
        <w:sz w:val="20"/>
        <w:szCs w:val="20"/>
      </w:rPr>
    </w:pPr>
  </w:p>
  <w:p w:rsidR="006E6397" w:rsidRPr="004F5D11" w:rsidRDefault="006E6397" w:rsidP="006E6397">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6E6397" w:rsidRPr="004F5D11" w:rsidRDefault="006E6397" w:rsidP="006E6397">
    <w:pPr>
      <w:pStyle w:val="Header"/>
      <w:tabs>
        <w:tab w:val="clear" w:pos="4153"/>
        <w:tab w:val="clear" w:pos="8306"/>
        <w:tab w:val="left" w:pos="9072"/>
      </w:tabs>
      <w:jc w:val="both"/>
      <w:rPr>
        <w:rStyle w:val="PageNumber"/>
        <w:rFonts w:ascii="Times New Roman" w:hAnsi="Times New Roman"/>
        <w:sz w:val="20"/>
        <w:szCs w:val="20"/>
      </w:rPr>
    </w:pPr>
  </w:p>
  <w:p w:rsidR="006E6397" w:rsidRPr="004F5D11" w:rsidRDefault="006E6397" w:rsidP="006E6397">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A3B" w:rsidRPr="00E83A3B" w:rsidRDefault="00E83A3B" w:rsidP="00E83A3B">
      <w:pPr>
        <w:rPr>
          <w:noProof/>
        </w:rPr>
      </w:pPr>
      <w:r w:rsidRPr="00E83A3B">
        <w:rPr>
          <w:noProof/>
        </w:rPr>
        <w:separator/>
      </w:r>
    </w:p>
  </w:footnote>
  <w:footnote w:type="continuationSeparator" w:id="0">
    <w:p w:rsidR="00E83A3B" w:rsidRPr="00E83A3B" w:rsidRDefault="00E83A3B" w:rsidP="00E83A3B">
      <w:pPr>
        <w:rPr>
          <w:noProof/>
        </w:rPr>
      </w:pPr>
      <w:r w:rsidRPr="00E83A3B">
        <w:rPr>
          <w:noProof/>
        </w:rPr>
        <w:continuationSeparator/>
      </w:r>
    </w:p>
  </w:footnote>
  <w:footnote w:id="1">
    <w:p w:rsidR="00660A1E" w:rsidRPr="00660A1E" w:rsidRDefault="00660A1E" w:rsidP="00660A1E">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1A181C"/>
        </w:rPr>
        <w:t>http://eur-lex.europa.eu/legal-content/EN/TXT/?uri=URISERV:cu0007</w:t>
      </w:r>
    </w:p>
  </w:footnote>
  <w:footnote w:id="2">
    <w:p w:rsidR="00660A1E" w:rsidRPr="00660A1E" w:rsidRDefault="00660A1E" w:rsidP="00660A1E">
      <w:pPr>
        <w:pStyle w:val="FootnoteText"/>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1A181C"/>
        </w:rPr>
        <w:t>http://eur-lex.europa.eu/legal-content/EN/TXT/?uri=uriserv:OJ.C_.2014.463.01.0004.01.ENG</w:t>
      </w:r>
    </w:p>
  </w:footnote>
  <w:footnote w:id="3">
    <w:p w:rsidR="00380272" w:rsidRPr="00380272" w:rsidRDefault="00380272" w:rsidP="00380272">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1A181C"/>
        </w:rPr>
        <w:t>Tikai mazākā daļa radošo MVU ir izstrādājusi skaidru uzņēmējdarbības stratēģiju, kas parasti ir vajadzīga, lai piekļūtu finansējumam.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97" w:rsidRPr="004F5D11" w:rsidRDefault="006E6397" w:rsidP="006E6397">
    <w:pPr>
      <w:pStyle w:val="Header"/>
      <w:tabs>
        <w:tab w:val="clear" w:pos="4153"/>
        <w:tab w:val="clear" w:pos="8306"/>
      </w:tabs>
      <w:jc w:val="both"/>
      <w:rPr>
        <w:rStyle w:val="PageNumber"/>
        <w:rFonts w:ascii="Times New Roman" w:hAnsi="Times New Roman"/>
        <w:sz w:val="20"/>
        <w:szCs w:val="20"/>
      </w:rPr>
    </w:pPr>
  </w:p>
  <w:p w:rsidR="006E6397" w:rsidRPr="004F5D11" w:rsidRDefault="006E6397" w:rsidP="006E6397">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6E6397" w:rsidRPr="004F5D11" w:rsidRDefault="006E6397" w:rsidP="006E6397">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97" w:rsidRPr="004F5D11" w:rsidRDefault="006E6397" w:rsidP="006E6397">
    <w:pPr>
      <w:pBdr>
        <w:bottom w:val="single" w:sz="12" w:space="5" w:color="auto"/>
      </w:pBdr>
      <w:jc w:val="both"/>
      <w:rPr>
        <w:rFonts w:ascii="Times New Roman" w:hAnsi="Times New Roman"/>
        <w:spacing w:val="-2"/>
        <w:sz w:val="20"/>
        <w:szCs w:val="20"/>
      </w:rPr>
    </w:pPr>
  </w:p>
  <w:p w:rsidR="006E6397" w:rsidRPr="004F5D11" w:rsidRDefault="006E6397" w:rsidP="006E6397">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713B8"/>
    <w:multiLevelType w:val="hybridMultilevel"/>
    <w:tmpl w:val="541C20B8"/>
    <w:lvl w:ilvl="0" w:tplc="9650FCC6">
      <w:start w:val="1"/>
      <w:numFmt w:val="bullet"/>
      <w:lvlText w:val="•"/>
      <w:lvlJc w:val="left"/>
      <w:pPr>
        <w:ind w:left="2210" w:hanging="284"/>
      </w:pPr>
      <w:rPr>
        <w:rFonts w:ascii="Arial" w:eastAsia="Arial" w:hAnsi="Arial" w:hint="default"/>
        <w:color w:val="005498"/>
        <w:w w:val="142"/>
        <w:sz w:val="20"/>
        <w:szCs w:val="20"/>
      </w:rPr>
    </w:lvl>
    <w:lvl w:ilvl="1" w:tplc="EF121DA2">
      <w:start w:val="1"/>
      <w:numFmt w:val="bullet"/>
      <w:lvlText w:val="•"/>
      <w:lvlJc w:val="left"/>
      <w:pPr>
        <w:ind w:left="3012" w:hanging="284"/>
      </w:pPr>
      <w:rPr>
        <w:rFonts w:hint="default"/>
      </w:rPr>
    </w:lvl>
    <w:lvl w:ilvl="2" w:tplc="2DC0A60E">
      <w:start w:val="1"/>
      <w:numFmt w:val="bullet"/>
      <w:lvlText w:val="•"/>
      <w:lvlJc w:val="left"/>
      <w:pPr>
        <w:ind w:left="3813" w:hanging="284"/>
      </w:pPr>
      <w:rPr>
        <w:rFonts w:hint="default"/>
      </w:rPr>
    </w:lvl>
    <w:lvl w:ilvl="3" w:tplc="15524A52">
      <w:start w:val="1"/>
      <w:numFmt w:val="bullet"/>
      <w:lvlText w:val="•"/>
      <w:lvlJc w:val="left"/>
      <w:pPr>
        <w:ind w:left="4615" w:hanging="284"/>
      </w:pPr>
      <w:rPr>
        <w:rFonts w:hint="default"/>
      </w:rPr>
    </w:lvl>
    <w:lvl w:ilvl="4" w:tplc="9F54C1AE">
      <w:start w:val="1"/>
      <w:numFmt w:val="bullet"/>
      <w:lvlText w:val="•"/>
      <w:lvlJc w:val="left"/>
      <w:pPr>
        <w:ind w:left="5416" w:hanging="284"/>
      </w:pPr>
      <w:rPr>
        <w:rFonts w:hint="default"/>
      </w:rPr>
    </w:lvl>
    <w:lvl w:ilvl="5" w:tplc="A09296FA">
      <w:start w:val="1"/>
      <w:numFmt w:val="bullet"/>
      <w:lvlText w:val="•"/>
      <w:lvlJc w:val="left"/>
      <w:pPr>
        <w:ind w:left="6218" w:hanging="284"/>
      </w:pPr>
      <w:rPr>
        <w:rFonts w:hint="default"/>
      </w:rPr>
    </w:lvl>
    <w:lvl w:ilvl="6" w:tplc="748EF1FE">
      <w:start w:val="1"/>
      <w:numFmt w:val="bullet"/>
      <w:lvlText w:val="•"/>
      <w:lvlJc w:val="left"/>
      <w:pPr>
        <w:ind w:left="7019" w:hanging="284"/>
      </w:pPr>
      <w:rPr>
        <w:rFonts w:hint="default"/>
      </w:rPr>
    </w:lvl>
    <w:lvl w:ilvl="7" w:tplc="3724BB96">
      <w:start w:val="1"/>
      <w:numFmt w:val="bullet"/>
      <w:lvlText w:val="•"/>
      <w:lvlJc w:val="left"/>
      <w:pPr>
        <w:ind w:left="7821" w:hanging="284"/>
      </w:pPr>
      <w:rPr>
        <w:rFonts w:hint="default"/>
      </w:rPr>
    </w:lvl>
    <w:lvl w:ilvl="8" w:tplc="17624892">
      <w:start w:val="1"/>
      <w:numFmt w:val="bullet"/>
      <w:lvlText w:val="•"/>
      <w:lvlJc w:val="left"/>
      <w:pPr>
        <w:ind w:left="8622" w:hanging="284"/>
      </w:pPr>
      <w:rPr>
        <w:rFonts w:hint="default"/>
      </w:rPr>
    </w:lvl>
  </w:abstractNum>
  <w:abstractNum w:abstractNumId="1">
    <w:nsid w:val="2CC8434C"/>
    <w:multiLevelType w:val="hybridMultilevel"/>
    <w:tmpl w:val="F7309A4A"/>
    <w:lvl w:ilvl="0" w:tplc="7AB4C1D6">
      <w:start w:val="1"/>
      <w:numFmt w:val="bullet"/>
      <w:lvlText w:val="•"/>
      <w:lvlJc w:val="left"/>
      <w:pPr>
        <w:ind w:left="1187" w:hanging="320"/>
      </w:pPr>
      <w:rPr>
        <w:rFonts w:ascii="Arial" w:eastAsia="Arial" w:hAnsi="Arial" w:hint="default"/>
        <w:b/>
        <w:bCs/>
        <w:color w:val="005498"/>
        <w:w w:val="143"/>
        <w:sz w:val="20"/>
        <w:szCs w:val="20"/>
      </w:rPr>
    </w:lvl>
    <w:lvl w:ilvl="1" w:tplc="BD9CAE82">
      <w:start w:val="1"/>
      <w:numFmt w:val="bullet"/>
      <w:lvlText w:val="–"/>
      <w:lvlJc w:val="left"/>
      <w:pPr>
        <w:ind w:left="1407" w:hanging="220"/>
      </w:pPr>
      <w:rPr>
        <w:rFonts w:ascii="Arial" w:eastAsia="Arial" w:hAnsi="Arial" w:hint="default"/>
        <w:color w:val="1A181C"/>
        <w:w w:val="107"/>
        <w:sz w:val="20"/>
        <w:szCs w:val="20"/>
      </w:rPr>
    </w:lvl>
    <w:lvl w:ilvl="2" w:tplc="631201E6">
      <w:start w:val="1"/>
      <w:numFmt w:val="bullet"/>
      <w:lvlText w:val="•"/>
      <w:lvlJc w:val="left"/>
      <w:pPr>
        <w:ind w:left="2493" w:hanging="220"/>
      </w:pPr>
      <w:rPr>
        <w:rFonts w:hint="default"/>
      </w:rPr>
    </w:lvl>
    <w:lvl w:ilvl="3" w:tplc="4836919E">
      <w:start w:val="1"/>
      <w:numFmt w:val="bullet"/>
      <w:lvlText w:val="•"/>
      <w:lvlJc w:val="left"/>
      <w:pPr>
        <w:ind w:left="3580" w:hanging="220"/>
      </w:pPr>
      <w:rPr>
        <w:rFonts w:hint="default"/>
      </w:rPr>
    </w:lvl>
    <w:lvl w:ilvl="4" w:tplc="BFEA1856">
      <w:start w:val="1"/>
      <w:numFmt w:val="bullet"/>
      <w:lvlText w:val="•"/>
      <w:lvlJc w:val="left"/>
      <w:pPr>
        <w:ind w:left="4666" w:hanging="220"/>
      </w:pPr>
      <w:rPr>
        <w:rFonts w:hint="default"/>
      </w:rPr>
    </w:lvl>
    <w:lvl w:ilvl="5" w:tplc="14E03D66">
      <w:start w:val="1"/>
      <w:numFmt w:val="bullet"/>
      <w:lvlText w:val="•"/>
      <w:lvlJc w:val="left"/>
      <w:pPr>
        <w:ind w:left="5753" w:hanging="220"/>
      </w:pPr>
      <w:rPr>
        <w:rFonts w:hint="default"/>
      </w:rPr>
    </w:lvl>
    <w:lvl w:ilvl="6" w:tplc="E0A25840">
      <w:start w:val="1"/>
      <w:numFmt w:val="bullet"/>
      <w:lvlText w:val="•"/>
      <w:lvlJc w:val="left"/>
      <w:pPr>
        <w:ind w:left="6839" w:hanging="220"/>
      </w:pPr>
      <w:rPr>
        <w:rFonts w:hint="default"/>
      </w:rPr>
    </w:lvl>
    <w:lvl w:ilvl="7" w:tplc="1B34DB6C">
      <w:start w:val="1"/>
      <w:numFmt w:val="bullet"/>
      <w:lvlText w:val="•"/>
      <w:lvlJc w:val="left"/>
      <w:pPr>
        <w:ind w:left="7926" w:hanging="220"/>
      </w:pPr>
      <w:rPr>
        <w:rFonts w:hint="default"/>
      </w:rPr>
    </w:lvl>
    <w:lvl w:ilvl="8" w:tplc="5F36069C">
      <w:start w:val="1"/>
      <w:numFmt w:val="bullet"/>
      <w:lvlText w:val="•"/>
      <w:lvlJc w:val="left"/>
      <w:pPr>
        <w:ind w:left="9012" w:hanging="220"/>
      </w:pPr>
      <w:rPr>
        <w:rFonts w:hint="default"/>
      </w:rPr>
    </w:lvl>
  </w:abstractNum>
  <w:abstractNum w:abstractNumId="2">
    <w:nsid w:val="37880902"/>
    <w:multiLevelType w:val="hybridMultilevel"/>
    <w:tmpl w:val="305C8B24"/>
    <w:lvl w:ilvl="0" w:tplc="6A1C1430">
      <w:start w:val="1"/>
      <w:numFmt w:val="decimal"/>
      <w:lvlText w:val="%1"/>
      <w:lvlJc w:val="left"/>
      <w:pPr>
        <w:ind w:left="2534" w:hanging="300"/>
        <w:jc w:val="right"/>
      </w:pPr>
      <w:rPr>
        <w:rFonts w:ascii="Times New Roman" w:eastAsia="Helvetica" w:hAnsi="Times New Roman" w:cs="Times New Roman" w:hint="default"/>
        <w:b/>
        <w:bCs/>
        <w:color w:val="005498"/>
        <w:w w:val="104"/>
        <w:sz w:val="24"/>
        <w:szCs w:val="24"/>
      </w:rPr>
    </w:lvl>
    <w:lvl w:ilvl="1" w:tplc="DD989BE2">
      <w:start w:val="1"/>
      <w:numFmt w:val="bullet"/>
      <w:lvlText w:val="•"/>
      <w:lvlJc w:val="left"/>
      <w:pPr>
        <w:ind w:left="3441" w:hanging="300"/>
      </w:pPr>
      <w:rPr>
        <w:rFonts w:hint="default"/>
      </w:rPr>
    </w:lvl>
    <w:lvl w:ilvl="2" w:tplc="B4D62C6C">
      <w:start w:val="1"/>
      <w:numFmt w:val="bullet"/>
      <w:lvlText w:val="•"/>
      <w:lvlJc w:val="left"/>
      <w:pPr>
        <w:ind w:left="4348" w:hanging="300"/>
      </w:pPr>
      <w:rPr>
        <w:rFonts w:hint="default"/>
      </w:rPr>
    </w:lvl>
    <w:lvl w:ilvl="3" w:tplc="77FEBE88">
      <w:start w:val="1"/>
      <w:numFmt w:val="bullet"/>
      <w:lvlText w:val="•"/>
      <w:lvlJc w:val="left"/>
      <w:pPr>
        <w:ind w:left="5255" w:hanging="300"/>
      </w:pPr>
      <w:rPr>
        <w:rFonts w:hint="default"/>
      </w:rPr>
    </w:lvl>
    <w:lvl w:ilvl="4" w:tplc="F1F02D26">
      <w:start w:val="1"/>
      <w:numFmt w:val="bullet"/>
      <w:lvlText w:val="•"/>
      <w:lvlJc w:val="left"/>
      <w:pPr>
        <w:ind w:left="6163" w:hanging="300"/>
      </w:pPr>
      <w:rPr>
        <w:rFonts w:hint="default"/>
      </w:rPr>
    </w:lvl>
    <w:lvl w:ilvl="5" w:tplc="501210BE">
      <w:start w:val="1"/>
      <w:numFmt w:val="bullet"/>
      <w:lvlText w:val="•"/>
      <w:lvlJc w:val="left"/>
      <w:pPr>
        <w:ind w:left="7070" w:hanging="300"/>
      </w:pPr>
      <w:rPr>
        <w:rFonts w:hint="default"/>
      </w:rPr>
    </w:lvl>
    <w:lvl w:ilvl="6" w:tplc="9EDCF9EC">
      <w:start w:val="1"/>
      <w:numFmt w:val="bullet"/>
      <w:lvlText w:val="•"/>
      <w:lvlJc w:val="left"/>
      <w:pPr>
        <w:ind w:left="7977" w:hanging="300"/>
      </w:pPr>
      <w:rPr>
        <w:rFonts w:hint="default"/>
      </w:rPr>
    </w:lvl>
    <w:lvl w:ilvl="7" w:tplc="81DC39B2">
      <w:start w:val="1"/>
      <w:numFmt w:val="bullet"/>
      <w:lvlText w:val="•"/>
      <w:lvlJc w:val="left"/>
      <w:pPr>
        <w:ind w:left="8884" w:hanging="300"/>
      </w:pPr>
      <w:rPr>
        <w:rFonts w:hint="default"/>
      </w:rPr>
    </w:lvl>
    <w:lvl w:ilvl="8" w:tplc="F1803E2C">
      <w:start w:val="1"/>
      <w:numFmt w:val="bullet"/>
      <w:lvlText w:val="•"/>
      <w:lvlJc w:val="left"/>
      <w:pPr>
        <w:ind w:left="9791" w:hanging="300"/>
      </w:pPr>
      <w:rPr>
        <w:rFonts w:hint="default"/>
      </w:rPr>
    </w:lvl>
  </w:abstractNum>
  <w:abstractNum w:abstractNumId="3">
    <w:nsid w:val="76E73E40"/>
    <w:multiLevelType w:val="hybridMultilevel"/>
    <w:tmpl w:val="AD725C24"/>
    <w:lvl w:ilvl="0" w:tplc="3224E686">
      <w:start w:val="1"/>
      <w:numFmt w:val="bullet"/>
      <w:lvlText w:val="•"/>
      <w:lvlJc w:val="left"/>
      <w:pPr>
        <w:ind w:left="2247" w:hanging="320"/>
      </w:pPr>
      <w:rPr>
        <w:rFonts w:ascii="Arial" w:eastAsia="Arial" w:hAnsi="Arial" w:hint="default"/>
        <w:b/>
        <w:bCs/>
        <w:color w:val="005498"/>
        <w:w w:val="143"/>
        <w:sz w:val="20"/>
        <w:szCs w:val="20"/>
      </w:rPr>
    </w:lvl>
    <w:lvl w:ilvl="1" w:tplc="54A24648">
      <w:start w:val="1"/>
      <w:numFmt w:val="bullet"/>
      <w:lvlText w:val="•"/>
      <w:lvlJc w:val="left"/>
      <w:pPr>
        <w:ind w:left="3045" w:hanging="320"/>
      </w:pPr>
      <w:rPr>
        <w:rFonts w:hint="default"/>
      </w:rPr>
    </w:lvl>
    <w:lvl w:ilvl="2" w:tplc="9C447A04">
      <w:start w:val="1"/>
      <w:numFmt w:val="bullet"/>
      <w:lvlText w:val="•"/>
      <w:lvlJc w:val="left"/>
      <w:pPr>
        <w:ind w:left="3843" w:hanging="320"/>
      </w:pPr>
      <w:rPr>
        <w:rFonts w:hint="default"/>
      </w:rPr>
    </w:lvl>
    <w:lvl w:ilvl="3" w:tplc="5D5C203C">
      <w:start w:val="1"/>
      <w:numFmt w:val="bullet"/>
      <w:lvlText w:val="•"/>
      <w:lvlJc w:val="left"/>
      <w:pPr>
        <w:ind w:left="4640" w:hanging="320"/>
      </w:pPr>
      <w:rPr>
        <w:rFonts w:hint="default"/>
      </w:rPr>
    </w:lvl>
    <w:lvl w:ilvl="4" w:tplc="0F04584E">
      <w:start w:val="1"/>
      <w:numFmt w:val="bullet"/>
      <w:lvlText w:val="•"/>
      <w:lvlJc w:val="left"/>
      <w:pPr>
        <w:ind w:left="5438" w:hanging="320"/>
      </w:pPr>
      <w:rPr>
        <w:rFonts w:hint="default"/>
      </w:rPr>
    </w:lvl>
    <w:lvl w:ilvl="5" w:tplc="22DEF3A0">
      <w:start w:val="1"/>
      <w:numFmt w:val="bullet"/>
      <w:lvlText w:val="•"/>
      <w:lvlJc w:val="left"/>
      <w:pPr>
        <w:ind w:left="6236" w:hanging="320"/>
      </w:pPr>
      <w:rPr>
        <w:rFonts w:hint="default"/>
      </w:rPr>
    </w:lvl>
    <w:lvl w:ilvl="6" w:tplc="C7CC598C">
      <w:start w:val="1"/>
      <w:numFmt w:val="bullet"/>
      <w:lvlText w:val="•"/>
      <w:lvlJc w:val="left"/>
      <w:pPr>
        <w:ind w:left="7034" w:hanging="320"/>
      </w:pPr>
      <w:rPr>
        <w:rFonts w:hint="default"/>
      </w:rPr>
    </w:lvl>
    <w:lvl w:ilvl="7" w:tplc="BCE072BA">
      <w:start w:val="1"/>
      <w:numFmt w:val="bullet"/>
      <w:lvlText w:val="•"/>
      <w:lvlJc w:val="left"/>
      <w:pPr>
        <w:ind w:left="7832" w:hanging="320"/>
      </w:pPr>
      <w:rPr>
        <w:rFonts w:hint="default"/>
      </w:rPr>
    </w:lvl>
    <w:lvl w:ilvl="8" w:tplc="D2104004">
      <w:start w:val="1"/>
      <w:numFmt w:val="bullet"/>
      <w:lvlText w:val="•"/>
      <w:lvlJc w:val="left"/>
      <w:pPr>
        <w:ind w:left="8629" w:hanging="3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5729CC"/>
    <w:rsid w:val="000666F1"/>
    <w:rsid w:val="00380272"/>
    <w:rsid w:val="005428D9"/>
    <w:rsid w:val="005729CC"/>
    <w:rsid w:val="00660A1E"/>
    <w:rsid w:val="006E6397"/>
    <w:rsid w:val="007048C7"/>
    <w:rsid w:val="00B71EE6"/>
    <w:rsid w:val="00E83A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47" w:hanging="300"/>
      <w:outlineLvl w:val="0"/>
    </w:pPr>
    <w:rPr>
      <w:rFonts w:ascii="Helvetica" w:eastAsia="Helvetica" w:hAnsi="Helvetica"/>
      <w:b/>
      <w:bCs/>
      <w:sz w:val="30"/>
      <w:szCs w:val="30"/>
    </w:rPr>
  </w:style>
  <w:style w:type="paragraph" w:styleId="Heading2">
    <w:name w:val="heading 2"/>
    <w:basedOn w:val="Normal"/>
    <w:uiPriority w:val="1"/>
    <w:qFormat/>
    <w:pPr>
      <w:ind w:left="2247" w:hanging="32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83A3B"/>
    <w:pPr>
      <w:tabs>
        <w:tab w:val="center" w:pos="4153"/>
        <w:tab w:val="right" w:pos="8306"/>
      </w:tabs>
    </w:pPr>
  </w:style>
  <w:style w:type="character" w:customStyle="1" w:styleId="HeaderChar">
    <w:name w:val="Header Char"/>
    <w:basedOn w:val="DefaultParagraphFont"/>
    <w:link w:val="Header"/>
    <w:uiPriority w:val="99"/>
    <w:rsid w:val="00E83A3B"/>
  </w:style>
  <w:style w:type="paragraph" w:styleId="Footer">
    <w:name w:val="footer"/>
    <w:basedOn w:val="Normal"/>
    <w:link w:val="FooterChar"/>
    <w:unhideWhenUsed/>
    <w:rsid w:val="00E83A3B"/>
    <w:pPr>
      <w:tabs>
        <w:tab w:val="center" w:pos="4153"/>
        <w:tab w:val="right" w:pos="8306"/>
      </w:tabs>
    </w:pPr>
  </w:style>
  <w:style w:type="character" w:customStyle="1" w:styleId="FooterChar">
    <w:name w:val="Footer Char"/>
    <w:basedOn w:val="DefaultParagraphFont"/>
    <w:link w:val="Footer"/>
    <w:uiPriority w:val="99"/>
    <w:rsid w:val="00E83A3B"/>
  </w:style>
  <w:style w:type="paragraph" w:styleId="FootnoteText">
    <w:name w:val="footnote text"/>
    <w:basedOn w:val="Normal"/>
    <w:link w:val="FootnoteTextChar"/>
    <w:uiPriority w:val="99"/>
    <w:semiHidden/>
    <w:unhideWhenUsed/>
    <w:rsid w:val="00660A1E"/>
    <w:rPr>
      <w:sz w:val="20"/>
      <w:szCs w:val="20"/>
    </w:rPr>
  </w:style>
  <w:style w:type="character" w:customStyle="1" w:styleId="FootnoteTextChar">
    <w:name w:val="Footnote Text Char"/>
    <w:basedOn w:val="DefaultParagraphFont"/>
    <w:link w:val="FootnoteText"/>
    <w:uiPriority w:val="99"/>
    <w:semiHidden/>
    <w:rsid w:val="00660A1E"/>
    <w:rPr>
      <w:sz w:val="20"/>
      <w:szCs w:val="20"/>
    </w:rPr>
  </w:style>
  <w:style w:type="character" w:styleId="FootnoteReference">
    <w:name w:val="footnote reference"/>
    <w:basedOn w:val="DefaultParagraphFont"/>
    <w:uiPriority w:val="99"/>
    <w:semiHidden/>
    <w:unhideWhenUsed/>
    <w:rsid w:val="00660A1E"/>
    <w:rPr>
      <w:vertAlign w:val="superscript"/>
    </w:rPr>
  </w:style>
  <w:style w:type="character" w:styleId="Hyperlink">
    <w:name w:val="Hyperlink"/>
    <w:basedOn w:val="DefaultParagraphFont"/>
    <w:uiPriority w:val="99"/>
    <w:unhideWhenUsed/>
    <w:rsid w:val="00660A1E"/>
    <w:rPr>
      <w:color w:val="0000FF" w:themeColor="hyperlink"/>
      <w:u w:val="single"/>
    </w:rPr>
  </w:style>
  <w:style w:type="character" w:styleId="PageNumber">
    <w:name w:val="page number"/>
    <w:basedOn w:val="DefaultParagraphFont"/>
    <w:semiHidden/>
    <w:rsid w:val="006E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AA05-F81B-4A6C-A9EE-5326F52A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7164</Words>
  <Characters>4085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2016-06-06T07:09:00Z</dcterms:created>
  <dcterms:modified xsi:type="dcterms:W3CDTF">2016-07-07T13:24:00Z</dcterms:modified>
</cp:coreProperties>
</file>