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EBB1" w14:textId="2534C117" w:rsidR="00932E08" w:rsidRDefault="00932E08" w:rsidP="00975B5E">
      <w:pPr>
        <w:jc w:val="both"/>
        <w:rPr>
          <w:rFonts w:ascii="Times New Roman" w:eastAsia="Times New Roman" w:hAnsi="Times New Roman" w:cs="Times New Roman"/>
          <w:noProof/>
          <w:sz w:val="24"/>
          <w:szCs w:val="20"/>
        </w:rPr>
      </w:pPr>
    </w:p>
    <w:p w14:paraId="73E05662" w14:textId="005EF54D" w:rsidR="00932E08" w:rsidRDefault="00932E08" w:rsidP="00975B5E">
      <w:pPr>
        <w:jc w:val="both"/>
        <w:rPr>
          <w:rFonts w:ascii="Times New Roman" w:eastAsia="Times New Roman" w:hAnsi="Times New Roman" w:cs="Times New Roman"/>
          <w:noProof/>
          <w:sz w:val="24"/>
          <w:szCs w:val="20"/>
        </w:rPr>
      </w:pPr>
    </w:p>
    <w:p w14:paraId="55F53CA6" w14:textId="3C24968E" w:rsidR="00932E08" w:rsidRDefault="00932E08" w:rsidP="00975B5E">
      <w:pPr>
        <w:jc w:val="both"/>
        <w:rPr>
          <w:rFonts w:ascii="Times New Roman" w:eastAsia="Times New Roman" w:hAnsi="Times New Roman" w:cs="Times New Roman"/>
          <w:noProof/>
          <w:sz w:val="24"/>
          <w:szCs w:val="20"/>
        </w:rPr>
      </w:pPr>
    </w:p>
    <w:p w14:paraId="62B09D2D" w14:textId="57A797C7" w:rsidR="00932E08" w:rsidRDefault="00932E08" w:rsidP="00975B5E">
      <w:pPr>
        <w:jc w:val="both"/>
        <w:rPr>
          <w:rFonts w:ascii="Times New Roman" w:eastAsia="Times New Roman" w:hAnsi="Times New Roman" w:cs="Times New Roman"/>
          <w:noProof/>
          <w:sz w:val="24"/>
          <w:szCs w:val="20"/>
        </w:rPr>
      </w:pPr>
    </w:p>
    <w:p w14:paraId="53769FB5" w14:textId="08D9CA9C" w:rsidR="00CF44F5" w:rsidRDefault="00CF44F5" w:rsidP="00975B5E">
      <w:pPr>
        <w:jc w:val="both"/>
        <w:rPr>
          <w:rFonts w:ascii="Times New Roman" w:eastAsia="Times New Roman" w:hAnsi="Times New Roman" w:cs="Times New Roman"/>
          <w:noProof/>
          <w:sz w:val="24"/>
          <w:szCs w:val="20"/>
        </w:rPr>
      </w:pPr>
    </w:p>
    <w:p w14:paraId="263E6CB5" w14:textId="43DD31C6" w:rsidR="00CF44F5" w:rsidRDefault="00CF44F5" w:rsidP="00975B5E">
      <w:pPr>
        <w:jc w:val="both"/>
        <w:rPr>
          <w:rFonts w:ascii="Times New Roman" w:eastAsia="Times New Roman" w:hAnsi="Times New Roman" w:cs="Times New Roman"/>
          <w:noProof/>
          <w:sz w:val="24"/>
          <w:szCs w:val="20"/>
        </w:rPr>
      </w:pPr>
    </w:p>
    <w:p w14:paraId="17CB407D" w14:textId="6B75C0CB" w:rsidR="00CF44F5" w:rsidRDefault="00CF44F5" w:rsidP="00975B5E">
      <w:pPr>
        <w:jc w:val="both"/>
        <w:rPr>
          <w:rFonts w:ascii="Times New Roman" w:eastAsia="Times New Roman" w:hAnsi="Times New Roman" w:cs="Times New Roman"/>
          <w:noProof/>
          <w:sz w:val="24"/>
          <w:szCs w:val="20"/>
        </w:rPr>
      </w:pPr>
    </w:p>
    <w:p w14:paraId="1F720D3B" w14:textId="77777777" w:rsidR="00CF44F5" w:rsidRPr="001F0ECB" w:rsidRDefault="00CF44F5" w:rsidP="00975B5E">
      <w:pPr>
        <w:jc w:val="both"/>
        <w:rPr>
          <w:rFonts w:ascii="Times New Roman" w:eastAsia="Times New Roman" w:hAnsi="Times New Roman" w:cs="Times New Roman"/>
          <w:noProof/>
          <w:sz w:val="24"/>
          <w:szCs w:val="20"/>
        </w:rPr>
      </w:pPr>
    </w:p>
    <w:p w14:paraId="6E178D86" w14:textId="77777777" w:rsidR="002672AA" w:rsidRPr="00932E08" w:rsidRDefault="002672AA" w:rsidP="0039195A">
      <w:pPr>
        <w:jc w:val="center"/>
        <w:rPr>
          <w:rFonts w:ascii="Times New Roman" w:hAnsi="Times New Roman"/>
          <w:b/>
          <w:noProof/>
          <w:sz w:val="36"/>
          <w:szCs w:val="32"/>
        </w:rPr>
      </w:pPr>
      <w:r w:rsidRPr="00932E08">
        <w:rPr>
          <w:rFonts w:ascii="Times New Roman" w:hAnsi="Times New Roman"/>
          <w:b/>
          <w:sz w:val="36"/>
          <w:szCs w:val="32"/>
        </w:rPr>
        <w:t>Ceturkšņa nacionālo kontu uzskaite</w:t>
      </w:r>
    </w:p>
    <w:p w14:paraId="189D3310" w14:textId="77777777" w:rsidR="00975B5E" w:rsidRPr="001F0ECB" w:rsidRDefault="00975B5E" w:rsidP="00975B5E">
      <w:pPr>
        <w:jc w:val="both"/>
        <w:rPr>
          <w:rFonts w:ascii="Times New Roman" w:hAnsi="Times New Roman"/>
          <w:noProof/>
          <w:sz w:val="24"/>
        </w:rPr>
      </w:pPr>
    </w:p>
    <w:p w14:paraId="61BCA588" w14:textId="77777777" w:rsidR="002672AA" w:rsidRPr="007D3A90" w:rsidRDefault="002672AA" w:rsidP="0039195A">
      <w:pPr>
        <w:jc w:val="center"/>
        <w:rPr>
          <w:rFonts w:ascii="Times New Roman" w:hAnsi="Times New Roman"/>
          <w:noProof/>
          <w:sz w:val="36"/>
          <w:szCs w:val="32"/>
        </w:rPr>
      </w:pPr>
      <w:r w:rsidRPr="007D3A90">
        <w:rPr>
          <w:rFonts w:ascii="Times New Roman" w:hAnsi="Times New Roman"/>
          <w:sz w:val="36"/>
          <w:szCs w:val="32"/>
        </w:rPr>
        <w:t>Ceturkšņa nacionālo kontu avoti un metodes Latvijai</w:t>
      </w:r>
    </w:p>
    <w:p w14:paraId="1D273F81" w14:textId="77777777" w:rsidR="002672AA" w:rsidRPr="001F0ECB" w:rsidRDefault="002672AA" w:rsidP="00975B5E">
      <w:pPr>
        <w:jc w:val="both"/>
        <w:rPr>
          <w:rFonts w:ascii="Times New Roman" w:eastAsia="Calibri" w:hAnsi="Times New Roman" w:cs="Calibri"/>
          <w:noProof/>
          <w:sz w:val="24"/>
          <w:szCs w:val="40"/>
        </w:rPr>
      </w:pPr>
    </w:p>
    <w:p w14:paraId="05BBFD53" w14:textId="6BA3616C" w:rsidR="00975B5E" w:rsidRDefault="00975B5E" w:rsidP="00975B5E">
      <w:pPr>
        <w:jc w:val="both"/>
        <w:rPr>
          <w:rFonts w:ascii="Times New Roman" w:eastAsia="Calibri" w:hAnsi="Times New Roman" w:cs="Calibri"/>
          <w:noProof/>
          <w:sz w:val="24"/>
          <w:szCs w:val="42"/>
        </w:rPr>
      </w:pPr>
    </w:p>
    <w:p w14:paraId="75DD5E1F" w14:textId="4870CF0F" w:rsidR="0039195A" w:rsidRDefault="0039195A" w:rsidP="00975B5E">
      <w:pPr>
        <w:jc w:val="both"/>
        <w:rPr>
          <w:rFonts w:ascii="Times New Roman" w:eastAsia="Calibri" w:hAnsi="Times New Roman" w:cs="Calibri"/>
          <w:noProof/>
          <w:sz w:val="24"/>
          <w:szCs w:val="42"/>
        </w:rPr>
      </w:pPr>
    </w:p>
    <w:p w14:paraId="2AC45FC5" w14:textId="4A9AE2EE" w:rsidR="0039195A" w:rsidRDefault="0039195A" w:rsidP="00975B5E">
      <w:pPr>
        <w:jc w:val="both"/>
        <w:rPr>
          <w:rFonts w:ascii="Times New Roman" w:eastAsia="Calibri" w:hAnsi="Times New Roman" w:cs="Calibri"/>
          <w:noProof/>
          <w:sz w:val="24"/>
          <w:szCs w:val="42"/>
        </w:rPr>
      </w:pPr>
    </w:p>
    <w:p w14:paraId="3300A08D" w14:textId="3A1BFDC4" w:rsidR="0039195A" w:rsidRDefault="0039195A" w:rsidP="00975B5E">
      <w:pPr>
        <w:jc w:val="both"/>
        <w:rPr>
          <w:rFonts w:ascii="Times New Roman" w:eastAsia="Calibri" w:hAnsi="Times New Roman" w:cs="Calibri"/>
          <w:noProof/>
          <w:sz w:val="24"/>
          <w:szCs w:val="42"/>
        </w:rPr>
      </w:pPr>
    </w:p>
    <w:p w14:paraId="5EE3190D" w14:textId="4944E130" w:rsidR="0039195A" w:rsidRDefault="0039195A" w:rsidP="00975B5E">
      <w:pPr>
        <w:jc w:val="both"/>
        <w:rPr>
          <w:rFonts w:ascii="Times New Roman" w:eastAsia="Calibri" w:hAnsi="Times New Roman" w:cs="Calibri"/>
          <w:noProof/>
          <w:sz w:val="24"/>
          <w:szCs w:val="42"/>
        </w:rPr>
      </w:pPr>
    </w:p>
    <w:p w14:paraId="727FC3A1" w14:textId="2A80E57C" w:rsidR="0039195A" w:rsidRDefault="0039195A" w:rsidP="00975B5E">
      <w:pPr>
        <w:jc w:val="both"/>
        <w:rPr>
          <w:rFonts w:ascii="Times New Roman" w:eastAsia="Calibri" w:hAnsi="Times New Roman" w:cs="Calibri"/>
          <w:noProof/>
          <w:sz w:val="24"/>
          <w:szCs w:val="42"/>
        </w:rPr>
      </w:pPr>
    </w:p>
    <w:p w14:paraId="2DF09266" w14:textId="012D306B" w:rsidR="0039195A" w:rsidRDefault="0039195A" w:rsidP="00975B5E">
      <w:pPr>
        <w:jc w:val="both"/>
        <w:rPr>
          <w:rFonts w:ascii="Times New Roman" w:eastAsia="Calibri" w:hAnsi="Times New Roman" w:cs="Calibri"/>
          <w:noProof/>
          <w:sz w:val="24"/>
          <w:szCs w:val="42"/>
        </w:rPr>
      </w:pPr>
    </w:p>
    <w:p w14:paraId="3DA738C9" w14:textId="533A4E89" w:rsidR="0039195A" w:rsidRDefault="0039195A" w:rsidP="00975B5E">
      <w:pPr>
        <w:jc w:val="both"/>
        <w:rPr>
          <w:rFonts w:ascii="Times New Roman" w:eastAsia="Calibri" w:hAnsi="Times New Roman" w:cs="Calibri"/>
          <w:noProof/>
          <w:sz w:val="24"/>
          <w:szCs w:val="42"/>
        </w:rPr>
      </w:pPr>
    </w:p>
    <w:p w14:paraId="7EE3C910" w14:textId="77777777" w:rsidR="0039195A" w:rsidRPr="001F0ECB" w:rsidRDefault="0039195A" w:rsidP="00975B5E">
      <w:pPr>
        <w:jc w:val="both"/>
        <w:rPr>
          <w:rFonts w:ascii="Times New Roman" w:eastAsia="Calibri" w:hAnsi="Times New Roman" w:cs="Calibri"/>
          <w:noProof/>
          <w:sz w:val="24"/>
          <w:szCs w:val="42"/>
        </w:rPr>
      </w:pPr>
    </w:p>
    <w:p w14:paraId="17F21B3E" w14:textId="77777777" w:rsidR="002672AA" w:rsidRPr="001F0ECB" w:rsidRDefault="002672AA" w:rsidP="0039195A">
      <w:pPr>
        <w:jc w:val="center"/>
        <w:rPr>
          <w:rFonts w:ascii="Times New Roman" w:hAnsi="Times New Roman"/>
          <w:noProof/>
          <w:sz w:val="24"/>
        </w:rPr>
      </w:pPr>
      <w:r>
        <w:rPr>
          <w:rFonts w:ascii="Times New Roman" w:hAnsi="Times New Roman"/>
          <w:sz w:val="24"/>
        </w:rPr>
        <w:t>Nobeiguma ziņojums</w:t>
      </w:r>
    </w:p>
    <w:p w14:paraId="3E0BD4F1" w14:textId="77777777" w:rsidR="002672AA" w:rsidRPr="001F0ECB" w:rsidRDefault="002672AA" w:rsidP="00975B5E">
      <w:pPr>
        <w:jc w:val="both"/>
        <w:rPr>
          <w:rFonts w:ascii="Times New Roman" w:eastAsia="Calibri" w:hAnsi="Times New Roman" w:cs="Calibri"/>
          <w:noProof/>
          <w:sz w:val="24"/>
          <w:szCs w:val="32"/>
        </w:rPr>
      </w:pPr>
    </w:p>
    <w:p w14:paraId="66F4FCF6" w14:textId="03A56F37" w:rsidR="002672AA" w:rsidRDefault="002672AA" w:rsidP="00975B5E">
      <w:pPr>
        <w:jc w:val="both"/>
        <w:rPr>
          <w:rFonts w:ascii="Times New Roman" w:eastAsia="Calibri" w:hAnsi="Times New Roman" w:cs="Calibri"/>
          <w:noProof/>
          <w:sz w:val="24"/>
          <w:szCs w:val="32"/>
        </w:rPr>
      </w:pPr>
    </w:p>
    <w:p w14:paraId="7CA842F4" w14:textId="5E1D90C3" w:rsidR="0039195A" w:rsidRDefault="0039195A" w:rsidP="00975B5E">
      <w:pPr>
        <w:jc w:val="both"/>
        <w:rPr>
          <w:rFonts w:ascii="Times New Roman" w:eastAsia="Calibri" w:hAnsi="Times New Roman" w:cs="Calibri"/>
          <w:noProof/>
          <w:sz w:val="24"/>
          <w:szCs w:val="32"/>
        </w:rPr>
      </w:pPr>
    </w:p>
    <w:p w14:paraId="2F476813" w14:textId="61707592" w:rsidR="0039195A" w:rsidRDefault="0039195A" w:rsidP="00975B5E">
      <w:pPr>
        <w:jc w:val="both"/>
        <w:rPr>
          <w:rFonts w:ascii="Times New Roman" w:eastAsia="Calibri" w:hAnsi="Times New Roman" w:cs="Calibri"/>
          <w:noProof/>
          <w:sz w:val="24"/>
          <w:szCs w:val="32"/>
        </w:rPr>
      </w:pPr>
    </w:p>
    <w:p w14:paraId="325B459F" w14:textId="728AA798" w:rsidR="0039195A" w:rsidRDefault="0039195A" w:rsidP="00975B5E">
      <w:pPr>
        <w:jc w:val="both"/>
        <w:rPr>
          <w:rFonts w:ascii="Times New Roman" w:eastAsia="Calibri" w:hAnsi="Times New Roman" w:cs="Calibri"/>
          <w:noProof/>
          <w:sz w:val="24"/>
          <w:szCs w:val="32"/>
        </w:rPr>
      </w:pPr>
    </w:p>
    <w:p w14:paraId="4C4C7352" w14:textId="2BF0E96E" w:rsidR="0039195A" w:rsidRDefault="0039195A" w:rsidP="00975B5E">
      <w:pPr>
        <w:jc w:val="both"/>
        <w:rPr>
          <w:rFonts w:ascii="Times New Roman" w:eastAsia="Calibri" w:hAnsi="Times New Roman" w:cs="Calibri"/>
          <w:noProof/>
          <w:sz w:val="24"/>
          <w:szCs w:val="32"/>
        </w:rPr>
      </w:pPr>
    </w:p>
    <w:p w14:paraId="5437F63A" w14:textId="01EE040A" w:rsidR="0039195A" w:rsidRDefault="0039195A" w:rsidP="00975B5E">
      <w:pPr>
        <w:jc w:val="both"/>
        <w:rPr>
          <w:rFonts w:ascii="Times New Roman" w:eastAsia="Calibri" w:hAnsi="Times New Roman" w:cs="Calibri"/>
          <w:noProof/>
          <w:sz w:val="24"/>
          <w:szCs w:val="32"/>
        </w:rPr>
      </w:pPr>
    </w:p>
    <w:p w14:paraId="231D9581" w14:textId="40FD2D3D" w:rsidR="0039195A" w:rsidRDefault="0039195A" w:rsidP="00975B5E">
      <w:pPr>
        <w:jc w:val="both"/>
        <w:rPr>
          <w:rFonts w:ascii="Times New Roman" w:eastAsia="Calibri" w:hAnsi="Times New Roman" w:cs="Calibri"/>
          <w:noProof/>
          <w:sz w:val="24"/>
          <w:szCs w:val="32"/>
        </w:rPr>
      </w:pPr>
    </w:p>
    <w:p w14:paraId="4BBD508E" w14:textId="38C837CB" w:rsidR="0039195A" w:rsidRDefault="0039195A" w:rsidP="00975B5E">
      <w:pPr>
        <w:jc w:val="both"/>
        <w:rPr>
          <w:rFonts w:ascii="Times New Roman" w:eastAsia="Calibri" w:hAnsi="Times New Roman" w:cs="Calibri"/>
          <w:noProof/>
          <w:sz w:val="24"/>
          <w:szCs w:val="32"/>
        </w:rPr>
      </w:pPr>
    </w:p>
    <w:p w14:paraId="74114946" w14:textId="5634FD29" w:rsidR="0039195A" w:rsidRDefault="0039195A" w:rsidP="00975B5E">
      <w:pPr>
        <w:jc w:val="both"/>
        <w:rPr>
          <w:rFonts w:ascii="Times New Roman" w:eastAsia="Calibri" w:hAnsi="Times New Roman" w:cs="Calibri"/>
          <w:noProof/>
          <w:sz w:val="24"/>
          <w:szCs w:val="32"/>
        </w:rPr>
      </w:pPr>
    </w:p>
    <w:p w14:paraId="49E0FC1D" w14:textId="5734C5CA" w:rsidR="0039195A" w:rsidRDefault="0039195A" w:rsidP="00975B5E">
      <w:pPr>
        <w:jc w:val="both"/>
        <w:rPr>
          <w:rFonts w:ascii="Times New Roman" w:eastAsia="Calibri" w:hAnsi="Times New Roman" w:cs="Calibri"/>
          <w:noProof/>
          <w:sz w:val="24"/>
          <w:szCs w:val="32"/>
        </w:rPr>
      </w:pPr>
    </w:p>
    <w:p w14:paraId="1E94CDBF" w14:textId="4DA5D96D" w:rsidR="0039195A" w:rsidRDefault="0039195A" w:rsidP="00975B5E">
      <w:pPr>
        <w:jc w:val="both"/>
        <w:rPr>
          <w:rFonts w:ascii="Times New Roman" w:eastAsia="Calibri" w:hAnsi="Times New Roman" w:cs="Calibri"/>
          <w:noProof/>
          <w:sz w:val="24"/>
          <w:szCs w:val="32"/>
        </w:rPr>
      </w:pPr>
    </w:p>
    <w:p w14:paraId="6E92F78C" w14:textId="172FA49B" w:rsidR="0039195A" w:rsidRDefault="0039195A" w:rsidP="00975B5E">
      <w:pPr>
        <w:jc w:val="both"/>
        <w:rPr>
          <w:rFonts w:ascii="Times New Roman" w:eastAsia="Calibri" w:hAnsi="Times New Roman" w:cs="Calibri"/>
          <w:noProof/>
          <w:sz w:val="24"/>
          <w:szCs w:val="32"/>
        </w:rPr>
      </w:pPr>
    </w:p>
    <w:p w14:paraId="19CA93C5" w14:textId="0B93AEA8" w:rsidR="0039195A" w:rsidRDefault="0039195A" w:rsidP="00975B5E">
      <w:pPr>
        <w:jc w:val="both"/>
        <w:rPr>
          <w:rFonts w:ascii="Times New Roman" w:eastAsia="Calibri" w:hAnsi="Times New Roman" w:cs="Calibri"/>
          <w:noProof/>
          <w:sz w:val="24"/>
          <w:szCs w:val="32"/>
        </w:rPr>
      </w:pPr>
    </w:p>
    <w:p w14:paraId="3BA01E73" w14:textId="08BCFD32" w:rsidR="0039195A" w:rsidRDefault="0039195A" w:rsidP="00975B5E">
      <w:pPr>
        <w:jc w:val="both"/>
        <w:rPr>
          <w:rFonts w:ascii="Times New Roman" w:eastAsia="Calibri" w:hAnsi="Times New Roman" w:cs="Calibri"/>
          <w:noProof/>
          <w:sz w:val="24"/>
          <w:szCs w:val="32"/>
        </w:rPr>
      </w:pPr>
    </w:p>
    <w:p w14:paraId="554A0B5A" w14:textId="14A271A3" w:rsidR="0039195A" w:rsidRDefault="0039195A" w:rsidP="00975B5E">
      <w:pPr>
        <w:jc w:val="both"/>
        <w:rPr>
          <w:rFonts w:ascii="Times New Roman" w:eastAsia="Calibri" w:hAnsi="Times New Roman" w:cs="Calibri"/>
          <w:noProof/>
          <w:sz w:val="24"/>
          <w:szCs w:val="32"/>
        </w:rPr>
      </w:pPr>
    </w:p>
    <w:p w14:paraId="36EE29F2" w14:textId="69CBF770" w:rsidR="0039195A" w:rsidRDefault="0039195A" w:rsidP="00975B5E">
      <w:pPr>
        <w:jc w:val="both"/>
        <w:rPr>
          <w:rFonts w:ascii="Times New Roman" w:eastAsia="Calibri" w:hAnsi="Times New Roman" w:cs="Calibri"/>
          <w:noProof/>
          <w:sz w:val="24"/>
          <w:szCs w:val="32"/>
        </w:rPr>
      </w:pPr>
    </w:p>
    <w:p w14:paraId="50E06B50" w14:textId="4C81BDEB" w:rsidR="0039195A" w:rsidRDefault="0039195A" w:rsidP="00975B5E">
      <w:pPr>
        <w:jc w:val="both"/>
        <w:rPr>
          <w:rFonts w:ascii="Times New Roman" w:eastAsia="Calibri" w:hAnsi="Times New Roman" w:cs="Calibri"/>
          <w:noProof/>
          <w:sz w:val="24"/>
          <w:szCs w:val="32"/>
        </w:rPr>
      </w:pPr>
    </w:p>
    <w:p w14:paraId="285FC2C1" w14:textId="7CBF2C8B" w:rsidR="0039195A" w:rsidRDefault="0039195A" w:rsidP="00975B5E">
      <w:pPr>
        <w:jc w:val="both"/>
        <w:rPr>
          <w:rFonts w:ascii="Times New Roman" w:eastAsia="Calibri" w:hAnsi="Times New Roman" w:cs="Calibri"/>
          <w:noProof/>
          <w:sz w:val="24"/>
          <w:szCs w:val="32"/>
        </w:rPr>
      </w:pPr>
    </w:p>
    <w:p w14:paraId="4D1CC6CF" w14:textId="6403C5D8" w:rsidR="0039195A" w:rsidRDefault="0039195A" w:rsidP="00975B5E">
      <w:pPr>
        <w:jc w:val="both"/>
        <w:rPr>
          <w:rFonts w:ascii="Times New Roman" w:eastAsia="Calibri" w:hAnsi="Times New Roman" w:cs="Calibri"/>
          <w:noProof/>
          <w:sz w:val="24"/>
          <w:szCs w:val="32"/>
        </w:rPr>
      </w:pPr>
    </w:p>
    <w:p w14:paraId="7FC9D6B7" w14:textId="7D3F3638" w:rsidR="0039195A" w:rsidRDefault="0039195A" w:rsidP="00975B5E">
      <w:pPr>
        <w:jc w:val="both"/>
        <w:rPr>
          <w:rFonts w:ascii="Times New Roman" w:eastAsia="Calibri" w:hAnsi="Times New Roman" w:cs="Calibri"/>
          <w:noProof/>
          <w:sz w:val="24"/>
          <w:szCs w:val="32"/>
        </w:rPr>
      </w:pPr>
    </w:p>
    <w:p w14:paraId="7D0FF967" w14:textId="68DFD662" w:rsidR="0039195A" w:rsidRDefault="0039195A" w:rsidP="00975B5E">
      <w:pPr>
        <w:jc w:val="both"/>
        <w:rPr>
          <w:rFonts w:ascii="Times New Roman" w:eastAsia="Calibri" w:hAnsi="Times New Roman" w:cs="Calibri"/>
          <w:noProof/>
          <w:sz w:val="24"/>
          <w:szCs w:val="32"/>
        </w:rPr>
      </w:pPr>
    </w:p>
    <w:p w14:paraId="6E305214" w14:textId="4EC9B95C" w:rsidR="0039195A" w:rsidRDefault="0039195A" w:rsidP="00975B5E">
      <w:pPr>
        <w:jc w:val="both"/>
        <w:rPr>
          <w:rFonts w:ascii="Times New Roman" w:eastAsia="Calibri" w:hAnsi="Times New Roman" w:cs="Calibri"/>
          <w:noProof/>
          <w:sz w:val="24"/>
          <w:szCs w:val="32"/>
        </w:rPr>
      </w:pPr>
    </w:p>
    <w:p w14:paraId="2BD8CE12" w14:textId="3766659A" w:rsidR="0039195A" w:rsidRDefault="0039195A" w:rsidP="00975B5E">
      <w:pPr>
        <w:jc w:val="both"/>
        <w:rPr>
          <w:rFonts w:ascii="Times New Roman" w:eastAsia="Calibri" w:hAnsi="Times New Roman" w:cs="Calibri"/>
          <w:noProof/>
          <w:sz w:val="24"/>
          <w:szCs w:val="32"/>
        </w:rPr>
      </w:pPr>
    </w:p>
    <w:p w14:paraId="17CD6837" w14:textId="77777777" w:rsidR="0039195A" w:rsidRPr="001F0ECB" w:rsidRDefault="0039195A" w:rsidP="0039195A">
      <w:pPr>
        <w:rPr>
          <w:rFonts w:ascii="Times New Roman" w:eastAsia="Calibri" w:hAnsi="Times New Roman" w:cs="Calibri"/>
          <w:noProof/>
          <w:sz w:val="24"/>
          <w:szCs w:val="32"/>
        </w:rPr>
      </w:pPr>
    </w:p>
    <w:p w14:paraId="5F995A48" w14:textId="77777777" w:rsidR="002672AA" w:rsidRPr="001F0ECB" w:rsidRDefault="002672AA" w:rsidP="0039195A">
      <w:pPr>
        <w:jc w:val="center"/>
        <w:rPr>
          <w:rFonts w:ascii="Times New Roman" w:hAnsi="Times New Roman"/>
          <w:noProof/>
          <w:sz w:val="24"/>
        </w:rPr>
      </w:pPr>
      <w:r>
        <w:rPr>
          <w:rFonts w:ascii="Times New Roman" w:hAnsi="Times New Roman"/>
          <w:sz w:val="24"/>
        </w:rPr>
        <w:t>2020. gada janvāris</w:t>
      </w:r>
    </w:p>
    <w:p w14:paraId="19297219" w14:textId="77777777" w:rsidR="00975B5E" w:rsidRPr="001F0ECB" w:rsidRDefault="00975B5E">
      <w:pPr>
        <w:rPr>
          <w:rFonts w:ascii="Times New Roman" w:eastAsia="Calibri" w:hAnsi="Times New Roman" w:cs="Calibri"/>
          <w:noProof/>
          <w:sz w:val="24"/>
          <w:szCs w:val="28"/>
        </w:rPr>
      </w:pPr>
      <w:r>
        <w:br w:type="page"/>
      </w:r>
    </w:p>
    <w:p w14:paraId="660AD8CF" w14:textId="77777777" w:rsidR="00975B5E" w:rsidRPr="001F0ECB" w:rsidRDefault="00975B5E" w:rsidP="00975B5E">
      <w:pPr>
        <w:jc w:val="both"/>
        <w:rPr>
          <w:rFonts w:ascii="Times New Roman" w:eastAsia="Calibri" w:hAnsi="Times New Roman" w:cs="Calibri"/>
          <w:noProof/>
          <w:sz w:val="24"/>
          <w:szCs w:val="28"/>
        </w:rPr>
      </w:pPr>
    </w:p>
    <w:p w14:paraId="492C7216" w14:textId="59A2BA5C" w:rsidR="002672AA" w:rsidRPr="002C49F3" w:rsidRDefault="002672AA" w:rsidP="00975B5E">
      <w:pPr>
        <w:jc w:val="both"/>
        <w:rPr>
          <w:rFonts w:ascii="Times New Roman" w:hAnsi="Times New Roman"/>
          <w:sz w:val="28"/>
          <w:szCs w:val="24"/>
        </w:rPr>
      </w:pPr>
      <w:r w:rsidRPr="002C49F3">
        <w:rPr>
          <w:rFonts w:ascii="Times New Roman" w:hAnsi="Times New Roman"/>
          <w:sz w:val="28"/>
          <w:szCs w:val="24"/>
        </w:rPr>
        <w:t>Saturs</w:t>
      </w:r>
    </w:p>
    <w:sdt>
      <w:sdtPr>
        <w:rPr>
          <w:rFonts w:ascii="Times New Roman" w:eastAsiaTheme="minorHAnsi" w:hAnsi="Times New Roman" w:cs="Times New Roman"/>
          <w:color w:val="auto"/>
          <w:sz w:val="22"/>
          <w:szCs w:val="22"/>
          <w:lang w:eastAsia="en-US"/>
        </w:rPr>
        <w:id w:val="-1476992974"/>
        <w:docPartObj>
          <w:docPartGallery w:val="Table of Contents"/>
          <w:docPartUnique/>
        </w:docPartObj>
      </w:sdtPr>
      <w:sdtEndPr>
        <w:rPr>
          <w:b/>
          <w:bCs/>
        </w:rPr>
      </w:sdtEndPr>
      <w:sdtContent>
        <w:p w14:paraId="3F1150B0" w14:textId="08EFAD12" w:rsidR="002C49F3" w:rsidRPr="00045840" w:rsidRDefault="002C49F3" w:rsidP="00045840">
          <w:pPr>
            <w:pStyle w:val="TOCHeading"/>
            <w:keepNext w:val="0"/>
            <w:keepLines w:val="0"/>
            <w:spacing w:before="0" w:line="240" w:lineRule="auto"/>
            <w:jc w:val="both"/>
            <w:rPr>
              <w:rFonts w:ascii="Times New Roman" w:hAnsi="Times New Roman" w:cs="Times New Roman"/>
              <w:color w:val="auto"/>
              <w:sz w:val="24"/>
              <w:szCs w:val="24"/>
            </w:rPr>
          </w:pPr>
        </w:p>
        <w:p w14:paraId="689BFD7E" w14:textId="26344E76" w:rsidR="00045840" w:rsidRPr="00045840" w:rsidRDefault="002C49F3"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r w:rsidRPr="00045840">
            <w:rPr>
              <w:rFonts w:ascii="Times New Roman" w:hAnsi="Times New Roman" w:cs="Times New Roman"/>
              <w:sz w:val="24"/>
              <w:szCs w:val="24"/>
            </w:rPr>
            <w:fldChar w:fldCharType="begin"/>
          </w:r>
          <w:r w:rsidRPr="00045840">
            <w:rPr>
              <w:rFonts w:ascii="Times New Roman" w:hAnsi="Times New Roman" w:cs="Times New Roman"/>
              <w:sz w:val="24"/>
              <w:szCs w:val="24"/>
            </w:rPr>
            <w:instrText xml:space="preserve"> TOC \o "1-3" \h \z \u </w:instrText>
          </w:r>
          <w:r w:rsidRPr="00045840">
            <w:rPr>
              <w:rFonts w:ascii="Times New Roman" w:hAnsi="Times New Roman" w:cs="Times New Roman"/>
              <w:sz w:val="24"/>
              <w:szCs w:val="24"/>
            </w:rPr>
            <w:fldChar w:fldCharType="separate"/>
          </w:r>
          <w:hyperlink w:anchor="_Toc73461222" w:history="1">
            <w:r w:rsidR="00045840" w:rsidRPr="00045840">
              <w:rPr>
                <w:rStyle w:val="Hyperlink"/>
                <w:rFonts w:ascii="Times New Roman" w:hAnsi="Times New Roman" w:cs="Times New Roman"/>
                <w:noProof/>
                <w:sz w:val="24"/>
                <w:szCs w:val="24"/>
              </w:rPr>
              <w:t>Saīsinājumu un akronīmu saraksts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_Toc73461222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sidR="00080696">
              <w:rPr>
                <w:rFonts w:ascii="Times New Roman" w:hAnsi="Times New Roman" w:cs="Times New Roman"/>
                <w:noProof/>
                <w:webHidden/>
                <w:sz w:val="24"/>
                <w:szCs w:val="24"/>
              </w:rPr>
              <w:t>4</w:t>
            </w:r>
            <w:r w:rsidR="00045840" w:rsidRPr="00045840">
              <w:rPr>
                <w:rFonts w:ascii="Times New Roman" w:hAnsi="Times New Roman" w:cs="Times New Roman"/>
                <w:noProof/>
                <w:webHidden/>
                <w:sz w:val="24"/>
                <w:szCs w:val="24"/>
              </w:rPr>
              <w:fldChar w:fldCharType="end"/>
            </w:r>
          </w:hyperlink>
        </w:p>
        <w:p w14:paraId="4358AC08" w14:textId="4B9DDCDB"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23" w:history="1">
            <w:r w:rsidR="00045840" w:rsidRPr="00045840">
              <w:rPr>
                <w:rStyle w:val="Hyperlink"/>
                <w:rFonts w:ascii="Times New Roman" w:hAnsi="Times New Roman" w:cs="Times New Roman"/>
                <w:noProof/>
                <w:sz w:val="24"/>
                <w:szCs w:val="24"/>
              </w:rPr>
              <w:t>Ievads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_Toc73461223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00045840" w:rsidRPr="00045840">
              <w:rPr>
                <w:rFonts w:ascii="Times New Roman" w:hAnsi="Times New Roman" w:cs="Times New Roman"/>
                <w:noProof/>
                <w:webHidden/>
                <w:sz w:val="24"/>
                <w:szCs w:val="24"/>
              </w:rPr>
              <w:fldChar w:fldCharType="end"/>
            </w:r>
          </w:hyperlink>
        </w:p>
        <w:p w14:paraId="3BCC7FE8" w14:textId="5352D49E"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24" w:history="1">
            <w:r w:rsidR="00045840" w:rsidRPr="00045840">
              <w:rPr>
                <w:rStyle w:val="Hyperlink"/>
                <w:rFonts w:ascii="Times New Roman" w:hAnsi="Times New Roman" w:cs="Times New Roman"/>
                <w:noProof/>
                <w:sz w:val="24"/>
                <w:szCs w:val="24"/>
              </w:rPr>
              <w:t>1. Ceturkšņa kontu sistēmas pārskats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_Toc73461224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045840" w:rsidRPr="00045840">
              <w:rPr>
                <w:rFonts w:ascii="Times New Roman" w:hAnsi="Times New Roman" w:cs="Times New Roman"/>
                <w:noProof/>
                <w:webHidden/>
                <w:sz w:val="24"/>
                <w:szCs w:val="24"/>
              </w:rPr>
              <w:fldChar w:fldCharType="end"/>
            </w:r>
          </w:hyperlink>
        </w:p>
        <w:p w14:paraId="2F53A852" w14:textId="24C02B81"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25" w:history="1">
            <w:r w:rsidR="00045840" w:rsidRPr="00045840">
              <w:rPr>
                <w:rStyle w:val="Hyperlink"/>
                <w:rFonts w:ascii="Times New Roman" w:hAnsi="Times New Roman" w:cs="Times New Roman"/>
                <w:noProof/>
                <w:sz w:val="24"/>
                <w:szCs w:val="24"/>
              </w:rPr>
              <w:t>1.1. Organizācija un institucionālā sistēma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_Toc73461225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045840" w:rsidRPr="00045840">
              <w:rPr>
                <w:rFonts w:ascii="Times New Roman" w:hAnsi="Times New Roman" w:cs="Times New Roman"/>
                <w:noProof/>
                <w:webHidden/>
                <w:sz w:val="24"/>
                <w:szCs w:val="24"/>
              </w:rPr>
              <w:fldChar w:fldCharType="end"/>
            </w:r>
          </w:hyperlink>
        </w:p>
        <w:p w14:paraId="376D1EBE" w14:textId="0BB4EAEC"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26" w:history="1">
            <w:r w:rsidR="00045840" w:rsidRPr="00045840">
              <w:rPr>
                <w:rStyle w:val="Hyperlink"/>
                <w:rFonts w:ascii="Times New Roman" w:hAnsi="Times New Roman" w:cs="Times New Roman"/>
                <w:noProof/>
                <w:sz w:val="24"/>
                <w:szCs w:val="24"/>
              </w:rPr>
              <w:t>1.2. Publicēšanas grafiks, revīzijas politika un CNK izplatīšana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_Toc73461226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045840" w:rsidRPr="00045840">
              <w:rPr>
                <w:rFonts w:ascii="Times New Roman" w:hAnsi="Times New Roman" w:cs="Times New Roman"/>
                <w:noProof/>
                <w:webHidden/>
                <w:sz w:val="24"/>
                <w:szCs w:val="24"/>
              </w:rPr>
              <w:fldChar w:fldCharType="end"/>
            </w:r>
          </w:hyperlink>
        </w:p>
        <w:p w14:paraId="70412767" w14:textId="740D253D"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27" w:history="1">
            <w:r w:rsidR="00045840" w:rsidRPr="00045840">
              <w:rPr>
                <w:rStyle w:val="Hyperlink"/>
                <w:rFonts w:ascii="Times New Roman" w:hAnsi="Times New Roman" w:cs="Times New Roman"/>
                <w:noProof/>
                <w:sz w:val="24"/>
                <w:szCs w:val="24"/>
              </w:rPr>
              <w:t>1.3. CNK apkopošanas pieeja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_Toc73461227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00045840" w:rsidRPr="00045840">
              <w:rPr>
                <w:rFonts w:ascii="Times New Roman" w:hAnsi="Times New Roman" w:cs="Times New Roman"/>
                <w:noProof/>
                <w:webHidden/>
                <w:sz w:val="24"/>
                <w:szCs w:val="24"/>
              </w:rPr>
              <w:fldChar w:fldCharType="end"/>
            </w:r>
          </w:hyperlink>
        </w:p>
        <w:p w14:paraId="0E918618" w14:textId="25A00AE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28" w:history="1">
            <w:r w:rsidR="00045840" w:rsidRPr="00045840">
              <w:rPr>
                <w:rStyle w:val="Hyperlink"/>
                <w:rFonts w:ascii="Times New Roman" w:hAnsi="Times New Roman" w:cs="Times New Roman"/>
                <w:noProof/>
                <w:sz w:val="24"/>
                <w:szCs w:val="24"/>
              </w:rPr>
              <w:t>1.4. Līdzsvarošana, etalonpieskaņošana un citas saskaņošanas procedūras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_Toc73461228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045840" w:rsidRPr="00045840">
              <w:rPr>
                <w:rFonts w:ascii="Times New Roman" w:hAnsi="Times New Roman" w:cs="Times New Roman"/>
                <w:noProof/>
                <w:webHidden/>
                <w:sz w:val="24"/>
                <w:szCs w:val="24"/>
              </w:rPr>
              <w:fldChar w:fldCharType="end"/>
            </w:r>
          </w:hyperlink>
        </w:p>
        <w:p w14:paraId="7FD1FAF1" w14:textId="108E790C"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29" w:history="1">
            <w:r w:rsidR="00045840" w:rsidRPr="00045840">
              <w:rPr>
                <w:rStyle w:val="Hyperlink"/>
                <w:rFonts w:ascii="Times New Roman" w:hAnsi="Times New Roman" w:cs="Times New Roman"/>
                <w:noProof/>
                <w:sz w:val="24"/>
                <w:szCs w:val="24"/>
              </w:rPr>
              <w:t>1.5. Apjoma novērtējumi</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_Toc73461229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045840" w:rsidRPr="00045840">
              <w:rPr>
                <w:rFonts w:ascii="Times New Roman" w:hAnsi="Times New Roman" w:cs="Times New Roman"/>
                <w:noProof/>
                <w:webHidden/>
                <w:sz w:val="24"/>
                <w:szCs w:val="24"/>
              </w:rPr>
              <w:fldChar w:fldCharType="end"/>
            </w:r>
          </w:hyperlink>
        </w:p>
        <w:p w14:paraId="3594E08B" w14:textId="0E1DD4AA"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0" w:history="1">
            <w:r w:rsidR="00045840" w:rsidRPr="00045840">
              <w:rPr>
                <w:rStyle w:val="Hyperlink"/>
                <w:rFonts w:ascii="Times New Roman" w:hAnsi="Times New Roman" w:cs="Times New Roman"/>
                <w:noProof/>
                <w:sz w:val="24"/>
                <w:szCs w:val="24"/>
              </w:rPr>
              <w:t>1.6. Kalendārā un sezonālā koriģēšana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_Toc73461230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045840" w:rsidRPr="00045840">
              <w:rPr>
                <w:rFonts w:ascii="Times New Roman" w:hAnsi="Times New Roman" w:cs="Times New Roman"/>
                <w:noProof/>
                <w:webHidden/>
                <w:sz w:val="24"/>
                <w:szCs w:val="24"/>
              </w:rPr>
              <w:fldChar w:fldCharType="end"/>
            </w:r>
          </w:hyperlink>
        </w:p>
        <w:p w14:paraId="2B770B0A" w14:textId="6BF0212E"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1" w:history="1">
            <w:r w:rsidR="00045840" w:rsidRPr="00045840">
              <w:rPr>
                <w:rStyle w:val="Hyperlink"/>
                <w:rFonts w:ascii="Times New Roman" w:hAnsi="Times New Roman" w:cs="Times New Roman"/>
                <w:noProof/>
                <w:sz w:val="24"/>
                <w:szCs w:val="24"/>
              </w:rPr>
              <w:t>1.7. Papildu informācija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_Toc73461231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045840" w:rsidRPr="00045840">
              <w:rPr>
                <w:rFonts w:ascii="Times New Roman" w:hAnsi="Times New Roman" w:cs="Times New Roman"/>
                <w:noProof/>
                <w:webHidden/>
                <w:sz w:val="24"/>
                <w:szCs w:val="24"/>
              </w:rPr>
              <w:fldChar w:fldCharType="end"/>
            </w:r>
          </w:hyperlink>
        </w:p>
        <w:p w14:paraId="10EF509C" w14:textId="08432C8F"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32" w:history="1">
            <w:r w:rsidR="00045840" w:rsidRPr="00045840">
              <w:rPr>
                <w:rStyle w:val="Hyperlink"/>
                <w:rFonts w:ascii="Times New Roman" w:hAnsi="Times New Roman" w:cs="Times New Roman"/>
                <w:noProof/>
                <w:sz w:val="24"/>
                <w:szCs w:val="24"/>
              </w:rPr>
              <w:t>2. Publicēšanas grafiks, revīzijas politika un CNK izplatīšana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_Toc73461232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045840" w:rsidRPr="00045840">
              <w:rPr>
                <w:rFonts w:ascii="Times New Roman" w:hAnsi="Times New Roman" w:cs="Times New Roman"/>
                <w:noProof/>
                <w:webHidden/>
                <w:sz w:val="24"/>
                <w:szCs w:val="24"/>
              </w:rPr>
              <w:fldChar w:fldCharType="end"/>
            </w:r>
          </w:hyperlink>
        </w:p>
        <w:p w14:paraId="47F41935" w14:textId="71299EAE"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3" w:history="1">
            <w:r w:rsidR="00045840" w:rsidRPr="00045840">
              <w:rPr>
                <w:rStyle w:val="Hyperlink"/>
                <w:rFonts w:ascii="Times New Roman" w:hAnsi="Times New Roman" w:cs="Times New Roman"/>
                <w:noProof/>
                <w:sz w:val="24"/>
                <w:szCs w:val="24"/>
              </w:rPr>
              <w:t>2.1. Izplatīšanas politika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_Toc73461233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045840" w:rsidRPr="00045840">
              <w:rPr>
                <w:rFonts w:ascii="Times New Roman" w:hAnsi="Times New Roman" w:cs="Times New Roman"/>
                <w:noProof/>
                <w:webHidden/>
                <w:sz w:val="24"/>
                <w:szCs w:val="24"/>
              </w:rPr>
              <w:fldChar w:fldCharType="end"/>
            </w:r>
          </w:hyperlink>
        </w:p>
        <w:p w14:paraId="7A77EA5B" w14:textId="36E1926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4" w:history="1">
            <w:r w:rsidR="00045840" w:rsidRPr="00045840">
              <w:rPr>
                <w:rStyle w:val="Hyperlink"/>
                <w:rFonts w:ascii="Times New Roman" w:hAnsi="Times New Roman" w:cs="Times New Roman"/>
                <w:noProof/>
                <w:sz w:val="24"/>
                <w:szCs w:val="24"/>
              </w:rPr>
              <w:t>2.2. Publicētais saturs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_Toc73461234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045840" w:rsidRPr="00045840">
              <w:rPr>
                <w:rFonts w:ascii="Times New Roman" w:hAnsi="Times New Roman" w:cs="Times New Roman"/>
                <w:noProof/>
                <w:webHidden/>
                <w:sz w:val="24"/>
                <w:szCs w:val="24"/>
              </w:rPr>
              <w:fldChar w:fldCharType="end"/>
            </w:r>
          </w:hyperlink>
        </w:p>
        <w:p w14:paraId="656698AC" w14:textId="14803416"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5" w:history="1">
            <w:r w:rsidR="00045840" w:rsidRPr="00045840">
              <w:rPr>
                <w:rStyle w:val="Hyperlink"/>
                <w:rFonts w:ascii="Times New Roman" w:hAnsi="Times New Roman" w:cs="Times New Roman"/>
                <w:noProof/>
                <w:sz w:val="24"/>
                <w:szCs w:val="24"/>
              </w:rPr>
              <w:t>2.3. Īpaša datu nosūtīšana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_Toc73461235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045840" w:rsidRPr="00045840">
              <w:rPr>
                <w:rFonts w:ascii="Times New Roman" w:hAnsi="Times New Roman" w:cs="Times New Roman"/>
                <w:noProof/>
                <w:webHidden/>
                <w:sz w:val="24"/>
                <w:szCs w:val="24"/>
              </w:rPr>
              <w:fldChar w:fldCharType="end"/>
            </w:r>
          </w:hyperlink>
        </w:p>
        <w:p w14:paraId="2BFBE2D1" w14:textId="59E0EF4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6" w:history="1">
            <w:r w:rsidR="00045840" w:rsidRPr="00045840">
              <w:rPr>
                <w:rStyle w:val="Hyperlink"/>
                <w:rFonts w:ascii="Times New Roman" w:hAnsi="Times New Roman" w:cs="Times New Roman"/>
                <w:noProof/>
                <w:sz w:val="24"/>
                <w:szCs w:val="24"/>
              </w:rPr>
              <w:t>2.4. Metadatu politika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_Toc73461236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045840" w:rsidRPr="00045840">
              <w:rPr>
                <w:rFonts w:ascii="Times New Roman" w:hAnsi="Times New Roman" w:cs="Times New Roman"/>
                <w:noProof/>
                <w:webHidden/>
                <w:sz w:val="24"/>
                <w:szCs w:val="24"/>
              </w:rPr>
              <w:fldChar w:fldCharType="end"/>
            </w:r>
          </w:hyperlink>
        </w:p>
        <w:p w14:paraId="793927B7" w14:textId="463ACBB5"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37" w:history="1">
            <w:r w:rsidR="00045840" w:rsidRPr="00045840">
              <w:rPr>
                <w:rStyle w:val="Hyperlink"/>
                <w:rFonts w:ascii="Times New Roman" w:hAnsi="Times New Roman" w:cs="Times New Roman"/>
                <w:noProof/>
                <w:sz w:val="24"/>
                <w:szCs w:val="24"/>
              </w:rPr>
              <w:t>3. Vispārējā CNK apkopošanas pieeja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_Toc73461237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045840" w:rsidRPr="00045840">
              <w:rPr>
                <w:rFonts w:ascii="Times New Roman" w:hAnsi="Times New Roman" w:cs="Times New Roman"/>
                <w:noProof/>
                <w:webHidden/>
                <w:sz w:val="24"/>
                <w:szCs w:val="24"/>
              </w:rPr>
              <w:fldChar w:fldCharType="end"/>
            </w:r>
          </w:hyperlink>
        </w:p>
        <w:p w14:paraId="20B595BD" w14:textId="6B28740C"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38" w:history="1">
            <w:r w:rsidR="00045840" w:rsidRPr="00045840">
              <w:rPr>
                <w:rStyle w:val="Hyperlink"/>
                <w:rFonts w:ascii="Times New Roman" w:hAnsi="Times New Roman" w:cs="Times New Roman"/>
                <w:noProof/>
                <w:sz w:val="24"/>
                <w:szCs w:val="24"/>
              </w:rPr>
              <w:t>3.1. CNK sistēmas vispārīgā arhitektūra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_Toc73461238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045840" w:rsidRPr="00045840">
              <w:rPr>
                <w:rFonts w:ascii="Times New Roman" w:hAnsi="Times New Roman" w:cs="Times New Roman"/>
                <w:noProof/>
                <w:webHidden/>
                <w:sz w:val="24"/>
                <w:szCs w:val="24"/>
              </w:rPr>
              <w:fldChar w:fldCharType="end"/>
            </w:r>
          </w:hyperlink>
        </w:p>
        <w:p w14:paraId="713E29AE" w14:textId="2E6273CA" w:rsidR="00045840" w:rsidRPr="00045840" w:rsidRDefault="00080696" w:rsidP="00045840">
          <w:pPr>
            <w:pStyle w:val="TOC2"/>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39" w:history="1">
            <w:r w:rsidR="00045840" w:rsidRPr="00045840">
              <w:rPr>
                <w:rStyle w:val="Hyperlink"/>
                <w:rFonts w:ascii="Times New Roman" w:hAnsi="Times New Roman" w:cs="Times New Roman"/>
                <w:noProof/>
                <w:sz w:val="24"/>
                <w:szCs w:val="24"/>
              </w:rPr>
              <w:t>3.2. Līdzsvarošana, etalonpieskaņošana un citas saskaņošanas procedūras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_Toc73461239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045840" w:rsidRPr="00045840">
              <w:rPr>
                <w:rFonts w:ascii="Times New Roman" w:hAnsi="Times New Roman" w:cs="Times New Roman"/>
                <w:noProof/>
                <w:webHidden/>
                <w:sz w:val="24"/>
                <w:szCs w:val="24"/>
              </w:rPr>
              <w:fldChar w:fldCharType="end"/>
            </w:r>
          </w:hyperlink>
        </w:p>
        <w:p w14:paraId="78D1F6FD" w14:textId="42BBC1DC"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0" w:history="1">
            <w:r w:rsidR="00045840" w:rsidRPr="00045840">
              <w:rPr>
                <w:rStyle w:val="Hyperlink"/>
                <w:rFonts w:ascii="Times New Roman" w:hAnsi="Times New Roman" w:cs="Times New Roman"/>
                <w:noProof/>
                <w:sz w:val="24"/>
                <w:szCs w:val="24"/>
              </w:rPr>
              <w:t>3.2.1. Ceturkšņa IKP līdzsvarošanas procedūra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_Toc73461240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045840" w:rsidRPr="00045840">
              <w:rPr>
                <w:rFonts w:ascii="Times New Roman" w:hAnsi="Times New Roman" w:cs="Times New Roman"/>
                <w:noProof/>
                <w:webHidden/>
                <w:sz w:val="24"/>
                <w:szCs w:val="24"/>
              </w:rPr>
              <w:fldChar w:fldCharType="end"/>
            </w:r>
          </w:hyperlink>
        </w:p>
        <w:p w14:paraId="29FD2EA3" w14:textId="4A26DBBA"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1" w:history="1">
            <w:r w:rsidR="00045840" w:rsidRPr="00045840">
              <w:rPr>
                <w:rStyle w:val="Hyperlink"/>
                <w:rFonts w:ascii="Times New Roman" w:hAnsi="Times New Roman" w:cs="Times New Roman"/>
                <w:noProof/>
                <w:sz w:val="24"/>
                <w:szCs w:val="24"/>
              </w:rPr>
              <w:t>3.2.2. CNK un GNK etalonpieskaņošana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_Toc73461241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045840" w:rsidRPr="00045840">
              <w:rPr>
                <w:rFonts w:ascii="Times New Roman" w:hAnsi="Times New Roman" w:cs="Times New Roman"/>
                <w:noProof/>
                <w:webHidden/>
                <w:sz w:val="24"/>
                <w:szCs w:val="24"/>
              </w:rPr>
              <w:fldChar w:fldCharType="end"/>
            </w:r>
          </w:hyperlink>
        </w:p>
        <w:p w14:paraId="70F2FE40" w14:textId="51A2D4E9"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2" w:history="1">
            <w:r w:rsidR="00045840" w:rsidRPr="00045840">
              <w:rPr>
                <w:rStyle w:val="Hyperlink"/>
                <w:rFonts w:ascii="Times New Roman" w:hAnsi="Times New Roman" w:cs="Times New Roman"/>
                <w:noProof/>
                <w:sz w:val="24"/>
                <w:szCs w:val="24"/>
              </w:rPr>
              <w:t>3.2.3. Citas CNK saskaņošanas procedūras, kas atšķiras no līdzsvarošanas un etalonpieskaņošanas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_Toc73461242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045840" w:rsidRPr="00045840">
              <w:rPr>
                <w:rFonts w:ascii="Times New Roman" w:hAnsi="Times New Roman" w:cs="Times New Roman"/>
                <w:noProof/>
                <w:webHidden/>
                <w:sz w:val="24"/>
                <w:szCs w:val="24"/>
              </w:rPr>
              <w:fldChar w:fldCharType="end"/>
            </w:r>
          </w:hyperlink>
        </w:p>
        <w:p w14:paraId="3510D1B1" w14:textId="0F49DF13"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3" w:history="1">
            <w:r w:rsidR="00045840" w:rsidRPr="00045840">
              <w:rPr>
                <w:rStyle w:val="Hyperlink"/>
                <w:rFonts w:ascii="Times New Roman" w:hAnsi="Times New Roman" w:cs="Times New Roman"/>
                <w:noProof/>
                <w:sz w:val="24"/>
                <w:szCs w:val="24"/>
              </w:rPr>
              <w:t>3.2.4. Novērtējumu apjoms dažādās publikācijās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_Toc73461243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045840" w:rsidRPr="00045840">
              <w:rPr>
                <w:rFonts w:ascii="Times New Roman" w:hAnsi="Times New Roman" w:cs="Times New Roman"/>
                <w:noProof/>
                <w:webHidden/>
                <w:sz w:val="24"/>
                <w:szCs w:val="24"/>
              </w:rPr>
              <w:fldChar w:fldCharType="end"/>
            </w:r>
          </w:hyperlink>
        </w:p>
        <w:p w14:paraId="61493144" w14:textId="2A20CE6E"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44" w:history="1">
            <w:r w:rsidR="00045840" w:rsidRPr="00045840">
              <w:rPr>
                <w:rStyle w:val="Hyperlink"/>
                <w:rFonts w:ascii="Times New Roman" w:hAnsi="Times New Roman" w:cs="Times New Roman"/>
                <w:noProof/>
                <w:sz w:val="24"/>
                <w:szCs w:val="24"/>
              </w:rPr>
              <w:t>3.3. Apjoma novērtējumi</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_Toc73461244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045840" w:rsidRPr="00045840">
              <w:rPr>
                <w:rFonts w:ascii="Times New Roman" w:hAnsi="Times New Roman" w:cs="Times New Roman"/>
                <w:noProof/>
                <w:webHidden/>
                <w:sz w:val="24"/>
                <w:szCs w:val="24"/>
              </w:rPr>
              <w:fldChar w:fldCharType="end"/>
            </w:r>
          </w:hyperlink>
        </w:p>
        <w:p w14:paraId="4FF3DFDC" w14:textId="49F08FAF"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5" w:history="1">
            <w:r w:rsidR="00045840" w:rsidRPr="00045840">
              <w:rPr>
                <w:rStyle w:val="Hyperlink"/>
                <w:rFonts w:ascii="Times New Roman" w:hAnsi="Times New Roman" w:cs="Times New Roman"/>
                <w:noProof/>
                <w:sz w:val="24"/>
                <w:szCs w:val="24"/>
              </w:rPr>
              <w:t>3.3.1. Apjoma vispārīgā politika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_Toc73461245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045840" w:rsidRPr="00045840">
              <w:rPr>
                <w:rFonts w:ascii="Times New Roman" w:hAnsi="Times New Roman" w:cs="Times New Roman"/>
                <w:noProof/>
                <w:webHidden/>
                <w:sz w:val="24"/>
                <w:szCs w:val="24"/>
              </w:rPr>
              <w:fldChar w:fldCharType="end"/>
            </w:r>
          </w:hyperlink>
        </w:p>
        <w:p w14:paraId="59DFD2D0" w14:textId="1D93E22F"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6" w:history="1">
            <w:r w:rsidR="00045840" w:rsidRPr="00045840">
              <w:rPr>
                <w:rStyle w:val="Hyperlink"/>
                <w:rFonts w:ascii="Times New Roman" w:hAnsi="Times New Roman" w:cs="Times New Roman"/>
                <w:noProof/>
                <w:sz w:val="24"/>
                <w:szCs w:val="24"/>
              </w:rPr>
              <w:t>3.3.2. Ķēdēšana un etalonpieskaņošana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_Toc73461246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045840" w:rsidRPr="00045840">
              <w:rPr>
                <w:rFonts w:ascii="Times New Roman" w:hAnsi="Times New Roman" w:cs="Times New Roman"/>
                <w:noProof/>
                <w:webHidden/>
                <w:sz w:val="24"/>
                <w:szCs w:val="24"/>
              </w:rPr>
              <w:fldChar w:fldCharType="end"/>
            </w:r>
          </w:hyperlink>
        </w:p>
        <w:p w14:paraId="7AA751DF" w14:textId="64672BAB"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7" w:history="1">
            <w:r w:rsidR="00045840" w:rsidRPr="00045840">
              <w:rPr>
                <w:rStyle w:val="Hyperlink"/>
                <w:rFonts w:ascii="Times New Roman" w:hAnsi="Times New Roman" w:cs="Times New Roman"/>
                <w:noProof/>
                <w:sz w:val="24"/>
                <w:szCs w:val="24"/>
              </w:rPr>
              <w:t>3.3.3. Ķēdēšana un sezonālā koriģēšana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_Toc73461247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045840" w:rsidRPr="00045840">
              <w:rPr>
                <w:rFonts w:ascii="Times New Roman" w:hAnsi="Times New Roman" w:cs="Times New Roman"/>
                <w:noProof/>
                <w:webHidden/>
                <w:sz w:val="24"/>
                <w:szCs w:val="24"/>
              </w:rPr>
              <w:fldChar w:fldCharType="end"/>
            </w:r>
          </w:hyperlink>
        </w:p>
        <w:p w14:paraId="7FFCCFD2" w14:textId="4684BD23"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48" w:history="1">
            <w:r w:rsidR="00045840" w:rsidRPr="00045840">
              <w:rPr>
                <w:rStyle w:val="Hyperlink"/>
                <w:rFonts w:ascii="Times New Roman" w:hAnsi="Times New Roman" w:cs="Times New Roman"/>
                <w:noProof/>
                <w:sz w:val="24"/>
                <w:szCs w:val="24"/>
              </w:rPr>
              <w:t>3.4. Kalendārā un sezonālā koriģēšana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_Toc73461248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045840" w:rsidRPr="00045840">
              <w:rPr>
                <w:rFonts w:ascii="Times New Roman" w:hAnsi="Times New Roman" w:cs="Times New Roman"/>
                <w:noProof/>
                <w:webHidden/>
                <w:sz w:val="24"/>
                <w:szCs w:val="24"/>
              </w:rPr>
              <w:fldChar w:fldCharType="end"/>
            </w:r>
          </w:hyperlink>
        </w:p>
        <w:p w14:paraId="20BD9637" w14:textId="02146A1B"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49" w:history="1">
            <w:r w:rsidR="00045840" w:rsidRPr="00045840">
              <w:rPr>
                <w:rStyle w:val="Hyperlink"/>
                <w:rFonts w:ascii="Times New Roman" w:hAnsi="Times New Roman" w:cs="Times New Roman"/>
                <w:noProof/>
                <w:sz w:val="24"/>
                <w:szCs w:val="24"/>
              </w:rPr>
              <w:t>3.4.1. Sezonālās koriģēšanas politika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_Toc73461249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00045840" w:rsidRPr="00045840">
              <w:rPr>
                <w:rFonts w:ascii="Times New Roman" w:hAnsi="Times New Roman" w:cs="Times New Roman"/>
                <w:noProof/>
                <w:webHidden/>
                <w:sz w:val="24"/>
                <w:szCs w:val="24"/>
              </w:rPr>
              <w:fldChar w:fldCharType="end"/>
            </w:r>
          </w:hyperlink>
        </w:p>
        <w:p w14:paraId="24387740" w14:textId="362F6670"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50" w:history="1">
            <w:r w:rsidR="00045840" w:rsidRPr="00045840">
              <w:rPr>
                <w:rStyle w:val="Hyperlink"/>
                <w:rFonts w:ascii="Times New Roman" w:hAnsi="Times New Roman" w:cs="Times New Roman"/>
                <w:noProof/>
                <w:sz w:val="24"/>
                <w:szCs w:val="24"/>
              </w:rPr>
              <w:t>3.4.2. Kalendārās koriģēšanas politika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_Toc73461250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045840" w:rsidRPr="00045840">
              <w:rPr>
                <w:rFonts w:ascii="Times New Roman" w:hAnsi="Times New Roman" w:cs="Times New Roman"/>
                <w:noProof/>
                <w:webHidden/>
                <w:sz w:val="24"/>
                <w:szCs w:val="24"/>
              </w:rPr>
              <w:fldChar w:fldCharType="end"/>
            </w:r>
          </w:hyperlink>
        </w:p>
        <w:p w14:paraId="25439FBA" w14:textId="7C2E76F7" w:rsidR="00045840" w:rsidRPr="00045840" w:rsidRDefault="00080696" w:rsidP="00045840">
          <w:pPr>
            <w:pStyle w:val="TOC3"/>
            <w:tabs>
              <w:tab w:val="right" w:leader="dot" w:pos="9065"/>
            </w:tabs>
            <w:spacing w:before="0"/>
            <w:ind w:left="567" w:firstLine="0"/>
            <w:jc w:val="both"/>
            <w:rPr>
              <w:rFonts w:ascii="Times New Roman" w:eastAsiaTheme="minorEastAsia" w:hAnsi="Times New Roman" w:cs="Times New Roman"/>
              <w:noProof/>
              <w:sz w:val="24"/>
              <w:szCs w:val="24"/>
              <w:lang w:eastAsia="lv-LV"/>
            </w:rPr>
          </w:pPr>
          <w:hyperlink w:anchor="_Toc73461251" w:history="1">
            <w:r w:rsidR="00045840" w:rsidRPr="00045840">
              <w:rPr>
                <w:rStyle w:val="Hyperlink"/>
                <w:rFonts w:ascii="Times New Roman" w:hAnsi="Times New Roman" w:cs="Times New Roman"/>
                <w:noProof/>
                <w:sz w:val="24"/>
                <w:szCs w:val="24"/>
              </w:rPr>
              <w:t>3.4.3. Revīzijas politika attiecībā uz sezonāli koriģētiem datiem</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_Toc73461251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045840" w:rsidRPr="00045840">
              <w:rPr>
                <w:rFonts w:ascii="Times New Roman" w:hAnsi="Times New Roman" w:cs="Times New Roman"/>
                <w:noProof/>
                <w:webHidden/>
                <w:sz w:val="24"/>
                <w:szCs w:val="24"/>
              </w:rPr>
              <w:fldChar w:fldCharType="end"/>
            </w:r>
          </w:hyperlink>
        </w:p>
        <w:p w14:paraId="2E53755E" w14:textId="3F388D3A"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52" w:history="1">
            <w:r w:rsidR="00045840" w:rsidRPr="00045840">
              <w:rPr>
                <w:rStyle w:val="Hyperlink"/>
                <w:rFonts w:ascii="Times New Roman" w:hAnsi="Times New Roman" w:cs="Times New Roman"/>
                <w:noProof/>
                <w:sz w:val="24"/>
                <w:szCs w:val="24"/>
              </w:rPr>
              <w:t>4. IKP un komponentes – ražošanas pieeja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_Toc73461252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045840" w:rsidRPr="00045840">
              <w:rPr>
                <w:rFonts w:ascii="Times New Roman" w:hAnsi="Times New Roman" w:cs="Times New Roman"/>
                <w:noProof/>
                <w:webHidden/>
                <w:sz w:val="24"/>
                <w:szCs w:val="24"/>
              </w:rPr>
              <w:fldChar w:fldCharType="end"/>
            </w:r>
          </w:hyperlink>
        </w:p>
        <w:p w14:paraId="52CA65F9" w14:textId="38DF4BC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53" w:history="1">
            <w:r w:rsidR="00045840" w:rsidRPr="00045840">
              <w:rPr>
                <w:rStyle w:val="Hyperlink"/>
                <w:rFonts w:ascii="Times New Roman" w:hAnsi="Times New Roman" w:cs="Times New Roman"/>
                <w:noProof/>
                <w:sz w:val="24"/>
                <w:szCs w:val="24"/>
              </w:rPr>
              <w:t>4.1. Bruto pievienotā vērtība, tostarp sadalījums pa nozarēm</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_Toc73461253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00045840" w:rsidRPr="00045840">
              <w:rPr>
                <w:rFonts w:ascii="Times New Roman" w:hAnsi="Times New Roman" w:cs="Times New Roman"/>
                <w:noProof/>
                <w:webHidden/>
                <w:sz w:val="24"/>
                <w:szCs w:val="24"/>
              </w:rPr>
              <w:fldChar w:fldCharType="end"/>
            </w:r>
          </w:hyperlink>
        </w:p>
        <w:p w14:paraId="39B6DE98" w14:textId="2ABBC0B3"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54" w:history="1">
            <w:r w:rsidR="00045840" w:rsidRPr="00045840">
              <w:rPr>
                <w:rStyle w:val="Hyperlink"/>
                <w:rFonts w:ascii="Times New Roman" w:hAnsi="Times New Roman" w:cs="Times New Roman"/>
                <w:noProof/>
                <w:sz w:val="24"/>
                <w:szCs w:val="24"/>
              </w:rPr>
              <w:t xml:space="preserve">4.2. </w:t>
            </w:r>
            <w:r w:rsidR="00045840" w:rsidRPr="00045840">
              <w:rPr>
                <w:rStyle w:val="Hyperlink"/>
                <w:rFonts w:ascii="Times New Roman" w:hAnsi="Times New Roman" w:cs="Times New Roman"/>
                <w:i/>
                <w:iCs/>
                <w:noProof/>
                <w:sz w:val="24"/>
                <w:szCs w:val="24"/>
              </w:rPr>
              <w:t>FISIM</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_Toc73461254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045840" w:rsidRPr="00045840">
              <w:rPr>
                <w:rFonts w:ascii="Times New Roman" w:hAnsi="Times New Roman" w:cs="Times New Roman"/>
                <w:noProof/>
                <w:webHidden/>
                <w:sz w:val="24"/>
                <w:szCs w:val="24"/>
              </w:rPr>
              <w:fldChar w:fldCharType="end"/>
            </w:r>
          </w:hyperlink>
        </w:p>
        <w:p w14:paraId="37863E97" w14:textId="45915A99"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55" w:history="1">
            <w:r w:rsidR="00045840" w:rsidRPr="00045840">
              <w:rPr>
                <w:rStyle w:val="Hyperlink"/>
                <w:rFonts w:ascii="Times New Roman" w:hAnsi="Times New Roman" w:cs="Times New Roman"/>
                <w:noProof/>
                <w:sz w:val="24"/>
                <w:szCs w:val="24"/>
              </w:rPr>
              <w:t>4.3. Produktu nodokļi, atskaitot subsīdijas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_Toc73461255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045840" w:rsidRPr="00045840">
              <w:rPr>
                <w:rFonts w:ascii="Times New Roman" w:hAnsi="Times New Roman" w:cs="Times New Roman"/>
                <w:noProof/>
                <w:webHidden/>
                <w:sz w:val="24"/>
                <w:szCs w:val="24"/>
              </w:rPr>
              <w:fldChar w:fldCharType="end"/>
            </w:r>
          </w:hyperlink>
        </w:p>
        <w:p w14:paraId="341C0ABC" w14:textId="5A747EB3"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56" w:history="1">
            <w:r w:rsidR="00045840" w:rsidRPr="00045840">
              <w:rPr>
                <w:rStyle w:val="Hyperlink"/>
                <w:rFonts w:ascii="Times New Roman" w:hAnsi="Times New Roman" w:cs="Times New Roman"/>
                <w:noProof/>
                <w:sz w:val="24"/>
                <w:szCs w:val="24"/>
              </w:rPr>
              <w:t>5. IKP komponentes – izdevumu pieeja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_Toc73461256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045840" w:rsidRPr="00045840">
              <w:rPr>
                <w:rFonts w:ascii="Times New Roman" w:hAnsi="Times New Roman" w:cs="Times New Roman"/>
                <w:noProof/>
                <w:webHidden/>
                <w:sz w:val="24"/>
                <w:szCs w:val="24"/>
              </w:rPr>
              <w:fldChar w:fldCharType="end"/>
            </w:r>
          </w:hyperlink>
        </w:p>
        <w:p w14:paraId="32D4AD02" w14:textId="66516CA9"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57" w:history="1">
            <w:r w:rsidR="00045840" w:rsidRPr="00045840">
              <w:rPr>
                <w:rStyle w:val="Hyperlink"/>
                <w:rFonts w:ascii="Times New Roman" w:hAnsi="Times New Roman" w:cs="Times New Roman"/>
                <w:noProof/>
                <w:sz w:val="24"/>
                <w:szCs w:val="24"/>
              </w:rPr>
              <w:t>5.1. Mājsaimniecību galapatēriņa izdevumi</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_Toc73461257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36</w:t>
            </w:r>
            <w:r w:rsidR="00045840" w:rsidRPr="00045840">
              <w:rPr>
                <w:rFonts w:ascii="Times New Roman" w:hAnsi="Times New Roman" w:cs="Times New Roman"/>
                <w:noProof/>
                <w:webHidden/>
                <w:sz w:val="24"/>
                <w:szCs w:val="24"/>
              </w:rPr>
              <w:fldChar w:fldCharType="end"/>
            </w:r>
          </w:hyperlink>
        </w:p>
        <w:p w14:paraId="23FDEFFC" w14:textId="2D1788C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58" w:history="1">
            <w:r w:rsidR="00045840" w:rsidRPr="00045840">
              <w:rPr>
                <w:rStyle w:val="Hyperlink"/>
                <w:rFonts w:ascii="Times New Roman" w:hAnsi="Times New Roman" w:cs="Times New Roman"/>
                <w:noProof/>
                <w:sz w:val="24"/>
                <w:szCs w:val="24"/>
              </w:rPr>
              <w:t>5.2. Valdības galapatēriņa izdevumi</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_Toc73461258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00045840" w:rsidRPr="00045840">
              <w:rPr>
                <w:rFonts w:ascii="Times New Roman" w:hAnsi="Times New Roman" w:cs="Times New Roman"/>
                <w:noProof/>
                <w:webHidden/>
                <w:sz w:val="24"/>
                <w:szCs w:val="24"/>
              </w:rPr>
              <w:fldChar w:fldCharType="end"/>
            </w:r>
          </w:hyperlink>
        </w:p>
        <w:p w14:paraId="5FEC4A3F" w14:textId="6F660E4E"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59" w:history="1">
            <w:r w:rsidR="00045840" w:rsidRPr="00045840">
              <w:rPr>
                <w:rStyle w:val="Hyperlink"/>
                <w:rFonts w:ascii="Times New Roman" w:hAnsi="Times New Roman" w:cs="Times New Roman"/>
                <w:noProof/>
                <w:sz w:val="24"/>
                <w:szCs w:val="24"/>
              </w:rPr>
              <w:t>5.3. MABO galapatēriņa izdevumi</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_Toc73461259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045840" w:rsidRPr="00045840">
              <w:rPr>
                <w:rFonts w:ascii="Times New Roman" w:hAnsi="Times New Roman" w:cs="Times New Roman"/>
                <w:noProof/>
                <w:webHidden/>
                <w:sz w:val="24"/>
                <w:szCs w:val="24"/>
              </w:rPr>
              <w:fldChar w:fldCharType="end"/>
            </w:r>
          </w:hyperlink>
        </w:p>
        <w:p w14:paraId="06E93978" w14:textId="5C7187BE"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0" w:history="1">
            <w:r w:rsidR="00045840" w:rsidRPr="00045840">
              <w:rPr>
                <w:rStyle w:val="Hyperlink"/>
                <w:rFonts w:ascii="Times New Roman" w:hAnsi="Times New Roman" w:cs="Times New Roman"/>
                <w:noProof/>
                <w:sz w:val="24"/>
                <w:szCs w:val="24"/>
              </w:rPr>
              <w:t>5.4. Bruto kapitāla veidošana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_Toc73461260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00045840" w:rsidRPr="00045840">
              <w:rPr>
                <w:rFonts w:ascii="Times New Roman" w:hAnsi="Times New Roman" w:cs="Times New Roman"/>
                <w:noProof/>
                <w:webHidden/>
                <w:sz w:val="24"/>
                <w:szCs w:val="24"/>
              </w:rPr>
              <w:fldChar w:fldCharType="end"/>
            </w:r>
          </w:hyperlink>
        </w:p>
        <w:p w14:paraId="3C4E5742" w14:textId="3DEDADA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1" w:history="1">
            <w:r w:rsidR="00045840" w:rsidRPr="00045840">
              <w:rPr>
                <w:rStyle w:val="Hyperlink"/>
                <w:rFonts w:ascii="Times New Roman" w:hAnsi="Times New Roman" w:cs="Times New Roman"/>
                <w:noProof/>
                <w:sz w:val="24"/>
                <w:szCs w:val="24"/>
              </w:rPr>
              <w:t>5.5. Preču un pakalpojumu eksports un imports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_Toc73461261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045840" w:rsidRPr="00045840">
              <w:rPr>
                <w:rFonts w:ascii="Times New Roman" w:hAnsi="Times New Roman" w:cs="Times New Roman"/>
                <w:noProof/>
                <w:webHidden/>
                <w:sz w:val="24"/>
                <w:szCs w:val="24"/>
              </w:rPr>
              <w:fldChar w:fldCharType="end"/>
            </w:r>
          </w:hyperlink>
        </w:p>
        <w:p w14:paraId="24764E54" w14:textId="25BCACD8"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62" w:history="1">
            <w:r w:rsidR="00045840" w:rsidRPr="00045840">
              <w:rPr>
                <w:rStyle w:val="Hyperlink"/>
                <w:rFonts w:ascii="Times New Roman" w:hAnsi="Times New Roman" w:cs="Times New Roman"/>
                <w:noProof/>
                <w:sz w:val="24"/>
                <w:szCs w:val="24"/>
              </w:rPr>
              <w:t>6. IKP komponentes – ienākumu pieeja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_Toc73461262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42</w:t>
            </w:r>
            <w:r w:rsidR="00045840" w:rsidRPr="00045840">
              <w:rPr>
                <w:rFonts w:ascii="Times New Roman" w:hAnsi="Times New Roman" w:cs="Times New Roman"/>
                <w:noProof/>
                <w:webHidden/>
                <w:sz w:val="24"/>
                <w:szCs w:val="24"/>
              </w:rPr>
              <w:fldChar w:fldCharType="end"/>
            </w:r>
          </w:hyperlink>
        </w:p>
        <w:p w14:paraId="69A7ADB3" w14:textId="7045B442"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3" w:history="1">
            <w:r w:rsidR="00045840" w:rsidRPr="00045840">
              <w:rPr>
                <w:rStyle w:val="Hyperlink"/>
                <w:rFonts w:ascii="Times New Roman" w:hAnsi="Times New Roman" w:cs="Times New Roman"/>
                <w:noProof/>
                <w:sz w:val="24"/>
                <w:szCs w:val="24"/>
              </w:rPr>
              <w:t>6.1. Darbinieku atalgojums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_Toc73461263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43</w:t>
            </w:r>
            <w:r w:rsidR="00045840" w:rsidRPr="00045840">
              <w:rPr>
                <w:rFonts w:ascii="Times New Roman" w:hAnsi="Times New Roman" w:cs="Times New Roman"/>
                <w:noProof/>
                <w:webHidden/>
                <w:sz w:val="24"/>
                <w:szCs w:val="24"/>
              </w:rPr>
              <w:fldChar w:fldCharType="end"/>
            </w:r>
          </w:hyperlink>
        </w:p>
        <w:p w14:paraId="60BFAD47" w14:textId="3E375CC6"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4" w:history="1">
            <w:r w:rsidR="00045840" w:rsidRPr="00045840">
              <w:rPr>
                <w:rStyle w:val="Hyperlink"/>
                <w:rFonts w:ascii="Times New Roman" w:hAnsi="Times New Roman" w:cs="Times New Roman"/>
                <w:noProof/>
                <w:sz w:val="24"/>
                <w:szCs w:val="24"/>
              </w:rPr>
              <w:t>6.2. Ražošanas nodokļi, atskaitot subsīdijas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_Toc73461264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44</w:t>
            </w:r>
            <w:r w:rsidR="00045840" w:rsidRPr="00045840">
              <w:rPr>
                <w:rFonts w:ascii="Times New Roman" w:hAnsi="Times New Roman" w:cs="Times New Roman"/>
                <w:noProof/>
                <w:webHidden/>
                <w:sz w:val="24"/>
                <w:szCs w:val="24"/>
              </w:rPr>
              <w:fldChar w:fldCharType="end"/>
            </w:r>
          </w:hyperlink>
        </w:p>
        <w:p w14:paraId="3467634C" w14:textId="2713F4DA"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5" w:history="1">
            <w:r w:rsidR="00045840" w:rsidRPr="00045840">
              <w:rPr>
                <w:rStyle w:val="Hyperlink"/>
                <w:rFonts w:ascii="Times New Roman" w:hAnsi="Times New Roman" w:cs="Times New Roman"/>
                <w:noProof/>
                <w:sz w:val="24"/>
                <w:szCs w:val="24"/>
              </w:rPr>
              <w:t>6.3. Bruto darbības rezultāts un jauktais ienākums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_Toc73461265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045840" w:rsidRPr="00045840">
              <w:rPr>
                <w:rFonts w:ascii="Times New Roman" w:hAnsi="Times New Roman" w:cs="Times New Roman"/>
                <w:noProof/>
                <w:webHidden/>
                <w:sz w:val="24"/>
                <w:szCs w:val="24"/>
              </w:rPr>
              <w:fldChar w:fldCharType="end"/>
            </w:r>
          </w:hyperlink>
        </w:p>
        <w:p w14:paraId="7D5920AA" w14:textId="2D950473"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66" w:history="1">
            <w:r w:rsidR="00045840" w:rsidRPr="00045840">
              <w:rPr>
                <w:rStyle w:val="Hyperlink"/>
                <w:rFonts w:ascii="Times New Roman" w:hAnsi="Times New Roman" w:cs="Times New Roman"/>
                <w:noProof/>
                <w:sz w:val="24"/>
                <w:szCs w:val="24"/>
              </w:rPr>
              <w:t>7. Iedzīvotāju skaits un nodarbinātība</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_Toc73461266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045840" w:rsidRPr="00045840">
              <w:rPr>
                <w:rFonts w:ascii="Times New Roman" w:hAnsi="Times New Roman" w:cs="Times New Roman"/>
                <w:noProof/>
                <w:webHidden/>
                <w:sz w:val="24"/>
                <w:szCs w:val="24"/>
              </w:rPr>
              <w:fldChar w:fldCharType="end"/>
            </w:r>
          </w:hyperlink>
        </w:p>
        <w:p w14:paraId="5F471397" w14:textId="33D9DE74"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7" w:history="1">
            <w:r w:rsidR="00045840" w:rsidRPr="00045840">
              <w:rPr>
                <w:rStyle w:val="Hyperlink"/>
                <w:rFonts w:ascii="Times New Roman" w:hAnsi="Times New Roman" w:cs="Times New Roman"/>
                <w:noProof/>
                <w:sz w:val="24"/>
                <w:szCs w:val="24"/>
              </w:rPr>
              <w:t>7.1. Iedzīvotāju skaits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_Toc73461267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045840" w:rsidRPr="00045840">
              <w:rPr>
                <w:rFonts w:ascii="Times New Roman" w:hAnsi="Times New Roman" w:cs="Times New Roman"/>
                <w:noProof/>
                <w:webHidden/>
                <w:sz w:val="24"/>
                <w:szCs w:val="24"/>
              </w:rPr>
              <w:fldChar w:fldCharType="end"/>
            </w:r>
          </w:hyperlink>
        </w:p>
        <w:p w14:paraId="44C76F2E" w14:textId="22557253"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8" w:history="1">
            <w:r w:rsidR="00045840" w:rsidRPr="00045840">
              <w:rPr>
                <w:rStyle w:val="Hyperlink"/>
                <w:rFonts w:ascii="Times New Roman" w:hAnsi="Times New Roman" w:cs="Times New Roman"/>
                <w:noProof/>
                <w:sz w:val="24"/>
                <w:szCs w:val="24"/>
              </w:rPr>
              <w:t>7.2. Nodarbinātība – personas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_Toc73461268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45</w:t>
            </w:r>
            <w:r w:rsidR="00045840" w:rsidRPr="00045840">
              <w:rPr>
                <w:rFonts w:ascii="Times New Roman" w:hAnsi="Times New Roman" w:cs="Times New Roman"/>
                <w:noProof/>
                <w:webHidden/>
                <w:sz w:val="24"/>
                <w:szCs w:val="24"/>
              </w:rPr>
              <w:fldChar w:fldCharType="end"/>
            </w:r>
          </w:hyperlink>
        </w:p>
        <w:p w14:paraId="3201240F" w14:textId="48CA135D"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69" w:history="1">
            <w:r w:rsidR="00045840" w:rsidRPr="00045840">
              <w:rPr>
                <w:rStyle w:val="Hyperlink"/>
                <w:rFonts w:ascii="Times New Roman" w:hAnsi="Times New Roman" w:cs="Times New Roman"/>
                <w:noProof/>
                <w:sz w:val="24"/>
                <w:szCs w:val="24"/>
              </w:rPr>
              <w:t>7.3. Nodarbinātība – kopējais nostrādāto stundu skaits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_Toc73461269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47</w:t>
            </w:r>
            <w:r w:rsidR="00045840" w:rsidRPr="00045840">
              <w:rPr>
                <w:rFonts w:ascii="Times New Roman" w:hAnsi="Times New Roman" w:cs="Times New Roman"/>
                <w:noProof/>
                <w:webHidden/>
                <w:sz w:val="24"/>
                <w:szCs w:val="24"/>
              </w:rPr>
              <w:fldChar w:fldCharType="end"/>
            </w:r>
          </w:hyperlink>
        </w:p>
        <w:p w14:paraId="70D11FF3" w14:textId="72AD6D0D"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70" w:history="1">
            <w:r w:rsidR="00045840" w:rsidRPr="00045840">
              <w:rPr>
                <w:rStyle w:val="Hyperlink"/>
                <w:rFonts w:ascii="Times New Roman" w:hAnsi="Times New Roman" w:cs="Times New Roman"/>
                <w:noProof/>
                <w:sz w:val="24"/>
                <w:szCs w:val="24"/>
              </w:rPr>
              <w:t>8. Ātrais novērtējums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_Toc73461270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045840" w:rsidRPr="00045840">
              <w:rPr>
                <w:rFonts w:ascii="Times New Roman" w:hAnsi="Times New Roman" w:cs="Times New Roman"/>
                <w:noProof/>
                <w:webHidden/>
                <w:sz w:val="24"/>
                <w:szCs w:val="24"/>
              </w:rPr>
              <w:fldChar w:fldCharType="end"/>
            </w:r>
          </w:hyperlink>
        </w:p>
        <w:p w14:paraId="21C39894" w14:textId="0CB265EB"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71" w:history="1">
            <w:r w:rsidR="00045840" w:rsidRPr="00045840">
              <w:rPr>
                <w:rStyle w:val="Hyperlink"/>
                <w:rFonts w:ascii="Times New Roman" w:hAnsi="Times New Roman" w:cs="Times New Roman"/>
                <w:noProof/>
                <w:sz w:val="24"/>
                <w:szCs w:val="24"/>
              </w:rPr>
              <w:t>8.1. IKP ātrais novērtējums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_Toc73461271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045840" w:rsidRPr="00045840">
              <w:rPr>
                <w:rFonts w:ascii="Times New Roman" w:hAnsi="Times New Roman" w:cs="Times New Roman"/>
                <w:noProof/>
                <w:webHidden/>
                <w:sz w:val="24"/>
                <w:szCs w:val="24"/>
              </w:rPr>
              <w:fldChar w:fldCharType="end"/>
            </w:r>
          </w:hyperlink>
        </w:p>
        <w:p w14:paraId="67C11D6F" w14:textId="21F6455A" w:rsidR="00045840" w:rsidRPr="00045840" w:rsidRDefault="00080696" w:rsidP="00045840">
          <w:pPr>
            <w:pStyle w:val="TOC2"/>
            <w:tabs>
              <w:tab w:val="right" w:leader="dot" w:pos="9065"/>
            </w:tabs>
            <w:spacing w:before="0"/>
            <w:ind w:left="284" w:firstLine="0"/>
            <w:jc w:val="both"/>
            <w:rPr>
              <w:rFonts w:ascii="Times New Roman" w:eastAsiaTheme="minorEastAsia" w:hAnsi="Times New Roman" w:cs="Times New Roman"/>
              <w:noProof/>
              <w:sz w:val="24"/>
              <w:szCs w:val="24"/>
              <w:lang w:eastAsia="lv-LV"/>
            </w:rPr>
          </w:pPr>
          <w:hyperlink w:anchor="_Toc73461272" w:history="1">
            <w:r w:rsidR="00045840" w:rsidRPr="00045840">
              <w:rPr>
                <w:rStyle w:val="Hyperlink"/>
                <w:rFonts w:ascii="Times New Roman" w:hAnsi="Times New Roman" w:cs="Times New Roman"/>
                <w:noProof/>
                <w:sz w:val="24"/>
                <w:szCs w:val="24"/>
              </w:rPr>
              <w:t>8.2. Ātrais nodarbinātības novērtējums</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_Toc73461272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045840" w:rsidRPr="00045840">
              <w:rPr>
                <w:rFonts w:ascii="Times New Roman" w:hAnsi="Times New Roman" w:cs="Times New Roman"/>
                <w:noProof/>
                <w:webHidden/>
                <w:sz w:val="24"/>
                <w:szCs w:val="24"/>
              </w:rPr>
              <w:fldChar w:fldCharType="end"/>
            </w:r>
          </w:hyperlink>
        </w:p>
        <w:p w14:paraId="769329F3" w14:textId="4DBD6E50" w:rsidR="00045840" w:rsidRPr="00045840" w:rsidRDefault="00080696" w:rsidP="00045840">
          <w:pPr>
            <w:pStyle w:val="TOC1"/>
            <w:tabs>
              <w:tab w:val="right" w:leader="dot" w:pos="9065"/>
            </w:tabs>
            <w:spacing w:before="0"/>
            <w:ind w:left="0" w:firstLine="0"/>
            <w:jc w:val="both"/>
            <w:rPr>
              <w:rFonts w:ascii="Times New Roman" w:eastAsiaTheme="minorEastAsia" w:hAnsi="Times New Roman" w:cs="Times New Roman"/>
              <w:noProof/>
              <w:sz w:val="24"/>
              <w:szCs w:val="24"/>
              <w:lang w:eastAsia="lv-LV"/>
            </w:rPr>
          </w:pPr>
          <w:hyperlink w:anchor="_Toc73461273" w:history="1">
            <w:r w:rsidR="00045840" w:rsidRPr="00045840">
              <w:rPr>
                <w:rStyle w:val="Hyperlink"/>
                <w:rFonts w:ascii="Times New Roman" w:hAnsi="Times New Roman" w:cs="Times New Roman"/>
                <w:noProof/>
                <w:sz w:val="24"/>
                <w:szCs w:val="24"/>
              </w:rPr>
              <w:t>9. Galvenie izmantotie datu avoti</w:t>
            </w:r>
            <w:r w:rsidR="00045840" w:rsidRPr="00045840">
              <w:rPr>
                <w:rFonts w:ascii="Times New Roman" w:hAnsi="Times New Roman" w:cs="Times New Roman"/>
                <w:noProof/>
                <w:webHidden/>
                <w:sz w:val="24"/>
                <w:szCs w:val="24"/>
              </w:rPr>
              <w:tab/>
            </w:r>
            <w:r w:rsidR="00045840" w:rsidRPr="00045840">
              <w:rPr>
                <w:rFonts w:ascii="Times New Roman" w:hAnsi="Times New Roman" w:cs="Times New Roman"/>
                <w:noProof/>
                <w:webHidden/>
                <w:sz w:val="24"/>
                <w:szCs w:val="24"/>
              </w:rPr>
              <w:fldChar w:fldCharType="begin"/>
            </w:r>
            <w:r w:rsidR="00045840" w:rsidRPr="00045840">
              <w:rPr>
                <w:rFonts w:ascii="Times New Roman" w:hAnsi="Times New Roman" w:cs="Times New Roman"/>
                <w:noProof/>
                <w:webHidden/>
                <w:sz w:val="24"/>
                <w:szCs w:val="24"/>
              </w:rPr>
              <w:instrText xml:space="preserve"> PAGEREF _Toc73461273 \h </w:instrText>
            </w:r>
            <w:r w:rsidR="00045840" w:rsidRPr="00045840">
              <w:rPr>
                <w:rFonts w:ascii="Times New Roman" w:hAnsi="Times New Roman" w:cs="Times New Roman"/>
                <w:noProof/>
                <w:webHidden/>
                <w:sz w:val="24"/>
                <w:szCs w:val="24"/>
              </w:rPr>
            </w:r>
            <w:r w:rsidR="00045840" w:rsidRPr="0004584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48</w:t>
            </w:r>
            <w:r w:rsidR="00045840" w:rsidRPr="00045840">
              <w:rPr>
                <w:rFonts w:ascii="Times New Roman" w:hAnsi="Times New Roman" w:cs="Times New Roman"/>
                <w:noProof/>
                <w:webHidden/>
                <w:sz w:val="24"/>
                <w:szCs w:val="24"/>
              </w:rPr>
              <w:fldChar w:fldCharType="end"/>
            </w:r>
          </w:hyperlink>
        </w:p>
        <w:p w14:paraId="16515817" w14:textId="06BD4E6F" w:rsidR="002C49F3" w:rsidRPr="00045840" w:rsidRDefault="002C49F3" w:rsidP="00045840">
          <w:pPr>
            <w:jc w:val="both"/>
            <w:rPr>
              <w:rFonts w:ascii="Times New Roman" w:hAnsi="Times New Roman" w:cs="Times New Roman"/>
            </w:rPr>
          </w:pPr>
          <w:r w:rsidRPr="00045840">
            <w:rPr>
              <w:rFonts w:ascii="Times New Roman" w:hAnsi="Times New Roman" w:cs="Times New Roman"/>
              <w:b/>
              <w:bCs/>
              <w:sz w:val="24"/>
              <w:szCs w:val="24"/>
            </w:rPr>
            <w:fldChar w:fldCharType="end"/>
          </w:r>
        </w:p>
      </w:sdtContent>
    </w:sdt>
    <w:p w14:paraId="13923978" w14:textId="77777777" w:rsidR="002C49F3" w:rsidRPr="001F0ECB" w:rsidRDefault="002C49F3" w:rsidP="00975B5E">
      <w:pPr>
        <w:jc w:val="both"/>
        <w:rPr>
          <w:rFonts w:ascii="Times New Roman" w:hAnsi="Times New Roman"/>
          <w:noProof/>
          <w:sz w:val="24"/>
        </w:rPr>
      </w:pPr>
    </w:p>
    <w:p w14:paraId="49219D9E" w14:textId="77777777" w:rsidR="00975B5E" w:rsidRPr="001F0ECB" w:rsidRDefault="00975B5E">
      <w:pPr>
        <w:rPr>
          <w:rFonts w:ascii="Times New Roman" w:eastAsia="Calibri" w:hAnsi="Times New Roman"/>
          <w:noProof/>
          <w:sz w:val="24"/>
        </w:rPr>
      </w:pPr>
      <w:r>
        <w:br w:type="page"/>
      </w:r>
    </w:p>
    <w:p w14:paraId="29A89842" w14:textId="77777777" w:rsidR="00975B5E" w:rsidRPr="001F0ECB" w:rsidRDefault="00975B5E" w:rsidP="00975B5E">
      <w:pPr>
        <w:jc w:val="both"/>
        <w:rPr>
          <w:rFonts w:ascii="Times New Roman" w:hAnsi="Times New Roman"/>
          <w:noProof/>
          <w:sz w:val="24"/>
        </w:rPr>
      </w:pPr>
    </w:p>
    <w:p w14:paraId="43E5D7FF" w14:textId="77777777" w:rsidR="002672AA" w:rsidRPr="00231C5E" w:rsidRDefault="002672AA" w:rsidP="001F0ECB">
      <w:pPr>
        <w:pStyle w:val="Heading1"/>
        <w:spacing w:before="0"/>
        <w:ind w:left="0" w:firstLine="0"/>
        <w:jc w:val="both"/>
        <w:rPr>
          <w:rFonts w:ascii="Times New Roman" w:hAnsi="Times New Roman"/>
          <w:noProof/>
          <w:sz w:val="28"/>
          <w:szCs w:val="40"/>
        </w:rPr>
      </w:pPr>
      <w:bookmarkStart w:id="0" w:name="_Toc73461222"/>
      <w:r w:rsidRPr="00231C5E">
        <w:rPr>
          <w:rFonts w:ascii="Times New Roman" w:hAnsi="Times New Roman"/>
          <w:sz w:val="28"/>
          <w:szCs w:val="40"/>
        </w:rPr>
        <w:t>Saīsinājumu un akronīmu saraksts</w:t>
      </w:r>
      <w:bookmarkStart w:id="1" w:name="_bookmark0"/>
      <w:bookmarkEnd w:id="0"/>
      <w:bookmarkEnd w:id="1"/>
    </w:p>
    <w:p w14:paraId="639C1811" w14:textId="77777777" w:rsidR="002672AA" w:rsidRPr="001F0ECB" w:rsidRDefault="002672AA" w:rsidP="00975B5E">
      <w:pPr>
        <w:jc w:val="both"/>
        <w:rPr>
          <w:rFonts w:ascii="Times New Roman" w:eastAsia="Calibri" w:hAnsi="Times New Roman" w:cs="Calibri"/>
          <w:noProof/>
          <w:sz w:val="24"/>
          <w:szCs w:val="17"/>
        </w:rPr>
      </w:pPr>
    </w:p>
    <w:tbl>
      <w:tblPr>
        <w:tblW w:w="5000" w:type="pct"/>
        <w:tblCellMar>
          <w:top w:w="28" w:type="dxa"/>
          <w:left w:w="28" w:type="dxa"/>
          <w:bottom w:w="28" w:type="dxa"/>
          <w:right w:w="28" w:type="dxa"/>
        </w:tblCellMar>
        <w:tblLook w:val="01E0" w:firstRow="1" w:lastRow="1" w:firstColumn="1" w:lastColumn="1" w:noHBand="0" w:noVBand="0"/>
      </w:tblPr>
      <w:tblGrid>
        <w:gridCol w:w="1161"/>
        <w:gridCol w:w="7970"/>
      </w:tblGrid>
      <w:tr w:rsidR="001F0ECB" w:rsidRPr="001F0ECB" w14:paraId="018A409F" w14:textId="77777777" w:rsidTr="00602180">
        <w:tc>
          <w:tcPr>
            <w:tcW w:w="636" w:type="pct"/>
            <w:tcBorders>
              <w:top w:val="nil"/>
              <w:left w:val="nil"/>
              <w:bottom w:val="single" w:sz="5" w:space="0" w:color="D9D9D9"/>
              <w:right w:val="nil"/>
            </w:tcBorders>
          </w:tcPr>
          <w:p w14:paraId="76543A7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GNK</w:t>
            </w:r>
          </w:p>
        </w:tc>
        <w:tc>
          <w:tcPr>
            <w:tcW w:w="4364" w:type="pct"/>
            <w:tcBorders>
              <w:top w:val="nil"/>
              <w:left w:val="nil"/>
              <w:bottom w:val="single" w:sz="5" w:space="0" w:color="D9D9D9"/>
              <w:right w:val="nil"/>
            </w:tcBorders>
          </w:tcPr>
          <w:p w14:paraId="18549FF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Gada nacionālie konti</w:t>
            </w:r>
          </w:p>
        </w:tc>
      </w:tr>
      <w:tr w:rsidR="001F0ECB" w:rsidRPr="001F0ECB" w14:paraId="1862AB11" w14:textId="77777777" w:rsidTr="00602180">
        <w:tc>
          <w:tcPr>
            <w:tcW w:w="636" w:type="pct"/>
            <w:tcBorders>
              <w:top w:val="single" w:sz="5" w:space="0" w:color="D9D9D9"/>
              <w:left w:val="nil"/>
              <w:bottom w:val="single" w:sz="5" w:space="0" w:color="D9D9D9"/>
              <w:right w:val="nil"/>
            </w:tcBorders>
          </w:tcPr>
          <w:p w14:paraId="2FDDBE7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ARIMA</w:t>
            </w:r>
          </w:p>
        </w:tc>
        <w:tc>
          <w:tcPr>
            <w:tcW w:w="4364" w:type="pct"/>
            <w:tcBorders>
              <w:top w:val="single" w:sz="5" w:space="0" w:color="D9D9D9"/>
              <w:left w:val="nil"/>
              <w:bottom w:val="single" w:sz="5" w:space="0" w:color="D9D9D9"/>
              <w:right w:val="nil"/>
            </w:tcBorders>
          </w:tcPr>
          <w:p w14:paraId="68E0EFF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Autoregresīvais integrētais mainīgais vidējais lielums</w:t>
            </w:r>
          </w:p>
        </w:tc>
      </w:tr>
      <w:tr w:rsidR="001F0ECB" w:rsidRPr="001F0ECB" w14:paraId="60D6829A" w14:textId="77777777" w:rsidTr="00602180">
        <w:tc>
          <w:tcPr>
            <w:tcW w:w="636" w:type="pct"/>
            <w:tcBorders>
              <w:top w:val="single" w:sz="5" w:space="0" w:color="D9D9D9"/>
              <w:left w:val="nil"/>
              <w:bottom w:val="single" w:sz="5" w:space="0" w:color="D9D9D9"/>
              <w:right w:val="nil"/>
            </w:tcBorders>
          </w:tcPr>
          <w:p w14:paraId="1C495C2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MB</w:t>
            </w:r>
          </w:p>
        </w:tc>
        <w:tc>
          <w:tcPr>
            <w:tcW w:w="4364" w:type="pct"/>
            <w:tcBorders>
              <w:top w:val="single" w:sz="5" w:space="0" w:color="D9D9D9"/>
              <w:left w:val="nil"/>
              <w:bottom w:val="single" w:sz="5" w:space="0" w:color="D9D9D9"/>
              <w:right w:val="nil"/>
            </w:tcBorders>
          </w:tcPr>
          <w:p w14:paraId="4562229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Maksājumu bilance</w:t>
            </w:r>
          </w:p>
        </w:tc>
      </w:tr>
      <w:tr w:rsidR="001F0ECB" w:rsidRPr="001F0ECB" w14:paraId="561E99B2" w14:textId="77777777" w:rsidTr="00602180">
        <w:tc>
          <w:tcPr>
            <w:tcW w:w="636" w:type="pct"/>
            <w:tcBorders>
              <w:top w:val="single" w:sz="5" w:space="0" w:color="D9D9D9"/>
              <w:left w:val="nil"/>
              <w:bottom w:val="single" w:sz="5" w:space="0" w:color="D9D9D9"/>
              <w:right w:val="nil"/>
            </w:tcBorders>
          </w:tcPr>
          <w:p w14:paraId="205D362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BII</w:t>
            </w:r>
          </w:p>
        </w:tc>
        <w:tc>
          <w:tcPr>
            <w:tcW w:w="4364" w:type="pct"/>
            <w:tcBorders>
              <w:top w:val="single" w:sz="5" w:space="0" w:color="D9D9D9"/>
              <w:left w:val="nil"/>
              <w:bottom w:val="single" w:sz="5" w:space="0" w:color="D9D9D9"/>
              <w:right w:val="nil"/>
            </w:tcBorders>
          </w:tcPr>
          <w:p w14:paraId="32F402D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Būvniecības izmaksu indekss</w:t>
            </w:r>
          </w:p>
        </w:tc>
      </w:tr>
      <w:tr w:rsidR="001F0ECB" w:rsidRPr="001F0ECB" w14:paraId="1D219433" w14:textId="77777777" w:rsidTr="00602180">
        <w:tc>
          <w:tcPr>
            <w:tcW w:w="636" w:type="pct"/>
            <w:tcBorders>
              <w:top w:val="single" w:sz="5" w:space="0" w:color="D9D9D9"/>
              <w:left w:val="nil"/>
              <w:bottom w:val="single" w:sz="5" w:space="0" w:color="D9D9D9"/>
              <w:right w:val="nil"/>
            </w:tcBorders>
          </w:tcPr>
          <w:p w14:paraId="6EFB317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CIF</w:t>
            </w:r>
          </w:p>
        </w:tc>
        <w:tc>
          <w:tcPr>
            <w:tcW w:w="4364" w:type="pct"/>
            <w:tcBorders>
              <w:top w:val="single" w:sz="5" w:space="0" w:color="D9D9D9"/>
              <w:left w:val="nil"/>
              <w:bottom w:val="single" w:sz="5" w:space="0" w:color="D9D9D9"/>
              <w:right w:val="nil"/>
            </w:tcBorders>
          </w:tcPr>
          <w:p w14:paraId="35A52FA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Izmaksas-apdrošināšana-vedmaksa</w:t>
            </w:r>
          </w:p>
        </w:tc>
      </w:tr>
      <w:tr w:rsidR="001F0ECB" w:rsidRPr="001F0ECB" w14:paraId="570C0B38" w14:textId="77777777" w:rsidTr="00602180">
        <w:tc>
          <w:tcPr>
            <w:tcW w:w="636" w:type="pct"/>
            <w:tcBorders>
              <w:top w:val="single" w:sz="5" w:space="0" w:color="D9D9D9"/>
              <w:left w:val="nil"/>
              <w:bottom w:val="single" w:sz="5" w:space="0" w:color="D9D9D9"/>
              <w:right w:val="nil"/>
            </w:tcBorders>
          </w:tcPr>
          <w:p w14:paraId="2C3F386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BIS</w:t>
            </w:r>
          </w:p>
        </w:tc>
        <w:tc>
          <w:tcPr>
            <w:tcW w:w="4364" w:type="pct"/>
            <w:tcBorders>
              <w:top w:val="single" w:sz="5" w:space="0" w:color="D9D9D9"/>
              <w:left w:val="nil"/>
              <w:bottom w:val="single" w:sz="5" w:space="0" w:color="D9D9D9"/>
              <w:right w:val="nil"/>
            </w:tcBorders>
          </w:tcPr>
          <w:p w14:paraId="1063930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Būvniecības informācijas sistēma</w:t>
            </w:r>
          </w:p>
        </w:tc>
      </w:tr>
      <w:tr w:rsidR="001F0ECB" w:rsidRPr="001F0ECB" w14:paraId="256CAB79" w14:textId="77777777" w:rsidTr="00602180">
        <w:tc>
          <w:tcPr>
            <w:tcW w:w="636" w:type="pct"/>
            <w:tcBorders>
              <w:top w:val="single" w:sz="5" w:space="0" w:color="D9D9D9"/>
              <w:left w:val="nil"/>
              <w:bottom w:val="single" w:sz="5" w:space="0" w:color="D9D9D9"/>
              <w:right w:val="nil"/>
            </w:tcBorders>
          </w:tcPr>
          <w:p w14:paraId="04174C7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COFOG</w:t>
            </w:r>
          </w:p>
        </w:tc>
        <w:tc>
          <w:tcPr>
            <w:tcW w:w="4364" w:type="pct"/>
            <w:tcBorders>
              <w:top w:val="single" w:sz="5" w:space="0" w:color="D9D9D9"/>
              <w:left w:val="nil"/>
              <w:bottom w:val="single" w:sz="5" w:space="0" w:color="D9D9D9"/>
              <w:right w:val="nil"/>
            </w:tcBorders>
          </w:tcPr>
          <w:p w14:paraId="0CDD6B5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Valdības funkciju klasifikācija</w:t>
            </w:r>
          </w:p>
        </w:tc>
      </w:tr>
      <w:tr w:rsidR="001F0ECB" w:rsidRPr="001F0ECB" w14:paraId="6E3D6E6E" w14:textId="77777777" w:rsidTr="00602180">
        <w:tc>
          <w:tcPr>
            <w:tcW w:w="636" w:type="pct"/>
            <w:tcBorders>
              <w:top w:val="single" w:sz="5" w:space="0" w:color="D9D9D9"/>
              <w:left w:val="nil"/>
              <w:bottom w:val="single" w:sz="5" w:space="0" w:color="D9D9D9"/>
              <w:right w:val="nil"/>
            </w:tcBorders>
          </w:tcPr>
          <w:p w14:paraId="54FB0EE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COPNI</w:t>
            </w:r>
          </w:p>
        </w:tc>
        <w:tc>
          <w:tcPr>
            <w:tcW w:w="4364" w:type="pct"/>
            <w:tcBorders>
              <w:top w:val="single" w:sz="5" w:space="0" w:color="D9D9D9"/>
              <w:left w:val="nil"/>
              <w:bottom w:val="single" w:sz="5" w:space="0" w:color="D9D9D9"/>
              <w:right w:val="nil"/>
            </w:tcBorders>
          </w:tcPr>
          <w:p w14:paraId="3E76CA5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Mājsaimniecības apkalpojošo bezpeļņas organizāciju veidu klasifikācija</w:t>
            </w:r>
          </w:p>
        </w:tc>
      </w:tr>
      <w:tr w:rsidR="001F0ECB" w:rsidRPr="001F0ECB" w14:paraId="7CA8E59B" w14:textId="77777777" w:rsidTr="00602180">
        <w:tc>
          <w:tcPr>
            <w:tcW w:w="636" w:type="pct"/>
            <w:tcBorders>
              <w:top w:val="single" w:sz="5" w:space="0" w:color="D9D9D9"/>
              <w:left w:val="nil"/>
              <w:bottom w:val="single" w:sz="5" w:space="0" w:color="D9D9D9"/>
              <w:right w:val="nil"/>
            </w:tcBorders>
          </w:tcPr>
          <w:p w14:paraId="45C2515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CPA</w:t>
            </w:r>
          </w:p>
        </w:tc>
        <w:tc>
          <w:tcPr>
            <w:tcW w:w="4364" w:type="pct"/>
            <w:tcBorders>
              <w:top w:val="single" w:sz="5" w:space="0" w:color="D9D9D9"/>
              <w:left w:val="nil"/>
              <w:bottom w:val="single" w:sz="5" w:space="0" w:color="D9D9D9"/>
              <w:right w:val="nil"/>
            </w:tcBorders>
          </w:tcPr>
          <w:p w14:paraId="4AB77FA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Produkcijas klasifikācija atbilstoši darbības veidam</w:t>
            </w:r>
          </w:p>
        </w:tc>
      </w:tr>
      <w:tr w:rsidR="001F0ECB" w:rsidRPr="001F0ECB" w14:paraId="286FBC2F" w14:textId="77777777" w:rsidTr="00602180">
        <w:tc>
          <w:tcPr>
            <w:tcW w:w="636" w:type="pct"/>
            <w:tcBorders>
              <w:top w:val="single" w:sz="5" w:space="0" w:color="D9D9D9"/>
              <w:left w:val="nil"/>
              <w:bottom w:val="single" w:sz="5" w:space="0" w:color="D9D9D9"/>
              <w:right w:val="nil"/>
            </w:tcBorders>
          </w:tcPr>
          <w:p w14:paraId="767D777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PCI</w:t>
            </w:r>
          </w:p>
        </w:tc>
        <w:tc>
          <w:tcPr>
            <w:tcW w:w="4364" w:type="pct"/>
            <w:tcBorders>
              <w:top w:val="single" w:sz="5" w:space="0" w:color="D9D9D9"/>
              <w:left w:val="nil"/>
              <w:bottom w:val="single" w:sz="5" w:space="0" w:color="D9D9D9"/>
              <w:right w:val="nil"/>
            </w:tcBorders>
          </w:tcPr>
          <w:p w14:paraId="465E3DA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Patēriņa cenu indekss</w:t>
            </w:r>
          </w:p>
        </w:tc>
      </w:tr>
      <w:tr w:rsidR="001F0ECB" w:rsidRPr="001F0ECB" w14:paraId="4A4DA9E2" w14:textId="77777777" w:rsidTr="00602180">
        <w:tc>
          <w:tcPr>
            <w:tcW w:w="636" w:type="pct"/>
            <w:tcBorders>
              <w:top w:val="single" w:sz="5" w:space="0" w:color="D9D9D9"/>
              <w:left w:val="nil"/>
              <w:bottom w:val="single" w:sz="5" w:space="0" w:color="D9D9D9"/>
              <w:right w:val="nil"/>
            </w:tcBorders>
          </w:tcPr>
          <w:p w14:paraId="6193175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CSP</w:t>
            </w:r>
          </w:p>
        </w:tc>
        <w:tc>
          <w:tcPr>
            <w:tcW w:w="4364" w:type="pct"/>
            <w:tcBorders>
              <w:top w:val="single" w:sz="5" w:space="0" w:color="D9D9D9"/>
              <w:left w:val="nil"/>
              <w:bottom w:val="single" w:sz="5" w:space="0" w:color="D9D9D9"/>
              <w:right w:val="nil"/>
            </w:tcBorders>
          </w:tcPr>
          <w:p w14:paraId="62F41EC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Centrālā statistikas pārvalde</w:t>
            </w:r>
          </w:p>
        </w:tc>
      </w:tr>
      <w:tr w:rsidR="001F0ECB" w:rsidRPr="001F0ECB" w14:paraId="0360F68C" w14:textId="77777777" w:rsidTr="00602180">
        <w:tc>
          <w:tcPr>
            <w:tcW w:w="636" w:type="pct"/>
            <w:tcBorders>
              <w:top w:val="single" w:sz="5" w:space="0" w:color="D9D9D9"/>
              <w:left w:val="nil"/>
              <w:bottom w:val="single" w:sz="5" w:space="0" w:color="D9D9D9"/>
              <w:right w:val="nil"/>
            </w:tcBorders>
          </w:tcPr>
          <w:p w14:paraId="207B2B0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ECB</w:t>
            </w:r>
          </w:p>
        </w:tc>
        <w:tc>
          <w:tcPr>
            <w:tcW w:w="4364" w:type="pct"/>
            <w:tcBorders>
              <w:top w:val="single" w:sz="5" w:space="0" w:color="D9D9D9"/>
              <w:left w:val="nil"/>
              <w:bottom w:val="single" w:sz="5" w:space="0" w:color="D9D9D9"/>
              <w:right w:val="nil"/>
            </w:tcBorders>
          </w:tcPr>
          <w:p w14:paraId="302E82E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Centrālā banka</w:t>
            </w:r>
          </w:p>
        </w:tc>
      </w:tr>
      <w:tr w:rsidR="001F0ECB" w:rsidRPr="001F0ECB" w14:paraId="607DDE87" w14:textId="77777777" w:rsidTr="00602180">
        <w:tc>
          <w:tcPr>
            <w:tcW w:w="636" w:type="pct"/>
            <w:tcBorders>
              <w:top w:val="single" w:sz="5" w:space="0" w:color="D9D9D9"/>
              <w:left w:val="nil"/>
              <w:bottom w:val="single" w:sz="5" w:space="0" w:color="D9D9D9"/>
              <w:right w:val="nil"/>
            </w:tcBorders>
          </w:tcPr>
          <w:p w14:paraId="39DEFA6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ECOICOP</w:t>
            </w:r>
          </w:p>
        </w:tc>
        <w:tc>
          <w:tcPr>
            <w:tcW w:w="4364" w:type="pct"/>
            <w:tcBorders>
              <w:top w:val="single" w:sz="5" w:space="0" w:color="D9D9D9"/>
              <w:left w:val="nil"/>
              <w:bottom w:val="single" w:sz="5" w:space="0" w:color="D9D9D9"/>
              <w:right w:val="nil"/>
            </w:tcBorders>
          </w:tcPr>
          <w:p w14:paraId="3A3A0FD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Individuālā patēriņa veidu klasifikācija</w:t>
            </w:r>
          </w:p>
        </w:tc>
      </w:tr>
      <w:tr w:rsidR="001F0ECB" w:rsidRPr="001F0ECB" w14:paraId="5EE511FB" w14:textId="77777777" w:rsidTr="00602180">
        <w:tc>
          <w:tcPr>
            <w:tcW w:w="636" w:type="pct"/>
            <w:tcBorders>
              <w:top w:val="single" w:sz="5" w:space="0" w:color="D9D9D9"/>
              <w:left w:val="nil"/>
              <w:bottom w:val="single" w:sz="5" w:space="0" w:color="D9D9D9"/>
              <w:right w:val="nil"/>
            </w:tcBorders>
          </w:tcPr>
          <w:p w14:paraId="57CEC8D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EDP</w:t>
            </w:r>
          </w:p>
        </w:tc>
        <w:tc>
          <w:tcPr>
            <w:tcW w:w="4364" w:type="pct"/>
            <w:tcBorders>
              <w:top w:val="single" w:sz="5" w:space="0" w:color="D9D9D9"/>
              <w:left w:val="nil"/>
              <w:bottom w:val="single" w:sz="5" w:space="0" w:color="D9D9D9"/>
              <w:right w:val="nil"/>
            </w:tcBorders>
          </w:tcPr>
          <w:p w14:paraId="32FAE9B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Pārmērīga budžeta deficīta novēršanas procedūra</w:t>
            </w:r>
          </w:p>
        </w:tc>
      </w:tr>
      <w:tr w:rsidR="001F0ECB" w:rsidRPr="001F0ECB" w14:paraId="7AE58CD3" w14:textId="77777777" w:rsidTr="00602180">
        <w:tc>
          <w:tcPr>
            <w:tcW w:w="636" w:type="pct"/>
            <w:tcBorders>
              <w:top w:val="single" w:sz="5" w:space="0" w:color="D9D9D9"/>
              <w:left w:val="nil"/>
              <w:bottom w:val="single" w:sz="5" w:space="0" w:color="D9D9D9"/>
              <w:right w:val="nil"/>
            </w:tcBorders>
          </w:tcPr>
          <w:p w14:paraId="14EFB7B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EKS</w:t>
            </w:r>
          </w:p>
        </w:tc>
        <w:tc>
          <w:tcPr>
            <w:tcW w:w="4364" w:type="pct"/>
            <w:tcBorders>
              <w:top w:val="single" w:sz="5" w:space="0" w:color="D9D9D9"/>
              <w:left w:val="nil"/>
              <w:bottom w:val="single" w:sz="5" w:space="0" w:color="D9D9D9"/>
              <w:right w:val="nil"/>
            </w:tcBorders>
          </w:tcPr>
          <w:p w14:paraId="4B6849D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kontu sistēma</w:t>
            </w:r>
          </w:p>
        </w:tc>
      </w:tr>
      <w:tr w:rsidR="001F0ECB" w:rsidRPr="001F0ECB" w14:paraId="1ED0D2D4" w14:textId="77777777" w:rsidTr="00602180">
        <w:tc>
          <w:tcPr>
            <w:tcW w:w="636" w:type="pct"/>
            <w:tcBorders>
              <w:top w:val="single" w:sz="5" w:space="0" w:color="D9D9D9"/>
              <w:left w:val="nil"/>
              <w:bottom w:val="single" w:sz="5" w:space="0" w:color="D9D9D9"/>
              <w:right w:val="nil"/>
            </w:tcBorders>
          </w:tcPr>
          <w:p w14:paraId="5358850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ESS</w:t>
            </w:r>
          </w:p>
        </w:tc>
        <w:tc>
          <w:tcPr>
            <w:tcW w:w="4364" w:type="pct"/>
            <w:tcBorders>
              <w:top w:val="single" w:sz="5" w:space="0" w:color="D9D9D9"/>
              <w:left w:val="nil"/>
              <w:bottom w:val="single" w:sz="5" w:space="0" w:color="D9D9D9"/>
              <w:right w:val="nil"/>
            </w:tcBorders>
          </w:tcPr>
          <w:p w14:paraId="05F4E3B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statistikas sistēma</w:t>
            </w:r>
          </w:p>
        </w:tc>
      </w:tr>
      <w:tr w:rsidR="001F0ECB" w:rsidRPr="001F0ECB" w14:paraId="194CE866" w14:textId="77777777" w:rsidTr="00602180">
        <w:tc>
          <w:tcPr>
            <w:tcW w:w="636" w:type="pct"/>
            <w:tcBorders>
              <w:top w:val="single" w:sz="5" w:space="0" w:color="D9D9D9"/>
              <w:left w:val="nil"/>
              <w:bottom w:val="single" w:sz="5" w:space="0" w:color="D9D9D9"/>
              <w:right w:val="nil"/>
            </w:tcBorders>
          </w:tcPr>
          <w:p w14:paraId="4C34BF5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ES</w:t>
            </w:r>
          </w:p>
        </w:tc>
        <w:tc>
          <w:tcPr>
            <w:tcW w:w="4364" w:type="pct"/>
            <w:tcBorders>
              <w:top w:val="single" w:sz="5" w:space="0" w:color="D9D9D9"/>
              <w:left w:val="nil"/>
              <w:bottom w:val="single" w:sz="5" w:space="0" w:color="D9D9D9"/>
              <w:right w:val="nil"/>
            </w:tcBorders>
          </w:tcPr>
          <w:p w14:paraId="1E9D72E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Savienība</w:t>
            </w:r>
          </w:p>
        </w:tc>
      </w:tr>
      <w:tr w:rsidR="001F0ECB" w:rsidRPr="001F0ECB" w14:paraId="77E59194" w14:textId="77777777" w:rsidTr="00602180">
        <w:tc>
          <w:tcPr>
            <w:tcW w:w="636" w:type="pct"/>
            <w:tcBorders>
              <w:top w:val="single" w:sz="5" w:space="0" w:color="D9D9D9"/>
              <w:left w:val="nil"/>
              <w:bottom w:val="single" w:sz="5" w:space="0" w:color="D9D9D9"/>
              <w:right w:val="nil"/>
            </w:tcBorders>
          </w:tcPr>
          <w:p w14:paraId="367C4F8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EUR</w:t>
            </w:r>
          </w:p>
        </w:tc>
        <w:tc>
          <w:tcPr>
            <w:tcW w:w="4364" w:type="pct"/>
            <w:tcBorders>
              <w:top w:val="single" w:sz="5" w:space="0" w:color="D9D9D9"/>
              <w:left w:val="nil"/>
              <w:bottom w:val="single" w:sz="5" w:space="0" w:color="D9D9D9"/>
              <w:right w:val="nil"/>
            </w:tcBorders>
          </w:tcPr>
          <w:p w14:paraId="5A04741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Euro</w:t>
            </w:r>
          </w:p>
        </w:tc>
      </w:tr>
      <w:tr w:rsidR="001F0ECB" w:rsidRPr="001F0ECB" w14:paraId="3FE69207" w14:textId="77777777" w:rsidTr="00602180">
        <w:tc>
          <w:tcPr>
            <w:tcW w:w="636" w:type="pct"/>
            <w:tcBorders>
              <w:top w:val="single" w:sz="5" w:space="0" w:color="D9D9D9"/>
              <w:left w:val="nil"/>
              <w:bottom w:val="single" w:sz="5" w:space="0" w:color="D9D9D9"/>
              <w:right w:val="nil"/>
            </w:tcBorders>
          </w:tcPr>
          <w:p w14:paraId="3D0EE01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EVVI</w:t>
            </w:r>
          </w:p>
        </w:tc>
        <w:tc>
          <w:tcPr>
            <w:tcW w:w="4364" w:type="pct"/>
            <w:tcBorders>
              <w:top w:val="single" w:sz="5" w:space="0" w:color="D9D9D9"/>
              <w:left w:val="nil"/>
              <w:bottom w:val="single" w:sz="5" w:space="0" w:color="D9D9D9"/>
              <w:right w:val="nil"/>
            </w:tcBorders>
          </w:tcPr>
          <w:p w14:paraId="7EB6A50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Eksporta vienības vērtības indekss</w:t>
            </w:r>
          </w:p>
        </w:tc>
      </w:tr>
      <w:tr w:rsidR="001F0ECB" w:rsidRPr="001F0ECB" w14:paraId="37D23D63" w14:textId="77777777" w:rsidTr="00602180">
        <w:tc>
          <w:tcPr>
            <w:tcW w:w="636" w:type="pct"/>
            <w:tcBorders>
              <w:top w:val="single" w:sz="5" w:space="0" w:color="D9D9D9"/>
              <w:left w:val="nil"/>
              <w:bottom w:val="single" w:sz="5" w:space="0" w:color="D9D9D9"/>
              <w:right w:val="nil"/>
            </w:tcBorders>
          </w:tcPr>
          <w:p w14:paraId="0B7CFA4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FKTK</w:t>
            </w:r>
          </w:p>
        </w:tc>
        <w:tc>
          <w:tcPr>
            <w:tcW w:w="4364" w:type="pct"/>
            <w:tcBorders>
              <w:top w:val="single" w:sz="5" w:space="0" w:color="D9D9D9"/>
              <w:left w:val="nil"/>
              <w:bottom w:val="single" w:sz="5" w:space="0" w:color="D9D9D9"/>
              <w:right w:val="nil"/>
            </w:tcBorders>
          </w:tcPr>
          <w:p w14:paraId="549A203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Finanšu un kapitāla tirgus komisija</w:t>
            </w:r>
          </w:p>
        </w:tc>
      </w:tr>
      <w:tr w:rsidR="001F0ECB" w:rsidRPr="001F0ECB" w14:paraId="59E4F761" w14:textId="77777777" w:rsidTr="00602180">
        <w:tc>
          <w:tcPr>
            <w:tcW w:w="636" w:type="pct"/>
            <w:tcBorders>
              <w:top w:val="single" w:sz="5" w:space="0" w:color="D9D9D9"/>
              <w:left w:val="nil"/>
              <w:bottom w:val="single" w:sz="5" w:space="0" w:color="D9D9D9"/>
              <w:right w:val="nil"/>
            </w:tcBorders>
          </w:tcPr>
          <w:p w14:paraId="1789D84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FISIM</w:t>
            </w:r>
          </w:p>
        </w:tc>
        <w:tc>
          <w:tcPr>
            <w:tcW w:w="4364" w:type="pct"/>
            <w:tcBorders>
              <w:top w:val="single" w:sz="5" w:space="0" w:color="D9D9D9"/>
              <w:left w:val="nil"/>
              <w:bottom w:val="single" w:sz="5" w:space="0" w:color="D9D9D9"/>
              <w:right w:val="nil"/>
            </w:tcBorders>
          </w:tcPr>
          <w:p w14:paraId="1E3B096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Netieši novērtētie finanšu starpniecības pakalpojumi</w:t>
            </w:r>
          </w:p>
        </w:tc>
      </w:tr>
      <w:tr w:rsidR="001F0ECB" w:rsidRPr="001F0ECB" w14:paraId="12691F60" w14:textId="77777777" w:rsidTr="00602180">
        <w:tc>
          <w:tcPr>
            <w:tcW w:w="636" w:type="pct"/>
            <w:tcBorders>
              <w:top w:val="single" w:sz="5" w:space="0" w:color="D9D9D9"/>
              <w:left w:val="nil"/>
              <w:bottom w:val="single" w:sz="5" w:space="0" w:color="D9D9D9"/>
              <w:right w:val="nil"/>
            </w:tcBorders>
          </w:tcPr>
          <w:p w14:paraId="3FF3363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FOB</w:t>
            </w:r>
          </w:p>
        </w:tc>
        <w:tc>
          <w:tcPr>
            <w:tcW w:w="4364" w:type="pct"/>
            <w:tcBorders>
              <w:top w:val="single" w:sz="5" w:space="0" w:color="D9D9D9"/>
              <w:left w:val="nil"/>
              <w:bottom w:val="single" w:sz="5" w:space="0" w:color="D9D9D9"/>
              <w:right w:val="nil"/>
            </w:tcBorders>
          </w:tcPr>
          <w:p w14:paraId="70734D4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Franko uz kuģa</w:t>
            </w:r>
          </w:p>
        </w:tc>
      </w:tr>
      <w:tr w:rsidR="001F0ECB" w:rsidRPr="001F0ECB" w14:paraId="20040F4A" w14:textId="77777777" w:rsidTr="00602180">
        <w:tc>
          <w:tcPr>
            <w:tcW w:w="636" w:type="pct"/>
            <w:tcBorders>
              <w:top w:val="single" w:sz="5" w:space="0" w:color="D9D9D9"/>
              <w:left w:val="nil"/>
              <w:bottom w:val="single" w:sz="5" w:space="0" w:color="D9D9D9"/>
              <w:right w:val="nil"/>
            </w:tcBorders>
          </w:tcPr>
          <w:p w14:paraId="65E5535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IKP</w:t>
            </w:r>
          </w:p>
        </w:tc>
        <w:tc>
          <w:tcPr>
            <w:tcW w:w="4364" w:type="pct"/>
            <w:tcBorders>
              <w:top w:val="single" w:sz="5" w:space="0" w:color="D9D9D9"/>
              <w:left w:val="nil"/>
              <w:bottom w:val="single" w:sz="5" w:space="0" w:color="D9D9D9"/>
              <w:right w:val="nil"/>
            </w:tcBorders>
          </w:tcPr>
          <w:p w14:paraId="29BBADB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Iekšzemes kopprodukts</w:t>
            </w:r>
          </w:p>
        </w:tc>
      </w:tr>
      <w:tr w:rsidR="001F0ECB" w:rsidRPr="001F0ECB" w14:paraId="1584DCD0" w14:textId="77777777" w:rsidTr="00602180">
        <w:tc>
          <w:tcPr>
            <w:tcW w:w="636" w:type="pct"/>
            <w:tcBorders>
              <w:top w:val="single" w:sz="5" w:space="0" w:color="D9D9D9"/>
              <w:left w:val="nil"/>
              <w:bottom w:val="single" w:sz="5" w:space="0" w:color="D9D9D9"/>
              <w:right w:val="nil"/>
            </w:tcBorders>
          </w:tcPr>
          <w:p w14:paraId="56CB3A2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BPKV</w:t>
            </w:r>
          </w:p>
        </w:tc>
        <w:tc>
          <w:tcPr>
            <w:tcW w:w="4364" w:type="pct"/>
            <w:tcBorders>
              <w:top w:val="single" w:sz="5" w:space="0" w:color="D9D9D9"/>
              <w:left w:val="nil"/>
              <w:bottom w:val="single" w:sz="5" w:space="0" w:color="D9D9D9"/>
              <w:right w:val="nil"/>
            </w:tcBorders>
          </w:tcPr>
          <w:p w14:paraId="4D8229A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Bruto pamatkapitāla veidošana</w:t>
            </w:r>
          </w:p>
        </w:tc>
      </w:tr>
      <w:tr w:rsidR="001F0ECB" w:rsidRPr="001F0ECB" w14:paraId="5FEE1633" w14:textId="77777777" w:rsidTr="00602180">
        <w:tc>
          <w:tcPr>
            <w:tcW w:w="636" w:type="pct"/>
            <w:tcBorders>
              <w:top w:val="single" w:sz="5" w:space="0" w:color="D9D9D9"/>
              <w:left w:val="nil"/>
              <w:bottom w:val="single" w:sz="5" w:space="0" w:color="D9D9D9"/>
              <w:right w:val="nil"/>
            </w:tcBorders>
          </w:tcPr>
          <w:p w14:paraId="2517D5A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VFS</w:t>
            </w:r>
          </w:p>
        </w:tc>
        <w:tc>
          <w:tcPr>
            <w:tcW w:w="4364" w:type="pct"/>
            <w:tcBorders>
              <w:top w:val="single" w:sz="5" w:space="0" w:color="D9D9D9"/>
              <w:left w:val="nil"/>
              <w:bottom w:val="single" w:sz="5" w:space="0" w:color="D9D9D9"/>
              <w:right w:val="nil"/>
            </w:tcBorders>
          </w:tcPr>
          <w:p w14:paraId="1E6D3DF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Valdības finanšu statistika</w:t>
            </w:r>
          </w:p>
        </w:tc>
      </w:tr>
      <w:tr w:rsidR="001F0ECB" w:rsidRPr="001F0ECB" w14:paraId="610361FA" w14:textId="77777777" w:rsidTr="00602180">
        <w:tc>
          <w:tcPr>
            <w:tcW w:w="636" w:type="pct"/>
            <w:tcBorders>
              <w:top w:val="single" w:sz="5" w:space="0" w:color="D9D9D9"/>
              <w:left w:val="nil"/>
              <w:bottom w:val="single" w:sz="5" w:space="0" w:color="D9D9D9"/>
              <w:right w:val="nil"/>
            </w:tcBorders>
          </w:tcPr>
          <w:p w14:paraId="4BD67F9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MBA</w:t>
            </w:r>
          </w:p>
        </w:tc>
        <w:tc>
          <w:tcPr>
            <w:tcW w:w="4364" w:type="pct"/>
            <w:tcBorders>
              <w:top w:val="single" w:sz="5" w:space="0" w:color="D9D9D9"/>
              <w:left w:val="nil"/>
              <w:bottom w:val="single" w:sz="5" w:space="0" w:color="D9D9D9"/>
              <w:right w:val="nil"/>
            </w:tcBorders>
          </w:tcPr>
          <w:p w14:paraId="7EE98E4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Mājsaimniecību budžeta apsekojums</w:t>
            </w:r>
          </w:p>
        </w:tc>
      </w:tr>
      <w:tr w:rsidR="001F0ECB" w:rsidRPr="001F0ECB" w14:paraId="25535D02" w14:textId="77777777" w:rsidTr="00602180">
        <w:tc>
          <w:tcPr>
            <w:tcW w:w="636" w:type="pct"/>
            <w:tcBorders>
              <w:top w:val="single" w:sz="5" w:space="0" w:color="D9D9D9"/>
              <w:left w:val="nil"/>
              <w:bottom w:val="single" w:sz="5" w:space="0" w:color="D9D9D9"/>
              <w:right w:val="nil"/>
            </w:tcBorders>
          </w:tcPr>
          <w:p w14:paraId="59D2922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MGI</w:t>
            </w:r>
          </w:p>
        </w:tc>
        <w:tc>
          <w:tcPr>
            <w:tcW w:w="4364" w:type="pct"/>
            <w:tcBorders>
              <w:top w:val="single" w:sz="5" w:space="0" w:color="D9D9D9"/>
              <w:left w:val="nil"/>
              <w:bottom w:val="single" w:sz="5" w:space="0" w:color="D9D9D9"/>
              <w:right w:val="nil"/>
            </w:tcBorders>
          </w:tcPr>
          <w:p w14:paraId="7E3DD64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Mājsaimniecību galapatēriņa izdevumi</w:t>
            </w:r>
          </w:p>
        </w:tc>
      </w:tr>
      <w:tr w:rsidR="001F0ECB" w:rsidRPr="001F0ECB" w14:paraId="3D6D4EBD" w14:textId="77777777" w:rsidTr="00602180">
        <w:tc>
          <w:tcPr>
            <w:tcW w:w="636" w:type="pct"/>
            <w:tcBorders>
              <w:top w:val="single" w:sz="5" w:space="0" w:color="D9D9D9"/>
              <w:left w:val="nil"/>
              <w:bottom w:val="single" w:sz="5" w:space="0" w:color="D9D9D9"/>
              <w:right w:val="nil"/>
            </w:tcBorders>
          </w:tcPr>
          <w:p w14:paraId="0A23D42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MCI</w:t>
            </w:r>
          </w:p>
        </w:tc>
        <w:tc>
          <w:tcPr>
            <w:tcW w:w="4364" w:type="pct"/>
            <w:tcBorders>
              <w:top w:val="single" w:sz="5" w:space="0" w:color="D9D9D9"/>
              <w:left w:val="nil"/>
              <w:bottom w:val="single" w:sz="5" w:space="0" w:color="D9D9D9"/>
              <w:right w:val="nil"/>
            </w:tcBorders>
          </w:tcPr>
          <w:p w14:paraId="1B8E4EA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Mājokļu cenu indekss</w:t>
            </w:r>
          </w:p>
        </w:tc>
      </w:tr>
      <w:tr w:rsidR="001F0ECB" w:rsidRPr="001F0ECB" w14:paraId="47E9927C" w14:textId="77777777" w:rsidTr="00602180">
        <w:tc>
          <w:tcPr>
            <w:tcW w:w="636" w:type="pct"/>
            <w:tcBorders>
              <w:top w:val="single" w:sz="5" w:space="0" w:color="D9D9D9"/>
              <w:left w:val="nil"/>
              <w:bottom w:val="single" w:sz="5" w:space="0" w:color="D9D9D9"/>
              <w:right w:val="nil"/>
            </w:tcBorders>
          </w:tcPr>
          <w:p w14:paraId="2572873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SVF</w:t>
            </w:r>
          </w:p>
        </w:tc>
        <w:tc>
          <w:tcPr>
            <w:tcW w:w="4364" w:type="pct"/>
            <w:tcBorders>
              <w:top w:val="single" w:sz="5" w:space="0" w:color="D9D9D9"/>
              <w:left w:val="nil"/>
              <w:bottom w:val="single" w:sz="5" w:space="0" w:color="D9D9D9"/>
              <w:right w:val="nil"/>
            </w:tcBorders>
          </w:tcPr>
          <w:p w14:paraId="35BA520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Starptautiskais Valūtas fonds</w:t>
            </w:r>
          </w:p>
        </w:tc>
      </w:tr>
      <w:tr w:rsidR="001F0ECB" w:rsidRPr="001F0ECB" w14:paraId="245F3C9D" w14:textId="77777777" w:rsidTr="00602180">
        <w:tc>
          <w:tcPr>
            <w:tcW w:w="636" w:type="pct"/>
            <w:tcBorders>
              <w:top w:val="single" w:sz="5" w:space="0" w:color="D9D9D9"/>
              <w:left w:val="nil"/>
              <w:bottom w:val="single" w:sz="5" w:space="0" w:color="D9D9D9"/>
              <w:right w:val="nil"/>
            </w:tcBorders>
          </w:tcPr>
          <w:p w14:paraId="66A584D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NNP</w:t>
            </w:r>
          </w:p>
        </w:tc>
        <w:tc>
          <w:tcPr>
            <w:tcW w:w="4364" w:type="pct"/>
            <w:tcBorders>
              <w:top w:val="single" w:sz="5" w:space="0" w:color="D9D9D9"/>
              <w:left w:val="nil"/>
              <w:bottom w:val="single" w:sz="5" w:space="0" w:color="D9D9D9"/>
              <w:right w:val="nil"/>
            </w:tcBorders>
          </w:tcPr>
          <w:p w14:paraId="76E7597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Neuztverto nodarbināto pierēķins</w:t>
            </w:r>
          </w:p>
        </w:tc>
      </w:tr>
      <w:tr w:rsidR="001F0ECB" w:rsidRPr="001F0ECB" w14:paraId="64CDCE14" w14:textId="77777777" w:rsidTr="00602180">
        <w:tc>
          <w:tcPr>
            <w:tcW w:w="636" w:type="pct"/>
            <w:tcBorders>
              <w:top w:val="single" w:sz="5" w:space="0" w:color="D9D9D9"/>
              <w:left w:val="nil"/>
              <w:bottom w:val="single" w:sz="5" w:space="0" w:color="D9D9D9"/>
              <w:right w:val="nil"/>
            </w:tcBorders>
          </w:tcPr>
          <w:p w14:paraId="74A5108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ICI</w:t>
            </w:r>
          </w:p>
        </w:tc>
        <w:tc>
          <w:tcPr>
            <w:tcW w:w="4364" w:type="pct"/>
            <w:tcBorders>
              <w:top w:val="single" w:sz="5" w:space="0" w:color="D9D9D9"/>
              <w:left w:val="nil"/>
              <w:bottom w:val="single" w:sz="5" w:space="0" w:color="D9D9D9"/>
              <w:right w:val="nil"/>
            </w:tcBorders>
          </w:tcPr>
          <w:p w14:paraId="7B78CFE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Importa cenu indekss</w:t>
            </w:r>
          </w:p>
        </w:tc>
      </w:tr>
      <w:tr w:rsidR="001F0ECB" w:rsidRPr="001F0ECB" w14:paraId="0EC29FA4" w14:textId="77777777" w:rsidTr="00602180">
        <w:tc>
          <w:tcPr>
            <w:tcW w:w="636" w:type="pct"/>
            <w:tcBorders>
              <w:top w:val="single" w:sz="5" w:space="0" w:color="D9D9D9"/>
              <w:left w:val="nil"/>
              <w:bottom w:val="single" w:sz="5" w:space="0" w:color="D9D9D9"/>
              <w:right w:val="nil"/>
            </w:tcBorders>
          </w:tcPr>
          <w:p w14:paraId="4667AF6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DSA</w:t>
            </w:r>
          </w:p>
        </w:tc>
        <w:tc>
          <w:tcPr>
            <w:tcW w:w="4364" w:type="pct"/>
            <w:tcBorders>
              <w:top w:val="single" w:sz="5" w:space="0" w:color="D9D9D9"/>
              <w:left w:val="nil"/>
              <w:bottom w:val="single" w:sz="5" w:space="0" w:color="D9D9D9"/>
              <w:right w:val="nil"/>
            </w:tcBorders>
          </w:tcPr>
          <w:p w14:paraId="12C0EFF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Darbaspēka apsekojums</w:t>
            </w:r>
          </w:p>
        </w:tc>
      </w:tr>
      <w:tr w:rsidR="001F0ECB" w:rsidRPr="001F0ECB" w14:paraId="30E3F0A1" w14:textId="77777777" w:rsidTr="00602180">
        <w:tc>
          <w:tcPr>
            <w:tcW w:w="636" w:type="pct"/>
            <w:tcBorders>
              <w:top w:val="single" w:sz="5" w:space="0" w:color="D9D9D9"/>
              <w:left w:val="nil"/>
              <w:bottom w:val="single" w:sz="5" w:space="0" w:color="D9D9D9"/>
              <w:right w:val="nil"/>
            </w:tcBorders>
          </w:tcPr>
          <w:p w14:paraId="5B72FFF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OIK</w:t>
            </w:r>
          </w:p>
        </w:tc>
        <w:tc>
          <w:tcPr>
            <w:tcW w:w="4364" w:type="pct"/>
            <w:tcBorders>
              <w:top w:val="single" w:sz="5" w:space="0" w:color="D9D9D9"/>
              <w:left w:val="nil"/>
              <w:bottom w:val="single" w:sz="5" w:space="0" w:color="D9D9D9"/>
              <w:right w:val="nil"/>
            </w:tcBorders>
          </w:tcPr>
          <w:p w14:paraId="65D17E3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Obligātā iepirkuma komponente (maksa par sabiedrisko pakalpojumu sniegšanas saistībām)</w:t>
            </w:r>
          </w:p>
        </w:tc>
      </w:tr>
      <w:tr w:rsidR="001F0ECB" w:rsidRPr="001F0ECB" w14:paraId="37D54399" w14:textId="77777777" w:rsidTr="00602180">
        <w:tc>
          <w:tcPr>
            <w:tcW w:w="636" w:type="pct"/>
            <w:tcBorders>
              <w:top w:val="single" w:sz="5" w:space="0" w:color="D9D9D9"/>
              <w:left w:val="nil"/>
              <w:bottom w:val="single" w:sz="5" w:space="0" w:color="D9D9D9"/>
              <w:right w:val="nil"/>
            </w:tcBorders>
          </w:tcPr>
          <w:p w14:paraId="3393128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NK</w:t>
            </w:r>
          </w:p>
        </w:tc>
        <w:tc>
          <w:tcPr>
            <w:tcW w:w="4364" w:type="pct"/>
            <w:tcBorders>
              <w:top w:val="single" w:sz="5" w:space="0" w:color="D9D9D9"/>
              <w:left w:val="nil"/>
              <w:bottom w:val="single" w:sz="5" w:space="0" w:color="D9D9D9"/>
              <w:right w:val="nil"/>
            </w:tcBorders>
          </w:tcPr>
          <w:p w14:paraId="2C39935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Nacionālie konti</w:t>
            </w:r>
          </w:p>
        </w:tc>
      </w:tr>
      <w:tr w:rsidR="001F0ECB" w:rsidRPr="001F0ECB" w14:paraId="59C0B885" w14:textId="77777777" w:rsidTr="00602180">
        <w:tc>
          <w:tcPr>
            <w:tcW w:w="636" w:type="pct"/>
            <w:tcBorders>
              <w:top w:val="single" w:sz="5" w:space="0" w:color="D9D9D9"/>
              <w:left w:val="nil"/>
              <w:bottom w:val="single" w:sz="6" w:space="0" w:color="D9D9D9"/>
              <w:right w:val="nil"/>
            </w:tcBorders>
          </w:tcPr>
          <w:p w14:paraId="0B8F0EC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iCs/>
                <w:sz w:val="24"/>
              </w:rPr>
              <w:t>NACE</w:t>
            </w:r>
          </w:p>
        </w:tc>
        <w:tc>
          <w:tcPr>
            <w:tcW w:w="4364" w:type="pct"/>
            <w:tcBorders>
              <w:top w:val="single" w:sz="5" w:space="0" w:color="D9D9D9"/>
              <w:left w:val="nil"/>
              <w:bottom w:val="single" w:sz="6" w:space="0" w:color="D9D9D9"/>
              <w:right w:val="nil"/>
            </w:tcBorders>
          </w:tcPr>
          <w:p w14:paraId="0A3621F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Saimniecisko darbību statistiskā klasifikācija Eiropas Savienībā</w:t>
            </w:r>
          </w:p>
        </w:tc>
      </w:tr>
      <w:tr w:rsidR="001F0ECB" w:rsidRPr="001F0ECB" w14:paraId="291DCF8B" w14:textId="77777777" w:rsidTr="00602180">
        <w:tc>
          <w:tcPr>
            <w:tcW w:w="636" w:type="pct"/>
            <w:tcBorders>
              <w:top w:val="single" w:sz="6" w:space="0" w:color="D9D9D9"/>
              <w:left w:val="nil"/>
              <w:bottom w:val="single" w:sz="4" w:space="0" w:color="EEECE1" w:themeColor="background2"/>
              <w:right w:val="nil"/>
            </w:tcBorders>
          </w:tcPr>
          <w:p w14:paraId="5173B95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MABO</w:t>
            </w:r>
          </w:p>
        </w:tc>
        <w:tc>
          <w:tcPr>
            <w:tcW w:w="4364" w:type="pct"/>
            <w:tcBorders>
              <w:top w:val="single" w:sz="6" w:space="0" w:color="D9D9D9"/>
              <w:left w:val="nil"/>
              <w:bottom w:val="single" w:sz="4" w:space="0" w:color="EEECE1" w:themeColor="background2"/>
              <w:right w:val="nil"/>
            </w:tcBorders>
          </w:tcPr>
          <w:p w14:paraId="5F99C4B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Mājsaimniecības apkalpojošās bezpeļņas iestādes</w:t>
            </w:r>
          </w:p>
        </w:tc>
      </w:tr>
      <w:tr w:rsidR="001F0ECB" w:rsidRPr="001F0ECB" w14:paraId="386C6AAD" w14:textId="77777777" w:rsidTr="00602180">
        <w:tc>
          <w:tcPr>
            <w:tcW w:w="636" w:type="pct"/>
            <w:tcBorders>
              <w:top w:val="single" w:sz="4" w:space="0" w:color="EEECE1" w:themeColor="background2"/>
              <w:left w:val="nil"/>
              <w:bottom w:val="single" w:sz="5" w:space="0" w:color="D9D9D9"/>
              <w:right w:val="nil"/>
            </w:tcBorders>
          </w:tcPr>
          <w:p w14:paraId="77AFE08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ESAO</w:t>
            </w:r>
          </w:p>
        </w:tc>
        <w:tc>
          <w:tcPr>
            <w:tcW w:w="4364" w:type="pct"/>
            <w:tcBorders>
              <w:top w:val="single" w:sz="4" w:space="0" w:color="EEECE1" w:themeColor="background2"/>
              <w:left w:val="nil"/>
              <w:bottom w:val="single" w:sz="5" w:space="0" w:color="D9D9D9"/>
              <w:right w:val="nil"/>
            </w:tcBorders>
          </w:tcPr>
          <w:p w14:paraId="3144D35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Ekonomiskās sadarbības un attīstības organizācija</w:t>
            </w:r>
          </w:p>
        </w:tc>
      </w:tr>
      <w:tr w:rsidR="001F0ECB" w:rsidRPr="001F0ECB" w14:paraId="3A0629DB" w14:textId="77777777" w:rsidTr="00602180">
        <w:tc>
          <w:tcPr>
            <w:tcW w:w="636" w:type="pct"/>
            <w:tcBorders>
              <w:top w:val="single" w:sz="5" w:space="0" w:color="D9D9D9"/>
              <w:left w:val="nil"/>
              <w:bottom w:val="single" w:sz="5" w:space="0" w:color="D9D9D9"/>
              <w:right w:val="nil"/>
            </w:tcBorders>
          </w:tcPr>
          <w:p w14:paraId="32453FE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lastRenderedPageBreak/>
              <w:t>RCI</w:t>
            </w:r>
          </w:p>
        </w:tc>
        <w:tc>
          <w:tcPr>
            <w:tcW w:w="4364" w:type="pct"/>
            <w:tcBorders>
              <w:top w:val="single" w:sz="5" w:space="0" w:color="D9D9D9"/>
              <w:left w:val="nil"/>
              <w:bottom w:val="single" w:sz="5" w:space="0" w:color="D9D9D9"/>
              <w:right w:val="nil"/>
            </w:tcBorders>
          </w:tcPr>
          <w:p w14:paraId="25B208B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Ražotāju cenu indekss</w:t>
            </w:r>
          </w:p>
        </w:tc>
      </w:tr>
      <w:tr w:rsidR="001F0ECB" w:rsidRPr="001F0ECB" w14:paraId="49C4EBE3" w14:textId="77777777" w:rsidTr="00602180">
        <w:tc>
          <w:tcPr>
            <w:tcW w:w="636" w:type="pct"/>
            <w:tcBorders>
              <w:top w:val="single" w:sz="5" w:space="0" w:color="D9D9D9"/>
              <w:left w:val="nil"/>
              <w:bottom w:val="single" w:sz="5" w:space="0" w:color="D9D9D9"/>
              <w:right w:val="nil"/>
            </w:tcBorders>
          </w:tcPr>
          <w:p w14:paraId="19807F5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CNK</w:t>
            </w:r>
          </w:p>
        </w:tc>
        <w:tc>
          <w:tcPr>
            <w:tcW w:w="4364" w:type="pct"/>
            <w:tcBorders>
              <w:top w:val="single" w:sz="5" w:space="0" w:color="D9D9D9"/>
              <w:left w:val="nil"/>
              <w:bottom w:val="single" w:sz="5" w:space="0" w:color="D9D9D9"/>
              <w:right w:val="nil"/>
            </w:tcBorders>
          </w:tcPr>
          <w:p w14:paraId="71A1083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Ceturkšņa nacionālie konti</w:t>
            </w:r>
          </w:p>
        </w:tc>
      </w:tr>
      <w:tr w:rsidR="001F0ECB" w:rsidRPr="001F0ECB" w14:paraId="61F35EA8" w14:textId="77777777" w:rsidTr="00602180">
        <w:tc>
          <w:tcPr>
            <w:tcW w:w="636" w:type="pct"/>
            <w:tcBorders>
              <w:top w:val="single" w:sz="5" w:space="0" w:color="D9D9D9"/>
              <w:left w:val="nil"/>
              <w:bottom w:val="single" w:sz="5" w:space="0" w:color="D9D9D9"/>
              <w:right w:val="nil"/>
            </w:tcBorders>
          </w:tcPr>
          <w:p w14:paraId="229A4F7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CKS</w:t>
            </w:r>
          </w:p>
        </w:tc>
        <w:tc>
          <w:tcPr>
            <w:tcW w:w="4364" w:type="pct"/>
            <w:tcBorders>
              <w:top w:val="single" w:sz="5" w:space="0" w:color="D9D9D9"/>
              <w:left w:val="nil"/>
              <w:bottom w:val="single" w:sz="5" w:space="0" w:color="D9D9D9"/>
              <w:right w:val="nil"/>
            </w:tcBorders>
          </w:tcPr>
          <w:p w14:paraId="14E64BB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Ceturkšņa konti pa sektoriem</w:t>
            </w:r>
          </w:p>
        </w:tc>
      </w:tr>
      <w:tr w:rsidR="001F0ECB" w:rsidRPr="001F0ECB" w14:paraId="14DB3D94" w14:textId="77777777" w:rsidTr="00602180">
        <w:tc>
          <w:tcPr>
            <w:tcW w:w="636" w:type="pct"/>
            <w:tcBorders>
              <w:top w:val="single" w:sz="5" w:space="0" w:color="D9D9D9"/>
              <w:left w:val="nil"/>
              <w:bottom w:val="single" w:sz="5" w:space="0" w:color="D9D9D9"/>
              <w:right w:val="nil"/>
            </w:tcBorders>
          </w:tcPr>
          <w:p w14:paraId="50832F3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Rev.</w:t>
            </w:r>
          </w:p>
        </w:tc>
        <w:tc>
          <w:tcPr>
            <w:tcW w:w="4364" w:type="pct"/>
            <w:tcBorders>
              <w:top w:val="single" w:sz="5" w:space="0" w:color="D9D9D9"/>
              <w:left w:val="nil"/>
              <w:bottom w:val="single" w:sz="5" w:space="0" w:color="D9D9D9"/>
              <w:right w:val="nil"/>
            </w:tcBorders>
          </w:tcPr>
          <w:p w14:paraId="53B654A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Revīzija</w:t>
            </w:r>
          </w:p>
        </w:tc>
      </w:tr>
      <w:tr w:rsidR="001F0ECB" w:rsidRPr="001F0ECB" w14:paraId="1EB45D8E" w14:textId="77777777" w:rsidTr="00602180">
        <w:tc>
          <w:tcPr>
            <w:tcW w:w="636" w:type="pct"/>
            <w:tcBorders>
              <w:top w:val="single" w:sz="5" w:space="0" w:color="D9D9D9"/>
              <w:left w:val="nil"/>
              <w:bottom w:val="single" w:sz="5" w:space="0" w:color="D9D9D9"/>
              <w:right w:val="nil"/>
            </w:tcBorders>
          </w:tcPr>
          <w:p w14:paraId="39D60A3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PP</w:t>
            </w:r>
          </w:p>
        </w:tc>
        <w:tc>
          <w:tcPr>
            <w:tcW w:w="4364" w:type="pct"/>
            <w:tcBorders>
              <w:top w:val="single" w:sz="5" w:space="0" w:color="D9D9D9"/>
              <w:left w:val="nil"/>
              <w:bottom w:val="single" w:sz="5" w:space="0" w:color="D9D9D9"/>
              <w:right w:val="nil"/>
            </w:tcBorders>
          </w:tcPr>
          <w:p w14:paraId="6353BE3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Pārējā pasaule</w:t>
            </w:r>
          </w:p>
        </w:tc>
      </w:tr>
      <w:tr w:rsidR="001F0ECB" w:rsidRPr="001F0ECB" w14:paraId="4C2CF867" w14:textId="77777777" w:rsidTr="00602180">
        <w:tc>
          <w:tcPr>
            <w:tcW w:w="636" w:type="pct"/>
            <w:tcBorders>
              <w:top w:val="single" w:sz="5" w:space="0" w:color="D9D9D9"/>
              <w:left w:val="nil"/>
              <w:bottom w:val="single" w:sz="5" w:space="0" w:color="D9D9D9"/>
              <w:right w:val="nil"/>
            </w:tcBorders>
          </w:tcPr>
          <w:p w14:paraId="0875DED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SK</w:t>
            </w:r>
          </w:p>
        </w:tc>
        <w:tc>
          <w:tcPr>
            <w:tcW w:w="4364" w:type="pct"/>
            <w:tcBorders>
              <w:top w:val="single" w:sz="5" w:space="0" w:color="D9D9D9"/>
              <w:left w:val="nil"/>
              <w:bottom w:val="single" w:sz="5" w:space="0" w:color="D9D9D9"/>
              <w:right w:val="nil"/>
            </w:tcBorders>
          </w:tcPr>
          <w:p w14:paraId="2CF19D5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Sezonālā koriģēšana</w:t>
            </w:r>
          </w:p>
        </w:tc>
      </w:tr>
      <w:tr w:rsidR="001F0ECB" w:rsidRPr="001F0ECB" w14:paraId="77D9856A" w14:textId="77777777" w:rsidTr="00602180">
        <w:tc>
          <w:tcPr>
            <w:tcW w:w="636" w:type="pct"/>
            <w:tcBorders>
              <w:top w:val="single" w:sz="5" w:space="0" w:color="D9D9D9"/>
              <w:left w:val="nil"/>
              <w:bottom w:val="single" w:sz="5" w:space="0" w:color="D9D9D9"/>
              <w:right w:val="nil"/>
            </w:tcBorders>
          </w:tcPr>
          <w:p w14:paraId="7442684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SDIS Plus</w:t>
            </w:r>
          </w:p>
        </w:tc>
        <w:tc>
          <w:tcPr>
            <w:tcW w:w="4364" w:type="pct"/>
            <w:tcBorders>
              <w:top w:val="single" w:sz="5" w:space="0" w:color="D9D9D9"/>
              <w:left w:val="nil"/>
              <w:bottom w:val="single" w:sz="5" w:space="0" w:color="D9D9D9"/>
              <w:right w:val="nil"/>
            </w:tcBorders>
          </w:tcPr>
          <w:p w14:paraId="32A8267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Speciālais datu izplatīšanas standarts Plus</w:t>
            </w:r>
          </w:p>
        </w:tc>
      </w:tr>
      <w:tr w:rsidR="001F0ECB" w:rsidRPr="001F0ECB" w14:paraId="30AAC821" w14:textId="77777777" w:rsidTr="00602180">
        <w:tc>
          <w:tcPr>
            <w:tcW w:w="636" w:type="pct"/>
            <w:tcBorders>
              <w:top w:val="single" w:sz="5" w:space="0" w:color="D9D9D9"/>
              <w:left w:val="nil"/>
              <w:bottom w:val="single" w:sz="5" w:space="0" w:color="D9D9D9"/>
              <w:right w:val="nil"/>
            </w:tcBorders>
          </w:tcPr>
          <w:p w14:paraId="6EE024F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VFPS</w:t>
            </w:r>
          </w:p>
        </w:tc>
        <w:tc>
          <w:tcPr>
            <w:tcW w:w="4364" w:type="pct"/>
            <w:tcBorders>
              <w:top w:val="single" w:sz="5" w:space="0" w:color="D9D9D9"/>
              <w:left w:val="nil"/>
              <w:bottom w:val="single" w:sz="5" w:space="0" w:color="D9D9D9"/>
              <w:right w:val="nil"/>
            </w:tcBorders>
          </w:tcPr>
          <w:p w14:paraId="27F6586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Valsts fondēto pensiju shēma</w:t>
            </w:r>
          </w:p>
        </w:tc>
      </w:tr>
      <w:tr w:rsidR="001F0ECB" w:rsidRPr="001F0ECB" w14:paraId="5E75FEDE" w14:textId="77777777" w:rsidTr="00602180">
        <w:tc>
          <w:tcPr>
            <w:tcW w:w="636" w:type="pct"/>
            <w:tcBorders>
              <w:top w:val="single" w:sz="5" w:space="0" w:color="D9D9D9"/>
              <w:left w:val="nil"/>
              <w:bottom w:val="single" w:sz="5" w:space="0" w:color="D9D9D9"/>
              <w:right w:val="nil"/>
            </w:tcBorders>
          </w:tcPr>
          <w:p w14:paraId="22CC69D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BPCI</w:t>
            </w:r>
          </w:p>
        </w:tc>
        <w:tc>
          <w:tcPr>
            <w:tcW w:w="4364" w:type="pct"/>
            <w:tcBorders>
              <w:top w:val="single" w:sz="5" w:space="0" w:color="D9D9D9"/>
              <w:left w:val="nil"/>
              <w:bottom w:val="single" w:sz="5" w:space="0" w:color="D9D9D9"/>
              <w:right w:val="nil"/>
            </w:tcBorders>
          </w:tcPr>
          <w:p w14:paraId="17060EE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Biznesa pakalpojumu cenu indekss</w:t>
            </w:r>
          </w:p>
        </w:tc>
      </w:tr>
      <w:tr w:rsidR="001F0ECB" w:rsidRPr="001F0ECB" w14:paraId="2AAA1DDD" w14:textId="77777777" w:rsidTr="00602180">
        <w:tc>
          <w:tcPr>
            <w:tcW w:w="636" w:type="pct"/>
            <w:tcBorders>
              <w:top w:val="single" w:sz="5" w:space="0" w:color="D9D9D9"/>
              <w:left w:val="nil"/>
              <w:bottom w:val="single" w:sz="5" w:space="0" w:color="D9D9D9"/>
              <w:right w:val="nil"/>
            </w:tcBorders>
          </w:tcPr>
          <w:p w14:paraId="6FBF73C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VID</w:t>
            </w:r>
          </w:p>
        </w:tc>
        <w:tc>
          <w:tcPr>
            <w:tcW w:w="4364" w:type="pct"/>
            <w:tcBorders>
              <w:top w:val="single" w:sz="5" w:space="0" w:color="D9D9D9"/>
              <w:left w:val="nil"/>
              <w:bottom w:val="single" w:sz="5" w:space="0" w:color="D9D9D9"/>
              <w:right w:val="nil"/>
            </w:tcBorders>
          </w:tcPr>
          <w:p w14:paraId="1EC946B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Valsts ieņēmumu dienests</w:t>
            </w:r>
          </w:p>
        </w:tc>
      </w:tr>
      <w:tr w:rsidR="001F0ECB" w:rsidRPr="001F0ECB" w14:paraId="2163BA0D" w14:textId="77777777" w:rsidTr="00602180">
        <w:tc>
          <w:tcPr>
            <w:tcW w:w="636" w:type="pct"/>
            <w:tcBorders>
              <w:top w:val="single" w:sz="5" w:space="0" w:color="D9D9D9"/>
              <w:left w:val="nil"/>
              <w:bottom w:val="single" w:sz="5" w:space="0" w:color="D9D9D9"/>
              <w:right w:val="nil"/>
            </w:tcBorders>
          </w:tcPr>
          <w:p w14:paraId="5B48832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DNP</w:t>
            </w:r>
          </w:p>
        </w:tc>
        <w:tc>
          <w:tcPr>
            <w:tcW w:w="4364" w:type="pct"/>
            <w:tcBorders>
              <w:top w:val="single" w:sz="5" w:space="0" w:color="D9D9D9"/>
              <w:left w:val="nil"/>
              <w:bottom w:val="single" w:sz="5" w:space="0" w:color="D9D9D9"/>
              <w:right w:val="nil"/>
            </w:tcBorders>
          </w:tcPr>
          <w:p w14:paraId="07DC16C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EKS 2010 Datu nosūtīšanas programma</w:t>
            </w:r>
          </w:p>
        </w:tc>
      </w:tr>
      <w:tr w:rsidR="001F0ECB" w:rsidRPr="001F0ECB" w14:paraId="24D80E1B" w14:textId="77777777" w:rsidTr="00602180">
        <w:tc>
          <w:tcPr>
            <w:tcW w:w="636" w:type="pct"/>
            <w:tcBorders>
              <w:top w:val="single" w:sz="5" w:space="0" w:color="D9D9D9"/>
              <w:left w:val="nil"/>
              <w:bottom w:val="nil"/>
              <w:right w:val="nil"/>
            </w:tcBorders>
          </w:tcPr>
          <w:p w14:paraId="09E536B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PVN</w:t>
            </w:r>
          </w:p>
        </w:tc>
        <w:tc>
          <w:tcPr>
            <w:tcW w:w="4364" w:type="pct"/>
            <w:tcBorders>
              <w:top w:val="single" w:sz="5" w:space="0" w:color="D9D9D9"/>
              <w:left w:val="nil"/>
              <w:bottom w:val="nil"/>
              <w:right w:val="nil"/>
            </w:tcBorders>
          </w:tcPr>
          <w:p w14:paraId="397050C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Pievienotās vērtības nodoklis</w:t>
            </w:r>
          </w:p>
        </w:tc>
      </w:tr>
    </w:tbl>
    <w:p w14:paraId="0FA1E88B" w14:textId="77777777" w:rsidR="001F0ECB" w:rsidRPr="001F0ECB" w:rsidRDefault="001F0ECB" w:rsidP="00975B5E">
      <w:pPr>
        <w:jc w:val="both"/>
        <w:rPr>
          <w:rFonts w:ascii="Times New Roman" w:eastAsia="Calibri" w:hAnsi="Times New Roman" w:cs="Calibri"/>
          <w:noProof/>
          <w:sz w:val="24"/>
          <w:szCs w:val="24"/>
        </w:rPr>
      </w:pPr>
    </w:p>
    <w:p w14:paraId="5162E1F4" w14:textId="77777777" w:rsidR="001F0ECB" w:rsidRPr="001F0ECB" w:rsidRDefault="001F0ECB">
      <w:pPr>
        <w:rPr>
          <w:rFonts w:ascii="Times New Roman" w:eastAsia="Calibri" w:hAnsi="Times New Roman" w:cs="Calibri"/>
          <w:noProof/>
          <w:sz w:val="24"/>
          <w:szCs w:val="24"/>
        </w:rPr>
      </w:pPr>
      <w:r>
        <w:br w:type="page"/>
      </w:r>
    </w:p>
    <w:p w14:paraId="59833617" w14:textId="77777777" w:rsidR="00975B5E" w:rsidRPr="001F0ECB" w:rsidRDefault="00975B5E" w:rsidP="00975B5E">
      <w:pPr>
        <w:jc w:val="both"/>
        <w:rPr>
          <w:rFonts w:ascii="Times New Roman" w:eastAsia="Calibri" w:hAnsi="Times New Roman" w:cs="Calibri"/>
          <w:noProof/>
          <w:sz w:val="24"/>
          <w:szCs w:val="24"/>
        </w:rPr>
      </w:pPr>
    </w:p>
    <w:p w14:paraId="19BEF224" w14:textId="77777777" w:rsidR="002672AA" w:rsidRPr="001F0ECB" w:rsidRDefault="002672AA" w:rsidP="00975B5E">
      <w:pPr>
        <w:pStyle w:val="Heading1"/>
        <w:spacing w:before="0"/>
        <w:ind w:left="0" w:firstLine="0"/>
        <w:jc w:val="both"/>
        <w:rPr>
          <w:rFonts w:ascii="Times New Roman" w:hAnsi="Times New Roman"/>
          <w:noProof/>
          <w:sz w:val="24"/>
        </w:rPr>
      </w:pPr>
      <w:bookmarkStart w:id="2" w:name="_Toc73461223"/>
      <w:r w:rsidRPr="000F4534">
        <w:rPr>
          <w:rFonts w:ascii="Times New Roman" w:hAnsi="Times New Roman"/>
          <w:sz w:val="28"/>
          <w:szCs w:val="40"/>
        </w:rPr>
        <w:t>Ievads</w:t>
      </w:r>
      <w:bookmarkStart w:id="3" w:name="_bookmark1"/>
      <w:bookmarkEnd w:id="2"/>
      <w:bookmarkEnd w:id="3"/>
    </w:p>
    <w:p w14:paraId="4D5C0420" w14:textId="77777777" w:rsidR="002672AA" w:rsidRPr="001F0ECB" w:rsidRDefault="002672AA" w:rsidP="00975B5E">
      <w:pPr>
        <w:jc w:val="both"/>
        <w:rPr>
          <w:rFonts w:ascii="Times New Roman" w:eastAsia="Calibri" w:hAnsi="Times New Roman" w:cs="Calibri"/>
          <w:noProof/>
          <w:sz w:val="24"/>
          <w:szCs w:val="47"/>
        </w:rPr>
      </w:pPr>
    </w:p>
    <w:p w14:paraId="5E17308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Šā dokumenta mērķis ir sniegt to avotu un metožu aprakstu, ko Latvijā izmanto ceturkšņa nacionālo kontu datu apkopošanai. EKS 2010 ir metodoloģisks dokuments, ko pašreiz izmanto IKP un tā komponenšu aprēķināšanai.</w:t>
      </w:r>
    </w:p>
    <w:p w14:paraId="3AAE1412" w14:textId="77777777" w:rsidR="001F0ECB" w:rsidRPr="001F0ECB" w:rsidRDefault="001F0ECB" w:rsidP="00975B5E">
      <w:pPr>
        <w:pStyle w:val="BodyText"/>
        <w:spacing w:before="0"/>
        <w:ind w:left="0"/>
        <w:jc w:val="both"/>
        <w:rPr>
          <w:rFonts w:ascii="Times New Roman" w:hAnsi="Times New Roman"/>
          <w:noProof/>
        </w:rPr>
      </w:pPr>
    </w:p>
    <w:p w14:paraId="4344CCA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Šā dokumenta struktūra un saturs ir izstrādāti, pamatojoties uz </w:t>
      </w:r>
      <w:r>
        <w:rPr>
          <w:rFonts w:ascii="Times New Roman" w:hAnsi="Times New Roman"/>
          <w:i/>
          <w:iCs/>
        </w:rPr>
        <w:t>Eurostat</w:t>
      </w:r>
      <w:r>
        <w:rPr>
          <w:rFonts w:ascii="Times New Roman" w:hAnsi="Times New Roman"/>
        </w:rPr>
        <w:t xml:space="preserve"> ieteikumiem. Šajā dokumentā ir aplūkots ceturkšņa IKP un tā komponenšu apkopošanas process.</w:t>
      </w:r>
    </w:p>
    <w:p w14:paraId="416B3160" w14:textId="77777777" w:rsidR="001F0ECB" w:rsidRPr="001F0ECB" w:rsidRDefault="001F0ECB" w:rsidP="00975B5E">
      <w:pPr>
        <w:pStyle w:val="BodyText"/>
        <w:spacing w:before="0"/>
        <w:ind w:left="0"/>
        <w:jc w:val="both"/>
        <w:rPr>
          <w:rFonts w:ascii="Times New Roman" w:hAnsi="Times New Roman"/>
          <w:noProof/>
        </w:rPr>
      </w:pPr>
    </w:p>
    <w:p w14:paraId="4852178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Šis dokuments ir sagatavots saistībā ar </w:t>
      </w:r>
      <w:r>
        <w:rPr>
          <w:rFonts w:ascii="Times New Roman" w:hAnsi="Times New Roman"/>
          <w:i/>
          <w:iCs/>
        </w:rPr>
        <w:t>Eurostat</w:t>
      </w:r>
      <w:r>
        <w:rPr>
          <w:rFonts w:ascii="Times New Roman" w:hAnsi="Times New Roman"/>
        </w:rPr>
        <w:t xml:space="preserve"> granta līgumu Nr. 831417 – 2018/LV/NA-BOP Nacionālie konti un Maksājumu bilance – 7. darbība: to avotu un metožu dokumentēšana, ko izmanto aprakstu sagatavošanai atbilstoši EKS 2010.</w:t>
      </w:r>
    </w:p>
    <w:p w14:paraId="105C6B5C" w14:textId="77777777" w:rsidR="001F0ECB" w:rsidRPr="001F0ECB" w:rsidRDefault="001F0ECB" w:rsidP="00975B5E">
      <w:pPr>
        <w:pStyle w:val="BodyText"/>
        <w:spacing w:before="0"/>
        <w:ind w:left="0"/>
        <w:jc w:val="both"/>
        <w:rPr>
          <w:rFonts w:ascii="Times New Roman" w:hAnsi="Times New Roman"/>
          <w:noProof/>
        </w:rPr>
      </w:pPr>
    </w:p>
    <w:p w14:paraId="448F647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Šis apraksts tiks turpmāk atjaunināts, ja būs būtiskas izmaiņas metodoloģijā.</w:t>
      </w:r>
    </w:p>
    <w:p w14:paraId="4C0D097C" w14:textId="77777777" w:rsidR="001F0ECB" w:rsidRPr="001F0ECB" w:rsidRDefault="001F0ECB">
      <w:pPr>
        <w:rPr>
          <w:rFonts w:ascii="Times New Roman" w:hAnsi="Times New Roman"/>
          <w:noProof/>
          <w:sz w:val="24"/>
        </w:rPr>
      </w:pPr>
      <w:r>
        <w:br w:type="page"/>
      </w:r>
    </w:p>
    <w:p w14:paraId="2B31A9FF" w14:textId="77777777" w:rsidR="00975B5E" w:rsidRPr="001F0ECB" w:rsidRDefault="00975B5E" w:rsidP="00975B5E">
      <w:pPr>
        <w:jc w:val="both"/>
        <w:rPr>
          <w:rFonts w:ascii="Times New Roman" w:hAnsi="Times New Roman"/>
          <w:noProof/>
          <w:sz w:val="24"/>
        </w:rPr>
      </w:pPr>
    </w:p>
    <w:p w14:paraId="2B536E36" w14:textId="77777777" w:rsidR="002672AA" w:rsidRPr="009A0F40" w:rsidRDefault="001F0ECB" w:rsidP="001F0ECB">
      <w:pPr>
        <w:pStyle w:val="Heading1"/>
        <w:tabs>
          <w:tab w:val="left" w:pos="821"/>
        </w:tabs>
        <w:spacing w:before="0"/>
        <w:ind w:left="0" w:firstLine="0"/>
        <w:jc w:val="both"/>
        <w:rPr>
          <w:rFonts w:ascii="Times New Roman" w:hAnsi="Times New Roman"/>
          <w:noProof/>
          <w:sz w:val="28"/>
          <w:szCs w:val="40"/>
        </w:rPr>
      </w:pPr>
      <w:bookmarkStart w:id="4" w:name="_Toc73461224"/>
      <w:r w:rsidRPr="009A0F40">
        <w:rPr>
          <w:rFonts w:ascii="Times New Roman" w:hAnsi="Times New Roman"/>
          <w:sz w:val="28"/>
          <w:szCs w:val="40"/>
        </w:rPr>
        <w:t>1. Ceturkšņa kontu sistēmas pārskats</w:t>
      </w:r>
      <w:bookmarkStart w:id="5" w:name="_bookmark2"/>
      <w:bookmarkEnd w:id="4"/>
      <w:bookmarkEnd w:id="5"/>
    </w:p>
    <w:p w14:paraId="3AB7C78A" w14:textId="3879273F" w:rsidR="001F0ECB" w:rsidRPr="00B36A7E" w:rsidRDefault="001F0ECB" w:rsidP="00B36A7E">
      <w:pPr>
        <w:pStyle w:val="BodyText"/>
        <w:spacing w:before="0"/>
        <w:ind w:left="0"/>
        <w:rPr>
          <w:rFonts w:ascii="Times New Roman" w:hAnsi="Times New Roman" w:cs="Times New Roman"/>
          <w:noProof/>
        </w:rPr>
      </w:pPr>
    </w:p>
    <w:p w14:paraId="1AE37C06" w14:textId="77777777" w:rsidR="00B36A7E" w:rsidRPr="00B36A7E" w:rsidRDefault="00B36A7E" w:rsidP="00B36A7E">
      <w:pPr>
        <w:pStyle w:val="BodyText"/>
        <w:spacing w:before="0"/>
        <w:ind w:left="0"/>
        <w:rPr>
          <w:rFonts w:ascii="Times New Roman" w:hAnsi="Times New Roman" w:cs="Times New Roman"/>
          <w:noProof/>
        </w:rPr>
      </w:pPr>
    </w:p>
    <w:p w14:paraId="2E397351" w14:textId="77777777" w:rsidR="002672AA" w:rsidRPr="001F0ECB" w:rsidRDefault="001F0ECB" w:rsidP="001F0ECB">
      <w:pPr>
        <w:pStyle w:val="Heading2"/>
        <w:tabs>
          <w:tab w:val="left" w:pos="1181"/>
        </w:tabs>
        <w:ind w:left="0" w:firstLine="0"/>
        <w:jc w:val="both"/>
        <w:rPr>
          <w:rFonts w:ascii="Times New Roman" w:hAnsi="Times New Roman"/>
          <w:noProof/>
          <w:sz w:val="24"/>
        </w:rPr>
      </w:pPr>
      <w:bookmarkStart w:id="6" w:name="_Toc73461225"/>
      <w:r>
        <w:rPr>
          <w:rFonts w:ascii="Times New Roman" w:hAnsi="Times New Roman"/>
          <w:sz w:val="24"/>
        </w:rPr>
        <w:t>1.1. Organizācija un institucionālā sistēma</w:t>
      </w:r>
      <w:bookmarkStart w:id="7" w:name="_bookmark3"/>
      <w:bookmarkEnd w:id="6"/>
      <w:bookmarkEnd w:id="7"/>
    </w:p>
    <w:p w14:paraId="6D09B281" w14:textId="77777777" w:rsidR="001F0ECB" w:rsidRPr="001F0ECB" w:rsidRDefault="001F0ECB" w:rsidP="00975B5E">
      <w:pPr>
        <w:pStyle w:val="BodyText"/>
        <w:spacing w:before="0"/>
        <w:ind w:left="0"/>
        <w:jc w:val="both"/>
        <w:rPr>
          <w:rFonts w:ascii="Times New Roman" w:hAnsi="Times New Roman"/>
          <w:noProof/>
        </w:rPr>
      </w:pPr>
    </w:p>
    <w:p w14:paraId="2811F50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nacionālos kontus Latvijā apkopo Centrālā statistikas pārvalde (CSP).</w:t>
      </w:r>
    </w:p>
    <w:p w14:paraId="53F1D240" w14:textId="77777777" w:rsidR="001F0ECB" w:rsidRPr="001F0ECB" w:rsidRDefault="001F0ECB" w:rsidP="00975B5E">
      <w:pPr>
        <w:pStyle w:val="BodyText"/>
        <w:spacing w:before="0"/>
        <w:ind w:left="0"/>
        <w:jc w:val="both"/>
        <w:rPr>
          <w:rFonts w:ascii="Times New Roman" w:hAnsi="Times New Roman"/>
          <w:noProof/>
        </w:rPr>
      </w:pPr>
    </w:p>
    <w:p w14:paraId="7F1BD0B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Latvijas Republikas tiesību aktiem, Ministru kabineta noteikumiem un Centrālās statistikas pārvaldes noteikumiem CSP ir tiešās pārvaldes iestāde, kura darbojas Ekonomikas ministrijas pārraudzībā un ir galvenā statistikas darbu veicēja un koordinatore valstī. CSP ir atbildīga par valsts statistikas darba organizāciju un par to datu autentiskumu, kurus tā ieguvusi, apkopojot no respondentiem saņemto informāciju.</w:t>
      </w:r>
    </w:p>
    <w:p w14:paraId="6923EDA6" w14:textId="77777777" w:rsidR="001F0ECB" w:rsidRPr="001F0ECB" w:rsidRDefault="001F0ECB" w:rsidP="00975B5E">
      <w:pPr>
        <w:pStyle w:val="BodyText"/>
        <w:spacing w:before="0"/>
        <w:ind w:left="0"/>
        <w:jc w:val="both"/>
        <w:rPr>
          <w:rFonts w:ascii="Times New Roman" w:hAnsi="Times New Roman"/>
          <w:noProof/>
        </w:rPr>
      </w:pPr>
    </w:p>
    <w:p w14:paraId="2260F76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CSP vispārējais mērķis (misija) ir nodrošināt statistiskās informācijas lietotājus ar neatkarīgu augstas kvalitātes oficiālo statistiku lēmumu pieņemšanai, pētniecībai un diskusijām.</w:t>
      </w:r>
    </w:p>
    <w:p w14:paraId="7D004584" w14:textId="77777777" w:rsidR="001F0ECB" w:rsidRPr="001F0ECB" w:rsidRDefault="001F0ECB" w:rsidP="00975B5E">
      <w:pPr>
        <w:pStyle w:val="BodyText"/>
        <w:spacing w:before="0"/>
        <w:ind w:left="0"/>
        <w:jc w:val="both"/>
        <w:rPr>
          <w:rFonts w:ascii="Times New Roman" w:hAnsi="Times New Roman"/>
          <w:noProof/>
        </w:rPr>
      </w:pPr>
    </w:p>
    <w:p w14:paraId="0E77D90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CSP ir šādi galvenie uzdevumi:</w:t>
      </w:r>
    </w:p>
    <w:p w14:paraId="26CCE58A" w14:textId="77777777" w:rsidR="001F0ECB" w:rsidRPr="001F0ECB" w:rsidRDefault="001F0ECB" w:rsidP="00975B5E">
      <w:pPr>
        <w:pStyle w:val="BodyText"/>
        <w:spacing w:before="0"/>
        <w:ind w:left="0"/>
        <w:jc w:val="both"/>
        <w:rPr>
          <w:rFonts w:ascii="Times New Roman" w:hAnsi="Times New Roman"/>
          <w:noProof/>
        </w:rPr>
      </w:pPr>
    </w:p>
    <w:p w14:paraId="1D8EA15F" w14:textId="77777777" w:rsidR="002672AA" w:rsidRPr="001F0ECB" w:rsidRDefault="002672AA" w:rsidP="001F0ECB">
      <w:pPr>
        <w:pStyle w:val="BodyText"/>
        <w:numPr>
          <w:ilvl w:val="0"/>
          <w:numId w:val="19"/>
        </w:numPr>
        <w:spacing w:before="0"/>
        <w:ind w:left="709" w:hanging="425"/>
        <w:jc w:val="both"/>
        <w:rPr>
          <w:rFonts w:ascii="Times New Roman" w:hAnsi="Times New Roman"/>
          <w:noProof/>
        </w:rPr>
      </w:pPr>
      <w:r>
        <w:rPr>
          <w:rFonts w:ascii="Times New Roman" w:hAnsi="Times New Roman"/>
        </w:rPr>
        <w:t>nodrošināt statistisko procesu pārredzamību un paaugstināt sabiedrības sapratnes līmeni par statistiskajiem datiem, to iegūšanas principiem un izmantošanas iespējām;</w:t>
      </w:r>
    </w:p>
    <w:p w14:paraId="03D182DF" w14:textId="77777777" w:rsidR="002672AA" w:rsidRPr="001F0ECB" w:rsidRDefault="002672AA" w:rsidP="001F0ECB">
      <w:pPr>
        <w:pStyle w:val="BodyText"/>
        <w:numPr>
          <w:ilvl w:val="0"/>
          <w:numId w:val="19"/>
        </w:numPr>
        <w:spacing w:before="0"/>
        <w:ind w:left="709" w:hanging="425"/>
        <w:jc w:val="both"/>
        <w:rPr>
          <w:rFonts w:ascii="Times New Roman" w:hAnsi="Times New Roman"/>
          <w:noProof/>
        </w:rPr>
      </w:pPr>
      <w:r>
        <w:rPr>
          <w:rFonts w:ascii="Times New Roman" w:hAnsi="Times New Roman"/>
        </w:rPr>
        <w:t>uzlabot nepieciešamo statistisko datu iegūšanas un izmantošanas iespējas visām informācijas lietotāju grupām: centrālās valdības sektoram, uzņēmējiem, akadēmiskajam un pētniecības personālam, kā arī citiem interesentiem;</w:t>
      </w:r>
    </w:p>
    <w:p w14:paraId="179651D2" w14:textId="77777777" w:rsidR="002672AA" w:rsidRPr="001F0ECB" w:rsidRDefault="002672AA" w:rsidP="001F0ECB">
      <w:pPr>
        <w:pStyle w:val="BodyText"/>
        <w:numPr>
          <w:ilvl w:val="0"/>
          <w:numId w:val="19"/>
        </w:numPr>
        <w:spacing w:before="0"/>
        <w:ind w:left="709" w:hanging="425"/>
        <w:jc w:val="both"/>
        <w:rPr>
          <w:rFonts w:ascii="Times New Roman" w:hAnsi="Times New Roman"/>
          <w:noProof/>
        </w:rPr>
      </w:pPr>
      <w:r>
        <w:rPr>
          <w:rFonts w:ascii="Times New Roman" w:hAnsi="Times New Roman"/>
        </w:rPr>
        <w:t>pilnveidot statistisko datu iegūšanas procesu, lai paaugstinātu saņemtās informācijas kvalitāti un samazinātu respondentu noslodzi;</w:t>
      </w:r>
    </w:p>
    <w:p w14:paraId="7CCDB097" w14:textId="77777777" w:rsidR="002672AA" w:rsidRPr="001F0ECB" w:rsidRDefault="002672AA" w:rsidP="001F0ECB">
      <w:pPr>
        <w:pStyle w:val="BodyText"/>
        <w:numPr>
          <w:ilvl w:val="0"/>
          <w:numId w:val="19"/>
        </w:numPr>
        <w:spacing w:before="0"/>
        <w:ind w:left="709" w:hanging="425"/>
        <w:jc w:val="both"/>
        <w:rPr>
          <w:rFonts w:ascii="Times New Roman" w:hAnsi="Times New Roman"/>
          <w:noProof/>
        </w:rPr>
      </w:pPr>
      <w:r>
        <w:rPr>
          <w:rFonts w:ascii="Times New Roman" w:hAnsi="Times New Roman"/>
        </w:rPr>
        <w:t>ieviest vispārējo kvalitātes vadības sistēmu – identificēt statistiskos un organizatoriskos procesus un izstrādāt to aprakstus atbilstoši kvalitātes vadības sistēmas prasībām.</w:t>
      </w:r>
    </w:p>
    <w:p w14:paraId="79FC7FBF" w14:textId="77777777" w:rsidR="001F0ECB" w:rsidRPr="001F0ECB" w:rsidRDefault="001F0ECB" w:rsidP="00975B5E">
      <w:pPr>
        <w:pStyle w:val="BodyText"/>
        <w:spacing w:before="0"/>
        <w:ind w:left="0"/>
        <w:jc w:val="both"/>
        <w:rPr>
          <w:rFonts w:ascii="Times New Roman" w:hAnsi="Times New Roman"/>
          <w:noProof/>
        </w:rPr>
      </w:pPr>
    </w:p>
    <w:p w14:paraId="66BDBBFE" w14:textId="37998C01"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Pamatdokuments, kas reglamentē CSP oficiālo statistiku un darbību, ir </w:t>
      </w:r>
      <w:hyperlink r:id="rId11" w:history="1">
        <w:r w:rsidRPr="00A64C49">
          <w:rPr>
            <w:rStyle w:val="Hyperlink"/>
            <w:rFonts w:ascii="Times New Roman" w:hAnsi="Times New Roman"/>
          </w:rPr>
          <w:t>Statistikas likums</w:t>
        </w:r>
      </w:hyperlink>
      <w:r>
        <w:rPr>
          <w:rFonts w:ascii="Times New Roman" w:hAnsi="Times New Roman"/>
        </w:rPr>
        <w:t xml:space="preserve"> (pieņemts Saeimā 2015. gada 4. jūnijā un stājies spēkā 2016. gada 1. janvārī) un ES regula.</w:t>
      </w:r>
    </w:p>
    <w:p w14:paraId="17E1F7FC" w14:textId="77777777" w:rsidR="001F0ECB" w:rsidRPr="001F0ECB" w:rsidRDefault="001F0ECB" w:rsidP="00975B5E">
      <w:pPr>
        <w:pStyle w:val="BodyText"/>
        <w:spacing w:before="0"/>
        <w:ind w:left="0"/>
        <w:jc w:val="both"/>
        <w:rPr>
          <w:rFonts w:ascii="Times New Roman" w:hAnsi="Times New Roman"/>
          <w:noProof/>
        </w:rPr>
      </w:pPr>
    </w:p>
    <w:p w14:paraId="52F349ED" w14:textId="681D6ADA"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CSP veic statistikas darbu saskaņā ar </w:t>
      </w:r>
      <w:hyperlink r:id="rId12" w:history="1">
        <w:r w:rsidRPr="00696932">
          <w:rPr>
            <w:rStyle w:val="Hyperlink"/>
            <w:rFonts w:ascii="Times New Roman" w:hAnsi="Times New Roman"/>
          </w:rPr>
          <w:t>Eiropas Statistikas prakses kodeksā</w:t>
        </w:r>
      </w:hyperlink>
      <w:r>
        <w:rPr>
          <w:rFonts w:ascii="Times New Roman" w:hAnsi="Times New Roman"/>
        </w:rPr>
        <w:t xml:space="preserve"> noteiktajiem principiem, no kuriem svarīgākie ir šādi:</w:t>
      </w:r>
    </w:p>
    <w:p w14:paraId="5A67D898" w14:textId="77777777" w:rsidR="001F0ECB" w:rsidRPr="001F0ECB" w:rsidRDefault="001F0ECB" w:rsidP="00975B5E">
      <w:pPr>
        <w:pStyle w:val="BodyText"/>
        <w:spacing w:before="0"/>
        <w:ind w:left="0"/>
        <w:jc w:val="both"/>
        <w:rPr>
          <w:rFonts w:ascii="Times New Roman" w:hAnsi="Times New Roman"/>
          <w:noProof/>
        </w:rPr>
      </w:pPr>
    </w:p>
    <w:p w14:paraId="5CED34B4" w14:textId="77777777" w:rsidR="002672AA" w:rsidRPr="001F0ECB" w:rsidRDefault="002672AA" w:rsidP="00F86897">
      <w:pPr>
        <w:pStyle w:val="BodyText"/>
        <w:numPr>
          <w:ilvl w:val="0"/>
          <w:numId w:val="19"/>
        </w:numPr>
        <w:spacing w:before="0"/>
        <w:ind w:left="709" w:hanging="425"/>
        <w:jc w:val="both"/>
        <w:rPr>
          <w:rFonts w:ascii="Times New Roman" w:hAnsi="Times New Roman"/>
          <w:noProof/>
        </w:rPr>
      </w:pPr>
      <w:r>
        <w:rPr>
          <w:rFonts w:ascii="Times New Roman" w:hAnsi="Times New Roman"/>
        </w:rPr>
        <w:t>profesionālā neatkarība;</w:t>
      </w:r>
    </w:p>
    <w:p w14:paraId="130BD667" w14:textId="77777777" w:rsidR="002672AA" w:rsidRPr="001F0ECB" w:rsidRDefault="002672AA" w:rsidP="00F86897">
      <w:pPr>
        <w:pStyle w:val="BodyText"/>
        <w:numPr>
          <w:ilvl w:val="0"/>
          <w:numId w:val="19"/>
        </w:numPr>
        <w:spacing w:before="0"/>
        <w:ind w:left="709" w:hanging="425"/>
        <w:jc w:val="both"/>
        <w:rPr>
          <w:rFonts w:ascii="Times New Roman" w:hAnsi="Times New Roman"/>
          <w:noProof/>
        </w:rPr>
      </w:pPr>
      <w:r>
        <w:rPr>
          <w:rFonts w:ascii="Times New Roman" w:hAnsi="Times New Roman"/>
        </w:rPr>
        <w:t>kvalitātes saistības un statistiskā konfidencialitāte;</w:t>
      </w:r>
    </w:p>
    <w:p w14:paraId="482CEE4E" w14:textId="77777777" w:rsidR="002672AA" w:rsidRPr="001F0ECB" w:rsidRDefault="002672AA" w:rsidP="00F86897">
      <w:pPr>
        <w:pStyle w:val="BodyText"/>
        <w:numPr>
          <w:ilvl w:val="0"/>
          <w:numId w:val="19"/>
        </w:numPr>
        <w:spacing w:before="0"/>
        <w:ind w:left="709" w:hanging="425"/>
        <w:jc w:val="both"/>
        <w:rPr>
          <w:rFonts w:ascii="Times New Roman" w:hAnsi="Times New Roman"/>
          <w:noProof/>
        </w:rPr>
      </w:pPr>
      <w:r>
        <w:rPr>
          <w:rFonts w:ascii="Times New Roman" w:hAnsi="Times New Roman"/>
        </w:rPr>
        <w:t>pamatota metodoloģija;</w:t>
      </w:r>
    </w:p>
    <w:p w14:paraId="7EBF0BB6" w14:textId="77777777" w:rsidR="002672AA" w:rsidRPr="001F0ECB" w:rsidRDefault="002672AA" w:rsidP="00F86897">
      <w:pPr>
        <w:pStyle w:val="BodyText"/>
        <w:numPr>
          <w:ilvl w:val="0"/>
          <w:numId w:val="19"/>
        </w:numPr>
        <w:spacing w:before="0"/>
        <w:ind w:left="709" w:hanging="425"/>
        <w:jc w:val="both"/>
        <w:rPr>
          <w:rFonts w:ascii="Times New Roman" w:hAnsi="Times New Roman"/>
          <w:noProof/>
        </w:rPr>
      </w:pPr>
      <w:r>
        <w:rPr>
          <w:rFonts w:ascii="Times New Roman" w:hAnsi="Times New Roman"/>
        </w:rPr>
        <w:t>pārmērīga sloga neradīšana respondentiem;</w:t>
      </w:r>
    </w:p>
    <w:p w14:paraId="02313C1B" w14:textId="77777777" w:rsidR="002672AA" w:rsidRPr="001F0ECB" w:rsidRDefault="002672AA" w:rsidP="00F86897">
      <w:pPr>
        <w:pStyle w:val="BodyText"/>
        <w:numPr>
          <w:ilvl w:val="0"/>
          <w:numId w:val="19"/>
        </w:numPr>
        <w:spacing w:before="0"/>
        <w:ind w:left="709" w:hanging="425"/>
        <w:jc w:val="both"/>
        <w:rPr>
          <w:rFonts w:ascii="Times New Roman" w:hAnsi="Times New Roman"/>
          <w:noProof/>
        </w:rPr>
      </w:pPr>
      <w:r>
        <w:rPr>
          <w:rFonts w:ascii="Times New Roman" w:hAnsi="Times New Roman"/>
        </w:rPr>
        <w:t>savlaicīgums un punktualitāte;</w:t>
      </w:r>
    </w:p>
    <w:p w14:paraId="35DB9C5E" w14:textId="77777777" w:rsidR="002672AA" w:rsidRPr="001F0ECB" w:rsidRDefault="002672AA" w:rsidP="00F86897">
      <w:pPr>
        <w:pStyle w:val="BodyText"/>
        <w:numPr>
          <w:ilvl w:val="0"/>
          <w:numId w:val="19"/>
        </w:numPr>
        <w:spacing w:before="0"/>
        <w:ind w:left="709" w:hanging="425"/>
        <w:jc w:val="both"/>
        <w:rPr>
          <w:rFonts w:ascii="Times New Roman" w:hAnsi="Times New Roman"/>
          <w:noProof/>
        </w:rPr>
      </w:pPr>
      <w:r>
        <w:rPr>
          <w:rFonts w:ascii="Times New Roman" w:hAnsi="Times New Roman"/>
        </w:rPr>
        <w:t>pieejamība un skaidrība.</w:t>
      </w:r>
    </w:p>
    <w:p w14:paraId="450AA3B5" w14:textId="77777777" w:rsidR="00975B5E" w:rsidRPr="001F0ECB" w:rsidRDefault="00975B5E" w:rsidP="00975B5E">
      <w:pPr>
        <w:jc w:val="both"/>
        <w:rPr>
          <w:rFonts w:ascii="Times New Roman" w:hAnsi="Times New Roman"/>
          <w:noProof/>
          <w:sz w:val="24"/>
        </w:rPr>
      </w:pPr>
    </w:p>
    <w:p w14:paraId="4437344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nacionālos kontus galvenokārt sagatavo Makroekonomiskās statistikas departamenta Ceturkšņa nacionālo kontu daļa. Valdības sektora datus apkopo tā paša departamenta Valsts finanšu daļa. CNK tiek apkopoti, ievērojot Eiropas nacionālo un reģionālo kontu sistēmu Eiropas Savienībā (EKS 2010), kā noteikts Eiropas Parlamenta un Padomes 2013. gada 21. maija Regulā (ES) Nr. 549/2013.</w:t>
      </w:r>
    </w:p>
    <w:p w14:paraId="14DCE28E" w14:textId="77777777" w:rsidR="002672AA" w:rsidRDefault="002672AA" w:rsidP="00975B5E">
      <w:pPr>
        <w:jc w:val="both"/>
        <w:rPr>
          <w:rFonts w:ascii="Times New Roman" w:eastAsia="Calibri" w:hAnsi="Times New Roman" w:cs="Calibri"/>
          <w:noProof/>
          <w:sz w:val="24"/>
          <w:szCs w:val="23"/>
        </w:rPr>
      </w:pPr>
    </w:p>
    <w:p w14:paraId="78EC30DB" w14:textId="77777777" w:rsidR="00F86897" w:rsidRPr="001F0ECB" w:rsidRDefault="00F86897" w:rsidP="00975B5E">
      <w:pPr>
        <w:jc w:val="both"/>
        <w:rPr>
          <w:rFonts w:ascii="Times New Roman" w:eastAsia="Calibri" w:hAnsi="Times New Roman" w:cs="Calibri"/>
          <w:noProof/>
          <w:sz w:val="24"/>
          <w:szCs w:val="23"/>
        </w:rPr>
      </w:pPr>
    </w:p>
    <w:p w14:paraId="181B4882" w14:textId="77777777" w:rsidR="002672AA" w:rsidRPr="001F0ECB" w:rsidRDefault="00F86897" w:rsidP="00F86897">
      <w:pPr>
        <w:pStyle w:val="Heading2"/>
        <w:tabs>
          <w:tab w:val="left" w:pos="1181"/>
        </w:tabs>
        <w:ind w:left="0" w:firstLine="0"/>
        <w:jc w:val="both"/>
        <w:rPr>
          <w:rFonts w:ascii="Times New Roman" w:hAnsi="Times New Roman"/>
          <w:noProof/>
          <w:sz w:val="24"/>
        </w:rPr>
      </w:pPr>
      <w:bookmarkStart w:id="8" w:name="_Toc73461226"/>
      <w:r>
        <w:rPr>
          <w:rFonts w:ascii="Times New Roman" w:hAnsi="Times New Roman"/>
          <w:sz w:val="24"/>
        </w:rPr>
        <w:lastRenderedPageBreak/>
        <w:t>1.2. Publicēšanas grafiks, revīzijas politika un CNK izplatīšana</w:t>
      </w:r>
      <w:bookmarkStart w:id="9" w:name="_bookmark4"/>
      <w:bookmarkEnd w:id="8"/>
      <w:bookmarkEnd w:id="9"/>
    </w:p>
    <w:p w14:paraId="69B95BF2" w14:textId="77777777" w:rsidR="00F86897" w:rsidRDefault="00F86897" w:rsidP="00975B5E">
      <w:pPr>
        <w:pStyle w:val="BodyText"/>
        <w:spacing w:before="0"/>
        <w:ind w:left="0"/>
        <w:jc w:val="both"/>
        <w:rPr>
          <w:rFonts w:ascii="Times New Roman" w:hAnsi="Times New Roman"/>
          <w:noProof/>
        </w:rPr>
      </w:pPr>
    </w:p>
    <w:p w14:paraId="0709400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Pirmo IKP novērtējumu publicē kā ātro novērtējumu ne vēlāk kā mēnesi pēc pārskata ceturkšņa beigām. Šajā laikā IKP tiek aprēķināts tikai attiecībā uz kopējo ekonomiku apjoma izteiksmē un publicēts tikai preses relīzē.</w:t>
      </w:r>
    </w:p>
    <w:p w14:paraId="08E9788D" w14:textId="77777777" w:rsidR="00F86897" w:rsidRDefault="00F86897" w:rsidP="00975B5E">
      <w:pPr>
        <w:pStyle w:val="BodyText"/>
        <w:spacing w:before="0"/>
        <w:ind w:left="0"/>
        <w:jc w:val="both"/>
        <w:rPr>
          <w:rFonts w:ascii="Times New Roman" w:hAnsi="Times New Roman"/>
          <w:noProof/>
        </w:rPr>
      </w:pPr>
    </w:p>
    <w:p w14:paraId="7FC27B4E" w14:textId="6B9EDE58"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IKP rezultāti, kas aprēķināti saskaņā ar ražošanas, izdevumu un ienākumu pieeju, tiek publicēti divus mēnešus pēc ceturkšņa preses relīzē un vienlaikus </w:t>
      </w:r>
      <w:r w:rsidR="00AF0127">
        <w:rPr>
          <w:rFonts w:ascii="Times New Roman" w:hAnsi="Times New Roman"/>
        </w:rPr>
        <w:t>Oficiālās statistikas portāla</w:t>
      </w:r>
      <w:r>
        <w:rPr>
          <w:rFonts w:ascii="Times New Roman" w:hAnsi="Times New Roman"/>
        </w:rPr>
        <w:t xml:space="preserve"> tīmekļa vietnes datubāzē </w:t>
      </w:r>
      <w:hyperlink r:id="rId13" w:history="1">
        <w:r w:rsidR="003C3DAE" w:rsidRPr="00A420E0">
          <w:rPr>
            <w:rStyle w:val="Hyperlink"/>
            <w:rFonts w:ascii="Times New Roman" w:hAnsi="Times New Roman"/>
          </w:rPr>
          <w:t>https://stat.gov.lv/lv/statistikas-temas/valsts-ekonomika/ikp-istermina</w:t>
        </w:r>
      </w:hyperlink>
      <w:r w:rsidR="003C3DAE">
        <w:rPr>
          <w:rFonts w:ascii="Times New Roman" w:hAnsi="Times New Roman"/>
        </w:rPr>
        <w:t xml:space="preserve"> </w:t>
      </w:r>
      <w:r>
        <w:rPr>
          <w:rFonts w:ascii="Times New Roman" w:hAnsi="Times New Roman"/>
        </w:rPr>
        <w:t xml:space="preserve">plkst. 13.00 pēc vietējā laika. Dati </w:t>
      </w:r>
      <w:r>
        <w:rPr>
          <w:rFonts w:ascii="Times New Roman" w:hAnsi="Times New Roman"/>
          <w:i/>
          <w:iCs/>
        </w:rPr>
        <w:t>Eurostat</w:t>
      </w:r>
      <w:r>
        <w:rPr>
          <w:rFonts w:ascii="Times New Roman" w:hAnsi="Times New Roman"/>
        </w:rPr>
        <w:t xml:space="preserve"> tiek nosūtīti EKS 2010 Datu nosūtīšanas programmā (DNP) noteiktajos termiņos.</w:t>
      </w:r>
    </w:p>
    <w:p w14:paraId="6301677B" w14:textId="77777777" w:rsidR="00F86897" w:rsidRPr="001F0ECB" w:rsidRDefault="00F86897" w:rsidP="00975B5E">
      <w:pPr>
        <w:pStyle w:val="BodyText"/>
        <w:spacing w:before="0"/>
        <w:ind w:left="0"/>
        <w:jc w:val="both"/>
        <w:rPr>
          <w:rFonts w:ascii="Times New Roman" w:hAnsi="Times New Roman"/>
          <w:noProof/>
        </w:rPr>
      </w:pPr>
    </w:p>
    <w:p w14:paraId="47EBB52C"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Ceturkšņa nefinanšu konti pa sektoriem (DNP 801Q. tabula) tiek publicēti CSP datubāzē un nosūtīti </w:t>
      </w:r>
      <w:r>
        <w:rPr>
          <w:rFonts w:ascii="Times New Roman" w:hAnsi="Times New Roman"/>
          <w:i/>
          <w:iCs/>
        </w:rPr>
        <w:t>Eurostat</w:t>
      </w:r>
      <w:r>
        <w:rPr>
          <w:rFonts w:ascii="Times New Roman" w:hAnsi="Times New Roman"/>
        </w:rPr>
        <w:t xml:space="preserve"> ne vēlāk kā 85 dienas pēc pārskata perioda beigām.</w:t>
      </w:r>
    </w:p>
    <w:p w14:paraId="38922A82" w14:textId="77777777" w:rsidR="00F86897" w:rsidRPr="001F0ECB" w:rsidRDefault="00F86897" w:rsidP="00975B5E">
      <w:pPr>
        <w:pStyle w:val="BodyText"/>
        <w:spacing w:before="0"/>
        <w:ind w:left="0"/>
        <w:jc w:val="both"/>
        <w:rPr>
          <w:rFonts w:ascii="Times New Roman" w:hAnsi="Times New Roman"/>
          <w:noProof/>
        </w:rPr>
      </w:pPr>
    </w:p>
    <w:p w14:paraId="5A7588AE" w14:textId="21BE7663" w:rsidR="002672AA" w:rsidRDefault="002672AA" w:rsidP="00975B5E">
      <w:pPr>
        <w:pStyle w:val="BodyText"/>
        <w:spacing w:before="0"/>
        <w:ind w:left="0"/>
        <w:jc w:val="both"/>
        <w:rPr>
          <w:rFonts w:ascii="Times New Roman" w:hAnsi="Times New Roman"/>
          <w:noProof/>
        </w:rPr>
      </w:pPr>
      <w:r>
        <w:rPr>
          <w:rFonts w:ascii="Times New Roman" w:hAnsi="Times New Roman"/>
        </w:rPr>
        <w:t>CNK datu revīzijas tiek veiktas saskaņā ar CSP Revīzijas politikas pamatnostādnēm:</w:t>
      </w:r>
      <w:r w:rsidR="009C38E4" w:rsidRPr="009C38E4">
        <w:rPr>
          <w:rFonts w:ascii="Times New Roman" w:hAnsi="Times New Roman" w:cs="Times New Roman"/>
        </w:rPr>
        <w:t xml:space="preserve"> </w:t>
      </w:r>
      <w:hyperlink r:id="rId14" w:history="1">
        <w:r w:rsidR="009C38E4" w:rsidRPr="00E2485C">
          <w:rPr>
            <w:rStyle w:val="Hyperlink"/>
            <w:rFonts w:ascii="Times New Roman" w:hAnsi="Times New Roman" w:cs="Times New Roman"/>
          </w:rPr>
          <w:t>https://stat.gov.lv/sites/default/files/revizijas_politika_LV.pdf</w:t>
        </w:r>
      </w:hyperlink>
    </w:p>
    <w:p w14:paraId="6A0951AD" w14:textId="77777777" w:rsidR="00F86897" w:rsidRPr="001F0ECB" w:rsidRDefault="00F86897" w:rsidP="00975B5E">
      <w:pPr>
        <w:pStyle w:val="BodyText"/>
        <w:spacing w:before="0"/>
        <w:ind w:left="0"/>
        <w:jc w:val="both"/>
        <w:rPr>
          <w:rFonts w:ascii="Times New Roman" w:hAnsi="Times New Roman"/>
          <w:noProof/>
        </w:rPr>
      </w:pPr>
    </w:p>
    <w:p w14:paraId="028F4B3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Pirmais gada IKP novērtējums tiek publicēts kā ceturkšņu datu summa kopā ar kārtējā gada ceturtā ceturkšņa publikāciju.</w:t>
      </w:r>
    </w:p>
    <w:p w14:paraId="4E455000" w14:textId="77777777" w:rsidR="00F86897" w:rsidRDefault="00F86897" w:rsidP="00975B5E">
      <w:pPr>
        <w:pStyle w:val="BodyText"/>
        <w:spacing w:before="0"/>
        <w:ind w:left="0"/>
        <w:jc w:val="both"/>
        <w:rPr>
          <w:rFonts w:ascii="Times New Roman" w:hAnsi="Times New Roman"/>
          <w:noProof/>
        </w:rPr>
      </w:pPr>
    </w:p>
    <w:p w14:paraId="541AF3B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Vispārējās valdības statistika – gada laikā datus pirmo reizi revidē, kad tiek aprēķināti dati par ceturto ceturksni, un tiek sagatavoti provizoriskie gada dati </w:t>
      </w:r>
      <w:r>
        <w:rPr>
          <w:rFonts w:ascii="Times New Roman" w:hAnsi="Times New Roman"/>
          <w:i/>
          <w:iCs/>
        </w:rPr>
        <w:t>EDP</w:t>
      </w:r>
      <w:r>
        <w:rPr>
          <w:rFonts w:ascii="Times New Roman" w:hAnsi="Times New Roman"/>
        </w:rPr>
        <w:t xml:space="preserve"> aprīļa notifikācijai. Otro revīziju veic saistībā ar galīgajiem gada datiem EKS 2010 DNP 2. tabulā un </w:t>
      </w:r>
      <w:r>
        <w:rPr>
          <w:rFonts w:ascii="Times New Roman" w:hAnsi="Times New Roman"/>
          <w:i/>
          <w:iCs/>
        </w:rPr>
        <w:t>EDP</w:t>
      </w:r>
      <w:r>
        <w:rPr>
          <w:rFonts w:ascii="Times New Roman" w:hAnsi="Times New Roman"/>
        </w:rPr>
        <w:t xml:space="preserve"> oktobra notifikācijā.</w:t>
      </w:r>
    </w:p>
    <w:p w14:paraId="290534B6" w14:textId="77777777" w:rsidR="002672AA" w:rsidRPr="001F0ECB" w:rsidRDefault="002672AA" w:rsidP="00975B5E">
      <w:pPr>
        <w:jc w:val="both"/>
        <w:rPr>
          <w:rFonts w:ascii="Times New Roman" w:eastAsia="Calibri" w:hAnsi="Times New Roman" w:cs="Calibri"/>
          <w:noProof/>
          <w:sz w:val="24"/>
          <w:szCs w:val="24"/>
        </w:rPr>
      </w:pPr>
    </w:p>
    <w:p w14:paraId="47C3F38C" w14:textId="77777777" w:rsidR="002672AA" w:rsidRPr="001F0ECB" w:rsidRDefault="002672AA" w:rsidP="00975B5E">
      <w:pPr>
        <w:jc w:val="both"/>
        <w:rPr>
          <w:rFonts w:ascii="Times New Roman" w:eastAsia="Calibri" w:hAnsi="Times New Roman" w:cs="Calibri"/>
          <w:noProof/>
          <w:sz w:val="24"/>
          <w:szCs w:val="23"/>
        </w:rPr>
      </w:pPr>
    </w:p>
    <w:p w14:paraId="43631C00" w14:textId="77777777" w:rsidR="002672AA" w:rsidRPr="001F0ECB" w:rsidRDefault="00F86897" w:rsidP="00F86897">
      <w:pPr>
        <w:pStyle w:val="Heading2"/>
        <w:tabs>
          <w:tab w:val="left" w:pos="1181"/>
        </w:tabs>
        <w:ind w:left="0" w:firstLine="0"/>
        <w:jc w:val="both"/>
        <w:rPr>
          <w:rFonts w:ascii="Times New Roman" w:hAnsi="Times New Roman"/>
          <w:noProof/>
          <w:sz w:val="24"/>
        </w:rPr>
      </w:pPr>
      <w:bookmarkStart w:id="10" w:name="_Toc73461227"/>
      <w:r>
        <w:rPr>
          <w:rFonts w:ascii="Times New Roman" w:hAnsi="Times New Roman"/>
          <w:sz w:val="24"/>
        </w:rPr>
        <w:t>1.3. CNK apkopošanas pieeja</w:t>
      </w:r>
      <w:bookmarkStart w:id="11" w:name="_bookmark5"/>
      <w:bookmarkEnd w:id="10"/>
      <w:bookmarkEnd w:id="11"/>
    </w:p>
    <w:p w14:paraId="4C35F32E" w14:textId="77777777" w:rsidR="00F86897" w:rsidRDefault="00F86897" w:rsidP="00975B5E">
      <w:pPr>
        <w:pStyle w:val="BodyText"/>
        <w:spacing w:before="0"/>
        <w:ind w:left="0"/>
        <w:jc w:val="both"/>
        <w:rPr>
          <w:rFonts w:ascii="Times New Roman" w:hAnsi="Times New Roman"/>
          <w:noProof/>
        </w:rPr>
      </w:pPr>
    </w:p>
    <w:p w14:paraId="4CBF1AF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nacionālos kontus apkopo saskaņā ar Eiropas nacionālo un reģionālo kontu sistēmu Eiropas Savienībā (EKS 2010), kā noteikts Eiropas Parlamenta un Padomes 2013. gada 21. maija Regulā (ES) Nr. 549/2013.</w:t>
      </w:r>
    </w:p>
    <w:p w14:paraId="5A7ADEE8" w14:textId="77777777" w:rsidR="00F86897" w:rsidRDefault="00F86897" w:rsidP="00975B5E">
      <w:pPr>
        <w:pStyle w:val="BodyText"/>
        <w:spacing w:before="0"/>
        <w:ind w:left="0"/>
        <w:jc w:val="both"/>
        <w:rPr>
          <w:rFonts w:ascii="Times New Roman" w:hAnsi="Times New Roman"/>
          <w:noProof/>
        </w:rPr>
      </w:pPr>
    </w:p>
    <w:p w14:paraId="36C64E5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Iekšzemes kopprodukta ceturkšņa vērtējumu pamatā galvenokārt ir īstermiņa statistikas rādītāju sistēma.</w:t>
      </w:r>
    </w:p>
    <w:p w14:paraId="70B71958" w14:textId="77777777" w:rsidR="00F86897" w:rsidRDefault="00F86897" w:rsidP="00975B5E">
      <w:pPr>
        <w:pStyle w:val="BodyText"/>
        <w:spacing w:before="0"/>
        <w:ind w:left="0"/>
        <w:jc w:val="both"/>
        <w:rPr>
          <w:rFonts w:ascii="Times New Roman" w:hAnsi="Times New Roman"/>
          <w:noProof/>
        </w:rPr>
      </w:pPr>
    </w:p>
    <w:p w14:paraId="1E6FAF10" w14:textId="48589EAA" w:rsidR="002672AA" w:rsidRDefault="002672AA" w:rsidP="00975B5E">
      <w:pPr>
        <w:pStyle w:val="BodyText"/>
        <w:spacing w:before="0"/>
        <w:ind w:left="0"/>
        <w:jc w:val="both"/>
        <w:rPr>
          <w:rFonts w:ascii="Times New Roman" w:hAnsi="Times New Roman"/>
          <w:noProof/>
        </w:rPr>
      </w:pPr>
      <w:r>
        <w:rPr>
          <w:rFonts w:ascii="Times New Roman" w:hAnsi="Times New Roman"/>
        </w:rPr>
        <w:t>Latvijā ceturkšņa IKP aprēķinos galvenokārt izmanto netiešo metodi. Tas nozīmē, ka informācija no tiešajiem avotiem, piemēram, statistikas datiem no mēneša, ceturkšņa un pusgada statistikas ziņojumiem un administratīvu datu avotiem, tiek izmantota, lai ekstrapolētu iepriekšējā gada vērtības. Tiešo metodi izmanto nozīmīgai finanšu un apdrošināšanas darbību daļai (</w:t>
      </w:r>
      <w:r>
        <w:rPr>
          <w:rFonts w:ascii="Times New Roman" w:hAnsi="Times New Roman"/>
          <w:i/>
          <w:iCs/>
        </w:rPr>
        <w:t>NACE</w:t>
      </w:r>
      <w:r w:rsidR="00E07E81">
        <w:rPr>
          <w:rFonts w:ascii="Times New Roman" w:hAnsi="Times New Roman"/>
          <w:i/>
          <w:iCs/>
        </w:rPr>
        <w:t xml:space="preserve"> </w:t>
      </w:r>
      <w:r>
        <w:rPr>
          <w:rFonts w:ascii="Times New Roman" w:hAnsi="Times New Roman"/>
        </w:rPr>
        <w:t>2. red. K sadaļa), produktu nodokļiem un subsīdijām un vispārējās valdības sektora rādītāju aprēķināšanai saskaņā ar IKP ražošanas pieeju, vispārējās valdības izdevumiem un eksportam un importam saskaņā ar IKP izdevumu pieeju, kā arī ražošanas un importa nodokļiem un subsīdijām saskaņā ar IKP ienākumu pieeju.</w:t>
      </w:r>
    </w:p>
    <w:p w14:paraId="3D9BBEDF" w14:textId="77777777" w:rsidR="00F86897" w:rsidRPr="001F0ECB" w:rsidRDefault="00F86897" w:rsidP="00975B5E">
      <w:pPr>
        <w:pStyle w:val="BodyText"/>
        <w:spacing w:before="0"/>
        <w:ind w:left="0"/>
        <w:jc w:val="both"/>
        <w:rPr>
          <w:rFonts w:ascii="Times New Roman" w:hAnsi="Times New Roman"/>
          <w:noProof/>
        </w:rPr>
      </w:pPr>
    </w:p>
    <w:p w14:paraId="1AF6447C"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IKP ceturkšņa un gada vērtējumus iegūst, izmantojot izlaides (ražošanas), izdevumu un ienākumu pieeju. Ņemot vērā EKS 2010, IKP tirgus cenās saskaņā ar ražošanas pieeju (vadošo pieeju Latvijā) veido visu saimniecisko darbību bruto pievienotās vērtības summa, kurai pieskaitīti produktu nodokļi un no kuras atņemtas produktu subsīdijas.</w:t>
      </w:r>
    </w:p>
    <w:p w14:paraId="74AE09DB" w14:textId="77777777" w:rsidR="00F86897" w:rsidRPr="001F0ECB" w:rsidRDefault="00F86897" w:rsidP="00975B5E">
      <w:pPr>
        <w:pStyle w:val="BodyText"/>
        <w:spacing w:before="0"/>
        <w:ind w:left="0"/>
        <w:jc w:val="both"/>
        <w:rPr>
          <w:rFonts w:ascii="Times New Roman" w:hAnsi="Times New Roman"/>
          <w:noProof/>
        </w:rPr>
      </w:pPr>
    </w:p>
    <w:p w14:paraId="53BD1B5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Saskaņā ar izdevumu pieeju aprēķinātu IKP veido pircēju cenās izteiktu kopējo </w:t>
      </w:r>
      <w:r>
        <w:rPr>
          <w:rFonts w:ascii="Times New Roman" w:hAnsi="Times New Roman"/>
        </w:rPr>
        <w:lastRenderedPageBreak/>
        <w:t>galaizdevumu, bruto kapitāla veidošanas un preču un pakalpojumu eksporta summa, no kuras atņemts preču un pakalpojumu imports.</w:t>
      </w:r>
    </w:p>
    <w:p w14:paraId="18CE60A0" w14:textId="77777777" w:rsidR="00F86897" w:rsidRDefault="00F86897" w:rsidP="00975B5E">
      <w:pPr>
        <w:pStyle w:val="BodyText"/>
        <w:spacing w:before="0"/>
        <w:ind w:left="0"/>
        <w:jc w:val="both"/>
        <w:rPr>
          <w:rFonts w:ascii="Times New Roman" w:hAnsi="Times New Roman"/>
          <w:noProof/>
        </w:rPr>
      </w:pPr>
    </w:p>
    <w:p w14:paraId="405D9E4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ienākumu pieeju aprēķinātu IKP veido darbinieku atalgojuma, bruto darbības rezultāta un jauktā ienākuma un ražošanas un importa nodokļu summa, no kuras atņemtas subsīdijas. Bruto darbības rezultātu un jaukto ienākumu (B.2g + B.3g) iegūst kā atlikušo vērtību.</w:t>
      </w:r>
    </w:p>
    <w:p w14:paraId="628F21C7" w14:textId="77777777" w:rsidR="00F86897" w:rsidRDefault="00F86897" w:rsidP="00975B5E">
      <w:pPr>
        <w:pStyle w:val="BodyText"/>
        <w:spacing w:before="0"/>
        <w:ind w:left="0"/>
        <w:jc w:val="both"/>
        <w:rPr>
          <w:rFonts w:ascii="Times New Roman" w:hAnsi="Times New Roman"/>
          <w:noProof/>
        </w:rPr>
      </w:pPr>
    </w:p>
    <w:p w14:paraId="280FAA6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Latvijā dati par izlaidi kopumā ir ticamāki nekā dati par izlietojumu – tas attiecas gan uz gada, gan ceturkšņa nacionālajiem kontiem. Tāpēc IKP galvenokārt nosaka, izmantojot ražošanas pieeju nacionālajiem kontiem. Ražošanas un izdevumu pieejas savstarpējā statistiskā neatbilstība parādās izlietojuma pusē, un šī informācija tiek publicēta kopā ar datiem par krājumu pārmaiņām.</w:t>
      </w:r>
    </w:p>
    <w:p w14:paraId="7C092CD2" w14:textId="77777777" w:rsidR="002672AA" w:rsidRPr="001F0ECB" w:rsidRDefault="002672AA" w:rsidP="00975B5E">
      <w:pPr>
        <w:jc w:val="both"/>
        <w:rPr>
          <w:rFonts w:ascii="Times New Roman" w:eastAsia="Calibri" w:hAnsi="Times New Roman" w:cs="Calibri"/>
          <w:noProof/>
          <w:sz w:val="24"/>
          <w:szCs w:val="24"/>
        </w:rPr>
      </w:pPr>
    </w:p>
    <w:p w14:paraId="07097AB7" w14:textId="77777777" w:rsidR="002672AA" w:rsidRPr="001F0ECB" w:rsidRDefault="002672AA" w:rsidP="00975B5E">
      <w:pPr>
        <w:jc w:val="both"/>
        <w:rPr>
          <w:rFonts w:ascii="Times New Roman" w:eastAsia="Calibri" w:hAnsi="Times New Roman" w:cs="Calibri"/>
          <w:noProof/>
          <w:sz w:val="24"/>
          <w:szCs w:val="23"/>
        </w:rPr>
      </w:pPr>
    </w:p>
    <w:p w14:paraId="11B56CDD" w14:textId="77777777" w:rsidR="002672AA" w:rsidRPr="001F0ECB" w:rsidRDefault="00F86897" w:rsidP="00F86897">
      <w:pPr>
        <w:pStyle w:val="Heading2"/>
        <w:tabs>
          <w:tab w:val="left" w:pos="1181"/>
        </w:tabs>
        <w:ind w:left="0" w:firstLine="0"/>
        <w:jc w:val="both"/>
        <w:rPr>
          <w:rFonts w:ascii="Times New Roman" w:hAnsi="Times New Roman"/>
          <w:noProof/>
          <w:sz w:val="24"/>
        </w:rPr>
      </w:pPr>
      <w:bookmarkStart w:id="12" w:name="_Toc73461228"/>
      <w:r>
        <w:rPr>
          <w:rFonts w:ascii="Times New Roman" w:hAnsi="Times New Roman"/>
          <w:sz w:val="24"/>
        </w:rPr>
        <w:t>1.4. Līdzsvarošana, etalonpieskaņošana un citas saskaņošanas procedūras</w:t>
      </w:r>
      <w:bookmarkStart w:id="13" w:name="_bookmark6"/>
      <w:bookmarkEnd w:id="12"/>
      <w:bookmarkEnd w:id="13"/>
    </w:p>
    <w:p w14:paraId="781E1E78" w14:textId="77777777" w:rsidR="00F86897" w:rsidRDefault="00F86897" w:rsidP="00975B5E">
      <w:pPr>
        <w:pStyle w:val="BodyText"/>
        <w:spacing w:before="0"/>
        <w:ind w:left="0"/>
        <w:jc w:val="both"/>
        <w:rPr>
          <w:rFonts w:ascii="Times New Roman" w:hAnsi="Times New Roman"/>
          <w:noProof/>
        </w:rPr>
      </w:pPr>
    </w:p>
    <w:p w14:paraId="3683C6A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Līdzsvarošanas process ir neatņemama un būtiska tās metodoloģijas daļa, ko izmanto nacionālo kontu statistikas apkopošanai. Šajā procesā cenšas iespējami lietderīgāk izmantot daudzveidīgo informācijas klāstu, kas ir savākts un izmantots nacionālo kontu agregātu aprēķināšanai.</w:t>
      </w:r>
    </w:p>
    <w:p w14:paraId="78698FAB" w14:textId="77777777" w:rsidR="00F86897" w:rsidRDefault="00F86897" w:rsidP="00975B5E">
      <w:pPr>
        <w:pStyle w:val="BodyText"/>
        <w:spacing w:before="0"/>
        <w:ind w:left="0"/>
        <w:jc w:val="both"/>
        <w:rPr>
          <w:rFonts w:ascii="Times New Roman" w:hAnsi="Times New Roman"/>
          <w:noProof/>
        </w:rPr>
      </w:pPr>
    </w:p>
    <w:p w14:paraId="04B9958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Apkopošanas gaitā veic dažādu ražošanas un izdevumu pieejas datu avotu analītisko un loģisko pārbaudi, šķērspārbaudes un salīdzināšanu, lai nodrošinātu IKP komponenšu datu kvalitāti. Procesā tiek veikta aprēķinu sīka novērtēšana un saskaņošana attiecībā uz abām pieejām.</w:t>
      </w:r>
    </w:p>
    <w:p w14:paraId="5EA90512" w14:textId="77777777" w:rsidR="00F86897" w:rsidRDefault="00F86897" w:rsidP="00975B5E">
      <w:pPr>
        <w:pStyle w:val="BodyText"/>
        <w:spacing w:before="0"/>
        <w:ind w:left="0"/>
        <w:jc w:val="both"/>
        <w:rPr>
          <w:rFonts w:ascii="Times New Roman" w:hAnsi="Times New Roman"/>
          <w:noProof/>
        </w:rPr>
      </w:pPr>
    </w:p>
    <w:p w14:paraId="15347EE0"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Tā kā Latvijas IKP aprēķināšanā priekšroka tiek dota ražošanas pieejai, jo ir pieejami ticamāki datu avoti, neatbilstība, kas rodas novērtēšanas procesā, tiek ņemta vērā izdevumu pieejā un attiecināta uz krājumu pārmaiņām (P.52).</w:t>
      </w:r>
    </w:p>
    <w:p w14:paraId="19F40A1B" w14:textId="77777777" w:rsidR="00F86897" w:rsidRPr="001F0ECB" w:rsidRDefault="00F86897" w:rsidP="00975B5E">
      <w:pPr>
        <w:pStyle w:val="BodyText"/>
        <w:spacing w:before="0"/>
        <w:ind w:left="0"/>
        <w:jc w:val="both"/>
        <w:rPr>
          <w:rFonts w:ascii="Times New Roman" w:hAnsi="Times New Roman"/>
          <w:noProof/>
        </w:rPr>
      </w:pPr>
    </w:p>
    <w:p w14:paraId="4234602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Līdzsvarošanas procesā neizmanto ienākumu pieeju, jo nav ceturkšņa datu avotu par bruto darbības rezultātu un jaukto ienākumu (B.2g + B.3g), ko iegūst kā atlikušo vērtību starp IKP, kurš noteikts saskaņā ar ražošanas pieeju, un citām komponentēm, kuras noteiktas saskaņā ar ienākumu pieeju.</w:t>
      </w:r>
    </w:p>
    <w:p w14:paraId="6E59E121" w14:textId="77777777" w:rsidR="00F86897" w:rsidRDefault="00F86897" w:rsidP="00975B5E">
      <w:pPr>
        <w:pStyle w:val="BodyText"/>
        <w:spacing w:before="0"/>
        <w:ind w:left="0"/>
        <w:jc w:val="both"/>
        <w:rPr>
          <w:rFonts w:ascii="Times New Roman" w:hAnsi="Times New Roman"/>
          <w:noProof/>
        </w:rPr>
      </w:pPr>
    </w:p>
    <w:p w14:paraId="091E9FD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Pārskata gada četru ceturkšņu summa ir pirmais gada novērtējums. Etalonpieskaņošanu var uzskatīt par vispārēju pieeju gada datiem – dati tiek sadalīti pa ceturkšņiem. Lēmums par etalonpieskaņošanas metodes izvēli CNK tika balstīts uz faktu, ka GNK tiek sagatavoti, pamatojoties uz datu rindām, kas nav pieejamas ceturksnī. Četru ceturkšņu datus koriģē atbilstoši gada novērtējumiem, izmantojot etalonpieskaņošanas metodi, kuras pamatā ir Dentona-Šolē [</w:t>
      </w:r>
      <w:r>
        <w:rPr>
          <w:rFonts w:ascii="Times New Roman" w:hAnsi="Times New Roman"/>
          <w:i/>
        </w:rPr>
        <w:t>Denton-Cholette</w:t>
      </w:r>
      <w:r>
        <w:rPr>
          <w:rFonts w:ascii="Times New Roman" w:hAnsi="Times New Roman"/>
        </w:rPr>
        <w:t>] algoritms.</w:t>
      </w:r>
    </w:p>
    <w:p w14:paraId="76E67722" w14:textId="77777777" w:rsidR="00975B5E" w:rsidRPr="001F0ECB" w:rsidRDefault="00975B5E" w:rsidP="00975B5E">
      <w:pPr>
        <w:jc w:val="both"/>
        <w:rPr>
          <w:rFonts w:ascii="Times New Roman" w:hAnsi="Times New Roman"/>
          <w:noProof/>
          <w:sz w:val="24"/>
        </w:rPr>
      </w:pPr>
    </w:p>
    <w:p w14:paraId="02753B82" w14:textId="4080DBF1" w:rsidR="002672AA" w:rsidRPr="001F0ECB" w:rsidRDefault="00436DCC" w:rsidP="00975B5E">
      <w:pPr>
        <w:pStyle w:val="BodyText"/>
        <w:spacing w:before="0"/>
        <w:ind w:left="0"/>
        <w:jc w:val="both"/>
        <w:rPr>
          <w:rFonts w:ascii="Times New Roman" w:hAnsi="Times New Roman"/>
          <w:noProof/>
        </w:rPr>
      </w:pPr>
      <w:r>
        <w:rPr>
          <w:rFonts w:ascii="Times New Roman" w:hAnsi="Times New Roman"/>
        </w:rPr>
        <w:t>Atsauces</w:t>
      </w:r>
      <w:r w:rsidR="002672AA">
        <w:rPr>
          <w:rFonts w:ascii="Times New Roman" w:hAnsi="Times New Roman"/>
        </w:rPr>
        <w:t xml:space="preserve"> gada ceturkšņa nacionālo kontu četru ceturkšņu summa vienmēr ir vienāda ar visiem atbilstošajiem gada nacionālo kontu agregātiem.</w:t>
      </w:r>
    </w:p>
    <w:p w14:paraId="667889EB" w14:textId="77777777" w:rsidR="002672AA" w:rsidRPr="001F0ECB" w:rsidRDefault="002672AA" w:rsidP="00975B5E">
      <w:pPr>
        <w:jc w:val="both"/>
        <w:rPr>
          <w:rFonts w:ascii="Times New Roman" w:eastAsia="Calibri" w:hAnsi="Times New Roman" w:cs="Calibri"/>
          <w:noProof/>
          <w:sz w:val="24"/>
          <w:szCs w:val="24"/>
        </w:rPr>
      </w:pPr>
    </w:p>
    <w:p w14:paraId="394FF635" w14:textId="77777777" w:rsidR="002672AA" w:rsidRPr="001F0ECB" w:rsidRDefault="002672AA" w:rsidP="00975B5E">
      <w:pPr>
        <w:jc w:val="both"/>
        <w:rPr>
          <w:rFonts w:ascii="Times New Roman" w:eastAsia="Calibri" w:hAnsi="Times New Roman" w:cs="Calibri"/>
          <w:noProof/>
          <w:sz w:val="24"/>
          <w:szCs w:val="23"/>
        </w:rPr>
      </w:pPr>
    </w:p>
    <w:p w14:paraId="4BA52712" w14:textId="77777777" w:rsidR="002672AA" w:rsidRPr="001F0ECB" w:rsidRDefault="00F86897" w:rsidP="00F01571">
      <w:pPr>
        <w:pStyle w:val="Heading2"/>
        <w:keepNext/>
        <w:tabs>
          <w:tab w:val="left" w:pos="1181"/>
        </w:tabs>
        <w:ind w:left="0" w:firstLine="0"/>
        <w:jc w:val="both"/>
        <w:rPr>
          <w:rFonts w:ascii="Times New Roman" w:hAnsi="Times New Roman"/>
          <w:noProof/>
          <w:sz w:val="24"/>
        </w:rPr>
      </w:pPr>
      <w:bookmarkStart w:id="14" w:name="_Toc73461229"/>
      <w:r>
        <w:rPr>
          <w:rFonts w:ascii="Times New Roman" w:hAnsi="Times New Roman"/>
          <w:sz w:val="24"/>
        </w:rPr>
        <w:t>1.5. Apjoma novērtējumi</w:t>
      </w:r>
      <w:bookmarkStart w:id="15" w:name="_bookmark7"/>
      <w:bookmarkEnd w:id="14"/>
      <w:bookmarkEnd w:id="15"/>
    </w:p>
    <w:p w14:paraId="19D8B2E3" w14:textId="77777777" w:rsidR="00F86897" w:rsidRDefault="00F86897" w:rsidP="00F01571">
      <w:pPr>
        <w:pStyle w:val="BodyText"/>
        <w:keepNext/>
        <w:spacing w:before="0"/>
        <w:ind w:left="0"/>
        <w:jc w:val="both"/>
        <w:rPr>
          <w:rFonts w:ascii="Times New Roman" w:hAnsi="Times New Roman"/>
          <w:noProof/>
        </w:rPr>
      </w:pPr>
    </w:p>
    <w:p w14:paraId="29535DAC" w14:textId="77777777" w:rsidR="002672AA" w:rsidRPr="001F0ECB" w:rsidRDefault="002672AA" w:rsidP="00F01571">
      <w:pPr>
        <w:pStyle w:val="BodyText"/>
        <w:keepNext/>
        <w:spacing w:before="0"/>
        <w:ind w:left="0"/>
        <w:jc w:val="both"/>
        <w:rPr>
          <w:rFonts w:ascii="Times New Roman" w:hAnsi="Times New Roman"/>
          <w:noProof/>
        </w:rPr>
      </w:pPr>
      <w:r>
        <w:rPr>
          <w:rFonts w:ascii="Times New Roman" w:hAnsi="Times New Roman"/>
        </w:rPr>
        <w:t xml:space="preserve">Ceturkšņa IKP saskaņā ar ražošanas un izdevumu pieeju tiek novērtēts gan faktiskajās cenās, gan apjoma izteiksmē. IKP, ko nosaka saskaņā ar ienākumu metodi, tiek aprēķināts tikai </w:t>
      </w:r>
      <w:r>
        <w:rPr>
          <w:rFonts w:ascii="Times New Roman" w:hAnsi="Times New Roman"/>
        </w:rPr>
        <w:lastRenderedPageBreak/>
        <w:t>faktiskajās cenās.</w:t>
      </w:r>
    </w:p>
    <w:p w14:paraId="7E3D5397" w14:textId="77777777" w:rsidR="00F86897" w:rsidRDefault="00F86897" w:rsidP="00975B5E">
      <w:pPr>
        <w:pStyle w:val="BodyText"/>
        <w:spacing w:before="0"/>
        <w:ind w:left="0"/>
        <w:jc w:val="both"/>
        <w:rPr>
          <w:rFonts w:ascii="Times New Roman" w:hAnsi="Times New Roman"/>
          <w:noProof/>
        </w:rPr>
      </w:pPr>
    </w:p>
    <w:p w14:paraId="11BCCC5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apjoma novērtējumos izmanto ķēdēšanas metodi. Ķēdēšanu veido, izmantojot gada pārklāšanās metodi – izmanto apjoma novērtējumus iepriekšējā gada vidējās cenās.</w:t>
      </w:r>
    </w:p>
    <w:p w14:paraId="12F791C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saskaņā ar ražošanas pieeju tiek novērtēts, izmantojot dažādus deflatorus – tie var būt gan apjoma indeksi, gan cenu indeksi. Tiek izmantoti RCI, PCI, BII, BPCI un daži citi indeksi.</w:t>
      </w:r>
    </w:p>
    <w:p w14:paraId="3E9F476B" w14:textId="77777777" w:rsidR="00F86897" w:rsidRDefault="00F86897" w:rsidP="00975B5E">
      <w:pPr>
        <w:pStyle w:val="BodyText"/>
        <w:spacing w:before="0"/>
        <w:ind w:left="0"/>
        <w:jc w:val="both"/>
        <w:rPr>
          <w:rFonts w:ascii="Times New Roman" w:hAnsi="Times New Roman"/>
          <w:noProof/>
        </w:rPr>
      </w:pPr>
    </w:p>
    <w:p w14:paraId="7F83B77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komponenšu vērtējumiem saskaņā ar izdevumu pieeju izmanto BII, PCI, BPCI, EVVI un ICI.</w:t>
      </w:r>
    </w:p>
    <w:p w14:paraId="7B219FF9" w14:textId="77777777" w:rsidR="002672AA" w:rsidRPr="001F0ECB" w:rsidRDefault="002672AA" w:rsidP="00975B5E">
      <w:pPr>
        <w:jc w:val="both"/>
        <w:rPr>
          <w:rFonts w:ascii="Times New Roman" w:eastAsia="Calibri" w:hAnsi="Times New Roman" w:cs="Calibri"/>
          <w:noProof/>
          <w:sz w:val="24"/>
          <w:szCs w:val="24"/>
        </w:rPr>
      </w:pPr>
    </w:p>
    <w:p w14:paraId="5403148F" w14:textId="77777777" w:rsidR="002672AA" w:rsidRPr="001F0ECB" w:rsidRDefault="002672AA" w:rsidP="00975B5E">
      <w:pPr>
        <w:jc w:val="both"/>
        <w:rPr>
          <w:rFonts w:ascii="Times New Roman" w:eastAsia="Calibri" w:hAnsi="Times New Roman" w:cs="Calibri"/>
          <w:noProof/>
          <w:sz w:val="24"/>
          <w:szCs w:val="26"/>
        </w:rPr>
      </w:pPr>
    </w:p>
    <w:p w14:paraId="15388A98" w14:textId="77777777" w:rsidR="002672AA" w:rsidRPr="001F0ECB" w:rsidRDefault="00F86897" w:rsidP="00F86897">
      <w:pPr>
        <w:pStyle w:val="Heading2"/>
        <w:tabs>
          <w:tab w:val="left" w:pos="1181"/>
        </w:tabs>
        <w:ind w:left="0" w:firstLine="0"/>
        <w:jc w:val="both"/>
        <w:rPr>
          <w:rFonts w:ascii="Times New Roman" w:hAnsi="Times New Roman"/>
          <w:noProof/>
          <w:sz w:val="24"/>
        </w:rPr>
      </w:pPr>
      <w:bookmarkStart w:id="16" w:name="_Toc73461230"/>
      <w:r>
        <w:rPr>
          <w:rFonts w:ascii="Times New Roman" w:hAnsi="Times New Roman"/>
          <w:sz w:val="24"/>
        </w:rPr>
        <w:t>1.6. Kalendārā un sezonālā koriģēšana</w:t>
      </w:r>
      <w:bookmarkStart w:id="17" w:name="_bookmark8"/>
      <w:bookmarkEnd w:id="16"/>
      <w:bookmarkEnd w:id="17"/>
    </w:p>
    <w:p w14:paraId="35299820" w14:textId="77777777" w:rsidR="00F86897" w:rsidRDefault="00F86897" w:rsidP="00975B5E">
      <w:pPr>
        <w:pStyle w:val="BodyText"/>
        <w:spacing w:before="0"/>
        <w:ind w:left="0"/>
        <w:jc w:val="both"/>
        <w:rPr>
          <w:rFonts w:ascii="Times New Roman" w:hAnsi="Times New Roman"/>
          <w:noProof/>
        </w:rPr>
      </w:pPr>
    </w:p>
    <w:p w14:paraId="17BDD23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Centrālā statistikas pārvalde izmanto uz modeļiem bāzētu sezonālās koriģēšanas procedūru </w:t>
      </w:r>
      <w:r>
        <w:rPr>
          <w:rFonts w:ascii="Times New Roman" w:hAnsi="Times New Roman"/>
          <w:i/>
        </w:rPr>
        <w:t>TRAMO/SEATS</w:t>
      </w:r>
      <w:r>
        <w:rPr>
          <w:rFonts w:ascii="Times New Roman" w:hAnsi="Times New Roman"/>
        </w:rPr>
        <w:t xml:space="preserve">, kas ieviesta programmā </w:t>
      </w:r>
      <w:r>
        <w:rPr>
          <w:rFonts w:ascii="Times New Roman" w:hAnsi="Times New Roman"/>
          <w:i/>
        </w:rPr>
        <w:t>JDemetra+</w:t>
      </w:r>
      <w:r>
        <w:rPr>
          <w:rFonts w:ascii="Times New Roman" w:hAnsi="Times New Roman"/>
        </w:rPr>
        <w:t xml:space="preserve"> (2.2.2. versija). </w:t>
      </w:r>
      <w:r>
        <w:rPr>
          <w:rFonts w:ascii="Times New Roman" w:hAnsi="Times New Roman"/>
          <w:i/>
        </w:rPr>
        <w:t>TRAMO/SEATS</w:t>
      </w:r>
      <w:r>
        <w:rPr>
          <w:rFonts w:ascii="Times New Roman" w:hAnsi="Times New Roman"/>
        </w:rPr>
        <w:t xml:space="preserve"> ir viena no metodēm, ko sezonālai koriģēšanai iesaka </w:t>
      </w:r>
      <w:r>
        <w:rPr>
          <w:rFonts w:ascii="Times New Roman" w:hAnsi="Times New Roman"/>
          <w:i/>
        </w:rPr>
        <w:t>Eurostat</w:t>
      </w:r>
      <w:r>
        <w:rPr>
          <w:rFonts w:ascii="Times New Roman" w:hAnsi="Times New Roman"/>
        </w:rPr>
        <w:t>. Sezonālo koriģēšanu ceturkšņa nacionālajos kontos (CNK) veic un kontus atjaunina ikreiz, kad laikrindai tiek pievienots jauns novērojums. Visas laikrindas tiek koriģētas tieši, kas nozīmē, ka CNK agregātu un katru tā komponenti sezonāli koriģē atsevišķi. Sezonāli koriģētās CNK rindas tiek publicētas faktiskajās cenās un ķēdētos apjomos.</w:t>
      </w:r>
    </w:p>
    <w:p w14:paraId="6836C34D" w14:textId="77777777" w:rsidR="002672AA" w:rsidRPr="001F0ECB" w:rsidRDefault="002672AA" w:rsidP="00975B5E">
      <w:pPr>
        <w:jc w:val="both"/>
        <w:rPr>
          <w:rFonts w:ascii="Times New Roman" w:eastAsia="Calibri" w:hAnsi="Times New Roman" w:cs="Calibri"/>
          <w:noProof/>
          <w:sz w:val="24"/>
          <w:szCs w:val="24"/>
        </w:rPr>
      </w:pPr>
    </w:p>
    <w:p w14:paraId="17EF3EB6" w14:textId="77777777" w:rsidR="002672AA" w:rsidRPr="001F0ECB" w:rsidRDefault="002672AA" w:rsidP="00975B5E">
      <w:pPr>
        <w:jc w:val="both"/>
        <w:rPr>
          <w:rFonts w:ascii="Times New Roman" w:eastAsia="Calibri" w:hAnsi="Times New Roman" w:cs="Calibri"/>
          <w:noProof/>
          <w:sz w:val="24"/>
          <w:szCs w:val="23"/>
        </w:rPr>
      </w:pPr>
    </w:p>
    <w:p w14:paraId="50458882" w14:textId="77777777" w:rsidR="002672AA" w:rsidRPr="001F0ECB" w:rsidRDefault="00F86897" w:rsidP="00F86897">
      <w:pPr>
        <w:pStyle w:val="Heading2"/>
        <w:tabs>
          <w:tab w:val="left" w:pos="1181"/>
        </w:tabs>
        <w:ind w:left="0" w:firstLine="0"/>
        <w:jc w:val="both"/>
        <w:rPr>
          <w:rFonts w:ascii="Times New Roman" w:hAnsi="Times New Roman"/>
          <w:noProof/>
          <w:sz w:val="24"/>
        </w:rPr>
      </w:pPr>
      <w:bookmarkStart w:id="18" w:name="_Toc73461231"/>
      <w:r>
        <w:rPr>
          <w:rFonts w:ascii="Times New Roman" w:hAnsi="Times New Roman"/>
          <w:sz w:val="24"/>
        </w:rPr>
        <w:t>1.7. Papildu informācija</w:t>
      </w:r>
      <w:bookmarkStart w:id="19" w:name="_bookmark9"/>
      <w:bookmarkEnd w:id="18"/>
      <w:bookmarkEnd w:id="19"/>
    </w:p>
    <w:p w14:paraId="1692CC81" w14:textId="77777777" w:rsidR="00F53E5D" w:rsidRDefault="00F53E5D" w:rsidP="00975B5E">
      <w:pPr>
        <w:pStyle w:val="BodyText"/>
        <w:spacing w:before="0"/>
        <w:ind w:left="0"/>
        <w:jc w:val="both"/>
        <w:rPr>
          <w:rFonts w:ascii="Times New Roman" w:hAnsi="Times New Roman"/>
          <w:noProof/>
        </w:rPr>
      </w:pPr>
    </w:p>
    <w:p w14:paraId="18BC2C36" w14:textId="587C4C7E"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Ceturkšņa IKP un visas komponentes, kas aprēķinātas saskaņā ar ražošanas, izlietojuma un ienākumu pieeju, publicē </w:t>
      </w:r>
      <w:r w:rsidR="006A5007">
        <w:rPr>
          <w:rFonts w:ascii="Times New Roman" w:hAnsi="Times New Roman"/>
        </w:rPr>
        <w:t>Oficiālā statistikas portāla</w:t>
      </w:r>
      <w:r>
        <w:rPr>
          <w:rFonts w:ascii="Times New Roman" w:hAnsi="Times New Roman"/>
        </w:rPr>
        <w:t xml:space="preserve"> datubāzē: </w:t>
      </w:r>
      <w:hyperlink r:id="rId15" w:history="1">
        <w:r w:rsidR="006B76BF">
          <w:rPr>
            <w:rStyle w:val="Hyperlink"/>
            <w:rFonts w:ascii="Times New Roman" w:hAnsi="Times New Roman"/>
            <w:noProof/>
          </w:rPr>
          <w:t>https://stat.gov.lv/lv/statistikas-temas/valsts-ekonomika/ikp-istermina</w:t>
        </w:r>
      </w:hyperlink>
      <w:r w:rsidR="006B76BF">
        <w:rPr>
          <w:rFonts w:ascii="Times New Roman" w:hAnsi="Times New Roman"/>
        </w:rPr>
        <w:t>.</w:t>
      </w:r>
    </w:p>
    <w:p w14:paraId="05F8C1B4" w14:textId="77777777" w:rsidR="00EC390B" w:rsidRDefault="00EC390B" w:rsidP="00975B5E">
      <w:pPr>
        <w:pStyle w:val="BodyText"/>
        <w:spacing w:before="0"/>
        <w:ind w:left="0"/>
        <w:jc w:val="both"/>
        <w:rPr>
          <w:rFonts w:ascii="Times New Roman" w:hAnsi="Times New Roman"/>
          <w:noProof/>
        </w:rPr>
      </w:pPr>
    </w:p>
    <w:p w14:paraId="303FCE97" w14:textId="64A290B3" w:rsidR="00EC390B" w:rsidRDefault="002672AA" w:rsidP="00975B5E">
      <w:pPr>
        <w:pStyle w:val="BodyText"/>
        <w:spacing w:before="0"/>
        <w:ind w:left="0"/>
        <w:jc w:val="both"/>
        <w:rPr>
          <w:rFonts w:ascii="Times New Roman" w:hAnsi="Times New Roman"/>
          <w:noProof/>
        </w:rPr>
      </w:pPr>
      <w:r>
        <w:rPr>
          <w:rFonts w:ascii="Times New Roman" w:hAnsi="Times New Roman"/>
        </w:rPr>
        <w:t>Preses relīzes ir pieejamas CSP tīmekļa vietnē:</w:t>
      </w:r>
      <w:hyperlink r:id="rId16" w:anchor="preses-relizes" w:history="1">
        <w:r w:rsidR="00A909B0" w:rsidRPr="004C5AC2">
          <w:rPr>
            <w:rStyle w:val="Hyperlink"/>
            <w:rFonts w:ascii="Times New Roman" w:hAnsi="Times New Roman"/>
          </w:rPr>
          <w:t xml:space="preserve"> https://stat.gov.lv/lv/statistikas-temas/valsts-ekonomika/ikp-istermina#preses-relizes</w:t>
        </w:r>
      </w:hyperlink>
      <w:r w:rsidR="00A909B0">
        <w:rPr>
          <w:rFonts w:ascii="Times New Roman" w:hAnsi="Times New Roman"/>
        </w:rPr>
        <w:t>.</w:t>
      </w:r>
    </w:p>
    <w:p w14:paraId="5D83F2C4" w14:textId="77777777" w:rsidR="00A909B0" w:rsidRDefault="00A909B0" w:rsidP="00975B5E">
      <w:pPr>
        <w:pStyle w:val="BodyText"/>
        <w:spacing w:before="0"/>
        <w:ind w:left="0"/>
        <w:jc w:val="both"/>
        <w:rPr>
          <w:rFonts w:ascii="Times New Roman" w:hAnsi="Times New Roman"/>
        </w:rPr>
      </w:pPr>
    </w:p>
    <w:p w14:paraId="658770FC" w14:textId="77777777" w:rsidR="00151E48" w:rsidRPr="001F0ECB" w:rsidRDefault="002672AA" w:rsidP="00151E48">
      <w:pPr>
        <w:pStyle w:val="BodyText"/>
        <w:spacing w:before="0"/>
        <w:ind w:left="0"/>
        <w:jc w:val="both"/>
        <w:rPr>
          <w:rFonts w:ascii="Times New Roman" w:hAnsi="Times New Roman"/>
          <w:noProof/>
        </w:rPr>
      </w:pPr>
      <w:r>
        <w:rPr>
          <w:rFonts w:ascii="Times New Roman" w:hAnsi="Times New Roman"/>
        </w:rPr>
        <w:t xml:space="preserve">Starptautiskā valūtas fonda īpašais datu izplatīšanas standarts: </w:t>
      </w:r>
      <w:hyperlink r:id="rId17" w:history="1">
        <w:r w:rsidR="00151E48">
          <w:rPr>
            <w:rStyle w:val="Hyperlink"/>
            <w:rFonts w:ascii="Times New Roman" w:hAnsi="Times New Roman"/>
          </w:rPr>
          <w:t>https://www.csp.gov.lv/lv/nacionala-kopsavilkuma-datu-lapa</w:t>
        </w:r>
      </w:hyperlink>
      <w:r w:rsidR="00151E48">
        <w:rPr>
          <w:rFonts w:ascii="Times New Roman" w:hAnsi="Times New Roman"/>
        </w:rPr>
        <w:t>.</w:t>
      </w:r>
    </w:p>
    <w:p w14:paraId="6A4CEEB9" w14:textId="77777777" w:rsidR="00EC390B" w:rsidRDefault="00EC390B">
      <w:pPr>
        <w:rPr>
          <w:rFonts w:ascii="Times New Roman" w:hAnsi="Times New Roman"/>
          <w:noProof/>
          <w:sz w:val="24"/>
        </w:rPr>
      </w:pPr>
    </w:p>
    <w:p w14:paraId="246F14F6" w14:textId="77777777" w:rsidR="00EC390B" w:rsidRDefault="00EC390B" w:rsidP="00EC390B">
      <w:pPr>
        <w:pStyle w:val="Heading1"/>
        <w:tabs>
          <w:tab w:val="left" w:pos="821"/>
        </w:tabs>
        <w:spacing w:before="0"/>
        <w:ind w:left="0" w:firstLine="0"/>
        <w:jc w:val="both"/>
        <w:rPr>
          <w:rFonts w:ascii="Times New Roman" w:hAnsi="Times New Roman"/>
          <w:noProof/>
          <w:sz w:val="24"/>
        </w:rPr>
      </w:pPr>
    </w:p>
    <w:p w14:paraId="5483EE78" w14:textId="77777777" w:rsidR="002672AA" w:rsidRPr="00B73DA9" w:rsidRDefault="00EC390B" w:rsidP="00EC390B">
      <w:pPr>
        <w:pStyle w:val="Heading1"/>
        <w:tabs>
          <w:tab w:val="left" w:pos="821"/>
        </w:tabs>
        <w:spacing w:before="0"/>
        <w:ind w:left="0" w:firstLine="0"/>
        <w:jc w:val="both"/>
        <w:rPr>
          <w:rFonts w:ascii="Times New Roman" w:hAnsi="Times New Roman"/>
          <w:noProof/>
          <w:sz w:val="28"/>
          <w:szCs w:val="40"/>
        </w:rPr>
      </w:pPr>
      <w:bookmarkStart w:id="20" w:name="_Toc73461232"/>
      <w:r w:rsidRPr="00B73DA9">
        <w:rPr>
          <w:rFonts w:ascii="Times New Roman" w:hAnsi="Times New Roman"/>
          <w:sz w:val="28"/>
          <w:szCs w:val="40"/>
        </w:rPr>
        <w:t>2. Publicēšanas grafiks, revīzijas politika un CNK izplatīšana</w:t>
      </w:r>
      <w:bookmarkStart w:id="21" w:name="_bookmark10"/>
      <w:bookmarkEnd w:id="20"/>
      <w:bookmarkEnd w:id="21"/>
    </w:p>
    <w:p w14:paraId="5CB39913" w14:textId="77777777" w:rsidR="00EC390B" w:rsidRDefault="00EC390B" w:rsidP="00EC390B">
      <w:pPr>
        <w:pStyle w:val="Heading2"/>
        <w:tabs>
          <w:tab w:val="left" w:pos="1181"/>
        </w:tabs>
        <w:ind w:left="0" w:firstLine="0"/>
        <w:jc w:val="both"/>
        <w:rPr>
          <w:rFonts w:ascii="Times New Roman" w:hAnsi="Times New Roman"/>
          <w:noProof/>
          <w:sz w:val="24"/>
        </w:rPr>
      </w:pPr>
    </w:p>
    <w:p w14:paraId="7104492A" w14:textId="77777777" w:rsidR="002672AA" w:rsidRPr="001F0ECB" w:rsidRDefault="00EC390B" w:rsidP="00EC390B">
      <w:pPr>
        <w:pStyle w:val="Heading2"/>
        <w:tabs>
          <w:tab w:val="left" w:pos="1181"/>
        </w:tabs>
        <w:ind w:left="0" w:firstLine="0"/>
        <w:jc w:val="both"/>
        <w:rPr>
          <w:rFonts w:ascii="Times New Roman" w:hAnsi="Times New Roman"/>
          <w:noProof/>
          <w:sz w:val="24"/>
        </w:rPr>
      </w:pPr>
      <w:bookmarkStart w:id="22" w:name="_Toc73461233"/>
      <w:r>
        <w:rPr>
          <w:rFonts w:ascii="Times New Roman" w:hAnsi="Times New Roman"/>
          <w:sz w:val="24"/>
        </w:rPr>
        <w:t>2.1. Izplatīšanas politika</w:t>
      </w:r>
      <w:bookmarkStart w:id="23" w:name="_bookmark11"/>
      <w:bookmarkEnd w:id="22"/>
      <w:bookmarkEnd w:id="23"/>
    </w:p>
    <w:p w14:paraId="4C77B33D" w14:textId="77777777" w:rsidR="00EC390B" w:rsidRDefault="00EC390B" w:rsidP="00975B5E">
      <w:pPr>
        <w:pStyle w:val="BodyText"/>
        <w:spacing w:before="0"/>
        <w:ind w:left="0"/>
        <w:jc w:val="both"/>
        <w:rPr>
          <w:rFonts w:ascii="Times New Roman" w:hAnsi="Times New Roman"/>
          <w:noProof/>
        </w:rPr>
      </w:pPr>
    </w:p>
    <w:p w14:paraId="2724030E" w14:textId="59D1E92A"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Datus par ceturkšņa nacionālajiem kontiem Latvijas CSP novērtē, publicē un nosūta </w:t>
      </w:r>
      <w:r>
        <w:rPr>
          <w:rFonts w:ascii="Times New Roman" w:hAnsi="Times New Roman"/>
          <w:i/>
        </w:rPr>
        <w:t>Eurostat</w:t>
      </w:r>
      <w:r>
        <w:rPr>
          <w:rFonts w:ascii="Times New Roman" w:hAnsi="Times New Roman"/>
        </w:rPr>
        <w:t xml:space="preserve"> saskaņā ar EKS 2010 metodoloģiju un termiņiem, kas noteikti EKS 2010 Datu nosūtīšanas programmā. Plānoto nacionālo publikāciju, preses relīžu un statistikas tabulu publicēšanas (izplatīšanas) kalendārs ir publiski pieejams </w:t>
      </w:r>
      <w:r w:rsidR="00D5717F">
        <w:rPr>
          <w:rFonts w:ascii="Times New Roman" w:hAnsi="Times New Roman"/>
        </w:rPr>
        <w:t>Oficiālā statistikas portāla</w:t>
      </w:r>
      <w:r>
        <w:rPr>
          <w:rFonts w:ascii="Times New Roman" w:hAnsi="Times New Roman"/>
        </w:rPr>
        <w:t xml:space="preserve"> tīmekļa vietnē un parasti aptver pilnu kalendāro gadu: </w:t>
      </w:r>
      <w:hyperlink r:id="rId18" w:history="1">
        <w:r w:rsidR="00210436">
          <w:rPr>
            <w:rStyle w:val="Hyperlink"/>
            <w:rFonts w:ascii="Times New Roman" w:hAnsi="Times New Roman"/>
          </w:rPr>
          <w:t>https://stat.gov.lv/lv/kalendars?Dates=%22N%C4%81kamais%20gads%22</w:t>
        </w:r>
      </w:hyperlink>
      <w:r w:rsidR="00210436">
        <w:rPr>
          <w:rFonts w:ascii="Times New Roman" w:hAnsi="Times New Roman"/>
        </w:rPr>
        <w:t>.</w:t>
      </w:r>
    </w:p>
    <w:p w14:paraId="2B95E609" w14:textId="77777777" w:rsidR="00EC390B" w:rsidRDefault="00EC390B" w:rsidP="00975B5E">
      <w:pPr>
        <w:pStyle w:val="BodyText"/>
        <w:spacing w:before="0"/>
        <w:ind w:left="0"/>
        <w:jc w:val="both"/>
        <w:rPr>
          <w:rFonts w:ascii="Times New Roman" w:hAnsi="Times New Roman"/>
          <w:noProof/>
        </w:rPr>
      </w:pPr>
    </w:p>
    <w:p w14:paraId="30A6B8B8"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IKP ātrais novērtējums tiek publicēts vienu mēnesi pēc pārskata perioda tikai preses relīzē. Šajā publikācijā netiek revidēti iepriekšējie novērtējumi.</w:t>
      </w:r>
    </w:p>
    <w:p w14:paraId="07092F55" w14:textId="77777777" w:rsidR="00EC390B" w:rsidRPr="001F0ECB" w:rsidRDefault="00EC390B" w:rsidP="00975B5E">
      <w:pPr>
        <w:pStyle w:val="BodyText"/>
        <w:spacing w:before="0"/>
        <w:ind w:left="0"/>
        <w:jc w:val="both"/>
        <w:rPr>
          <w:rFonts w:ascii="Times New Roman" w:hAnsi="Times New Roman"/>
          <w:noProof/>
        </w:rPr>
      </w:pPr>
    </w:p>
    <w:p w14:paraId="0669841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Regulāri CNK novērtējumi tiek publicēti divus mēnešus pēc pārskata perioda. Plkst. 13.00 </w:t>
      </w:r>
      <w:r>
        <w:rPr>
          <w:rFonts w:ascii="Times New Roman" w:hAnsi="Times New Roman"/>
        </w:rPr>
        <w:lastRenderedPageBreak/>
        <w:t xml:space="preserve">pēc vietējā laika CSP tīmekļa vietnē ir pieejama preses relīze vienlaikus gan latviešu, gan angļu valodā. Tajā pašā laikā dati par IKP ražošanas, izlietojuma un ienākumu komponentēm tiek publicēti CSP datubāzē un nosūtīti </w:t>
      </w:r>
      <w:r>
        <w:rPr>
          <w:rFonts w:ascii="Times New Roman" w:hAnsi="Times New Roman"/>
          <w:i/>
        </w:rPr>
        <w:t>Eurostat</w:t>
      </w:r>
      <w:r>
        <w:rPr>
          <w:rFonts w:ascii="Times New Roman" w:hAnsi="Times New Roman"/>
        </w:rPr>
        <w:t xml:space="preserve"> līdz darbdienas beigām.</w:t>
      </w:r>
    </w:p>
    <w:p w14:paraId="18FDCA71" w14:textId="77777777" w:rsidR="00EC390B" w:rsidRDefault="00EC390B" w:rsidP="00975B5E">
      <w:pPr>
        <w:pStyle w:val="BodyText"/>
        <w:spacing w:before="0"/>
        <w:ind w:left="0"/>
        <w:jc w:val="both"/>
        <w:rPr>
          <w:rFonts w:ascii="Times New Roman" w:hAnsi="Times New Roman"/>
          <w:noProof/>
        </w:rPr>
      </w:pPr>
    </w:p>
    <w:p w14:paraId="5B4C013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Ceturkšņa datus par nodarbinātību sagatavo un nosūta </w:t>
      </w:r>
      <w:r>
        <w:rPr>
          <w:rFonts w:ascii="Times New Roman" w:hAnsi="Times New Roman"/>
          <w:i/>
        </w:rPr>
        <w:t>Eurostat</w:t>
      </w:r>
      <w:r>
        <w:rPr>
          <w:rFonts w:ascii="Times New Roman" w:hAnsi="Times New Roman"/>
        </w:rPr>
        <w:t xml:space="preserve"> divus mēnešus pēc pārskata perioda, bet nepublicē CSP datubāzē.</w:t>
      </w:r>
    </w:p>
    <w:p w14:paraId="0DD80669" w14:textId="77777777" w:rsidR="00EC390B" w:rsidRDefault="00EC390B" w:rsidP="00975B5E">
      <w:pPr>
        <w:pStyle w:val="BodyText"/>
        <w:spacing w:before="0"/>
        <w:ind w:left="0"/>
        <w:jc w:val="both"/>
        <w:rPr>
          <w:rFonts w:ascii="Times New Roman" w:hAnsi="Times New Roman"/>
          <w:noProof/>
        </w:rPr>
      </w:pPr>
    </w:p>
    <w:p w14:paraId="337A92A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Ceturkšņa nefinanšu kontus pa sektoriem CSP novērtē, publicē CSP datubāzē un nosūta </w:t>
      </w:r>
      <w:r>
        <w:rPr>
          <w:rFonts w:ascii="Times New Roman" w:hAnsi="Times New Roman"/>
          <w:i/>
        </w:rPr>
        <w:t>Eurostat</w:t>
      </w:r>
      <w:r>
        <w:rPr>
          <w:rFonts w:ascii="Times New Roman" w:hAnsi="Times New Roman"/>
        </w:rPr>
        <w:t xml:space="preserve"> 85 dienas pēc pārskata perioda. Ceturkšņa nefinanšu konti pa sektoriem ir pilnībā saskaņoti ar CNK, jo CNK tiek ņemti vērā un publicēti jaunākie VFS un maksājumu bilances novērtējumi. Latvijas Banka veic ceturkšņa finanšu kontu pa sektoriem novērtējumu.</w:t>
      </w:r>
    </w:p>
    <w:p w14:paraId="005A0152" w14:textId="77777777" w:rsidR="00EC390B" w:rsidRDefault="00EC390B" w:rsidP="00975B5E">
      <w:pPr>
        <w:pStyle w:val="BodyText"/>
        <w:spacing w:before="0"/>
        <w:ind w:left="0"/>
        <w:jc w:val="both"/>
        <w:rPr>
          <w:rFonts w:ascii="Times New Roman" w:hAnsi="Times New Roman"/>
          <w:noProof/>
        </w:rPr>
      </w:pPr>
    </w:p>
    <w:p w14:paraId="17F14DA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Vispārējās valdības sektora ceturkšņa nefinanšu kontus (S.13) apkopo CSP Valsts finanšu daļa un publicē saskaņā ar nacionālo publicēšanas kalendāru (sk. saiti iepriekš).</w:t>
      </w:r>
    </w:p>
    <w:p w14:paraId="1F3DCA1B" w14:textId="77777777" w:rsidR="00EC390B" w:rsidRDefault="00EC390B" w:rsidP="00975B5E">
      <w:pPr>
        <w:pStyle w:val="BodyText"/>
        <w:spacing w:before="0"/>
        <w:ind w:left="0"/>
        <w:jc w:val="both"/>
        <w:rPr>
          <w:rFonts w:ascii="Times New Roman" w:hAnsi="Times New Roman"/>
          <w:noProof/>
        </w:rPr>
      </w:pPr>
    </w:p>
    <w:p w14:paraId="207F310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Provizoriskos gada novērtējumus publicē vienlaikus ar pārskata gada 4. ceturkšņa IKP kā pārskata gada ceturkšņu summu. Pirmo reizi revidētie dati, kuru pamatā galvenokārt ir ceturkšņa datu avoti, tiek publicēti T+9 mēnesī, bet galarezultāti (pamatojoties uz gada datu avotiem) – T+21 mēnesī. Vienlaikus tiek revidēti un publicēti attiecīgie CNK novērtējumi.</w:t>
      </w:r>
    </w:p>
    <w:p w14:paraId="4A87AC15" w14:textId="77777777" w:rsidR="00EC390B" w:rsidRDefault="00EC390B" w:rsidP="00975B5E">
      <w:pPr>
        <w:pStyle w:val="BodyText"/>
        <w:spacing w:before="0"/>
        <w:ind w:left="0"/>
        <w:jc w:val="both"/>
        <w:rPr>
          <w:rFonts w:ascii="Times New Roman" w:hAnsi="Times New Roman"/>
          <w:noProof/>
        </w:rPr>
      </w:pPr>
    </w:p>
    <w:p w14:paraId="51E18EB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panāktu saskaņotību starp CNK agregātiem un valdības finanšu statistikas agregātiem, CNK tiek revidēti saskaņā ar jaunākajiem VFD datiem.</w:t>
      </w:r>
    </w:p>
    <w:p w14:paraId="552D3B07" w14:textId="77777777" w:rsidR="00EC390B" w:rsidRDefault="00EC390B" w:rsidP="00975B5E">
      <w:pPr>
        <w:pStyle w:val="BodyText"/>
        <w:spacing w:before="0"/>
        <w:ind w:left="0"/>
        <w:jc w:val="both"/>
        <w:rPr>
          <w:rFonts w:ascii="Times New Roman" w:hAnsi="Times New Roman"/>
          <w:noProof/>
        </w:rPr>
      </w:pPr>
    </w:p>
    <w:p w14:paraId="433E63FE" w14:textId="58258744"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Dažas saskaņotības problēmas izraisa maksājumu bilances (MB) dati, jo ceturkšņa maksājumu bilance tiek iesniegta pārāk vēlu, lai to iekļautu regulārajos CNK novērtējumos, tāpēc tiek izmantoti mēneša maksājumu bilances dati. Ceturkšņa maksājumu bilanci iekļauj CNK novērtējumos tad, kad publicē ceturkšņa kontus pa sektoriem. Latvijas maksājumu bilance tiek publicēta statistikas datubāzē Latvijas Bankas tīmekļa vietnē: </w:t>
      </w:r>
      <w:hyperlink r:id="rId19" w:history="1">
        <w:r w:rsidR="00761115" w:rsidRPr="004E6AE3">
          <w:rPr>
            <w:rStyle w:val="Hyperlink"/>
            <w:rFonts w:ascii="Times New Roman" w:hAnsi="Times New Roman"/>
          </w:rPr>
          <w:t>https://statdb.bank.lv/lb/Data.aspx?id=200&amp;lv</w:t>
        </w:r>
      </w:hyperlink>
    </w:p>
    <w:p w14:paraId="4B8EE90E" w14:textId="77777777" w:rsidR="00975B5E" w:rsidRDefault="00975B5E" w:rsidP="00975B5E">
      <w:pPr>
        <w:jc w:val="both"/>
        <w:rPr>
          <w:rFonts w:ascii="Times New Roman" w:hAnsi="Times New Roman"/>
          <w:noProof/>
          <w:sz w:val="24"/>
        </w:rPr>
      </w:pPr>
    </w:p>
    <w:p w14:paraId="448F9980" w14:textId="77777777" w:rsidR="00EC390B" w:rsidRPr="001F0ECB" w:rsidRDefault="00EC390B" w:rsidP="00975B5E">
      <w:pPr>
        <w:jc w:val="both"/>
        <w:rPr>
          <w:rFonts w:ascii="Times New Roman" w:hAnsi="Times New Roman"/>
          <w:noProof/>
          <w:sz w:val="24"/>
        </w:rPr>
      </w:pPr>
    </w:p>
    <w:p w14:paraId="54008E0E" w14:textId="77777777" w:rsidR="002672AA" w:rsidRPr="001F0ECB" w:rsidRDefault="002672AA" w:rsidP="00573FEF">
      <w:pPr>
        <w:pStyle w:val="Heading2"/>
        <w:tabs>
          <w:tab w:val="left" w:pos="1181"/>
        </w:tabs>
        <w:ind w:left="0" w:firstLine="0"/>
        <w:jc w:val="both"/>
        <w:rPr>
          <w:rFonts w:ascii="Times New Roman" w:hAnsi="Times New Roman"/>
          <w:sz w:val="24"/>
        </w:rPr>
      </w:pPr>
      <w:bookmarkStart w:id="24" w:name="_Toc73461234"/>
      <w:r>
        <w:rPr>
          <w:rFonts w:ascii="Times New Roman" w:hAnsi="Times New Roman"/>
          <w:sz w:val="24"/>
        </w:rPr>
        <w:t>2.2.</w:t>
      </w:r>
      <w:r w:rsidRPr="00573FEF">
        <w:rPr>
          <w:rFonts w:ascii="Times New Roman" w:hAnsi="Times New Roman"/>
          <w:sz w:val="24"/>
        </w:rPr>
        <w:t xml:space="preserve"> </w:t>
      </w:r>
      <w:r>
        <w:rPr>
          <w:rFonts w:ascii="Times New Roman" w:hAnsi="Times New Roman"/>
          <w:sz w:val="24"/>
        </w:rPr>
        <w:t>Publicētais saturs</w:t>
      </w:r>
      <w:bookmarkStart w:id="25" w:name="_bookmark12"/>
      <w:bookmarkEnd w:id="24"/>
      <w:bookmarkEnd w:id="25"/>
    </w:p>
    <w:p w14:paraId="34567EA9" w14:textId="77777777" w:rsidR="00EC390B" w:rsidRDefault="00EC390B" w:rsidP="00975B5E">
      <w:pPr>
        <w:pStyle w:val="BodyText"/>
        <w:spacing w:before="0"/>
        <w:ind w:left="0"/>
        <w:jc w:val="both"/>
        <w:rPr>
          <w:rFonts w:ascii="Times New Roman" w:hAnsi="Times New Roman"/>
          <w:noProof/>
        </w:rPr>
      </w:pPr>
    </w:p>
    <w:p w14:paraId="7545EF7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ātrais novērtējums tiek publicēts kā informācija par kopējās ekonomikas pieauguma tempiem tikai preses relīzē.</w:t>
      </w:r>
    </w:p>
    <w:p w14:paraId="17015CF0" w14:textId="77777777" w:rsidR="00EC390B" w:rsidRDefault="00EC390B" w:rsidP="00975B5E">
      <w:pPr>
        <w:pStyle w:val="BodyText"/>
        <w:spacing w:before="0"/>
        <w:ind w:left="0"/>
        <w:jc w:val="both"/>
        <w:rPr>
          <w:rFonts w:ascii="Times New Roman" w:hAnsi="Times New Roman"/>
          <w:noProof/>
        </w:rPr>
      </w:pPr>
    </w:p>
    <w:p w14:paraId="2A57247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Pirmie IKP rādītāju novērtējumi, izmantojot ražošanas, izdevumu un ienākumu pieeju un nodarbinātības datus, iegūst divus mēnešus pēc pārskata perioda. </w:t>
      </w:r>
      <w:r>
        <w:rPr>
          <w:rFonts w:ascii="Times New Roman" w:hAnsi="Times New Roman"/>
          <w:i/>
        </w:rPr>
        <w:t>Eurostat</w:t>
      </w:r>
      <w:r>
        <w:rPr>
          <w:rFonts w:ascii="Times New Roman" w:hAnsi="Times New Roman"/>
        </w:rPr>
        <w:t xml:space="preserve"> nosūtītie dati atbilst EKS 2010 DNP prasībām.</w:t>
      </w:r>
    </w:p>
    <w:p w14:paraId="6C1E31A2" w14:textId="77777777" w:rsidR="00EC390B" w:rsidRDefault="00EC390B" w:rsidP="00975B5E">
      <w:pPr>
        <w:pStyle w:val="BodyText"/>
        <w:spacing w:before="0"/>
        <w:ind w:left="0"/>
        <w:jc w:val="both"/>
        <w:rPr>
          <w:rFonts w:ascii="Times New Roman" w:hAnsi="Times New Roman"/>
          <w:noProof/>
        </w:rPr>
      </w:pPr>
    </w:p>
    <w:p w14:paraId="2553E31E" w14:textId="7C7FB557" w:rsidR="00CA77AF" w:rsidRPr="00EC390B" w:rsidRDefault="00144283" w:rsidP="00CA77AF">
      <w:pPr>
        <w:pStyle w:val="BodyText"/>
        <w:spacing w:before="0"/>
        <w:ind w:left="0"/>
        <w:jc w:val="both"/>
        <w:rPr>
          <w:rFonts w:ascii="Times New Roman" w:hAnsi="Times New Roman"/>
          <w:noProof/>
          <w:u w:val="single"/>
        </w:rPr>
      </w:pPr>
      <w:r>
        <w:rPr>
          <w:rFonts w:ascii="Times New Roman" w:hAnsi="Times New Roman"/>
        </w:rPr>
        <w:t>Oficiāl</w:t>
      </w:r>
      <w:r w:rsidR="00763119">
        <w:rPr>
          <w:rFonts w:ascii="Times New Roman" w:hAnsi="Times New Roman"/>
        </w:rPr>
        <w:t>aj</w:t>
      </w:r>
      <w:r>
        <w:rPr>
          <w:rFonts w:ascii="Times New Roman" w:hAnsi="Times New Roman"/>
        </w:rPr>
        <w:t>ā statistikas portāl</w:t>
      </w:r>
      <w:r w:rsidR="00763119">
        <w:rPr>
          <w:rFonts w:ascii="Times New Roman" w:hAnsi="Times New Roman"/>
        </w:rPr>
        <w:t>ā</w:t>
      </w:r>
      <w:r w:rsidR="002672AA">
        <w:rPr>
          <w:rFonts w:ascii="Times New Roman" w:hAnsi="Times New Roman"/>
        </w:rPr>
        <w:t xml:space="preserve"> datubāzē publicēto datu tvērums atšķiras no to datu tvēruma, kurus nosūta </w:t>
      </w:r>
      <w:r w:rsidR="002672AA">
        <w:rPr>
          <w:rFonts w:ascii="Times New Roman" w:hAnsi="Times New Roman"/>
          <w:i/>
        </w:rPr>
        <w:t>Eurostat</w:t>
      </w:r>
      <w:r w:rsidR="002672AA">
        <w:rPr>
          <w:rFonts w:ascii="Times New Roman" w:hAnsi="Times New Roman"/>
        </w:rPr>
        <w:t xml:space="preserve">. </w:t>
      </w:r>
      <w:r>
        <w:rPr>
          <w:rFonts w:ascii="Times New Roman" w:hAnsi="Times New Roman"/>
        </w:rPr>
        <w:t>Oficiāl</w:t>
      </w:r>
      <w:r w:rsidR="00763119">
        <w:rPr>
          <w:rFonts w:ascii="Times New Roman" w:hAnsi="Times New Roman"/>
        </w:rPr>
        <w:t>aj</w:t>
      </w:r>
      <w:r>
        <w:rPr>
          <w:rFonts w:ascii="Times New Roman" w:hAnsi="Times New Roman"/>
        </w:rPr>
        <w:t>ā statistikas portāl</w:t>
      </w:r>
      <w:r w:rsidR="00763119">
        <w:rPr>
          <w:rFonts w:ascii="Times New Roman" w:hAnsi="Times New Roman"/>
        </w:rPr>
        <w:t>ā</w:t>
      </w:r>
      <w:r w:rsidR="002672AA">
        <w:rPr>
          <w:rFonts w:ascii="Times New Roman" w:hAnsi="Times New Roman"/>
        </w:rPr>
        <w:t xml:space="preserve"> datubāzē publicētais saturs: </w:t>
      </w:r>
      <w:hyperlink r:id="rId20" w:history="1">
        <w:r w:rsidR="00CA77AF">
          <w:rPr>
            <w:rStyle w:val="Hyperlink"/>
            <w:rFonts w:ascii="Times New Roman" w:hAnsi="Times New Roman"/>
          </w:rPr>
          <w:t>https://stat.gov.lv/lv/statistikas-temas/valsts-ekonomika/ikp-istermina</w:t>
        </w:r>
      </w:hyperlink>
    </w:p>
    <w:p w14:paraId="5BC65D08" w14:textId="1E3CACAC" w:rsidR="00317533" w:rsidRDefault="00317533" w:rsidP="00317533">
      <w:pPr>
        <w:pStyle w:val="BodyText"/>
        <w:spacing w:before="0"/>
        <w:ind w:left="0"/>
        <w:jc w:val="both"/>
        <w:rPr>
          <w:rFonts w:ascii="Times New Roman" w:hAnsi="Times New Roman"/>
          <w:noProof/>
        </w:rPr>
      </w:pPr>
    </w:p>
    <w:p w14:paraId="1969E141" w14:textId="77777777" w:rsidR="002672AA" w:rsidRDefault="002672AA" w:rsidP="00EC390B">
      <w:pPr>
        <w:pStyle w:val="BodyText"/>
        <w:numPr>
          <w:ilvl w:val="0"/>
          <w:numId w:val="19"/>
        </w:numPr>
        <w:spacing w:before="0"/>
        <w:ind w:left="709" w:hanging="425"/>
        <w:jc w:val="both"/>
        <w:rPr>
          <w:rFonts w:ascii="Times New Roman" w:hAnsi="Times New Roman"/>
          <w:noProof/>
        </w:rPr>
      </w:pPr>
      <w:r>
        <w:rPr>
          <w:rFonts w:ascii="Times New Roman" w:hAnsi="Times New Roman"/>
        </w:rPr>
        <w:t>Ražošanas pieeja</w:t>
      </w:r>
    </w:p>
    <w:p w14:paraId="0DF34911" w14:textId="77777777" w:rsidR="00EC390B" w:rsidRPr="001F0ECB" w:rsidRDefault="00EC390B" w:rsidP="00EC390B">
      <w:pPr>
        <w:pStyle w:val="BodyText"/>
        <w:tabs>
          <w:tab w:val="left" w:pos="841"/>
        </w:tabs>
        <w:spacing w:before="0"/>
        <w:ind w:left="0"/>
        <w:jc w:val="both"/>
        <w:rPr>
          <w:rFonts w:ascii="Times New Roman" w:hAnsi="Times New Roman"/>
          <w:noProof/>
        </w:rPr>
      </w:pPr>
    </w:p>
    <w:p w14:paraId="4946CB78" w14:textId="70BFD3FA" w:rsidR="002672AA" w:rsidRPr="001F0ECB" w:rsidRDefault="002672AA" w:rsidP="00EC390B">
      <w:pPr>
        <w:pStyle w:val="BodyText"/>
        <w:numPr>
          <w:ilvl w:val="1"/>
          <w:numId w:val="19"/>
        </w:numPr>
        <w:tabs>
          <w:tab w:val="left" w:pos="1561"/>
        </w:tabs>
        <w:spacing w:before="0"/>
        <w:ind w:left="1134" w:hanging="425"/>
        <w:jc w:val="both"/>
        <w:rPr>
          <w:rFonts w:ascii="Times New Roman" w:hAnsi="Times New Roman"/>
          <w:noProof/>
        </w:rPr>
      </w:pPr>
      <w:r>
        <w:rPr>
          <w:rFonts w:ascii="Times New Roman" w:hAnsi="Times New Roman"/>
        </w:rPr>
        <w:t xml:space="preserve">Iekšzemes kopprodukts saskaņā ar ražošanas pieeju (faktiskajās cenās, iepriekšējā gada cenās, ķēdētie apjomi, kur 2015. gads ir </w:t>
      </w:r>
      <w:r w:rsidR="00D343E6">
        <w:rPr>
          <w:rFonts w:ascii="Times New Roman" w:hAnsi="Times New Roman"/>
        </w:rPr>
        <w:t>atsauces</w:t>
      </w:r>
      <w:r>
        <w:rPr>
          <w:rFonts w:ascii="Times New Roman" w:hAnsi="Times New Roman"/>
        </w:rPr>
        <w:t xml:space="preserve"> gads, sezonāli nekoriģēti dati un sezonāli koriģēti dati), tūkstošos EUR.</w:t>
      </w:r>
    </w:p>
    <w:p w14:paraId="3BF8A092" w14:textId="13013D75" w:rsidR="002672AA" w:rsidRPr="001F0ECB" w:rsidRDefault="002672AA" w:rsidP="00EC390B">
      <w:pPr>
        <w:pStyle w:val="BodyText"/>
        <w:numPr>
          <w:ilvl w:val="1"/>
          <w:numId w:val="19"/>
        </w:numPr>
        <w:tabs>
          <w:tab w:val="left" w:pos="1616"/>
        </w:tabs>
        <w:spacing w:before="0"/>
        <w:ind w:left="1134" w:hanging="425"/>
        <w:jc w:val="both"/>
        <w:rPr>
          <w:rFonts w:ascii="Times New Roman" w:hAnsi="Times New Roman"/>
          <w:noProof/>
        </w:rPr>
      </w:pPr>
      <w:r>
        <w:rPr>
          <w:rFonts w:ascii="Times New Roman" w:hAnsi="Times New Roman"/>
        </w:rPr>
        <w:t xml:space="preserve">Iekšzemes kopprodukts uz vienu iedzīvotāju un nodarbinātu personu (faktiskajās cenās, iepriekšējā gada cenās, ķēdētie apjomi, kur 2015. gads ir </w:t>
      </w:r>
      <w:r w:rsidR="00D343E6">
        <w:rPr>
          <w:rFonts w:ascii="Times New Roman" w:hAnsi="Times New Roman"/>
        </w:rPr>
        <w:t>atsauces</w:t>
      </w:r>
      <w:r>
        <w:rPr>
          <w:rFonts w:ascii="Times New Roman" w:hAnsi="Times New Roman"/>
        </w:rPr>
        <w:t xml:space="preserve"> gads, </w:t>
      </w:r>
      <w:r>
        <w:rPr>
          <w:rFonts w:ascii="Times New Roman" w:hAnsi="Times New Roman"/>
        </w:rPr>
        <w:lastRenderedPageBreak/>
        <w:t>sezonāli nekoriģēti dati), EUR.</w:t>
      </w:r>
    </w:p>
    <w:p w14:paraId="4C34E30B" w14:textId="77777777" w:rsidR="002672AA" w:rsidRPr="001F0ECB" w:rsidRDefault="002672AA" w:rsidP="00EC390B">
      <w:pPr>
        <w:pStyle w:val="BodyText"/>
        <w:numPr>
          <w:ilvl w:val="1"/>
          <w:numId w:val="19"/>
        </w:numPr>
        <w:tabs>
          <w:tab w:val="left" w:pos="1561"/>
        </w:tabs>
        <w:spacing w:before="0"/>
        <w:ind w:left="1134" w:hanging="425"/>
        <w:jc w:val="both"/>
        <w:rPr>
          <w:rFonts w:ascii="Times New Roman" w:hAnsi="Times New Roman"/>
          <w:noProof/>
        </w:rPr>
      </w:pPr>
      <w:r>
        <w:rPr>
          <w:rFonts w:ascii="Times New Roman" w:hAnsi="Times New Roman"/>
        </w:rPr>
        <w:t>Iekšzemes kopprodukta indeksi pa ceturkšņiem, ķēdēti, pret iepriekšējo periodu un iepriekšējā gada attiecīgo periodu, sezonāli nekoriģēti dati un sezonāli koriģēti dati, procentos.</w:t>
      </w:r>
    </w:p>
    <w:p w14:paraId="23F70D51" w14:textId="3438E584" w:rsidR="002672AA" w:rsidRPr="001F0ECB" w:rsidRDefault="002672AA" w:rsidP="00EC390B">
      <w:pPr>
        <w:pStyle w:val="BodyText"/>
        <w:numPr>
          <w:ilvl w:val="1"/>
          <w:numId w:val="19"/>
        </w:numPr>
        <w:tabs>
          <w:tab w:val="left" w:pos="1561"/>
        </w:tabs>
        <w:spacing w:before="0"/>
        <w:ind w:left="1134" w:hanging="425"/>
        <w:jc w:val="both"/>
        <w:rPr>
          <w:rFonts w:ascii="Times New Roman" w:hAnsi="Times New Roman"/>
          <w:noProof/>
        </w:rPr>
      </w:pPr>
      <w:r>
        <w:rPr>
          <w:rFonts w:ascii="Times New Roman" w:hAnsi="Times New Roman"/>
        </w:rPr>
        <w:t>Iekšzemes kopprodukta indeksi saskaņā ar ražošanas pieeju pa darbības veidiem (</w:t>
      </w:r>
      <w:r>
        <w:rPr>
          <w:rFonts w:ascii="Times New Roman" w:hAnsi="Times New Roman"/>
          <w:i/>
        </w:rPr>
        <w:t>NACE</w:t>
      </w:r>
      <w:r>
        <w:rPr>
          <w:rFonts w:ascii="Times New Roman" w:hAnsi="Times New Roman"/>
        </w:rPr>
        <w:t xml:space="preserve"> 2. red. A*15</w:t>
      </w:r>
      <w:r w:rsidR="00EC390B">
        <w:rPr>
          <w:rStyle w:val="FootnoteReference"/>
          <w:rFonts w:ascii="Times New Roman" w:hAnsi="Times New Roman" w:cs="Calibri"/>
          <w:noProof/>
        </w:rPr>
        <w:footnoteReference w:id="1"/>
      </w:r>
      <w:r>
        <w:rPr>
          <w:rFonts w:ascii="Times New Roman" w:hAnsi="Times New Roman"/>
        </w:rPr>
        <w:t xml:space="preserve">), produktu nodokļi un produktu subsīdijas (faktiskajās cenās, ķēdētie apjomi, kur 2015. gads ir </w:t>
      </w:r>
      <w:r w:rsidR="00453C70">
        <w:rPr>
          <w:rFonts w:ascii="Times New Roman" w:hAnsi="Times New Roman"/>
        </w:rPr>
        <w:t>atsauces</w:t>
      </w:r>
      <w:r>
        <w:rPr>
          <w:rFonts w:ascii="Times New Roman" w:hAnsi="Times New Roman"/>
        </w:rPr>
        <w:t xml:space="preserve"> gads, procentos pret iepriekšējo periodu un procentos pret iepriekšējā gada attiecīgo periodu, sezonāli un kalendāri koriģēti un nekoriģēti).</w:t>
      </w:r>
    </w:p>
    <w:p w14:paraId="52A73A9C" w14:textId="77777777" w:rsidR="002672AA" w:rsidRDefault="002672AA" w:rsidP="00EC390B">
      <w:pPr>
        <w:pStyle w:val="BodyText"/>
        <w:numPr>
          <w:ilvl w:val="1"/>
          <w:numId w:val="19"/>
        </w:numPr>
        <w:tabs>
          <w:tab w:val="left" w:pos="1561"/>
        </w:tabs>
        <w:spacing w:before="0"/>
        <w:ind w:left="1134" w:hanging="425"/>
        <w:jc w:val="both"/>
        <w:rPr>
          <w:rFonts w:ascii="Times New Roman" w:hAnsi="Times New Roman"/>
          <w:noProof/>
        </w:rPr>
      </w:pPr>
      <w:r>
        <w:rPr>
          <w:rFonts w:ascii="Times New Roman" w:hAnsi="Times New Roman"/>
        </w:rPr>
        <w:t>Bruto pievienotā vērtība pa saimnieciskās darbības veidiem (</w:t>
      </w:r>
      <w:r>
        <w:rPr>
          <w:rFonts w:ascii="Times New Roman" w:hAnsi="Times New Roman"/>
          <w:i/>
        </w:rPr>
        <w:t>NACE</w:t>
      </w:r>
      <w:r>
        <w:rPr>
          <w:rFonts w:ascii="Times New Roman" w:hAnsi="Times New Roman"/>
        </w:rPr>
        <w:t xml:space="preserve"> 2. red. A*15) faktiskajās cenās (struktūra), procentos.</w:t>
      </w:r>
    </w:p>
    <w:p w14:paraId="7480501B" w14:textId="77777777" w:rsidR="00EC390B" w:rsidRPr="001F0ECB" w:rsidRDefault="00EC390B" w:rsidP="00EC390B">
      <w:pPr>
        <w:pStyle w:val="BodyText"/>
        <w:tabs>
          <w:tab w:val="left" w:pos="1561"/>
        </w:tabs>
        <w:spacing w:before="0"/>
        <w:ind w:left="709" w:hanging="425"/>
        <w:jc w:val="both"/>
        <w:rPr>
          <w:rFonts w:ascii="Times New Roman" w:hAnsi="Times New Roman"/>
          <w:noProof/>
        </w:rPr>
      </w:pPr>
    </w:p>
    <w:p w14:paraId="798E090D" w14:textId="77777777" w:rsidR="002672AA" w:rsidRPr="001F0ECB" w:rsidRDefault="002672AA" w:rsidP="00EC390B">
      <w:pPr>
        <w:pStyle w:val="BodyText"/>
        <w:numPr>
          <w:ilvl w:val="0"/>
          <w:numId w:val="19"/>
        </w:numPr>
        <w:tabs>
          <w:tab w:val="left" w:pos="841"/>
        </w:tabs>
        <w:spacing w:before="0"/>
        <w:ind w:left="709" w:hanging="425"/>
        <w:jc w:val="both"/>
        <w:rPr>
          <w:rFonts w:ascii="Times New Roman" w:hAnsi="Times New Roman"/>
          <w:noProof/>
        </w:rPr>
      </w:pPr>
      <w:r>
        <w:rPr>
          <w:rFonts w:ascii="Times New Roman" w:hAnsi="Times New Roman"/>
        </w:rPr>
        <w:t>Izdevumu pieeja</w:t>
      </w:r>
    </w:p>
    <w:p w14:paraId="58FE31A1" w14:textId="77777777" w:rsidR="00EC390B" w:rsidRDefault="00EC390B" w:rsidP="00EC390B">
      <w:pPr>
        <w:pStyle w:val="BodyText"/>
        <w:tabs>
          <w:tab w:val="left" w:pos="1561"/>
        </w:tabs>
        <w:spacing w:before="0"/>
        <w:ind w:left="709" w:hanging="425"/>
        <w:jc w:val="both"/>
        <w:rPr>
          <w:rFonts w:ascii="Times New Roman" w:hAnsi="Times New Roman"/>
          <w:noProof/>
        </w:rPr>
      </w:pPr>
    </w:p>
    <w:p w14:paraId="2AC2DBB6" w14:textId="77777777" w:rsidR="002672AA" w:rsidRPr="001F0ECB" w:rsidRDefault="002672AA" w:rsidP="00EC390B">
      <w:pPr>
        <w:pStyle w:val="BodyText"/>
        <w:numPr>
          <w:ilvl w:val="1"/>
          <w:numId w:val="19"/>
        </w:numPr>
        <w:tabs>
          <w:tab w:val="left" w:pos="1561"/>
        </w:tabs>
        <w:spacing w:before="0"/>
        <w:ind w:left="1134" w:hanging="425"/>
        <w:jc w:val="both"/>
        <w:rPr>
          <w:rFonts w:ascii="Times New Roman" w:hAnsi="Times New Roman"/>
          <w:noProof/>
        </w:rPr>
      </w:pPr>
      <w:r>
        <w:rPr>
          <w:rFonts w:ascii="Times New Roman" w:hAnsi="Times New Roman"/>
        </w:rPr>
        <w:t>Iekšzemes kopprodukta izdevumu pieeja (galvenie agregāti faktiskajās cenās, iepriekšējā gada cenās un ķēdētais apjoms, sezonāli un kalendāri koriģēti un nekoriģēti), tūkstošos EUR.</w:t>
      </w:r>
    </w:p>
    <w:p w14:paraId="10739004" w14:textId="77777777" w:rsidR="002672AA" w:rsidRPr="001F0ECB" w:rsidRDefault="002672AA" w:rsidP="00EC390B">
      <w:pPr>
        <w:pStyle w:val="BodyText"/>
        <w:numPr>
          <w:ilvl w:val="1"/>
          <w:numId w:val="19"/>
        </w:numPr>
        <w:tabs>
          <w:tab w:val="left" w:pos="1561"/>
        </w:tabs>
        <w:spacing w:before="0"/>
        <w:ind w:left="1134" w:hanging="425"/>
        <w:jc w:val="both"/>
        <w:rPr>
          <w:rFonts w:ascii="Times New Roman" w:hAnsi="Times New Roman"/>
          <w:noProof/>
        </w:rPr>
      </w:pPr>
      <w:r>
        <w:rPr>
          <w:rFonts w:ascii="Times New Roman" w:hAnsi="Times New Roman"/>
        </w:rPr>
        <w:t>Iekšzemes kopprodukta indeksi saskaņā ar izdevumu pieeju (galvenie agregāti, ķēdēti, procentos pret iepriekšējo periodu, procentos pret iepriekšējā gada attiecīgo periodu), procentos.</w:t>
      </w:r>
    </w:p>
    <w:p w14:paraId="3C689416" w14:textId="77777777" w:rsidR="00975B5E" w:rsidRPr="001F0ECB" w:rsidRDefault="00975B5E" w:rsidP="00975B5E">
      <w:pPr>
        <w:jc w:val="both"/>
        <w:rPr>
          <w:rFonts w:ascii="Times New Roman" w:eastAsia="Calibri" w:hAnsi="Times New Roman" w:cs="Calibri"/>
          <w:noProof/>
          <w:sz w:val="24"/>
          <w:szCs w:val="20"/>
        </w:rPr>
      </w:pPr>
    </w:p>
    <w:p w14:paraId="1305F765" w14:textId="77777777" w:rsidR="002672AA" w:rsidRPr="001F0ECB" w:rsidRDefault="002672AA" w:rsidP="00EC390B">
      <w:pPr>
        <w:pStyle w:val="BodyText"/>
        <w:numPr>
          <w:ilvl w:val="0"/>
          <w:numId w:val="19"/>
        </w:numPr>
        <w:spacing w:before="0"/>
        <w:ind w:left="709" w:hanging="425"/>
        <w:jc w:val="both"/>
        <w:rPr>
          <w:rFonts w:ascii="Times New Roman" w:hAnsi="Times New Roman"/>
          <w:noProof/>
        </w:rPr>
      </w:pPr>
      <w:r>
        <w:rPr>
          <w:rFonts w:ascii="Times New Roman" w:hAnsi="Times New Roman"/>
        </w:rPr>
        <w:t>Ienākumu pieeja</w:t>
      </w:r>
    </w:p>
    <w:p w14:paraId="66F0AAA4" w14:textId="77777777" w:rsidR="00EC390B" w:rsidRDefault="00EC390B" w:rsidP="00EC390B">
      <w:pPr>
        <w:pStyle w:val="BodyText"/>
        <w:tabs>
          <w:tab w:val="left" w:pos="1541"/>
        </w:tabs>
        <w:spacing w:before="0"/>
        <w:ind w:left="709" w:hanging="425"/>
        <w:jc w:val="both"/>
        <w:rPr>
          <w:rFonts w:ascii="Times New Roman" w:hAnsi="Times New Roman"/>
          <w:noProof/>
        </w:rPr>
      </w:pPr>
    </w:p>
    <w:p w14:paraId="39CF4453" w14:textId="77777777" w:rsidR="002672AA" w:rsidRPr="001F0ECB" w:rsidRDefault="002672AA" w:rsidP="00EC390B">
      <w:pPr>
        <w:pStyle w:val="BodyText"/>
        <w:numPr>
          <w:ilvl w:val="1"/>
          <w:numId w:val="19"/>
        </w:numPr>
        <w:tabs>
          <w:tab w:val="left" w:pos="1541"/>
        </w:tabs>
        <w:spacing w:before="0"/>
        <w:ind w:left="1134" w:hanging="425"/>
        <w:jc w:val="both"/>
        <w:rPr>
          <w:rFonts w:ascii="Times New Roman" w:hAnsi="Times New Roman"/>
          <w:noProof/>
        </w:rPr>
      </w:pPr>
      <w:r>
        <w:rPr>
          <w:rFonts w:ascii="Times New Roman" w:hAnsi="Times New Roman"/>
        </w:rPr>
        <w:t xml:space="preserve">Iekšzemes kopprodukts saskaņā ar ienākumu pieeju (faktiskajās cenās, galvenie agregāti, sezonāli koriģēti un sezonāli nekoriģēti), tūkstošos EUR. Netiek publicēti dati par </w:t>
      </w:r>
      <w:r>
        <w:rPr>
          <w:rFonts w:ascii="Times New Roman" w:hAnsi="Times New Roman"/>
          <w:i/>
        </w:rPr>
        <w:t>NACE</w:t>
      </w:r>
      <w:r>
        <w:rPr>
          <w:rFonts w:ascii="Times New Roman" w:hAnsi="Times New Roman"/>
        </w:rPr>
        <w:t xml:space="preserve"> 2. red. pa darbības veidiem.</w:t>
      </w:r>
    </w:p>
    <w:p w14:paraId="5F7CE976" w14:textId="77777777" w:rsidR="00EC390B" w:rsidRDefault="00EC390B" w:rsidP="00EC390B">
      <w:pPr>
        <w:pStyle w:val="BodyText"/>
        <w:spacing w:before="0"/>
        <w:ind w:left="709" w:hanging="425"/>
        <w:jc w:val="both"/>
        <w:rPr>
          <w:rFonts w:ascii="Times New Roman" w:hAnsi="Times New Roman"/>
          <w:noProof/>
        </w:rPr>
      </w:pPr>
    </w:p>
    <w:p w14:paraId="56152E61" w14:textId="77777777" w:rsidR="002672AA" w:rsidRPr="001F0ECB" w:rsidRDefault="002672AA" w:rsidP="00EC390B">
      <w:pPr>
        <w:pStyle w:val="BodyText"/>
        <w:numPr>
          <w:ilvl w:val="0"/>
          <w:numId w:val="19"/>
        </w:numPr>
        <w:spacing w:before="0"/>
        <w:ind w:left="709" w:hanging="425"/>
        <w:jc w:val="both"/>
        <w:rPr>
          <w:rFonts w:ascii="Times New Roman" w:hAnsi="Times New Roman"/>
          <w:noProof/>
        </w:rPr>
      </w:pPr>
      <w:r>
        <w:rPr>
          <w:rFonts w:ascii="Times New Roman" w:hAnsi="Times New Roman"/>
        </w:rPr>
        <w:t>Iekšzemes kopprodukta un nacionālā kopienākuma saistība, faktiskajās cenās (tūkstošos EUR).</w:t>
      </w:r>
    </w:p>
    <w:p w14:paraId="05A12944" w14:textId="77777777" w:rsidR="002672AA" w:rsidRPr="001F0ECB" w:rsidRDefault="002672AA" w:rsidP="00EC390B">
      <w:pPr>
        <w:pStyle w:val="BodyText"/>
        <w:numPr>
          <w:ilvl w:val="0"/>
          <w:numId w:val="19"/>
        </w:numPr>
        <w:spacing w:before="0"/>
        <w:ind w:left="709" w:hanging="425"/>
        <w:jc w:val="both"/>
        <w:rPr>
          <w:rFonts w:ascii="Times New Roman" w:hAnsi="Times New Roman"/>
          <w:noProof/>
        </w:rPr>
      </w:pPr>
      <w:r>
        <w:rPr>
          <w:rFonts w:ascii="Times New Roman" w:hAnsi="Times New Roman"/>
        </w:rPr>
        <w:t xml:space="preserve">Preču un pakalpojumu izlaide un starppatēriņš, sadalīti pa </w:t>
      </w:r>
      <w:r>
        <w:rPr>
          <w:rFonts w:ascii="Times New Roman" w:hAnsi="Times New Roman"/>
          <w:i/>
        </w:rPr>
        <w:t>NACE</w:t>
      </w:r>
      <w:r>
        <w:rPr>
          <w:rFonts w:ascii="Times New Roman" w:hAnsi="Times New Roman"/>
        </w:rPr>
        <w:t xml:space="preserve"> 2. red. A*15 darbības veidiem, faktiskajās cenās un ķēdētais apjoms (tūkstošos EUR).</w:t>
      </w:r>
    </w:p>
    <w:p w14:paraId="12B8CA02" w14:textId="77777777" w:rsidR="002672AA" w:rsidRPr="001F0ECB" w:rsidRDefault="002672AA" w:rsidP="00EC390B">
      <w:pPr>
        <w:pStyle w:val="BodyText"/>
        <w:numPr>
          <w:ilvl w:val="0"/>
          <w:numId w:val="19"/>
        </w:numPr>
        <w:spacing w:before="0"/>
        <w:ind w:left="709" w:hanging="425"/>
        <w:jc w:val="both"/>
        <w:rPr>
          <w:rFonts w:ascii="Times New Roman" w:hAnsi="Times New Roman"/>
          <w:noProof/>
        </w:rPr>
      </w:pPr>
      <w:r>
        <w:rPr>
          <w:rFonts w:ascii="Times New Roman" w:hAnsi="Times New Roman"/>
        </w:rPr>
        <w:t xml:space="preserve">Iekšzemes kopprodukta deflators (sadalīts pa </w:t>
      </w:r>
      <w:r>
        <w:rPr>
          <w:rFonts w:ascii="Times New Roman" w:hAnsi="Times New Roman"/>
          <w:i/>
        </w:rPr>
        <w:t>NACE</w:t>
      </w:r>
      <w:r>
        <w:rPr>
          <w:rFonts w:ascii="Times New Roman" w:hAnsi="Times New Roman"/>
        </w:rPr>
        <w:t xml:space="preserve"> 2. red. A*15 darbības veidiem, produktu nodokļiem un produktu subsīdijām).</w:t>
      </w:r>
    </w:p>
    <w:p w14:paraId="562A59F6" w14:textId="77777777" w:rsidR="00EC390B" w:rsidRDefault="00EC390B" w:rsidP="00975B5E">
      <w:pPr>
        <w:pStyle w:val="BodyText"/>
        <w:spacing w:before="0"/>
        <w:ind w:left="0"/>
        <w:jc w:val="both"/>
        <w:rPr>
          <w:rFonts w:ascii="Times New Roman" w:hAnsi="Times New Roman"/>
          <w:noProof/>
        </w:rPr>
      </w:pPr>
    </w:p>
    <w:p w14:paraId="31CA04C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nefinanšu kontu dati pa sektoriem tiek publicēti ne vēlāk 85. dienā pēc pārskata perioda. Tā kā Latvijas IKP ir mazāks par 1 % no ES kopējā apjoma, ceturkšņa kontu novērtējumi pa sektoriem aptver datus par kopējo ekonomiku (S.1), vispārējās valdības sektoriem (S.13) un pārējo pasauli (S.2).</w:t>
      </w:r>
    </w:p>
    <w:p w14:paraId="2E268BBB" w14:textId="77777777" w:rsidR="002672AA" w:rsidRPr="001F0ECB" w:rsidRDefault="002672AA" w:rsidP="00975B5E">
      <w:pPr>
        <w:jc w:val="both"/>
        <w:rPr>
          <w:rFonts w:ascii="Times New Roman" w:eastAsia="Calibri" w:hAnsi="Times New Roman" w:cs="Calibri"/>
          <w:noProof/>
          <w:sz w:val="24"/>
          <w:szCs w:val="24"/>
        </w:rPr>
      </w:pPr>
    </w:p>
    <w:p w14:paraId="17CB5050" w14:textId="77777777" w:rsidR="002672AA" w:rsidRPr="001F0ECB" w:rsidRDefault="002672AA" w:rsidP="00975B5E">
      <w:pPr>
        <w:jc w:val="both"/>
        <w:rPr>
          <w:rFonts w:ascii="Times New Roman" w:eastAsia="Calibri" w:hAnsi="Times New Roman" w:cs="Calibri"/>
          <w:noProof/>
          <w:sz w:val="24"/>
          <w:szCs w:val="23"/>
        </w:rPr>
      </w:pPr>
    </w:p>
    <w:p w14:paraId="6DD4DC8F" w14:textId="77777777" w:rsidR="002672AA" w:rsidRPr="001F0ECB" w:rsidRDefault="00EC390B" w:rsidP="00EC390B">
      <w:pPr>
        <w:pStyle w:val="Heading2"/>
        <w:tabs>
          <w:tab w:val="left" w:pos="1181"/>
        </w:tabs>
        <w:ind w:left="0" w:firstLine="0"/>
        <w:jc w:val="both"/>
        <w:rPr>
          <w:rFonts w:ascii="Times New Roman" w:hAnsi="Times New Roman"/>
          <w:noProof/>
          <w:sz w:val="24"/>
        </w:rPr>
      </w:pPr>
      <w:bookmarkStart w:id="26" w:name="_Toc73461235"/>
      <w:r>
        <w:rPr>
          <w:rFonts w:ascii="Times New Roman" w:hAnsi="Times New Roman"/>
          <w:sz w:val="24"/>
        </w:rPr>
        <w:t>2.3. Īpaša datu nosūtīšana</w:t>
      </w:r>
      <w:bookmarkStart w:id="27" w:name="_bookmark13"/>
      <w:bookmarkEnd w:id="26"/>
      <w:bookmarkEnd w:id="27"/>
    </w:p>
    <w:p w14:paraId="1A1E4F70" w14:textId="77777777" w:rsidR="00EC390B" w:rsidRDefault="00EC390B" w:rsidP="00975B5E">
      <w:pPr>
        <w:pStyle w:val="BodyText"/>
        <w:spacing w:before="0"/>
        <w:ind w:left="0"/>
        <w:jc w:val="both"/>
        <w:rPr>
          <w:rFonts w:ascii="Times New Roman" w:hAnsi="Times New Roman"/>
          <w:noProof/>
        </w:rPr>
      </w:pPr>
    </w:p>
    <w:p w14:paraId="17DA4E5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Latvijas CNK rezultātus nosūta </w:t>
      </w:r>
      <w:r>
        <w:rPr>
          <w:rFonts w:ascii="Times New Roman" w:hAnsi="Times New Roman"/>
          <w:i/>
        </w:rPr>
        <w:t>Eurostat</w:t>
      </w:r>
      <w:r>
        <w:rPr>
          <w:rFonts w:ascii="Times New Roman" w:hAnsi="Times New Roman"/>
        </w:rPr>
        <w:t>, ievērojot obligāto EKS 2010 Datu nosūtīšanas programmu.</w:t>
      </w:r>
    </w:p>
    <w:p w14:paraId="2CFBFA22" w14:textId="77777777" w:rsidR="00EC390B" w:rsidRDefault="00EC390B" w:rsidP="00975B5E">
      <w:pPr>
        <w:pStyle w:val="BodyText"/>
        <w:spacing w:before="0"/>
        <w:ind w:left="0"/>
        <w:jc w:val="both"/>
        <w:rPr>
          <w:rFonts w:ascii="Times New Roman" w:hAnsi="Times New Roman"/>
          <w:noProof/>
        </w:rPr>
      </w:pPr>
    </w:p>
    <w:p w14:paraId="59B7A95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Datus saņem ne tikai </w:t>
      </w:r>
      <w:r>
        <w:rPr>
          <w:rFonts w:ascii="Times New Roman" w:hAnsi="Times New Roman"/>
          <w:i/>
        </w:rPr>
        <w:t>Eurostat</w:t>
      </w:r>
      <w:r>
        <w:rPr>
          <w:rFonts w:ascii="Times New Roman" w:hAnsi="Times New Roman"/>
        </w:rPr>
        <w:t>, bet arī vairāki citi lietotāji. Dati tiek regulāri nosūtīti Latvijas Bankai, Ekonomikas ministrijai un citām iestādēm (SVF, ESAO un ECB).</w:t>
      </w:r>
    </w:p>
    <w:p w14:paraId="75E94BC5" w14:textId="77777777" w:rsidR="00EC390B" w:rsidRDefault="00EC390B" w:rsidP="00975B5E">
      <w:pPr>
        <w:pStyle w:val="BodyText"/>
        <w:spacing w:before="0"/>
        <w:ind w:left="0"/>
        <w:jc w:val="both"/>
        <w:rPr>
          <w:rFonts w:ascii="Times New Roman" w:hAnsi="Times New Roman"/>
          <w:noProof/>
        </w:rPr>
      </w:pPr>
    </w:p>
    <w:p w14:paraId="120CAF7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lastRenderedPageBreak/>
        <w:t>Dažas ziņu aģentūras saņem IKP preses relīzi stundu pirms publicēšanas laika, un tām ir jāievēro aizliegums publicēt datus pirms noteiktā termiņa.</w:t>
      </w:r>
    </w:p>
    <w:p w14:paraId="0BB5300C" w14:textId="77777777" w:rsidR="002672AA" w:rsidRPr="001F0ECB" w:rsidRDefault="002672AA" w:rsidP="00975B5E">
      <w:pPr>
        <w:jc w:val="both"/>
        <w:rPr>
          <w:rFonts w:ascii="Times New Roman" w:eastAsia="Calibri" w:hAnsi="Times New Roman" w:cs="Calibri"/>
          <w:noProof/>
          <w:sz w:val="24"/>
          <w:szCs w:val="24"/>
        </w:rPr>
      </w:pPr>
    </w:p>
    <w:p w14:paraId="4100E379" w14:textId="77777777" w:rsidR="002672AA" w:rsidRPr="001F0ECB" w:rsidRDefault="002672AA" w:rsidP="00975B5E">
      <w:pPr>
        <w:jc w:val="both"/>
        <w:rPr>
          <w:rFonts w:ascii="Times New Roman" w:eastAsia="Calibri" w:hAnsi="Times New Roman" w:cs="Calibri"/>
          <w:noProof/>
          <w:sz w:val="24"/>
          <w:szCs w:val="23"/>
        </w:rPr>
      </w:pPr>
    </w:p>
    <w:p w14:paraId="5A236BC0" w14:textId="77777777" w:rsidR="002672AA" w:rsidRPr="001F0ECB" w:rsidRDefault="00EC390B" w:rsidP="00EC390B">
      <w:pPr>
        <w:pStyle w:val="Heading2"/>
        <w:tabs>
          <w:tab w:val="left" w:pos="1181"/>
        </w:tabs>
        <w:ind w:left="0" w:firstLine="0"/>
        <w:jc w:val="both"/>
        <w:rPr>
          <w:rFonts w:ascii="Times New Roman" w:hAnsi="Times New Roman"/>
          <w:noProof/>
          <w:sz w:val="24"/>
        </w:rPr>
      </w:pPr>
      <w:bookmarkStart w:id="28" w:name="_Toc73461236"/>
      <w:r>
        <w:rPr>
          <w:rFonts w:ascii="Times New Roman" w:hAnsi="Times New Roman"/>
          <w:sz w:val="24"/>
        </w:rPr>
        <w:t>2.4. Metadatu politika</w:t>
      </w:r>
      <w:bookmarkStart w:id="29" w:name="_bookmark14"/>
      <w:bookmarkEnd w:id="28"/>
      <w:bookmarkEnd w:id="29"/>
    </w:p>
    <w:p w14:paraId="1BE999F1" w14:textId="77777777" w:rsidR="00EC390B" w:rsidRDefault="00EC390B" w:rsidP="00975B5E">
      <w:pPr>
        <w:pStyle w:val="BodyText"/>
        <w:spacing w:before="0"/>
        <w:ind w:left="0"/>
        <w:jc w:val="both"/>
        <w:rPr>
          <w:rFonts w:ascii="Times New Roman" w:hAnsi="Times New Roman"/>
          <w:noProof/>
        </w:rPr>
      </w:pPr>
    </w:p>
    <w:p w14:paraId="6BC3695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Kopš 1996. gada Latvija ir Starptautiskā valūtas fonda Datu izplatīšanas standarta (SDIS) dalībniece. 2017. gada februārī Latvijas Republikas Ministru kabinets atbalstīja Latvijas pievienošanos SDIS Plus, un kopš 2018. gada augusta Latvija pilnībā nodrošina SDIS Plus prasības. CNK metadatus sagatavo atbilstoši SDIS Plus standartam, un tie ir pieejami SVF tīmekļa vietnē un tiek atjaunināti katru gadu:</w:t>
      </w:r>
    </w:p>
    <w:p w14:paraId="42AC6686" w14:textId="77777777" w:rsidR="00EC390B" w:rsidRDefault="00EC390B" w:rsidP="00975B5E">
      <w:pPr>
        <w:pStyle w:val="BodyText"/>
        <w:spacing w:before="0"/>
        <w:ind w:left="0"/>
        <w:jc w:val="both"/>
        <w:rPr>
          <w:rFonts w:ascii="Times New Roman" w:hAnsi="Times New Roman"/>
          <w:noProof/>
          <w:u w:val="single" w:color="0000FF"/>
        </w:rPr>
      </w:pPr>
    </w:p>
    <w:p w14:paraId="3C257286" w14:textId="77777777" w:rsidR="009F3A69" w:rsidRPr="00EC390B" w:rsidRDefault="00080696" w:rsidP="009F3A69">
      <w:pPr>
        <w:pStyle w:val="BodyText"/>
        <w:spacing w:before="0"/>
        <w:ind w:left="0"/>
        <w:jc w:val="both"/>
        <w:rPr>
          <w:rFonts w:ascii="Times New Roman" w:hAnsi="Times New Roman"/>
          <w:noProof/>
          <w:u w:val="single"/>
        </w:rPr>
      </w:pPr>
      <w:hyperlink r:id="rId21" w:history="1">
        <w:r w:rsidR="009F3A69" w:rsidRPr="00512AD6">
          <w:rPr>
            <w:rStyle w:val="Hyperlink"/>
            <w:rFonts w:ascii="Times New Roman" w:hAnsi="Times New Roman"/>
          </w:rPr>
          <w:t>https://dsbb.imf.org/sdds-plus/dqaf-base/country/LVA/category/NAG00</w:t>
        </w:r>
      </w:hyperlink>
    </w:p>
    <w:p w14:paraId="159C3A67" w14:textId="77777777" w:rsidR="00EC390B" w:rsidRDefault="00EC390B" w:rsidP="00975B5E">
      <w:pPr>
        <w:pStyle w:val="BodyText"/>
        <w:spacing w:before="0"/>
        <w:ind w:left="0"/>
        <w:jc w:val="both"/>
        <w:rPr>
          <w:rFonts w:ascii="Times New Roman" w:hAnsi="Times New Roman"/>
          <w:noProof/>
        </w:rPr>
      </w:pPr>
    </w:p>
    <w:p w14:paraId="2579439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Ar nacionālajiem kontiem saistītie metadati atrodami tīmekļa vietnē:</w:t>
      </w:r>
    </w:p>
    <w:p w14:paraId="38226D84" w14:textId="77777777" w:rsidR="00EC390B" w:rsidRDefault="00EC390B" w:rsidP="00975B5E">
      <w:pPr>
        <w:pStyle w:val="BodyText"/>
        <w:spacing w:before="0"/>
        <w:ind w:left="0"/>
        <w:jc w:val="both"/>
        <w:rPr>
          <w:rFonts w:ascii="Times New Roman" w:hAnsi="Times New Roman"/>
          <w:noProof/>
          <w:u w:val="single" w:color="0000FF"/>
        </w:rPr>
      </w:pPr>
    </w:p>
    <w:p w14:paraId="1E0A93D1" w14:textId="49AE99EE" w:rsidR="00EC390B" w:rsidRDefault="00080696" w:rsidP="00975B5E">
      <w:pPr>
        <w:pStyle w:val="BodyText"/>
        <w:spacing w:before="0"/>
        <w:ind w:left="0"/>
        <w:jc w:val="both"/>
        <w:rPr>
          <w:rFonts w:ascii="Times New Roman" w:hAnsi="Times New Roman"/>
          <w:u w:val="single"/>
        </w:rPr>
      </w:pPr>
      <w:hyperlink r:id="rId22" w:history="1">
        <w:r w:rsidR="00FB7C85" w:rsidRPr="004C5AC2">
          <w:rPr>
            <w:rStyle w:val="Hyperlink"/>
            <w:rFonts w:ascii="Times New Roman" w:hAnsi="Times New Roman"/>
          </w:rPr>
          <w:t>https://stat.gov.lv/lv/metadati/2479-iekszemes-kopprodukts-latvija-kopa-eks-2010-ceturksnu-dati</w:t>
        </w:r>
      </w:hyperlink>
    </w:p>
    <w:p w14:paraId="5242EBC1" w14:textId="77777777" w:rsidR="00FB7C85" w:rsidRDefault="00FB7C85" w:rsidP="00975B5E">
      <w:pPr>
        <w:pStyle w:val="BodyText"/>
        <w:spacing w:before="0"/>
        <w:ind w:left="0"/>
        <w:jc w:val="both"/>
        <w:rPr>
          <w:rFonts w:ascii="Times New Roman" w:hAnsi="Times New Roman"/>
          <w:noProof/>
        </w:rPr>
      </w:pPr>
    </w:p>
    <w:p w14:paraId="027F60E3" w14:textId="2BB38229" w:rsidR="002672AA" w:rsidRDefault="002672AA" w:rsidP="00975B5E">
      <w:pPr>
        <w:pStyle w:val="BodyText"/>
        <w:spacing w:before="0"/>
        <w:ind w:left="0"/>
        <w:jc w:val="both"/>
        <w:rPr>
          <w:rFonts w:ascii="Times New Roman" w:hAnsi="Times New Roman"/>
          <w:noProof/>
        </w:rPr>
      </w:pPr>
      <w:r>
        <w:rPr>
          <w:rFonts w:ascii="Times New Roman" w:hAnsi="Times New Roman"/>
        </w:rPr>
        <w:t>Metadati, kas saistīti ar ceturkšņa nacionālajiem kontiem, ir ietverti CSP izstrādātajā un ieviestajā projektu dokumentēšanas sistēmā, kur visi statistikas produkti (apsekojumi un aprēķini)</w:t>
      </w:r>
      <w:r w:rsidR="00F90FE7">
        <w:rPr>
          <w:rFonts w:ascii="Times New Roman" w:hAnsi="Times New Roman"/>
        </w:rPr>
        <w:t xml:space="preserve"> </w:t>
      </w:r>
      <w:r>
        <w:rPr>
          <w:rFonts w:ascii="Times New Roman" w:hAnsi="Times New Roman"/>
        </w:rPr>
        <w:t>ir aprakstīti attiecībā uz katru ražošanas procesu. Šie nacionālie standartizētie kvalitātes pārskati tiek sagatavoti tikai latviešu valodā. Minētie pārskati tika publicēti līdz 2016. gadam, bet no 2017. gada tie ir paredzēti tikai iekšējai lietošanai.</w:t>
      </w:r>
    </w:p>
    <w:p w14:paraId="6BB4941E" w14:textId="77777777" w:rsidR="00EC390B" w:rsidRPr="001F0ECB" w:rsidRDefault="00EC390B" w:rsidP="00975B5E">
      <w:pPr>
        <w:pStyle w:val="BodyText"/>
        <w:spacing w:before="0"/>
        <w:ind w:left="0"/>
        <w:jc w:val="both"/>
        <w:rPr>
          <w:rFonts w:ascii="Times New Roman" w:hAnsi="Times New Roman"/>
          <w:noProof/>
        </w:rPr>
      </w:pPr>
    </w:p>
    <w:p w14:paraId="35E3FFB7" w14:textId="77777777" w:rsidR="00C26B7B" w:rsidRPr="00EC390B" w:rsidRDefault="00C26B7B" w:rsidP="00C26B7B">
      <w:pPr>
        <w:pStyle w:val="BodyText"/>
        <w:numPr>
          <w:ilvl w:val="0"/>
          <w:numId w:val="19"/>
        </w:numPr>
        <w:spacing w:before="0"/>
        <w:ind w:left="709" w:hanging="425"/>
        <w:jc w:val="both"/>
        <w:rPr>
          <w:rFonts w:ascii="Times New Roman" w:hAnsi="Times New Roman"/>
          <w:noProof/>
          <w:u w:val="single"/>
        </w:rPr>
      </w:pPr>
      <w:r>
        <w:rPr>
          <w:rFonts w:ascii="Times New Roman" w:hAnsi="Times New Roman"/>
        </w:rPr>
        <w:t xml:space="preserve">IKP ražošanas pieeja: </w:t>
      </w:r>
      <w:hyperlink r:id="rId23" w:history="1">
        <w:r w:rsidRPr="00D37B45">
          <w:rPr>
            <w:rStyle w:val="Hyperlink"/>
            <w:rFonts w:ascii="Times New Roman" w:hAnsi="Times New Roman"/>
          </w:rPr>
          <w:t>https://ads.csb.gov.lv/Apsekojums/Sakums.rails?id=98fe2373-0640-4712-832f-a6200100af82%20&amp;%20listPage=1</w:t>
        </w:r>
      </w:hyperlink>
    </w:p>
    <w:p w14:paraId="06D5F0BE" w14:textId="77777777" w:rsidR="00C26B7B" w:rsidRPr="00BC51F7" w:rsidRDefault="00C26B7B" w:rsidP="00C26B7B">
      <w:pPr>
        <w:pStyle w:val="BodyText"/>
        <w:numPr>
          <w:ilvl w:val="0"/>
          <w:numId w:val="19"/>
        </w:numPr>
        <w:spacing w:before="0"/>
        <w:ind w:left="709" w:hanging="425"/>
        <w:jc w:val="both"/>
        <w:rPr>
          <w:rFonts w:ascii="Times New Roman" w:hAnsi="Times New Roman"/>
          <w:noProof/>
        </w:rPr>
      </w:pPr>
      <w:r>
        <w:rPr>
          <w:rFonts w:ascii="Times New Roman" w:hAnsi="Times New Roman"/>
        </w:rPr>
        <w:t xml:space="preserve">IKP izdevumu pieeja: </w:t>
      </w:r>
      <w:hyperlink r:id="rId24" w:history="1">
        <w:r w:rsidRPr="00512AD6">
          <w:rPr>
            <w:rStyle w:val="Hyperlink"/>
            <w:rFonts w:ascii="Times New Roman" w:hAnsi="Times New Roman"/>
          </w:rPr>
          <w:t>https://ads.csb.gov.lv/Apsekojums/Sakums.rails?id=2cf1692a-eb76-4189-8424-a61900b3efbb&amp;listPage=1</w:t>
        </w:r>
      </w:hyperlink>
    </w:p>
    <w:p w14:paraId="588153A8" w14:textId="77777777" w:rsidR="00C26B7B" w:rsidRPr="00EC390B" w:rsidRDefault="00C26B7B" w:rsidP="00C26B7B">
      <w:pPr>
        <w:pStyle w:val="BodyText"/>
        <w:numPr>
          <w:ilvl w:val="0"/>
          <w:numId w:val="19"/>
        </w:numPr>
        <w:spacing w:before="0"/>
        <w:ind w:left="709" w:hanging="425"/>
        <w:jc w:val="both"/>
        <w:rPr>
          <w:rFonts w:ascii="Times New Roman" w:hAnsi="Times New Roman"/>
          <w:noProof/>
          <w:u w:val="single"/>
        </w:rPr>
      </w:pPr>
      <w:r>
        <w:rPr>
          <w:rFonts w:ascii="Times New Roman" w:hAnsi="Times New Roman"/>
        </w:rPr>
        <w:t xml:space="preserve">IKP ienākumu pieeja: </w:t>
      </w:r>
      <w:hyperlink r:id="rId25" w:history="1">
        <w:r w:rsidRPr="00512AD6">
          <w:rPr>
            <w:rStyle w:val="Hyperlink"/>
            <w:rFonts w:ascii="Times New Roman" w:hAnsi="Times New Roman"/>
          </w:rPr>
          <w:t>https://ads.csb.gov.lv/Apsekojums/Sakums.rails?id=95db7fc7-ba3f-480f-84ab-a61a00a32aad&amp;listPage=1</w:t>
        </w:r>
      </w:hyperlink>
    </w:p>
    <w:p w14:paraId="32EC6611" w14:textId="77777777" w:rsidR="002672AA" w:rsidRPr="001F0ECB" w:rsidRDefault="002672AA" w:rsidP="00975B5E">
      <w:pPr>
        <w:jc w:val="both"/>
        <w:rPr>
          <w:rFonts w:ascii="Times New Roman" w:eastAsia="Calibri" w:hAnsi="Times New Roman" w:cs="Calibri"/>
          <w:noProof/>
          <w:sz w:val="24"/>
          <w:szCs w:val="20"/>
        </w:rPr>
      </w:pPr>
    </w:p>
    <w:p w14:paraId="32147524" w14:textId="77777777" w:rsidR="002672AA" w:rsidRPr="001F0ECB" w:rsidRDefault="002672AA" w:rsidP="00975B5E">
      <w:pPr>
        <w:jc w:val="both"/>
        <w:rPr>
          <w:rFonts w:ascii="Times New Roman" w:eastAsia="Calibri" w:hAnsi="Times New Roman" w:cs="Calibri"/>
          <w:noProof/>
          <w:sz w:val="24"/>
          <w:szCs w:val="25"/>
        </w:rPr>
      </w:pPr>
    </w:p>
    <w:p w14:paraId="55DEAD2F" w14:textId="77777777" w:rsidR="002672AA" w:rsidRPr="00C26B7B" w:rsidRDefault="00EC390B" w:rsidP="00EC390B">
      <w:pPr>
        <w:pStyle w:val="Heading1"/>
        <w:tabs>
          <w:tab w:val="left" w:pos="821"/>
        </w:tabs>
        <w:spacing w:before="0"/>
        <w:ind w:left="0" w:firstLine="0"/>
        <w:jc w:val="both"/>
        <w:rPr>
          <w:rFonts w:ascii="Times New Roman" w:hAnsi="Times New Roman"/>
          <w:noProof/>
          <w:sz w:val="28"/>
          <w:szCs w:val="40"/>
        </w:rPr>
      </w:pPr>
      <w:bookmarkStart w:id="30" w:name="_Toc73461237"/>
      <w:r w:rsidRPr="00C26B7B">
        <w:rPr>
          <w:rFonts w:ascii="Times New Roman" w:hAnsi="Times New Roman"/>
          <w:sz w:val="28"/>
          <w:szCs w:val="40"/>
        </w:rPr>
        <w:t>3. Vispārējā CNK apkopošanas pieeja</w:t>
      </w:r>
      <w:bookmarkStart w:id="31" w:name="_bookmark15"/>
      <w:bookmarkEnd w:id="30"/>
      <w:bookmarkEnd w:id="31"/>
    </w:p>
    <w:p w14:paraId="4BFB52B8" w14:textId="77777777" w:rsidR="00EC390B" w:rsidRDefault="00EC390B" w:rsidP="00EC390B">
      <w:pPr>
        <w:pStyle w:val="Heading2"/>
        <w:tabs>
          <w:tab w:val="left" w:pos="1181"/>
        </w:tabs>
        <w:ind w:left="0" w:firstLine="0"/>
        <w:jc w:val="both"/>
        <w:rPr>
          <w:rFonts w:ascii="Times New Roman" w:hAnsi="Times New Roman"/>
          <w:noProof/>
          <w:sz w:val="24"/>
        </w:rPr>
      </w:pPr>
    </w:p>
    <w:p w14:paraId="03A14081" w14:textId="77777777" w:rsidR="002672AA" w:rsidRPr="001F0ECB" w:rsidRDefault="00EC390B" w:rsidP="00EC390B">
      <w:pPr>
        <w:pStyle w:val="Heading2"/>
        <w:tabs>
          <w:tab w:val="left" w:pos="1181"/>
        </w:tabs>
        <w:ind w:left="0" w:firstLine="0"/>
        <w:jc w:val="both"/>
        <w:rPr>
          <w:rFonts w:ascii="Times New Roman" w:hAnsi="Times New Roman"/>
          <w:noProof/>
          <w:sz w:val="24"/>
        </w:rPr>
      </w:pPr>
      <w:bookmarkStart w:id="32" w:name="_Toc73461238"/>
      <w:r>
        <w:rPr>
          <w:rFonts w:ascii="Times New Roman" w:hAnsi="Times New Roman"/>
          <w:sz w:val="24"/>
        </w:rPr>
        <w:t>3.1. CNK sistēmas vispārīgā arhitektūra</w:t>
      </w:r>
      <w:bookmarkStart w:id="33" w:name="_bookmark16"/>
      <w:bookmarkEnd w:id="32"/>
      <w:bookmarkEnd w:id="33"/>
    </w:p>
    <w:p w14:paraId="5C34384E" w14:textId="77777777" w:rsidR="00EC390B" w:rsidRDefault="00EC390B" w:rsidP="00975B5E">
      <w:pPr>
        <w:pStyle w:val="BodyText"/>
        <w:spacing w:before="0"/>
        <w:ind w:left="0"/>
        <w:jc w:val="both"/>
        <w:rPr>
          <w:rFonts w:ascii="Times New Roman" w:hAnsi="Times New Roman"/>
          <w:noProof/>
        </w:rPr>
      </w:pPr>
    </w:p>
    <w:p w14:paraId="5A60DEF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Latvijas nacionālos kontus veido gan ceturkšņa, gan gada konti. Šīs divas sistēmas ir saskanīgas.</w:t>
      </w:r>
    </w:p>
    <w:p w14:paraId="51560F94" w14:textId="77777777" w:rsidR="00EC390B" w:rsidRDefault="00EC390B" w:rsidP="00975B5E">
      <w:pPr>
        <w:pStyle w:val="BodyText"/>
        <w:spacing w:before="0"/>
        <w:ind w:left="0"/>
        <w:jc w:val="both"/>
        <w:rPr>
          <w:rFonts w:ascii="Times New Roman" w:hAnsi="Times New Roman"/>
          <w:noProof/>
        </w:rPr>
      </w:pPr>
    </w:p>
    <w:p w14:paraId="6DA091E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Gan gada, gan ceturkšņa nacionālie konti tiek apkopoti saskaņā ar Eiropas nacionālo un reģionālo kontu sistēmu Eiropas Savienībā (EKS 2010), kā noteikts Eiropas Parlamenta un Padomes 2013. gada 21. maija Regulā (ES) Nr. 549/2013.</w:t>
      </w:r>
    </w:p>
    <w:p w14:paraId="440A55C3" w14:textId="77777777" w:rsidR="00EC390B" w:rsidRDefault="00EC390B" w:rsidP="00975B5E">
      <w:pPr>
        <w:pStyle w:val="BodyText"/>
        <w:spacing w:before="0"/>
        <w:ind w:left="0"/>
        <w:jc w:val="both"/>
        <w:rPr>
          <w:rFonts w:ascii="Times New Roman" w:hAnsi="Times New Roman"/>
          <w:noProof/>
        </w:rPr>
      </w:pPr>
    </w:p>
    <w:p w14:paraId="5B88E3A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gada un ceturkšņa novērtējumus iegūst, izmantojot izlaides (ražošanas), izdevumu un ienākumu pieeju.</w:t>
      </w:r>
    </w:p>
    <w:p w14:paraId="2D92078F" w14:textId="77777777" w:rsidR="00EC390B" w:rsidRDefault="00EC390B" w:rsidP="00975B5E">
      <w:pPr>
        <w:pStyle w:val="BodyText"/>
        <w:spacing w:before="0"/>
        <w:ind w:left="0"/>
        <w:jc w:val="both"/>
        <w:rPr>
          <w:rFonts w:ascii="Times New Roman" w:hAnsi="Times New Roman"/>
          <w:noProof/>
        </w:rPr>
      </w:pPr>
    </w:p>
    <w:p w14:paraId="5638D1E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IKP tirgus cenās saskaņā ar ražošanas pieeju (primāro pieeju Latvijā) veido visu saimniecisko darbību bruto pievienotās vērtības summa, kurai pieskaitīti produktu nodokļi un no kuras atņemtas produktu subsīdijas. Lai aprēķinātu bruto pievienoto vērtību, vispirms aprēķina </w:t>
      </w:r>
      <w:r>
        <w:rPr>
          <w:rFonts w:ascii="Times New Roman" w:hAnsi="Times New Roman"/>
        </w:rPr>
        <w:lastRenderedPageBreak/>
        <w:t xml:space="preserve">izlaidi un starppatēriņu dažādos </w:t>
      </w:r>
      <w:r>
        <w:rPr>
          <w:rFonts w:ascii="Times New Roman" w:hAnsi="Times New Roman"/>
          <w:i/>
        </w:rPr>
        <w:t>NACE</w:t>
      </w:r>
      <w:r>
        <w:rPr>
          <w:rFonts w:ascii="Times New Roman" w:hAnsi="Times New Roman"/>
        </w:rPr>
        <w:t xml:space="preserve"> 2. red. apkopojumos.</w:t>
      </w:r>
    </w:p>
    <w:p w14:paraId="5CD8E29B" w14:textId="77777777" w:rsidR="009F6D36" w:rsidRDefault="009F6D36" w:rsidP="00975B5E">
      <w:pPr>
        <w:pStyle w:val="BodyText"/>
        <w:spacing w:before="0"/>
        <w:ind w:left="0"/>
        <w:jc w:val="both"/>
        <w:rPr>
          <w:rFonts w:ascii="Times New Roman" w:hAnsi="Times New Roman"/>
          <w:noProof/>
        </w:rPr>
      </w:pPr>
    </w:p>
    <w:p w14:paraId="077A38C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izdevumu pieeju aprēķinātu IKP veido pircēju cenās izteiktu kopējo galaizdevumu, bruto kapitāla veidošanas un preču un pakalpojumu eksporta summa, no kuras atņemts preču un pakalpojumu imports.</w:t>
      </w:r>
    </w:p>
    <w:p w14:paraId="76E1671C" w14:textId="77777777" w:rsidR="009F6D36" w:rsidRDefault="009F6D36" w:rsidP="00975B5E">
      <w:pPr>
        <w:pStyle w:val="BodyText"/>
        <w:spacing w:before="0"/>
        <w:ind w:left="0"/>
        <w:jc w:val="both"/>
        <w:rPr>
          <w:rFonts w:ascii="Times New Roman" w:hAnsi="Times New Roman"/>
          <w:noProof/>
        </w:rPr>
      </w:pPr>
    </w:p>
    <w:p w14:paraId="403D932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ienākumu pieeju aprēķinātu IKP veido darbinieku atalgojuma, bruto darbības rezultāta, kā arī jauktā ienākuma un ražošanas un importa nodokļu summa, no kuras atņemtas subsīdijas. Bruto darbības rezultātu un jaukto ienākumu iegūst kā atlikušo vērtību.</w:t>
      </w:r>
    </w:p>
    <w:p w14:paraId="15444F37" w14:textId="77777777" w:rsidR="009F6D36" w:rsidRDefault="009F6D36" w:rsidP="00975B5E">
      <w:pPr>
        <w:pStyle w:val="BodyText"/>
        <w:spacing w:before="0"/>
        <w:ind w:left="0"/>
        <w:jc w:val="both"/>
        <w:rPr>
          <w:rFonts w:ascii="Times New Roman" w:hAnsi="Times New Roman"/>
          <w:noProof/>
        </w:rPr>
      </w:pPr>
    </w:p>
    <w:p w14:paraId="789F9BF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nacionālo kontu apkopošana sākas ar viena IKP novērtējuma sagatavošanu, izmantojot saskaņā ar izlaides, ienākumu un izdevumu metodi aprēķinātās komponentes. IKP apkopošana saskaņā ar ražošanas un izdevumu pieeju tiek veikta daudz detalizētāk nekā tiek publicēti mainīgie lielumi.</w:t>
      </w:r>
    </w:p>
    <w:p w14:paraId="1E301CCB" w14:textId="77777777" w:rsidR="009F6D36" w:rsidRDefault="009F6D36" w:rsidP="00975B5E">
      <w:pPr>
        <w:pStyle w:val="BodyText"/>
        <w:spacing w:before="0"/>
        <w:ind w:left="0"/>
        <w:jc w:val="both"/>
        <w:rPr>
          <w:rFonts w:ascii="Times New Roman" w:hAnsi="Times New Roman"/>
          <w:noProof/>
        </w:rPr>
      </w:pPr>
    </w:p>
    <w:p w14:paraId="36CD502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Vērtēšanu, izmantojot ražošanas pieeju, veic atbilstīgi A*88 saimnieciskās darbības nozaru detalizācija pakāpei, bet publicēšanai vietējā datubāzē tiek izmantota A*15 detalizācijas pakāpe. Mājsaimniecību galapatēriņa izdevumu ceturkšņa dati ir iedalīti 12 grupās saskaņā ar </w:t>
      </w:r>
      <w:r>
        <w:rPr>
          <w:rFonts w:ascii="Times New Roman" w:hAnsi="Times New Roman"/>
          <w:i/>
        </w:rPr>
        <w:t>ECOICOP</w:t>
      </w:r>
      <w:r>
        <w:rPr>
          <w:rFonts w:ascii="Times New Roman" w:hAnsi="Times New Roman"/>
        </w:rPr>
        <w:t xml:space="preserve"> klasifikāciju.</w:t>
      </w:r>
    </w:p>
    <w:p w14:paraId="7D8952D7" w14:textId="77777777" w:rsidR="00975B5E" w:rsidRPr="001F0ECB" w:rsidRDefault="00975B5E" w:rsidP="00975B5E">
      <w:pPr>
        <w:jc w:val="both"/>
        <w:rPr>
          <w:rFonts w:ascii="Times New Roman" w:hAnsi="Times New Roman"/>
          <w:noProof/>
          <w:sz w:val="24"/>
        </w:rPr>
      </w:pPr>
    </w:p>
    <w:p w14:paraId="183BFE6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Latvijā ceturkšņa IKP aprēķinos galvenokārt izmanto netiešo metodi. Tas nozīmē, ka informācija no tiešajiem datu avotiem, piemēram, statistikas datiem no mēneša, ceturkšņa un pusgada statistikas pārskatiem un administratīvu datu avotiem, tiek izmantota un ekstrapolēta uz iepriekšējā gada vērtībām. Tiešo metodi izmanto vairākumam finanšu un apdrošināšanas darbību (</w:t>
      </w:r>
      <w:r>
        <w:rPr>
          <w:rFonts w:ascii="Times New Roman" w:hAnsi="Times New Roman"/>
          <w:i/>
        </w:rPr>
        <w:t>NACE</w:t>
      </w:r>
      <w:r>
        <w:rPr>
          <w:rFonts w:ascii="Times New Roman" w:hAnsi="Times New Roman"/>
        </w:rPr>
        <w:t xml:space="preserve"> 2. red. K sadaļa), produktu nodokļiem un produktu subsīdijām, un vispārējās valdības sektora rādītāju aprēķināšanai saskaņā ar IKP ražošanas pieeju, vispārējās valdības izdevumiem, eksportam un importam saskaņā ar IKP izdevumu pieeju, kā arī ražošanas un importa nodokļiem un subsīdijām saskaņā ar IKP ienākumu pieeju.</w:t>
      </w:r>
    </w:p>
    <w:p w14:paraId="509BE92C" w14:textId="77777777" w:rsidR="009F6D36" w:rsidRDefault="009F6D36" w:rsidP="00975B5E">
      <w:pPr>
        <w:pStyle w:val="BodyText"/>
        <w:spacing w:before="0"/>
        <w:ind w:left="0"/>
        <w:jc w:val="both"/>
        <w:rPr>
          <w:rFonts w:ascii="Times New Roman" w:hAnsi="Times New Roman"/>
          <w:noProof/>
        </w:rPr>
      </w:pPr>
    </w:p>
    <w:p w14:paraId="084D0D76" w14:textId="3C0EA9D0"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Latvija nosūta </w:t>
      </w:r>
      <w:r>
        <w:rPr>
          <w:rFonts w:ascii="Times New Roman" w:hAnsi="Times New Roman"/>
          <w:i/>
        </w:rPr>
        <w:t>Eurostat</w:t>
      </w:r>
      <w:r>
        <w:rPr>
          <w:rFonts w:ascii="Times New Roman" w:hAnsi="Times New Roman"/>
        </w:rPr>
        <w:t xml:space="preserve"> visas ceturkšņa tabulas atbilstīgi EKS 2010 Datu nosūtīšanas programmai. Dati ir pieejami no 1995. gada pirmā ceturkšņa faktiskajās un iepriekšējā gada cenās un ķēdētajos apjomos attiecībā pret 2015. gadu (</w:t>
      </w:r>
      <w:r w:rsidR="00453C70">
        <w:rPr>
          <w:rFonts w:ascii="Times New Roman" w:hAnsi="Times New Roman"/>
        </w:rPr>
        <w:t>atsauces</w:t>
      </w:r>
      <w:r>
        <w:rPr>
          <w:rFonts w:ascii="Times New Roman" w:hAnsi="Times New Roman"/>
        </w:rPr>
        <w:t xml:space="preserve"> gadu) līdz pēdējam pārskata ceturksnim (saskaņā ar ražošanas un izdevumu pieeju) un faktiskajās cenās (ceturkšņa IKP saskaņā ar ienākumu pieeju).</w:t>
      </w:r>
    </w:p>
    <w:p w14:paraId="0F0A1E7E" w14:textId="77777777" w:rsidR="009F6D36" w:rsidRDefault="009F6D36" w:rsidP="00975B5E">
      <w:pPr>
        <w:pStyle w:val="BodyText"/>
        <w:spacing w:before="0"/>
        <w:ind w:left="0"/>
        <w:jc w:val="both"/>
        <w:rPr>
          <w:rFonts w:ascii="Times New Roman" w:hAnsi="Times New Roman"/>
          <w:noProof/>
        </w:rPr>
      </w:pPr>
    </w:p>
    <w:p w14:paraId="12408B3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Apkopojuma pamatā nav piedāvājuma un izlietojuma tabulas, bet gan īstermiņa statistikas rādītāji. IKP līdzsvarošana visos aspektos tiek veikta sistēmā, izmantojot izdevumu un ienākumu pieejas balansposteņus.</w:t>
      </w:r>
    </w:p>
    <w:p w14:paraId="51295C60" w14:textId="77777777" w:rsidR="009F6D36" w:rsidRDefault="009F6D36" w:rsidP="00975B5E">
      <w:pPr>
        <w:pStyle w:val="Heading4"/>
        <w:spacing w:before="0"/>
        <w:ind w:left="0"/>
        <w:jc w:val="both"/>
        <w:rPr>
          <w:rFonts w:ascii="Times New Roman" w:hAnsi="Times New Roman"/>
          <w:noProof/>
        </w:rPr>
      </w:pPr>
    </w:p>
    <w:p w14:paraId="3AC9ACD6"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Klasifikācijas</w:t>
      </w:r>
    </w:p>
    <w:p w14:paraId="65F85F0A" w14:textId="77777777" w:rsidR="009F6D36" w:rsidRDefault="009F6D36" w:rsidP="00975B5E">
      <w:pPr>
        <w:pStyle w:val="BodyText"/>
        <w:spacing w:before="0"/>
        <w:ind w:left="0"/>
        <w:jc w:val="both"/>
        <w:rPr>
          <w:rFonts w:ascii="Times New Roman" w:hAnsi="Times New Roman"/>
          <w:noProof/>
        </w:rPr>
      </w:pPr>
    </w:p>
    <w:p w14:paraId="0462DF8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Institucionālie sektori tiek klasificēti atbilstoši EKS 2010 noteiktajām prasībām. Rūpnieciskās darbības klasificē, izmantojot </w:t>
      </w:r>
      <w:r>
        <w:rPr>
          <w:rFonts w:ascii="Times New Roman" w:hAnsi="Times New Roman"/>
          <w:i/>
        </w:rPr>
        <w:t>NACE</w:t>
      </w:r>
      <w:r>
        <w:rPr>
          <w:rFonts w:ascii="Times New Roman" w:hAnsi="Times New Roman"/>
        </w:rPr>
        <w:t xml:space="preserve"> 2. red. Valdības izlaidi un izlietojumu klasificē saskaņā ar Valdības funkciju klasifikāciju (</w:t>
      </w:r>
      <w:r>
        <w:rPr>
          <w:rFonts w:ascii="Times New Roman" w:hAnsi="Times New Roman"/>
          <w:i/>
        </w:rPr>
        <w:t>COFOG</w:t>
      </w:r>
      <w:r>
        <w:rPr>
          <w:rFonts w:ascii="Times New Roman" w:hAnsi="Times New Roman"/>
        </w:rPr>
        <w:t>), mājsaimniecību individuālā patēriņa izdevumus – saskaņā ar Eiropas Individuālā patēriņa veidu klasifikāciju (</w:t>
      </w:r>
      <w:r>
        <w:rPr>
          <w:rFonts w:ascii="Times New Roman" w:hAnsi="Times New Roman"/>
          <w:i/>
        </w:rPr>
        <w:t>ECOICOP</w:t>
      </w:r>
      <w:r>
        <w:rPr>
          <w:rFonts w:ascii="Times New Roman" w:hAnsi="Times New Roman"/>
        </w:rPr>
        <w:t>), savukārt Mājsaimniecības apkalpojošo bezpeļņas organizāciju mērķu klasifikāciju (</w:t>
      </w:r>
      <w:r>
        <w:rPr>
          <w:rFonts w:ascii="Times New Roman" w:hAnsi="Times New Roman"/>
          <w:i/>
        </w:rPr>
        <w:t>COPNI</w:t>
      </w:r>
      <w:r>
        <w:rPr>
          <w:rFonts w:ascii="Times New Roman" w:hAnsi="Times New Roman"/>
        </w:rPr>
        <w:t>) izmanto, lai klasificētu mājsaimniecības apkalpojošo bezpeļņas iestāžu (MABO) patēriņa izdevumus.</w:t>
      </w:r>
    </w:p>
    <w:p w14:paraId="6026BA53" w14:textId="77777777" w:rsidR="002672AA" w:rsidRPr="001F0ECB" w:rsidRDefault="002672AA" w:rsidP="00975B5E">
      <w:pPr>
        <w:jc w:val="both"/>
        <w:rPr>
          <w:rFonts w:ascii="Times New Roman" w:eastAsia="Calibri" w:hAnsi="Times New Roman" w:cs="Calibri"/>
          <w:noProof/>
          <w:sz w:val="24"/>
          <w:szCs w:val="24"/>
        </w:rPr>
      </w:pPr>
    </w:p>
    <w:p w14:paraId="48C6F265" w14:textId="77777777" w:rsidR="002672AA" w:rsidRPr="001F0ECB" w:rsidRDefault="002672AA" w:rsidP="00975B5E">
      <w:pPr>
        <w:jc w:val="both"/>
        <w:rPr>
          <w:rFonts w:ascii="Times New Roman" w:eastAsia="Calibri" w:hAnsi="Times New Roman" w:cs="Calibri"/>
          <w:noProof/>
          <w:sz w:val="24"/>
          <w:szCs w:val="23"/>
        </w:rPr>
      </w:pPr>
    </w:p>
    <w:p w14:paraId="134DEA48" w14:textId="77777777" w:rsidR="002672AA" w:rsidRPr="001F0ECB" w:rsidRDefault="009F6D36" w:rsidP="00E837CD">
      <w:pPr>
        <w:pStyle w:val="Heading2"/>
        <w:keepNext/>
        <w:tabs>
          <w:tab w:val="left" w:pos="1181"/>
        </w:tabs>
        <w:ind w:left="0" w:firstLine="0"/>
        <w:jc w:val="both"/>
        <w:rPr>
          <w:rFonts w:ascii="Times New Roman" w:hAnsi="Times New Roman"/>
          <w:noProof/>
          <w:sz w:val="24"/>
        </w:rPr>
      </w:pPr>
      <w:bookmarkStart w:id="34" w:name="_Toc73461239"/>
      <w:r>
        <w:rPr>
          <w:rFonts w:ascii="Times New Roman" w:hAnsi="Times New Roman"/>
          <w:sz w:val="24"/>
        </w:rPr>
        <w:lastRenderedPageBreak/>
        <w:t>3.2. Līdzsvarošana, etalonpieskaņošana un citas saskaņošanas procedūras</w:t>
      </w:r>
      <w:bookmarkStart w:id="35" w:name="_bookmark17"/>
      <w:bookmarkEnd w:id="34"/>
      <w:bookmarkEnd w:id="35"/>
    </w:p>
    <w:p w14:paraId="2F217A9D" w14:textId="77777777" w:rsidR="009F6D36" w:rsidRDefault="009F6D36" w:rsidP="00E837CD">
      <w:pPr>
        <w:pStyle w:val="Heading3"/>
        <w:keepNext/>
        <w:tabs>
          <w:tab w:val="left" w:pos="1181"/>
        </w:tabs>
        <w:ind w:left="0" w:firstLine="0"/>
        <w:jc w:val="both"/>
        <w:rPr>
          <w:rFonts w:ascii="Times New Roman" w:hAnsi="Times New Roman"/>
          <w:noProof/>
          <w:sz w:val="24"/>
        </w:rPr>
      </w:pPr>
    </w:p>
    <w:p w14:paraId="3269A430" w14:textId="77777777" w:rsidR="002672AA" w:rsidRPr="001F0ECB" w:rsidRDefault="009F6D36" w:rsidP="00E837CD">
      <w:pPr>
        <w:pStyle w:val="Heading3"/>
        <w:keepNext/>
        <w:tabs>
          <w:tab w:val="left" w:pos="1181"/>
        </w:tabs>
        <w:ind w:left="0" w:firstLine="0"/>
        <w:jc w:val="both"/>
        <w:rPr>
          <w:rFonts w:ascii="Times New Roman" w:hAnsi="Times New Roman"/>
          <w:noProof/>
          <w:sz w:val="24"/>
        </w:rPr>
      </w:pPr>
      <w:bookmarkStart w:id="36" w:name="_Toc73461240"/>
      <w:r>
        <w:rPr>
          <w:rFonts w:ascii="Times New Roman" w:hAnsi="Times New Roman"/>
          <w:sz w:val="24"/>
        </w:rPr>
        <w:t>3.2.1. Ceturkšņa IKP līdzsvarošanas procedūra</w:t>
      </w:r>
      <w:bookmarkStart w:id="37" w:name="_bookmark18"/>
      <w:bookmarkEnd w:id="36"/>
      <w:bookmarkEnd w:id="37"/>
    </w:p>
    <w:p w14:paraId="19CCA666" w14:textId="77777777" w:rsidR="009F6D36" w:rsidRDefault="009F6D36" w:rsidP="00E837CD">
      <w:pPr>
        <w:pStyle w:val="BodyText"/>
        <w:keepNext/>
        <w:spacing w:before="0"/>
        <w:ind w:left="0"/>
        <w:jc w:val="both"/>
        <w:rPr>
          <w:rFonts w:ascii="Times New Roman" w:hAnsi="Times New Roman"/>
          <w:noProof/>
        </w:rPr>
      </w:pPr>
    </w:p>
    <w:p w14:paraId="5B184C2D" w14:textId="77777777" w:rsidR="002672AA" w:rsidRPr="001F0ECB" w:rsidRDefault="002672AA" w:rsidP="00E837CD">
      <w:pPr>
        <w:pStyle w:val="BodyText"/>
        <w:keepNext/>
        <w:spacing w:before="0"/>
        <w:ind w:left="0"/>
        <w:jc w:val="both"/>
        <w:rPr>
          <w:rFonts w:ascii="Times New Roman" w:hAnsi="Times New Roman"/>
          <w:noProof/>
        </w:rPr>
      </w:pPr>
      <w:r>
        <w:rPr>
          <w:rFonts w:ascii="Times New Roman" w:hAnsi="Times New Roman"/>
        </w:rPr>
        <w:t>Līdzsvarošanas process ir neatņemama un būtiska tās metodoloģijas daļa, ko izmanto nacionālo kontu statistikas apkopošanai. Šajā procesā cenšas iespējami lietderīgāk izmantot daudzveidīgo informācijas klāstu, kas ir apkopots un izmantots nacionālo kontu aprēķināšanai.</w:t>
      </w:r>
    </w:p>
    <w:p w14:paraId="4E2F523B" w14:textId="77777777" w:rsidR="009F6D36" w:rsidRDefault="009F6D36" w:rsidP="00975B5E">
      <w:pPr>
        <w:pStyle w:val="BodyText"/>
        <w:spacing w:before="0"/>
        <w:ind w:left="0"/>
        <w:jc w:val="both"/>
        <w:rPr>
          <w:rFonts w:ascii="Times New Roman" w:hAnsi="Times New Roman"/>
          <w:noProof/>
        </w:rPr>
      </w:pPr>
    </w:p>
    <w:p w14:paraId="0872934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IKP izstrādes procesā starprezultātus pārbauda nozaru un sektoru speciālisti. Šajās procedūrās viņi īpašu uzmanību pievērš tādiem aspektiem kā cenu un apjoma izmaiņu saskanība, novērtējumu salīdzināmība laikā. Līdzsvarošanas procesa gaitā speciālisti tiek iesaistīti saskaņošanas procedūrās, kas jāveic, lai panāktu saskaņotību visā sistēmā.</w:t>
      </w:r>
    </w:p>
    <w:p w14:paraId="2E87D4B8" w14:textId="77777777" w:rsidR="009F6D36" w:rsidRDefault="009F6D36" w:rsidP="00975B5E">
      <w:pPr>
        <w:pStyle w:val="BodyText"/>
        <w:spacing w:before="0"/>
        <w:ind w:left="0"/>
        <w:jc w:val="both"/>
        <w:rPr>
          <w:rFonts w:ascii="Times New Roman" w:hAnsi="Times New Roman"/>
          <w:noProof/>
        </w:rPr>
      </w:pPr>
    </w:p>
    <w:p w14:paraId="2BF861D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Līdzsvarošanas noslēgumā jābūt izstrādātam pilnībā formulētam un līdzsvarotam kontu kopumam, kurā ir viens galīgais IKP novērtējums, un saskaņā ar visām trim pieejām noteiktajām komponenšu rindām, kas pilnībā atbilst šim novērtējumam.</w:t>
      </w:r>
    </w:p>
    <w:p w14:paraId="72CE94DA" w14:textId="77777777" w:rsidR="00975B5E" w:rsidRPr="001F0ECB" w:rsidRDefault="00975B5E" w:rsidP="00975B5E">
      <w:pPr>
        <w:jc w:val="both"/>
        <w:rPr>
          <w:rFonts w:ascii="Times New Roman" w:hAnsi="Times New Roman"/>
          <w:noProof/>
          <w:sz w:val="24"/>
        </w:rPr>
      </w:pPr>
    </w:p>
    <w:p w14:paraId="7A3152E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Latvijā CNK līdzsvarošanā neizmanto piedāvājuma un izlietojuma tabulas reizi ceturksnī.</w:t>
      </w:r>
    </w:p>
    <w:p w14:paraId="51471EF2" w14:textId="77777777" w:rsidR="009F6D36" w:rsidRDefault="009F6D36" w:rsidP="00975B5E">
      <w:pPr>
        <w:pStyle w:val="BodyText"/>
        <w:spacing w:before="0"/>
        <w:ind w:left="0"/>
        <w:jc w:val="both"/>
        <w:rPr>
          <w:rFonts w:ascii="Times New Roman" w:hAnsi="Times New Roman"/>
          <w:noProof/>
        </w:rPr>
      </w:pPr>
    </w:p>
    <w:p w14:paraId="307B037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Latvijā dati par izlaidi kopumā ir uzticamāki nekā dati par izlietojumu – tas attiecas gan uz gada, gan ceturkšņa nacionālajiem kontiem. Tāpēc IKP galvenokārt nosaka, izmantojot ražošanas pieeju nacionālajiem kontiem. Ceturkšņa nacionālajos kontos neatbilstība starp ražošanas un izlietojuma pusi tiek līdzsvarota izlietojuma pusē krājumu pārmaiņās. Krājumu pārmaiņu neatkarīgu vērtējumu nav iespējams veikt, jo trūkst ticamas ceturkšņa informācijas; tāpēc krājumu pārmaiņas tiek iegūtas kā līdzsvarojošs lielums starp IKP ražošanas pieejā gūto novērtējumu un citām izdevumu pieejā noteiktajām komponentēm.</w:t>
      </w:r>
    </w:p>
    <w:p w14:paraId="7A40554D" w14:textId="77777777" w:rsidR="009F6D36" w:rsidRDefault="009F6D36" w:rsidP="00975B5E">
      <w:pPr>
        <w:pStyle w:val="BodyText"/>
        <w:spacing w:before="0"/>
        <w:ind w:left="0"/>
        <w:jc w:val="both"/>
        <w:rPr>
          <w:rFonts w:ascii="Times New Roman" w:hAnsi="Times New Roman"/>
          <w:noProof/>
        </w:rPr>
      </w:pPr>
    </w:p>
    <w:p w14:paraId="111554D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kas noteikts saskaņā ar ienākumu pieeju, ietver balansposteni – bruto darbības rezultātu un bruto jaukto ienākumu, ko iegūst, atņemot darbinieku atalgojumu, ražošanas un importa nodokļus un pieskaitot subsīdijas IKP novērtējumam, kas noteikts saskaņā ar ražošanas pieeju.</w:t>
      </w:r>
    </w:p>
    <w:p w14:paraId="7A64D5A1" w14:textId="77777777" w:rsidR="002672AA" w:rsidRPr="001F0ECB" w:rsidRDefault="002672AA" w:rsidP="00975B5E">
      <w:pPr>
        <w:jc w:val="both"/>
        <w:rPr>
          <w:rFonts w:ascii="Times New Roman" w:eastAsia="Calibri" w:hAnsi="Times New Roman" w:cs="Calibri"/>
          <w:noProof/>
          <w:sz w:val="24"/>
          <w:szCs w:val="24"/>
        </w:rPr>
      </w:pPr>
    </w:p>
    <w:p w14:paraId="096488AA" w14:textId="77777777" w:rsidR="002672AA" w:rsidRPr="001F0ECB" w:rsidRDefault="002672AA" w:rsidP="00975B5E">
      <w:pPr>
        <w:jc w:val="both"/>
        <w:rPr>
          <w:rFonts w:ascii="Times New Roman" w:eastAsia="Calibri" w:hAnsi="Times New Roman" w:cs="Calibri"/>
          <w:noProof/>
          <w:sz w:val="24"/>
          <w:szCs w:val="23"/>
        </w:rPr>
      </w:pPr>
    </w:p>
    <w:p w14:paraId="70DB88F1"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38" w:name="_Toc73461241"/>
      <w:r>
        <w:rPr>
          <w:rFonts w:ascii="Times New Roman" w:hAnsi="Times New Roman"/>
          <w:sz w:val="24"/>
        </w:rPr>
        <w:t>3.2.2. CNK un GNK etalonpieskaņošana</w:t>
      </w:r>
      <w:bookmarkStart w:id="39" w:name="_bookmark19"/>
      <w:bookmarkEnd w:id="38"/>
      <w:bookmarkEnd w:id="39"/>
    </w:p>
    <w:p w14:paraId="312185AE" w14:textId="77777777" w:rsidR="009F6D36" w:rsidRDefault="009F6D36" w:rsidP="00975B5E">
      <w:pPr>
        <w:pStyle w:val="BodyText"/>
        <w:spacing w:before="0"/>
        <w:ind w:left="0"/>
        <w:jc w:val="both"/>
        <w:rPr>
          <w:rFonts w:ascii="Times New Roman" w:hAnsi="Times New Roman"/>
          <w:noProof/>
        </w:rPr>
      </w:pPr>
    </w:p>
    <w:p w14:paraId="6E122F1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Pārskata gada četru ceturkšņu summa ir pirmais gada novērtējums.</w:t>
      </w:r>
    </w:p>
    <w:p w14:paraId="4AA46442" w14:textId="77777777" w:rsidR="009F6D36" w:rsidRDefault="009F6D36" w:rsidP="00975B5E">
      <w:pPr>
        <w:pStyle w:val="BodyText"/>
        <w:spacing w:before="0"/>
        <w:ind w:left="0"/>
        <w:jc w:val="both"/>
        <w:rPr>
          <w:rFonts w:ascii="Times New Roman" w:hAnsi="Times New Roman"/>
          <w:noProof/>
        </w:rPr>
      </w:pPr>
    </w:p>
    <w:p w14:paraId="1FA7241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Kad T gada septembra beigās tiek iegūti gada dati par T-2 gadu, starp CNK un GNK pastāv neatbilstības sākotnēji galvenokārt tāpēc, ka GNK dati tiek noteikti vēlāk un aprēķina metodes ir neatkarīgas no CNK. Tā kā parasti gada informācija ir uzticamāka, jo tā iegūta no precīzākiem datu avotiem, un tās pamatā ir informācija, kas pat nav pieejama CNK datu avotiem, CNK rezultāti tiek koriģēti atbilstoši GNK rezultātiem. Šīs problēmas risināšanai var izmantot daudzas dažādas etalonpieskaņošanas metodes. Etalonpieskaņošanas mērķis (kad ir pieejami ceturkšņa rādītāji vai provizoriski ceturkšņa novērtējumi) ir novērtēt CNK laikrindas, izmantojot datu biežuma relatīvo noturību, lai CNK laikrindu gada līmeņi būtu vienādi ar GNK laikrindu līmeņiem. Ceturkšņa rindu etalonpieskaņošanai izmanto Dentona proporcionālo metodi. Šī metode saglabā salīdzinoši novērtēto rindu svārstības pēc iespējas proporcionālākas ceturkšņa rādītāja rindu svārstībām. Rezultātā tiek iegūtas salīdzināmas CNK faktisko cenu rindas, sākot ar 1995. gada 1. ceturksni un beidzot ar gada kontu pēdējo gadu.</w:t>
      </w:r>
    </w:p>
    <w:p w14:paraId="6A20B10A" w14:textId="77777777" w:rsidR="009F6D36" w:rsidRDefault="009F6D36" w:rsidP="00975B5E">
      <w:pPr>
        <w:pStyle w:val="BodyText"/>
        <w:spacing w:before="0"/>
        <w:ind w:left="0"/>
        <w:jc w:val="both"/>
        <w:rPr>
          <w:rFonts w:ascii="Times New Roman" w:hAnsi="Times New Roman"/>
          <w:noProof/>
        </w:rPr>
      </w:pPr>
    </w:p>
    <w:p w14:paraId="0334C44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Etalonpieskaņošanā ir nepieciešams, lai būtu pabeigtas visas rādītāja rindas, sākot ar 1995. gada 1. ceturksni. Rādītāji ir pieejami tikai no 2000. gada 1. ceturkšņa. Šīs problēmas risināšanai tika izmantoti iepriekš publicētie proporcionālie (</w:t>
      </w:r>
      <w:r>
        <w:rPr>
          <w:rFonts w:ascii="Times New Roman" w:hAnsi="Times New Roman"/>
          <w:i/>
        </w:rPr>
        <w:t>pro-rata</w:t>
      </w:r>
      <w:r>
        <w:rPr>
          <w:rFonts w:ascii="Times New Roman" w:hAnsi="Times New Roman"/>
        </w:rPr>
        <w:t xml:space="preserve">) rezultāti, kas bija pieejami no 1995. gada 1. ceturkšņa. Tika aprēķināti pieauguma tempi laikposmam no 1995. gada 2. ceturkšņa līdz 2000. gada 1. ceturksnim, un, zinot </w:t>
      </w:r>
      <w:r>
        <w:rPr>
          <w:rFonts w:ascii="Times New Roman" w:hAnsi="Times New Roman"/>
          <w:i/>
        </w:rPr>
        <w:t>pro-rata</w:t>
      </w:r>
      <w:r>
        <w:rPr>
          <w:rFonts w:ascii="Times New Roman" w:hAnsi="Times New Roman"/>
        </w:rPr>
        <w:t xml:space="preserve"> raksturlielumus, tika dzēsti pieauguma tempi no gada pirmā ceturkšņa līdz iepriekšējā gada pēdējam ceturksnim un pēc tam modelēti, izmantojot pārrēķināšanas metodes. Pēc tam tika aprēķinātas rādītāju vērtības laikposmam no 1995. gada 1. ceturkšņa līdz 1999. gada 4. ceturksnim. Šis aprēķins ir vienreizēja procedūra.</w:t>
      </w:r>
    </w:p>
    <w:p w14:paraId="1A5B4E29" w14:textId="77777777" w:rsidR="009F6D36" w:rsidRDefault="009F6D36" w:rsidP="00975B5E">
      <w:pPr>
        <w:pStyle w:val="BodyText"/>
        <w:spacing w:before="0"/>
        <w:ind w:left="0"/>
        <w:jc w:val="both"/>
        <w:rPr>
          <w:rFonts w:ascii="Times New Roman" w:hAnsi="Times New Roman"/>
          <w:noProof/>
        </w:rPr>
      </w:pPr>
    </w:p>
    <w:p w14:paraId="3BD2375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Etalonpieskaņošanu piemēro komponentēm detalizētākajā līmenī, kas nepieciešams, lai iegūtu IKP agregātus. Visi agregāti tiek netieši salīdzinoši novērtēti, summējot salīdzinoši novērtētās komponentes. Ir ieviesta Dentona-Šolē metode.</w:t>
      </w:r>
    </w:p>
    <w:p w14:paraId="0AA2CBAC" w14:textId="77777777" w:rsidR="009F6D36" w:rsidRDefault="009F6D36" w:rsidP="00975B5E">
      <w:pPr>
        <w:pStyle w:val="BodyText"/>
        <w:spacing w:before="0"/>
        <w:ind w:left="0"/>
        <w:jc w:val="both"/>
        <w:rPr>
          <w:rFonts w:ascii="Times New Roman" w:hAnsi="Times New Roman"/>
          <w:noProof/>
        </w:rPr>
      </w:pPr>
    </w:p>
    <w:p w14:paraId="226C33A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Informācijas atjaunināšana par T-1 gada četriem ceturkšņiem un diviem T gada ceturkšņiem notiek vienlaikus ar etalonpieskaņošanas procedūru.</w:t>
      </w:r>
    </w:p>
    <w:p w14:paraId="2C05F039" w14:textId="77777777" w:rsidR="00975B5E" w:rsidRPr="001F0ECB" w:rsidRDefault="00975B5E" w:rsidP="00975B5E">
      <w:pPr>
        <w:jc w:val="both"/>
        <w:rPr>
          <w:rFonts w:ascii="Times New Roman" w:hAnsi="Times New Roman"/>
          <w:noProof/>
          <w:sz w:val="24"/>
        </w:rPr>
      </w:pPr>
    </w:p>
    <w:p w14:paraId="7ADD85C8" w14:textId="77777777" w:rsidR="002672AA" w:rsidRPr="001F0ECB" w:rsidRDefault="002672AA" w:rsidP="00975B5E">
      <w:pPr>
        <w:jc w:val="both"/>
        <w:rPr>
          <w:rFonts w:ascii="Times New Roman" w:eastAsia="Calibri" w:hAnsi="Times New Roman" w:cs="Calibri"/>
          <w:noProof/>
          <w:sz w:val="24"/>
          <w:szCs w:val="20"/>
        </w:rPr>
      </w:pPr>
    </w:p>
    <w:p w14:paraId="1F624A03"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40" w:name="_Toc73461242"/>
      <w:r>
        <w:rPr>
          <w:rFonts w:ascii="Times New Roman" w:hAnsi="Times New Roman"/>
          <w:sz w:val="24"/>
        </w:rPr>
        <w:t>3.2.3. Citas CNK saskaņošanas procedūras, kas atšķiras no līdzsvarošanas un etalonpieskaņošanas</w:t>
      </w:r>
      <w:bookmarkStart w:id="41" w:name="_bookmark20"/>
      <w:bookmarkEnd w:id="40"/>
      <w:bookmarkEnd w:id="41"/>
    </w:p>
    <w:p w14:paraId="18BE0E6A" w14:textId="77777777" w:rsidR="009F6D36" w:rsidRDefault="009F6D36" w:rsidP="00975B5E">
      <w:pPr>
        <w:pStyle w:val="BodyText"/>
        <w:spacing w:before="0"/>
        <w:ind w:left="0"/>
        <w:jc w:val="both"/>
        <w:rPr>
          <w:rFonts w:ascii="Times New Roman" w:hAnsi="Times New Roman"/>
          <w:noProof/>
        </w:rPr>
      </w:pPr>
    </w:p>
    <w:p w14:paraId="4E3BAA4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IKP izstrādes procesā starprezultātus pārbauda nozaru un sektoru speciālisti. Šajās procedūrās viņi īpašu uzmanību pievērš tādiem aspektiem kā cenu un apjoma izmaiņu saskanība, novērtējumu salīdzināmība laikā. Līdzsvarošanas procesa gaitā speciālisti tiek iesaistīti saskaņošanas procedūrās, kas jāveic, lai panāktu saskaņotību visā ietvarā.</w:t>
      </w:r>
    </w:p>
    <w:p w14:paraId="61FF9731" w14:textId="77777777" w:rsidR="002672AA" w:rsidRPr="001F0ECB" w:rsidRDefault="002672AA" w:rsidP="00975B5E">
      <w:pPr>
        <w:jc w:val="both"/>
        <w:rPr>
          <w:rFonts w:ascii="Times New Roman" w:eastAsia="Calibri" w:hAnsi="Times New Roman" w:cs="Calibri"/>
          <w:noProof/>
          <w:sz w:val="24"/>
          <w:szCs w:val="24"/>
        </w:rPr>
      </w:pPr>
    </w:p>
    <w:p w14:paraId="25581E40" w14:textId="77777777" w:rsidR="002672AA" w:rsidRPr="001F0ECB" w:rsidRDefault="002672AA" w:rsidP="00975B5E">
      <w:pPr>
        <w:jc w:val="both"/>
        <w:rPr>
          <w:rFonts w:ascii="Times New Roman" w:eastAsia="Calibri" w:hAnsi="Times New Roman" w:cs="Calibri"/>
          <w:noProof/>
          <w:sz w:val="24"/>
          <w:szCs w:val="23"/>
        </w:rPr>
      </w:pPr>
    </w:p>
    <w:p w14:paraId="408D42DC"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42" w:name="_Toc73461243"/>
      <w:r>
        <w:rPr>
          <w:rFonts w:ascii="Times New Roman" w:hAnsi="Times New Roman"/>
          <w:sz w:val="24"/>
        </w:rPr>
        <w:t>3.2.4. Novērtējumu apjoms dažādās publikācijās</w:t>
      </w:r>
      <w:bookmarkStart w:id="43" w:name="_bookmark21"/>
      <w:bookmarkEnd w:id="42"/>
      <w:bookmarkEnd w:id="43"/>
    </w:p>
    <w:p w14:paraId="064AC1F3" w14:textId="77777777" w:rsidR="009F6D36" w:rsidRDefault="009F6D36" w:rsidP="00975B5E">
      <w:pPr>
        <w:pStyle w:val="BodyText"/>
        <w:spacing w:before="0"/>
        <w:ind w:left="0"/>
        <w:jc w:val="both"/>
        <w:rPr>
          <w:rFonts w:ascii="Times New Roman" w:hAnsi="Times New Roman"/>
          <w:noProof/>
        </w:rPr>
      </w:pPr>
    </w:p>
    <w:p w14:paraId="7CFF3A7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Pirmo ceturkšņa nacionālo kontu agregātu apskatu publicē divus mēnešus pēc pārskata perioda (ceturkšņa). Aprēķiniem tiek izmantoti īstermiņa (mēneša, ceturkšņa) statistikas rādītāji (CSP veiktie uzņēmumu apsekojumi, informācija no Latvijas Bankas, Finanšu ministrijas, administratīvo datu avoti). Šie skaitļi veido vairāk nekā 90 procentus no kopējiem rādītājiem (daži cenu indeksi tiek iegūti vēlāk).</w:t>
      </w:r>
    </w:p>
    <w:p w14:paraId="6672504D" w14:textId="77777777" w:rsidR="009F6D36" w:rsidRDefault="009F6D36" w:rsidP="00975B5E">
      <w:pPr>
        <w:pStyle w:val="BodyText"/>
        <w:spacing w:before="0"/>
        <w:ind w:left="0"/>
        <w:jc w:val="both"/>
        <w:rPr>
          <w:rFonts w:ascii="Times New Roman" w:hAnsi="Times New Roman"/>
          <w:noProof/>
        </w:rPr>
      </w:pPr>
    </w:p>
    <w:p w14:paraId="4A7F83F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Jāpiebilst, ka īstermiņa rādītāji ir jārevidē atbilstoši CSP Revīzijas politikas pamatnostādnēm un Latvijas Bankas revīzijas politikai. Izmaiņas tiek iekļautas CNK aprēķinos 85. dienā pēc pārskata perioda tad, kad publicē un nosūta ceturkšņa kontus pa sektoriem.</w:t>
      </w:r>
    </w:p>
    <w:p w14:paraId="18F7A84D" w14:textId="77777777" w:rsidR="002672AA" w:rsidRPr="001F0ECB" w:rsidRDefault="002672AA" w:rsidP="00975B5E">
      <w:pPr>
        <w:jc w:val="both"/>
        <w:rPr>
          <w:rFonts w:ascii="Times New Roman" w:eastAsia="Calibri" w:hAnsi="Times New Roman" w:cs="Calibri"/>
          <w:noProof/>
          <w:sz w:val="24"/>
          <w:szCs w:val="24"/>
        </w:rPr>
      </w:pPr>
    </w:p>
    <w:p w14:paraId="70006391" w14:textId="77777777" w:rsidR="002672AA" w:rsidRPr="001F0ECB" w:rsidRDefault="002672AA" w:rsidP="00975B5E">
      <w:pPr>
        <w:jc w:val="both"/>
        <w:rPr>
          <w:rFonts w:ascii="Times New Roman" w:eastAsia="Calibri" w:hAnsi="Times New Roman" w:cs="Calibri"/>
          <w:noProof/>
          <w:sz w:val="24"/>
          <w:szCs w:val="23"/>
        </w:rPr>
      </w:pPr>
    </w:p>
    <w:p w14:paraId="59F8AA75" w14:textId="77777777" w:rsidR="002672AA" w:rsidRPr="001F0ECB" w:rsidRDefault="009F6D36" w:rsidP="009F6D36">
      <w:pPr>
        <w:pStyle w:val="Heading2"/>
        <w:tabs>
          <w:tab w:val="left" w:pos="1181"/>
        </w:tabs>
        <w:ind w:left="0" w:firstLine="0"/>
        <w:jc w:val="both"/>
        <w:rPr>
          <w:rFonts w:ascii="Times New Roman" w:hAnsi="Times New Roman"/>
          <w:noProof/>
          <w:sz w:val="24"/>
        </w:rPr>
      </w:pPr>
      <w:bookmarkStart w:id="44" w:name="_Toc73461244"/>
      <w:r>
        <w:rPr>
          <w:rFonts w:ascii="Times New Roman" w:hAnsi="Times New Roman"/>
          <w:sz w:val="24"/>
        </w:rPr>
        <w:t>3.3. Apjoma novērtējumi</w:t>
      </w:r>
      <w:bookmarkStart w:id="45" w:name="_bookmark22"/>
      <w:bookmarkEnd w:id="44"/>
      <w:bookmarkEnd w:id="45"/>
    </w:p>
    <w:p w14:paraId="33B04337" w14:textId="77777777" w:rsidR="009F6D36" w:rsidRDefault="009F6D36" w:rsidP="009F6D36">
      <w:pPr>
        <w:pStyle w:val="Heading3"/>
        <w:tabs>
          <w:tab w:val="left" w:pos="1181"/>
        </w:tabs>
        <w:ind w:left="0" w:firstLine="0"/>
        <w:jc w:val="both"/>
        <w:rPr>
          <w:rFonts w:ascii="Times New Roman" w:hAnsi="Times New Roman"/>
          <w:noProof/>
          <w:sz w:val="24"/>
        </w:rPr>
      </w:pPr>
    </w:p>
    <w:p w14:paraId="0C0F605D"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46" w:name="_Toc73461245"/>
      <w:r>
        <w:rPr>
          <w:rFonts w:ascii="Times New Roman" w:hAnsi="Times New Roman"/>
          <w:sz w:val="24"/>
        </w:rPr>
        <w:t>3.3.1. Apjoma vispārīgā politika</w:t>
      </w:r>
      <w:bookmarkStart w:id="47" w:name="_bookmark23"/>
      <w:bookmarkEnd w:id="46"/>
      <w:bookmarkEnd w:id="47"/>
    </w:p>
    <w:p w14:paraId="44F078EC" w14:textId="77777777" w:rsidR="009F6D36" w:rsidRDefault="009F6D36" w:rsidP="00975B5E">
      <w:pPr>
        <w:pStyle w:val="BodyText"/>
        <w:spacing w:before="0"/>
        <w:ind w:left="0"/>
        <w:jc w:val="both"/>
        <w:rPr>
          <w:rFonts w:ascii="Times New Roman" w:hAnsi="Times New Roman"/>
          <w:noProof/>
        </w:rPr>
      </w:pPr>
    </w:p>
    <w:p w14:paraId="585BC4D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IKP visbiežāk izmanto apjoma izteiksmē. Lai varētu salīdzināt rādītājus laika gaitā, ir jāizslēdz cenu izmaiņu ietekme uz apjoma rādītājiem.</w:t>
      </w:r>
    </w:p>
    <w:p w14:paraId="539BFE91" w14:textId="77777777" w:rsidR="009F6D36" w:rsidRDefault="009F6D36" w:rsidP="00975B5E">
      <w:pPr>
        <w:pStyle w:val="BodyText"/>
        <w:spacing w:before="0"/>
        <w:ind w:left="0"/>
        <w:jc w:val="both"/>
        <w:rPr>
          <w:rFonts w:ascii="Times New Roman" w:hAnsi="Times New Roman"/>
          <w:noProof/>
        </w:rPr>
      </w:pPr>
    </w:p>
    <w:p w14:paraId="2281E7EE" w14:textId="55C909F0"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CNK apjoma dati tiek publicēti kā ķēdētas rindas, izmantojot 2015. gadu par </w:t>
      </w:r>
      <w:r w:rsidR="00DF50AE">
        <w:rPr>
          <w:rFonts w:ascii="Times New Roman" w:hAnsi="Times New Roman"/>
        </w:rPr>
        <w:t>atsauces</w:t>
      </w:r>
      <w:r>
        <w:rPr>
          <w:rFonts w:ascii="Times New Roman" w:hAnsi="Times New Roman"/>
        </w:rPr>
        <w:t xml:space="preserve"> gadu (no 2019. gada). Ceturkšņa apjoma datu aprēķināšanai izmanto gada pārklāšanās metodi. Tas nozīmē, ka sākumā faktisko cenu dati tiek novērtēti iepriekšējā gada cenās.</w:t>
      </w:r>
    </w:p>
    <w:p w14:paraId="6CAB5479" w14:textId="77777777" w:rsidR="009F6D36" w:rsidRDefault="009F6D36" w:rsidP="00975B5E">
      <w:pPr>
        <w:pStyle w:val="BodyText"/>
        <w:spacing w:before="0"/>
        <w:ind w:left="0"/>
        <w:jc w:val="both"/>
        <w:rPr>
          <w:rFonts w:ascii="Times New Roman" w:hAnsi="Times New Roman"/>
          <w:noProof/>
        </w:rPr>
      </w:pPr>
    </w:p>
    <w:p w14:paraId="03D49CF2" w14:textId="1C5F1474"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Statistikas datus par IKP saskaņā ar ražošanas un izdevumu pieeju aprēķina faktiskajās cenās (uzskaite un aprēķini tiek veikti tajās cenās, kas faktiski pastāv konkrētajā periodā) un salīdzināmajās cenās. Salīdzināmajās cenās rādītāji tiek izteikti iepriekšējā kalendārā gada cenās un </w:t>
      </w:r>
      <w:r w:rsidR="00DF50AE">
        <w:rPr>
          <w:rFonts w:ascii="Times New Roman" w:hAnsi="Times New Roman"/>
        </w:rPr>
        <w:t>atauces</w:t>
      </w:r>
      <w:r>
        <w:rPr>
          <w:rFonts w:ascii="Times New Roman" w:hAnsi="Times New Roman"/>
        </w:rPr>
        <w:t xml:space="preserve"> gada cenās (ķēdēti).</w:t>
      </w:r>
    </w:p>
    <w:p w14:paraId="0E95B47A" w14:textId="77777777" w:rsidR="009F6D36" w:rsidRDefault="009F6D36" w:rsidP="00975B5E">
      <w:pPr>
        <w:pStyle w:val="BodyText"/>
        <w:spacing w:before="0"/>
        <w:ind w:left="0"/>
        <w:jc w:val="both"/>
        <w:rPr>
          <w:rFonts w:ascii="Times New Roman" w:hAnsi="Times New Roman"/>
          <w:noProof/>
        </w:rPr>
      </w:pPr>
    </w:p>
    <w:p w14:paraId="2039678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Lai novērtētu IKP iepriekšējā kalendārā gada cenās, par bāzi tiek lietotas iepriekšējā kalendārā gada vidējās cenas un izmantota “gada vidējā” metode (kur katrs kārtējais ceturksnis (vai gads) tiek novērtēts iepriekšējā gada vidējās cenās). Šim nolūkam izmanto dažādus deflatorus. Tie var būt gan apjomu indeksi, gan cenu indeksi. Izmantotie cenu indeksi ir šādi: patēriņa cenu indekss, ražotāju cenu indekss, būvniecības izmaksu indekss, biznesa pakalpojumu cenu indekss, lauksaimniecības produktu cenu indekss, eksporta vienības vērtības indekss, importa cenu indekss. Tiek izmantoti šādi apjoma indeksi: darbinieku skaita izmaiņas un naturālo rādītāju izmaiņas (piemēram, attiecībā uz likvīdo koksni, pasažieru skaits, kravu pārvadājumi utt.).</w:t>
      </w:r>
    </w:p>
    <w:p w14:paraId="5544F976" w14:textId="77777777" w:rsidR="009F6D36" w:rsidRPr="001F0ECB" w:rsidRDefault="009F6D36" w:rsidP="00975B5E">
      <w:pPr>
        <w:pStyle w:val="BodyText"/>
        <w:spacing w:before="0"/>
        <w:ind w:left="0"/>
        <w:jc w:val="both"/>
        <w:rPr>
          <w:rFonts w:ascii="Times New Roman" w:hAnsi="Times New Roman"/>
          <w:noProof/>
        </w:rPr>
      </w:pPr>
    </w:p>
    <w:p w14:paraId="5222FAC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aprēķinātu IKP atsauces (bāzes) gada cenās (pašlaik 2015. gada cenās), tiek lietoti no IKP rādītājiem iepriekšējā gada cenās iegūtie indeksi, lai veidotu aprēķināto apjoma indeksu ķēdēšanu ar 2015. gadu.</w:t>
      </w:r>
    </w:p>
    <w:p w14:paraId="22FBBF79" w14:textId="77777777" w:rsidR="002672AA" w:rsidRPr="001F0ECB" w:rsidRDefault="002672AA" w:rsidP="00975B5E">
      <w:pPr>
        <w:jc w:val="both"/>
        <w:rPr>
          <w:rFonts w:ascii="Times New Roman" w:eastAsia="Calibri" w:hAnsi="Times New Roman" w:cs="Calibri"/>
          <w:noProof/>
          <w:sz w:val="24"/>
          <w:szCs w:val="24"/>
        </w:rPr>
      </w:pPr>
    </w:p>
    <w:p w14:paraId="2EED3F41" w14:textId="77777777" w:rsidR="002672AA" w:rsidRPr="001F0ECB" w:rsidRDefault="002672AA" w:rsidP="00975B5E">
      <w:pPr>
        <w:jc w:val="both"/>
        <w:rPr>
          <w:rFonts w:ascii="Times New Roman" w:eastAsia="Calibri" w:hAnsi="Times New Roman" w:cs="Calibri"/>
          <w:noProof/>
          <w:sz w:val="24"/>
          <w:szCs w:val="23"/>
        </w:rPr>
      </w:pPr>
    </w:p>
    <w:p w14:paraId="5EA0603A"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48" w:name="_Toc73461246"/>
      <w:r>
        <w:rPr>
          <w:rFonts w:ascii="Times New Roman" w:hAnsi="Times New Roman"/>
          <w:sz w:val="24"/>
        </w:rPr>
        <w:t>3.3.2. Ķēdēšana un etalonpieskaņošana</w:t>
      </w:r>
      <w:bookmarkStart w:id="49" w:name="_bookmark24"/>
      <w:bookmarkEnd w:id="48"/>
      <w:bookmarkEnd w:id="49"/>
    </w:p>
    <w:p w14:paraId="49987314" w14:textId="77777777" w:rsidR="009F6D36" w:rsidRDefault="009F6D36" w:rsidP="00975B5E">
      <w:pPr>
        <w:pStyle w:val="BodyText"/>
        <w:spacing w:before="0"/>
        <w:ind w:left="0"/>
        <w:jc w:val="both"/>
        <w:rPr>
          <w:rFonts w:ascii="Times New Roman" w:hAnsi="Times New Roman"/>
          <w:noProof/>
        </w:rPr>
      </w:pPr>
    </w:p>
    <w:p w14:paraId="7883903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CNK agregātu ķēdēto vērtību apkopošanai izmanto gada pārklāšanās metodi, un tas nozīmē, ka katra ceturkšņa novērtējumu izsaka iepriekšējā gada vidējās svērtajās cenās.</w:t>
      </w:r>
    </w:p>
    <w:p w14:paraId="6A4098E5" w14:textId="77777777" w:rsidR="009F6D36" w:rsidRPr="001F0ECB" w:rsidRDefault="009F6D36" w:rsidP="00975B5E">
      <w:pPr>
        <w:pStyle w:val="BodyText"/>
        <w:spacing w:before="0"/>
        <w:ind w:left="0"/>
        <w:jc w:val="both"/>
        <w:rPr>
          <w:rFonts w:ascii="Times New Roman" w:hAnsi="Times New Roman"/>
          <w:noProof/>
        </w:rPr>
      </w:pPr>
    </w:p>
    <w:p w14:paraId="4B36806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nodrošinātu sasaistes faktorus, izmantojot atbilstošos gada datus, tiek izmantota šāda metode:</w:t>
      </w:r>
    </w:p>
    <w:p w14:paraId="04E8C8E3" w14:textId="77777777" w:rsidR="009F6D36" w:rsidRDefault="009F6D36" w:rsidP="009F6D36">
      <w:pPr>
        <w:pStyle w:val="BodyText"/>
        <w:tabs>
          <w:tab w:val="left" w:pos="821"/>
        </w:tabs>
        <w:spacing w:before="0"/>
        <w:ind w:left="0"/>
        <w:jc w:val="both"/>
        <w:rPr>
          <w:rFonts w:ascii="Times New Roman" w:hAnsi="Times New Roman"/>
          <w:noProof/>
        </w:rPr>
      </w:pPr>
    </w:p>
    <w:p w14:paraId="716F5B4B" w14:textId="77777777" w:rsidR="002672AA" w:rsidRPr="001F0ECB" w:rsidRDefault="009F6D36" w:rsidP="009F6D36">
      <w:pPr>
        <w:pStyle w:val="BodyText"/>
        <w:tabs>
          <w:tab w:val="left" w:pos="821"/>
        </w:tabs>
        <w:spacing w:before="0"/>
        <w:ind w:left="284"/>
        <w:jc w:val="both"/>
        <w:rPr>
          <w:rFonts w:ascii="Times New Roman" w:hAnsi="Times New Roman"/>
          <w:noProof/>
        </w:rPr>
      </w:pPr>
      <w:r>
        <w:rPr>
          <w:rFonts w:ascii="Times New Roman" w:hAnsi="Times New Roman"/>
        </w:rPr>
        <w:t>1) apkopo katra ceturkšņa novērtējumus kā iepriekšējā gada vidējās vērtības;</w:t>
      </w:r>
    </w:p>
    <w:p w14:paraId="580E3A3D" w14:textId="77777777" w:rsidR="002672AA" w:rsidRPr="001F0ECB" w:rsidRDefault="009F6D36" w:rsidP="009F6D36">
      <w:pPr>
        <w:pStyle w:val="BodyText"/>
        <w:tabs>
          <w:tab w:val="left" w:pos="821"/>
        </w:tabs>
        <w:spacing w:before="0"/>
        <w:ind w:left="284"/>
        <w:jc w:val="both"/>
        <w:rPr>
          <w:rFonts w:ascii="Times New Roman" w:hAnsi="Times New Roman"/>
          <w:noProof/>
        </w:rPr>
      </w:pPr>
      <w:r>
        <w:rPr>
          <w:rFonts w:ascii="Times New Roman" w:hAnsi="Times New Roman"/>
        </w:rPr>
        <w:t>2) katra ceturkšņa nemainīgo cenu novērtējumu pārvērš apjoma indeksā ar pēdējā gada vidējo rādītāju = 100;</w:t>
      </w:r>
    </w:p>
    <w:p w14:paraId="34DD28E0" w14:textId="77777777" w:rsidR="002672AA" w:rsidRPr="001F0ECB" w:rsidRDefault="009F6D36" w:rsidP="009F6D36">
      <w:pPr>
        <w:pStyle w:val="BodyText"/>
        <w:tabs>
          <w:tab w:val="left" w:pos="821"/>
        </w:tabs>
        <w:spacing w:before="0"/>
        <w:ind w:left="284"/>
        <w:jc w:val="both"/>
        <w:rPr>
          <w:rFonts w:ascii="Times New Roman" w:hAnsi="Times New Roman"/>
          <w:noProof/>
        </w:rPr>
      </w:pPr>
      <w:r>
        <w:rPr>
          <w:rFonts w:ascii="Times New Roman" w:hAnsi="Times New Roman"/>
        </w:rPr>
        <w:t>3) sasaista ceturkšņa apjoma indeksus.</w:t>
      </w:r>
    </w:p>
    <w:p w14:paraId="2375F6BD" w14:textId="77777777" w:rsidR="009F6D36" w:rsidRDefault="009F6D36" w:rsidP="00975B5E">
      <w:pPr>
        <w:pStyle w:val="BodyText"/>
        <w:spacing w:before="0"/>
        <w:ind w:left="0"/>
        <w:jc w:val="both"/>
        <w:rPr>
          <w:rFonts w:ascii="Times New Roman" w:hAnsi="Times New Roman"/>
          <w:noProof/>
        </w:rPr>
      </w:pPr>
    </w:p>
    <w:p w14:paraId="7F87709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vērtībām iepriekšējā gada cenās tiek veikta etalonpieskaņošana attiecībā pret gada nacionālo kontu datiem.</w:t>
      </w:r>
    </w:p>
    <w:p w14:paraId="09F68EEC" w14:textId="77777777" w:rsidR="009F6D36" w:rsidRDefault="009F6D36" w:rsidP="00975B5E">
      <w:pPr>
        <w:pStyle w:val="BodyText"/>
        <w:spacing w:before="0"/>
        <w:ind w:left="0"/>
        <w:jc w:val="both"/>
        <w:rPr>
          <w:rFonts w:ascii="Times New Roman" w:hAnsi="Times New Roman"/>
          <w:noProof/>
        </w:rPr>
      </w:pPr>
    </w:p>
    <w:p w14:paraId="52D5AD3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Izraudzītā ķēdes sasaistes metode papildus nodrošina laika saderību starp ceturkšņa un gada datiem, lai šajā saistībā nebūtu nepieciešama papildu etalonpieskaņošana.</w:t>
      </w:r>
    </w:p>
    <w:p w14:paraId="6A6289F1" w14:textId="77777777" w:rsidR="009F6D36" w:rsidRPr="001F0ECB" w:rsidRDefault="009F6D36" w:rsidP="00975B5E">
      <w:pPr>
        <w:pStyle w:val="BodyText"/>
        <w:spacing w:before="0"/>
        <w:ind w:left="0"/>
        <w:jc w:val="both"/>
        <w:rPr>
          <w:rFonts w:ascii="Times New Roman" w:hAnsi="Times New Roman"/>
          <w:noProof/>
        </w:rPr>
      </w:pPr>
    </w:p>
    <w:p w14:paraId="6152CB8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Izlaides un starppatēriņa mēru iepriekšējā gada cenās un ķēdētās vērtības aprēķina atsevišķi detalizētā nozares darbību līmenī. Nozares bruto pievienotā vērtība ir starpība starp izlaidi un starppatēriņu atbilstīgajās cenās. Iekšzemes kopproduktu aprēķina kā visu nozaru bruto pievienotās vērtības summu, kurai pieskaitīti produktu nodokļi (D.21) un no kuras atņemtas produktu subsīdijas (D.31).</w:t>
      </w:r>
    </w:p>
    <w:p w14:paraId="4056BFE0" w14:textId="77777777" w:rsidR="009F6D36" w:rsidRDefault="009F6D36" w:rsidP="00975B5E">
      <w:pPr>
        <w:pStyle w:val="BodyText"/>
        <w:spacing w:before="0"/>
        <w:ind w:left="0"/>
        <w:jc w:val="both"/>
        <w:rPr>
          <w:rFonts w:ascii="Times New Roman" w:hAnsi="Times New Roman"/>
          <w:noProof/>
        </w:rPr>
      </w:pPr>
    </w:p>
    <w:p w14:paraId="5B0BD94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Katrai kategorijai (darbībai) piemēro atbilstošos cenu indeksus (iepriekšējais gads = 100) vai bāzes gada vērtības ekstrapolēšanai izmanto apjoma rādītājus (ja nav cenu indeksu). Iepriekšējā gada cenu vērtības iegūst šādi – faktiskās cenas tiek deflētas ar cenu indeksu (iepriekšējais gads = 100) vai bāzes gada vērtības tiek ekstrapolētas ar apjoma rādītājiem (piemēram, valdības sektorā).</w:t>
      </w:r>
    </w:p>
    <w:p w14:paraId="709C5282" w14:textId="77777777" w:rsidR="009F6D36" w:rsidRDefault="009F6D36" w:rsidP="00975B5E">
      <w:pPr>
        <w:pStyle w:val="BodyText"/>
        <w:spacing w:before="0"/>
        <w:ind w:left="0"/>
        <w:jc w:val="both"/>
        <w:rPr>
          <w:rFonts w:ascii="Times New Roman" w:hAnsi="Times New Roman"/>
          <w:noProof/>
        </w:rPr>
      </w:pPr>
    </w:p>
    <w:p w14:paraId="381648E0"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Ķēdētais indekss tiek aprēķināts šādi – iepriekšējā gada vērtība tiek ķēdēta ar atbilstošo ceturksni.</w:t>
      </w:r>
    </w:p>
    <w:p w14:paraId="49F698C2" w14:textId="77777777" w:rsidR="009F6D36" w:rsidRPr="001F0ECB" w:rsidRDefault="009F6D36" w:rsidP="00975B5E">
      <w:pPr>
        <w:pStyle w:val="BodyText"/>
        <w:spacing w:before="0"/>
        <w:ind w:left="0"/>
        <w:jc w:val="both"/>
        <w:rPr>
          <w:rFonts w:ascii="Times New Roman" w:hAnsi="Times New Roman"/>
          <w:noProof/>
        </w:rPr>
      </w:pPr>
    </w:p>
    <w:p w14:paraId="144F2D16" w14:textId="6AD61CB6"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Ķēdētā apjoma mēru aprēķina kā ķēdēto indeksu, kas reizināts ar </w:t>
      </w:r>
      <w:r w:rsidR="00A11033">
        <w:rPr>
          <w:rFonts w:ascii="Times New Roman" w:hAnsi="Times New Roman"/>
        </w:rPr>
        <w:t>atsauces</w:t>
      </w:r>
      <w:r>
        <w:rPr>
          <w:rFonts w:ascii="Times New Roman" w:hAnsi="Times New Roman"/>
        </w:rPr>
        <w:t xml:space="preserve"> gada vidējo vērtību (pašlaik tas ir 2015. gads, kas dalīts ar četri).</w:t>
      </w:r>
    </w:p>
    <w:p w14:paraId="3C8159F8" w14:textId="77777777" w:rsidR="009F6D36" w:rsidRDefault="009F6D36" w:rsidP="00975B5E">
      <w:pPr>
        <w:pStyle w:val="BodyText"/>
        <w:spacing w:before="0"/>
        <w:ind w:left="0"/>
        <w:jc w:val="both"/>
        <w:rPr>
          <w:rFonts w:ascii="Times New Roman" w:hAnsi="Times New Roman"/>
          <w:noProof/>
        </w:rPr>
      </w:pPr>
    </w:p>
    <w:p w14:paraId="496542A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Ķēdētie apjomi nav aditīvi, un tas nozīmē, ka datu rindas nav uzskatāmas par apkopojumu pēc aprēķinu līmeņiem (piemēram, kopējā pievienotā bruto vērtība nav vienāda ar visu </w:t>
      </w:r>
      <w:r>
        <w:rPr>
          <w:rFonts w:ascii="Times New Roman" w:hAnsi="Times New Roman"/>
          <w:i/>
        </w:rPr>
        <w:t>NACE</w:t>
      </w:r>
      <w:r>
        <w:rPr>
          <w:rFonts w:ascii="Times New Roman" w:hAnsi="Times New Roman"/>
        </w:rPr>
        <w:t xml:space="preserve"> 2. red. sadaļu summu).</w:t>
      </w:r>
    </w:p>
    <w:p w14:paraId="4CBBE0E8" w14:textId="77777777" w:rsidR="00975B5E" w:rsidRPr="001F0ECB" w:rsidRDefault="00975B5E" w:rsidP="00975B5E">
      <w:pPr>
        <w:jc w:val="both"/>
        <w:rPr>
          <w:rFonts w:ascii="Times New Roman" w:hAnsi="Times New Roman"/>
          <w:noProof/>
          <w:sz w:val="24"/>
        </w:rPr>
      </w:pPr>
    </w:p>
    <w:p w14:paraId="5EAFF9FF" w14:textId="77777777" w:rsidR="009F6D36" w:rsidRDefault="009F6D36" w:rsidP="009F6D36">
      <w:pPr>
        <w:pStyle w:val="Heading3"/>
        <w:tabs>
          <w:tab w:val="left" w:pos="1181"/>
        </w:tabs>
        <w:ind w:left="0" w:firstLine="0"/>
        <w:jc w:val="both"/>
        <w:rPr>
          <w:rFonts w:ascii="Times New Roman" w:hAnsi="Times New Roman"/>
          <w:noProof/>
          <w:sz w:val="24"/>
        </w:rPr>
      </w:pPr>
    </w:p>
    <w:p w14:paraId="2016A40C"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50" w:name="_Toc73461247"/>
      <w:r>
        <w:rPr>
          <w:rFonts w:ascii="Times New Roman" w:hAnsi="Times New Roman"/>
          <w:sz w:val="24"/>
        </w:rPr>
        <w:t>3.3.3. Ķēdēšana un sezonālā koriģēšana</w:t>
      </w:r>
      <w:bookmarkStart w:id="51" w:name="_bookmark25"/>
      <w:bookmarkEnd w:id="50"/>
      <w:bookmarkEnd w:id="51"/>
    </w:p>
    <w:p w14:paraId="1FA0363B" w14:textId="77777777" w:rsidR="009F6D36" w:rsidRDefault="009F6D36" w:rsidP="00975B5E">
      <w:pPr>
        <w:pStyle w:val="BodyText"/>
        <w:spacing w:before="0"/>
        <w:ind w:left="0"/>
        <w:jc w:val="both"/>
        <w:rPr>
          <w:rFonts w:ascii="Times New Roman" w:hAnsi="Times New Roman"/>
          <w:noProof/>
        </w:rPr>
      </w:pPr>
    </w:p>
    <w:p w14:paraId="604D2F0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Ir dažādas prakses attiecībā uz sezonāli koriģētā IKP iegūšanu. Latvijā tiek piemērota tiešās koriģēšanas metode. IKP un tā komponentes tiek tieši koriģētas neatkarīgi cita no citas. Jebkura neatbilstība parādās kā statistiskā neatbilstība. Netiek piemērota papildu koriģēšana, piemēram, sezonāli koriģētu datu koriģēšana vai līdzsvarošana, lai atjaunotu vienādības un nodrošinātu saskaņotību starp zemāka līmeņa apkopojumiem un augstāka līmeņa apkopojumiem.</w:t>
      </w:r>
    </w:p>
    <w:p w14:paraId="0C12F9B7" w14:textId="77777777" w:rsidR="009F6D36" w:rsidRDefault="009F6D36" w:rsidP="00975B5E">
      <w:pPr>
        <w:pStyle w:val="BodyText"/>
        <w:spacing w:before="0"/>
        <w:ind w:left="0"/>
        <w:jc w:val="both"/>
        <w:rPr>
          <w:rFonts w:ascii="Times New Roman" w:hAnsi="Times New Roman"/>
          <w:noProof/>
        </w:rPr>
      </w:pPr>
    </w:p>
    <w:p w14:paraId="4F029BD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Sezonālo koriģēšanu piemēro rindām faktiskajās cenās un ķēdētajās cenās. Laikrindas iepriekšējā gada cenās netiek sezonāli koriģētas.</w:t>
      </w:r>
    </w:p>
    <w:p w14:paraId="3221C0C7" w14:textId="77777777" w:rsidR="002672AA" w:rsidRPr="001F0ECB" w:rsidRDefault="002672AA" w:rsidP="00975B5E">
      <w:pPr>
        <w:jc w:val="both"/>
        <w:rPr>
          <w:rFonts w:ascii="Times New Roman" w:eastAsia="Calibri" w:hAnsi="Times New Roman" w:cs="Calibri"/>
          <w:noProof/>
          <w:sz w:val="24"/>
          <w:szCs w:val="24"/>
        </w:rPr>
      </w:pPr>
    </w:p>
    <w:p w14:paraId="53ED702D" w14:textId="77777777" w:rsidR="002672AA" w:rsidRPr="001F0ECB" w:rsidRDefault="002672AA" w:rsidP="00975B5E">
      <w:pPr>
        <w:jc w:val="both"/>
        <w:rPr>
          <w:rFonts w:ascii="Times New Roman" w:eastAsia="Calibri" w:hAnsi="Times New Roman" w:cs="Calibri"/>
          <w:noProof/>
          <w:sz w:val="24"/>
          <w:szCs w:val="23"/>
        </w:rPr>
      </w:pPr>
    </w:p>
    <w:p w14:paraId="56F55F0A" w14:textId="77777777" w:rsidR="002672AA" w:rsidRPr="001F0ECB" w:rsidRDefault="009F6D36" w:rsidP="009F6D36">
      <w:pPr>
        <w:pStyle w:val="Heading2"/>
        <w:tabs>
          <w:tab w:val="left" w:pos="1181"/>
        </w:tabs>
        <w:ind w:left="0" w:firstLine="0"/>
        <w:jc w:val="both"/>
        <w:rPr>
          <w:rFonts w:ascii="Times New Roman" w:hAnsi="Times New Roman"/>
          <w:noProof/>
          <w:sz w:val="24"/>
        </w:rPr>
      </w:pPr>
      <w:bookmarkStart w:id="52" w:name="_Toc73461248"/>
      <w:r>
        <w:rPr>
          <w:rFonts w:ascii="Times New Roman" w:hAnsi="Times New Roman"/>
          <w:sz w:val="24"/>
        </w:rPr>
        <w:t>3.4. Kalendārā un sezonālā koriģēšana</w:t>
      </w:r>
      <w:bookmarkStart w:id="53" w:name="_bookmark26"/>
      <w:bookmarkEnd w:id="52"/>
      <w:bookmarkEnd w:id="53"/>
    </w:p>
    <w:p w14:paraId="1E4BE3AB" w14:textId="77777777" w:rsidR="009F6D36" w:rsidRDefault="009F6D36" w:rsidP="00975B5E">
      <w:pPr>
        <w:pStyle w:val="BodyText"/>
        <w:spacing w:before="0"/>
        <w:ind w:left="0"/>
        <w:jc w:val="both"/>
        <w:rPr>
          <w:rFonts w:ascii="Times New Roman" w:hAnsi="Times New Roman"/>
          <w:noProof/>
        </w:rPr>
      </w:pPr>
    </w:p>
    <w:p w14:paraId="6069D33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Ceturkšņa nacionālo kontu (CNK) sezonālajai koriģēšanai izmanto programmu </w:t>
      </w:r>
      <w:r>
        <w:rPr>
          <w:rFonts w:ascii="Times New Roman" w:hAnsi="Times New Roman"/>
          <w:i/>
        </w:rPr>
        <w:t>JDemetra</w:t>
      </w:r>
      <w:r>
        <w:rPr>
          <w:rFonts w:ascii="Times New Roman" w:hAnsi="Times New Roman"/>
        </w:rPr>
        <w:t xml:space="preserve">+ (2.2.2. versiju), ko izstrādājusi Beļģijas Nacionālā banka sadarbībā ar </w:t>
      </w:r>
      <w:r>
        <w:rPr>
          <w:rFonts w:ascii="Times New Roman" w:hAnsi="Times New Roman"/>
          <w:i/>
        </w:rPr>
        <w:t>Deutsche Bundesbank</w:t>
      </w:r>
      <w:r>
        <w:rPr>
          <w:rFonts w:ascii="Times New Roman" w:hAnsi="Times New Roman"/>
        </w:rPr>
        <w:t xml:space="preserve"> un </w:t>
      </w:r>
      <w:r>
        <w:rPr>
          <w:rFonts w:ascii="Times New Roman" w:hAnsi="Times New Roman"/>
          <w:i/>
        </w:rPr>
        <w:t>Eurostat</w:t>
      </w:r>
      <w:r>
        <w:rPr>
          <w:rFonts w:ascii="Times New Roman" w:hAnsi="Times New Roman"/>
        </w:rPr>
        <w:t xml:space="preserve">. Programmā ietilpst </w:t>
      </w:r>
      <w:r>
        <w:rPr>
          <w:rFonts w:ascii="Times New Roman" w:hAnsi="Times New Roman"/>
          <w:i/>
        </w:rPr>
        <w:t>TRAMO/SEATS</w:t>
      </w:r>
      <w:r>
        <w:rPr>
          <w:rFonts w:ascii="Times New Roman" w:hAnsi="Times New Roman"/>
        </w:rPr>
        <w:t xml:space="preserve"> procedūra, ko izstrādājusi Spānijas Banka, un </w:t>
      </w:r>
      <w:r>
        <w:rPr>
          <w:rFonts w:ascii="Times New Roman" w:hAnsi="Times New Roman"/>
          <w:i/>
        </w:rPr>
        <w:t>X-12 ARIMA</w:t>
      </w:r>
      <w:r>
        <w:rPr>
          <w:rFonts w:ascii="Times New Roman" w:hAnsi="Times New Roman"/>
        </w:rPr>
        <w:t xml:space="preserve"> procedūra, ko izstrādājis ASV </w:t>
      </w:r>
      <w:r>
        <w:rPr>
          <w:rFonts w:ascii="Times New Roman" w:hAnsi="Times New Roman"/>
          <w:i/>
        </w:rPr>
        <w:t>Census Bureau</w:t>
      </w:r>
      <w:r>
        <w:rPr>
          <w:rFonts w:ascii="Times New Roman" w:hAnsi="Times New Roman"/>
        </w:rPr>
        <w:t xml:space="preserve">. Centrālā statistikas pārvalde (CSP) izmanto uz modeļiem bāzētu sezonālās koriģēšanas procedūru </w:t>
      </w:r>
      <w:r>
        <w:rPr>
          <w:rFonts w:ascii="Times New Roman" w:hAnsi="Times New Roman"/>
          <w:i/>
        </w:rPr>
        <w:t>TRAMO/SEATS</w:t>
      </w:r>
      <w:r>
        <w:rPr>
          <w:rFonts w:ascii="Times New Roman" w:hAnsi="Times New Roman"/>
        </w:rPr>
        <w:t>.</w:t>
      </w:r>
    </w:p>
    <w:p w14:paraId="56D8B261" w14:textId="77777777" w:rsidR="009F6D36" w:rsidRDefault="009F6D36" w:rsidP="00975B5E">
      <w:pPr>
        <w:pStyle w:val="BodyText"/>
        <w:spacing w:before="0"/>
        <w:ind w:left="0"/>
        <w:jc w:val="both"/>
        <w:rPr>
          <w:rFonts w:ascii="Times New Roman" w:hAnsi="Times New Roman"/>
          <w:noProof/>
        </w:rPr>
      </w:pPr>
    </w:p>
    <w:p w14:paraId="5240256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CNK sezonālā koriģēšana tiek veikta saskaņā ar ESS sezonālās koriģēšanas vadlīnijām (2015. gada izdevums).</w:t>
      </w:r>
    </w:p>
    <w:p w14:paraId="01E8BFE9" w14:textId="77777777" w:rsidR="009F6D36" w:rsidRDefault="009F6D36" w:rsidP="00975B5E">
      <w:pPr>
        <w:pStyle w:val="BodyText"/>
        <w:spacing w:before="0"/>
        <w:ind w:left="0"/>
        <w:jc w:val="both"/>
        <w:rPr>
          <w:rFonts w:ascii="Times New Roman" w:hAnsi="Times New Roman"/>
          <w:noProof/>
        </w:rPr>
      </w:pPr>
    </w:p>
    <w:p w14:paraId="5917040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Attiecībā uz CNK sezonālo koriģēšanu veic rādītājiem – tiek koriģētas vairāk nekā 170 rādītāju rindas, parasti no 1995. gada pirmā ceturkšņa līdz pēdējam ceturksnim. Sezonālo koriģēšanu veic tikai ceturkšņa laikrindām.</w:t>
      </w:r>
    </w:p>
    <w:p w14:paraId="6302EEE4" w14:textId="77777777" w:rsidR="009F6D36" w:rsidRDefault="009F6D36" w:rsidP="00975B5E">
      <w:pPr>
        <w:pStyle w:val="BodyText"/>
        <w:spacing w:before="0"/>
        <w:ind w:left="0"/>
        <w:jc w:val="both"/>
        <w:rPr>
          <w:rFonts w:ascii="Times New Roman" w:hAnsi="Times New Roman"/>
          <w:noProof/>
        </w:rPr>
      </w:pPr>
    </w:p>
    <w:p w14:paraId="029389F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Kalendāro koriģēšanu veic tikai saistībā ar sezonālo koriģēšanu. Darbdienu koriģēšana ir priekšapstrādes elements sezonālās koriģēšana procesā. Visi turpmāk minētie apraksti attiecas uz politikas nostādnēm saistībā ar ceturkšņa IKP un tā galveno komponenšu sezonālo un kalendāro koriģēšanu.</w:t>
      </w:r>
    </w:p>
    <w:p w14:paraId="71202968" w14:textId="77777777" w:rsidR="002672AA" w:rsidRPr="001F0ECB" w:rsidRDefault="002672AA" w:rsidP="00975B5E">
      <w:pPr>
        <w:jc w:val="both"/>
        <w:rPr>
          <w:rFonts w:ascii="Times New Roman" w:eastAsia="Calibri" w:hAnsi="Times New Roman" w:cs="Calibri"/>
          <w:noProof/>
          <w:sz w:val="24"/>
          <w:szCs w:val="24"/>
        </w:rPr>
      </w:pPr>
    </w:p>
    <w:p w14:paraId="79E17DD4" w14:textId="77777777" w:rsidR="002672AA" w:rsidRPr="001F0ECB" w:rsidRDefault="002672AA" w:rsidP="00975B5E">
      <w:pPr>
        <w:jc w:val="both"/>
        <w:rPr>
          <w:rFonts w:ascii="Times New Roman" w:eastAsia="Calibri" w:hAnsi="Times New Roman" w:cs="Calibri"/>
          <w:noProof/>
          <w:sz w:val="24"/>
          <w:szCs w:val="23"/>
        </w:rPr>
      </w:pPr>
    </w:p>
    <w:p w14:paraId="5AA5394E"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54" w:name="_Toc73461249"/>
      <w:r>
        <w:rPr>
          <w:rFonts w:ascii="Times New Roman" w:hAnsi="Times New Roman"/>
          <w:sz w:val="24"/>
        </w:rPr>
        <w:t>3.4.1. Sezonālās koriģēšanas politika</w:t>
      </w:r>
      <w:bookmarkStart w:id="55" w:name="_bookmark27"/>
      <w:bookmarkEnd w:id="54"/>
      <w:bookmarkEnd w:id="55"/>
    </w:p>
    <w:p w14:paraId="0F9458F4" w14:textId="77777777" w:rsidR="009F6D36" w:rsidRDefault="009F6D36" w:rsidP="00975B5E">
      <w:pPr>
        <w:pStyle w:val="BodyText"/>
        <w:spacing w:before="0"/>
        <w:ind w:left="0"/>
        <w:jc w:val="both"/>
        <w:rPr>
          <w:rFonts w:ascii="Times New Roman" w:hAnsi="Times New Roman"/>
          <w:noProof/>
        </w:rPr>
      </w:pPr>
    </w:p>
    <w:p w14:paraId="4925468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Sezonālo koriģēšanu veic atsevišķi datiem faktiskajās cenās un ķēdētiem apjomiem. Lielākā daļā ceturkšņa kontu agregātu ietver būtisku sezonālu komponenti.</w:t>
      </w:r>
    </w:p>
    <w:p w14:paraId="360FAA98" w14:textId="77777777" w:rsidR="009F6D36" w:rsidRDefault="009F6D36" w:rsidP="00975B5E">
      <w:pPr>
        <w:pStyle w:val="BodyText"/>
        <w:spacing w:before="0"/>
        <w:ind w:left="0"/>
        <w:jc w:val="both"/>
        <w:rPr>
          <w:rFonts w:ascii="Times New Roman" w:hAnsi="Times New Roman"/>
          <w:noProof/>
        </w:rPr>
      </w:pPr>
    </w:p>
    <w:p w14:paraId="1210653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lastRenderedPageBreak/>
        <w:t>Pirms sezonālās koriģēšanas tiek veikta rindā iespējami iekļauto netipisko vērtību korekcija. Uzmanība tiek pievērsta trīs veidu netipiskām vērtībām: aditīvām netipiskām vērtībām, līmeņa pārmaiņām un īslaicīgām izmaiņām. Aditīva netipiska vērtība ietekmē tikai vienu novērojumu. Īslaicīgas izmaiņas ietekmē vairākus secīgus novērojumus. Līmeņa pārmaiņu netipiskā vērtība ietekmē visus turpmākos novērojumus no noteikta punkta. Netipisko vērtību noteikšana tiek veikta, izmantojot matemātisko identificēšanas procedūru un visu pieejamo informāciju. Netipiskās vērtības modelī tiek iekļautas kā regresori, ja tās ir skaidri interpretējamas. Netipisko vērtību skaits laikrindās var būt ne vairāk kā 5 % no visiem rindas novērojumiem.</w:t>
      </w:r>
    </w:p>
    <w:p w14:paraId="1A086460" w14:textId="77777777" w:rsidR="00975B5E" w:rsidRPr="001F0ECB" w:rsidRDefault="00975B5E" w:rsidP="00975B5E">
      <w:pPr>
        <w:jc w:val="both"/>
        <w:rPr>
          <w:rFonts w:ascii="Times New Roman" w:hAnsi="Times New Roman"/>
          <w:noProof/>
          <w:sz w:val="24"/>
        </w:rPr>
      </w:pPr>
    </w:p>
    <w:p w14:paraId="4EFF657B"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Sadalījuma shēma tiek izraudzīta, izmantojot gan automātisko sadalījuma shēmas atlasi (izmantojot informācijas kritērijus), gan grafisko analīzi. Lielākajai daļai CNK rindu tika izmantots daudzkāršais sadalījums. Tomēr dažos gadījumos var tikt izmantots aditīvais sadalījums, piemēram, atlikumiem, kur varētu būt negatīvas vērtības.</w:t>
      </w:r>
    </w:p>
    <w:p w14:paraId="36E4F8C6" w14:textId="77777777" w:rsidR="009F6D36" w:rsidRPr="001F0ECB" w:rsidRDefault="009F6D36" w:rsidP="00975B5E">
      <w:pPr>
        <w:pStyle w:val="BodyText"/>
        <w:spacing w:before="0"/>
        <w:ind w:left="0"/>
        <w:jc w:val="both"/>
        <w:rPr>
          <w:rFonts w:ascii="Times New Roman" w:hAnsi="Times New Roman"/>
          <w:noProof/>
        </w:rPr>
      </w:pPr>
    </w:p>
    <w:p w14:paraId="09289CA6" w14:textId="77777777" w:rsidR="002672AA" w:rsidRPr="001F0ECB" w:rsidRDefault="002672AA" w:rsidP="00975B5E">
      <w:pPr>
        <w:pStyle w:val="BodyText"/>
        <w:spacing w:before="0"/>
        <w:ind w:left="0"/>
        <w:jc w:val="both"/>
        <w:rPr>
          <w:rFonts w:ascii="Times New Roman" w:hAnsi="Times New Roman"/>
          <w:noProof/>
          <w:szCs w:val="22"/>
        </w:rPr>
      </w:pPr>
      <w:r>
        <w:rPr>
          <w:rFonts w:ascii="Times New Roman" w:hAnsi="Times New Roman"/>
        </w:rPr>
        <w:t xml:space="preserve">Parasti programmā </w:t>
      </w:r>
      <w:r>
        <w:rPr>
          <w:rFonts w:ascii="Times New Roman" w:hAnsi="Times New Roman"/>
          <w:i/>
        </w:rPr>
        <w:t>JDemetra+</w:t>
      </w:r>
      <w:r>
        <w:rPr>
          <w:rFonts w:ascii="Times New Roman" w:hAnsi="Times New Roman"/>
        </w:rPr>
        <w:t xml:space="preserve"> tiek automātiski noteikts </w:t>
      </w:r>
      <w:r>
        <w:rPr>
          <w:rFonts w:ascii="Times New Roman" w:hAnsi="Times New Roman"/>
          <w:i/>
        </w:rPr>
        <w:t>ARIMA</w:t>
      </w:r>
      <w:r>
        <w:rPr>
          <w:rFonts w:ascii="Times New Roman" w:hAnsi="Times New Roman"/>
        </w:rPr>
        <w:t xml:space="preserve"> modelis. Automātisko modeli var mainīt, ja modeļa kvalitāte nav pietiekama, proti, ja </w:t>
      </w:r>
      <w:r>
        <w:rPr>
          <w:rFonts w:ascii="Times New Roman" w:hAnsi="Times New Roman"/>
          <w:i/>
        </w:rPr>
        <w:t>JDemetra+</w:t>
      </w:r>
      <w:r>
        <w:rPr>
          <w:rFonts w:ascii="Times New Roman" w:hAnsi="Times New Roman"/>
        </w:rPr>
        <w:t xml:space="preserve"> konstatē, ka dati joprojām satur sezonālās svārstības un kalendāros efektus, vai arī vēlas samazināt revīziju skaitu. Modeļa struktūru var vienkāršot, tostarp izmantot tā dēvēto “</w:t>
      </w:r>
      <w:r>
        <w:rPr>
          <w:rFonts w:ascii="Times New Roman" w:hAnsi="Times New Roman"/>
          <w:i/>
        </w:rPr>
        <w:t>Airline</w:t>
      </w:r>
      <w:r>
        <w:rPr>
          <w:rFonts w:ascii="Times New Roman" w:hAnsi="Times New Roman"/>
        </w:rPr>
        <w:t>” modeli.</w:t>
      </w:r>
    </w:p>
    <w:p w14:paraId="760E422D" w14:textId="77777777" w:rsidR="002672AA" w:rsidRPr="001F0ECB" w:rsidRDefault="002672AA" w:rsidP="00975B5E">
      <w:pPr>
        <w:jc w:val="both"/>
        <w:rPr>
          <w:rFonts w:ascii="Times New Roman" w:eastAsia="Calibri" w:hAnsi="Times New Roman" w:cs="Calibri"/>
          <w:noProof/>
          <w:sz w:val="24"/>
          <w:szCs w:val="24"/>
        </w:rPr>
      </w:pPr>
    </w:p>
    <w:p w14:paraId="1C0DA931" w14:textId="77777777" w:rsidR="002672AA" w:rsidRPr="001F0ECB" w:rsidRDefault="002672AA" w:rsidP="00975B5E">
      <w:pPr>
        <w:jc w:val="both"/>
        <w:rPr>
          <w:rFonts w:ascii="Times New Roman" w:eastAsia="Calibri" w:hAnsi="Times New Roman" w:cs="Calibri"/>
          <w:noProof/>
          <w:sz w:val="24"/>
          <w:szCs w:val="21"/>
        </w:rPr>
      </w:pPr>
    </w:p>
    <w:p w14:paraId="5320858E"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56" w:name="_Toc73461250"/>
      <w:r>
        <w:rPr>
          <w:rFonts w:ascii="Times New Roman" w:hAnsi="Times New Roman"/>
          <w:sz w:val="24"/>
        </w:rPr>
        <w:t>3.4.2. Kalendārās koriģēšanas politika</w:t>
      </w:r>
      <w:bookmarkStart w:id="57" w:name="_bookmark28"/>
      <w:bookmarkEnd w:id="56"/>
      <w:bookmarkEnd w:id="57"/>
    </w:p>
    <w:p w14:paraId="21B080BD" w14:textId="77777777" w:rsidR="009F6D36" w:rsidRDefault="009F6D36" w:rsidP="00975B5E">
      <w:pPr>
        <w:pStyle w:val="BodyText"/>
        <w:spacing w:before="0"/>
        <w:ind w:left="0"/>
        <w:jc w:val="both"/>
        <w:rPr>
          <w:rFonts w:ascii="Times New Roman" w:hAnsi="Times New Roman"/>
          <w:noProof/>
        </w:rPr>
      </w:pPr>
    </w:p>
    <w:p w14:paraId="0B47989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Kalendārā koriģēšana tiek veikta sezonāli koriģētu datu iegūšanas procesā un ir datu priekšapstrādes elements sezonālās koriģēšanas procedūrā. Galvenos kalendāros efektus modelē divi regresori, ņemot vērā kopējo darbdienu skaitu un perioda ilguma svārstības (garā gada efektu).</w:t>
      </w:r>
    </w:p>
    <w:p w14:paraId="54B4DE92" w14:textId="77777777" w:rsidR="009F6D36" w:rsidRDefault="009F6D36" w:rsidP="00975B5E">
      <w:pPr>
        <w:pStyle w:val="BodyText"/>
        <w:spacing w:before="0"/>
        <w:ind w:left="0"/>
        <w:jc w:val="both"/>
        <w:rPr>
          <w:rFonts w:ascii="Times New Roman" w:hAnsi="Times New Roman"/>
          <w:noProof/>
        </w:rPr>
      </w:pPr>
    </w:p>
    <w:p w14:paraId="39CB767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Kalendārās koriģēšanas nolūkā tiek izmantoti Latvijai specifiskie kalendārie regresori. Centrālā statistikas pārvalde ir ieguvusi kalendāros regresorus saskaņā ar valsts likumu par svētku, atceres un atzīmējamām dienām un </w:t>
      </w:r>
      <w:r>
        <w:rPr>
          <w:rFonts w:ascii="Times New Roman" w:hAnsi="Times New Roman"/>
          <w:i/>
        </w:rPr>
        <w:t>JDemetra+</w:t>
      </w:r>
      <w:r>
        <w:rPr>
          <w:rFonts w:ascii="Times New Roman" w:hAnsi="Times New Roman"/>
        </w:rPr>
        <w:t xml:space="preserve"> dokumentāciju. Kalendārās ietekmes korekcijas veic tikai atlasītajām laikrindām, kurās kalendārā ietekme ir statistiski nozīmīga un izskaidrojama no ekonomiskā viedokļa.</w:t>
      </w:r>
    </w:p>
    <w:p w14:paraId="4D8C442A" w14:textId="77777777" w:rsidR="002672AA" w:rsidRPr="001F0ECB" w:rsidRDefault="002672AA" w:rsidP="00975B5E">
      <w:pPr>
        <w:jc w:val="both"/>
        <w:rPr>
          <w:rFonts w:ascii="Times New Roman" w:eastAsia="Calibri" w:hAnsi="Times New Roman" w:cs="Calibri"/>
          <w:noProof/>
          <w:sz w:val="24"/>
          <w:szCs w:val="24"/>
        </w:rPr>
      </w:pPr>
    </w:p>
    <w:p w14:paraId="191FDB0C" w14:textId="77777777" w:rsidR="002672AA" w:rsidRPr="001F0ECB" w:rsidRDefault="002672AA" w:rsidP="00975B5E">
      <w:pPr>
        <w:jc w:val="both"/>
        <w:rPr>
          <w:rFonts w:ascii="Times New Roman" w:eastAsia="Calibri" w:hAnsi="Times New Roman" w:cs="Calibri"/>
          <w:noProof/>
          <w:sz w:val="24"/>
          <w:szCs w:val="23"/>
        </w:rPr>
      </w:pPr>
    </w:p>
    <w:p w14:paraId="76232263" w14:textId="77777777" w:rsidR="002672AA" w:rsidRPr="001F0ECB" w:rsidRDefault="009F6D36" w:rsidP="009F6D36">
      <w:pPr>
        <w:pStyle w:val="Heading3"/>
        <w:tabs>
          <w:tab w:val="left" w:pos="1181"/>
        </w:tabs>
        <w:ind w:left="0" w:firstLine="0"/>
        <w:jc w:val="both"/>
        <w:rPr>
          <w:rFonts w:ascii="Times New Roman" w:hAnsi="Times New Roman"/>
          <w:noProof/>
          <w:sz w:val="24"/>
        </w:rPr>
      </w:pPr>
      <w:bookmarkStart w:id="58" w:name="_Toc73461251"/>
      <w:r>
        <w:rPr>
          <w:rFonts w:ascii="Times New Roman" w:hAnsi="Times New Roman"/>
          <w:sz w:val="24"/>
        </w:rPr>
        <w:t>3.4.3. Revīzijas politika attiecībā uz sezonāli koriģētiem datiem</w:t>
      </w:r>
      <w:bookmarkStart w:id="59" w:name="_bookmark29"/>
      <w:bookmarkEnd w:id="58"/>
      <w:bookmarkEnd w:id="59"/>
    </w:p>
    <w:p w14:paraId="3CEB37A9" w14:textId="77777777" w:rsidR="009F6D36" w:rsidRDefault="009F6D36" w:rsidP="00975B5E">
      <w:pPr>
        <w:pStyle w:val="BodyText"/>
        <w:spacing w:before="0"/>
        <w:ind w:left="0"/>
        <w:jc w:val="both"/>
        <w:rPr>
          <w:rFonts w:ascii="Times New Roman" w:hAnsi="Times New Roman"/>
          <w:noProof/>
        </w:rPr>
      </w:pPr>
    </w:p>
    <w:p w14:paraId="26C3267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ESS sezonālās koriģēšanas vadlīnijām modeļi un to parametri tiek pārbaudīti un revidēti reizi gadā, kad laikrindām pievieno datus par pirmo ceturksni. Pārējā gada laikā tiek saglabāts aktuālais modelis, veicot tikai daļējas vienlaicīgas korekcijas (pēdējās netipiskās vērtības). Izņēmuma gadījumā, proti, ja sākotnējie dati tiek revidēti un modeļa kvalitāte nav pieņemama vai parametri ir statistiski nenozīmīgi, modeli var pielāgot.</w:t>
      </w:r>
    </w:p>
    <w:p w14:paraId="27A65A93" w14:textId="77777777" w:rsidR="009F6D36" w:rsidRDefault="009F6D36" w:rsidP="00975B5E">
      <w:pPr>
        <w:pStyle w:val="BodyText"/>
        <w:spacing w:before="0"/>
        <w:ind w:left="0"/>
        <w:jc w:val="both"/>
        <w:rPr>
          <w:rFonts w:ascii="Times New Roman" w:hAnsi="Times New Roman"/>
          <w:noProof/>
        </w:rPr>
      </w:pPr>
    </w:p>
    <w:p w14:paraId="33ED829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Vienlaicīgu korekciju stratēģiju un modeli izmanto revīzijā, ko veic reizi gadā (pirmajā ceturksnī). Ja veic nozīmīgas koriģētu datu revīzijas, vienmēr izmanto paralēlo koriģēšanu. Ja ir būtiskas izmaiņas sezonalitātes modelī vai nekoriģētu datu revīzijās, modelis pilnībā jāpārskata. Ja izmanto vienlaicīgo korekciju metodi, jauno modeli, tā spējas noteikt kvalitāti, kā arī koriģēto datu rindas vienmēr salīdzina ar iepriekšējiem rādītājiem.</w:t>
      </w:r>
    </w:p>
    <w:p w14:paraId="39B85FE8" w14:textId="77777777" w:rsidR="00975B5E" w:rsidRPr="001F0ECB" w:rsidRDefault="00975B5E" w:rsidP="00975B5E">
      <w:pPr>
        <w:jc w:val="both"/>
        <w:rPr>
          <w:rFonts w:ascii="Times New Roman" w:hAnsi="Times New Roman"/>
          <w:noProof/>
          <w:sz w:val="24"/>
        </w:rPr>
      </w:pPr>
    </w:p>
    <w:p w14:paraId="71441AD3" w14:textId="77777777" w:rsidR="002672AA" w:rsidRPr="001F0ECB" w:rsidRDefault="002672AA" w:rsidP="00975B5E">
      <w:pPr>
        <w:jc w:val="both"/>
        <w:rPr>
          <w:rFonts w:ascii="Times New Roman" w:eastAsia="Calibri" w:hAnsi="Times New Roman" w:cs="Calibri"/>
          <w:noProof/>
          <w:sz w:val="24"/>
          <w:szCs w:val="20"/>
        </w:rPr>
      </w:pPr>
    </w:p>
    <w:p w14:paraId="5CC5FECC" w14:textId="77777777" w:rsidR="002672AA" w:rsidRPr="007F2A05" w:rsidRDefault="009F6D36" w:rsidP="009F6D36">
      <w:pPr>
        <w:pStyle w:val="Heading1"/>
        <w:tabs>
          <w:tab w:val="left" w:pos="821"/>
        </w:tabs>
        <w:spacing w:before="0"/>
        <w:ind w:left="0" w:firstLine="0"/>
        <w:jc w:val="both"/>
        <w:rPr>
          <w:rFonts w:ascii="Times New Roman" w:hAnsi="Times New Roman"/>
          <w:noProof/>
          <w:sz w:val="28"/>
          <w:szCs w:val="40"/>
        </w:rPr>
      </w:pPr>
      <w:bookmarkStart w:id="60" w:name="_Toc73461252"/>
      <w:r w:rsidRPr="007F2A05">
        <w:rPr>
          <w:rFonts w:ascii="Times New Roman" w:hAnsi="Times New Roman"/>
          <w:sz w:val="28"/>
          <w:szCs w:val="40"/>
        </w:rPr>
        <w:lastRenderedPageBreak/>
        <w:t>4. IKP un komponentes – ražošanas pieeja</w:t>
      </w:r>
      <w:bookmarkStart w:id="61" w:name="_bookmark30"/>
      <w:bookmarkEnd w:id="60"/>
      <w:bookmarkEnd w:id="61"/>
    </w:p>
    <w:p w14:paraId="32CCB28D" w14:textId="77777777" w:rsidR="009F6D36" w:rsidRDefault="009F6D36" w:rsidP="00975B5E">
      <w:pPr>
        <w:pStyle w:val="BodyText"/>
        <w:spacing w:before="0"/>
        <w:ind w:left="0"/>
        <w:jc w:val="both"/>
        <w:rPr>
          <w:rFonts w:ascii="Times New Roman" w:hAnsi="Times New Roman"/>
          <w:noProof/>
        </w:rPr>
      </w:pPr>
    </w:p>
    <w:p w14:paraId="71EA87E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Ražošanas pieeja ir galvenā pieeja, ko Latvijā izmanto, lai novērtētu iekšzemes kopproduktu (IKP). Latvijā ceturkšņa IKP aprēķinos galvenokārt izmanto netiešo metodi.</w:t>
      </w:r>
    </w:p>
    <w:p w14:paraId="4D6CFACB" w14:textId="77777777" w:rsidR="009F6D36" w:rsidRDefault="009F6D36" w:rsidP="00975B5E">
      <w:pPr>
        <w:pStyle w:val="BodyText"/>
        <w:spacing w:before="0"/>
        <w:ind w:left="0"/>
        <w:jc w:val="both"/>
        <w:rPr>
          <w:rFonts w:ascii="Times New Roman" w:hAnsi="Times New Roman"/>
          <w:noProof/>
        </w:rPr>
      </w:pPr>
    </w:p>
    <w:p w14:paraId="68DE0F0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Ražošanas pieejas pamatā ir dažādu ekonomikas nozaru izlaides un starppatēriņa novērtējumi. Starppatēriņš tiek novērtēts, izmantojot galīgo (gada) starppatēriņa un izlaides attiecību. Nozares bruto pievienoto vērtību definē kā starpību starp izlaidi (bāzes cenas) un starppatēriņu (pircēju cenas). Izlaidi veido pārskata periodā radītie produkti un pakalpojumi.</w:t>
      </w:r>
    </w:p>
    <w:p w14:paraId="29F3F5E9" w14:textId="77777777" w:rsidR="009F6D36" w:rsidRDefault="009F6D36" w:rsidP="00975B5E">
      <w:pPr>
        <w:pStyle w:val="BodyText"/>
        <w:spacing w:before="0"/>
        <w:ind w:left="0"/>
        <w:jc w:val="both"/>
        <w:rPr>
          <w:rFonts w:ascii="Times New Roman" w:hAnsi="Times New Roman"/>
          <w:noProof/>
        </w:rPr>
      </w:pPr>
    </w:p>
    <w:p w14:paraId="0F2DA81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Saskaņā ar ražošanas pieeju IKP aprēķina kā visu </w:t>
      </w:r>
      <w:r>
        <w:rPr>
          <w:rFonts w:ascii="Times New Roman" w:hAnsi="Times New Roman"/>
          <w:i/>
        </w:rPr>
        <w:t>NACE</w:t>
      </w:r>
      <w:r>
        <w:rPr>
          <w:rFonts w:ascii="Times New Roman" w:hAnsi="Times New Roman"/>
        </w:rPr>
        <w:t xml:space="preserve"> 2. red. nozaru bruto pievienotās vērtības summu bāzes cenās, pieskaitot produktu nodokļus un atņemot produktu subsīdijas. IKP novērtējumos saskaņā ar ražošanas pieeju nav atlikumu.</w:t>
      </w:r>
    </w:p>
    <w:p w14:paraId="65972A6A" w14:textId="77777777" w:rsidR="009F6D36" w:rsidRDefault="009F6D36" w:rsidP="00975B5E">
      <w:pPr>
        <w:pStyle w:val="BodyText"/>
        <w:spacing w:before="0"/>
        <w:ind w:left="0"/>
        <w:jc w:val="both"/>
        <w:rPr>
          <w:rFonts w:ascii="Times New Roman" w:hAnsi="Times New Roman"/>
          <w:noProof/>
        </w:rPr>
      </w:pPr>
    </w:p>
    <w:p w14:paraId="7343021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Ceturkšņa IKP ražošanas agregātu vērtēšanu galvenokārt veic </w:t>
      </w:r>
      <w:r>
        <w:rPr>
          <w:rFonts w:ascii="Times New Roman" w:hAnsi="Times New Roman"/>
          <w:i/>
        </w:rPr>
        <w:t>NACE</w:t>
      </w:r>
      <w:r>
        <w:rPr>
          <w:rFonts w:ascii="Times New Roman" w:hAnsi="Times New Roman"/>
        </w:rPr>
        <w:t xml:space="preserve"> 2. red. klasifikācijas divu zīmju līmenī, bet ar dažiem izņēmumiem, kad aprēķinus veic trīs zīmju līmenī. Klasifikāciju pa institucionālajiem sektoriem piemēro arī </w:t>
      </w:r>
      <w:r>
        <w:rPr>
          <w:rFonts w:ascii="Times New Roman" w:hAnsi="Times New Roman"/>
          <w:i/>
        </w:rPr>
        <w:t>NACE</w:t>
      </w:r>
      <w:r>
        <w:rPr>
          <w:rFonts w:ascii="Times New Roman" w:hAnsi="Times New Roman"/>
        </w:rPr>
        <w:t xml:space="preserve"> 2. red. divu zīmju līmenī.</w:t>
      </w:r>
    </w:p>
    <w:p w14:paraId="6CB42789" w14:textId="77777777" w:rsidR="009F6D36" w:rsidRDefault="009F6D36" w:rsidP="00975B5E">
      <w:pPr>
        <w:pStyle w:val="BodyText"/>
        <w:spacing w:before="0"/>
        <w:ind w:left="0"/>
        <w:jc w:val="both"/>
        <w:rPr>
          <w:rFonts w:ascii="Times New Roman" w:hAnsi="Times New Roman"/>
          <w:noProof/>
        </w:rPr>
      </w:pPr>
    </w:p>
    <w:p w14:paraId="565DA449"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Saskaņā ar ražošanas pieeju IKP komponentes novērtē faktiskajās cenās, iepriekšējā gada cenās un ķēdētajās rindās.</w:t>
      </w:r>
    </w:p>
    <w:p w14:paraId="6174658D" w14:textId="77777777" w:rsidR="009F6D36" w:rsidRPr="001F0ECB" w:rsidRDefault="009F6D36" w:rsidP="00975B5E">
      <w:pPr>
        <w:pStyle w:val="BodyText"/>
        <w:spacing w:before="0"/>
        <w:ind w:left="0"/>
        <w:jc w:val="both"/>
        <w:rPr>
          <w:rFonts w:ascii="Times New Roman" w:hAnsi="Times New Roman"/>
          <w:noProof/>
        </w:rPr>
      </w:pPr>
    </w:p>
    <w:p w14:paraId="4968B4A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Galvenie datu avoti ceturkšņa IKP novērtēšanai saskaņā ar ražošanas pieeju ir šādi:</w:t>
      </w:r>
    </w:p>
    <w:p w14:paraId="50E8449C" w14:textId="77777777" w:rsidR="009F6D36" w:rsidRPr="001F0ECB" w:rsidRDefault="009F6D36" w:rsidP="00975B5E">
      <w:pPr>
        <w:pStyle w:val="BodyText"/>
        <w:spacing w:before="0"/>
        <w:ind w:left="0"/>
        <w:jc w:val="both"/>
        <w:rPr>
          <w:rFonts w:ascii="Times New Roman" w:hAnsi="Times New Roman"/>
          <w:noProof/>
        </w:rPr>
      </w:pPr>
    </w:p>
    <w:p w14:paraId="799D06DC"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Agroresursu un ekonomikas institūta ceturkšņa informācija;</w:t>
      </w:r>
    </w:p>
    <w:p w14:paraId="181D1F3C"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mēneša un ceturkšņa pārskati par lauksaimniecības produktu ražošanu un cenām (CSP);</w:t>
      </w:r>
    </w:p>
    <w:p w14:paraId="3043F745"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rūpniecības produkcijas apjoma mēneša indeksi un izlaides vērtība (ieguves rūpniecība un karjeru izstrāde, apstrādes rūpniecība, elektroenerģija, gāzes apgāde, siltumapgāde un gaisa kondicionēšana);</w:t>
      </w:r>
    </w:p>
    <w:p w14:paraId="3A71EDEE"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ceturkšņa būvniecības produkcijas apjoma indekss un būvniecības produkcijas izlaide faktiskajās cenās;</w:t>
      </w:r>
    </w:p>
    <w:p w14:paraId="3FC19176"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mēneša un ceturkšņa mazumtirdzniecības statistika;</w:t>
      </w:r>
    </w:p>
    <w:p w14:paraId="7FF63913"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ceturkšņa dati par uzņēmumu darbības tendencēm šādās nozarēs: mežsaimniecība, vairumtirdzniecība, transports un uzglabāšana, izmitināšanas un ēdināšanas pakalpojumi, informācija un komunikācija, operācijas ar nekustamo īpašumu, profesionālie, zinātniskie un tehniskie pakalpojumi, administratīvo un apkalpojošo dienestu darbība, izglītība (tirgus pakalpojumi), veselība un sociālā aprūpe (tirgus pakalpojumi), māksla, izklaide un atpūta, citi pakalpojumi;</w:t>
      </w:r>
    </w:p>
    <w:p w14:paraId="23F88C9C"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ceturkšņa darbaspēka apsekojumu statistika par nodarbināto skaitu un darbaspēka izmaksām;</w:t>
      </w:r>
    </w:p>
    <w:p w14:paraId="1136F625" w14:textId="77777777" w:rsidR="00975B5E" w:rsidRPr="009F6D36"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Latvijas Bankas ceturkšņa informācija (maksājumu bilance, “Ceturkšņa finanšu pārskats (1-FP)”, Latvijas Bankas peļņas un zaudējumu aprēķins, monetāro finanšu iestāžu finanšu pārskats (peļņas vai zaudējumu aprēķins un bilances pozīcijas));</w:t>
      </w:r>
    </w:p>
    <w:p w14:paraId="048DA922"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Finanšu un kapitāla tirgus komisijas ceturkšņa informācija (ieguldījumu brokeru sabiedrību un ieguldījumu pārvaldes sabiedrību peļņas vai zaudējumu aprēķins, pensiju fondu peļņas vai zaudējumu aprēķins utt.);</w:t>
      </w:r>
    </w:p>
    <w:p w14:paraId="499E3FF6"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Latvijas Republikas Finanšu ministrija (produktu nodokļi);</w:t>
      </w:r>
    </w:p>
    <w:p w14:paraId="5708AC90" w14:textId="77777777" w:rsidR="002672AA" w:rsidRPr="001F0ECB" w:rsidRDefault="002672AA" w:rsidP="009F6D36">
      <w:pPr>
        <w:pStyle w:val="BodyText"/>
        <w:numPr>
          <w:ilvl w:val="0"/>
          <w:numId w:val="19"/>
        </w:numPr>
        <w:spacing w:before="0"/>
        <w:ind w:left="709" w:hanging="425"/>
        <w:jc w:val="both"/>
        <w:rPr>
          <w:rFonts w:ascii="Times New Roman" w:hAnsi="Times New Roman"/>
          <w:noProof/>
        </w:rPr>
      </w:pPr>
      <w:r>
        <w:rPr>
          <w:rFonts w:ascii="Times New Roman" w:hAnsi="Times New Roman"/>
        </w:rPr>
        <w:t>galvenie vispārējās valdības sektora finanšu statistikas datu avoti ir Finanšu ministrijas mēneša un gada pārskati par valsts un pašvaldību budžetu izpildi un statistikas veidlapu informācija par valsts un pašvaldību kontrolēto uzņēmumu darbību.</w:t>
      </w:r>
    </w:p>
    <w:p w14:paraId="02D0F53F" w14:textId="77777777" w:rsidR="009F6D36" w:rsidRDefault="009F6D36" w:rsidP="00975B5E">
      <w:pPr>
        <w:pStyle w:val="BodyText"/>
        <w:spacing w:before="0"/>
        <w:ind w:left="0"/>
        <w:jc w:val="both"/>
        <w:rPr>
          <w:rFonts w:ascii="Times New Roman" w:hAnsi="Times New Roman"/>
          <w:noProof/>
        </w:rPr>
      </w:pPr>
    </w:p>
    <w:p w14:paraId="255D18B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Uzņēmējdarbības ceturkšņa statistikas pamatā ir apsekojumu dati (informācija tiek apkopota no lielām vienībām – galvenie rādītāji ir neto apgrozījums un nodarbināto skaits).</w:t>
      </w:r>
    </w:p>
    <w:p w14:paraId="7F896850" w14:textId="77777777" w:rsidR="009F6D36" w:rsidRDefault="009F6D36" w:rsidP="00975B5E">
      <w:pPr>
        <w:pStyle w:val="BodyText"/>
        <w:spacing w:before="0"/>
        <w:ind w:left="0"/>
        <w:jc w:val="both"/>
        <w:rPr>
          <w:rFonts w:ascii="Times New Roman" w:hAnsi="Times New Roman"/>
          <w:noProof/>
        </w:rPr>
      </w:pPr>
    </w:p>
    <w:p w14:paraId="5573BB6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Finanšu sektora uzraudzības iestāžu sniegtā statistiskā informācija (informācija par kredītiestādēm, apdrošināšanas sabiedrībām, pensiju fondiem) tiek izmantota, lai novērtētu šā sektora izlaidi un starppatēriņu.</w:t>
      </w:r>
    </w:p>
    <w:p w14:paraId="53E82485" w14:textId="77777777" w:rsidR="009F6D36" w:rsidRDefault="009F6D36" w:rsidP="00975B5E">
      <w:pPr>
        <w:pStyle w:val="BodyText"/>
        <w:spacing w:before="0"/>
        <w:ind w:left="0"/>
        <w:jc w:val="both"/>
        <w:rPr>
          <w:rFonts w:ascii="Times New Roman" w:hAnsi="Times New Roman"/>
          <w:noProof/>
        </w:rPr>
      </w:pPr>
    </w:p>
    <w:p w14:paraId="0BCDE99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Primārais datu avots ārpustirgus darbībām ir vispārējās valdības sektora ikmēneša izdevumi centrālās un vietējās valdības vajadzībām.</w:t>
      </w:r>
    </w:p>
    <w:p w14:paraId="7586450D" w14:textId="77777777" w:rsidR="009F6D36" w:rsidRDefault="009F6D36" w:rsidP="00975B5E">
      <w:pPr>
        <w:pStyle w:val="BodyText"/>
        <w:spacing w:before="0"/>
        <w:ind w:left="0"/>
        <w:jc w:val="both"/>
        <w:rPr>
          <w:rFonts w:ascii="Times New Roman" w:hAnsi="Times New Roman"/>
          <w:noProof/>
        </w:rPr>
      </w:pPr>
    </w:p>
    <w:p w14:paraId="3B13FAB6" w14:textId="77777777" w:rsidR="002672AA" w:rsidRPr="001F0ECB" w:rsidRDefault="002672AA" w:rsidP="009F6D36">
      <w:pPr>
        <w:pStyle w:val="BodyText"/>
        <w:spacing w:before="0"/>
        <w:ind w:left="0"/>
        <w:jc w:val="both"/>
        <w:rPr>
          <w:rFonts w:ascii="Times New Roman" w:hAnsi="Times New Roman"/>
          <w:noProof/>
        </w:rPr>
      </w:pPr>
      <w:r>
        <w:rPr>
          <w:rFonts w:ascii="Times New Roman" w:hAnsi="Times New Roman"/>
        </w:rPr>
        <w:t>Nefinanšu sabiedrību sektorā (S.11) un mājsaimniecību sektorā (S.14) izlaidi aprēķina, izmantojot īstermiņa uzņēmējdarbības statistikas datus par izlaidi vai apgrozījumu, savukārt finanšu sabiedrību sektorā (S.12) – pārsvarā izmantojot tiešus datu avotus, ko sniedz Latvijas Banka un FKTK, kā arī CSP pārskatus izlaides novērtējumiem. Valdības vienību kārtējos izdevumus izmanto vispārējās valdības sektora (S.13) izlaides novērtējumiem. Mājsaimniecības apkalpojošo bezpeļņas iestāžu sektora (S.15) rādītājs saglabājas iepriekšējā gada attiecīgā perioda līmenī.</w:t>
      </w:r>
    </w:p>
    <w:p w14:paraId="0885DCAE" w14:textId="77777777" w:rsidR="002672AA" w:rsidRPr="001F0ECB" w:rsidRDefault="002672AA" w:rsidP="00975B5E">
      <w:pPr>
        <w:jc w:val="both"/>
        <w:rPr>
          <w:rFonts w:ascii="Times New Roman" w:eastAsia="Calibri" w:hAnsi="Times New Roman" w:cs="Calibri"/>
          <w:noProof/>
          <w:sz w:val="24"/>
          <w:szCs w:val="24"/>
        </w:rPr>
      </w:pPr>
    </w:p>
    <w:p w14:paraId="126FBA68" w14:textId="77777777" w:rsidR="002672AA" w:rsidRPr="001F0ECB" w:rsidRDefault="002672AA" w:rsidP="00975B5E">
      <w:pPr>
        <w:jc w:val="both"/>
        <w:rPr>
          <w:rFonts w:ascii="Times New Roman" w:eastAsia="Calibri" w:hAnsi="Times New Roman" w:cs="Calibri"/>
          <w:noProof/>
          <w:sz w:val="24"/>
          <w:szCs w:val="23"/>
        </w:rPr>
      </w:pPr>
    </w:p>
    <w:p w14:paraId="634EEE49" w14:textId="77777777" w:rsidR="002672AA" w:rsidRPr="001F0ECB" w:rsidRDefault="009F6D36" w:rsidP="009F6D36">
      <w:pPr>
        <w:pStyle w:val="Heading2"/>
        <w:tabs>
          <w:tab w:val="left" w:pos="1181"/>
        </w:tabs>
        <w:ind w:left="0" w:firstLine="0"/>
        <w:jc w:val="both"/>
        <w:rPr>
          <w:rFonts w:ascii="Times New Roman" w:hAnsi="Times New Roman"/>
          <w:noProof/>
          <w:sz w:val="24"/>
        </w:rPr>
      </w:pPr>
      <w:bookmarkStart w:id="62" w:name="_Toc73461253"/>
      <w:r>
        <w:rPr>
          <w:rFonts w:ascii="Times New Roman" w:hAnsi="Times New Roman"/>
          <w:sz w:val="24"/>
        </w:rPr>
        <w:t>4.1. Bruto pievienotā vērtība, tostarp sadalījums pa nozarēm</w:t>
      </w:r>
      <w:bookmarkStart w:id="63" w:name="_bookmark31"/>
      <w:bookmarkEnd w:id="62"/>
      <w:bookmarkEnd w:id="63"/>
    </w:p>
    <w:p w14:paraId="661863CC" w14:textId="77777777" w:rsidR="009F6D36" w:rsidRDefault="009F6D36" w:rsidP="00975B5E">
      <w:pPr>
        <w:pStyle w:val="Heading4"/>
        <w:spacing w:before="0"/>
        <w:ind w:left="0"/>
        <w:jc w:val="both"/>
        <w:rPr>
          <w:rFonts w:ascii="Times New Roman" w:hAnsi="Times New Roman"/>
          <w:noProof/>
        </w:rPr>
      </w:pPr>
    </w:p>
    <w:p w14:paraId="50B97DE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Lauksaimniecība (</w:t>
      </w:r>
      <w:r>
        <w:rPr>
          <w:rFonts w:ascii="Times New Roman" w:hAnsi="Times New Roman"/>
          <w:i/>
        </w:rPr>
        <w:t>NACE</w:t>
      </w:r>
      <w:r>
        <w:rPr>
          <w:rFonts w:ascii="Times New Roman" w:hAnsi="Times New Roman"/>
        </w:rPr>
        <w:t xml:space="preserve"> 2. red. A01)</w:t>
      </w:r>
    </w:p>
    <w:p w14:paraId="7720A764" w14:textId="77777777" w:rsidR="009F6D36" w:rsidRDefault="009F6D36" w:rsidP="00975B5E">
      <w:pPr>
        <w:pStyle w:val="BodyText"/>
        <w:spacing w:before="0"/>
        <w:ind w:left="0"/>
        <w:jc w:val="both"/>
        <w:rPr>
          <w:rFonts w:ascii="Times New Roman" w:hAnsi="Times New Roman"/>
          <w:noProof/>
        </w:rPr>
      </w:pPr>
    </w:p>
    <w:p w14:paraId="3AC28D4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Augkopības un lopkopības ceturkšņa novērtēšanu veic Agroresursu un ekonomikas institūta speciālisti, izmantojot informāciju no CSP pārskatiem, ekspertu novērtējumus un prognozes (jo īpaši attiecībā uz augkopību).</w:t>
      </w:r>
    </w:p>
    <w:p w14:paraId="54B3CB6B" w14:textId="77777777" w:rsidR="009F6D36" w:rsidRDefault="009F6D36" w:rsidP="00975B5E">
      <w:pPr>
        <w:pStyle w:val="BodyText"/>
        <w:spacing w:before="0"/>
        <w:ind w:left="0"/>
        <w:jc w:val="both"/>
        <w:rPr>
          <w:rFonts w:ascii="Times New Roman" w:hAnsi="Times New Roman"/>
          <w:noProof/>
        </w:rPr>
      </w:pPr>
    </w:p>
    <w:p w14:paraId="108F98C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Kārtējo ceturkšņa aprēķinu veic, ekstrapolējot iepriekšējā gada attiecīgā ceturkšņa izlaidi.</w:t>
      </w:r>
    </w:p>
    <w:p w14:paraId="6FE5842D" w14:textId="77777777" w:rsidR="009F6D36" w:rsidRDefault="009F6D36" w:rsidP="00975B5E">
      <w:pPr>
        <w:pStyle w:val="BodyText"/>
        <w:spacing w:before="0"/>
        <w:ind w:left="0"/>
        <w:jc w:val="both"/>
        <w:rPr>
          <w:rFonts w:ascii="Times New Roman" w:hAnsi="Times New Roman"/>
          <w:noProof/>
        </w:rPr>
      </w:pPr>
    </w:p>
    <w:p w14:paraId="530CA9C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Izlaidi aprēķina, izmantojot ražošanas rādītājus, savukārt starppatēriņa novērtējumiem izmanto galīgo (gada) starppatēriņa un izlaides attiecību. Bruto pievienotā vērtība ir izlaides un starppatēriņa starpība.</w:t>
      </w:r>
    </w:p>
    <w:p w14:paraId="27DA4C2D" w14:textId="77777777" w:rsidR="009F6D36" w:rsidRDefault="009F6D36" w:rsidP="00975B5E">
      <w:pPr>
        <w:pStyle w:val="BodyText"/>
        <w:spacing w:before="0"/>
        <w:ind w:left="0"/>
        <w:jc w:val="both"/>
        <w:rPr>
          <w:rFonts w:ascii="Times New Roman" w:hAnsi="Times New Roman"/>
          <w:noProof/>
        </w:rPr>
      </w:pPr>
    </w:p>
    <w:p w14:paraId="7CA9311C"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Lauksaimniecības datu novērtējumi ietver lopkopību (gaļu, pienu, olas, kā arī datus par citu produktu iepirkumu un cenām no pārdošanas veidlapām), augkopību un pakalpojumus. Tā kā augkopībai ir augsts sezonalitātes faktors, gada laikā iegūto izlaidi dala pa ceturkšņiem proporcionāli izmaksām, kuras radušās. Agroresursu un ekonomikas institūta speciālisti katru ceturksni veic ražošanas novērtēšanu.</w:t>
      </w:r>
    </w:p>
    <w:p w14:paraId="01CE0C6A" w14:textId="77777777" w:rsidR="009F6D36" w:rsidRPr="001F0ECB" w:rsidRDefault="009F6D36" w:rsidP="00975B5E">
      <w:pPr>
        <w:pStyle w:val="BodyText"/>
        <w:spacing w:before="0"/>
        <w:ind w:left="0"/>
        <w:jc w:val="both"/>
        <w:rPr>
          <w:rFonts w:ascii="Times New Roman" w:hAnsi="Times New Roman"/>
          <w:noProof/>
        </w:rPr>
      </w:pPr>
    </w:p>
    <w:p w14:paraId="58BF011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apjoma mēru apkopošanai izmanto lauksaimniecības produktu cenu indeksus, kurus aprēķinājis Agroresursu un ekonomikas institūts.</w:t>
      </w:r>
    </w:p>
    <w:p w14:paraId="329AC819" w14:textId="77777777" w:rsidR="009F6D36" w:rsidRDefault="009F6D36" w:rsidP="00975B5E">
      <w:pPr>
        <w:pStyle w:val="BodyText"/>
        <w:spacing w:before="0"/>
        <w:ind w:left="0"/>
        <w:jc w:val="both"/>
        <w:rPr>
          <w:rFonts w:ascii="Times New Roman" w:hAnsi="Times New Roman"/>
          <w:noProof/>
        </w:rPr>
      </w:pPr>
    </w:p>
    <w:p w14:paraId="76FB3CA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Ceturkšņa dati par lopkopību tiek novērtēti, pamatojoties uz šādiem datu avotiem:</w:t>
      </w:r>
    </w:p>
    <w:p w14:paraId="1F5296C8" w14:textId="77777777" w:rsidR="009F6D36" w:rsidRPr="001F0ECB" w:rsidRDefault="009F6D36" w:rsidP="00975B5E">
      <w:pPr>
        <w:pStyle w:val="BodyText"/>
        <w:spacing w:before="0"/>
        <w:ind w:left="0"/>
        <w:jc w:val="both"/>
        <w:rPr>
          <w:rFonts w:ascii="Times New Roman" w:hAnsi="Times New Roman"/>
          <w:noProof/>
        </w:rPr>
      </w:pPr>
    </w:p>
    <w:p w14:paraId="3E6F2E7A" w14:textId="77777777" w:rsidR="002672AA" w:rsidRDefault="002672AA" w:rsidP="009F6D36">
      <w:pPr>
        <w:pStyle w:val="BodyText"/>
        <w:numPr>
          <w:ilvl w:val="1"/>
          <w:numId w:val="16"/>
        </w:numPr>
        <w:spacing w:before="0"/>
        <w:ind w:left="709" w:hanging="425"/>
        <w:jc w:val="both"/>
        <w:rPr>
          <w:rFonts w:ascii="Times New Roman" w:hAnsi="Times New Roman"/>
          <w:noProof/>
        </w:rPr>
      </w:pPr>
      <w:r>
        <w:rPr>
          <w:rFonts w:ascii="Times New Roman" w:hAnsi="Times New Roman"/>
        </w:rPr>
        <w:t>CSP statistikas anketām:</w:t>
      </w:r>
    </w:p>
    <w:p w14:paraId="4A56E486" w14:textId="77777777" w:rsidR="009F6D36" w:rsidRPr="001F0ECB" w:rsidRDefault="009F6D36" w:rsidP="009F6D36">
      <w:pPr>
        <w:pStyle w:val="BodyText"/>
        <w:spacing w:before="0"/>
        <w:ind w:left="709"/>
        <w:jc w:val="both"/>
        <w:rPr>
          <w:rFonts w:ascii="Times New Roman" w:hAnsi="Times New Roman"/>
          <w:noProof/>
        </w:rPr>
      </w:pPr>
    </w:p>
    <w:p w14:paraId="0289B93B" w14:textId="77777777" w:rsidR="002672AA" w:rsidRPr="001F0ECB" w:rsidRDefault="002672AA" w:rsidP="009F6D36">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1-putnkopība “Pārskats par putnkopību”;</w:t>
      </w:r>
    </w:p>
    <w:p w14:paraId="7893CA06" w14:textId="77777777" w:rsidR="002672AA" w:rsidRDefault="002672AA" w:rsidP="009F6D36">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11-iepirkums “Pārskats par lauksaimniecības dzīvnieku iepirkumu un kaušanu”;</w:t>
      </w:r>
    </w:p>
    <w:p w14:paraId="58BA2DDC" w14:textId="77777777" w:rsidR="009F6D36" w:rsidRPr="001F0ECB" w:rsidRDefault="009F6D36" w:rsidP="009F6D36">
      <w:pPr>
        <w:pStyle w:val="BodyText"/>
        <w:tabs>
          <w:tab w:val="left" w:pos="1541"/>
        </w:tabs>
        <w:spacing w:before="0"/>
        <w:ind w:left="709"/>
        <w:jc w:val="both"/>
        <w:rPr>
          <w:rFonts w:ascii="Times New Roman" w:hAnsi="Times New Roman"/>
          <w:noProof/>
        </w:rPr>
      </w:pPr>
    </w:p>
    <w:p w14:paraId="797E2E0E" w14:textId="77777777" w:rsidR="002672AA" w:rsidRPr="001F0ECB" w:rsidRDefault="002672AA" w:rsidP="009F6D36">
      <w:pPr>
        <w:pStyle w:val="BodyText"/>
        <w:numPr>
          <w:ilvl w:val="1"/>
          <w:numId w:val="16"/>
        </w:numPr>
        <w:spacing w:before="0"/>
        <w:ind w:left="709" w:hanging="425"/>
        <w:jc w:val="both"/>
        <w:rPr>
          <w:rFonts w:ascii="Times New Roman" w:hAnsi="Times New Roman"/>
          <w:noProof/>
        </w:rPr>
      </w:pPr>
      <w:r>
        <w:rPr>
          <w:rFonts w:ascii="Times New Roman" w:hAnsi="Times New Roman"/>
        </w:rPr>
        <w:t>Lauksaimniecības datu centra uzturētā piena ražotāju reģistra datiem;</w:t>
      </w:r>
    </w:p>
    <w:p w14:paraId="78B9C6D1" w14:textId="77777777" w:rsidR="002672AA" w:rsidRPr="001F0ECB" w:rsidRDefault="002672AA" w:rsidP="009F6D36">
      <w:pPr>
        <w:pStyle w:val="BodyText"/>
        <w:numPr>
          <w:ilvl w:val="1"/>
          <w:numId w:val="16"/>
        </w:numPr>
        <w:spacing w:before="0"/>
        <w:ind w:left="709" w:hanging="425"/>
        <w:jc w:val="both"/>
        <w:rPr>
          <w:rFonts w:ascii="Times New Roman" w:hAnsi="Times New Roman"/>
          <w:noProof/>
        </w:rPr>
      </w:pPr>
      <w:r>
        <w:rPr>
          <w:rFonts w:ascii="Times New Roman" w:hAnsi="Times New Roman"/>
        </w:rPr>
        <w:lastRenderedPageBreak/>
        <w:t>kautuvju datiem, kas tiek paziņoti Lauksaimniecības datu centra uzturētajā elektronisko ziņojumu ievades sistēmā;</w:t>
      </w:r>
    </w:p>
    <w:p w14:paraId="0A0D4A52" w14:textId="77777777" w:rsidR="002672AA" w:rsidRDefault="002672AA" w:rsidP="009F6D36">
      <w:pPr>
        <w:pStyle w:val="BodyText"/>
        <w:numPr>
          <w:ilvl w:val="1"/>
          <w:numId w:val="16"/>
        </w:numPr>
        <w:spacing w:before="0"/>
        <w:ind w:left="709" w:hanging="425"/>
        <w:jc w:val="both"/>
        <w:rPr>
          <w:rFonts w:ascii="Times New Roman" w:hAnsi="Times New Roman"/>
          <w:noProof/>
        </w:rPr>
      </w:pPr>
      <w:r>
        <w:rPr>
          <w:rFonts w:ascii="Times New Roman" w:hAnsi="Times New Roman"/>
        </w:rPr>
        <w:t>statistiku par kautuvēs saražoto gaļu iegūst no šādiem datu avotiem:</w:t>
      </w:r>
    </w:p>
    <w:p w14:paraId="3AE8F226" w14:textId="77777777" w:rsidR="009F6D36" w:rsidRPr="001F0ECB" w:rsidRDefault="009F6D36" w:rsidP="009F6D36">
      <w:pPr>
        <w:pStyle w:val="BodyText"/>
        <w:spacing w:before="0"/>
        <w:ind w:left="709"/>
        <w:jc w:val="both"/>
        <w:rPr>
          <w:rFonts w:ascii="Times New Roman" w:hAnsi="Times New Roman"/>
          <w:noProof/>
        </w:rPr>
      </w:pPr>
    </w:p>
    <w:p w14:paraId="159E64CA" w14:textId="77777777" w:rsidR="002672AA" w:rsidRPr="001F0ECB" w:rsidRDefault="002672AA" w:rsidP="009F6D36">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kautuvju datiem, kas tiek paziņoti Lauksaimniecības datu centra pārvaldītajā elektronisko ziņojumu ievades sistēmā;</w:t>
      </w:r>
    </w:p>
    <w:p w14:paraId="788D49B5" w14:textId="77777777" w:rsidR="002672AA" w:rsidRPr="001F0ECB" w:rsidRDefault="002672AA" w:rsidP="009F6D36">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CSP anketas 11-iepirkums “Pārskats par lauksaimniecības dzīvnieku iepirkumu un kaušanu”.</w:t>
      </w:r>
    </w:p>
    <w:p w14:paraId="5F51AB06" w14:textId="77777777" w:rsidR="009F6D36" w:rsidRDefault="009F6D36" w:rsidP="00975B5E">
      <w:pPr>
        <w:pStyle w:val="BodyText"/>
        <w:spacing w:before="0"/>
        <w:ind w:left="0"/>
        <w:jc w:val="both"/>
        <w:rPr>
          <w:rFonts w:ascii="Times New Roman" w:hAnsi="Times New Roman"/>
          <w:noProof/>
        </w:rPr>
      </w:pPr>
    </w:p>
    <w:p w14:paraId="5B1AF23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iepirkto graudu, pākšaugu un rapša apjomu un vidējām iepirkuma cenām CSP iegūst pilnā apsekojumā, izmantojot veidlapu 1-iepirkums “Pārskats par graudu, pākšaugu, rapša iepirkumu”.</w:t>
      </w:r>
    </w:p>
    <w:p w14:paraId="33CA7362" w14:textId="77777777" w:rsidR="009F6D36" w:rsidRDefault="009F6D36" w:rsidP="00975B5E">
      <w:pPr>
        <w:pStyle w:val="BodyText"/>
        <w:spacing w:before="0"/>
        <w:ind w:left="0"/>
        <w:jc w:val="both"/>
        <w:rPr>
          <w:rFonts w:ascii="Times New Roman" w:hAnsi="Times New Roman"/>
          <w:noProof/>
        </w:rPr>
      </w:pPr>
    </w:p>
    <w:p w14:paraId="78B93CC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Rādītāju iegūšanai veic aprēķinus un novērtējumus, izmantojot šādus datu avotus:</w:t>
      </w:r>
    </w:p>
    <w:p w14:paraId="755EB29A" w14:textId="77777777" w:rsidR="009F6D36" w:rsidRPr="001F0ECB" w:rsidRDefault="009F6D36" w:rsidP="00975B5E">
      <w:pPr>
        <w:pStyle w:val="BodyText"/>
        <w:spacing w:before="0"/>
        <w:ind w:left="0"/>
        <w:jc w:val="both"/>
        <w:rPr>
          <w:rFonts w:ascii="Times New Roman" w:hAnsi="Times New Roman"/>
          <w:noProof/>
        </w:rPr>
      </w:pPr>
    </w:p>
    <w:p w14:paraId="4CF6C33E" w14:textId="77777777" w:rsidR="002672AA"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CSP statistikas pārskatu veidlapas:</w:t>
      </w:r>
    </w:p>
    <w:p w14:paraId="31AD00C2" w14:textId="77777777" w:rsidR="00216D05" w:rsidRPr="001F0ECB" w:rsidRDefault="00216D05" w:rsidP="00216D05">
      <w:pPr>
        <w:pStyle w:val="BodyText"/>
        <w:spacing w:before="0"/>
        <w:ind w:left="709"/>
        <w:jc w:val="both"/>
        <w:rPr>
          <w:rFonts w:ascii="Times New Roman" w:hAnsi="Times New Roman"/>
          <w:noProof/>
        </w:rPr>
      </w:pPr>
    </w:p>
    <w:p w14:paraId="5502E725" w14:textId="77777777" w:rsidR="002672AA" w:rsidRPr="001F0ECB"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21-LS (augkopība) “Pārskats par augkopības produktu pārdošanu”;</w:t>
      </w:r>
    </w:p>
    <w:p w14:paraId="6B6A5A05" w14:textId="77777777" w:rsidR="002672AA" w:rsidRPr="001F0ECB"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1-puķes un stādi “Pārskats par puķkopību un stādu audzēšanu”;</w:t>
      </w:r>
    </w:p>
    <w:p w14:paraId="6A0C5B03" w14:textId="77777777" w:rsidR="002672AA" w:rsidRPr="001F0ECB"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5-iepirkums “Pārskats par linu un kaņepju iepirkumu”;</w:t>
      </w:r>
    </w:p>
    <w:p w14:paraId="770C8330" w14:textId="77777777" w:rsidR="002672AA" w:rsidRPr="001F0ECB"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1-iepirkums “Pārskats par graudu, pākšaugu un rapša iepirkumu”;</w:t>
      </w:r>
    </w:p>
    <w:p w14:paraId="3611C75E" w14:textId="77777777" w:rsidR="002672AA" w:rsidRPr="001F0ECB"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11-iepirkums “Pārskats par lauksaimniecības dzīvnieku iepirkumu un kaušanu”;</w:t>
      </w:r>
    </w:p>
    <w:p w14:paraId="631A2F99" w14:textId="77777777" w:rsidR="002672AA" w:rsidRPr="001F0ECB"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3-ls “Lopkopība”;</w:t>
      </w:r>
    </w:p>
    <w:p w14:paraId="7EA0E13C" w14:textId="77777777" w:rsidR="002672AA" w:rsidRDefault="002672AA" w:rsidP="00216D0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1-putnkopība “Pārskats par putnkopību”;</w:t>
      </w:r>
    </w:p>
    <w:p w14:paraId="7CEDC722" w14:textId="77777777" w:rsidR="00216D05" w:rsidRPr="001F0ECB" w:rsidRDefault="00216D05" w:rsidP="00216D05">
      <w:pPr>
        <w:pStyle w:val="BodyText"/>
        <w:tabs>
          <w:tab w:val="left" w:pos="1541"/>
        </w:tabs>
        <w:spacing w:before="0"/>
        <w:ind w:left="709"/>
        <w:jc w:val="both"/>
        <w:rPr>
          <w:rFonts w:ascii="Times New Roman" w:hAnsi="Times New Roman"/>
          <w:noProof/>
        </w:rPr>
      </w:pPr>
    </w:p>
    <w:p w14:paraId="48FD6BCC" w14:textId="77777777" w:rsidR="002672AA" w:rsidRPr="001F0ECB"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Lauksaimniecības datu centra piena ražotāju reģistra datus;</w:t>
      </w:r>
    </w:p>
    <w:p w14:paraId="3D1D421B" w14:textId="77777777" w:rsidR="002672AA" w:rsidRPr="001F0ECB"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Lauksaimniecības datu centra elektronisko ziņojumu ievades sistēmā sniegto informāciju par kautuvēm;</w:t>
      </w:r>
    </w:p>
    <w:p w14:paraId="267DED36" w14:textId="77777777" w:rsidR="002672AA" w:rsidRPr="001F0ECB"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Agroresursu un ekonomikas institūta datus par lauksaimniecības produktu cenām.</w:t>
      </w:r>
    </w:p>
    <w:p w14:paraId="4801FD92" w14:textId="77777777" w:rsidR="00975B5E" w:rsidRPr="001F0ECB" w:rsidRDefault="00975B5E" w:rsidP="00975B5E">
      <w:pPr>
        <w:jc w:val="both"/>
        <w:rPr>
          <w:rFonts w:ascii="Times New Roman" w:hAnsi="Times New Roman"/>
          <w:noProof/>
          <w:sz w:val="24"/>
        </w:rPr>
      </w:pPr>
    </w:p>
    <w:p w14:paraId="0F69926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Mežsaimniecība (</w:t>
      </w:r>
      <w:r>
        <w:rPr>
          <w:rFonts w:ascii="Times New Roman" w:hAnsi="Times New Roman"/>
          <w:i/>
        </w:rPr>
        <w:t>NACE</w:t>
      </w:r>
      <w:r>
        <w:rPr>
          <w:rFonts w:ascii="Times New Roman" w:hAnsi="Times New Roman"/>
        </w:rPr>
        <w:t xml:space="preserve"> 2. red. A02)</w:t>
      </w:r>
    </w:p>
    <w:p w14:paraId="6022FE8B" w14:textId="77777777" w:rsidR="00216D05" w:rsidRDefault="00216D05" w:rsidP="00975B5E">
      <w:pPr>
        <w:pStyle w:val="BodyText"/>
        <w:spacing w:before="0"/>
        <w:ind w:left="0"/>
        <w:jc w:val="both"/>
        <w:rPr>
          <w:rFonts w:ascii="Times New Roman" w:hAnsi="Times New Roman"/>
          <w:noProof/>
        </w:rPr>
      </w:pPr>
    </w:p>
    <w:p w14:paraId="398BF503"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Mežsaimniecības izlaides vērtējumiem izmantotie dati tiek iegūti no CSP tirdzniecības un pakalpojumu statistikas. Lai aprēķinātu mežsaimniecības apgrozījuma datus, tiek veikta imputācija, izmantojot informāciju, kas ietverta Valsts ieņēmumu dienesta pievienotās vērtības nodokļa deklarācijā. Izlaidi aprēķina, izmantojot apgrozījuma datus – pārskata ceturkšņa apgrozījuma datus salīdzina ar iepriekšējā gada attiecīgā ceturkšņa datiem, lai iegūtu izmaiņas, kuras ekstrapolē uz iepriekšējā gada attiecīgā ceturkšņa izlaidi.</w:t>
      </w:r>
    </w:p>
    <w:p w14:paraId="494337C0" w14:textId="77777777" w:rsidR="00216D05" w:rsidRPr="001F0ECB" w:rsidRDefault="00216D05" w:rsidP="00975B5E">
      <w:pPr>
        <w:pStyle w:val="BodyText"/>
        <w:spacing w:before="0"/>
        <w:ind w:left="0"/>
        <w:jc w:val="both"/>
        <w:rPr>
          <w:rFonts w:ascii="Times New Roman" w:hAnsi="Times New Roman"/>
          <w:noProof/>
        </w:rPr>
      </w:pPr>
    </w:p>
    <w:p w14:paraId="32BE9B6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555D031B" w14:textId="77777777" w:rsidR="00216D05" w:rsidRDefault="00216D05" w:rsidP="00975B5E">
      <w:pPr>
        <w:pStyle w:val="BodyText"/>
        <w:spacing w:before="0"/>
        <w:ind w:left="0"/>
        <w:jc w:val="both"/>
        <w:rPr>
          <w:rFonts w:ascii="Times New Roman" w:hAnsi="Times New Roman"/>
          <w:noProof/>
        </w:rPr>
      </w:pPr>
    </w:p>
    <w:p w14:paraId="6C4CF53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5F68AAC7" w14:textId="77777777" w:rsidR="00216D05" w:rsidRDefault="00216D05" w:rsidP="00975B5E">
      <w:pPr>
        <w:pStyle w:val="BodyText"/>
        <w:spacing w:before="0"/>
        <w:ind w:left="0"/>
        <w:jc w:val="both"/>
        <w:rPr>
          <w:rFonts w:ascii="Times New Roman" w:hAnsi="Times New Roman"/>
          <w:noProof/>
        </w:rPr>
      </w:pPr>
    </w:p>
    <w:p w14:paraId="4D6C861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Pievienotā vērtība apjoma mēros tiek novērtēta, izmantojot atbilstošo cenu indeksu – apaļo kokmateriālu vidējās iepirkuma cenas indeksus. Eksporta vienības vērtības indeksu izmanto eksportētās produkcijas apjoma aprēķiniem.</w:t>
      </w:r>
    </w:p>
    <w:p w14:paraId="5761B6A3" w14:textId="77777777" w:rsidR="00216D05" w:rsidRDefault="00216D05" w:rsidP="00975B5E">
      <w:pPr>
        <w:pStyle w:val="BodyText"/>
        <w:spacing w:before="0"/>
        <w:ind w:left="0"/>
        <w:jc w:val="both"/>
        <w:rPr>
          <w:rFonts w:ascii="Times New Roman" w:hAnsi="Times New Roman"/>
          <w:noProof/>
        </w:rPr>
      </w:pPr>
    </w:p>
    <w:p w14:paraId="5AA87C9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Dati par uzņēmumu iepirkto baļķu un kluču daudzumu un cenām tiek apkopoti reizi sešos mēnešos, un tos izmanto, lai aprēķinātu vidējās baļķu un kluču (priedes zāģbaļķu, egles zāģbaļķu, bērza zāģbaļķu un finierkluču, melnalkšņa zāģbaļķu, apses zāģbaļķu un taras kluču) iepirkuma cenas Latvijā (EUR/m</w:t>
      </w:r>
      <w:r>
        <w:rPr>
          <w:rFonts w:ascii="Times New Roman" w:hAnsi="Times New Roman"/>
          <w:vertAlign w:val="superscript"/>
        </w:rPr>
        <w:t>3</w:t>
      </w:r>
      <w:r>
        <w:rPr>
          <w:rFonts w:ascii="Times New Roman" w:hAnsi="Times New Roman"/>
        </w:rPr>
        <w:t xml:space="preserve">, bez PVN). Kokmateriālu vidējo iepirkuma cenu dati tiek </w:t>
      </w:r>
      <w:r>
        <w:rPr>
          <w:rFonts w:ascii="Times New Roman" w:hAnsi="Times New Roman"/>
        </w:rPr>
        <w:lastRenderedPageBreak/>
        <w:t>iegūti izlases apsekojumā, izmantojot CSP izstrādāto pusgada statistikas pārskata veidlapu 1-kokmateriāli “Pārskats par kokmateriālu iepirkumu”.</w:t>
      </w:r>
    </w:p>
    <w:p w14:paraId="0CC03327" w14:textId="77777777" w:rsidR="002672AA" w:rsidRPr="001F0ECB" w:rsidRDefault="002672AA" w:rsidP="00975B5E">
      <w:pPr>
        <w:jc w:val="both"/>
        <w:rPr>
          <w:rFonts w:ascii="Times New Roman" w:eastAsia="Calibri" w:hAnsi="Times New Roman" w:cs="Calibri"/>
          <w:noProof/>
          <w:sz w:val="24"/>
          <w:szCs w:val="24"/>
        </w:rPr>
      </w:pPr>
    </w:p>
    <w:p w14:paraId="44771C89" w14:textId="77777777" w:rsidR="002672AA" w:rsidRPr="001F0ECB" w:rsidRDefault="002672AA" w:rsidP="00975B5E">
      <w:pPr>
        <w:jc w:val="both"/>
        <w:rPr>
          <w:rFonts w:ascii="Times New Roman" w:eastAsia="Calibri" w:hAnsi="Times New Roman" w:cs="Calibri"/>
          <w:noProof/>
          <w:sz w:val="24"/>
          <w:szCs w:val="23"/>
        </w:rPr>
      </w:pPr>
    </w:p>
    <w:p w14:paraId="288E848B"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Zivsaimniecība (</w:t>
      </w:r>
      <w:r>
        <w:rPr>
          <w:rFonts w:ascii="Times New Roman" w:hAnsi="Times New Roman"/>
          <w:i/>
        </w:rPr>
        <w:t>NACE</w:t>
      </w:r>
      <w:r>
        <w:rPr>
          <w:rFonts w:ascii="Times New Roman" w:hAnsi="Times New Roman"/>
        </w:rPr>
        <w:t xml:space="preserve"> 2. red. A03)</w:t>
      </w:r>
    </w:p>
    <w:p w14:paraId="7E7F9AFD" w14:textId="77777777" w:rsidR="00216D05" w:rsidRDefault="00216D05" w:rsidP="00975B5E">
      <w:pPr>
        <w:pStyle w:val="BodyText"/>
        <w:spacing w:before="0"/>
        <w:ind w:left="0"/>
        <w:jc w:val="both"/>
        <w:rPr>
          <w:rFonts w:ascii="Times New Roman" w:hAnsi="Times New Roman"/>
          <w:noProof/>
        </w:rPr>
      </w:pPr>
    </w:p>
    <w:p w14:paraId="0069DB9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Zivsaimniecības sektora izlaidi aprēķina, izmantojot ražošanas rādītājus. Izlaidi ceturkšņos aprēķina, izmantojot ekstrapolācijas metodi – pārskata ceturkšņa apgrozījuma datus salīdzina ar iepriekšējā gada attiecīgā ceturkšņa datiem, lai iegūtu izmaiņas, kuras ekstrapolē uz iepriekšējā gada attiecīgā ceturkšņa izlaidi.</w:t>
      </w:r>
    </w:p>
    <w:p w14:paraId="7819F71C" w14:textId="77777777" w:rsidR="00216D05" w:rsidRDefault="00216D05" w:rsidP="00975B5E">
      <w:pPr>
        <w:pStyle w:val="BodyText"/>
        <w:spacing w:before="0"/>
        <w:ind w:left="0"/>
        <w:jc w:val="both"/>
        <w:rPr>
          <w:rFonts w:ascii="Times New Roman" w:hAnsi="Times New Roman"/>
          <w:noProof/>
        </w:rPr>
      </w:pPr>
    </w:p>
    <w:p w14:paraId="1729E36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3D060D22" w14:textId="77777777" w:rsidR="00216D05" w:rsidRDefault="00216D05" w:rsidP="00975B5E">
      <w:pPr>
        <w:pStyle w:val="BodyText"/>
        <w:spacing w:before="0"/>
        <w:ind w:left="0"/>
        <w:jc w:val="both"/>
        <w:rPr>
          <w:rFonts w:ascii="Times New Roman" w:hAnsi="Times New Roman"/>
          <w:noProof/>
        </w:rPr>
      </w:pPr>
    </w:p>
    <w:p w14:paraId="2C32B0F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2FBB9E84" w14:textId="77777777" w:rsidR="00216D05" w:rsidRDefault="00216D05" w:rsidP="00975B5E">
      <w:pPr>
        <w:pStyle w:val="BodyText"/>
        <w:spacing w:before="0"/>
        <w:ind w:left="0"/>
        <w:jc w:val="both"/>
        <w:rPr>
          <w:rFonts w:ascii="Times New Roman" w:hAnsi="Times New Roman"/>
          <w:noProof/>
        </w:rPr>
      </w:pPr>
    </w:p>
    <w:p w14:paraId="4BBCFCE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Zivsaimniecības statistikas datu avots ir regulāri to komersantu apsekojumi, kuri nodarbojas ar zvejniecību.</w:t>
      </w:r>
    </w:p>
    <w:p w14:paraId="2C3FFB2C" w14:textId="77777777" w:rsidR="00216D05" w:rsidRDefault="00216D05" w:rsidP="00975B5E">
      <w:pPr>
        <w:pStyle w:val="BodyText"/>
        <w:spacing w:before="0"/>
        <w:ind w:left="0"/>
        <w:jc w:val="both"/>
        <w:rPr>
          <w:rFonts w:ascii="Times New Roman" w:hAnsi="Times New Roman"/>
          <w:noProof/>
        </w:rPr>
      </w:pPr>
    </w:p>
    <w:p w14:paraId="2D93901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iegūtu datus par zivsaimniecību, tiek pārbaudīts nozvejas daudzums Ziemeļrietumatlantijā, Ziemeļaustrumatlantijā, Baltijas jūrā un Rīgas jūras līcī, Austrumu Vidusatlantijā un iekšējos ūdeņos. Attiecīgas informācijas trūkuma dēļ akvakultūras daudzumu aprēķina iepriekšējā gada attiecīgā ceturkšņa līmenī, līdz tiek saņemti jauni dati no gada datu avotiem. Šī informācija tiks integrēta aprēķinos atbilstoši CNK revīzijas politikai.</w:t>
      </w:r>
    </w:p>
    <w:p w14:paraId="110C8D2B" w14:textId="77777777" w:rsidR="00216D05" w:rsidRDefault="00216D05" w:rsidP="00975B5E">
      <w:pPr>
        <w:pStyle w:val="BodyText"/>
        <w:spacing w:before="0"/>
        <w:ind w:left="0"/>
        <w:jc w:val="both"/>
        <w:rPr>
          <w:rFonts w:ascii="Times New Roman" w:hAnsi="Times New Roman"/>
          <w:noProof/>
        </w:rPr>
      </w:pPr>
    </w:p>
    <w:p w14:paraId="29905BE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Pievienotā vērtība apjoma mēros tiek aprēķināta, izmantojot zivsaimniecības deflatoru. Zivsaimniecības deflatora aprēķinā izmanto vienības vērtības attiecību pret iepriekšējā gada vidējo vienības vērtību un zivju svērto vērtību. Svara aprēķinā izmanto visvērtīgākās zivju sugas, kas aptver aptuveni 98 % no visas zivsaimniecības vērtības.</w:t>
      </w:r>
    </w:p>
    <w:p w14:paraId="22235A82" w14:textId="77777777" w:rsidR="00216D05" w:rsidRDefault="00216D05" w:rsidP="00975B5E">
      <w:pPr>
        <w:pStyle w:val="BodyText"/>
        <w:spacing w:before="0"/>
        <w:ind w:left="0"/>
        <w:jc w:val="both"/>
        <w:rPr>
          <w:rFonts w:ascii="Times New Roman" w:hAnsi="Times New Roman"/>
          <w:noProof/>
        </w:rPr>
      </w:pPr>
    </w:p>
    <w:p w14:paraId="4153E4A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Zivsaimniecības datus iegūst, izmantojot aprēķinus, kuru pamatā ir šādi datu avoti:</w:t>
      </w:r>
    </w:p>
    <w:p w14:paraId="4A788435" w14:textId="77777777" w:rsidR="00975B5E" w:rsidRPr="001F0ECB" w:rsidRDefault="00975B5E" w:rsidP="00975B5E">
      <w:pPr>
        <w:jc w:val="both"/>
        <w:rPr>
          <w:rFonts w:ascii="Times New Roman" w:hAnsi="Times New Roman"/>
          <w:noProof/>
          <w:sz w:val="24"/>
        </w:rPr>
      </w:pPr>
    </w:p>
    <w:p w14:paraId="0C74CA69" w14:textId="77777777" w:rsidR="002672AA"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CSP statistikas pārskatu veidlapas:</w:t>
      </w:r>
    </w:p>
    <w:p w14:paraId="7785D9DC" w14:textId="77777777" w:rsidR="007651F9" w:rsidRPr="001F0ECB" w:rsidRDefault="007651F9" w:rsidP="007651F9">
      <w:pPr>
        <w:pStyle w:val="BodyText"/>
        <w:spacing w:before="0"/>
        <w:ind w:left="709"/>
        <w:jc w:val="both"/>
        <w:rPr>
          <w:rFonts w:ascii="Times New Roman" w:hAnsi="Times New Roman"/>
          <w:noProof/>
        </w:rPr>
      </w:pPr>
    </w:p>
    <w:p w14:paraId="6503C435" w14:textId="77777777" w:rsidR="002672AA" w:rsidRPr="001F0ECB" w:rsidRDefault="002672AA" w:rsidP="007651F9">
      <w:pPr>
        <w:pStyle w:val="BodyText"/>
        <w:numPr>
          <w:ilvl w:val="2"/>
          <w:numId w:val="16"/>
        </w:numPr>
        <w:tabs>
          <w:tab w:val="left" w:pos="1901"/>
        </w:tabs>
        <w:spacing w:before="0"/>
        <w:ind w:left="1134" w:hanging="425"/>
        <w:jc w:val="both"/>
        <w:rPr>
          <w:rFonts w:ascii="Times New Roman" w:hAnsi="Times New Roman"/>
          <w:noProof/>
        </w:rPr>
      </w:pPr>
      <w:r>
        <w:rPr>
          <w:rFonts w:ascii="Times New Roman" w:hAnsi="Times New Roman"/>
        </w:rPr>
        <w:t>gadā – 1-akvakultūra “Pārskats par akvakultūru”;</w:t>
      </w:r>
    </w:p>
    <w:p w14:paraId="5C8B05AF" w14:textId="77777777" w:rsidR="002672AA" w:rsidRDefault="002672AA" w:rsidP="007651F9">
      <w:pPr>
        <w:pStyle w:val="BodyText"/>
        <w:numPr>
          <w:ilvl w:val="2"/>
          <w:numId w:val="16"/>
        </w:numPr>
        <w:tabs>
          <w:tab w:val="left" w:pos="1901"/>
        </w:tabs>
        <w:spacing w:before="0"/>
        <w:ind w:left="1134" w:hanging="425"/>
        <w:jc w:val="both"/>
        <w:rPr>
          <w:rFonts w:ascii="Times New Roman" w:hAnsi="Times New Roman"/>
          <w:noProof/>
        </w:rPr>
      </w:pPr>
      <w:r>
        <w:rPr>
          <w:rFonts w:ascii="Times New Roman" w:hAnsi="Times New Roman"/>
        </w:rPr>
        <w:t>ceturksnī – 1-zvejniecība “Pārskats par zvejniecību”;</w:t>
      </w:r>
    </w:p>
    <w:p w14:paraId="5C660202" w14:textId="77777777" w:rsidR="007651F9" w:rsidRPr="001F0ECB" w:rsidRDefault="007651F9" w:rsidP="007651F9">
      <w:pPr>
        <w:pStyle w:val="BodyText"/>
        <w:tabs>
          <w:tab w:val="left" w:pos="1901"/>
        </w:tabs>
        <w:spacing w:before="0"/>
        <w:ind w:left="709"/>
        <w:jc w:val="both"/>
        <w:rPr>
          <w:rFonts w:ascii="Times New Roman" w:hAnsi="Times New Roman"/>
          <w:noProof/>
        </w:rPr>
      </w:pPr>
    </w:p>
    <w:p w14:paraId="5067F518" w14:textId="77777777" w:rsidR="002672AA" w:rsidRPr="001F0ECB"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LR Zemkopības ministrijas Zivsaimniecības departamenta dati;</w:t>
      </w:r>
    </w:p>
    <w:p w14:paraId="3F3288EA" w14:textId="77777777" w:rsidR="002672AA" w:rsidRPr="001F0ECB" w:rsidRDefault="002672AA" w:rsidP="00216D05">
      <w:pPr>
        <w:pStyle w:val="BodyText"/>
        <w:numPr>
          <w:ilvl w:val="1"/>
          <w:numId w:val="16"/>
        </w:numPr>
        <w:spacing w:before="0"/>
        <w:ind w:left="709" w:hanging="425"/>
        <w:jc w:val="both"/>
        <w:rPr>
          <w:rFonts w:ascii="Times New Roman" w:hAnsi="Times New Roman"/>
          <w:noProof/>
        </w:rPr>
      </w:pPr>
      <w:r>
        <w:rPr>
          <w:rFonts w:ascii="Times New Roman" w:hAnsi="Times New Roman"/>
        </w:rPr>
        <w:t>Pārtikas drošības, dzīvnieku veselības un vides zinātniskā institūta dati.</w:t>
      </w:r>
    </w:p>
    <w:p w14:paraId="10BB41C4" w14:textId="77777777" w:rsidR="002672AA" w:rsidRPr="001F0ECB" w:rsidRDefault="002672AA" w:rsidP="00975B5E">
      <w:pPr>
        <w:jc w:val="both"/>
        <w:rPr>
          <w:rFonts w:ascii="Times New Roman" w:eastAsia="Calibri" w:hAnsi="Times New Roman" w:cs="Calibri"/>
          <w:noProof/>
          <w:sz w:val="24"/>
          <w:szCs w:val="24"/>
        </w:rPr>
      </w:pPr>
    </w:p>
    <w:p w14:paraId="7AD6BDFD" w14:textId="77777777" w:rsidR="002672AA" w:rsidRPr="001F0ECB" w:rsidRDefault="002672AA" w:rsidP="00975B5E">
      <w:pPr>
        <w:jc w:val="both"/>
        <w:rPr>
          <w:rFonts w:ascii="Times New Roman" w:eastAsia="Calibri" w:hAnsi="Times New Roman" w:cs="Calibri"/>
          <w:noProof/>
          <w:sz w:val="24"/>
          <w:szCs w:val="26"/>
        </w:rPr>
      </w:pPr>
    </w:p>
    <w:p w14:paraId="1B437F2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Ieguves rūpniecība un karjeru izstrāde, Apstrādes rūpniecība, Elektroenerģija, gāzes apgāde, siltumapgāde un gaisa kondicionēšana (</w:t>
      </w:r>
      <w:r>
        <w:rPr>
          <w:rFonts w:ascii="Times New Roman" w:hAnsi="Times New Roman"/>
          <w:i/>
        </w:rPr>
        <w:t>NACE</w:t>
      </w:r>
      <w:r>
        <w:rPr>
          <w:rFonts w:ascii="Times New Roman" w:hAnsi="Times New Roman"/>
        </w:rPr>
        <w:t xml:space="preserve"> 2. red. no B līdz D)</w:t>
      </w:r>
    </w:p>
    <w:p w14:paraId="0772F3B0" w14:textId="77777777" w:rsidR="007651F9" w:rsidRDefault="007651F9" w:rsidP="00975B5E">
      <w:pPr>
        <w:pStyle w:val="BodyText"/>
        <w:spacing w:before="0"/>
        <w:ind w:left="0"/>
        <w:jc w:val="both"/>
        <w:rPr>
          <w:rFonts w:ascii="Times New Roman" w:hAnsi="Times New Roman"/>
          <w:noProof/>
        </w:rPr>
      </w:pPr>
    </w:p>
    <w:p w14:paraId="5FFB509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 avoti ieguves rūpniecībai un karjeru izstrādei, apstrādes rūpniecībai, elektroenerģijai, gāzes apgādei, siltumapgādei un gaisa kondicionēšanai ir rūpniecības un būvniecības statistikas apsekojumi par rūpniecības produkcijas apjoma indeksu un izlaidi.</w:t>
      </w:r>
    </w:p>
    <w:p w14:paraId="474FD71F" w14:textId="77777777" w:rsidR="007651F9" w:rsidRDefault="007651F9" w:rsidP="00975B5E">
      <w:pPr>
        <w:pStyle w:val="BodyText"/>
        <w:spacing w:before="0"/>
        <w:ind w:left="0"/>
        <w:jc w:val="both"/>
        <w:rPr>
          <w:rFonts w:ascii="Times New Roman" w:hAnsi="Times New Roman"/>
          <w:noProof/>
        </w:rPr>
      </w:pPr>
    </w:p>
    <w:p w14:paraId="5CFC9C6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Izlaides un pievienotās vērtības aprēķināšanai izmanto vērtības indeksu, ekstrapolējot iepriekšējā gada atbilstošā perioda vērtību. Vērtības indeksu aprēķina, izmantojot nozares apjoma indeksu un ražotāju cenu indeksu. Starppatēriņš ir izlaides un pievienotās vērtības starpība.</w:t>
      </w:r>
    </w:p>
    <w:p w14:paraId="6209C51B" w14:textId="77777777" w:rsidR="007651F9" w:rsidRDefault="007651F9" w:rsidP="00975B5E">
      <w:pPr>
        <w:pStyle w:val="BodyText"/>
        <w:spacing w:before="0"/>
        <w:ind w:left="0"/>
        <w:jc w:val="both"/>
        <w:rPr>
          <w:rFonts w:ascii="Times New Roman" w:hAnsi="Times New Roman"/>
          <w:noProof/>
        </w:rPr>
      </w:pPr>
    </w:p>
    <w:p w14:paraId="2BDB8FE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Apjoma mēri. Pievienoto vērtību aprēķina ar ekstrapolācijas metodi, izmantojot rūpnieciskās ražošanas apjoma indeksu atsevišķi katrai </w:t>
      </w:r>
      <w:r>
        <w:rPr>
          <w:rFonts w:ascii="Times New Roman" w:hAnsi="Times New Roman"/>
          <w:i/>
        </w:rPr>
        <w:t>NACE</w:t>
      </w:r>
      <w:r>
        <w:rPr>
          <w:rFonts w:ascii="Times New Roman" w:hAnsi="Times New Roman"/>
        </w:rPr>
        <w:t xml:space="preserve"> 2. red. darbībai.</w:t>
      </w:r>
    </w:p>
    <w:p w14:paraId="212C4465" w14:textId="77777777" w:rsidR="007651F9" w:rsidRDefault="007651F9" w:rsidP="00975B5E">
      <w:pPr>
        <w:pStyle w:val="BodyText"/>
        <w:spacing w:before="0"/>
        <w:ind w:left="0"/>
        <w:jc w:val="both"/>
        <w:rPr>
          <w:rFonts w:ascii="Times New Roman" w:hAnsi="Times New Roman"/>
          <w:noProof/>
        </w:rPr>
      </w:pPr>
    </w:p>
    <w:p w14:paraId="3A48A85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Datu avoti: CSP mēneša statistikas pārskata veidlapa 1-r “Pārskats par rūpniecisko darbību”. Dati tiek vākti no ekonomiski aktīviem uzņēmumiem, ja to galvenā vai sekundārā darbība saskaņā ar </w:t>
      </w:r>
      <w:r>
        <w:rPr>
          <w:rFonts w:ascii="Times New Roman" w:hAnsi="Times New Roman"/>
          <w:i/>
        </w:rPr>
        <w:t>NACE</w:t>
      </w:r>
      <w:r>
        <w:rPr>
          <w:rFonts w:ascii="Times New Roman" w:hAnsi="Times New Roman"/>
        </w:rPr>
        <w:t xml:space="preserve"> 2. red. ir ieguves rūpniecība un karjeru izstrāde (B sadaļa), apstrādes rūpniecība (C sadaļa), elektroenerģija, gāzes apgāde, siltumapgāde un gaisa kondicionēšana (D sadaļa) un ja 20 un vairāk cilvēku ir nodarbināti rūpnieciskajā ražošanā vai ja rūpniecības apgrozījums iepriekšējā gadā bijis 500 tūkstoši EUR vai lielāks.</w:t>
      </w:r>
    </w:p>
    <w:p w14:paraId="106FD12E" w14:textId="77777777" w:rsidR="002672AA" w:rsidRPr="001F0ECB" w:rsidRDefault="002672AA" w:rsidP="00975B5E">
      <w:pPr>
        <w:jc w:val="both"/>
        <w:rPr>
          <w:rFonts w:ascii="Times New Roman" w:eastAsia="Calibri" w:hAnsi="Times New Roman" w:cs="Calibri"/>
          <w:noProof/>
          <w:sz w:val="24"/>
          <w:szCs w:val="24"/>
        </w:rPr>
      </w:pPr>
    </w:p>
    <w:p w14:paraId="2CB87993" w14:textId="77777777" w:rsidR="002672AA" w:rsidRPr="001F0ECB" w:rsidRDefault="002672AA" w:rsidP="00975B5E">
      <w:pPr>
        <w:jc w:val="both"/>
        <w:rPr>
          <w:rFonts w:ascii="Times New Roman" w:eastAsia="Calibri" w:hAnsi="Times New Roman" w:cs="Calibri"/>
          <w:noProof/>
          <w:sz w:val="24"/>
          <w:szCs w:val="23"/>
        </w:rPr>
      </w:pPr>
    </w:p>
    <w:p w14:paraId="3C1CC828"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Ūdens apgāde; notekūdeņu, atkritumu apsaimniekošana un sanācija (</w:t>
      </w:r>
      <w:r>
        <w:rPr>
          <w:rFonts w:ascii="Times New Roman" w:hAnsi="Times New Roman"/>
          <w:i/>
        </w:rPr>
        <w:t>NACE</w:t>
      </w:r>
      <w:r>
        <w:rPr>
          <w:rFonts w:ascii="Times New Roman" w:hAnsi="Times New Roman"/>
        </w:rPr>
        <w:t xml:space="preserve"> 2. red. E)</w:t>
      </w:r>
    </w:p>
    <w:p w14:paraId="37377282" w14:textId="77777777" w:rsidR="007651F9" w:rsidRDefault="007651F9" w:rsidP="00975B5E">
      <w:pPr>
        <w:pStyle w:val="BodyText"/>
        <w:spacing w:before="0"/>
        <w:ind w:left="0"/>
        <w:jc w:val="both"/>
        <w:rPr>
          <w:rFonts w:ascii="Times New Roman" w:hAnsi="Times New Roman"/>
          <w:noProof/>
        </w:rPr>
      </w:pPr>
    </w:p>
    <w:p w14:paraId="6530C61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Ūdensapgādes, notekūdeņu, atkritumu apsaimniekošanas un sanācijas izlaidi iegūst no nefinanšu komersantu finansiālajiem rādītājiem (rādītājs – neto apgrozījums). Izlaidi ceturkšņos aprēķina, izmantojot ekstrapolācijas metodi, – ceturkšņa (neto apgrozījuma) datus salīdzina ar iepriekšējā gada attiecīgā ceturkšņa datiem, lai iegūtu izmaiņas, ko izmanto, lai ekstrapolētu nacionālo kontu iepriekšējā gada attiecīgā ceturkšņa vērtību.</w:t>
      </w:r>
    </w:p>
    <w:p w14:paraId="1B2CF4B2" w14:textId="77777777" w:rsidR="007651F9" w:rsidRDefault="007651F9" w:rsidP="00975B5E">
      <w:pPr>
        <w:pStyle w:val="BodyText"/>
        <w:spacing w:before="0"/>
        <w:ind w:left="0"/>
        <w:jc w:val="both"/>
        <w:rPr>
          <w:rFonts w:ascii="Times New Roman" w:hAnsi="Times New Roman"/>
          <w:noProof/>
        </w:rPr>
      </w:pPr>
    </w:p>
    <w:p w14:paraId="26B3FFF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626EB1FE" w14:textId="77777777" w:rsidR="007651F9" w:rsidRDefault="007651F9" w:rsidP="00975B5E">
      <w:pPr>
        <w:pStyle w:val="BodyText"/>
        <w:spacing w:before="0"/>
        <w:ind w:left="0"/>
        <w:jc w:val="both"/>
        <w:rPr>
          <w:rFonts w:ascii="Times New Roman" w:hAnsi="Times New Roman"/>
          <w:noProof/>
        </w:rPr>
      </w:pPr>
    </w:p>
    <w:p w14:paraId="4BAF374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1BE7E4F3" w14:textId="77777777" w:rsidR="007651F9" w:rsidRDefault="007651F9" w:rsidP="00975B5E">
      <w:pPr>
        <w:pStyle w:val="BodyText"/>
        <w:spacing w:before="0"/>
        <w:ind w:left="0"/>
        <w:jc w:val="both"/>
        <w:rPr>
          <w:rFonts w:ascii="Times New Roman" w:hAnsi="Times New Roman"/>
          <w:noProof/>
        </w:rPr>
      </w:pPr>
    </w:p>
    <w:p w14:paraId="2A470F6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Apjoma mēru novērtējumiem izmanto nozares RCI, izņemot E39 nodaļu, kur aprēķinos izmanto nodarbināto skaita izmaiņas. Valdības sektora pievienotās vērtības apjoma mēriem tiek piemērotas nodarbināto skaita izmaiņas.</w:t>
      </w:r>
    </w:p>
    <w:p w14:paraId="03279793" w14:textId="77777777" w:rsidR="00975B5E" w:rsidRPr="001F0ECB" w:rsidRDefault="00975B5E" w:rsidP="00975B5E">
      <w:pPr>
        <w:jc w:val="both"/>
        <w:rPr>
          <w:rFonts w:ascii="Times New Roman" w:hAnsi="Times New Roman"/>
          <w:noProof/>
          <w:sz w:val="24"/>
        </w:rPr>
      </w:pPr>
    </w:p>
    <w:p w14:paraId="20EEA71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 avoti: CSP ceturkšņa statistikas pārskata veidlapa 1-F “Pārskats par finansiālo stāvokli”. Šā apsekojuma statistiskā kopa – visi ekonomiski aktīvie uzņēmumi, kuru nodarbināto skaits, gada apgrozījums vai kopējā bilances summa pārsniedz noteiktu robežvērtību. Uzņēmumi, kuri nepārsniedz neviena noteiktā rādītāja robežvērtību, netiek apsekoti, bet dati tiek pārrēķināti, izmantojot gada pārskatu un Valsts ieņēmumu dienestā iesniegto PVN deklarāciju rādītājus.</w:t>
      </w:r>
    </w:p>
    <w:p w14:paraId="7E8DCCAA" w14:textId="77777777" w:rsidR="002672AA" w:rsidRPr="001F0ECB" w:rsidRDefault="002672AA" w:rsidP="00975B5E">
      <w:pPr>
        <w:jc w:val="both"/>
        <w:rPr>
          <w:rFonts w:ascii="Times New Roman" w:eastAsia="Calibri" w:hAnsi="Times New Roman" w:cs="Calibri"/>
          <w:noProof/>
          <w:sz w:val="24"/>
          <w:szCs w:val="24"/>
        </w:rPr>
      </w:pPr>
    </w:p>
    <w:p w14:paraId="20F19164" w14:textId="77777777" w:rsidR="002672AA" w:rsidRPr="001F0ECB" w:rsidRDefault="002672AA" w:rsidP="00975B5E">
      <w:pPr>
        <w:jc w:val="both"/>
        <w:rPr>
          <w:rFonts w:ascii="Times New Roman" w:eastAsia="Calibri" w:hAnsi="Times New Roman" w:cs="Calibri"/>
          <w:noProof/>
          <w:sz w:val="24"/>
          <w:szCs w:val="23"/>
        </w:rPr>
      </w:pPr>
    </w:p>
    <w:p w14:paraId="6E637813"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Būvniecība (</w:t>
      </w:r>
      <w:r>
        <w:rPr>
          <w:rFonts w:ascii="Times New Roman" w:hAnsi="Times New Roman"/>
          <w:i/>
        </w:rPr>
        <w:t>NACE</w:t>
      </w:r>
      <w:r>
        <w:rPr>
          <w:rFonts w:ascii="Times New Roman" w:hAnsi="Times New Roman"/>
        </w:rPr>
        <w:t xml:space="preserve"> 2. red. F)</w:t>
      </w:r>
    </w:p>
    <w:p w14:paraId="79026D6E" w14:textId="77777777" w:rsidR="007651F9" w:rsidRDefault="007651F9" w:rsidP="00975B5E">
      <w:pPr>
        <w:pStyle w:val="BodyText"/>
        <w:spacing w:before="0"/>
        <w:ind w:left="0"/>
        <w:jc w:val="both"/>
        <w:rPr>
          <w:rFonts w:ascii="Times New Roman" w:hAnsi="Times New Roman"/>
          <w:noProof/>
        </w:rPr>
      </w:pPr>
    </w:p>
    <w:p w14:paraId="6D2D10F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Izlaides un pievienotās vērtības aprēķināšanai ekstrapolē iepriekšējā gada attiecīgo periodu, izmantojot vērtības indeksu. Vērtības indeksu aprēķina, izmantojot nozares apjoma indeksu un būvniecības izmaksu indeksu. Starppatēriņš ir izlaides un pievienotās vērtības starpība.</w:t>
      </w:r>
    </w:p>
    <w:p w14:paraId="74F0C53E" w14:textId="77777777" w:rsidR="007651F9" w:rsidRDefault="007651F9" w:rsidP="00975B5E">
      <w:pPr>
        <w:pStyle w:val="BodyText"/>
        <w:spacing w:before="0"/>
        <w:ind w:left="0"/>
        <w:jc w:val="both"/>
        <w:rPr>
          <w:rFonts w:ascii="Times New Roman" w:hAnsi="Times New Roman"/>
          <w:noProof/>
        </w:rPr>
      </w:pPr>
    </w:p>
    <w:p w14:paraId="53CBE2E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Būvniecības izlaides dati tiek iegūti, veicot izlases apsekojumu. Datus apkopo, pamatojoties uz CSP ceturkšņa anketu par būvniecību (1-būvniecība).</w:t>
      </w:r>
    </w:p>
    <w:p w14:paraId="4FCD33E7" w14:textId="77777777" w:rsidR="007651F9" w:rsidRDefault="007651F9" w:rsidP="00975B5E">
      <w:pPr>
        <w:pStyle w:val="BodyText"/>
        <w:spacing w:before="0"/>
        <w:ind w:left="0"/>
        <w:jc w:val="both"/>
        <w:rPr>
          <w:rFonts w:ascii="Times New Roman" w:hAnsi="Times New Roman"/>
          <w:noProof/>
        </w:rPr>
      </w:pPr>
    </w:p>
    <w:p w14:paraId="0E4CF94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Dati tiek vākti no visiem ekonomiski aktīviem uzņēmumiem, kuru galvenā vai sekundārā darbība ir būvniecība (</w:t>
      </w:r>
      <w:r>
        <w:rPr>
          <w:rFonts w:ascii="Times New Roman" w:hAnsi="Times New Roman"/>
          <w:i/>
        </w:rPr>
        <w:t>NACE</w:t>
      </w:r>
      <w:r>
        <w:rPr>
          <w:rFonts w:ascii="Times New Roman" w:hAnsi="Times New Roman"/>
        </w:rPr>
        <w:t xml:space="preserve"> 2. red. F sadaļa, 41.10.– 43.99. klase) un kuri būvniecībā nodarbina 30 vai vairāk cilvēkus, un kuru apgrozījums iepriekšējā gadā bija 4,5 miljoni EUR vai lielāks. Citas komercsabiedrības, kas nodarbojas ar būvniecību, tiek apsekotas, pamatojoties uz vienkāršu izlasi pēc nejaušības principa.</w:t>
      </w:r>
    </w:p>
    <w:p w14:paraId="3A045397" w14:textId="77777777" w:rsidR="007651F9" w:rsidRDefault="007651F9" w:rsidP="00975B5E">
      <w:pPr>
        <w:pStyle w:val="BodyText"/>
        <w:spacing w:before="0"/>
        <w:ind w:left="0"/>
        <w:jc w:val="both"/>
        <w:rPr>
          <w:rFonts w:ascii="Times New Roman" w:hAnsi="Times New Roman"/>
          <w:noProof/>
        </w:rPr>
      </w:pPr>
    </w:p>
    <w:p w14:paraId="53079B2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lastRenderedPageBreak/>
        <w:t>Apjoma mēri. Pievienoto vērtību aprēķina ar ekstrapolācijas metodi, izmantojot būvniecības produkcijas apjoma indeksu (ceturkšņa rādītāju).</w:t>
      </w:r>
    </w:p>
    <w:p w14:paraId="65D8E696" w14:textId="77777777" w:rsidR="002672AA" w:rsidRPr="001F0ECB" w:rsidRDefault="002672AA" w:rsidP="00975B5E">
      <w:pPr>
        <w:jc w:val="both"/>
        <w:rPr>
          <w:rFonts w:ascii="Times New Roman" w:eastAsia="Calibri" w:hAnsi="Times New Roman" w:cs="Calibri"/>
          <w:noProof/>
          <w:sz w:val="24"/>
          <w:szCs w:val="24"/>
        </w:rPr>
      </w:pPr>
    </w:p>
    <w:p w14:paraId="4D12EF25" w14:textId="77777777" w:rsidR="002672AA" w:rsidRPr="001F0ECB" w:rsidRDefault="002672AA" w:rsidP="00975B5E">
      <w:pPr>
        <w:jc w:val="both"/>
        <w:rPr>
          <w:rFonts w:ascii="Times New Roman" w:eastAsia="Calibri" w:hAnsi="Times New Roman" w:cs="Calibri"/>
          <w:noProof/>
          <w:sz w:val="24"/>
          <w:szCs w:val="23"/>
        </w:rPr>
      </w:pPr>
    </w:p>
    <w:p w14:paraId="6A6D326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Vairumtirdzniecība un mazumtirdzniecība, automobiļu un motociklu remonts (</w:t>
      </w:r>
      <w:r>
        <w:rPr>
          <w:rFonts w:ascii="Times New Roman" w:hAnsi="Times New Roman"/>
          <w:i/>
        </w:rPr>
        <w:t>NACE</w:t>
      </w:r>
      <w:r>
        <w:rPr>
          <w:rFonts w:ascii="Times New Roman" w:hAnsi="Times New Roman"/>
        </w:rPr>
        <w:t xml:space="preserve"> 2. red. G)</w:t>
      </w:r>
    </w:p>
    <w:p w14:paraId="7A34BDEA" w14:textId="77777777" w:rsidR="007651F9" w:rsidRDefault="007651F9" w:rsidP="00975B5E">
      <w:pPr>
        <w:pStyle w:val="BodyText"/>
        <w:spacing w:before="0"/>
        <w:ind w:left="0"/>
        <w:jc w:val="both"/>
        <w:rPr>
          <w:rFonts w:ascii="Times New Roman" w:hAnsi="Times New Roman"/>
          <w:noProof/>
        </w:rPr>
      </w:pPr>
    </w:p>
    <w:p w14:paraId="5466A1E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EKS 2010 3.56. sadaļu vairumtirdzniecības un mazumtirdzniecības pakalpojumu izlaidi mēra pēc tirdzniecības uzcenojuma, kas realizēts precēm, kuras pērk tālākpārdošanai. Ceturkšņa nacionālajos kontos par izlaides rādītāju jāizmanto īstermiņa statistikas dati par vairumtirdzniecības apgrozījumu (G46 nodaļa) un jāveic attiecīgas korekcijas (ja nepieciešams), jo nav pieejama ceturkšņa informācija par tirdzniecības uzcenojuma attīstību.</w:t>
      </w:r>
    </w:p>
    <w:p w14:paraId="005F2545" w14:textId="77777777" w:rsidR="007651F9" w:rsidRDefault="007651F9" w:rsidP="00975B5E">
      <w:pPr>
        <w:pStyle w:val="BodyText"/>
        <w:spacing w:before="0"/>
        <w:ind w:left="0"/>
        <w:jc w:val="both"/>
        <w:rPr>
          <w:rFonts w:ascii="Times New Roman" w:hAnsi="Times New Roman"/>
          <w:noProof/>
        </w:rPr>
      </w:pPr>
    </w:p>
    <w:p w14:paraId="5D257A9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01DBF6DB" w14:textId="77777777" w:rsidR="007651F9" w:rsidRDefault="007651F9" w:rsidP="00975B5E">
      <w:pPr>
        <w:pStyle w:val="BodyText"/>
        <w:spacing w:before="0"/>
        <w:ind w:left="0"/>
        <w:jc w:val="both"/>
        <w:rPr>
          <w:rFonts w:ascii="Times New Roman" w:hAnsi="Times New Roman"/>
          <w:noProof/>
        </w:rPr>
      </w:pPr>
    </w:p>
    <w:p w14:paraId="6E99D9D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Apjoma indeksi. Automobiļu un motociklu tirdzniecības (G45) apgrozījuma indeksu un mazumtirdzniecības uzņēmumu (G47) apgrozījuma indeksu izmanto, lai novērtētu šo sadaļu apjoma mērus. Vairumtirdzniecībā par deflatoru izmanto svērto cenu indeksu, kura pamatā ir ražotāju cenu un importa cenu indeksi.</w:t>
      </w:r>
    </w:p>
    <w:p w14:paraId="1F4611DA" w14:textId="77777777" w:rsidR="007651F9" w:rsidRDefault="007651F9" w:rsidP="00975B5E">
      <w:pPr>
        <w:pStyle w:val="BodyText"/>
        <w:spacing w:before="0"/>
        <w:ind w:left="0"/>
        <w:jc w:val="both"/>
        <w:rPr>
          <w:rFonts w:ascii="Times New Roman" w:hAnsi="Times New Roman"/>
          <w:noProof/>
        </w:rPr>
      </w:pPr>
    </w:p>
    <w:p w14:paraId="5E27AA6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Mazumtirdzniecības dati tiek iegūti, veicot izlases apsekojumu. Informācija tiek vākta no:</w:t>
      </w:r>
    </w:p>
    <w:p w14:paraId="32C0A222" w14:textId="77777777" w:rsidR="007651F9" w:rsidRPr="001F0ECB" w:rsidRDefault="007651F9" w:rsidP="00975B5E">
      <w:pPr>
        <w:pStyle w:val="BodyText"/>
        <w:spacing w:before="0"/>
        <w:ind w:left="0"/>
        <w:jc w:val="both"/>
        <w:rPr>
          <w:rFonts w:ascii="Times New Roman" w:hAnsi="Times New Roman"/>
          <w:noProof/>
        </w:rPr>
      </w:pPr>
    </w:p>
    <w:p w14:paraId="2318CA18"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CSP mēneša statistikas pārskata veidlapas 1-apgrozījums “Pārskats par apgrozījumu”;</w:t>
      </w:r>
    </w:p>
    <w:p w14:paraId="090DC919"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 Apsekojumā iekļaujamie uzņēmumi tiek atlasīti, izmantojot vienkāršu stratificētu izlasi pēc nejaušības principa.</w:t>
      </w:r>
    </w:p>
    <w:p w14:paraId="70E87768" w14:textId="77777777" w:rsidR="00975B5E" w:rsidRPr="001F0ECB" w:rsidRDefault="00975B5E" w:rsidP="00975B5E">
      <w:pPr>
        <w:jc w:val="both"/>
        <w:rPr>
          <w:rFonts w:ascii="Times New Roman" w:hAnsi="Times New Roman"/>
          <w:noProof/>
          <w:sz w:val="24"/>
        </w:rPr>
      </w:pPr>
    </w:p>
    <w:p w14:paraId="2139BAE2"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Uzņēmumus stratificē pēc darbības veida saskaņā ar Saimniecisko darbību statistisko klasifikāciju Eiropas Kopienā (</w:t>
      </w:r>
      <w:r>
        <w:rPr>
          <w:rFonts w:ascii="Times New Roman" w:hAnsi="Times New Roman"/>
          <w:i/>
        </w:rPr>
        <w:t>NACE</w:t>
      </w:r>
      <w:r>
        <w:rPr>
          <w:rFonts w:ascii="Times New Roman" w:hAnsi="Times New Roman"/>
        </w:rPr>
        <w:t xml:space="preserve"> 2. red.) un apgrozījumu. Jo lielāks ir uzņēmuma apgrozījums, jo lielākas ir iespējas uzņēmumam tikt iekļautam izlasē.</w:t>
      </w:r>
    </w:p>
    <w:p w14:paraId="3EC32B5F" w14:textId="77777777" w:rsidR="007651F9" w:rsidRPr="001F0ECB" w:rsidRDefault="007651F9" w:rsidP="00975B5E">
      <w:pPr>
        <w:pStyle w:val="BodyText"/>
        <w:spacing w:before="0"/>
        <w:ind w:left="0"/>
        <w:jc w:val="both"/>
        <w:rPr>
          <w:rFonts w:ascii="Times New Roman" w:hAnsi="Times New Roman"/>
          <w:noProof/>
        </w:rPr>
      </w:pPr>
    </w:p>
    <w:p w14:paraId="6063A8FC"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par automobiļu un motociklu vairumtirdzniecību tiek iegūti no:</w:t>
      </w:r>
    </w:p>
    <w:p w14:paraId="6A56C4B4" w14:textId="77777777" w:rsidR="007651F9" w:rsidRPr="001F0ECB" w:rsidRDefault="007651F9" w:rsidP="00975B5E">
      <w:pPr>
        <w:pStyle w:val="BodyText"/>
        <w:spacing w:before="0"/>
        <w:ind w:left="0"/>
        <w:jc w:val="both"/>
        <w:rPr>
          <w:rFonts w:ascii="Times New Roman" w:hAnsi="Times New Roman"/>
          <w:noProof/>
        </w:rPr>
      </w:pPr>
    </w:p>
    <w:p w14:paraId="1DC52295"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CSP mēneša anketas 4-apgrozījums “Pārskats par apgrozījumu”;</w:t>
      </w:r>
    </w:p>
    <w:p w14:paraId="2ECC64E7"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7247C34A" w14:textId="77777777" w:rsidR="002672AA" w:rsidRPr="001F0ECB" w:rsidRDefault="002672AA" w:rsidP="00975B5E">
      <w:pPr>
        <w:jc w:val="both"/>
        <w:rPr>
          <w:rFonts w:ascii="Times New Roman" w:eastAsia="Calibri" w:hAnsi="Times New Roman" w:cs="Calibri"/>
          <w:noProof/>
          <w:sz w:val="24"/>
          <w:szCs w:val="24"/>
        </w:rPr>
      </w:pPr>
    </w:p>
    <w:p w14:paraId="461BD1C3" w14:textId="77777777" w:rsidR="002672AA" w:rsidRPr="001F0ECB" w:rsidRDefault="002672AA" w:rsidP="00975B5E">
      <w:pPr>
        <w:jc w:val="both"/>
        <w:rPr>
          <w:rFonts w:ascii="Times New Roman" w:eastAsia="Calibri" w:hAnsi="Times New Roman" w:cs="Calibri"/>
          <w:noProof/>
          <w:sz w:val="24"/>
          <w:szCs w:val="26"/>
        </w:rPr>
      </w:pPr>
    </w:p>
    <w:p w14:paraId="344B04A0"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Transports un uzglabāšana (</w:t>
      </w:r>
      <w:r>
        <w:rPr>
          <w:rFonts w:ascii="Times New Roman" w:hAnsi="Times New Roman"/>
          <w:i/>
        </w:rPr>
        <w:t>NACE</w:t>
      </w:r>
      <w:r>
        <w:rPr>
          <w:rFonts w:ascii="Times New Roman" w:hAnsi="Times New Roman"/>
        </w:rPr>
        <w:t xml:space="preserve"> 2. red. H)</w:t>
      </w:r>
    </w:p>
    <w:p w14:paraId="3CFD3F59" w14:textId="77777777" w:rsidR="007651F9" w:rsidRDefault="007651F9" w:rsidP="00975B5E">
      <w:pPr>
        <w:pStyle w:val="BodyText"/>
        <w:spacing w:before="0"/>
        <w:ind w:left="0"/>
        <w:jc w:val="both"/>
        <w:rPr>
          <w:rFonts w:ascii="Times New Roman" w:hAnsi="Times New Roman"/>
          <w:noProof/>
        </w:rPr>
      </w:pPr>
    </w:p>
    <w:p w14:paraId="5A740F4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Datu avots ir informācija no ikmēneša statistikas pārskata par pakalpojumu nozaru apgrozījumu, šajā </w:t>
      </w:r>
      <w:r>
        <w:rPr>
          <w:rFonts w:ascii="Times New Roman" w:hAnsi="Times New Roman"/>
          <w:i/>
        </w:rPr>
        <w:t>NACE</w:t>
      </w:r>
      <w:r>
        <w:rPr>
          <w:rFonts w:ascii="Times New Roman" w:hAnsi="Times New Roman"/>
        </w:rPr>
        <w:t xml:space="preserve"> 2. red. sadaļā dažu nodaļu aprēķini un vērtējumi tiek veikti detalizētākā līmenī.</w:t>
      </w:r>
    </w:p>
    <w:p w14:paraId="317AD762" w14:textId="77777777" w:rsidR="007651F9" w:rsidRDefault="007651F9" w:rsidP="00975B5E">
      <w:pPr>
        <w:pStyle w:val="BodyText"/>
        <w:spacing w:before="0"/>
        <w:ind w:left="0"/>
        <w:jc w:val="both"/>
        <w:rPr>
          <w:rFonts w:ascii="Times New Roman" w:hAnsi="Times New Roman"/>
          <w:noProof/>
        </w:rPr>
      </w:pPr>
    </w:p>
    <w:p w14:paraId="50A5941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Izlaidi ceturkšņos aprēķina, izmantojot ekstrapolācijas metodi, – īstermiņa statistikas ceturkšņa datus salīdzina ar iepriekšējā gada attiecīgā ceturkšņa datiem, lai iegūtu izmaiņas, ko izmanto, lai ekstrapolētu nacionālo kontu iepriekšējā gada attiecīgā ceturkšņa vērtību.</w:t>
      </w:r>
    </w:p>
    <w:p w14:paraId="7B2FB0EA" w14:textId="77777777" w:rsidR="007651F9" w:rsidRDefault="007651F9" w:rsidP="00975B5E">
      <w:pPr>
        <w:pStyle w:val="BodyText"/>
        <w:spacing w:before="0"/>
        <w:ind w:left="0"/>
        <w:jc w:val="both"/>
        <w:rPr>
          <w:rFonts w:ascii="Times New Roman" w:hAnsi="Times New Roman"/>
          <w:noProof/>
        </w:rPr>
      </w:pPr>
    </w:p>
    <w:p w14:paraId="6FA2EA6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58086DAE" w14:textId="77777777" w:rsidR="007651F9" w:rsidRPr="001F0ECB" w:rsidRDefault="007651F9" w:rsidP="00975B5E">
      <w:pPr>
        <w:pStyle w:val="BodyText"/>
        <w:spacing w:before="0"/>
        <w:ind w:left="0"/>
        <w:jc w:val="both"/>
        <w:rPr>
          <w:rFonts w:ascii="Times New Roman" w:hAnsi="Times New Roman"/>
          <w:noProof/>
        </w:rPr>
      </w:pPr>
    </w:p>
    <w:p w14:paraId="56647F7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687A7DC6" w14:textId="77777777" w:rsidR="007651F9" w:rsidRDefault="007651F9" w:rsidP="00975B5E">
      <w:pPr>
        <w:pStyle w:val="BodyText"/>
        <w:spacing w:before="0"/>
        <w:ind w:left="0"/>
        <w:jc w:val="both"/>
        <w:rPr>
          <w:rFonts w:ascii="Times New Roman" w:hAnsi="Times New Roman"/>
          <w:noProof/>
        </w:rPr>
      </w:pPr>
    </w:p>
    <w:p w14:paraId="3E37FFB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Apjoma mēri. Apjoma rādītāju aprēķināšanai izmanto pakalpojumu ražotāju cenu indeksus, patēriņa cenu indeksus un dažus apjoma rādītājus.</w:t>
      </w:r>
    </w:p>
    <w:p w14:paraId="05597004" w14:textId="77777777" w:rsidR="007651F9" w:rsidRDefault="007651F9" w:rsidP="00975B5E">
      <w:pPr>
        <w:pStyle w:val="BodyText"/>
        <w:spacing w:before="0"/>
        <w:ind w:left="0"/>
        <w:jc w:val="both"/>
        <w:rPr>
          <w:rFonts w:ascii="Times New Roman" w:hAnsi="Times New Roman"/>
          <w:noProof/>
        </w:rPr>
      </w:pPr>
    </w:p>
    <w:p w14:paraId="532AF1D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par neto apgrozījumu tiek iegūti no:</w:t>
      </w:r>
    </w:p>
    <w:p w14:paraId="318C9B46" w14:textId="77777777" w:rsidR="007651F9" w:rsidRPr="001F0ECB" w:rsidRDefault="007651F9" w:rsidP="00975B5E">
      <w:pPr>
        <w:pStyle w:val="BodyText"/>
        <w:spacing w:before="0"/>
        <w:ind w:left="0"/>
        <w:jc w:val="both"/>
        <w:rPr>
          <w:rFonts w:ascii="Times New Roman" w:hAnsi="Times New Roman"/>
          <w:noProof/>
        </w:rPr>
      </w:pPr>
    </w:p>
    <w:p w14:paraId="7A2DA1EB"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CSP mēneša anketas 2-apgrozījums “Pārskats par apgrozījumu”;</w:t>
      </w:r>
    </w:p>
    <w:p w14:paraId="43A9BE3D"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VID pievienotās vērtības nodokļa deklarācijā ietvertās informācijas datu imputācijai.</w:t>
      </w:r>
    </w:p>
    <w:p w14:paraId="61F40C64" w14:textId="77777777" w:rsidR="002672AA" w:rsidRPr="001F0ECB" w:rsidRDefault="002672AA" w:rsidP="00975B5E">
      <w:pPr>
        <w:jc w:val="both"/>
        <w:rPr>
          <w:rFonts w:ascii="Times New Roman" w:eastAsia="Calibri" w:hAnsi="Times New Roman" w:cs="Calibri"/>
          <w:noProof/>
          <w:sz w:val="24"/>
          <w:szCs w:val="24"/>
        </w:rPr>
      </w:pPr>
    </w:p>
    <w:p w14:paraId="6A8C372F" w14:textId="77777777" w:rsidR="002672AA" w:rsidRPr="001F0ECB" w:rsidRDefault="002672AA" w:rsidP="00975B5E">
      <w:pPr>
        <w:jc w:val="both"/>
        <w:rPr>
          <w:rFonts w:ascii="Times New Roman" w:eastAsia="Calibri" w:hAnsi="Times New Roman" w:cs="Calibri"/>
          <w:noProof/>
          <w:sz w:val="24"/>
          <w:szCs w:val="26"/>
        </w:rPr>
      </w:pPr>
    </w:p>
    <w:p w14:paraId="202E04A1"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Izmitināšana un ēdināšanas pakalpojumi (</w:t>
      </w:r>
      <w:r>
        <w:rPr>
          <w:rFonts w:ascii="Times New Roman" w:hAnsi="Times New Roman"/>
          <w:i/>
        </w:rPr>
        <w:t>NACE</w:t>
      </w:r>
      <w:r>
        <w:rPr>
          <w:rFonts w:ascii="Times New Roman" w:hAnsi="Times New Roman"/>
        </w:rPr>
        <w:t xml:space="preserve"> 2. red. I)</w:t>
      </w:r>
    </w:p>
    <w:p w14:paraId="20746650" w14:textId="77777777" w:rsidR="007651F9" w:rsidRDefault="007651F9" w:rsidP="00975B5E">
      <w:pPr>
        <w:pStyle w:val="BodyText"/>
        <w:spacing w:before="0"/>
        <w:ind w:left="0"/>
        <w:jc w:val="both"/>
        <w:rPr>
          <w:rFonts w:ascii="Times New Roman" w:hAnsi="Times New Roman"/>
          <w:noProof/>
        </w:rPr>
      </w:pPr>
    </w:p>
    <w:p w14:paraId="2C85CC0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Šī sadaļa ietver īslaicīgas izmitināšanas nodrošināšanu ceļotājiem, kā arī gatavo ēdienu un dzērienu sniegšanas pakalpojumus.</w:t>
      </w:r>
    </w:p>
    <w:p w14:paraId="23F0EE87" w14:textId="77777777" w:rsidR="007651F9" w:rsidRDefault="007651F9" w:rsidP="00975B5E">
      <w:pPr>
        <w:pStyle w:val="BodyText"/>
        <w:spacing w:before="0"/>
        <w:ind w:left="0"/>
        <w:jc w:val="both"/>
        <w:rPr>
          <w:rFonts w:ascii="Times New Roman" w:hAnsi="Times New Roman"/>
          <w:noProof/>
        </w:rPr>
      </w:pPr>
    </w:p>
    <w:p w14:paraId="6CFB7D8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Dati par izmitināšanu un ēdināšanas pakalpojumiem tiek iegūti no tirdzniecības un pakalpojumu statistikas un Valsts ieņēmumu dienesta. Izlaidi ceturkšņos aprēķina, izmantojot ekstrapolācijas metodi, – īstermiņa statistikas ceturkšņa datus salīdzina ar iepriekšējā gada attiecīgā ceturkšņa datiem, lai iegūtu izmaiņas, ko izmanto, lai ekstrapolētu nacionālo kontu iepriekšējā gada attiecīgā ceturkšņa vērtību.</w:t>
      </w:r>
    </w:p>
    <w:p w14:paraId="070C28CC" w14:textId="77777777" w:rsidR="007651F9" w:rsidRDefault="007651F9" w:rsidP="00975B5E">
      <w:pPr>
        <w:pStyle w:val="BodyText"/>
        <w:spacing w:before="0"/>
        <w:ind w:left="0"/>
        <w:jc w:val="both"/>
        <w:rPr>
          <w:rFonts w:ascii="Times New Roman" w:hAnsi="Times New Roman"/>
          <w:noProof/>
        </w:rPr>
      </w:pPr>
    </w:p>
    <w:p w14:paraId="7885D1C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starppatēriņa un izlaides galīgo (gada) struktūru.</w:t>
      </w:r>
    </w:p>
    <w:p w14:paraId="40CDBDEC" w14:textId="77777777" w:rsidR="007651F9" w:rsidRDefault="007651F9" w:rsidP="00975B5E">
      <w:pPr>
        <w:pStyle w:val="BodyText"/>
        <w:spacing w:before="0"/>
        <w:ind w:left="0"/>
        <w:jc w:val="both"/>
        <w:rPr>
          <w:rFonts w:ascii="Times New Roman" w:hAnsi="Times New Roman"/>
          <w:noProof/>
        </w:rPr>
      </w:pPr>
    </w:p>
    <w:p w14:paraId="2FFBDFA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6CC0BAA0" w14:textId="77777777" w:rsidR="00975B5E" w:rsidRPr="001F0ECB" w:rsidRDefault="00975B5E" w:rsidP="00975B5E">
      <w:pPr>
        <w:jc w:val="both"/>
        <w:rPr>
          <w:rFonts w:ascii="Times New Roman" w:hAnsi="Times New Roman"/>
          <w:noProof/>
          <w:sz w:val="24"/>
        </w:rPr>
      </w:pPr>
    </w:p>
    <w:p w14:paraId="38C4709B"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Apjoma mēru aprēķināšanai attiecībā uz izmitināšanas un ēdināšanas pakalpojumiem izmanto patēriņa cenu indeksus.</w:t>
      </w:r>
    </w:p>
    <w:p w14:paraId="6320B41C" w14:textId="77777777" w:rsidR="007651F9" w:rsidRPr="001F0ECB" w:rsidRDefault="007651F9" w:rsidP="00975B5E">
      <w:pPr>
        <w:pStyle w:val="BodyText"/>
        <w:spacing w:before="0"/>
        <w:ind w:left="0"/>
        <w:jc w:val="both"/>
        <w:rPr>
          <w:rFonts w:ascii="Times New Roman" w:hAnsi="Times New Roman"/>
          <w:noProof/>
        </w:rPr>
      </w:pPr>
    </w:p>
    <w:p w14:paraId="78AA932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tiek iegūti no:</w:t>
      </w:r>
    </w:p>
    <w:p w14:paraId="42DC181C" w14:textId="77777777" w:rsidR="007651F9" w:rsidRPr="001F0ECB" w:rsidRDefault="007651F9" w:rsidP="00975B5E">
      <w:pPr>
        <w:pStyle w:val="BodyText"/>
        <w:spacing w:before="0"/>
        <w:ind w:left="0"/>
        <w:jc w:val="both"/>
        <w:rPr>
          <w:rFonts w:ascii="Times New Roman" w:hAnsi="Times New Roman"/>
          <w:noProof/>
        </w:rPr>
      </w:pPr>
    </w:p>
    <w:p w14:paraId="1095B507"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CSP mēneša anketas 2-apgrozījums “Pārskats par apgrozījumu”;</w:t>
      </w:r>
    </w:p>
    <w:p w14:paraId="5A4E92A0"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VID pievienotās vērtības nodokļa deklarācijā ietvertās informācijas datu imputācijai.</w:t>
      </w:r>
    </w:p>
    <w:p w14:paraId="135BF01A" w14:textId="77777777" w:rsidR="002672AA" w:rsidRPr="001F0ECB" w:rsidRDefault="002672AA" w:rsidP="00975B5E">
      <w:pPr>
        <w:jc w:val="both"/>
        <w:rPr>
          <w:rFonts w:ascii="Times New Roman" w:eastAsia="Calibri" w:hAnsi="Times New Roman" w:cs="Calibri"/>
          <w:noProof/>
          <w:sz w:val="24"/>
          <w:szCs w:val="24"/>
        </w:rPr>
      </w:pPr>
    </w:p>
    <w:p w14:paraId="4916BF1B" w14:textId="77777777" w:rsidR="002672AA" w:rsidRPr="001F0ECB" w:rsidRDefault="002672AA" w:rsidP="00975B5E">
      <w:pPr>
        <w:jc w:val="both"/>
        <w:rPr>
          <w:rFonts w:ascii="Times New Roman" w:eastAsia="Calibri" w:hAnsi="Times New Roman" w:cs="Calibri"/>
          <w:noProof/>
          <w:sz w:val="24"/>
          <w:szCs w:val="26"/>
        </w:rPr>
      </w:pPr>
    </w:p>
    <w:p w14:paraId="08AE485A"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Informācijas un komunikācijas pakalpojumi (</w:t>
      </w:r>
      <w:r>
        <w:rPr>
          <w:rFonts w:ascii="Times New Roman" w:hAnsi="Times New Roman"/>
          <w:i/>
        </w:rPr>
        <w:t>NACE</w:t>
      </w:r>
      <w:r>
        <w:rPr>
          <w:rFonts w:ascii="Times New Roman" w:hAnsi="Times New Roman"/>
        </w:rPr>
        <w:t xml:space="preserve"> 2. red. J)</w:t>
      </w:r>
    </w:p>
    <w:p w14:paraId="211A5A7F" w14:textId="77777777" w:rsidR="007651F9" w:rsidRDefault="007651F9" w:rsidP="00975B5E">
      <w:pPr>
        <w:pStyle w:val="BodyText"/>
        <w:spacing w:before="0"/>
        <w:ind w:left="0"/>
        <w:jc w:val="both"/>
        <w:rPr>
          <w:rFonts w:ascii="Times New Roman" w:hAnsi="Times New Roman"/>
          <w:noProof/>
        </w:rPr>
      </w:pPr>
    </w:p>
    <w:p w14:paraId="0B0E7DA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Informācijas un komunikāciju nozaru izlaidi iegūst no nozares darbības apsekojumiem un Valsts ieņēmumu dienesta sniegtajiem PVN datiem. Izlaidi ceturkšņos aprēķina, izmantojot ekstrapolācijas metodi, – īstermiņa statistikas ceturkšņa datus par apgrozījumu salīdzina ar iepriekšējā gada attiecīgā ceturkšņa datiem, lai iegūtu izmaiņas, ko izmanto, lai ekstrapolētu nacionālo kontu iepriekšējā gada attiecīgā ceturkšņa vērtību.</w:t>
      </w:r>
    </w:p>
    <w:p w14:paraId="45F71608" w14:textId="77777777" w:rsidR="007651F9" w:rsidRDefault="007651F9" w:rsidP="00975B5E">
      <w:pPr>
        <w:pStyle w:val="BodyText"/>
        <w:spacing w:before="0"/>
        <w:ind w:left="0"/>
        <w:jc w:val="both"/>
        <w:rPr>
          <w:rFonts w:ascii="Times New Roman" w:hAnsi="Times New Roman"/>
          <w:noProof/>
        </w:rPr>
      </w:pPr>
    </w:p>
    <w:p w14:paraId="33150AB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494A130F" w14:textId="77777777" w:rsidR="007651F9" w:rsidRDefault="007651F9" w:rsidP="00975B5E">
      <w:pPr>
        <w:pStyle w:val="BodyText"/>
        <w:spacing w:before="0"/>
        <w:ind w:left="0"/>
        <w:jc w:val="both"/>
        <w:rPr>
          <w:rFonts w:ascii="Times New Roman" w:hAnsi="Times New Roman"/>
          <w:noProof/>
        </w:rPr>
      </w:pPr>
    </w:p>
    <w:p w14:paraId="39C9FFD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1568A955" w14:textId="77777777" w:rsidR="007651F9" w:rsidRDefault="007651F9" w:rsidP="00975B5E">
      <w:pPr>
        <w:pStyle w:val="BodyText"/>
        <w:spacing w:before="0"/>
        <w:ind w:left="0"/>
        <w:jc w:val="both"/>
        <w:rPr>
          <w:rFonts w:ascii="Times New Roman" w:hAnsi="Times New Roman"/>
          <w:noProof/>
        </w:rPr>
      </w:pPr>
    </w:p>
    <w:p w14:paraId="6B34EDA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Apjoma mēri. Pievienoto vērtību aprēķina, izmantojot patēriņa cenu indeksus un biznesa pakalpojumu cenu indeksus. Biznesa pakalpojumu cenu indeksi dažām nozarēm (datorprogrammēšana, konsultēšana un saistītās darbības (J62), informācijas pakalpojumi (J63)) tiek aprēķināti, izmantojot vienas stundas darbaspēka izmaksu datus, tāpēc tie nav pieejami ceturkšņa novērtējumiem divus mēnešus pēc pārskata perioda un tiek izmantoti </w:t>
      </w:r>
      <w:r>
        <w:rPr>
          <w:rFonts w:ascii="Times New Roman" w:hAnsi="Times New Roman"/>
        </w:rPr>
        <w:lastRenderedPageBreak/>
        <w:t>iepriekšējā ceturkšņa BPCI. Pēc tam dati tiek revidēti saskaņā ar CNK revīzijas politiku.</w:t>
      </w:r>
    </w:p>
    <w:p w14:paraId="688D2BD4" w14:textId="77777777" w:rsidR="007651F9" w:rsidRDefault="007651F9" w:rsidP="00975B5E">
      <w:pPr>
        <w:pStyle w:val="BodyText"/>
        <w:spacing w:before="0"/>
        <w:ind w:left="0"/>
        <w:jc w:val="both"/>
        <w:rPr>
          <w:rFonts w:ascii="Times New Roman" w:hAnsi="Times New Roman"/>
          <w:noProof/>
        </w:rPr>
      </w:pPr>
    </w:p>
    <w:p w14:paraId="0AD7450D"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tiek iegūti no:</w:t>
      </w:r>
    </w:p>
    <w:p w14:paraId="7F80BFD0" w14:textId="77777777" w:rsidR="007651F9" w:rsidRPr="001F0ECB" w:rsidRDefault="007651F9" w:rsidP="00975B5E">
      <w:pPr>
        <w:pStyle w:val="BodyText"/>
        <w:spacing w:before="0"/>
        <w:ind w:left="0"/>
        <w:jc w:val="both"/>
        <w:rPr>
          <w:rFonts w:ascii="Times New Roman" w:hAnsi="Times New Roman"/>
          <w:noProof/>
        </w:rPr>
      </w:pPr>
    </w:p>
    <w:p w14:paraId="094B8255"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CSP mēneša anketas 2-apgrozījums “Pārskats par apgrozījumu”;</w:t>
      </w:r>
    </w:p>
    <w:p w14:paraId="30D39C6B" w14:textId="77777777" w:rsidR="002672AA" w:rsidRPr="001F0ECB" w:rsidRDefault="002672AA" w:rsidP="007651F9">
      <w:pPr>
        <w:pStyle w:val="BodyText"/>
        <w:numPr>
          <w:ilvl w:val="1"/>
          <w:numId w:val="16"/>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41248EC9" w14:textId="77777777" w:rsidR="002672AA" w:rsidRPr="001F0ECB" w:rsidRDefault="002672AA" w:rsidP="00975B5E">
      <w:pPr>
        <w:jc w:val="both"/>
        <w:rPr>
          <w:rFonts w:ascii="Times New Roman" w:eastAsia="Calibri" w:hAnsi="Times New Roman" w:cs="Calibri"/>
          <w:noProof/>
          <w:sz w:val="24"/>
          <w:szCs w:val="24"/>
        </w:rPr>
      </w:pPr>
    </w:p>
    <w:p w14:paraId="32868DA9" w14:textId="77777777" w:rsidR="002672AA" w:rsidRPr="001F0ECB" w:rsidRDefault="002672AA" w:rsidP="00975B5E">
      <w:pPr>
        <w:jc w:val="both"/>
        <w:rPr>
          <w:rFonts w:ascii="Times New Roman" w:eastAsia="Calibri" w:hAnsi="Times New Roman" w:cs="Calibri"/>
          <w:noProof/>
          <w:sz w:val="24"/>
          <w:szCs w:val="26"/>
        </w:rPr>
      </w:pPr>
    </w:p>
    <w:p w14:paraId="6EF561A9"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Finanšu un apdrošināšanas darbības (</w:t>
      </w:r>
      <w:r>
        <w:rPr>
          <w:rFonts w:ascii="Times New Roman" w:hAnsi="Times New Roman"/>
          <w:i/>
        </w:rPr>
        <w:t>NACE</w:t>
      </w:r>
      <w:r>
        <w:rPr>
          <w:rFonts w:ascii="Times New Roman" w:hAnsi="Times New Roman"/>
        </w:rPr>
        <w:t xml:space="preserve"> 2. red. K)</w:t>
      </w:r>
    </w:p>
    <w:p w14:paraId="56B0855B" w14:textId="77777777" w:rsidR="007651F9" w:rsidRDefault="007651F9" w:rsidP="00975B5E">
      <w:pPr>
        <w:pStyle w:val="BodyText"/>
        <w:spacing w:before="0"/>
        <w:ind w:left="0"/>
        <w:jc w:val="both"/>
        <w:rPr>
          <w:rFonts w:ascii="Times New Roman" w:hAnsi="Times New Roman"/>
          <w:noProof/>
        </w:rPr>
      </w:pPr>
    </w:p>
    <w:p w14:paraId="4CF8E2B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Pievienoto vērtību faktiskajās cenās katrai K sadaļas nodaļai aprēķina, pamatojoties uz individuālu pieeju, ņemot vērā katras darbības īpašo veidu un datu avotus. K sadaļas apjoma mērus iegūst, deflējot ar PCI, izņemot attiecībā uz </w:t>
      </w:r>
      <w:r>
        <w:rPr>
          <w:rFonts w:ascii="Times New Roman" w:hAnsi="Times New Roman"/>
          <w:i/>
        </w:rPr>
        <w:t>FISIM</w:t>
      </w:r>
      <w:r>
        <w:rPr>
          <w:rFonts w:ascii="Times New Roman" w:hAnsi="Times New Roman"/>
        </w:rPr>
        <w:t>, kurus aprēķina un pievieno K sadaļas izlaidei un starppatēriņam atsevišķi.</w:t>
      </w:r>
    </w:p>
    <w:p w14:paraId="031EDE47" w14:textId="77777777" w:rsidR="007651F9" w:rsidRDefault="007651F9" w:rsidP="00975B5E">
      <w:pPr>
        <w:jc w:val="both"/>
        <w:rPr>
          <w:rFonts w:ascii="Times New Roman" w:hAnsi="Times New Roman"/>
          <w:i/>
          <w:noProof/>
          <w:sz w:val="24"/>
        </w:rPr>
      </w:pPr>
    </w:p>
    <w:p w14:paraId="52420210" w14:textId="77777777" w:rsidR="002672AA" w:rsidRPr="001F0ECB" w:rsidRDefault="002672AA" w:rsidP="00975B5E">
      <w:pPr>
        <w:jc w:val="both"/>
        <w:rPr>
          <w:rFonts w:ascii="Times New Roman" w:hAnsi="Times New Roman"/>
          <w:i/>
          <w:noProof/>
          <w:sz w:val="24"/>
        </w:rPr>
      </w:pPr>
      <w:r>
        <w:rPr>
          <w:rFonts w:ascii="Times New Roman" w:hAnsi="Times New Roman"/>
          <w:i/>
          <w:sz w:val="24"/>
        </w:rPr>
        <w:t>Finanšu pakalpojumu darbības, izņemot apdrošināšanu un pensiju uzkrāšanu (NACE 2. red. K64)</w:t>
      </w:r>
    </w:p>
    <w:p w14:paraId="49560977" w14:textId="77777777" w:rsidR="007651F9" w:rsidRDefault="007651F9" w:rsidP="00975B5E">
      <w:pPr>
        <w:pStyle w:val="BodyText"/>
        <w:spacing w:before="0"/>
        <w:ind w:left="0"/>
        <w:jc w:val="both"/>
        <w:rPr>
          <w:rFonts w:ascii="Times New Roman" w:hAnsi="Times New Roman"/>
          <w:noProof/>
        </w:rPr>
      </w:pPr>
    </w:p>
    <w:p w14:paraId="04B5E90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Latvijas Bankas izlaidi mēra kā izmaksu summu. Tas nozīmē, ka izlaide tiek novērtēta kā darba samaksas, sociālās apdrošināšanas izdevumu, pamatkapitāla patēriņa (P.51c) un starppatēriņa summa.</w:t>
      </w:r>
    </w:p>
    <w:p w14:paraId="51BA9B39" w14:textId="77777777" w:rsidR="00975B5E" w:rsidRPr="001F0ECB" w:rsidRDefault="00975B5E" w:rsidP="00975B5E">
      <w:pPr>
        <w:jc w:val="both"/>
        <w:rPr>
          <w:rFonts w:ascii="Times New Roman" w:hAnsi="Times New Roman"/>
          <w:noProof/>
          <w:sz w:val="24"/>
        </w:rPr>
      </w:pPr>
    </w:p>
    <w:p w14:paraId="7EE1AB13"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Starppatēriņu veido naudas zīmju iegādes izdevumi, komisijas maksas izdevumi un pārējie bankas darbības izdevumi. Starpību starp kopējo izlaidi un summu, ko veido komisijas maksas ienākumi un citi bankas darbības ienākumi, iedala S.122 un S.125 apakšsektora starppatēriņā. Ievaddatus iegūst no Latvijas Bankas peļņas un zaudējumu aprēķina, kas tiek sniegts reizi ceturksnī.</w:t>
      </w:r>
    </w:p>
    <w:p w14:paraId="326D0225" w14:textId="77777777" w:rsidR="007651F9" w:rsidRPr="001F0ECB" w:rsidRDefault="007651F9" w:rsidP="00975B5E">
      <w:pPr>
        <w:pStyle w:val="BodyText"/>
        <w:spacing w:before="0"/>
        <w:ind w:left="0"/>
        <w:jc w:val="both"/>
        <w:rPr>
          <w:rFonts w:ascii="Times New Roman" w:hAnsi="Times New Roman"/>
          <w:noProof/>
        </w:rPr>
      </w:pPr>
    </w:p>
    <w:p w14:paraId="1AF8243A"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Lielākā 64. nodaļas klase ir “Cita monetārā starpniecība” (64.19), kuru galvenokārt veido komercbankas. Šo vienību izlaide tiek novērtēta kā S.122 apakšsektora </w:t>
      </w:r>
      <w:r>
        <w:rPr>
          <w:rFonts w:ascii="Times New Roman" w:hAnsi="Times New Roman"/>
          <w:i/>
        </w:rPr>
        <w:t>FISIM</w:t>
      </w:r>
      <w:r>
        <w:rPr>
          <w:rFonts w:ascii="Times New Roman" w:hAnsi="Times New Roman"/>
        </w:rPr>
        <w:t>, komisijas naudas un citu līdzīgu ienākumu, finanšu instrumentu tirdzniecības darījumu peļņas/zaudējumu un citu parasto ienākumu summa. Starppatēriņš tiek novērtēts kā summa, ko veido komisijas naudas un citi līdzīgi izdevumi, pārējie administratīvie izdevumi, citi parastie izdevumi un S.122 apakšsektorā iedalītā Latvijas Bankas produkcija. Latvijas Banka reizi ceturksnī sniedz aprēķinam nepieciešamos datus – peļņas vai zaudējumu aprēķinu.</w:t>
      </w:r>
    </w:p>
    <w:p w14:paraId="3C92964B" w14:textId="77777777" w:rsidR="007651F9" w:rsidRPr="001F0ECB" w:rsidRDefault="007651F9" w:rsidP="00975B5E">
      <w:pPr>
        <w:pStyle w:val="BodyText"/>
        <w:spacing w:before="0"/>
        <w:ind w:left="0"/>
        <w:jc w:val="both"/>
        <w:rPr>
          <w:rFonts w:ascii="Times New Roman" w:hAnsi="Times New Roman"/>
          <w:noProof/>
        </w:rPr>
      </w:pPr>
    </w:p>
    <w:p w14:paraId="5E9C9130" w14:textId="77777777" w:rsidR="002672AA" w:rsidRPr="001F0ECB" w:rsidRDefault="002672AA" w:rsidP="007651F9">
      <w:pPr>
        <w:pStyle w:val="BodyText"/>
        <w:spacing w:before="0"/>
        <w:ind w:left="0"/>
        <w:jc w:val="both"/>
        <w:rPr>
          <w:rFonts w:ascii="Times New Roman" w:hAnsi="Times New Roman"/>
          <w:noProof/>
        </w:rPr>
      </w:pPr>
      <w:r>
        <w:rPr>
          <w:rFonts w:ascii="Times New Roman" w:hAnsi="Times New Roman"/>
        </w:rPr>
        <w:t xml:space="preserve">Citu 64. nodaļas klašu izlaidi veido S.125 apakšsektora uzņēmumu </w:t>
      </w:r>
      <w:r>
        <w:rPr>
          <w:rFonts w:ascii="Times New Roman" w:hAnsi="Times New Roman"/>
          <w:i/>
          <w:iCs/>
        </w:rPr>
        <w:t>FISIM</w:t>
      </w:r>
      <w:r>
        <w:rPr>
          <w:rFonts w:ascii="Times New Roman" w:hAnsi="Times New Roman"/>
        </w:rPr>
        <w:t>, no vienas puses, un pakalpojumi, par kuriem tieši maksā klienti, no otras puses. Datus sniedz Finanšu un kapitāla tirgus komisija, kā arī tos iegūst no Latvijas Bankas katru ceturksni veiktā apsekojuma. Attiecībā uz S.127 apakšsektora 64.20, 64.30 un 64.99 klases uzņēmumiem izmanto izmaksu summas pieeju.</w:t>
      </w:r>
    </w:p>
    <w:p w14:paraId="377AC564" w14:textId="77777777" w:rsidR="007651F9" w:rsidRDefault="007651F9" w:rsidP="00975B5E">
      <w:pPr>
        <w:pStyle w:val="BodyText"/>
        <w:spacing w:before="0"/>
        <w:ind w:left="0"/>
        <w:jc w:val="both"/>
        <w:rPr>
          <w:rFonts w:ascii="Times New Roman" w:hAnsi="Times New Roman"/>
          <w:noProof/>
        </w:rPr>
      </w:pPr>
    </w:p>
    <w:p w14:paraId="7BF356D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Tā kā attiecībā uz lielāko daļu citu 64. nodaļas klašu trūkst piemērotu rādītāju, starppatēriņu novērtē, pamatojoties uz procentuālo attiecību, ko aprēķina, izmantojot pēdējos pieejamos gada datus. 64. nodaļas starppatēriņā ietver arī S.124 un S.127 apakšsektora </w:t>
      </w:r>
      <w:r>
        <w:rPr>
          <w:rFonts w:ascii="Times New Roman" w:hAnsi="Times New Roman"/>
          <w:i/>
        </w:rPr>
        <w:t>FISIM</w:t>
      </w:r>
      <w:r>
        <w:rPr>
          <w:rFonts w:ascii="Times New Roman" w:hAnsi="Times New Roman"/>
        </w:rPr>
        <w:t>, kā arī S.125 apakšsektorā iedalīto Latvijas Bankas produkciju.</w:t>
      </w:r>
    </w:p>
    <w:p w14:paraId="41570A7C" w14:textId="77777777" w:rsidR="007651F9" w:rsidRDefault="007651F9" w:rsidP="00975B5E">
      <w:pPr>
        <w:jc w:val="both"/>
        <w:rPr>
          <w:rFonts w:ascii="Times New Roman" w:hAnsi="Times New Roman"/>
          <w:i/>
          <w:noProof/>
          <w:sz w:val="24"/>
        </w:rPr>
      </w:pPr>
    </w:p>
    <w:p w14:paraId="433A2079" w14:textId="77777777" w:rsidR="002672AA" w:rsidRPr="001F0ECB" w:rsidRDefault="002672AA" w:rsidP="00975B5E">
      <w:pPr>
        <w:jc w:val="both"/>
        <w:rPr>
          <w:rFonts w:ascii="Times New Roman" w:hAnsi="Times New Roman"/>
          <w:i/>
          <w:noProof/>
          <w:sz w:val="24"/>
        </w:rPr>
      </w:pPr>
      <w:r>
        <w:rPr>
          <w:rFonts w:ascii="Times New Roman" w:hAnsi="Times New Roman"/>
          <w:i/>
          <w:sz w:val="24"/>
        </w:rPr>
        <w:t>Apdrošināšana, pārapdrošināšana un pensiju uzkrāšana, izņemot obligāto sociālo apdrošināšanu (NACE 2. red. K65)</w:t>
      </w:r>
    </w:p>
    <w:p w14:paraId="27FC8B3D" w14:textId="77777777" w:rsidR="007651F9" w:rsidRDefault="007651F9" w:rsidP="00975B5E">
      <w:pPr>
        <w:pStyle w:val="BodyText"/>
        <w:spacing w:before="0"/>
        <w:ind w:left="0"/>
        <w:jc w:val="both"/>
        <w:rPr>
          <w:rFonts w:ascii="Times New Roman" w:hAnsi="Times New Roman"/>
          <w:noProof/>
        </w:rPr>
      </w:pPr>
    </w:p>
    <w:p w14:paraId="1E766F5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lastRenderedPageBreak/>
        <w:t>“Dzīvības apdrošināšanas” (65.11) un “Apdrošināšanas, izņemot dzīvības apdrošināšanu” (65.12) izlaidi aprēķina šādi:</w:t>
      </w:r>
    </w:p>
    <w:p w14:paraId="409B1236" w14:textId="77777777" w:rsidR="007651F9" w:rsidRDefault="007651F9" w:rsidP="00975B5E">
      <w:pPr>
        <w:pStyle w:val="BodyText"/>
        <w:spacing w:before="0"/>
        <w:ind w:left="0"/>
        <w:jc w:val="both"/>
        <w:rPr>
          <w:rFonts w:ascii="Times New Roman" w:hAnsi="Times New Roman"/>
          <w:noProof/>
        </w:rPr>
      </w:pPr>
    </w:p>
    <w:p w14:paraId="181669C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nopelnītās tiešās apdrošināšanas prēmijas + īpašuma ienākums, ko attiecina uz apdrošinājuma ņēmējiem – koriģētas piekritušās atlīdzību prasības (tiek piemērota atšķirīga pieeja dzīvības apdrošināšanai un nedzīvības apdrošināšanai) – izmaiņas apdrošināšanas tehniskajās rezervēs, izņemot turēšanas guvumus (tiek izmantota atšķirīga pieeja dzīvības apdrošināšanai un nedzīvības apdrošināšanai). Dati tiek iegūti no dzīvības apdrošināšanas sabiedrību un nedzīvības apdrošināšanas sabiedrību peļņas vai zaudējumu aprēķina.</w:t>
      </w:r>
    </w:p>
    <w:p w14:paraId="2EE4A7B3" w14:textId="77777777" w:rsidR="007651F9" w:rsidRDefault="007651F9" w:rsidP="00975B5E">
      <w:pPr>
        <w:pStyle w:val="BodyText"/>
        <w:spacing w:before="0"/>
        <w:ind w:left="0"/>
        <w:jc w:val="both"/>
        <w:rPr>
          <w:rFonts w:ascii="Times New Roman" w:hAnsi="Times New Roman"/>
          <w:noProof/>
        </w:rPr>
      </w:pPr>
    </w:p>
    <w:p w14:paraId="15023E8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Attiecībā uz dzīvības apdrošināšanu un nedzīvības apdrošināšanu nav pieejami piemēroti starppatēriņa rādītāji. Tāpēc tiek izmantota starppatēriņa attiecība, kuru aprēķina, pamatojoties uz pēdējo pieejamo peļņas vai zaudējumu gada aprēķinu, ko iesniegušas dzīvības apdrošināšanas un nedzīvības apdrošināšanas sabiedrības. Starppatēriņā ietver arī pārapdrošināšanu (65.20), t. i., pārapdrošināšanas pakalpojumu, ko izmanto apdrošināšanas sabiedrības (65.11 un 65.12) un kas tiek iegūts no maksājumu bilances.</w:t>
      </w:r>
    </w:p>
    <w:p w14:paraId="12261D09" w14:textId="77777777" w:rsidR="007651F9" w:rsidRDefault="007651F9" w:rsidP="00975B5E">
      <w:pPr>
        <w:pStyle w:val="BodyText"/>
        <w:spacing w:before="0"/>
        <w:ind w:left="0"/>
        <w:jc w:val="both"/>
        <w:rPr>
          <w:rFonts w:ascii="Times New Roman" w:hAnsi="Times New Roman"/>
          <w:noProof/>
        </w:rPr>
      </w:pPr>
    </w:p>
    <w:p w14:paraId="5B34A12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Pensiju uzkrāšanas klasi (65.30) veido privātie pensiju plāni, privātie pensiju fondi un valsts fondēto pensiju shēmas (VFPS) līdzekļu pārvaldītāji. VFPS līdzekļu pārvaldītāju izlaide ir vienāda ar starppatēriņu un sastāv no atlīdzības līdzekļu pārvaldītājam, atlīdzības turētājbankai un pārējiem ieguldījumu plāna pārvaldes izdevumiem. Datus iegūst no VFPS ienākumu un izdevumu pārskata. Privāto pensiju plānu izlaidi aprēķina šādi: kopējās iemaksas + īpašuma ienākums, kas nopelnīts, ieguldot rezervēs, – izmaksātais papildpensijas kapitāls – turēšanas guvumi. Privāto pensiju plānu starppatēriņu novērtē, izmantojot ieguldījumu pārvaldīšanas izdevumus un administratīvos izdevumus. Datus iegūst no pensiju plāna neto aktīvu kustības pārskata. Privāto pensiju fondu izlaide ir pamatdarbības ienākumu un pārējo ienākumu summa; starppatēriņš ir pārējo izdevumu un koriģēto administratīvo izdevumu summa. Datus iegūst no privāto pensiju fondu peļņas vai zaudējumu aprēķina.</w:t>
      </w:r>
    </w:p>
    <w:p w14:paraId="0D167E68" w14:textId="77777777" w:rsidR="007651F9" w:rsidRDefault="007651F9" w:rsidP="00975B5E">
      <w:pPr>
        <w:pStyle w:val="BodyText"/>
        <w:spacing w:before="0"/>
        <w:ind w:left="0"/>
        <w:jc w:val="both"/>
        <w:rPr>
          <w:rFonts w:ascii="Times New Roman" w:hAnsi="Times New Roman"/>
          <w:noProof/>
        </w:rPr>
      </w:pPr>
    </w:p>
    <w:p w14:paraId="32FC023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65. nodaļas starppatēriņā ietver arī S.128 un S.129 apakšsektora </w:t>
      </w:r>
      <w:r>
        <w:rPr>
          <w:rFonts w:ascii="Times New Roman" w:hAnsi="Times New Roman"/>
          <w:i/>
        </w:rPr>
        <w:t>FISIM</w:t>
      </w:r>
      <w:r>
        <w:rPr>
          <w:rFonts w:ascii="Times New Roman" w:hAnsi="Times New Roman"/>
        </w:rPr>
        <w:t>.</w:t>
      </w:r>
    </w:p>
    <w:p w14:paraId="08EDFF28" w14:textId="77777777" w:rsidR="007651F9" w:rsidRDefault="007651F9" w:rsidP="00975B5E">
      <w:pPr>
        <w:pStyle w:val="BodyText"/>
        <w:spacing w:before="0"/>
        <w:ind w:left="0"/>
        <w:jc w:val="both"/>
        <w:rPr>
          <w:rFonts w:ascii="Times New Roman" w:hAnsi="Times New Roman"/>
          <w:noProof/>
        </w:rPr>
      </w:pPr>
    </w:p>
    <w:p w14:paraId="2D6248B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Finanšu un kapitāla tirgus komisija datus novērtējumiem sniedz reizi ceturksnī.</w:t>
      </w:r>
    </w:p>
    <w:p w14:paraId="2E8C949C" w14:textId="77777777" w:rsidR="007651F9" w:rsidRDefault="007651F9" w:rsidP="00975B5E">
      <w:pPr>
        <w:jc w:val="both"/>
        <w:rPr>
          <w:rFonts w:ascii="Times New Roman" w:hAnsi="Times New Roman"/>
          <w:i/>
          <w:noProof/>
          <w:sz w:val="24"/>
        </w:rPr>
      </w:pPr>
    </w:p>
    <w:p w14:paraId="622DEF60" w14:textId="77777777" w:rsidR="002672AA" w:rsidRPr="001F0ECB" w:rsidRDefault="002672AA" w:rsidP="00975B5E">
      <w:pPr>
        <w:jc w:val="both"/>
        <w:rPr>
          <w:rFonts w:ascii="Times New Roman" w:hAnsi="Times New Roman"/>
          <w:i/>
          <w:noProof/>
          <w:sz w:val="24"/>
        </w:rPr>
      </w:pPr>
      <w:r>
        <w:rPr>
          <w:rFonts w:ascii="Times New Roman" w:hAnsi="Times New Roman"/>
          <w:i/>
          <w:sz w:val="24"/>
        </w:rPr>
        <w:t>Finanšu pakalpojumu un apdrošināšanas darbības papildinošas darbības (NACE 2. red. K66)</w:t>
      </w:r>
    </w:p>
    <w:p w14:paraId="17451363" w14:textId="77777777" w:rsidR="007651F9" w:rsidRDefault="007651F9" w:rsidP="00975B5E">
      <w:pPr>
        <w:pStyle w:val="BodyText"/>
        <w:spacing w:before="0"/>
        <w:ind w:left="0"/>
        <w:jc w:val="both"/>
        <w:rPr>
          <w:rFonts w:ascii="Times New Roman" w:hAnsi="Times New Roman"/>
          <w:noProof/>
        </w:rPr>
      </w:pPr>
    </w:p>
    <w:p w14:paraId="50058AD1"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Pievienotās vērtības novērtējumus attiecībā uz šo nodaļu veido 2 daļas.</w:t>
      </w:r>
    </w:p>
    <w:p w14:paraId="7FAB4332" w14:textId="77777777" w:rsidR="007651F9" w:rsidRPr="001F0ECB" w:rsidRDefault="007651F9" w:rsidP="00975B5E">
      <w:pPr>
        <w:pStyle w:val="BodyText"/>
        <w:spacing w:before="0"/>
        <w:ind w:left="0"/>
        <w:jc w:val="both"/>
        <w:rPr>
          <w:rFonts w:ascii="Times New Roman" w:hAnsi="Times New Roman"/>
          <w:noProof/>
        </w:rPr>
      </w:pPr>
    </w:p>
    <w:p w14:paraId="683DDC1C" w14:textId="77777777" w:rsidR="002672AA" w:rsidRPr="001F0ECB" w:rsidRDefault="007651F9" w:rsidP="007651F9">
      <w:pPr>
        <w:pStyle w:val="BodyText"/>
        <w:tabs>
          <w:tab w:val="left" w:pos="821"/>
        </w:tabs>
        <w:spacing w:before="0"/>
        <w:ind w:left="284"/>
        <w:jc w:val="both"/>
        <w:rPr>
          <w:rFonts w:ascii="Times New Roman" w:hAnsi="Times New Roman"/>
          <w:noProof/>
        </w:rPr>
      </w:pPr>
      <w:r>
        <w:rPr>
          <w:rFonts w:ascii="Times New Roman" w:hAnsi="Times New Roman"/>
        </w:rPr>
        <w:t>1. Pievienotā vērtība tādām fondu pārvaldīšanas darbībām (66.30), ko veic ieguldījumu pārvaldes sabiedrības un alternatīvo ieguldījumu fondu pārvaldnieki. To izlaidi veido komisijas naudas ienākumi un pārējie ienākumi, savukārt starppatēriņu veido komisijas naudas izdevumi un pārējie izdevumi. Finanšu un kapitāla tirgus komisija datus sniedz reizi ceturksnī.</w:t>
      </w:r>
    </w:p>
    <w:p w14:paraId="2831FD42" w14:textId="77777777" w:rsidR="002672AA" w:rsidRPr="001F0ECB" w:rsidRDefault="007651F9" w:rsidP="007651F9">
      <w:pPr>
        <w:pStyle w:val="BodyText"/>
        <w:tabs>
          <w:tab w:val="left" w:pos="821"/>
        </w:tabs>
        <w:spacing w:before="0"/>
        <w:ind w:left="284"/>
        <w:jc w:val="both"/>
        <w:rPr>
          <w:rFonts w:ascii="Times New Roman" w:hAnsi="Times New Roman"/>
          <w:noProof/>
        </w:rPr>
      </w:pPr>
      <w:r>
        <w:rPr>
          <w:rFonts w:ascii="Times New Roman" w:hAnsi="Times New Roman"/>
        </w:rPr>
        <w:t xml:space="preserve">2. Pievienotā vērtība citiem uzņēmumiem, kurus klasificē kā finanšu pakalpojumu un apdrošināšanas darbību papildinošas darbības. Šo uzņēmumu izlaidi aprēķina kā neto apgrozījumu no peļņas vai zaudējumu aprēķina, kas tiek iesniegts Latvijas Bankas veiktajā apsekojumā. Piemērotu rādītāju trūkuma dēļ starppatēriņu novērtē, pamatojoties uz procentuālo attiecību, ko aprēķina, izmantojot pēdējos pieejamos gada datus. Šīs sadaļas 66. nodaļas starppatēriņa datos ietver arī S.126 apakšsektora </w:t>
      </w:r>
      <w:r>
        <w:rPr>
          <w:rFonts w:ascii="Times New Roman" w:hAnsi="Times New Roman"/>
          <w:i/>
        </w:rPr>
        <w:t>FISIM</w:t>
      </w:r>
      <w:r>
        <w:rPr>
          <w:rFonts w:ascii="Times New Roman" w:hAnsi="Times New Roman"/>
        </w:rPr>
        <w:t>.</w:t>
      </w:r>
    </w:p>
    <w:p w14:paraId="20CD93B6" w14:textId="77777777" w:rsidR="002672AA" w:rsidRPr="001F0ECB" w:rsidRDefault="002672AA" w:rsidP="00975B5E">
      <w:pPr>
        <w:jc w:val="both"/>
        <w:rPr>
          <w:rFonts w:ascii="Times New Roman" w:eastAsia="Calibri" w:hAnsi="Times New Roman" w:cs="Calibri"/>
          <w:noProof/>
          <w:sz w:val="24"/>
          <w:szCs w:val="24"/>
        </w:rPr>
      </w:pPr>
    </w:p>
    <w:p w14:paraId="09A87294" w14:textId="77777777" w:rsidR="002672AA" w:rsidRPr="001F0ECB" w:rsidRDefault="002672AA" w:rsidP="00975B5E">
      <w:pPr>
        <w:jc w:val="both"/>
        <w:rPr>
          <w:rFonts w:ascii="Times New Roman" w:eastAsia="Calibri" w:hAnsi="Times New Roman" w:cs="Calibri"/>
          <w:noProof/>
          <w:sz w:val="24"/>
          <w:szCs w:val="23"/>
        </w:rPr>
      </w:pPr>
    </w:p>
    <w:p w14:paraId="1E4059DB" w14:textId="77777777" w:rsidR="002672AA" w:rsidRPr="001F0ECB" w:rsidRDefault="002672AA" w:rsidP="00AC3457">
      <w:pPr>
        <w:pStyle w:val="Heading4"/>
        <w:keepNext/>
        <w:keepLines/>
        <w:spacing w:before="0"/>
        <w:ind w:left="0"/>
        <w:jc w:val="both"/>
        <w:rPr>
          <w:rFonts w:ascii="Times New Roman" w:hAnsi="Times New Roman"/>
          <w:noProof/>
        </w:rPr>
      </w:pPr>
      <w:r>
        <w:rPr>
          <w:rFonts w:ascii="Times New Roman" w:hAnsi="Times New Roman"/>
        </w:rPr>
        <w:lastRenderedPageBreak/>
        <w:t>Operācijas ar nekustamo īpašumu (</w:t>
      </w:r>
      <w:r>
        <w:rPr>
          <w:rFonts w:ascii="Times New Roman" w:hAnsi="Times New Roman"/>
          <w:i/>
        </w:rPr>
        <w:t>NACE</w:t>
      </w:r>
      <w:r>
        <w:rPr>
          <w:rFonts w:ascii="Times New Roman" w:hAnsi="Times New Roman"/>
        </w:rPr>
        <w:t xml:space="preserve"> 2. red. L)</w:t>
      </w:r>
    </w:p>
    <w:p w14:paraId="25C3E1FB" w14:textId="77777777" w:rsidR="007651F9" w:rsidRDefault="007651F9" w:rsidP="00AC3457">
      <w:pPr>
        <w:pStyle w:val="BodyText"/>
        <w:keepNext/>
        <w:keepLines/>
        <w:spacing w:before="0"/>
        <w:ind w:left="0"/>
        <w:jc w:val="both"/>
        <w:rPr>
          <w:rFonts w:ascii="Times New Roman" w:hAnsi="Times New Roman"/>
          <w:noProof/>
        </w:rPr>
      </w:pPr>
    </w:p>
    <w:p w14:paraId="66C10F3B" w14:textId="77777777" w:rsidR="002672AA" w:rsidRPr="001F0ECB" w:rsidRDefault="002672AA" w:rsidP="00AC3457">
      <w:pPr>
        <w:pStyle w:val="BodyText"/>
        <w:keepNext/>
        <w:keepLines/>
        <w:spacing w:before="0"/>
        <w:ind w:left="0"/>
        <w:jc w:val="both"/>
        <w:rPr>
          <w:rFonts w:ascii="Times New Roman" w:hAnsi="Times New Roman"/>
          <w:noProof/>
        </w:rPr>
      </w:pPr>
      <w:r>
        <w:rPr>
          <w:rFonts w:ascii="Times New Roman" w:hAnsi="Times New Roman"/>
        </w:rPr>
        <w:t>Izlaidi attiecībā uz operācijām ar nekustamo īpašumu iegūst no nozaru darbības apsekojumiem un Valsts ieņēmumu dienesta sniegtajiem PVN datiem. Izlaidi ceturkšņos aprēķina, izmantojot ekstrapolācijas metodi, – ceturkšņa apgrozījuma datus salīdzina ar iepriekšējā gada attiecīgā ceturkšņa datiem, lai iegūtu izmaiņas, ko izmanto, lai ekstrapolētu nacionālo kontu iepriekšējā gada attiecīgā ceturkšņa vērtību.</w:t>
      </w:r>
    </w:p>
    <w:p w14:paraId="17723B5A" w14:textId="77777777" w:rsidR="007651F9" w:rsidRDefault="007651F9" w:rsidP="00975B5E">
      <w:pPr>
        <w:pStyle w:val="BodyText"/>
        <w:spacing w:before="0"/>
        <w:ind w:left="0"/>
        <w:jc w:val="both"/>
        <w:rPr>
          <w:rFonts w:ascii="Times New Roman" w:hAnsi="Times New Roman"/>
          <w:noProof/>
        </w:rPr>
      </w:pPr>
    </w:p>
    <w:p w14:paraId="145BBB4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Lai apkopotu nosacītās īres izlaidi faktiskajās cenās, pamatojas uz pieņēmumu, ka tā attīstās atbilstoši dažu nekustamā īpašuma nozares rādītāju attīstībai (pēc ekspertu novērtējumiem).</w:t>
      </w:r>
    </w:p>
    <w:p w14:paraId="1E2C1C29" w14:textId="77777777" w:rsidR="007651F9" w:rsidRPr="001F0ECB" w:rsidRDefault="007651F9" w:rsidP="00975B5E">
      <w:pPr>
        <w:pStyle w:val="BodyText"/>
        <w:spacing w:before="0"/>
        <w:ind w:left="0"/>
        <w:jc w:val="both"/>
        <w:rPr>
          <w:rFonts w:ascii="Times New Roman" w:hAnsi="Times New Roman"/>
          <w:noProof/>
        </w:rPr>
      </w:pPr>
    </w:p>
    <w:p w14:paraId="1D411F6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 Bruto pievienotā vērtība ir izlaides un starppatēriņa starpība.</w:t>
      </w:r>
    </w:p>
    <w:p w14:paraId="665F337F" w14:textId="77777777" w:rsidR="007651F9" w:rsidRDefault="007651F9" w:rsidP="00975B5E">
      <w:pPr>
        <w:pStyle w:val="BodyText"/>
        <w:spacing w:before="0"/>
        <w:ind w:left="0"/>
        <w:jc w:val="both"/>
        <w:rPr>
          <w:rFonts w:ascii="Times New Roman" w:hAnsi="Times New Roman"/>
          <w:noProof/>
        </w:rPr>
      </w:pPr>
    </w:p>
    <w:p w14:paraId="6D4770F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Pievienotā vērtība salīdzināmās cenās tiek aprēķināta, izmantojot attiecīgos cenu indeksus (PCI, BPCI, MCI). Dati galvenokārt tiek iegūti no:</w:t>
      </w:r>
    </w:p>
    <w:p w14:paraId="68C6A2A7" w14:textId="77777777" w:rsidR="007651F9" w:rsidRPr="001F0ECB" w:rsidRDefault="007651F9" w:rsidP="00975B5E">
      <w:pPr>
        <w:pStyle w:val="BodyText"/>
        <w:spacing w:before="0"/>
        <w:ind w:left="0"/>
        <w:jc w:val="both"/>
        <w:rPr>
          <w:rFonts w:ascii="Times New Roman" w:hAnsi="Times New Roman"/>
          <w:noProof/>
        </w:rPr>
      </w:pPr>
    </w:p>
    <w:p w14:paraId="275ACD8A"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CSP mēneša anketas 2-apgrozījums “Pārskats par apgrozījumu”;</w:t>
      </w:r>
    </w:p>
    <w:p w14:paraId="618BFE0C"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529E072C" w14:textId="77777777" w:rsidR="00975B5E" w:rsidRDefault="00975B5E" w:rsidP="00975B5E">
      <w:pPr>
        <w:jc w:val="both"/>
        <w:rPr>
          <w:rFonts w:ascii="Times New Roman" w:hAnsi="Times New Roman"/>
          <w:noProof/>
          <w:sz w:val="24"/>
        </w:rPr>
      </w:pPr>
    </w:p>
    <w:p w14:paraId="138603A5" w14:textId="77777777" w:rsidR="007651F9" w:rsidRPr="001F0ECB" w:rsidRDefault="007651F9" w:rsidP="00975B5E">
      <w:pPr>
        <w:jc w:val="both"/>
        <w:rPr>
          <w:rFonts w:ascii="Times New Roman" w:hAnsi="Times New Roman"/>
          <w:noProof/>
          <w:sz w:val="24"/>
        </w:rPr>
      </w:pPr>
    </w:p>
    <w:p w14:paraId="1746908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Profesionālie, zinātniskie un tehniskie pakalpojumi (</w:t>
      </w:r>
      <w:r>
        <w:rPr>
          <w:rFonts w:ascii="Times New Roman" w:hAnsi="Times New Roman"/>
          <w:i/>
        </w:rPr>
        <w:t>NACE</w:t>
      </w:r>
      <w:r>
        <w:rPr>
          <w:rFonts w:ascii="Times New Roman" w:hAnsi="Times New Roman"/>
        </w:rPr>
        <w:t xml:space="preserve"> 2. red. M)</w:t>
      </w:r>
    </w:p>
    <w:p w14:paraId="09247999" w14:textId="77777777" w:rsidR="007651F9" w:rsidRDefault="007651F9" w:rsidP="00975B5E">
      <w:pPr>
        <w:pStyle w:val="BodyText"/>
        <w:spacing w:before="0"/>
        <w:ind w:left="0"/>
        <w:jc w:val="both"/>
        <w:rPr>
          <w:rFonts w:ascii="Times New Roman" w:hAnsi="Times New Roman"/>
          <w:noProof/>
        </w:rPr>
      </w:pPr>
    </w:p>
    <w:p w14:paraId="5759862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profesionāliem, zinātniskiem un tehniskiem pakalpojumiem iegūst no tirdzniecības un pakalpojumu statistikas un Valsts ieņēmumu dienesta. Izlaidi ceturkšņos aprēķina, izmantojot ekstrapolācijas metodi, – ceturkšņa apgrozījuma datus salīdzina ar iepriekšējā gada attiecīgā ceturkšņa datiem, lai iegūtu izmaiņas, ko izmanto, lai ekstrapolētu nacionālo kontu iepriekšējā gada attiecīgā ceturkšņa vērtību.</w:t>
      </w:r>
    </w:p>
    <w:p w14:paraId="207D2A8A" w14:textId="77777777" w:rsidR="007651F9" w:rsidRDefault="007651F9" w:rsidP="00975B5E">
      <w:pPr>
        <w:pStyle w:val="BodyText"/>
        <w:spacing w:before="0"/>
        <w:ind w:left="0"/>
        <w:jc w:val="both"/>
        <w:rPr>
          <w:rFonts w:ascii="Times New Roman" w:hAnsi="Times New Roman"/>
          <w:noProof/>
        </w:rPr>
      </w:pPr>
    </w:p>
    <w:p w14:paraId="7CD5C0D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starppatēriņa un izlaides galīgo (gada) struktūru.</w:t>
      </w:r>
    </w:p>
    <w:p w14:paraId="2F5376E8" w14:textId="77777777" w:rsidR="007651F9" w:rsidRDefault="007651F9" w:rsidP="00975B5E">
      <w:pPr>
        <w:pStyle w:val="BodyText"/>
        <w:spacing w:before="0"/>
        <w:ind w:left="0"/>
        <w:jc w:val="both"/>
        <w:rPr>
          <w:rFonts w:ascii="Times New Roman" w:hAnsi="Times New Roman"/>
          <w:noProof/>
        </w:rPr>
      </w:pPr>
    </w:p>
    <w:p w14:paraId="30057FB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5E017CB9" w14:textId="77777777" w:rsidR="007651F9" w:rsidRDefault="007651F9" w:rsidP="00975B5E">
      <w:pPr>
        <w:pStyle w:val="BodyText"/>
        <w:spacing w:before="0"/>
        <w:ind w:left="0"/>
        <w:jc w:val="both"/>
        <w:rPr>
          <w:rFonts w:ascii="Times New Roman" w:hAnsi="Times New Roman"/>
          <w:noProof/>
        </w:rPr>
      </w:pPr>
    </w:p>
    <w:p w14:paraId="7A1ABEF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Apjoma mēri. Nozares deflatorus galvenokārt veido no biznesa pakalpojumu cenu indeksiem, bet dažiem pakalpojumiem – no patēriņa cenu indeksiem. Biznesa pakalpojumu cenu indeksi specifiskiem pakalpojumiem (juridiskiem un grāmatvedības pakalpojumiem (M69.10), vadības konsultāciju pakalpojumiem (M70.2), arhitektūras un inženiertehniskiem pakalpojumiem un ar tām saistītajām tehniskajām konsultācijām (M71), reklāmas un tirgus izpētes pakalpojumiem (M73)) tiek aprēķināti, izmantojot vienas stundas darbaspēka izmaksu datus, tāpēc tie nav pieejami ceturkšņa novērtējumiem divus mēnešus pēc pārskata perioda un tiek izmantoti iepriekšējā ceturkšņa BPCI. Pēc tam dati tiek revidēti saskaņā ar CNK revīzijas politiku.</w:t>
      </w:r>
    </w:p>
    <w:p w14:paraId="6F1CE9F0" w14:textId="77777777" w:rsidR="007651F9" w:rsidRPr="001F0ECB" w:rsidRDefault="007651F9" w:rsidP="00975B5E">
      <w:pPr>
        <w:pStyle w:val="BodyText"/>
        <w:spacing w:before="0"/>
        <w:ind w:left="0"/>
        <w:jc w:val="both"/>
        <w:rPr>
          <w:rFonts w:ascii="Times New Roman" w:hAnsi="Times New Roman"/>
          <w:noProof/>
        </w:rPr>
      </w:pPr>
    </w:p>
    <w:p w14:paraId="43477EB8" w14:textId="77777777" w:rsidR="002672AA" w:rsidRPr="001F0ECB" w:rsidRDefault="002672AA" w:rsidP="0019675C">
      <w:pPr>
        <w:pStyle w:val="BodyText"/>
        <w:keepNext/>
        <w:keepLines/>
        <w:spacing w:before="0"/>
        <w:ind w:left="0"/>
        <w:jc w:val="both"/>
        <w:rPr>
          <w:rFonts w:ascii="Times New Roman" w:hAnsi="Times New Roman"/>
          <w:noProof/>
        </w:rPr>
      </w:pPr>
      <w:r>
        <w:rPr>
          <w:rFonts w:ascii="Times New Roman" w:hAnsi="Times New Roman"/>
        </w:rPr>
        <w:t>Dati tiek iegūti no:</w:t>
      </w:r>
    </w:p>
    <w:p w14:paraId="28D52D4A" w14:textId="77777777" w:rsidR="007651F9" w:rsidRDefault="007651F9" w:rsidP="0019675C">
      <w:pPr>
        <w:pStyle w:val="BodyText"/>
        <w:keepNext/>
        <w:keepLines/>
        <w:tabs>
          <w:tab w:val="left" w:pos="821"/>
        </w:tabs>
        <w:spacing w:before="0"/>
        <w:ind w:left="0"/>
        <w:jc w:val="both"/>
        <w:rPr>
          <w:rFonts w:ascii="Times New Roman" w:hAnsi="Times New Roman"/>
          <w:noProof/>
        </w:rPr>
      </w:pPr>
    </w:p>
    <w:p w14:paraId="15373E8F" w14:textId="77777777" w:rsidR="002672AA" w:rsidRPr="001F0ECB" w:rsidRDefault="002672AA" w:rsidP="0019675C">
      <w:pPr>
        <w:pStyle w:val="BodyText"/>
        <w:keepNext/>
        <w:keepLines/>
        <w:numPr>
          <w:ilvl w:val="0"/>
          <w:numId w:val="14"/>
        </w:numPr>
        <w:spacing w:before="0"/>
        <w:ind w:left="709" w:hanging="425"/>
        <w:jc w:val="both"/>
        <w:rPr>
          <w:rFonts w:ascii="Times New Roman" w:hAnsi="Times New Roman"/>
          <w:noProof/>
        </w:rPr>
      </w:pPr>
      <w:r>
        <w:rPr>
          <w:rFonts w:ascii="Times New Roman" w:hAnsi="Times New Roman"/>
        </w:rPr>
        <w:t>CSP mēneša anketas 2-apgrozījums “Pārskats par apgrozījumu” attiecībā uz M69, M70, M71, M73, M74 nodaļā ietvertajiem pakalpojumiem un ceturkšņa anketas 3-apgrozījums “Pārskats par apgrozījumu” attiecībā uz M72 un M75 nodaļā ietvertajiem pakalpojumiem;</w:t>
      </w:r>
    </w:p>
    <w:p w14:paraId="0367C327"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 xml:space="preserve">Valsts ieņēmumu dienesta pievienotās vērtības nodokļa deklarācijā ietvertās </w:t>
      </w:r>
      <w:r>
        <w:rPr>
          <w:rFonts w:ascii="Times New Roman" w:hAnsi="Times New Roman"/>
        </w:rPr>
        <w:lastRenderedPageBreak/>
        <w:t>informācijas datu imputācijai.</w:t>
      </w:r>
    </w:p>
    <w:p w14:paraId="3EB6626B" w14:textId="77777777" w:rsidR="002672AA" w:rsidRPr="001F0ECB" w:rsidRDefault="002672AA" w:rsidP="00975B5E">
      <w:pPr>
        <w:jc w:val="both"/>
        <w:rPr>
          <w:rFonts w:ascii="Times New Roman" w:eastAsia="Calibri" w:hAnsi="Times New Roman" w:cs="Calibri"/>
          <w:noProof/>
          <w:sz w:val="24"/>
          <w:szCs w:val="24"/>
        </w:rPr>
      </w:pPr>
    </w:p>
    <w:p w14:paraId="75EA8600" w14:textId="77777777" w:rsidR="002672AA" w:rsidRPr="001F0ECB" w:rsidRDefault="002672AA" w:rsidP="00975B5E">
      <w:pPr>
        <w:jc w:val="both"/>
        <w:rPr>
          <w:rFonts w:ascii="Times New Roman" w:eastAsia="Calibri" w:hAnsi="Times New Roman" w:cs="Calibri"/>
          <w:noProof/>
          <w:sz w:val="24"/>
          <w:szCs w:val="26"/>
        </w:rPr>
      </w:pPr>
    </w:p>
    <w:p w14:paraId="412393C1"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Administratīvo un apkalpojošo dienestu darbība (</w:t>
      </w:r>
      <w:r>
        <w:rPr>
          <w:rFonts w:ascii="Times New Roman" w:hAnsi="Times New Roman"/>
          <w:i/>
        </w:rPr>
        <w:t>NACE</w:t>
      </w:r>
      <w:r>
        <w:rPr>
          <w:rFonts w:ascii="Times New Roman" w:hAnsi="Times New Roman"/>
        </w:rPr>
        <w:t xml:space="preserve"> 2. red. N)</w:t>
      </w:r>
    </w:p>
    <w:p w14:paraId="0CE8205E" w14:textId="77777777" w:rsidR="007651F9" w:rsidRDefault="007651F9" w:rsidP="00975B5E">
      <w:pPr>
        <w:pStyle w:val="BodyText"/>
        <w:spacing w:before="0"/>
        <w:ind w:left="0"/>
        <w:jc w:val="both"/>
        <w:rPr>
          <w:rFonts w:ascii="Times New Roman" w:hAnsi="Times New Roman"/>
          <w:noProof/>
        </w:rPr>
      </w:pPr>
    </w:p>
    <w:p w14:paraId="402E740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administratīvo un apkalpojošo dienestu darbību iegūst no tirdzniecības un pakalpojumu statistikas un Valsts ieņēmumu dienesta. Izlaidi ceturkšņos aprēķina, izmantojot ekstrapolācijas metodi, – ceturkšņa apgrozījuma datus salīdzina ar iepriekšējā gada attiecīgā ceturkšņa datiem, lai iegūtu izmaiņas, ko izmanto, lai ekstrapolētu nacionālo kontu iepriekšējā gada attiecīgā ceturkšņa vērtību.</w:t>
      </w:r>
    </w:p>
    <w:p w14:paraId="51267ED2" w14:textId="77777777" w:rsidR="007651F9" w:rsidRDefault="007651F9" w:rsidP="00975B5E">
      <w:pPr>
        <w:pStyle w:val="BodyText"/>
        <w:spacing w:before="0"/>
        <w:ind w:left="0"/>
        <w:jc w:val="both"/>
        <w:rPr>
          <w:rFonts w:ascii="Times New Roman" w:hAnsi="Times New Roman"/>
          <w:noProof/>
        </w:rPr>
      </w:pPr>
    </w:p>
    <w:p w14:paraId="4CDC1A4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galīgo (gada) starppatēriņa un izlaides attiecību.</w:t>
      </w:r>
    </w:p>
    <w:p w14:paraId="32E9D7E9" w14:textId="77777777" w:rsidR="007651F9" w:rsidRDefault="007651F9" w:rsidP="00975B5E">
      <w:pPr>
        <w:pStyle w:val="BodyText"/>
        <w:spacing w:before="0"/>
        <w:ind w:left="0"/>
        <w:jc w:val="both"/>
        <w:rPr>
          <w:rFonts w:ascii="Times New Roman" w:hAnsi="Times New Roman"/>
          <w:noProof/>
        </w:rPr>
      </w:pPr>
    </w:p>
    <w:p w14:paraId="500CDA9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182B9221" w14:textId="77777777" w:rsidR="007651F9" w:rsidRDefault="007651F9" w:rsidP="00975B5E">
      <w:pPr>
        <w:pStyle w:val="BodyText"/>
        <w:spacing w:before="0"/>
        <w:ind w:left="0"/>
        <w:jc w:val="both"/>
        <w:rPr>
          <w:rFonts w:ascii="Times New Roman" w:hAnsi="Times New Roman"/>
          <w:noProof/>
        </w:rPr>
      </w:pPr>
    </w:p>
    <w:p w14:paraId="5A91AE5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Apjoma mēri. Nozares deflatorus galvenokārt veido no biznesa pakalpojumu cenu indeksiem, bet dažām nozarēm – no patēriņa cenu indeksa un apjoma indeksa, kas tiek izstrādāts, pamatojoties uz nodarbināto skaita izmaiņu salīdzinājumu ar iepriekšējo gadu. Biznesa pakalpojumu cenu indeksi attiecībā uz apsardzes pakalpojumiem un izmeklēšanu (N80) tiek aprēķināti, izmantojot vienas stundas darbaspēka izmaksu datus, tāpēc tie nav pieejami ceturkšņa novērtējumiem divus mēnešus pēc pārskata perioda un tiek izmantoti iepriekšējā ceturkšņa BPCI. Pēc tam dati tiek revidēti saskaņā ar CNK revīzijas politiku.</w:t>
      </w:r>
    </w:p>
    <w:p w14:paraId="21DA1BD8" w14:textId="77777777" w:rsidR="007651F9" w:rsidRPr="001F0ECB" w:rsidRDefault="007651F9" w:rsidP="00975B5E">
      <w:pPr>
        <w:pStyle w:val="BodyText"/>
        <w:spacing w:before="0"/>
        <w:ind w:left="0"/>
        <w:jc w:val="both"/>
        <w:rPr>
          <w:rFonts w:ascii="Times New Roman" w:hAnsi="Times New Roman"/>
          <w:noProof/>
        </w:rPr>
      </w:pPr>
    </w:p>
    <w:p w14:paraId="476AF7F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Dati tiek iegūti no:</w:t>
      </w:r>
    </w:p>
    <w:p w14:paraId="6DB6EDE1" w14:textId="77777777" w:rsidR="00975B5E" w:rsidRPr="001F0ECB" w:rsidRDefault="00975B5E" w:rsidP="00975B5E">
      <w:pPr>
        <w:jc w:val="both"/>
        <w:rPr>
          <w:rFonts w:ascii="Times New Roman" w:hAnsi="Times New Roman"/>
          <w:noProof/>
          <w:sz w:val="24"/>
        </w:rPr>
      </w:pPr>
    </w:p>
    <w:p w14:paraId="1DD0D151"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CSP mēneša anketas 2-apgrozījums “Pārskats par apgrozījumu”;</w:t>
      </w:r>
    </w:p>
    <w:p w14:paraId="6EFADE93"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2939988D" w14:textId="77777777" w:rsidR="002672AA" w:rsidRPr="001F0ECB" w:rsidRDefault="002672AA" w:rsidP="00975B5E">
      <w:pPr>
        <w:jc w:val="both"/>
        <w:rPr>
          <w:rFonts w:ascii="Times New Roman" w:eastAsia="Calibri" w:hAnsi="Times New Roman" w:cs="Calibri"/>
          <w:noProof/>
          <w:sz w:val="24"/>
          <w:szCs w:val="24"/>
        </w:rPr>
      </w:pPr>
    </w:p>
    <w:p w14:paraId="219E2979" w14:textId="77777777" w:rsidR="002672AA" w:rsidRPr="001F0ECB" w:rsidRDefault="002672AA" w:rsidP="00975B5E">
      <w:pPr>
        <w:jc w:val="both"/>
        <w:rPr>
          <w:rFonts w:ascii="Times New Roman" w:eastAsia="Calibri" w:hAnsi="Times New Roman" w:cs="Calibri"/>
          <w:noProof/>
          <w:sz w:val="24"/>
          <w:szCs w:val="26"/>
        </w:rPr>
      </w:pPr>
    </w:p>
    <w:p w14:paraId="4BA9CF0A"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Valsts pārvalde un aizsardzība; obligātā sociālā apdrošināšana (</w:t>
      </w:r>
      <w:r>
        <w:rPr>
          <w:rFonts w:ascii="Times New Roman" w:hAnsi="Times New Roman"/>
          <w:i/>
        </w:rPr>
        <w:t>NACE</w:t>
      </w:r>
      <w:r>
        <w:rPr>
          <w:rFonts w:ascii="Times New Roman" w:hAnsi="Times New Roman"/>
        </w:rPr>
        <w:t xml:space="preserve"> 2. red. O), izglītība (</w:t>
      </w:r>
      <w:r>
        <w:rPr>
          <w:rFonts w:ascii="Times New Roman" w:hAnsi="Times New Roman"/>
          <w:i/>
        </w:rPr>
        <w:t>NACE</w:t>
      </w:r>
      <w:r>
        <w:rPr>
          <w:rFonts w:ascii="Times New Roman" w:hAnsi="Times New Roman"/>
        </w:rPr>
        <w:t xml:space="preserve"> 2. red. P), veselība un sociālā aprūpe (</w:t>
      </w:r>
      <w:r>
        <w:rPr>
          <w:rFonts w:ascii="Times New Roman" w:hAnsi="Times New Roman"/>
          <w:i/>
        </w:rPr>
        <w:t>NACE</w:t>
      </w:r>
      <w:r>
        <w:rPr>
          <w:rFonts w:ascii="Times New Roman" w:hAnsi="Times New Roman"/>
        </w:rPr>
        <w:t xml:space="preserve"> 2. red. Q)</w:t>
      </w:r>
    </w:p>
    <w:p w14:paraId="4C78826E" w14:textId="77777777" w:rsidR="007651F9" w:rsidRDefault="007651F9" w:rsidP="00975B5E">
      <w:pPr>
        <w:pStyle w:val="BodyText"/>
        <w:spacing w:before="0"/>
        <w:ind w:left="0"/>
        <w:jc w:val="both"/>
        <w:rPr>
          <w:rFonts w:ascii="Times New Roman" w:hAnsi="Times New Roman"/>
          <w:noProof/>
        </w:rPr>
      </w:pPr>
    </w:p>
    <w:p w14:paraId="4630A0F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Valsts pārvalde un aizsardzība, kā arī obligātā sociālā apdrošināšana ir galvenā valsts sektora darbība. Valsts budžeta kārtējos izdevumus izmanto šā sektora izlaides un starppatēriņa novērtējumiem (sk. turpmāk sadaļu </w:t>
      </w:r>
      <w:r>
        <w:rPr>
          <w:rFonts w:ascii="Times New Roman" w:hAnsi="Times New Roman"/>
          <w:i/>
        </w:rPr>
        <w:t>Vispārējās valdības sektora (S.13) ārpustirgus izlaide</w:t>
      </w:r>
      <w:r>
        <w:rPr>
          <w:rFonts w:ascii="Times New Roman" w:hAnsi="Times New Roman"/>
        </w:rPr>
        <w:t>).</w:t>
      </w:r>
    </w:p>
    <w:p w14:paraId="529BBF87" w14:textId="77777777" w:rsidR="007651F9" w:rsidRDefault="007651F9" w:rsidP="00975B5E">
      <w:pPr>
        <w:pStyle w:val="BodyText"/>
        <w:spacing w:before="0"/>
        <w:ind w:left="0"/>
        <w:jc w:val="both"/>
        <w:rPr>
          <w:rFonts w:ascii="Times New Roman" w:hAnsi="Times New Roman"/>
          <w:noProof/>
        </w:rPr>
      </w:pPr>
    </w:p>
    <w:p w14:paraId="3C0F86C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Tirgus produkcija izglītībai, kā arī veselībai un sociālajai aprūpei. Primārais datu avots ir nefinanšu uzņēmumu statistiskais apsekojums katru ceturksni. Izlaidi ceturkšņos aprēķina, izmantojot ekstrapolācijas metodi, – ceturkšņa datus salīdzina ar iepriekšējā gada ceturkšņa datiem, lai iegūtu izmaiņas, ko izmanto, lai ekstrapolētu iepriekšējā gada attiecīgā ceturkšņa vērtību. Starppatēriņš tiek novērtēts, izmantojot starppatēriņa un izlaides galīgo (gada) struktūru.</w:t>
      </w:r>
    </w:p>
    <w:p w14:paraId="3AB2F10A" w14:textId="77777777" w:rsidR="007651F9" w:rsidRDefault="007651F9" w:rsidP="00975B5E">
      <w:pPr>
        <w:pStyle w:val="BodyText"/>
        <w:spacing w:before="0"/>
        <w:ind w:left="0"/>
        <w:jc w:val="both"/>
        <w:rPr>
          <w:rFonts w:ascii="Times New Roman" w:hAnsi="Times New Roman"/>
          <w:noProof/>
        </w:rPr>
      </w:pPr>
    </w:p>
    <w:p w14:paraId="7DD5D78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0FBB7B5E" w14:textId="77777777" w:rsidR="007651F9" w:rsidRDefault="007651F9" w:rsidP="00975B5E">
      <w:pPr>
        <w:pStyle w:val="BodyText"/>
        <w:spacing w:before="0"/>
        <w:ind w:left="0"/>
        <w:jc w:val="both"/>
        <w:rPr>
          <w:rFonts w:ascii="Times New Roman" w:hAnsi="Times New Roman"/>
          <w:noProof/>
        </w:rPr>
      </w:pPr>
    </w:p>
    <w:p w14:paraId="267886B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Apjoma mēri. Pievienoto vērtību aprēķina, izmantojot patēriņa cenu indeksu un apjoma indeksu, ko veido dati par nodarbināto skaita izmaiņām un darba algu.</w:t>
      </w:r>
    </w:p>
    <w:p w14:paraId="78D4CB7B" w14:textId="77777777" w:rsidR="007651F9" w:rsidRPr="001F0ECB" w:rsidRDefault="007651F9" w:rsidP="00975B5E">
      <w:pPr>
        <w:pStyle w:val="BodyText"/>
        <w:spacing w:before="0"/>
        <w:ind w:left="0"/>
        <w:jc w:val="both"/>
        <w:rPr>
          <w:rFonts w:ascii="Times New Roman" w:hAnsi="Times New Roman"/>
          <w:noProof/>
        </w:rPr>
      </w:pPr>
    </w:p>
    <w:p w14:paraId="168F25F2" w14:textId="77777777" w:rsidR="002672AA" w:rsidRPr="001F0ECB" w:rsidRDefault="002672AA" w:rsidP="00AC3457">
      <w:pPr>
        <w:pStyle w:val="BodyText"/>
        <w:keepNext/>
        <w:spacing w:before="0"/>
        <w:ind w:left="0"/>
        <w:jc w:val="both"/>
        <w:rPr>
          <w:rFonts w:ascii="Times New Roman" w:hAnsi="Times New Roman"/>
          <w:noProof/>
        </w:rPr>
      </w:pPr>
      <w:r>
        <w:rPr>
          <w:rFonts w:ascii="Times New Roman" w:hAnsi="Times New Roman"/>
        </w:rPr>
        <w:lastRenderedPageBreak/>
        <w:t>Datus par tirgus sektoru iegūst no:</w:t>
      </w:r>
    </w:p>
    <w:p w14:paraId="0CAF7CEC" w14:textId="77777777" w:rsidR="007651F9" w:rsidRDefault="007651F9" w:rsidP="00AC3457">
      <w:pPr>
        <w:pStyle w:val="BodyText"/>
        <w:keepNext/>
        <w:tabs>
          <w:tab w:val="left" w:pos="821"/>
        </w:tabs>
        <w:spacing w:before="0"/>
        <w:ind w:left="0"/>
        <w:jc w:val="both"/>
        <w:rPr>
          <w:rFonts w:ascii="Times New Roman" w:hAnsi="Times New Roman"/>
          <w:noProof/>
        </w:rPr>
      </w:pPr>
    </w:p>
    <w:p w14:paraId="43583291" w14:textId="77777777" w:rsidR="002672AA" w:rsidRPr="007651F9" w:rsidRDefault="002672AA" w:rsidP="00AC3457">
      <w:pPr>
        <w:pStyle w:val="BodyText"/>
        <w:keepNext/>
        <w:numPr>
          <w:ilvl w:val="0"/>
          <w:numId w:val="14"/>
        </w:numPr>
        <w:spacing w:before="0"/>
        <w:ind w:left="709" w:hanging="425"/>
        <w:jc w:val="both"/>
        <w:rPr>
          <w:rFonts w:ascii="Times New Roman" w:hAnsi="Times New Roman"/>
          <w:noProof/>
        </w:rPr>
      </w:pPr>
      <w:r>
        <w:rPr>
          <w:rFonts w:ascii="Times New Roman" w:hAnsi="Times New Roman"/>
        </w:rPr>
        <w:t>CSP mēneša anketas 3-apgrozījums “Pārskats par apgrozījumu”;</w:t>
      </w:r>
    </w:p>
    <w:p w14:paraId="2998AD6F"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61423D1C" w14:textId="77777777" w:rsidR="002672AA" w:rsidRPr="001F0ECB" w:rsidRDefault="002672AA" w:rsidP="00975B5E">
      <w:pPr>
        <w:jc w:val="both"/>
        <w:rPr>
          <w:rFonts w:ascii="Times New Roman" w:eastAsia="Calibri" w:hAnsi="Times New Roman" w:cs="Calibri"/>
          <w:noProof/>
          <w:sz w:val="24"/>
          <w:szCs w:val="24"/>
        </w:rPr>
      </w:pPr>
    </w:p>
    <w:p w14:paraId="452F4771" w14:textId="77777777" w:rsidR="002672AA" w:rsidRPr="001F0ECB" w:rsidRDefault="002672AA" w:rsidP="00975B5E">
      <w:pPr>
        <w:jc w:val="both"/>
        <w:rPr>
          <w:rFonts w:ascii="Times New Roman" w:eastAsia="Calibri" w:hAnsi="Times New Roman" w:cs="Calibri"/>
          <w:noProof/>
          <w:sz w:val="24"/>
          <w:szCs w:val="26"/>
        </w:rPr>
      </w:pPr>
    </w:p>
    <w:p w14:paraId="41D4A5F3"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Māksla, izklaide un atpūta (</w:t>
      </w:r>
      <w:r>
        <w:rPr>
          <w:rFonts w:ascii="Times New Roman" w:hAnsi="Times New Roman"/>
          <w:i/>
        </w:rPr>
        <w:t>NACE</w:t>
      </w:r>
      <w:r>
        <w:rPr>
          <w:rFonts w:ascii="Times New Roman" w:hAnsi="Times New Roman"/>
        </w:rPr>
        <w:t xml:space="preserve"> 2. red. R)</w:t>
      </w:r>
    </w:p>
    <w:p w14:paraId="15EF2456" w14:textId="77777777" w:rsidR="007651F9" w:rsidRDefault="007651F9" w:rsidP="00975B5E">
      <w:pPr>
        <w:pStyle w:val="BodyText"/>
        <w:spacing w:before="0"/>
        <w:ind w:left="0"/>
        <w:jc w:val="both"/>
        <w:rPr>
          <w:rFonts w:ascii="Times New Roman" w:hAnsi="Times New Roman"/>
          <w:noProof/>
        </w:rPr>
      </w:pPr>
    </w:p>
    <w:p w14:paraId="1251AE8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mākslu, izklaidi un atpūtu iegūst no tirdzniecības un pakalpojumu statistikas un Valsts ieņēmumu dienesta datu imputācijas. Izlaidi ceturkšņos aprēķina, izmantojot ekstrapolācijas metodi, – ceturkšņa datus salīdzina ar iepriekšējā gada ceturkšņa datiem, lai iegūtu izmaiņas, ko izmanto, lai ekstrapolētu iepriekšējā gada attiecīgā perioda vērtību.</w:t>
      </w:r>
    </w:p>
    <w:p w14:paraId="62A1BFEB" w14:textId="77777777" w:rsidR="007651F9" w:rsidRDefault="007651F9" w:rsidP="00975B5E">
      <w:pPr>
        <w:pStyle w:val="BodyText"/>
        <w:spacing w:before="0"/>
        <w:ind w:left="0"/>
        <w:jc w:val="both"/>
        <w:rPr>
          <w:rFonts w:ascii="Times New Roman" w:hAnsi="Times New Roman"/>
          <w:noProof/>
        </w:rPr>
      </w:pPr>
    </w:p>
    <w:p w14:paraId="724C87C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starppatēriņa un izlaides galīgo (gada) struktūru.</w:t>
      </w:r>
    </w:p>
    <w:p w14:paraId="7D014B88" w14:textId="77777777" w:rsidR="007651F9" w:rsidRDefault="007651F9" w:rsidP="00975B5E">
      <w:pPr>
        <w:pStyle w:val="BodyText"/>
        <w:spacing w:before="0"/>
        <w:ind w:left="0"/>
        <w:jc w:val="both"/>
        <w:rPr>
          <w:rFonts w:ascii="Times New Roman" w:hAnsi="Times New Roman"/>
          <w:noProof/>
        </w:rPr>
      </w:pPr>
    </w:p>
    <w:p w14:paraId="35BB9ED0"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w:t>
      </w:r>
    </w:p>
    <w:p w14:paraId="79C85585" w14:textId="77777777" w:rsidR="007651F9" w:rsidRPr="001F0ECB" w:rsidRDefault="007651F9" w:rsidP="00975B5E">
      <w:pPr>
        <w:pStyle w:val="BodyText"/>
        <w:spacing w:before="0"/>
        <w:ind w:left="0"/>
        <w:jc w:val="both"/>
        <w:rPr>
          <w:rFonts w:ascii="Times New Roman" w:hAnsi="Times New Roman"/>
          <w:noProof/>
        </w:rPr>
      </w:pPr>
    </w:p>
    <w:p w14:paraId="1585C5D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Apjoma mēri. Pievienoto vērtību aprēķina, izmantojot patēriņa cenu indeksus un apjoma indeksu, ko veido dati par nodarbināto skaita izmaiņām un darba algu.</w:t>
      </w:r>
    </w:p>
    <w:p w14:paraId="480423D2" w14:textId="77777777" w:rsidR="007651F9" w:rsidRDefault="007651F9" w:rsidP="00975B5E">
      <w:pPr>
        <w:pStyle w:val="BodyText"/>
        <w:spacing w:before="0"/>
        <w:ind w:left="0"/>
        <w:jc w:val="both"/>
        <w:rPr>
          <w:rFonts w:ascii="Times New Roman" w:hAnsi="Times New Roman"/>
          <w:noProof/>
        </w:rPr>
      </w:pPr>
    </w:p>
    <w:p w14:paraId="61DF1125"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Datus par tirgus sektoru iegūst no:</w:t>
      </w:r>
    </w:p>
    <w:p w14:paraId="45A19AD2" w14:textId="77777777" w:rsidR="007651F9" w:rsidRPr="001F0ECB" w:rsidRDefault="007651F9" w:rsidP="00975B5E">
      <w:pPr>
        <w:pStyle w:val="BodyText"/>
        <w:spacing w:before="0"/>
        <w:ind w:left="0"/>
        <w:jc w:val="both"/>
        <w:rPr>
          <w:rFonts w:ascii="Times New Roman" w:hAnsi="Times New Roman"/>
          <w:noProof/>
        </w:rPr>
      </w:pPr>
    </w:p>
    <w:p w14:paraId="63BD5715"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CSP mēneša anketas 3-apgrozījums “Pārskats par apgrozījumu”;</w:t>
      </w:r>
    </w:p>
    <w:p w14:paraId="71C2B6F0"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55F10E1F" w14:textId="77777777" w:rsidR="00975B5E" w:rsidRDefault="00975B5E" w:rsidP="00975B5E">
      <w:pPr>
        <w:jc w:val="both"/>
        <w:rPr>
          <w:rFonts w:ascii="Times New Roman" w:hAnsi="Times New Roman"/>
          <w:noProof/>
          <w:sz w:val="24"/>
        </w:rPr>
      </w:pPr>
    </w:p>
    <w:p w14:paraId="1BB79BB2" w14:textId="77777777" w:rsidR="007651F9" w:rsidRPr="001F0ECB" w:rsidRDefault="007651F9" w:rsidP="00975B5E">
      <w:pPr>
        <w:jc w:val="both"/>
        <w:rPr>
          <w:rFonts w:ascii="Times New Roman" w:hAnsi="Times New Roman"/>
          <w:noProof/>
          <w:sz w:val="24"/>
        </w:rPr>
      </w:pPr>
    </w:p>
    <w:p w14:paraId="6DDCCCB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Citi pakalpojumi (</w:t>
      </w:r>
      <w:r>
        <w:rPr>
          <w:rFonts w:ascii="Times New Roman" w:hAnsi="Times New Roman"/>
          <w:i/>
        </w:rPr>
        <w:t>NACE</w:t>
      </w:r>
      <w:r>
        <w:rPr>
          <w:rFonts w:ascii="Times New Roman" w:hAnsi="Times New Roman"/>
        </w:rPr>
        <w:t xml:space="preserve"> 2. red. S)</w:t>
      </w:r>
    </w:p>
    <w:p w14:paraId="4AA736AA" w14:textId="77777777" w:rsidR="007651F9" w:rsidRDefault="007651F9" w:rsidP="00975B5E">
      <w:pPr>
        <w:pStyle w:val="BodyText"/>
        <w:spacing w:before="0"/>
        <w:ind w:left="0"/>
        <w:jc w:val="both"/>
        <w:rPr>
          <w:rFonts w:ascii="Times New Roman" w:hAnsi="Times New Roman"/>
          <w:noProof/>
        </w:rPr>
      </w:pPr>
    </w:p>
    <w:p w14:paraId="0BE9070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citiem pakalpojumiem iegūst no tirdzniecības un pakalpojumu statistikas un Valsts ieņēmumu dienesta datu imputācijas. Izlaidi ceturkšņos aprēķina, izmantojot ekstrapolācijas metodi, – ceturkšņa datus salīdzina ar iepriekšējā gada ceturkšņa datiem, lai iegūtu izmaiņas, ko izmanto, lai ekstrapolētu iepriekšējā gada attiecīgā perioda vērtību.</w:t>
      </w:r>
    </w:p>
    <w:p w14:paraId="05BF6745" w14:textId="77777777" w:rsidR="007651F9" w:rsidRDefault="007651F9" w:rsidP="00975B5E">
      <w:pPr>
        <w:pStyle w:val="BodyText"/>
        <w:spacing w:before="0"/>
        <w:ind w:left="0"/>
        <w:jc w:val="both"/>
        <w:rPr>
          <w:rFonts w:ascii="Times New Roman" w:hAnsi="Times New Roman"/>
          <w:noProof/>
        </w:rPr>
      </w:pPr>
    </w:p>
    <w:p w14:paraId="1AE97FB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Starppatēriņš tiek novērtēts, izmantojot starppatēriņa un izlaides galīgo (gada) struktūru.</w:t>
      </w:r>
    </w:p>
    <w:p w14:paraId="0AD61595" w14:textId="77777777" w:rsidR="007651F9" w:rsidRDefault="007651F9" w:rsidP="00975B5E">
      <w:pPr>
        <w:pStyle w:val="BodyText"/>
        <w:spacing w:before="0"/>
        <w:ind w:left="0"/>
        <w:jc w:val="both"/>
        <w:rPr>
          <w:rFonts w:ascii="Times New Roman" w:hAnsi="Times New Roman"/>
          <w:noProof/>
        </w:rPr>
      </w:pPr>
    </w:p>
    <w:p w14:paraId="5206B72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Bruto pievienotā vērtība ir izlaides un starppatēriņa starpība. Datus par tirgus sektoru iegūst no:</w:t>
      </w:r>
    </w:p>
    <w:p w14:paraId="66ACBAE4" w14:textId="77777777" w:rsidR="007651F9" w:rsidRPr="001F0ECB" w:rsidRDefault="007651F9" w:rsidP="00975B5E">
      <w:pPr>
        <w:pStyle w:val="BodyText"/>
        <w:spacing w:before="0"/>
        <w:ind w:left="0"/>
        <w:jc w:val="both"/>
        <w:rPr>
          <w:rFonts w:ascii="Times New Roman" w:hAnsi="Times New Roman"/>
          <w:noProof/>
        </w:rPr>
      </w:pPr>
    </w:p>
    <w:p w14:paraId="0B8A9C5D"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CSP mēneša anketas 3-apgrozījums “Pārskats par apgrozījumu”;</w:t>
      </w:r>
    </w:p>
    <w:p w14:paraId="5F9D65F6" w14:textId="77777777" w:rsidR="002672AA" w:rsidRPr="001F0ECB" w:rsidRDefault="002672AA" w:rsidP="007651F9">
      <w:pPr>
        <w:pStyle w:val="BodyText"/>
        <w:numPr>
          <w:ilvl w:val="0"/>
          <w:numId w:val="14"/>
        </w:numPr>
        <w:spacing w:before="0"/>
        <w:ind w:left="709" w:hanging="425"/>
        <w:jc w:val="both"/>
        <w:rPr>
          <w:rFonts w:ascii="Times New Roman" w:hAnsi="Times New Roman"/>
          <w:noProof/>
        </w:rPr>
      </w:pPr>
      <w:r>
        <w:rPr>
          <w:rFonts w:ascii="Times New Roman" w:hAnsi="Times New Roman"/>
        </w:rPr>
        <w:t>Valsts ieņēmumu dienesta pievienotās vērtības nodokļa deklarācijā ietvertās informācijas datu imputācijai.</w:t>
      </w:r>
    </w:p>
    <w:p w14:paraId="345D87D4" w14:textId="77777777" w:rsidR="007651F9" w:rsidRDefault="007651F9" w:rsidP="00975B5E">
      <w:pPr>
        <w:pStyle w:val="BodyText"/>
        <w:spacing w:before="0"/>
        <w:ind w:left="0"/>
        <w:jc w:val="both"/>
        <w:rPr>
          <w:rFonts w:ascii="Times New Roman" w:hAnsi="Times New Roman"/>
          <w:noProof/>
        </w:rPr>
      </w:pPr>
    </w:p>
    <w:p w14:paraId="0330945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Apjoma mēri. Pievienoto vērtību aprēķina, izmantojot patēriņa cenu indeksus un apjoma indeksu, ko veido dati par nodarbināto skaita izmaiņām un darba algu.</w:t>
      </w:r>
    </w:p>
    <w:p w14:paraId="79B80D58" w14:textId="77777777" w:rsidR="002672AA" w:rsidRPr="001F0ECB" w:rsidRDefault="002672AA" w:rsidP="00975B5E">
      <w:pPr>
        <w:jc w:val="both"/>
        <w:rPr>
          <w:rFonts w:ascii="Times New Roman" w:eastAsia="Calibri" w:hAnsi="Times New Roman" w:cs="Calibri"/>
          <w:noProof/>
          <w:sz w:val="24"/>
          <w:szCs w:val="24"/>
        </w:rPr>
      </w:pPr>
    </w:p>
    <w:p w14:paraId="24E4E235" w14:textId="77777777" w:rsidR="002672AA" w:rsidRPr="001F0ECB" w:rsidRDefault="002672AA" w:rsidP="00975B5E">
      <w:pPr>
        <w:jc w:val="both"/>
        <w:rPr>
          <w:rFonts w:ascii="Times New Roman" w:eastAsia="Calibri" w:hAnsi="Times New Roman" w:cs="Calibri"/>
          <w:noProof/>
          <w:sz w:val="24"/>
        </w:rPr>
      </w:pPr>
    </w:p>
    <w:p w14:paraId="7BC6D1C2"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Vispārējās valdības sektora (S.13) ārpustirgus izlaide</w:t>
      </w:r>
    </w:p>
    <w:p w14:paraId="1569FCC2" w14:textId="77777777" w:rsidR="007651F9" w:rsidRDefault="007651F9" w:rsidP="00975B5E">
      <w:pPr>
        <w:pStyle w:val="BodyText"/>
        <w:spacing w:before="0"/>
        <w:ind w:left="0"/>
        <w:jc w:val="both"/>
        <w:rPr>
          <w:rFonts w:ascii="Times New Roman" w:hAnsi="Times New Roman"/>
          <w:noProof/>
        </w:rPr>
      </w:pPr>
    </w:p>
    <w:p w14:paraId="1E126CE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EKS 2010 2.111. punktā ir noteikts, ka vispārējās valdības sektors (S.13) ietver visas </w:t>
      </w:r>
      <w:r>
        <w:rPr>
          <w:rFonts w:ascii="Times New Roman" w:hAnsi="Times New Roman"/>
        </w:rPr>
        <w:lastRenderedPageBreak/>
        <w:t>institucionālās vienības, kuras ir ārpustirgus ražotāji un kuru produkcija ir paredzēta individuālajam un kolektīvajam patēriņam, un kuras galvenokārt finansē no obligātajiem maksājumiem, ko veic citiem sektoriem piederošas vienības un institucionālās vienības, kuras nodarbojas galvenokārt ar nacionālā ienākuma un bagātības pārdali.</w:t>
      </w:r>
    </w:p>
    <w:p w14:paraId="43E9A0C1" w14:textId="77777777" w:rsidR="007651F9" w:rsidRPr="001F0ECB" w:rsidRDefault="007651F9" w:rsidP="00975B5E">
      <w:pPr>
        <w:pStyle w:val="BodyText"/>
        <w:spacing w:before="0"/>
        <w:ind w:left="0"/>
        <w:jc w:val="both"/>
        <w:rPr>
          <w:rFonts w:ascii="Times New Roman" w:hAnsi="Times New Roman"/>
          <w:noProof/>
        </w:rPr>
      </w:pPr>
    </w:p>
    <w:p w14:paraId="74C8F21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Savukārt 2.113. punktā noteikts, ka vispārējās valdības sektors ir sadalīts četros apakšsektoros:</w:t>
      </w:r>
    </w:p>
    <w:p w14:paraId="5BFC3E5C" w14:textId="77777777" w:rsidR="007651F9" w:rsidRPr="001F0ECB" w:rsidRDefault="007651F9" w:rsidP="00975B5E">
      <w:pPr>
        <w:pStyle w:val="BodyText"/>
        <w:spacing w:before="0"/>
        <w:ind w:left="0"/>
        <w:jc w:val="both"/>
        <w:rPr>
          <w:rFonts w:ascii="Times New Roman" w:hAnsi="Times New Roman"/>
          <w:noProof/>
        </w:rPr>
      </w:pPr>
    </w:p>
    <w:p w14:paraId="76F13FBD" w14:textId="77777777" w:rsidR="002672AA" w:rsidRPr="001F0ECB" w:rsidRDefault="002672AA" w:rsidP="00021A2F">
      <w:pPr>
        <w:pStyle w:val="BodyText"/>
        <w:numPr>
          <w:ilvl w:val="0"/>
          <w:numId w:val="13"/>
        </w:numPr>
        <w:spacing w:before="0"/>
        <w:ind w:left="709" w:hanging="425"/>
        <w:jc w:val="both"/>
        <w:rPr>
          <w:rFonts w:ascii="Times New Roman" w:hAnsi="Times New Roman"/>
          <w:noProof/>
        </w:rPr>
      </w:pPr>
      <w:r>
        <w:rPr>
          <w:rFonts w:ascii="Times New Roman" w:hAnsi="Times New Roman"/>
        </w:rPr>
        <w:t>centrālā valdība (izņemot sociālās apdrošināšanas fondus) (S.1311);</w:t>
      </w:r>
    </w:p>
    <w:p w14:paraId="20271A37" w14:textId="77777777" w:rsidR="002672AA" w:rsidRPr="001F0ECB" w:rsidRDefault="002672AA" w:rsidP="00021A2F">
      <w:pPr>
        <w:pStyle w:val="BodyText"/>
        <w:numPr>
          <w:ilvl w:val="0"/>
          <w:numId w:val="13"/>
        </w:numPr>
        <w:spacing w:before="0"/>
        <w:ind w:left="709" w:hanging="425"/>
        <w:jc w:val="both"/>
        <w:rPr>
          <w:rFonts w:ascii="Times New Roman" w:hAnsi="Times New Roman"/>
          <w:noProof/>
        </w:rPr>
      </w:pPr>
      <w:r>
        <w:rPr>
          <w:rFonts w:ascii="Times New Roman" w:hAnsi="Times New Roman"/>
        </w:rPr>
        <w:t>pavalsts valdība (izņemot sociālās apdrošināšanas fondus) (S.1312);</w:t>
      </w:r>
    </w:p>
    <w:p w14:paraId="172580D5" w14:textId="77777777" w:rsidR="002672AA" w:rsidRPr="001F0ECB" w:rsidRDefault="002672AA" w:rsidP="00021A2F">
      <w:pPr>
        <w:pStyle w:val="BodyText"/>
        <w:numPr>
          <w:ilvl w:val="0"/>
          <w:numId w:val="13"/>
        </w:numPr>
        <w:spacing w:before="0"/>
        <w:ind w:left="709" w:hanging="425"/>
        <w:jc w:val="both"/>
        <w:rPr>
          <w:rFonts w:ascii="Times New Roman" w:hAnsi="Times New Roman"/>
          <w:noProof/>
        </w:rPr>
      </w:pPr>
      <w:r>
        <w:rPr>
          <w:rFonts w:ascii="Times New Roman" w:hAnsi="Times New Roman"/>
        </w:rPr>
        <w:t>vietējā valdība (izņemot sociālās apdrošināšanas fondus) (S.1313);</w:t>
      </w:r>
    </w:p>
    <w:p w14:paraId="14CC1E7C" w14:textId="77777777" w:rsidR="002672AA" w:rsidRPr="001F0ECB" w:rsidRDefault="002672AA" w:rsidP="00021A2F">
      <w:pPr>
        <w:pStyle w:val="BodyText"/>
        <w:numPr>
          <w:ilvl w:val="0"/>
          <w:numId w:val="13"/>
        </w:numPr>
        <w:spacing w:before="0"/>
        <w:ind w:left="709" w:hanging="425"/>
        <w:jc w:val="both"/>
        <w:rPr>
          <w:rFonts w:ascii="Times New Roman" w:hAnsi="Times New Roman"/>
          <w:noProof/>
        </w:rPr>
      </w:pPr>
      <w:r>
        <w:rPr>
          <w:rFonts w:ascii="Times New Roman" w:hAnsi="Times New Roman"/>
        </w:rPr>
        <w:t>sociālās apdrošināšanas fondi (S.1314).</w:t>
      </w:r>
    </w:p>
    <w:p w14:paraId="75BA29E0" w14:textId="77777777" w:rsidR="00021A2F" w:rsidRDefault="00021A2F" w:rsidP="00975B5E">
      <w:pPr>
        <w:pStyle w:val="BodyText"/>
        <w:spacing w:before="0"/>
        <w:ind w:left="0"/>
        <w:jc w:val="both"/>
        <w:rPr>
          <w:rFonts w:ascii="Times New Roman" w:hAnsi="Times New Roman"/>
          <w:noProof/>
        </w:rPr>
      </w:pPr>
    </w:p>
    <w:p w14:paraId="01E5646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Latvijā apkopo datus par centrālo valdību, vietējo valdību un sociālās apdrošināšanas fondiem. Ārpustirgus ražotāju kopējo izlaidi vērtē kā ražošanas kopējās izmaksas:</w:t>
      </w:r>
    </w:p>
    <w:p w14:paraId="58485CDD" w14:textId="77777777" w:rsidR="007651F9" w:rsidRPr="00021A2F" w:rsidRDefault="007651F9" w:rsidP="00975B5E">
      <w:pPr>
        <w:pStyle w:val="BodyText"/>
        <w:spacing w:before="0"/>
        <w:ind w:left="0"/>
        <w:jc w:val="both"/>
        <w:rPr>
          <w:rFonts w:ascii="Times New Roman" w:eastAsia="Cambria Math" w:hAnsi="Times New Roman" w:cs="Times New Roman"/>
          <w:noProof/>
        </w:rPr>
      </w:pPr>
    </w:p>
    <w:p w14:paraId="6B1F67A5" w14:textId="77777777" w:rsidR="00021A2F" w:rsidRPr="00021A2F" w:rsidRDefault="00021A2F" w:rsidP="00021A2F">
      <w:pPr>
        <w:pStyle w:val="BodyText"/>
        <w:spacing w:before="0"/>
        <w:ind w:left="0"/>
        <w:jc w:val="center"/>
        <w:rPr>
          <w:rFonts w:ascii="Times New Roman" w:eastAsia="Cambria Math" w:hAnsi="Times New Roman" w:cs="Times New Roman"/>
          <w:b/>
          <w:bCs/>
          <w:noProof/>
        </w:rPr>
      </w:pPr>
      <w:r>
        <w:rPr>
          <w:rFonts w:ascii="Times New Roman" w:hAnsi="Times New Roman"/>
          <w:b/>
          <w:i/>
        </w:rPr>
        <w:t>P</w:t>
      </w:r>
      <w:r>
        <w:rPr>
          <w:rFonts w:ascii="Times New Roman" w:hAnsi="Times New Roman"/>
          <w:b/>
        </w:rPr>
        <w:t>.1 (</w:t>
      </w:r>
      <w:r>
        <w:rPr>
          <w:rFonts w:ascii="Times New Roman" w:hAnsi="Times New Roman"/>
          <w:b/>
          <w:i/>
        </w:rPr>
        <w:t>S</w:t>
      </w:r>
      <w:r>
        <w:rPr>
          <w:rFonts w:ascii="Times New Roman" w:hAnsi="Times New Roman"/>
          <w:b/>
        </w:rPr>
        <w:t xml:space="preserve">.13) = </w:t>
      </w:r>
      <w:r>
        <w:rPr>
          <w:rFonts w:ascii="Times New Roman" w:hAnsi="Times New Roman"/>
          <w:b/>
          <w:i/>
        </w:rPr>
        <w:t>P</w:t>
      </w:r>
      <w:r>
        <w:rPr>
          <w:rFonts w:ascii="Times New Roman" w:hAnsi="Times New Roman"/>
          <w:b/>
        </w:rPr>
        <w:t xml:space="preserve">.2 + </w:t>
      </w:r>
      <w:r>
        <w:rPr>
          <w:rFonts w:ascii="Times New Roman" w:hAnsi="Times New Roman"/>
          <w:b/>
          <w:i/>
        </w:rPr>
        <w:t>D</w:t>
      </w:r>
      <w:r>
        <w:rPr>
          <w:rFonts w:ascii="Times New Roman" w:hAnsi="Times New Roman"/>
          <w:b/>
        </w:rPr>
        <w:t xml:space="preserve">.1 + </w:t>
      </w:r>
      <w:r>
        <w:rPr>
          <w:rFonts w:ascii="Times New Roman" w:hAnsi="Times New Roman"/>
          <w:b/>
          <w:i/>
        </w:rPr>
        <w:t>P</w:t>
      </w:r>
      <w:r>
        <w:rPr>
          <w:rFonts w:ascii="Times New Roman" w:hAnsi="Times New Roman"/>
          <w:b/>
        </w:rPr>
        <w:t>.51</w:t>
      </w:r>
      <w:r>
        <w:rPr>
          <w:rFonts w:ascii="Times New Roman" w:hAnsi="Times New Roman"/>
          <w:b/>
          <w:i/>
        </w:rPr>
        <w:t xml:space="preserve">c </w:t>
      </w:r>
      <w:r>
        <w:rPr>
          <w:rFonts w:ascii="Times New Roman" w:hAnsi="Times New Roman"/>
          <w:b/>
        </w:rPr>
        <w:t xml:space="preserve">+ </w:t>
      </w:r>
      <w:r>
        <w:rPr>
          <w:rFonts w:ascii="Times New Roman" w:hAnsi="Times New Roman"/>
          <w:b/>
          <w:i/>
        </w:rPr>
        <w:t>D</w:t>
      </w:r>
      <w:r>
        <w:rPr>
          <w:rFonts w:ascii="Times New Roman" w:hAnsi="Times New Roman"/>
          <w:b/>
        </w:rPr>
        <w:t xml:space="preserve">.29 – </w:t>
      </w:r>
      <w:r>
        <w:rPr>
          <w:rFonts w:ascii="Times New Roman" w:hAnsi="Times New Roman"/>
          <w:b/>
          <w:i/>
        </w:rPr>
        <w:t>D.</w:t>
      </w:r>
      <w:r>
        <w:rPr>
          <w:rFonts w:ascii="Times New Roman" w:hAnsi="Times New Roman"/>
          <w:b/>
        </w:rPr>
        <w:t>39,</w:t>
      </w:r>
    </w:p>
    <w:p w14:paraId="2ED82239" w14:textId="77777777" w:rsidR="007651F9" w:rsidRPr="00021A2F" w:rsidRDefault="007651F9" w:rsidP="00975B5E">
      <w:pPr>
        <w:pStyle w:val="BodyText"/>
        <w:spacing w:before="0"/>
        <w:ind w:left="0"/>
        <w:jc w:val="both"/>
        <w:rPr>
          <w:rFonts w:ascii="Times New Roman" w:eastAsia="Cambria Math" w:hAnsi="Times New Roman" w:cs="Times New Roman"/>
          <w:noProof/>
        </w:rPr>
      </w:pPr>
    </w:p>
    <w:p w14:paraId="34A5B328"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kur:</w:t>
      </w:r>
    </w:p>
    <w:p w14:paraId="53D6E630" w14:textId="77777777" w:rsidR="00674E8C" w:rsidRPr="001F0ECB" w:rsidRDefault="00674E8C" w:rsidP="00975B5E">
      <w:pPr>
        <w:pStyle w:val="BodyText"/>
        <w:spacing w:before="0"/>
        <w:ind w:left="0"/>
        <w:jc w:val="both"/>
        <w:rPr>
          <w:rFonts w:ascii="Times New Roman" w:hAnsi="Times New Roman"/>
          <w:noProof/>
        </w:rPr>
      </w:pPr>
    </w:p>
    <w:p w14:paraId="7649A569" w14:textId="77777777" w:rsidR="002672AA" w:rsidRPr="001F0ECB" w:rsidRDefault="00674E8C" w:rsidP="00674E8C">
      <w:pPr>
        <w:pStyle w:val="BodyText"/>
        <w:tabs>
          <w:tab w:val="left" w:pos="462"/>
        </w:tabs>
        <w:spacing w:before="0"/>
        <w:ind w:left="0"/>
        <w:jc w:val="both"/>
        <w:rPr>
          <w:rFonts w:ascii="Times New Roman" w:hAnsi="Times New Roman"/>
          <w:noProof/>
        </w:rPr>
      </w:pPr>
      <w:r>
        <w:rPr>
          <w:rFonts w:ascii="Times New Roman" w:hAnsi="Times New Roman"/>
          <w:i/>
        </w:rPr>
        <w:t xml:space="preserve">P.1 (S.13) </w:t>
      </w:r>
      <w:r>
        <w:rPr>
          <w:rFonts w:ascii="Times New Roman" w:hAnsi="Times New Roman"/>
        </w:rPr>
        <w:t>– vispārējās valdības sektora ārpustirgus izlaide;</w:t>
      </w:r>
    </w:p>
    <w:p w14:paraId="025BB585" w14:textId="77777777" w:rsidR="002672AA" w:rsidRPr="001F0ECB" w:rsidRDefault="00674E8C" w:rsidP="00674E8C">
      <w:pPr>
        <w:pStyle w:val="BodyText"/>
        <w:tabs>
          <w:tab w:val="left" w:pos="463"/>
        </w:tabs>
        <w:spacing w:before="0"/>
        <w:ind w:left="0"/>
        <w:jc w:val="both"/>
        <w:rPr>
          <w:rFonts w:ascii="Times New Roman" w:hAnsi="Times New Roman"/>
          <w:noProof/>
        </w:rPr>
      </w:pPr>
      <w:r>
        <w:rPr>
          <w:rFonts w:ascii="Times New Roman" w:hAnsi="Times New Roman"/>
          <w:i/>
        </w:rPr>
        <w:t xml:space="preserve">P.2 </w:t>
      </w:r>
      <w:r>
        <w:rPr>
          <w:rFonts w:ascii="Times New Roman" w:hAnsi="Times New Roman"/>
        </w:rPr>
        <w:t>– starppatēriņš;</w:t>
      </w:r>
    </w:p>
    <w:p w14:paraId="134F52E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 xml:space="preserve">D.1 </w:t>
      </w:r>
      <w:r>
        <w:rPr>
          <w:rFonts w:ascii="Times New Roman" w:hAnsi="Times New Roman"/>
        </w:rPr>
        <w:t>– darbinieku atalgojums;</w:t>
      </w:r>
    </w:p>
    <w:p w14:paraId="652C72D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 xml:space="preserve">P.51c </w:t>
      </w:r>
      <w:r>
        <w:rPr>
          <w:rFonts w:ascii="Times New Roman" w:hAnsi="Times New Roman"/>
        </w:rPr>
        <w:t>– pamatkapitāla patēriņš;</w:t>
      </w:r>
    </w:p>
    <w:p w14:paraId="753E637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 xml:space="preserve">D.29 </w:t>
      </w:r>
      <w:r>
        <w:rPr>
          <w:rFonts w:ascii="Times New Roman" w:hAnsi="Times New Roman"/>
        </w:rPr>
        <w:t>– citi ražošanas nodokļi;</w:t>
      </w:r>
    </w:p>
    <w:p w14:paraId="7579CEDF" w14:textId="77777777" w:rsidR="002672AA" w:rsidRPr="001F0ECB" w:rsidRDefault="00674E8C" w:rsidP="00674E8C">
      <w:pPr>
        <w:pStyle w:val="BodyText"/>
        <w:tabs>
          <w:tab w:val="left" w:pos="610"/>
        </w:tabs>
        <w:spacing w:before="0"/>
        <w:ind w:left="0"/>
        <w:jc w:val="both"/>
        <w:rPr>
          <w:rFonts w:ascii="Times New Roman" w:hAnsi="Times New Roman"/>
          <w:noProof/>
        </w:rPr>
      </w:pPr>
      <w:r>
        <w:rPr>
          <w:rFonts w:ascii="Times New Roman" w:hAnsi="Times New Roman"/>
          <w:i/>
        </w:rPr>
        <w:t xml:space="preserve">D.39 </w:t>
      </w:r>
      <w:r>
        <w:rPr>
          <w:rFonts w:ascii="Times New Roman" w:hAnsi="Times New Roman"/>
        </w:rPr>
        <w:t>– citas ražošanas subsīdijas.</w:t>
      </w:r>
    </w:p>
    <w:p w14:paraId="5D0245B5" w14:textId="77777777" w:rsidR="00674E8C" w:rsidRDefault="00674E8C" w:rsidP="00975B5E">
      <w:pPr>
        <w:pStyle w:val="BodyText"/>
        <w:spacing w:before="0"/>
        <w:ind w:left="0"/>
        <w:jc w:val="both"/>
        <w:rPr>
          <w:rFonts w:ascii="Times New Roman" w:hAnsi="Times New Roman"/>
          <w:noProof/>
        </w:rPr>
      </w:pPr>
    </w:p>
    <w:p w14:paraId="3B3924F8"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Primārie datu avoti, ko izmanto vispārējās valdības (S.13) izlaides novērtējumiem, ir šādi:</w:t>
      </w:r>
    </w:p>
    <w:p w14:paraId="1A4C0D5F" w14:textId="77777777" w:rsidR="00674E8C" w:rsidRPr="001F0ECB" w:rsidRDefault="00674E8C" w:rsidP="00975B5E">
      <w:pPr>
        <w:pStyle w:val="BodyText"/>
        <w:spacing w:before="0"/>
        <w:ind w:left="0"/>
        <w:jc w:val="both"/>
        <w:rPr>
          <w:rFonts w:ascii="Times New Roman" w:hAnsi="Times New Roman"/>
          <w:noProof/>
        </w:rPr>
      </w:pPr>
    </w:p>
    <w:p w14:paraId="72A9AFBA" w14:textId="77777777" w:rsidR="002672AA" w:rsidRPr="001F0ECB" w:rsidRDefault="002672AA" w:rsidP="00360C4F">
      <w:pPr>
        <w:pStyle w:val="BodyText"/>
        <w:numPr>
          <w:ilvl w:val="2"/>
          <w:numId w:val="11"/>
        </w:numPr>
        <w:spacing w:before="0"/>
        <w:ind w:left="709" w:hanging="425"/>
        <w:jc w:val="both"/>
        <w:rPr>
          <w:rFonts w:ascii="Times New Roman" w:hAnsi="Times New Roman"/>
          <w:noProof/>
        </w:rPr>
      </w:pPr>
      <w:r>
        <w:rPr>
          <w:rFonts w:ascii="Times New Roman" w:hAnsi="Times New Roman"/>
        </w:rPr>
        <w:t>ziņojumi par vispārējās valdības konsolidētā budžeta izpildi;</w:t>
      </w:r>
    </w:p>
    <w:p w14:paraId="72C777F1" w14:textId="77777777" w:rsidR="002672AA" w:rsidRPr="001F0ECB" w:rsidRDefault="002672AA" w:rsidP="00360C4F">
      <w:pPr>
        <w:pStyle w:val="BodyText"/>
        <w:numPr>
          <w:ilvl w:val="2"/>
          <w:numId w:val="11"/>
        </w:numPr>
        <w:spacing w:before="0"/>
        <w:ind w:left="709" w:hanging="425"/>
        <w:jc w:val="both"/>
        <w:rPr>
          <w:rFonts w:ascii="Times New Roman" w:hAnsi="Times New Roman"/>
          <w:noProof/>
        </w:rPr>
      </w:pPr>
      <w:r>
        <w:rPr>
          <w:rFonts w:ascii="Times New Roman" w:hAnsi="Times New Roman"/>
        </w:rPr>
        <w:t>CSP ceturkšņa apsekojums 2-FAP “Finanšu aktīvi un pasīvi”;</w:t>
      </w:r>
    </w:p>
    <w:p w14:paraId="69513EAD" w14:textId="77777777" w:rsidR="002672AA" w:rsidRPr="001F0ECB" w:rsidRDefault="002672AA" w:rsidP="00360C4F">
      <w:pPr>
        <w:pStyle w:val="BodyText"/>
        <w:numPr>
          <w:ilvl w:val="2"/>
          <w:numId w:val="11"/>
        </w:numPr>
        <w:spacing w:before="0"/>
        <w:ind w:left="709" w:hanging="425"/>
        <w:jc w:val="both"/>
        <w:rPr>
          <w:rFonts w:ascii="Times New Roman" w:hAnsi="Times New Roman"/>
          <w:noProof/>
        </w:rPr>
      </w:pPr>
      <w:r>
        <w:rPr>
          <w:rFonts w:ascii="Times New Roman" w:hAnsi="Times New Roman"/>
        </w:rPr>
        <w:t>CSP ceturkšņa apsekojums 2-darbs “Pārskats par darbu”.</w:t>
      </w:r>
    </w:p>
    <w:p w14:paraId="6CDE62DD" w14:textId="77777777" w:rsidR="00674E8C" w:rsidRDefault="00674E8C" w:rsidP="00975B5E">
      <w:pPr>
        <w:pStyle w:val="BodyText"/>
        <w:spacing w:before="0"/>
        <w:ind w:left="0"/>
        <w:jc w:val="both"/>
        <w:rPr>
          <w:rFonts w:ascii="Times New Roman" w:hAnsi="Times New Roman"/>
          <w:noProof/>
        </w:rPr>
      </w:pPr>
    </w:p>
    <w:p w14:paraId="2A83A75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Ceturkšņa aprēķinos katru valdības sektora izlaides komponenti sadala pa nozarēm, izmantojot sadalījumu par gadu </w:t>
      </w:r>
      <w:r>
        <w:rPr>
          <w:rFonts w:ascii="Times New Roman" w:hAnsi="Times New Roman"/>
          <w:i/>
        </w:rPr>
        <w:t>NACE</w:t>
      </w:r>
      <w:r>
        <w:rPr>
          <w:rFonts w:ascii="Times New Roman" w:hAnsi="Times New Roman"/>
        </w:rPr>
        <w:t xml:space="preserve"> 2. red. līmenī un ceturkšņa informāciju par P.2, D.1, P.51c, D.29 un D.39. Piemēram, aprēķinot 2018. gada ceturkšņu datus, tiek izmantota iepriekš minēto komponenšu struktūra 2017. gadā.</w:t>
      </w:r>
    </w:p>
    <w:p w14:paraId="17B722DA" w14:textId="77777777" w:rsidR="00360C4F" w:rsidRDefault="00360C4F" w:rsidP="00975B5E">
      <w:pPr>
        <w:pStyle w:val="BodyText"/>
        <w:spacing w:before="0"/>
        <w:ind w:left="0"/>
        <w:jc w:val="both"/>
        <w:rPr>
          <w:rFonts w:ascii="Times New Roman" w:hAnsi="Times New Roman"/>
          <w:noProof/>
        </w:rPr>
      </w:pPr>
    </w:p>
    <w:p w14:paraId="67C0B6C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Starppatēriņu (P.2) aprēķina, izmantojot izdevumu datus. Galvenie vispārējās valdības izdevumu veidi ir preces un pakalpojumi (piemēram, izdevumi transporta pakalpojumiem, citiem sakaru pakalpojumiem, izdevumi par komunālajiem pakalpojumiem, ēku remontu, IT pakalpojumiem un citiem pakalpojumiem).</w:t>
      </w:r>
    </w:p>
    <w:p w14:paraId="67319363" w14:textId="77777777" w:rsidR="00360C4F" w:rsidRDefault="00360C4F" w:rsidP="00975B5E">
      <w:pPr>
        <w:pStyle w:val="BodyText"/>
        <w:spacing w:before="0"/>
        <w:ind w:left="0"/>
        <w:jc w:val="both"/>
        <w:rPr>
          <w:rFonts w:ascii="Times New Roman" w:hAnsi="Times New Roman"/>
          <w:noProof/>
        </w:rPr>
      </w:pPr>
    </w:p>
    <w:p w14:paraId="73F030A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Budžeta iestāžu nodokļu maksājumi par zemi, nekustamo īpašumu, dabas resursiem veido vispārējās valdības sektora citus ražošanas nodokļus (D.29).</w:t>
      </w:r>
    </w:p>
    <w:p w14:paraId="608761E4" w14:textId="77777777" w:rsidR="00360C4F" w:rsidRDefault="00360C4F" w:rsidP="00975B5E">
      <w:pPr>
        <w:pStyle w:val="BodyText"/>
        <w:spacing w:before="0"/>
        <w:ind w:left="0"/>
        <w:jc w:val="both"/>
        <w:rPr>
          <w:rFonts w:ascii="Times New Roman" w:hAnsi="Times New Roman"/>
          <w:noProof/>
        </w:rPr>
      </w:pPr>
    </w:p>
    <w:p w14:paraId="44C33EF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noteiktu vispārējās valdības sektora pamatkapitāla patēriņu (P.51c), CSP speciālisti veic vērtēšanu, pamatojoties uz gada informāciju.</w:t>
      </w:r>
    </w:p>
    <w:p w14:paraId="11539374" w14:textId="77777777" w:rsidR="00360C4F" w:rsidRDefault="00360C4F" w:rsidP="00975B5E">
      <w:pPr>
        <w:pStyle w:val="BodyText"/>
        <w:spacing w:before="0"/>
        <w:ind w:left="0"/>
        <w:jc w:val="both"/>
        <w:rPr>
          <w:rFonts w:ascii="Times New Roman" w:hAnsi="Times New Roman"/>
          <w:noProof/>
        </w:rPr>
      </w:pPr>
    </w:p>
    <w:p w14:paraId="4E4C771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Vispārējās valdības pievienoto vērtību aprēķina kā starpību starp izlaidi un starppatēriņu. </w:t>
      </w:r>
      <w:r>
        <w:rPr>
          <w:rFonts w:ascii="Times New Roman" w:hAnsi="Times New Roman"/>
        </w:rPr>
        <w:lastRenderedPageBreak/>
        <w:t xml:space="preserve">Vispārējās valdības uzņēmumi ir iekļauti gandrīz visās </w:t>
      </w:r>
      <w:r>
        <w:rPr>
          <w:rFonts w:ascii="Times New Roman" w:hAnsi="Times New Roman"/>
          <w:i/>
        </w:rPr>
        <w:t>NACE</w:t>
      </w:r>
      <w:r>
        <w:rPr>
          <w:rFonts w:ascii="Times New Roman" w:hAnsi="Times New Roman"/>
        </w:rPr>
        <w:t xml:space="preserve"> 2. red. nodaļās, tomēr saskaņā ar datiem par bruto pievienoto vērtību lielākais vispārējās valdības sektora īpatsvars ir 84., 85. un 86. nodaļā.</w:t>
      </w:r>
    </w:p>
    <w:p w14:paraId="6680D4A3" w14:textId="77777777" w:rsidR="002672AA" w:rsidRPr="001F0ECB" w:rsidRDefault="002672AA" w:rsidP="00975B5E">
      <w:pPr>
        <w:jc w:val="both"/>
        <w:rPr>
          <w:rFonts w:ascii="Times New Roman" w:eastAsia="Calibri" w:hAnsi="Times New Roman" w:cs="Calibri"/>
          <w:noProof/>
          <w:sz w:val="24"/>
          <w:szCs w:val="19"/>
        </w:rPr>
      </w:pPr>
    </w:p>
    <w:p w14:paraId="776A6F04"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 xml:space="preserve">4.1. tabula.  Valdības sektora pievienotās vērtības īpatsvars </w:t>
      </w:r>
      <w:r>
        <w:rPr>
          <w:rFonts w:ascii="Times New Roman" w:hAnsi="Times New Roman"/>
          <w:i/>
        </w:rPr>
        <w:t>NACE</w:t>
      </w:r>
      <w:r>
        <w:rPr>
          <w:rFonts w:ascii="Times New Roman" w:hAnsi="Times New Roman"/>
        </w:rPr>
        <w:t xml:space="preserve"> 2. red. nodaļās</w:t>
      </w:r>
    </w:p>
    <w:p w14:paraId="4931EBAE" w14:textId="77777777" w:rsidR="002672AA" w:rsidRPr="001F0ECB" w:rsidRDefault="002672AA" w:rsidP="00975B5E">
      <w:pPr>
        <w:jc w:val="both"/>
        <w:rPr>
          <w:rFonts w:ascii="Times New Roman" w:eastAsia="Calibri" w:hAnsi="Times New Roman" w:cs="Calibri"/>
          <w:b/>
          <w:bCs/>
          <w:noProof/>
          <w:sz w:val="24"/>
          <w:szCs w:val="13"/>
        </w:rPr>
      </w:pPr>
    </w:p>
    <w:tbl>
      <w:tblPr>
        <w:tblW w:w="0" w:type="auto"/>
        <w:tblInd w:w="1285" w:type="dxa"/>
        <w:tblLayout w:type="fixed"/>
        <w:tblCellMar>
          <w:top w:w="28" w:type="dxa"/>
          <w:left w:w="28" w:type="dxa"/>
          <w:bottom w:w="28" w:type="dxa"/>
          <w:right w:w="28" w:type="dxa"/>
        </w:tblCellMar>
        <w:tblLook w:val="01E0" w:firstRow="1" w:lastRow="1" w:firstColumn="1" w:lastColumn="1" w:noHBand="0" w:noVBand="0"/>
      </w:tblPr>
      <w:tblGrid>
        <w:gridCol w:w="4148"/>
        <w:gridCol w:w="3219"/>
      </w:tblGrid>
      <w:tr w:rsidR="001F0ECB" w:rsidRPr="001F0ECB" w14:paraId="652EDC06" w14:textId="77777777" w:rsidTr="00360C4F">
        <w:tc>
          <w:tcPr>
            <w:tcW w:w="4148" w:type="dxa"/>
            <w:tcBorders>
              <w:top w:val="single" w:sz="5" w:space="0" w:color="000000"/>
              <w:left w:val="single" w:sz="5" w:space="0" w:color="000000"/>
              <w:bottom w:val="single" w:sz="5" w:space="0" w:color="000000"/>
              <w:right w:val="single" w:sz="5" w:space="0" w:color="000000"/>
            </w:tcBorders>
            <w:shd w:val="clear" w:color="auto" w:fill="EAF0DD"/>
          </w:tcPr>
          <w:p w14:paraId="1B2B5C8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i/>
                <w:sz w:val="24"/>
              </w:rPr>
              <w:t>NACE</w:t>
            </w:r>
            <w:r>
              <w:rPr>
                <w:rFonts w:ascii="Times New Roman" w:hAnsi="Times New Roman"/>
                <w:sz w:val="24"/>
              </w:rPr>
              <w:t xml:space="preserve"> 2. red.</w:t>
            </w:r>
          </w:p>
        </w:tc>
        <w:tc>
          <w:tcPr>
            <w:tcW w:w="3219" w:type="dxa"/>
            <w:tcBorders>
              <w:top w:val="single" w:sz="5" w:space="0" w:color="000000"/>
              <w:left w:val="single" w:sz="5" w:space="0" w:color="000000"/>
              <w:bottom w:val="single" w:sz="5" w:space="0" w:color="000000"/>
              <w:right w:val="single" w:sz="5" w:space="0" w:color="000000"/>
            </w:tcBorders>
            <w:shd w:val="clear" w:color="auto" w:fill="EAF0DD"/>
          </w:tcPr>
          <w:p w14:paraId="6989C3F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S.13 sektora īpatsvars nodaļās (%)</w:t>
            </w:r>
          </w:p>
        </w:tc>
      </w:tr>
      <w:tr w:rsidR="001F0ECB" w:rsidRPr="001F0ECB" w14:paraId="06026876" w14:textId="77777777" w:rsidTr="00360C4F">
        <w:tc>
          <w:tcPr>
            <w:tcW w:w="4148" w:type="dxa"/>
            <w:tcBorders>
              <w:top w:val="single" w:sz="5" w:space="0" w:color="000000"/>
              <w:left w:val="single" w:sz="5" w:space="0" w:color="000000"/>
              <w:bottom w:val="single" w:sz="5" w:space="0" w:color="000000"/>
              <w:right w:val="single" w:sz="5" w:space="0" w:color="000000"/>
            </w:tcBorders>
          </w:tcPr>
          <w:p w14:paraId="51BBCC7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84 Valsts pārvalde un aizsardzība; obligātā sociālā apdrošināšana</w:t>
            </w:r>
          </w:p>
        </w:tc>
        <w:tc>
          <w:tcPr>
            <w:tcW w:w="3219" w:type="dxa"/>
            <w:tcBorders>
              <w:top w:val="single" w:sz="5" w:space="0" w:color="000000"/>
              <w:left w:val="single" w:sz="5" w:space="0" w:color="000000"/>
              <w:bottom w:val="single" w:sz="5" w:space="0" w:color="000000"/>
              <w:right w:val="single" w:sz="5" w:space="0" w:color="000000"/>
            </w:tcBorders>
          </w:tcPr>
          <w:p w14:paraId="2C9FB57E" w14:textId="77777777" w:rsidR="002672AA" w:rsidRPr="001F0ECB" w:rsidRDefault="002672AA" w:rsidP="00360C4F">
            <w:pPr>
              <w:pStyle w:val="TableParagraph"/>
              <w:jc w:val="center"/>
              <w:rPr>
                <w:rFonts w:ascii="Times New Roman" w:hAnsi="Times New Roman"/>
                <w:noProof/>
                <w:sz w:val="24"/>
              </w:rPr>
            </w:pPr>
            <w:r>
              <w:rPr>
                <w:rFonts w:ascii="Times New Roman" w:hAnsi="Times New Roman"/>
                <w:sz w:val="24"/>
              </w:rPr>
              <w:t>99</w:t>
            </w:r>
          </w:p>
        </w:tc>
      </w:tr>
      <w:tr w:rsidR="001F0ECB" w:rsidRPr="001F0ECB" w14:paraId="7FCB0C1E" w14:textId="77777777" w:rsidTr="00360C4F">
        <w:tc>
          <w:tcPr>
            <w:tcW w:w="4148" w:type="dxa"/>
            <w:tcBorders>
              <w:top w:val="single" w:sz="5" w:space="0" w:color="000000"/>
              <w:left w:val="single" w:sz="5" w:space="0" w:color="000000"/>
              <w:bottom w:val="single" w:sz="5" w:space="0" w:color="000000"/>
              <w:right w:val="single" w:sz="5" w:space="0" w:color="000000"/>
            </w:tcBorders>
          </w:tcPr>
          <w:p w14:paraId="256E277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85 Izglītība</w:t>
            </w:r>
          </w:p>
        </w:tc>
        <w:tc>
          <w:tcPr>
            <w:tcW w:w="3219" w:type="dxa"/>
            <w:tcBorders>
              <w:top w:val="single" w:sz="5" w:space="0" w:color="000000"/>
              <w:left w:val="single" w:sz="5" w:space="0" w:color="000000"/>
              <w:bottom w:val="single" w:sz="5" w:space="0" w:color="000000"/>
              <w:right w:val="single" w:sz="5" w:space="0" w:color="000000"/>
            </w:tcBorders>
          </w:tcPr>
          <w:p w14:paraId="0DEE088F" w14:textId="77777777" w:rsidR="002672AA" w:rsidRPr="001F0ECB" w:rsidRDefault="002672AA" w:rsidP="00360C4F">
            <w:pPr>
              <w:pStyle w:val="TableParagraph"/>
              <w:jc w:val="center"/>
              <w:rPr>
                <w:rFonts w:ascii="Times New Roman" w:hAnsi="Times New Roman"/>
                <w:noProof/>
                <w:sz w:val="24"/>
              </w:rPr>
            </w:pPr>
            <w:r>
              <w:rPr>
                <w:rFonts w:ascii="Times New Roman" w:hAnsi="Times New Roman"/>
                <w:sz w:val="24"/>
              </w:rPr>
              <w:t>87</w:t>
            </w:r>
          </w:p>
        </w:tc>
      </w:tr>
      <w:tr w:rsidR="002672AA" w:rsidRPr="001F0ECB" w14:paraId="4C1999C5" w14:textId="77777777" w:rsidTr="00360C4F">
        <w:tc>
          <w:tcPr>
            <w:tcW w:w="4148" w:type="dxa"/>
            <w:tcBorders>
              <w:top w:val="single" w:sz="5" w:space="0" w:color="000000"/>
              <w:left w:val="single" w:sz="5" w:space="0" w:color="000000"/>
              <w:bottom w:val="single" w:sz="5" w:space="0" w:color="000000"/>
              <w:right w:val="single" w:sz="5" w:space="0" w:color="000000"/>
            </w:tcBorders>
          </w:tcPr>
          <w:p w14:paraId="2B9CE79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86 Veselības un sociālā aprūpe</w:t>
            </w:r>
          </w:p>
        </w:tc>
        <w:tc>
          <w:tcPr>
            <w:tcW w:w="3219" w:type="dxa"/>
            <w:tcBorders>
              <w:top w:val="single" w:sz="5" w:space="0" w:color="000000"/>
              <w:left w:val="single" w:sz="5" w:space="0" w:color="000000"/>
              <w:bottom w:val="single" w:sz="5" w:space="0" w:color="000000"/>
              <w:right w:val="single" w:sz="5" w:space="0" w:color="000000"/>
            </w:tcBorders>
          </w:tcPr>
          <w:p w14:paraId="3D6E50AC" w14:textId="77777777" w:rsidR="002672AA" w:rsidRPr="001F0ECB" w:rsidRDefault="002672AA" w:rsidP="00360C4F">
            <w:pPr>
              <w:pStyle w:val="TableParagraph"/>
              <w:jc w:val="center"/>
              <w:rPr>
                <w:rFonts w:ascii="Times New Roman" w:hAnsi="Times New Roman"/>
                <w:noProof/>
                <w:sz w:val="24"/>
              </w:rPr>
            </w:pPr>
            <w:r>
              <w:rPr>
                <w:rFonts w:ascii="Times New Roman" w:hAnsi="Times New Roman"/>
                <w:sz w:val="24"/>
              </w:rPr>
              <w:t>62</w:t>
            </w:r>
          </w:p>
        </w:tc>
      </w:tr>
    </w:tbl>
    <w:p w14:paraId="0D2CF8C1" w14:textId="77777777" w:rsidR="002672AA" w:rsidRPr="001F0ECB" w:rsidRDefault="002672AA" w:rsidP="00975B5E">
      <w:pPr>
        <w:jc w:val="both"/>
        <w:rPr>
          <w:rFonts w:ascii="Times New Roman" w:eastAsia="Calibri" w:hAnsi="Times New Roman" w:cs="Calibri"/>
          <w:b/>
          <w:bCs/>
          <w:noProof/>
          <w:sz w:val="24"/>
          <w:szCs w:val="20"/>
        </w:rPr>
      </w:pPr>
    </w:p>
    <w:p w14:paraId="114FC3F5"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Jānorāda, ka S.13 sektora pievienotās vērtības īpatsvars ir nozīmīgs arī </w:t>
      </w:r>
      <w:r>
        <w:rPr>
          <w:rFonts w:ascii="Times New Roman" w:hAnsi="Times New Roman"/>
          <w:i/>
        </w:rPr>
        <w:t>NACE</w:t>
      </w:r>
      <w:r>
        <w:rPr>
          <w:rFonts w:ascii="Times New Roman" w:hAnsi="Times New Roman"/>
        </w:rPr>
        <w:t xml:space="preserve"> 2. red. 72., 87., 88., 90. un 91. nodaļā.</w:t>
      </w:r>
    </w:p>
    <w:p w14:paraId="3C1D3830" w14:textId="77777777" w:rsidR="00360C4F" w:rsidRPr="001F0ECB" w:rsidRDefault="00360C4F" w:rsidP="00975B5E">
      <w:pPr>
        <w:pStyle w:val="BodyText"/>
        <w:spacing w:before="0"/>
        <w:ind w:left="0"/>
        <w:jc w:val="both"/>
        <w:rPr>
          <w:rFonts w:ascii="Times New Roman" w:hAnsi="Times New Roman"/>
          <w:noProof/>
        </w:rPr>
      </w:pPr>
    </w:p>
    <w:p w14:paraId="48016D64"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Aprēķini iepriekšējā gada cenās</w:t>
      </w:r>
    </w:p>
    <w:p w14:paraId="79CE7B01" w14:textId="77777777" w:rsidR="00360C4F" w:rsidRDefault="00360C4F" w:rsidP="00975B5E">
      <w:pPr>
        <w:pStyle w:val="BodyText"/>
        <w:spacing w:before="0"/>
        <w:ind w:left="0"/>
        <w:jc w:val="both"/>
        <w:rPr>
          <w:rFonts w:ascii="Times New Roman" w:hAnsi="Times New Roman"/>
          <w:noProof/>
        </w:rPr>
      </w:pPr>
    </w:p>
    <w:p w14:paraId="0151C1D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Attiecībā uz valdības sektoru aprēķiniem iepriekšējā gada cenās izmanto ceturkšņa datus par budžeta iestādēs nodarbināto skaitu un algām, kā arī nodarbināto skaitu un algām uzņēmumos, kas atbilstoši </w:t>
      </w:r>
      <w:r>
        <w:rPr>
          <w:rFonts w:ascii="Times New Roman" w:hAnsi="Times New Roman"/>
          <w:i/>
        </w:rPr>
        <w:t>NACE</w:t>
      </w:r>
      <w:r>
        <w:rPr>
          <w:rFonts w:ascii="Times New Roman" w:hAnsi="Times New Roman"/>
        </w:rPr>
        <w:t xml:space="preserve"> divu zīmju līmenim iedalīti valdības sektorā (datu avots ir CSP ceturkšņa apsekojums 2-darbs “Pārskats par darbu”). Vispārējās valdības izlaidi un pievienoto vērtību iepriekšējā gada cenās iegūst, galvenokārt izmantojot nodarbināto skaita pieauguma tempu saimnieciskajās darbībās atbilstoši </w:t>
      </w:r>
      <w:r>
        <w:rPr>
          <w:rFonts w:ascii="Times New Roman" w:hAnsi="Times New Roman"/>
          <w:i/>
        </w:rPr>
        <w:t>NACE</w:t>
      </w:r>
      <w:r>
        <w:rPr>
          <w:rFonts w:ascii="Times New Roman" w:hAnsi="Times New Roman"/>
        </w:rPr>
        <w:t xml:space="preserve"> divu zīmju līmenim. Attiecībā uz </w:t>
      </w:r>
      <w:r>
        <w:rPr>
          <w:rFonts w:ascii="Times New Roman" w:hAnsi="Times New Roman"/>
          <w:i/>
        </w:rPr>
        <w:t>NACE</w:t>
      </w:r>
      <w:r>
        <w:rPr>
          <w:rFonts w:ascii="Times New Roman" w:hAnsi="Times New Roman"/>
        </w:rPr>
        <w:t xml:space="preserve"> O, P, Q, R sadaļas līmeni izmanto nodarbināto skaita pieauguma tempa reizinājumu ar pusi no darbinieku atalgojuma pieauguma tempa. Starppatēriņu iepriekšējā gada cenās aprēķina kā starpību starp izlaidi un pievienoto vērtību.</w:t>
      </w:r>
    </w:p>
    <w:p w14:paraId="3886EF5C" w14:textId="77777777" w:rsidR="002672AA" w:rsidRPr="001F0ECB" w:rsidRDefault="002672AA" w:rsidP="00975B5E">
      <w:pPr>
        <w:jc w:val="both"/>
        <w:rPr>
          <w:rFonts w:ascii="Times New Roman" w:eastAsia="Calibri" w:hAnsi="Times New Roman" w:cs="Calibri"/>
          <w:noProof/>
          <w:sz w:val="24"/>
          <w:szCs w:val="24"/>
        </w:rPr>
      </w:pPr>
    </w:p>
    <w:p w14:paraId="2B997F7B" w14:textId="77777777" w:rsidR="002672AA" w:rsidRPr="001F0ECB" w:rsidRDefault="002672AA" w:rsidP="00975B5E">
      <w:pPr>
        <w:jc w:val="both"/>
        <w:rPr>
          <w:rFonts w:ascii="Times New Roman" w:eastAsia="Calibri" w:hAnsi="Times New Roman" w:cs="Calibri"/>
          <w:noProof/>
          <w:sz w:val="24"/>
          <w:szCs w:val="23"/>
        </w:rPr>
      </w:pPr>
    </w:p>
    <w:p w14:paraId="3ABC5592" w14:textId="77777777" w:rsidR="002672AA" w:rsidRPr="001F0ECB" w:rsidRDefault="00360C4F" w:rsidP="00360C4F">
      <w:pPr>
        <w:pStyle w:val="Heading2"/>
        <w:tabs>
          <w:tab w:val="left" w:pos="1181"/>
        </w:tabs>
        <w:ind w:left="0" w:firstLine="0"/>
        <w:jc w:val="both"/>
        <w:rPr>
          <w:rFonts w:ascii="Times New Roman" w:hAnsi="Times New Roman"/>
          <w:noProof/>
          <w:sz w:val="24"/>
        </w:rPr>
      </w:pPr>
      <w:bookmarkStart w:id="64" w:name="_Toc73461254"/>
      <w:r>
        <w:rPr>
          <w:rFonts w:ascii="Times New Roman" w:hAnsi="Times New Roman"/>
          <w:sz w:val="24"/>
        </w:rPr>
        <w:t xml:space="preserve">4.2. </w:t>
      </w:r>
      <w:r>
        <w:rPr>
          <w:rFonts w:ascii="Times New Roman" w:hAnsi="Times New Roman"/>
          <w:i/>
          <w:iCs/>
          <w:sz w:val="24"/>
        </w:rPr>
        <w:t>FISIM</w:t>
      </w:r>
      <w:bookmarkStart w:id="65" w:name="_bookmark32"/>
      <w:bookmarkEnd w:id="64"/>
      <w:bookmarkEnd w:id="65"/>
    </w:p>
    <w:p w14:paraId="662B8B3E" w14:textId="77777777" w:rsidR="00360C4F" w:rsidRDefault="00360C4F" w:rsidP="00975B5E">
      <w:pPr>
        <w:pStyle w:val="BodyText"/>
        <w:spacing w:before="0"/>
        <w:ind w:left="0"/>
        <w:jc w:val="both"/>
        <w:rPr>
          <w:rFonts w:ascii="Times New Roman" w:hAnsi="Times New Roman"/>
          <w:noProof/>
        </w:rPr>
      </w:pPr>
    </w:p>
    <w:p w14:paraId="2F89B51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FISIM</w:t>
      </w:r>
      <w:r>
        <w:rPr>
          <w:rFonts w:ascii="Times New Roman" w:hAnsi="Times New Roman"/>
        </w:rPr>
        <w:t xml:space="preserve"> aprēķina reizi ceturksnī saskaņā ar EKS 2010 14. nodaļu. </w:t>
      </w:r>
      <w:r>
        <w:rPr>
          <w:rFonts w:ascii="Times New Roman" w:hAnsi="Times New Roman"/>
          <w:i/>
          <w:iCs/>
        </w:rPr>
        <w:t>FISIM</w:t>
      </w:r>
      <w:r>
        <w:rPr>
          <w:rFonts w:ascii="Times New Roman" w:hAnsi="Times New Roman"/>
        </w:rPr>
        <w:t xml:space="preserve"> par aizdevumiem un noguldījumiem tiek iegūts atsevišķi S.122 un S.125 apakšsektoram, izmantojot šādus apkopotos datus – aizdevumu un noguldījumu uzkrātos lielumus pa sektoriem, kā arī saņemamos aizdevuma procentus un par noguldījumiem maksājamos procentus pa sektoriem. Par S.122 datus sniedz Latvijas Banka. Par S.125 datus sniedz Centrālā statistikas pārvalde un Latvijas Banka. Sīkāku informāciju par </w:t>
      </w:r>
      <w:r>
        <w:rPr>
          <w:rFonts w:ascii="Times New Roman" w:hAnsi="Times New Roman"/>
          <w:i/>
        </w:rPr>
        <w:t>FISIM</w:t>
      </w:r>
      <w:r>
        <w:rPr>
          <w:rFonts w:ascii="Times New Roman" w:hAnsi="Times New Roman"/>
        </w:rPr>
        <w:t xml:space="preserve"> importu un eksportu iegūst no maksājumu bilances.</w:t>
      </w:r>
    </w:p>
    <w:p w14:paraId="50F639CE" w14:textId="77777777" w:rsidR="00360C4F" w:rsidRDefault="00360C4F" w:rsidP="00975B5E">
      <w:pPr>
        <w:pStyle w:val="BodyText"/>
        <w:spacing w:before="0"/>
        <w:ind w:left="0"/>
        <w:jc w:val="both"/>
        <w:rPr>
          <w:rFonts w:ascii="Times New Roman" w:hAnsi="Times New Roman"/>
          <w:noProof/>
        </w:rPr>
      </w:pPr>
    </w:p>
    <w:p w14:paraId="111481FC" w14:textId="77777777" w:rsidR="002672AA" w:rsidRDefault="002672AA" w:rsidP="00360C4F">
      <w:pPr>
        <w:pStyle w:val="BodyText"/>
        <w:spacing w:before="0"/>
        <w:ind w:left="0"/>
        <w:jc w:val="both"/>
        <w:rPr>
          <w:rFonts w:ascii="Times New Roman" w:hAnsi="Times New Roman"/>
          <w:noProof/>
        </w:rPr>
      </w:pPr>
      <w:r>
        <w:rPr>
          <w:rFonts w:ascii="Times New Roman" w:hAnsi="Times New Roman"/>
        </w:rPr>
        <w:t xml:space="preserve">Katru ceturksni </w:t>
      </w:r>
      <w:r>
        <w:rPr>
          <w:rFonts w:ascii="Times New Roman" w:hAnsi="Times New Roman"/>
          <w:i/>
        </w:rPr>
        <w:t>FISIM</w:t>
      </w:r>
      <w:r>
        <w:rPr>
          <w:rFonts w:ascii="Times New Roman" w:hAnsi="Times New Roman"/>
        </w:rPr>
        <w:t xml:space="preserve"> iedala S.13 un S.12 apakšsektoram šādi: S.124 un S.127 apakšsektora </w:t>
      </w:r>
      <w:r>
        <w:rPr>
          <w:rFonts w:ascii="Times New Roman" w:hAnsi="Times New Roman"/>
          <w:i/>
        </w:rPr>
        <w:t>FISIM</w:t>
      </w:r>
      <w:r>
        <w:rPr>
          <w:rFonts w:ascii="Times New Roman" w:hAnsi="Times New Roman"/>
        </w:rPr>
        <w:t xml:space="preserve"> – 64. nodaļas starppatēriņam, S.128 + S.129 apakšsektora </w:t>
      </w:r>
      <w:r>
        <w:rPr>
          <w:rFonts w:ascii="Times New Roman" w:hAnsi="Times New Roman"/>
          <w:i/>
        </w:rPr>
        <w:t>FISIM</w:t>
      </w:r>
      <w:r>
        <w:rPr>
          <w:rFonts w:ascii="Times New Roman" w:hAnsi="Times New Roman"/>
        </w:rPr>
        <w:t xml:space="preserve"> – 65. nodaļas starppatēriņam un S.126 apakšsektora </w:t>
      </w:r>
      <w:r>
        <w:rPr>
          <w:rFonts w:ascii="Times New Roman" w:hAnsi="Times New Roman"/>
          <w:i/>
        </w:rPr>
        <w:t>FISIM</w:t>
      </w:r>
      <w:r>
        <w:rPr>
          <w:rFonts w:ascii="Times New Roman" w:hAnsi="Times New Roman"/>
        </w:rPr>
        <w:t> – 66. nodaļas starppatēriņam.</w:t>
      </w:r>
    </w:p>
    <w:p w14:paraId="5ACB5479" w14:textId="77777777" w:rsidR="00360C4F" w:rsidRPr="001F0ECB" w:rsidRDefault="00360C4F" w:rsidP="00360C4F">
      <w:pPr>
        <w:pStyle w:val="BodyText"/>
        <w:spacing w:before="0"/>
        <w:ind w:left="0"/>
        <w:jc w:val="both"/>
        <w:rPr>
          <w:rFonts w:ascii="Times New Roman" w:hAnsi="Times New Roman"/>
          <w:noProof/>
        </w:rPr>
      </w:pPr>
    </w:p>
    <w:p w14:paraId="45747B13" w14:textId="77777777" w:rsidR="002672AA" w:rsidRDefault="002672AA" w:rsidP="007D4617">
      <w:pPr>
        <w:keepNext/>
        <w:jc w:val="both"/>
        <w:rPr>
          <w:rFonts w:ascii="Times New Roman" w:hAnsi="Times New Roman"/>
          <w:noProof/>
          <w:sz w:val="24"/>
        </w:rPr>
      </w:pPr>
      <w:r>
        <w:rPr>
          <w:rFonts w:ascii="Times New Roman" w:hAnsi="Times New Roman"/>
          <w:i/>
          <w:sz w:val="24"/>
        </w:rPr>
        <w:t>FISIM</w:t>
      </w:r>
      <w:r>
        <w:rPr>
          <w:rFonts w:ascii="Times New Roman" w:hAnsi="Times New Roman"/>
          <w:sz w:val="24"/>
        </w:rPr>
        <w:t xml:space="preserve"> apjoma izteiksmē aprēķina reizi ceturksnī saskaņā ar EKS 2010 14.14. punktu šādi:</w:t>
      </w:r>
    </w:p>
    <w:p w14:paraId="20A26EEE" w14:textId="4D273A60" w:rsidR="00360C4F" w:rsidRDefault="00360C4F" w:rsidP="007D4617">
      <w:pPr>
        <w:keepNext/>
        <w:jc w:val="both"/>
        <w:rPr>
          <w:rFonts w:ascii="Times New Roman" w:hAnsi="Times New Roman"/>
          <w:noProof/>
          <w:sz w:val="24"/>
        </w:rPr>
      </w:pPr>
    </w:p>
    <w:p w14:paraId="53E52425" w14:textId="18A87AB5" w:rsidR="007D4617" w:rsidRDefault="007D4617" w:rsidP="007D4617">
      <w:pPr>
        <w:keepNext/>
        <w:jc w:val="both"/>
        <w:rPr>
          <w:rFonts w:ascii="Times New Roman" w:hAnsi="Times New Roman"/>
          <w:noProof/>
          <w:sz w:val="24"/>
        </w:rPr>
      </w:pPr>
      <w:r w:rsidRPr="00DA1226">
        <w:rPr>
          <w:rFonts w:ascii="Times New Roman" w:hAnsi="Times New Roman"/>
          <w:noProof/>
          <w:sz w:val="24"/>
        </w:rPr>
        <w:drawing>
          <wp:inline distT="0" distB="0" distL="0" distR="0" wp14:anchorId="12782E60" wp14:editId="1B592DDB">
            <wp:extent cx="5762625" cy="490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490855"/>
                    </a:xfrm>
                    <a:prstGeom prst="rect">
                      <a:avLst/>
                    </a:prstGeom>
                    <a:noFill/>
                    <a:ln>
                      <a:noFill/>
                    </a:ln>
                  </pic:spPr>
                </pic:pic>
              </a:graphicData>
            </a:graphic>
          </wp:inline>
        </w:drawing>
      </w:r>
    </w:p>
    <w:p w14:paraId="0835C2C5" w14:textId="24956E0E" w:rsidR="00360C4F" w:rsidRPr="007D4617" w:rsidRDefault="00360C4F" w:rsidP="007D4617">
      <w:pPr>
        <w:rPr>
          <w:rFonts w:ascii="Times New Roman" w:hAnsi="Times New Roman"/>
          <w:noProof/>
          <w:sz w:val="24"/>
        </w:rPr>
      </w:pPr>
    </w:p>
    <w:p w14:paraId="117DB67E" w14:textId="77777777" w:rsidR="002672AA" w:rsidRPr="00360C4F" w:rsidRDefault="002672AA" w:rsidP="00975B5E">
      <w:pPr>
        <w:pStyle w:val="BodyText"/>
        <w:spacing w:before="0"/>
        <w:ind w:left="0"/>
        <w:jc w:val="both"/>
        <w:rPr>
          <w:rFonts w:ascii="Times New Roman" w:hAnsi="Times New Roman"/>
          <w:noProof/>
        </w:rPr>
      </w:pPr>
      <w:r>
        <w:rPr>
          <w:rFonts w:ascii="Times New Roman" w:hAnsi="Times New Roman"/>
        </w:rPr>
        <w:t xml:space="preserve">kur cenu indekss ir netiešais cenu deflators iekšzemes galapieprasījumam (P.3 + P.5) attiecībā </w:t>
      </w:r>
      <w:r>
        <w:rPr>
          <w:rFonts w:ascii="Times New Roman" w:hAnsi="Times New Roman"/>
        </w:rPr>
        <w:lastRenderedPageBreak/>
        <w:t xml:space="preserve">uz </w:t>
      </w:r>
      <w:r>
        <w:rPr>
          <w:rFonts w:ascii="Times New Roman" w:hAnsi="Times New Roman"/>
          <w:i/>
        </w:rPr>
        <w:t>FISIM</w:t>
      </w:r>
      <w:r>
        <w:rPr>
          <w:rFonts w:ascii="Times New Roman" w:hAnsi="Times New Roman"/>
        </w:rPr>
        <w:t xml:space="preserve"> par iekšzemes aizdevumiem un noguldījumiem, kā arī eksportētajiem </w:t>
      </w:r>
      <w:r>
        <w:rPr>
          <w:rFonts w:ascii="Times New Roman" w:hAnsi="Times New Roman"/>
          <w:i/>
        </w:rPr>
        <w:t>FISIM</w:t>
      </w:r>
      <w:r>
        <w:rPr>
          <w:rFonts w:ascii="Times New Roman" w:hAnsi="Times New Roman"/>
        </w:rPr>
        <w:t xml:space="preserve">, savukārt importētajiem </w:t>
      </w:r>
      <w:r>
        <w:rPr>
          <w:rFonts w:ascii="Times New Roman" w:hAnsi="Times New Roman"/>
          <w:i/>
        </w:rPr>
        <w:t>FISIM</w:t>
      </w:r>
      <w:r>
        <w:rPr>
          <w:rFonts w:ascii="Times New Roman" w:hAnsi="Times New Roman"/>
        </w:rPr>
        <w:t xml:space="preserve"> aizdevumiem un noguldījumiem izmanto importa cenu indeksu.</w:t>
      </w:r>
    </w:p>
    <w:p w14:paraId="1ECEB8B9" w14:textId="77777777" w:rsidR="002672AA" w:rsidRPr="001F0ECB" w:rsidRDefault="002672AA" w:rsidP="00975B5E">
      <w:pPr>
        <w:jc w:val="both"/>
        <w:rPr>
          <w:rFonts w:ascii="Times New Roman" w:eastAsia="Times New Roman" w:hAnsi="Times New Roman" w:cs="Times New Roman"/>
          <w:noProof/>
          <w:sz w:val="24"/>
          <w:szCs w:val="24"/>
        </w:rPr>
      </w:pPr>
    </w:p>
    <w:p w14:paraId="7B91467A" w14:textId="77777777" w:rsidR="002672AA" w:rsidRPr="001F0ECB" w:rsidRDefault="002672AA" w:rsidP="00975B5E">
      <w:pPr>
        <w:jc w:val="both"/>
        <w:rPr>
          <w:rFonts w:ascii="Times New Roman" w:eastAsia="Times New Roman" w:hAnsi="Times New Roman" w:cs="Times New Roman"/>
          <w:noProof/>
          <w:sz w:val="24"/>
          <w:szCs w:val="30"/>
        </w:rPr>
      </w:pPr>
    </w:p>
    <w:p w14:paraId="0F49BC25" w14:textId="77777777" w:rsidR="002672AA" w:rsidRPr="001F0ECB" w:rsidRDefault="00360C4F" w:rsidP="00360C4F">
      <w:pPr>
        <w:pStyle w:val="Heading2"/>
        <w:tabs>
          <w:tab w:val="left" w:pos="1181"/>
        </w:tabs>
        <w:ind w:left="0" w:firstLine="0"/>
        <w:jc w:val="both"/>
        <w:rPr>
          <w:rFonts w:ascii="Times New Roman" w:hAnsi="Times New Roman"/>
          <w:noProof/>
          <w:sz w:val="24"/>
        </w:rPr>
      </w:pPr>
      <w:bookmarkStart w:id="66" w:name="_Toc73461255"/>
      <w:r>
        <w:rPr>
          <w:rFonts w:ascii="Times New Roman" w:hAnsi="Times New Roman"/>
          <w:sz w:val="24"/>
        </w:rPr>
        <w:t>4.3. Produktu nodokļi, atskaitot subsīdijas</w:t>
      </w:r>
      <w:bookmarkStart w:id="67" w:name="_bookmark33"/>
      <w:bookmarkEnd w:id="66"/>
      <w:bookmarkEnd w:id="67"/>
    </w:p>
    <w:p w14:paraId="1AC39ACE" w14:textId="77777777" w:rsidR="00360C4F" w:rsidRDefault="00360C4F" w:rsidP="00975B5E">
      <w:pPr>
        <w:pStyle w:val="Heading4"/>
        <w:spacing w:before="0"/>
        <w:ind w:left="0"/>
        <w:jc w:val="both"/>
        <w:rPr>
          <w:rFonts w:ascii="Times New Roman" w:hAnsi="Times New Roman"/>
          <w:noProof/>
        </w:rPr>
      </w:pPr>
    </w:p>
    <w:p w14:paraId="5D168FA0"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Produktu nodokļi</w:t>
      </w:r>
    </w:p>
    <w:p w14:paraId="4590CF35" w14:textId="77777777" w:rsidR="00360C4F" w:rsidRDefault="00360C4F" w:rsidP="00975B5E">
      <w:pPr>
        <w:pStyle w:val="BodyText"/>
        <w:spacing w:before="0"/>
        <w:ind w:left="0"/>
        <w:jc w:val="both"/>
        <w:rPr>
          <w:rFonts w:ascii="Times New Roman" w:hAnsi="Times New Roman"/>
          <w:noProof/>
        </w:rPr>
      </w:pPr>
    </w:p>
    <w:p w14:paraId="5F69F52D"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Ražošanas un importa nodokļi ir iedalīti divās galvenajās grupās:</w:t>
      </w:r>
    </w:p>
    <w:p w14:paraId="7EEF9FC7" w14:textId="77777777" w:rsidR="00360C4F" w:rsidRPr="001F0ECB" w:rsidRDefault="00360C4F" w:rsidP="00975B5E">
      <w:pPr>
        <w:pStyle w:val="BodyText"/>
        <w:spacing w:before="0"/>
        <w:ind w:left="0"/>
        <w:jc w:val="both"/>
        <w:rPr>
          <w:rFonts w:ascii="Times New Roman" w:hAnsi="Times New Roman"/>
          <w:noProof/>
        </w:rPr>
      </w:pPr>
    </w:p>
    <w:p w14:paraId="49D18CBA"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produktu nodokļi (D.21) un</w:t>
      </w:r>
    </w:p>
    <w:p w14:paraId="0710AA18"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citi ražošanas nodokļi (D.29).</w:t>
      </w:r>
    </w:p>
    <w:p w14:paraId="255A0B20" w14:textId="77777777" w:rsidR="00360C4F" w:rsidRDefault="00360C4F" w:rsidP="00975B5E">
      <w:pPr>
        <w:pStyle w:val="BodyText"/>
        <w:spacing w:before="0"/>
        <w:ind w:left="0"/>
        <w:jc w:val="both"/>
        <w:rPr>
          <w:rFonts w:ascii="Times New Roman" w:hAnsi="Times New Roman"/>
          <w:noProof/>
        </w:rPr>
      </w:pPr>
    </w:p>
    <w:p w14:paraId="0A698B2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Produktu nodokļus (D.21) iegūst no tiešiem administratīvo datu avotiem. Ceturkšņa datus par produktu nodokļiem (D.21) iegūst no Valsts kases iesniegtajiem ikmēneša pārskatiem par budžeta izpildi. Latvijas Finanšu ministrija koriģē nodokļu ieņēmumu datus, ņemot vērā laika nobīdi. Šādi produktu nodokļi un nodevas tiek izmantoti ceturkšņa IKP novērtējumam no ražošanas aspekta:</w:t>
      </w:r>
    </w:p>
    <w:p w14:paraId="0E0BA69E" w14:textId="77777777" w:rsidR="00360C4F" w:rsidRPr="001F0ECB" w:rsidRDefault="00360C4F" w:rsidP="00975B5E">
      <w:pPr>
        <w:pStyle w:val="BodyText"/>
        <w:spacing w:before="0"/>
        <w:ind w:left="0"/>
        <w:jc w:val="both"/>
        <w:rPr>
          <w:rFonts w:ascii="Times New Roman" w:hAnsi="Times New Roman"/>
          <w:noProof/>
        </w:rPr>
      </w:pPr>
    </w:p>
    <w:p w14:paraId="7003BA43"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pievienotās vērtības nodoklis (PVN) – D.211;</w:t>
      </w:r>
    </w:p>
    <w:p w14:paraId="5A0D8563"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akcīzes nodokļi un nodevas – D.214:</w:t>
      </w:r>
    </w:p>
    <w:p w14:paraId="53C31A47" w14:textId="77777777" w:rsidR="00975B5E" w:rsidRPr="001F0ECB" w:rsidRDefault="00975B5E" w:rsidP="00360C4F">
      <w:pPr>
        <w:ind w:left="709" w:hanging="425"/>
        <w:jc w:val="both"/>
        <w:rPr>
          <w:rFonts w:ascii="Times New Roman" w:hAnsi="Times New Roman"/>
          <w:noProof/>
          <w:sz w:val="24"/>
        </w:rPr>
      </w:pPr>
    </w:p>
    <w:p w14:paraId="7ED40489" w14:textId="77777777" w:rsidR="002672AA" w:rsidRPr="001F0ECB" w:rsidRDefault="002672AA" w:rsidP="00360C4F">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akcīzes nodoklis alkoholiskiem dzērieniem – D.214a,</w:t>
      </w:r>
    </w:p>
    <w:p w14:paraId="26BEE772" w14:textId="77777777" w:rsidR="002672AA" w:rsidRPr="001F0ECB" w:rsidRDefault="002672AA" w:rsidP="00360C4F">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akcīzes nodoklis alum – D.214a,</w:t>
      </w:r>
    </w:p>
    <w:p w14:paraId="04C1B4A5" w14:textId="77777777" w:rsidR="002672AA" w:rsidRPr="001F0ECB" w:rsidRDefault="002672AA" w:rsidP="00360C4F">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akcīzes nodoklis tabakas izstrādājumiem – D.214a,</w:t>
      </w:r>
    </w:p>
    <w:p w14:paraId="163BC236" w14:textId="77777777" w:rsidR="002672AA" w:rsidRPr="001F0ECB" w:rsidRDefault="002672AA" w:rsidP="00360C4F">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akcīzes nodoklis dabasgāzei – D.214a,</w:t>
      </w:r>
    </w:p>
    <w:p w14:paraId="0D9641CD" w14:textId="77777777" w:rsidR="002672AA" w:rsidRDefault="002672AA" w:rsidP="00360C4F">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akcīzes nodoklis naftas produktiem – D.214a;</w:t>
      </w:r>
    </w:p>
    <w:p w14:paraId="58670114" w14:textId="77777777" w:rsidR="00360C4F" w:rsidRPr="001F0ECB" w:rsidRDefault="00360C4F" w:rsidP="00360C4F">
      <w:pPr>
        <w:pStyle w:val="BodyText"/>
        <w:tabs>
          <w:tab w:val="left" w:pos="1541"/>
        </w:tabs>
        <w:spacing w:before="0"/>
        <w:ind w:left="709"/>
        <w:jc w:val="both"/>
        <w:rPr>
          <w:rFonts w:ascii="Times New Roman" w:hAnsi="Times New Roman"/>
          <w:noProof/>
        </w:rPr>
      </w:pPr>
    </w:p>
    <w:p w14:paraId="02A15188"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muitas nodokļi – D.2121;</w:t>
      </w:r>
    </w:p>
    <w:p w14:paraId="01C18C27" w14:textId="77777777" w:rsidR="002672AA" w:rsidRPr="001F0ECB" w:rsidRDefault="002672AA" w:rsidP="00360C4F">
      <w:pPr>
        <w:pStyle w:val="BodyText"/>
        <w:numPr>
          <w:ilvl w:val="1"/>
          <w:numId w:val="16"/>
        </w:numPr>
        <w:tabs>
          <w:tab w:val="left" w:pos="1688"/>
          <w:tab w:val="left" w:pos="2494"/>
          <w:tab w:val="left" w:pos="3360"/>
          <w:tab w:val="left" w:pos="4007"/>
          <w:tab w:val="left" w:pos="5093"/>
          <w:tab w:val="left" w:pos="5498"/>
          <w:tab w:val="left" w:pos="6611"/>
          <w:tab w:val="left" w:pos="7398"/>
          <w:tab w:val="left" w:pos="7884"/>
          <w:tab w:val="left" w:pos="8959"/>
          <w:tab w:val="left" w:pos="9446"/>
        </w:tabs>
        <w:spacing w:before="0"/>
        <w:ind w:left="709" w:hanging="425"/>
        <w:jc w:val="both"/>
        <w:rPr>
          <w:rFonts w:ascii="Times New Roman" w:hAnsi="Times New Roman"/>
          <w:noProof/>
        </w:rPr>
      </w:pPr>
      <w:r>
        <w:rPr>
          <w:rFonts w:ascii="Times New Roman" w:hAnsi="Times New Roman"/>
        </w:rPr>
        <w:t>ievedmuitas nodokļus (akcīzes nodoklis, ko iekasē par ievedprecēm to laišanai brīvā apgrozībā) – D.2122;</w:t>
      </w:r>
    </w:p>
    <w:p w14:paraId="792A5B0E" w14:textId="77777777" w:rsidR="00360C4F"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citi produktu nodokļi.</w:t>
      </w:r>
    </w:p>
    <w:p w14:paraId="68F42356" w14:textId="77777777" w:rsidR="00360C4F" w:rsidRDefault="00360C4F" w:rsidP="00360C4F">
      <w:pPr>
        <w:pStyle w:val="BodyText"/>
        <w:spacing w:before="0"/>
        <w:ind w:left="0"/>
        <w:jc w:val="both"/>
        <w:rPr>
          <w:rFonts w:ascii="Times New Roman" w:hAnsi="Times New Roman"/>
          <w:noProof/>
        </w:rPr>
      </w:pPr>
    </w:p>
    <w:p w14:paraId="78FC8B28" w14:textId="77777777" w:rsidR="002672AA" w:rsidRDefault="002672AA" w:rsidP="00360C4F">
      <w:pPr>
        <w:pStyle w:val="BodyText"/>
        <w:spacing w:before="0"/>
        <w:ind w:left="0"/>
        <w:jc w:val="both"/>
        <w:rPr>
          <w:rFonts w:ascii="Times New Roman" w:hAnsi="Times New Roman"/>
          <w:noProof/>
        </w:rPr>
      </w:pPr>
      <w:r>
        <w:rPr>
          <w:rFonts w:ascii="Times New Roman" w:hAnsi="Times New Roman"/>
        </w:rPr>
        <w:t>Citi produktu nodokļi ietver:</w:t>
      </w:r>
    </w:p>
    <w:p w14:paraId="0B737379" w14:textId="77777777" w:rsidR="00360C4F" w:rsidRPr="001F0ECB" w:rsidRDefault="00360C4F" w:rsidP="00360C4F">
      <w:pPr>
        <w:pStyle w:val="BodyText"/>
        <w:spacing w:before="0"/>
        <w:ind w:left="0"/>
        <w:jc w:val="both"/>
        <w:rPr>
          <w:rFonts w:ascii="Times New Roman" w:hAnsi="Times New Roman"/>
          <w:noProof/>
        </w:rPr>
      </w:pPr>
    </w:p>
    <w:p w14:paraId="672198D6"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elektroenerģijas nodokli – D.214.a;</w:t>
      </w:r>
    </w:p>
    <w:p w14:paraId="0EF12635"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vieglo automobiļu reģistrācijas nodokļus – D.214d (tika piemērots no 2004. gada līdz 2016. gadam);</w:t>
      </w:r>
    </w:p>
    <w:p w14:paraId="54537846"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izložu un azartspēļu nodokli – D.214f;</w:t>
      </w:r>
    </w:p>
    <w:p w14:paraId="2139F80A"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valsts nodevu, kas maksājama par naftas produktu drošības rezervju uzturēšanu – D.214l;</w:t>
      </w:r>
    </w:p>
    <w:p w14:paraId="47ED4C9B"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obligātā iepirkuma komponenti (maksu par sabiedrisko pakalpojumu sniegšanas saistībām) (OIK) – D.214i.</w:t>
      </w:r>
    </w:p>
    <w:p w14:paraId="75A0C041" w14:textId="77777777" w:rsidR="00360C4F" w:rsidRDefault="00360C4F" w:rsidP="00975B5E">
      <w:pPr>
        <w:pStyle w:val="BodyText"/>
        <w:spacing w:before="0"/>
        <w:ind w:left="0"/>
        <w:jc w:val="both"/>
        <w:rPr>
          <w:rFonts w:ascii="Times New Roman" w:hAnsi="Times New Roman"/>
          <w:noProof/>
        </w:rPr>
      </w:pPr>
    </w:p>
    <w:p w14:paraId="32FC77AC"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Latvijā saskaņā ar 2018. gada aprēķinu rezultātiem lielāko daļu nodokļu, kas iekasēti par produktiem, veido PVN (aptuveni 63 %) un akcīzes nodokļi (aptuveni 27 %), citi produktu nodokļi (9 %), savukārt importa nodokļi ir 1 %. Lielāko akcīzes nodokļa daļu veido akcīzes nodoklis naftas produktiem (53 %), akcīzes nodoklis tabakas izstrādājumiem (20 %), akcīzes nodoklis alkoholiskajiem dzērieniem (18 %), akcīzes nodoklis alum (5 %), akcīzes nodoklis dabasgāzei (2 %) un akcīzes nodoklis citām akcīzes precēm (2 %).</w:t>
      </w:r>
    </w:p>
    <w:p w14:paraId="1A87D748" w14:textId="77777777" w:rsidR="00360C4F" w:rsidRPr="001F0ECB" w:rsidRDefault="00360C4F" w:rsidP="00975B5E">
      <w:pPr>
        <w:pStyle w:val="BodyText"/>
        <w:spacing w:before="0"/>
        <w:ind w:left="0"/>
        <w:jc w:val="both"/>
        <w:rPr>
          <w:rFonts w:ascii="Times New Roman" w:hAnsi="Times New Roman"/>
          <w:noProof/>
        </w:rPr>
      </w:pPr>
    </w:p>
    <w:p w14:paraId="685A97C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par nodokļiem tiek sniegti, pamatojoties uz uzkrāšanas principu. Lai noteiktu IKP, ievedmuitas nodokļus, kas iekasēti Eiropas Savienības labā, reģistrē bruto vērtībā.</w:t>
      </w:r>
    </w:p>
    <w:p w14:paraId="767EB1F1" w14:textId="77777777" w:rsidR="00360C4F" w:rsidRPr="001F0ECB" w:rsidRDefault="00360C4F" w:rsidP="00975B5E">
      <w:pPr>
        <w:pStyle w:val="BodyText"/>
        <w:spacing w:before="0"/>
        <w:ind w:left="0"/>
        <w:jc w:val="both"/>
        <w:rPr>
          <w:rFonts w:ascii="Times New Roman" w:hAnsi="Times New Roman"/>
          <w:noProof/>
        </w:rPr>
      </w:pPr>
    </w:p>
    <w:p w14:paraId="757D7145" w14:textId="41A35FA4" w:rsidR="002672AA" w:rsidRDefault="002672AA" w:rsidP="00975B5E">
      <w:pPr>
        <w:pStyle w:val="BodyText"/>
        <w:spacing w:before="0"/>
        <w:ind w:left="0"/>
        <w:jc w:val="both"/>
        <w:rPr>
          <w:rFonts w:ascii="Times New Roman" w:hAnsi="Times New Roman"/>
          <w:noProof/>
        </w:rPr>
      </w:pPr>
      <w:r>
        <w:rPr>
          <w:rFonts w:ascii="Times New Roman" w:hAnsi="Times New Roman"/>
        </w:rPr>
        <w:t>Produktu nodokļus aprēķina faktiskajās cenās, iepriekšējā gada cenās un ķēdētajās cenās (</w:t>
      </w:r>
      <w:r w:rsidR="00A11033">
        <w:rPr>
          <w:rFonts w:ascii="Times New Roman" w:hAnsi="Times New Roman"/>
        </w:rPr>
        <w:t>atsauces</w:t>
      </w:r>
      <w:r>
        <w:rPr>
          <w:rFonts w:ascii="Times New Roman" w:hAnsi="Times New Roman"/>
        </w:rPr>
        <w:t xml:space="preserve"> gads ir 2015. gads). Produktu nodokļus iepriekšējā gada cenās aprēķina, izmantojot nodokļu likmju un patēriņa cenu indeksa izmaiņas.</w:t>
      </w:r>
    </w:p>
    <w:p w14:paraId="686F54AE" w14:textId="77777777" w:rsidR="00360C4F" w:rsidRPr="001F0ECB" w:rsidRDefault="00360C4F" w:rsidP="00975B5E">
      <w:pPr>
        <w:pStyle w:val="BodyText"/>
        <w:spacing w:before="0"/>
        <w:ind w:left="0"/>
        <w:jc w:val="both"/>
        <w:rPr>
          <w:rFonts w:ascii="Times New Roman" w:hAnsi="Times New Roman"/>
          <w:noProof/>
        </w:rPr>
      </w:pPr>
    </w:p>
    <w:p w14:paraId="121097B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Nodokļus faktiskajās cenās pārveido iepriekšējā gada vidējās cenās un likmēs. Produktu nodokļus vidējās cenās un likmēs aprēķina, nodokļu summu faktiskajās cenās dalot ar attiecīgo nodokļu likmes indeksu – likme pārskata ceturksnī/iepriekšējā gada vidējā likme.</w:t>
      </w:r>
    </w:p>
    <w:p w14:paraId="21990EAA" w14:textId="77777777" w:rsidR="00360C4F" w:rsidRPr="001F0ECB" w:rsidRDefault="00360C4F" w:rsidP="00975B5E">
      <w:pPr>
        <w:pStyle w:val="BodyText"/>
        <w:spacing w:before="0"/>
        <w:ind w:left="0"/>
        <w:jc w:val="both"/>
        <w:rPr>
          <w:rFonts w:ascii="Times New Roman" w:hAnsi="Times New Roman"/>
          <w:noProof/>
        </w:rPr>
      </w:pPr>
    </w:p>
    <w:p w14:paraId="07D458AB"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Produktu nodokļu likmes un to izmaiņas šobrīd reglamentē Latvijas Republikas normatīvie akti:</w:t>
      </w:r>
    </w:p>
    <w:p w14:paraId="785A417A" w14:textId="77777777" w:rsidR="00360C4F" w:rsidRPr="001F0ECB" w:rsidRDefault="00360C4F" w:rsidP="00975B5E">
      <w:pPr>
        <w:pStyle w:val="BodyText"/>
        <w:spacing w:before="0"/>
        <w:ind w:left="0"/>
        <w:jc w:val="both"/>
        <w:rPr>
          <w:rFonts w:ascii="Times New Roman" w:hAnsi="Times New Roman"/>
          <w:noProof/>
        </w:rPr>
      </w:pPr>
    </w:p>
    <w:p w14:paraId="398EEFB7"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likums “Par akcīzes nodokli”;</w:t>
      </w:r>
    </w:p>
    <w:p w14:paraId="3B8F05D7"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Pievienotās vērtības nodokļa likums;</w:t>
      </w:r>
    </w:p>
    <w:p w14:paraId="78DFD215"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likums “Par izložu un azartspēļu nodevu un nodokli”;</w:t>
      </w:r>
    </w:p>
    <w:p w14:paraId="3D8B6CAF"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Elektroenerģijas nodokļa likums;</w:t>
      </w:r>
    </w:p>
    <w:p w14:paraId="28D5558F" w14:textId="77777777" w:rsidR="002672AA" w:rsidRPr="001F0ECB" w:rsidRDefault="002672AA" w:rsidP="00360C4F">
      <w:pPr>
        <w:pStyle w:val="BodyText"/>
        <w:numPr>
          <w:ilvl w:val="1"/>
          <w:numId w:val="16"/>
        </w:numPr>
        <w:spacing w:before="0"/>
        <w:ind w:left="709" w:hanging="425"/>
        <w:jc w:val="both"/>
        <w:rPr>
          <w:rFonts w:ascii="Times New Roman" w:hAnsi="Times New Roman"/>
          <w:noProof/>
        </w:rPr>
      </w:pPr>
      <w:r>
        <w:rPr>
          <w:rFonts w:ascii="Times New Roman" w:hAnsi="Times New Roman"/>
        </w:rPr>
        <w:t>Elektroenerģijas tirgus likums.</w:t>
      </w:r>
    </w:p>
    <w:p w14:paraId="1B401C94" w14:textId="77777777" w:rsidR="00975B5E" w:rsidRDefault="00975B5E" w:rsidP="00975B5E">
      <w:pPr>
        <w:jc w:val="both"/>
        <w:rPr>
          <w:rFonts w:ascii="Times New Roman" w:hAnsi="Times New Roman"/>
          <w:noProof/>
          <w:sz w:val="24"/>
        </w:rPr>
      </w:pPr>
    </w:p>
    <w:p w14:paraId="05951423" w14:textId="77777777" w:rsidR="00360C4F" w:rsidRPr="001F0ECB" w:rsidRDefault="00360C4F" w:rsidP="00975B5E">
      <w:pPr>
        <w:jc w:val="both"/>
        <w:rPr>
          <w:rFonts w:ascii="Times New Roman" w:hAnsi="Times New Roman"/>
          <w:noProof/>
          <w:sz w:val="24"/>
        </w:rPr>
      </w:pPr>
    </w:p>
    <w:p w14:paraId="4332494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Produktu subsīdijas</w:t>
      </w:r>
    </w:p>
    <w:p w14:paraId="7B32C67E" w14:textId="77777777" w:rsidR="00360C4F" w:rsidRDefault="00360C4F" w:rsidP="00975B5E">
      <w:pPr>
        <w:pStyle w:val="BodyText"/>
        <w:spacing w:before="0"/>
        <w:ind w:left="0"/>
        <w:jc w:val="both"/>
        <w:rPr>
          <w:rFonts w:ascii="Times New Roman" w:hAnsi="Times New Roman"/>
          <w:noProof/>
        </w:rPr>
      </w:pPr>
    </w:p>
    <w:p w14:paraId="65F5C07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Datus par produktu subsīdijām (D.31) sniedz Agroresursu un ekonomikas institūts (apsekojumu kopums, lai nodrošinātu lauksaimniecības kontu kopsavilkumu). Šī iestāde ir atbildīga par Lauksaimniecības ekonomisko kontu apkopošanu un lauksaimniecības nozares modelēšanu. Apsekojumu kopums, lai nodrošinātu lauksaimniecības kontu kopsavilkumu, ietver informāciju par lauksaimniecisko darbību Latvijā. Šis avots ietver mēneša, ceturkšņa un gada lauksaimniecības kontu kopsavilkumu. Avotu apraksts ir sniegts 9. nodaļā.</w:t>
      </w:r>
    </w:p>
    <w:p w14:paraId="1FE57644" w14:textId="77777777" w:rsidR="00360C4F" w:rsidRPr="001F0ECB" w:rsidRDefault="00360C4F" w:rsidP="00975B5E">
      <w:pPr>
        <w:pStyle w:val="BodyText"/>
        <w:spacing w:before="0"/>
        <w:ind w:left="0"/>
        <w:jc w:val="both"/>
        <w:rPr>
          <w:rFonts w:ascii="Times New Roman" w:hAnsi="Times New Roman"/>
          <w:noProof/>
        </w:rPr>
      </w:pPr>
    </w:p>
    <w:p w14:paraId="40F6CAC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Produktu neto nodokļi ir produktu nodokļi, no kuriem atņemtas produktu subsīdijas.</w:t>
      </w:r>
    </w:p>
    <w:p w14:paraId="56CEC182" w14:textId="77777777" w:rsidR="00360C4F" w:rsidRDefault="00360C4F" w:rsidP="00975B5E">
      <w:pPr>
        <w:pStyle w:val="BodyText"/>
        <w:spacing w:before="0"/>
        <w:ind w:left="0"/>
        <w:jc w:val="both"/>
        <w:rPr>
          <w:rFonts w:ascii="Times New Roman" w:hAnsi="Times New Roman"/>
          <w:noProof/>
        </w:rPr>
      </w:pPr>
    </w:p>
    <w:p w14:paraId="54E28A6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produktu subsīdijām (D.31) iepriekšējā gada cenās sniedz Latvijas Agroresursu un ekonomikas institūts.</w:t>
      </w:r>
    </w:p>
    <w:p w14:paraId="11E4FDD2" w14:textId="77777777" w:rsidR="002672AA" w:rsidRPr="001F0ECB" w:rsidRDefault="002672AA" w:rsidP="00975B5E">
      <w:pPr>
        <w:jc w:val="both"/>
        <w:rPr>
          <w:rFonts w:ascii="Times New Roman" w:eastAsia="Calibri" w:hAnsi="Times New Roman" w:cs="Calibri"/>
          <w:noProof/>
          <w:sz w:val="24"/>
          <w:szCs w:val="24"/>
        </w:rPr>
      </w:pPr>
    </w:p>
    <w:p w14:paraId="18EA17B1" w14:textId="77777777" w:rsidR="002672AA" w:rsidRPr="001F0ECB" w:rsidRDefault="002672AA" w:rsidP="00975B5E">
      <w:pPr>
        <w:jc w:val="both"/>
        <w:rPr>
          <w:rFonts w:ascii="Times New Roman" w:eastAsia="Calibri" w:hAnsi="Times New Roman" w:cs="Calibri"/>
          <w:noProof/>
          <w:sz w:val="24"/>
          <w:szCs w:val="23"/>
        </w:rPr>
      </w:pPr>
    </w:p>
    <w:p w14:paraId="679B8FD4" w14:textId="77777777" w:rsidR="002672AA" w:rsidRPr="00226479" w:rsidRDefault="00360C4F" w:rsidP="00360C4F">
      <w:pPr>
        <w:pStyle w:val="Heading1"/>
        <w:tabs>
          <w:tab w:val="left" w:pos="821"/>
        </w:tabs>
        <w:spacing w:before="0"/>
        <w:ind w:left="0" w:firstLine="0"/>
        <w:jc w:val="both"/>
        <w:rPr>
          <w:rFonts w:ascii="Times New Roman" w:hAnsi="Times New Roman"/>
          <w:noProof/>
          <w:sz w:val="28"/>
          <w:szCs w:val="40"/>
        </w:rPr>
      </w:pPr>
      <w:bookmarkStart w:id="68" w:name="_Toc73461256"/>
      <w:r w:rsidRPr="00226479">
        <w:rPr>
          <w:rFonts w:ascii="Times New Roman" w:hAnsi="Times New Roman"/>
          <w:sz w:val="28"/>
          <w:szCs w:val="40"/>
        </w:rPr>
        <w:t>5. IKP komponentes – izdevumu pieeja</w:t>
      </w:r>
      <w:bookmarkStart w:id="69" w:name="_bookmark34"/>
      <w:bookmarkEnd w:id="68"/>
      <w:bookmarkEnd w:id="69"/>
    </w:p>
    <w:p w14:paraId="55E9B080" w14:textId="77777777" w:rsidR="00360C4F" w:rsidRDefault="00360C4F" w:rsidP="00975B5E">
      <w:pPr>
        <w:pStyle w:val="BodyText"/>
        <w:spacing w:before="0"/>
        <w:ind w:left="0"/>
        <w:jc w:val="both"/>
        <w:rPr>
          <w:rFonts w:ascii="Times New Roman" w:hAnsi="Times New Roman"/>
          <w:noProof/>
        </w:rPr>
      </w:pPr>
    </w:p>
    <w:p w14:paraId="0124FB5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izdevumu pieeja atspoguļo preču un pakalpojumu galaizlietojumu, t. i., izlietojumu, kas nav ražošanas izmaksas.</w:t>
      </w:r>
    </w:p>
    <w:p w14:paraId="02CAEE1C" w14:textId="77777777" w:rsidR="00360C4F" w:rsidRDefault="00360C4F" w:rsidP="00975B5E">
      <w:pPr>
        <w:pStyle w:val="BodyText"/>
        <w:spacing w:before="0"/>
        <w:ind w:left="0"/>
        <w:jc w:val="both"/>
        <w:rPr>
          <w:rFonts w:ascii="Times New Roman" w:hAnsi="Times New Roman"/>
          <w:noProof/>
        </w:rPr>
      </w:pPr>
    </w:p>
    <w:p w14:paraId="3E1D4FD0" w14:textId="77777777" w:rsidR="002672AA" w:rsidRDefault="002672AA" w:rsidP="00226479">
      <w:pPr>
        <w:pStyle w:val="BodyText"/>
        <w:keepNext/>
        <w:spacing w:before="0"/>
        <w:ind w:left="0"/>
        <w:jc w:val="both"/>
        <w:rPr>
          <w:rFonts w:ascii="Times New Roman" w:hAnsi="Times New Roman"/>
          <w:noProof/>
        </w:rPr>
      </w:pPr>
      <w:r>
        <w:rPr>
          <w:rFonts w:ascii="Times New Roman" w:hAnsi="Times New Roman"/>
        </w:rPr>
        <w:t>To veido:</w:t>
      </w:r>
    </w:p>
    <w:p w14:paraId="058BA0EA" w14:textId="77777777" w:rsidR="00685D3E" w:rsidRPr="001F0ECB" w:rsidRDefault="00685D3E" w:rsidP="00226479">
      <w:pPr>
        <w:pStyle w:val="BodyText"/>
        <w:keepNext/>
        <w:spacing w:before="0"/>
        <w:ind w:left="0"/>
        <w:jc w:val="both"/>
        <w:rPr>
          <w:rFonts w:ascii="Times New Roman" w:hAnsi="Times New Roman"/>
          <w:noProof/>
        </w:rPr>
      </w:pPr>
    </w:p>
    <w:p w14:paraId="58A8DAAB" w14:textId="77777777" w:rsidR="002672AA" w:rsidRPr="001F0ECB"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mājsaimniecību galapatēriņš (P.3 S.14);</w:t>
      </w:r>
    </w:p>
    <w:p w14:paraId="60D9ABA9" w14:textId="77777777" w:rsidR="002672AA" w:rsidRPr="001F0ECB"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valdības galapatēriņa izdevumi (P.3 S.13);</w:t>
      </w:r>
    </w:p>
    <w:p w14:paraId="199B4E8F" w14:textId="77777777" w:rsidR="002672AA" w:rsidRPr="001F0ECB"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mājsaimniecības apkalpojošo bezpeļņas iestāžu (MABO) galapatēriņa izdevumi (P.3 S.15);</w:t>
      </w:r>
    </w:p>
    <w:p w14:paraId="76218775" w14:textId="77777777" w:rsidR="002672AA"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bruto kapitāla veidošana (P.5);</w:t>
      </w:r>
    </w:p>
    <w:p w14:paraId="7F568697" w14:textId="77777777" w:rsidR="002D72C5" w:rsidRPr="001F0ECB" w:rsidRDefault="002D72C5" w:rsidP="002D72C5">
      <w:pPr>
        <w:pStyle w:val="BodyText"/>
        <w:spacing w:before="0"/>
        <w:ind w:left="709"/>
        <w:jc w:val="both"/>
        <w:rPr>
          <w:rFonts w:ascii="Times New Roman" w:hAnsi="Times New Roman"/>
          <w:noProof/>
        </w:rPr>
      </w:pPr>
    </w:p>
    <w:p w14:paraId="35764F0F" w14:textId="77777777" w:rsidR="002672AA" w:rsidRPr="001F0ECB"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lastRenderedPageBreak/>
        <w:t>bruto pamatkapitāla veidošana (BPKV) (P.51);</w:t>
      </w:r>
    </w:p>
    <w:p w14:paraId="16C3C433" w14:textId="77777777" w:rsidR="002672AA" w:rsidRPr="001F0ECB"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krājumu pārmaiņas (P.52);</w:t>
      </w:r>
    </w:p>
    <w:p w14:paraId="6F4A9285" w14:textId="77777777" w:rsidR="002672AA"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vērtslietu iegādes mīnus realizācija (P.53);</w:t>
      </w:r>
    </w:p>
    <w:p w14:paraId="1AE3E8C9" w14:textId="77777777" w:rsidR="002D72C5" w:rsidRPr="001F0ECB" w:rsidRDefault="002D72C5" w:rsidP="002D72C5">
      <w:pPr>
        <w:pStyle w:val="BodyText"/>
        <w:tabs>
          <w:tab w:val="left" w:pos="1541"/>
        </w:tabs>
        <w:spacing w:before="0"/>
        <w:ind w:left="709"/>
        <w:jc w:val="both"/>
        <w:rPr>
          <w:rFonts w:ascii="Times New Roman" w:hAnsi="Times New Roman"/>
          <w:noProof/>
        </w:rPr>
      </w:pPr>
    </w:p>
    <w:p w14:paraId="34663339" w14:textId="77777777" w:rsidR="002672AA"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Preču un pakalpojumu eksports (P.6);</w:t>
      </w:r>
    </w:p>
    <w:p w14:paraId="4FC7E121" w14:textId="77777777" w:rsidR="002D72C5" w:rsidRPr="001F0ECB" w:rsidRDefault="002D72C5" w:rsidP="002D72C5">
      <w:pPr>
        <w:pStyle w:val="BodyText"/>
        <w:spacing w:before="0"/>
        <w:ind w:left="709"/>
        <w:jc w:val="both"/>
        <w:rPr>
          <w:rFonts w:ascii="Times New Roman" w:hAnsi="Times New Roman"/>
          <w:noProof/>
        </w:rPr>
      </w:pPr>
    </w:p>
    <w:p w14:paraId="42149D82" w14:textId="77777777" w:rsidR="002672AA" w:rsidRPr="001F0ECB"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Preču eksports (P.61);</w:t>
      </w:r>
    </w:p>
    <w:p w14:paraId="2BEB5AFF" w14:textId="77777777" w:rsidR="002672AA"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Pakalpojumu eksports (P.62);</w:t>
      </w:r>
    </w:p>
    <w:p w14:paraId="7F0EA925" w14:textId="77777777" w:rsidR="002D72C5" w:rsidRPr="001F0ECB" w:rsidRDefault="002D72C5" w:rsidP="002D72C5">
      <w:pPr>
        <w:pStyle w:val="BodyText"/>
        <w:tabs>
          <w:tab w:val="left" w:pos="1541"/>
        </w:tabs>
        <w:spacing w:before="0"/>
        <w:ind w:left="709"/>
        <w:jc w:val="both"/>
        <w:rPr>
          <w:rFonts w:ascii="Times New Roman" w:hAnsi="Times New Roman"/>
          <w:noProof/>
        </w:rPr>
      </w:pPr>
    </w:p>
    <w:p w14:paraId="707BFFB4" w14:textId="77777777" w:rsidR="002672AA"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Preču un pakalpojumu imports (P.7);</w:t>
      </w:r>
    </w:p>
    <w:p w14:paraId="600D819E" w14:textId="77777777" w:rsidR="002D72C5" w:rsidRPr="001F0ECB" w:rsidRDefault="002D72C5" w:rsidP="002D72C5">
      <w:pPr>
        <w:pStyle w:val="BodyText"/>
        <w:spacing w:before="0"/>
        <w:ind w:left="709"/>
        <w:jc w:val="both"/>
        <w:rPr>
          <w:rFonts w:ascii="Times New Roman" w:hAnsi="Times New Roman"/>
          <w:noProof/>
        </w:rPr>
      </w:pPr>
    </w:p>
    <w:p w14:paraId="01327387" w14:textId="77777777" w:rsidR="002672AA" w:rsidRPr="001F0ECB"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Preču imports (P.71);</w:t>
      </w:r>
    </w:p>
    <w:p w14:paraId="0786AF74" w14:textId="77777777" w:rsidR="002672AA" w:rsidRPr="001F0ECB" w:rsidRDefault="002672AA" w:rsidP="002D72C5">
      <w:pPr>
        <w:pStyle w:val="BodyText"/>
        <w:numPr>
          <w:ilvl w:val="2"/>
          <w:numId w:val="16"/>
        </w:numPr>
        <w:tabs>
          <w:tab w:val="left" w:pos="1541"/>
        </w:tabs>
        <w:spacing w:before="0"/>
        <w:ind w:left="1134" w:hanging="425"/>
        <w:jc w:val="both"/>
        <w:rPr>
          <w:rFonts w:ascii="Times New Roman" w:hAnsi="Times New Roman"/>
          <w:noProof/>
        </w:rPr>
      </w:pPr>
      <w:r>
        <w:rPr>
          <w:rFonts w:ascii="Times New Roman" w:hAnsi="Times New Roman"/>
        </w:rPr>
        <w:t>Pakalpojumu imports (P.72).</w:t>
      </w:r>
    </w:p>
    <w:p w14:paraId="5505AB77" w14:textId="77777777" w:rsidR="002D72C5" w:rsidRDefault="002D72C5" w:rsidP="00975B5E">
      <w:pPr>
        <w:pStyle w:val="BodyText"/>
        <w:spacing w:before="0"/>
        <w:ind w:left="0"/>
        <w:jc w:val="both"/>
        <w:rPr>
          <w:rFonts w:ascii="Times New Roman" w:hAnsi="Times New Roman"/>
          <w:noProof/>
        </w:rPr>
      </w:pPr>
    </w:p>
    <w:p w14:paraId="558FCDA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izdevumu pieeju IKP aprēķina, pamatojoties uz šādu formulu:</w:t>
      </w:r>
    </w:p>
    <w:p w14:paraId="08D18AE3" w14:textId="77777777" w:rsidR="002D72C5" w:rsidRDefault="002D72C5" w:rsidP="00975B5E">
      <w:pPr>
        <w:jc w:val="both"/>
        <w:rPr>
          <w:rFonts w:ascii="Times New Roman" w:eastAsia="Cambria Math" w:hAnsi="Times New Roman" w:cs="Times New Roman"/>
          <w:noProof/>
          <w:sz w:val="24"/>
        </w:rPr>
      </w:pPr>
    </w:p>
    <w:p w14:paraId="69C9ECAC" w14:textId="77777777" w:rsidR="002D72C5" w:rsidRPr="002D72C5" w:rsidRDefault="002D72C5" w:rsidP="002D72C5">
      <w:pPr>
        <w:jc w:val="center"/>
        <w:rPr>
          <w:rFonts w:ascii="Times New Roman" w:eastAsia="Cambria Math" w:hAnsi="Times New Roman" w:cs="Times New Roman"/>
          <w:b/>
          <w:bCs/>
          <w:noProof/>
          <w:sz w:val="24"/>
        </w:rPr>
      </w:pPr>
      <w:r>
        <w:rPr>
          <w:rFonts w:ascii="Times New Roman" w:hAnsi="Times New Roman"/>
          <w:b/>
          <w:i/>
          <w:sz w:val="24"/>
        </w:rPr>
        <w:t>IKP</w:t>
      </w:r>
      <w:r>
        <w:rPr>
          <w:rFonts w:ascii="Times New Roman" w:hAnsi="Times New Roman"/>
          <w:b/>
          <w:i/>
          <w:sz w:val="24"/>
          <w:vertAlign w:val="subscript"/>
        </w:rPr>
        <w:t>izl</w:t>
      </w:r>
      <w:r>
        <w:rPr>
          <w:rFonts w:ascii="Times New Roman" w:hAnsi="Times New Roman"/>
          <w:b/>
          <w:sz w:val="24"/>
          <w:vertAlign w:val="subscript"/>
        </w:rPr>
        <w:t xml:space="preserve"> </w:t>
      </w:r>
      <w:r>
        <w:rPr>
          <w:rFonts w:ascii="Times New Roman" w:hAnsi="Times New Roman"/>
          <w:b/>
          <w:sz w:val="24"/>
        </w:rPr>
        <w:t xml:space="preserve">= </w:t>
      </w:r>
      <w:r>
        <w:rPr>
          <w:rFonts w:ascii="Times New Roman" w:hAnsi="Times New Roman"/>
          <w:b/>
          <w:i/>
          <w:sz w:val="24"/>
        </w:rPr>
        <w:t>P</w:t>
      </w:r>
      <w:r>
        <w:rPr>
          <w:rFonts w:ascii="Times New Roman" w:hAnsi="Times New Roman"/>
          <w:b/>
          <w:sz w:val="24"/>
        </w:rPr>
        <w:t>.3(</w:t>
      </w:r>
      <w:r>
        <w:rPr>
          <w:rFonts w:ascii="Times New Roman" w:hAnsi="Times New Roman"/>
          <w:b/>
          <w:i/>
          <w:sz w:val="24"/>
        </w:rPr>
        <w:t>S</w:t>
      </w:r>
      <w:r>
        <w:rPr>
          <w:rFonts w:ascii="Times New Roman" w:hAnsi="Times New Roman"/>
          <w:b/>
          <w:sz w:val="24"/>
        </w:rPr>
        <w:t xml:space="preserve">.14) + </w:t>
      </w:r>
      <w:r>
        <w:rPr>
          <w:rFonts w:ascii="Times New Roman" w:hAnsi="Times New Roman"/>
          <w:b/>
          <w:i/>
          <w:sz w:val="24"/>
        </w:rPr>
        <w:t>P</w:t>
      </w:r>
      <w:r>
        <w:rPr>
          <w:rFonts w:ascii="Times New Roman" w:hAnsi="Times New Roman"/>
          <w:b/>
          <w:sz w:val="24"/>
        </w:rPr>
        <w:t>.3(</w:t>
      </w:r>
      <w:r>
        <w:rPr>
          <w:rFonts w:ascii="Times New Roman" w:hAnsi="Times New Roman"/>
          <w:b/>
          <w:i/>
          <w:sz w:val="24"/>
        </w:rPr>
        <w:t>S</w:t>
      </w:r>
      <w:r>
        <w:rPr>
          <w:rFonts w:ascii="Times New Roman" w:hAnsi="Times New Roman"/>
          <w:b/>
          <w:sz w:val="24"/>
        </w:rPr>
        <w:t xml:space="preserve">.15) + </w:t>
      </w:r>
      <w:r>
        <w:rPr>
          <w:rFonts w:ascii="Times New Roman" w:hAnsi="Times New Roman"/>
          <w:b/>
          <w:i/>
          <w:sz w:val="24"/>
        </w:rPr>
        <w:t>P</w:t>
      </w:r>
      <w:r>
        <w:rPr>
          <w:rFonts w:ascii="Times New Roman" w:hAnsi="Times New Roman"/>
          <w:b/>
          <w:sz w:val="24"/>
        </w:rPr>
        <w:t>.3(</w:t>
      </w:r>
      <w:r>
        <w:rPr>
          <w:rFonts w:ascii="Times New Roman" w:hAnsi="Times New Roman"/>
          <w:b/>
          <w:i/>
          <w:sz w:val="24"/>
        </w:rPr>
        <w:t>S</w:t>
      </w:r>
      <w:r>
        <w:rPr>
          <w:rFonts w:ascii="Times New Roman" w:hAnsi="Times New Roman"/>
          <w:b/>
          <w:sz w:val="24"/>
        </w:rPr>
        <w:t xml:space="preserve">.13) + </w:t>
      </w:r>
      <w:r>
        <w:rPr>
          <w:rFonts w:ascii="Times New Roman" w:hAnsi="Times New Roman"/>
          <w:b/>
          <w:i/>
          <w:sz w:val="24"/>
        </w:rPr>
        <w:t>P</w:t>
      </w:r>
      <w:r>
        <w:rPr>
          <w:rFonts w:ascii="Times New Roman" w:hAnsi="Times New Roman"/>
          <w:b/>
          <w:sz w:val="24"/>
        </w:rPr>
        <w:t xml:space="preserve">.51 + </w:t>
      </w:r>
      <w:r>
        <w:rPr>
          <w:rFonts w:ascii="Times New Roman" w:hAnsi="Times New Roman"/>
          <w:b/>
          <w:i/>
          <w:sz w:val="24"/>
        </w:rPr>
        <w:t>P</w:t>
      </w:r>
      <w:r>
        <w:rPr>
          <w:rFonts w:ascii="Times New Roman" w:hAnsi="Times New Roman"/>
          <w:b/>
          <w:sz w:val="24"/>
        </w:rPr>
        <w:t xml:space="preserve">.52 + </w:t>
      </w:r>
      <w:r>
        <w:rPr>
          <w:rFonts w:ascii="Times New Roman" w:hAnsi="Times New Roman"/>
          <w:b/>
          <w:i/>
          <w:sz w:val="24"/>
        </w:rPr>
        <w:t>P</w:t>
      </w:r>
      <w:r>
        <w:rPr>
          <w:rFonts w:ascii="Times New Roman" w:hAnsi="Times New Roman"/>
          <w:b/>
          <w:sz w:val="24"/>
        </w:rPr>
        <w:t xml:space="preserve">.53 + </w:t>
      </w:r>
      <w:r>
        <w:rPr>
          <w:rFonts w:ascii="Times New Roman" w:hAnsi="Times New Roman"/>
          <w:b/>
          <w:i/>
          <w:sz w:val="24"/>
        </w:rPr>
        <w:t>P.</w:t>
      </w:r>
      <w:r>
        <w:rPr>
          <w:rFonts w:ascii="Times New Roman" w:hAnsi="Times New Roman"/>
          <w:b/>
          <w:sz w:val="24"/>
        </w:rPr>
        <w:t xml:space="preserve">6 – </w:t>
      </w:r>
      <w:r>
        <w:rPr>
          <w:rFonts w:ascii="Times New Roman" w:hAnsi="Times New Roman"/>
          <w:b/>
          <w:i/>
          <w:sz w:val="24"/>
        </w:rPr>
        <w:t>P</w:t>
      </w:r>
      <w:r>
        <w:rPr>
          <w:rFonts w:ascii="Times New Roman" w:hAnsi="Times New Roman"/>
          <w:b/>
          <w:sz w:val="24"/>
        </w:rPr>
        <w:t>.7</w:t>
      </w:r>
    </w:p>
    <w:p w14:paraId="028963E5" w14:textId="77777777" w:rsidR="002D72C5" w:rsidRDefault="002D72C5" w:rsidP="00975B5E">
      <w:pPr>
        <w:jc w:val="both"/>
        <w:rPr>
          <w:rFonts w:ascii="Times New Roman" w:eastAsia="Cambria Math" w:hAnsi="Times New Roman" w:cs="Times New Roman"/>
          <w:noProof/>
          <w:sz w:val="24"/>
        </w:rPr>
      </w:pPr>
    </w:p>
    <w:p w14:paraId="6BCA00C3" w14:textId="77777777" w:rsidR="002D72C5" w:rsidRPr="002D72C5" w:rsidRDefault="002D72C5" w:rsidP="00975B5E">
      <w:pPr>
        <w:jc w:val="both"/>
        <w:rPr>
          <w:rFonts w:ascii="Times New Roman" w:eastAsia="Cambria Math" w:hAnsi="Times New Roman" w:cs="Times New Roman"/>
          <w:noProof/>
          <w:sz w:val="24"/>
        </w:rPr>
      </w:pPr>
    </w:p>
    <w:p w14:paraId="3F8C1800" w14:textId="77777777" w:rsidR="002672AA" w:rsidRPr="001F0ECB" w:rsidRDefault="002D72C5" w:rsidP="002D72C5">
      <w:pPr>
        <w:pStyle w:val="Heading2"/>
        <w:tabs>
          <w:tab w:val="left" w:pos="1181"/>
        </w:tabs>
        <w:ind w:left="0" w:firstLine="0"/>
        <w:jc w:val="both"/>
        <w:rPr>
          <w:rFonts w:ascii="Times New Roman" w:hAnsi="Times New Roman"/>
          <w:noProof/>
          <w:sz w:val="24"/>
        </w:rPr>
      </w:pPr>
      <w:bookmarkStart w:id="70" w:name="_Toc73461257"/>
      <w:r>
        <w:rPr>
          <w:rFonts w:ascii="Times New Roman" w:hAnsi="Times New Roman"/>
          <w:sz w:val="24"/>
        </w:rPr>
        <w:t>5.1. Mājsaimniecību galapatēriņa izdevumi</w:t>
      </w:r>
      <w:bookmarkStart w:id="71" w:name="_bookmark35"/>
      <w:bookmarkEnd w:id="70"/>
      <w:bookmarkEnd w:id="71"/>
    </w:p>
    <w:p w14:paraId="7C819CC6" w14:textId="77777777" w:rsidR="002D72C5" w:rsidRDefault="002D72C5" w:rsidP="00975B5E">
      <w:pPr>
        <w:pStyle w:val="BodyText"/>
        <w:spacing w:before="0"/>
        <w:ind w:left="0"/>
        <w:jc w:val="both"/>
        <w:rPr>
          <w:rFonts w:ascii="Times New Roman" w:hAnsi="Times New Roman"/>
          <w:noProof/>
        </w:rPr>
      </w:pPr>
    </w:p>
    <w:p w14:paraId="136863E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Mājsaimniecību galapatēriņa izdevumi tiek aprēķināti saskaņā ar EKS 2010 definīcijām un klasificēti atbilstoši </w:t>
      </w:r>
      <w:r>
        <w:rPr>
          <w:rFonts w:ascii="Times New Roman" w:hAnsi="Times New Roman"/>
          <w:i/>
        </w:rPr>
        <w:t>ECOICOP</w:t>
      </w:r>
      <w:r>
        <w:rPr>
          <w:rFonts w:ascii="Times New Roman" w:hAnsi="Times New Roman"/>
        </w:rPr>
        <w:t xml:space="preserve"> sistēmai. Attiecībā uz iekšzemes un nacionāliem jēdzieniem piemēro </w:t>
      </w:r>
      <w:r>
        <w:rPr>
          <w:rFonts w:ascii="Times New Roman" w:hAnsi="Times New Roman"/>
          <w:i/>
        </w:rPr>
        <w:t>ECOICOP</w:t>
      </w:r>
      <w:r>
        <w:rPr>
          <w:rFonts w:ascii="Times New Roman" w:hAnsi="Times New Roman"/>
        </w:rPr>
        <w:t xml:space="preserve"> klasifikāciju 12 galvenajās grupās divu zīmju līmenī vai sīkāku dalījumu atsevišķām preču grupām.</w:t>
      </w:r>
    </w:p>
    <w:p w14:paraId="26CD2DB9" w14:textId="77777777" w:rsidR="002D72C5" w:rsidRDefault="002D72C5" w:rsidP="00975B5E">
      <w:pPr>
        <w:pStyle w:val="BodyText"/>
        <w:spacing w:before="0"/>
        <w:ind w:left="0"/>
        <w:jc w:val="both"/>
        <w:rPr>
          <w:rFonts w:ascii="Times New Roman" w:hAnsi="Times New Roman"/>
          <w:noProof/>
        </w:rPr>
      </w:pPr>
    </w:p>
    <w:p w14:paraId="285FCA6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Mājsaimniecību galapatēriņa novērtējumu pamatā ir vairāki datu avoti. Galvenais avots ir apgrozījuma statistika. Ekstrapolācijas metodi izmanto, lai konkrētas nozares apgrozījuma pieauguma tempu pārnestu uz atbilstošajiem </w:t>
      </w:r>
      <w:r>
        <w:rPr>
          <w:rFonts w:ascii="Times New Roman" w:hAnsi="Times New Roman"/>
          <w:i/>
        </w:rPr>
        <w:t>ECOICOP</w:t>
      </w:r>
      <w:r>
        <w:rPr>
          <w:rFonts w:ascii="Times New Roman" w:hAnsi="Times New Roman"/>
        </w:rPr>
        <w:t xml:space="preserve"> posteņiem faktiskajās cenās.</w:t>
      </w:r>
    </w:p>
    <w:p w14:paraId="7DE4B418" w14:textId="77777777" w:rsidR="002D72C5" w:rsidRDefault="002D72C5" w:rsidP="00975B5E">
      <w:pPr>
        <w:pStyle w:val="BodyText"/>
        <w:spacing w:before="0"/>
        <w:ind w:left="0"/>
        <w:jc w:val="both"/>
        <w:rPr>
          <w:rFonts w:ascii="Times New Roman" w:hAnsi="Times New Roman"/>
          <w:noProof/>
        </w:rPr>
      </w:pPr>
    </w:p>
    <w:p w14:paraId="49DE056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Galaizdevumi par mājokli, ūdeni, elektroenerģiju, gāzi un citu kurināmo tiek aprēķināti trīs zīmju līmenī, jo tiek izmantoti dažādi datu avoti. Lai ekstrapolētu faktisko un nosacīto īres maksu par mājokli kā rādītāju, izmanto patēriņa cenu indeksu īrei. Būvniecības izlaidi attiecībā uz dzīvošanai paredzēto ēku un celtņu remontu izmanto, lai ekstrapolētu mājsaimniecības izdevumus par mājokļa apkopi un remontu. E un D nozaru ražošanas daļa pircēju cenās tiek iedalīta mājsaimniecību galīgajos izdevumos, izmantojot jaunāko PIT struktūru.</w:t>
      </w:r>
    </w:p>
    <w:p w14:paraId="65818CCA" w14:textId="77777777" w:rsidR="002D72C5" w:rsidRDefault="002D72C5" w:rsidP="00975B5E">
      <w:pPr>
        <w:pStyle w:val="BodyText"/>
        <w:spacing w:before="0"/>
        <w:ind w:left="0"/>
        <w:jc w:val="both"/>
        <w:rPr>
          <w:rFonts w:ascii="Times New Roman" w:hAnsi="Times New Roman"/>
          <w:noProof/>
        </w:rPr>
      </w:pPr>
    </w:p>
    <w:p w14:paraId="36031BD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Lai četru zīmju līmenī ekstrapolētu mājsaimniecību galapatēriņa izdevumus transportam, tiek izmantoti attiecīgi nozares apgrozījuma dati. Tas tiek darīts galvenokārt tāpēc, ka tā ir viena no galvenajām izdevumu grupām, kuru nevar ticami ekstrapolēt, izmantojot vienu rādītāju. Izmanto apgrozījuma datus par degvielas mazumtirdzniecību degvielas uzpildes stacijās, automobiļu apkopi un remontu, automobiļu pārdošanu un automobiļu detaļu un piederumu pārdošanu. Lai ekstrapolētu transportlīdzekļu iegādes datus, kā rādītāju izmanto datus par vieglajiem automobiļiem, kas reģistrēti pirmo reizi. Attiecībā uz </w:t>
      </w:r>
      <w:r>
        <w:rPr>
          <w:rFonts w:ascii="Times New Roman" w:hAnsi="Times New Roman"/>
          <w:i/>
        </w:rPr>
        <w:t>ECOICOP</w:t>
      </w:r>
      <w:r>
        <w:rPr>
          <w:rFonts w:ascii="Times New Roman" w:hAnsi="Times New Roman"/>
        </w:rPr>
        <w:t xml:space="preserve"> grupām, kurām nav pieejami ceturkšņa rādītāji, saglabā pēdējo gada datu līmeni (piemēram, velosipēdu iegādes izdevumiem).</w:t>
      </w:r>
    </w:p>
    <w:p w14:paraId="304EF320" w14:textId="77777777" w:rsidR="002D72C5" w:rsidRDefault="002D72C5" w:rsidP="00975B5E">
      <w:pPr>
        <w:pStyle w:val="BodyText"/>
        <w:spacing w:before="0"/>
        <w:ind w:left="0"/>
        <w:jc w:val="both"/>
        <w:rPr>
          <w:rFonts w:ascii="Times New Roman" w:hAnsi="Times New Roman"/>
          <w:noProof/>
        </w:rPr>
      </w:pPr>
    </w:p>
    <w:p w14:paraId="5FD1D01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Visas </w:t>
      </w:r>
      <w:r>
        <w:rPr>
          <w:rFonts w:ascii="Times New Roman" w:hAnsi="Times New Roman"/>
          <w:i/>
        </w:rPr>
        <w:t>ECOICOP</w:t>
      </w:r>
      <w:r>
        <w:rPr>
          <w:rFonts w:ascii="Times New Roman" w:hAnsi="Times New Roman"/>
        </w:rPr>
        <w:t xml:space="preserve"> grupu sīkākās nodaļas iegūst, pamatojoties uz pēdējā gada datu struktūru.</w:t>
      </w:r>
    </w:p>
    <w:p w14:paraId="0F27F3EC" w14:textId="77777777" w:rsidR="002D72C5" w:rsidRDefault="002D72C5" w:rsidP="00975B5E">
      <w:pPr>
        <w:pStyle w:val="BodyText"/>
        <w:spacing w:before="0"/>
        <w:ind w:left="0"/>
        <w:jc w:val="both"/>
        <w:rPr>
          <w:rFonts w:ascii="Times New Roman" w:hAnsi="Times New Roman"/>
          <w:noProof/>
        </w:rPr>
      </w:pPr>
    </w:p>
    <w:p w14:paraId="0AC54CC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Lai novērtētu MGI saskaņā ar nacionālo jēdzienu, pieskaita rezidentu pirkumus ārvalstīs un </w:t>
      </w:r>
      <w:r>
        <w:rPr>
          <w:rFonts w:ascii="Times New Roman" w:hAnsi="Times New Roman"/>
        </w:rPr>
        <w:lastRenderedPageBreak/>
        <w:t>atņem nerezidentu pirkumus Latvijā. Tiek izmantoti maksājumu bilancē ietvertie ceļojumu dati.</w:t>
      </w:r>
    </w:p>
    <w:p w14:paraId="4E1E1513" w14:textId="77777777" w:rsidR="002D72C5" w:rsidRDefault="002D72C5" w:rsidP="00975B5E">
      <w:pPr>
        <w:pStyle w:val="BodyText"/>
        <w:spacing w:before="0"/>
        <w:ind w:left="0"/>
        <w:jc w:val="both"/>
        <w:rPr>
          <w:rFonts w:ascii="Times New Roman" w:hAnsi="Times New Roman"/>
          <w:noProof/>
        </w:rPr>
      </w:pPr>
    </w:p>
    <w:p w14:paraId="731B63F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Mājsaimniecību galapatēriņa izdevumi salīdzināmās cenās tiek deflēti, izmantojot atbilstošu PCI </w:t>
      </w:r>
      <w:r>
        <w:rPr>
          <w:rFonts w:ascii="Times New Roman" w:hAnsi="Times New Roman"/>
          <w:i/>
        </w:rPr>
        <w:t>ECOICOP</w:t>
      </w:r>
      <w:r>
        <w:rPr>
          <w:rFonts w:ascii="Times New Roman" w:hAnsi="Times New Roman"/>
        </w:rPr>
        <w:t xml:space="preserve"> divu zīmju līmenī. Izņēmums ir 04. grupa, kurā izmanto PCI un īpašnieku apdzīvoto mājokļu cenu indeksu.</w:t>
      </w:r>
    </w:p>
    <w:p w14:paraId="7CD835A1" w14:textId="77777777" w:rsidR="002D72C5" w:rsidRDefault="002D72C5" w:rsidP="00975B5E">
      <w:pPr>
        <w:pStyle w:val="BodyText"/>
        <w:spacing w:before="0"/>
        <w:ind w:left="0"/>
        <w:jc w:val="both"/>
        <w:rPr>
          <w:rFonts w:ascii="Times New Roman" w:hAnsi="Times New Roman"/>
          <w:noProof/>
        </w:rPr>
      </w:pPr>
    </w:p>
    <w:p w14:paraId="0D8E556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Rezidentu izdevumus ārvalstīs salīdzināmās cenās iegūst, deflējot rezidentu izdevumus katrā valstī ar attiecīgās valsts vidējo PCI un ņemot vērā valūtas maiņas kursu Latvijā. Nerezidentu izdevumus Latvijā deflē ar PCI.</w:t>
      </w:r>
    </w:p>
    <w:p w14:paraId="286F2A42" w14:textId="77777777" w:rsidR="002D72C5" w:rsidRDefault="002D72C5" w:rsidP="00975B5E">
      <w:pPr>
        <w:pStyle w:val="BodyText"/>
        <w:spacing w:before="0"/>
        <w:ind w:left="0"/>
        <w:jc w:val="both"/>
        <w:rPr>
          <w:rFonts w:ascii="Times New Roman" w:hAnsi="Times New Roman"/>
          <w:noProof/>
        </w:rPr>
      </w:pPr>
    </w:p>
    <w:p w14:paraId="4BB4F7A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Ja iespējams, mājsaimniecību budžeta apsekojumu (MBA) izmanto kā papildu datu avotu. Pēdējie šajā apsekojumā aptvertie gadi bija 2016. un 2019. gads. Tika nolemts, ka aptauja tiks veikta reizi trīs gados.</w:t>
      </w:r>
    </w:p>
    <w:p w14:paraId="788D74B1" w14:textId="77777777" w:rsidR="002D72C5" w:rsidRDefault="002D72C5" w:rsidP="00975B5E">
      <w:pPr>
        <w:pStyle w:val="BodyText"/>
        <w:spacing w:before="0"/>
        <w:ind w:left="0"/>
        <w:jc w:val="both"/>
        <w:rPr>
          <w:rFonts w:ascii="Times New Roman" w:hAnsi="Times New Roman"/>
          <w:noProof/>
        </w:rPr>
      </w:pPr>
    </w:p>
    <w:p w14:paraId="65C29EE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Kad ir pieejami precīzāk novērtēti mājsaimniecību galapatēriņa izdevumu gada dati, tiek veikta ceturkšņu datu revīzija.</w:t>
      </w:r>
    </w:p>
    <w:p w14:paraId="76565C94" w14:textId="77777777" w:rsidR="00975B5E" w:rsidRPr="001F0ECB" w:rsidRDefault="00975B5E" w:rsidP="00975B5E">
      <w:pPr>
        <w:jc w:val="both"/>
        <w:rPr>
          <w:rFonts w:ascii="Times New Roman" w:hAnsi="Times New Roman"/>
          <w:noProof/>
          <w:sz w:val="24"/>
        </w:rPr>
      </w:pPr>
    </w:p>
    <w:p w14:paraId="6A2A8C1B" w14:textId="77777777" w:rsidR="002672AA" w:rsidRPr="001F0ECB" w:rsidRDefault="002672AA" w:rsidP="00975B5E">
      <w:pPr>
        <w:jc w:val="both"/>
        <w:rPr>
          <w:rFonts w:ascii="Times New Roman" w:eastAsia="Calibri" w:hAnsi="Times New Roman" w:cs="Calibri"/>
          <w:noProof/>
          <w:sz w:val="24"/>
          <w:szCs w:val="19"/>
        </w:rPr>
      </w:pPr>
    </w:p>
    <w:p w14:paraId="7D4DC8D6" w14:textId="77777777" w:rsidR="002672AA" w:rsidRPr="001F0ECB" w:rsidRDefault="002D72C5" w:rsidP="002D72C5">
      <w:pPr>
        <w:pStyle w:val="Heading2"/>
        <w:tabs>
          <w:tab w:val="left" w:pos="1181"/>
        </w:tabs>
        <w:ind w:left="0" w:firstLine="0"/>
        <w:jc w:val="both"/>
        <w:rPr>
          <w:rFonts w:ascii="Times New Roman" w:hAnsi="Times New Roman"/>
          <w:noProof/>
          <w:sz w:val="24"/>
        </w:rPr>
      </w:pPr>
      <w:bookmarkStart w:id="72" w:name="_Toc73461258"/>
      <w:r>
        <w:rPr>
          <w:rFonts w:ascii="Times New Roman" w:hAnsi="Times New Roman"/>
          <w:sz w:val="24"/>
        </w:rPr>
        <w:t>5.2. Valdības galapatēriņa izdevumi</w:t>
      </w:r>
      <w:bookmarkStart w:id="73" w:name="_bookmark36"/>
      <w:bookmarkEnd w:id="72"/>
      <w:bookmarkEnd w:id="73"/>
    </w:p>
    <w:p w14:paraId="2C1EC290" w14:textId="77777777" w:rsidR="002D72C5" w:rsidRDefault="002D72C5" w:rsidP="00975B5E">
      <w:pPr>
        <w:pStyle w:val="BodyText"/>
        <w:spacing w:before="0"/>
        <w:ind w:left="0"/>
        <w:jc w:val="both"/>
        <w:rPr>
          <w:rFonts w:ascii="Times New Roman" w:hAnsi="Times New Roman"/>
          <w:noProof/>
        </w:rPr>
      </w:pPr>
    </w:p>
    <w:p w14:paraId="331ADBDD"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Saskaņā ar EKS 2010 valdības galapatēriņa izdevumos ietilpst divas izdevumu kategorijas:</w:t>
      </w:r>
    </w:p>
    <w:p w14:paraId="2871870D" w14:textId="77777777" w:rsidR="002D72C5" w:rsidRPr="001F0ECB" w:rsidRDefault="002D72C5" w:rsidP="00975B5E">
      <w:pPr>
        <w:pStyle w:val="BodyText"/>
        <w:spacing w:before="0"/>
        <w:ind w:left="0"/>
        <w:jc w:val="both"/>
        <w:rPr>
          <w:rFonts w:ascii="Times New Roman" w:hAnsi="Times New Roman"/>
          <w:noProof/>
        </w:rPr>
      </w:pPr>
    </w:p>
    <w:p w14:paraId="2656C86E" w14:textId="77777777" w:rsidR="002672AA" w:rsidRPr="001F0ECB" w:rsidRDefault="002672AA" w:rsidP="002D72C5">
      <w:pPr>
        <w:pStyle w:val="BodyText"/>
        <w:numPr>
          <w:ilvl w:val="1"/>
          <w:numId w:val="16"/>
        </w:numPr>
        <w:spacing w:before="0"/>
        <w:ind w:left="709" w:hanging="425"/>
        <w:jc w:val="both"/>
        <w:rPr>
          <w:rFonts w:ascii="Times New Roman" w:hAnsi="Times New Roman"/>
          <w:noProof/>
        </w:rPr>
      </w:pPr>
      <w:r>
        <w:rPr>
          <w:rFonts w:ascii="Times New Roman" w:hAnsi="Times New Roman"/>
        </w:rPr>
        <w:t>pašas vispārējās valdības saražoto preču un pakalpojumu vērtība, izņemot kapitāla pašveidošanu, tirgus izlaidi un maksājumus par ārpustirgus izlaidi;</w:t>
      </w:r>
    </w:p>
    <w:p w14:paraId="6A53DB1B" w14:textId="77777777" w:rsidR="002672AA" w:rsidRPr="001F0ECB" w:rsidRDefault="002672AA" w:rsidP="002D72C5">
      <w:pPr>
        <w:pStyle w:val="BodyText"/>
        <w:numPr>
          <w:ilvl w:val="0"/>
          <w:numId w:val="8"/>
        </w:numPr>
        <w:spacing w:before="0"/>
        <w:ind w:left="709" w:hanging="425"/>
        <w:jc w:val="both"/>
        <w:rPr>
          <w:rFonts w:ascii="Times New Roman" w:hAnsi="Times New Roman"/>
          <w:noProof/>
        </w:rPr>
      </w:pPr>
      <w:r>
        <w:rPr>
          <w:rFonts w:ascii="Times New Roman" w:hAnsi="Times New Roman"/>
        </w:rPr>
        <w:t>vispārējās valdības nopirktās preces un pakalpojumi, ko ražo tirgus ražotāji un ko nepārveidotus piedāvā mājsaimniecībām kā sociālos pārvedumus natūrā. Vispārējā valdība maksā par šīm precēm un pakalpojumiem, ko pārdevēji sniedz mājsaimniecībām.</w:t>
      </w:r>
    </w:p>
    <w:p w14:paraId="2E098F06" w14:textId="77777777" w:rsidR="002D72C5" w:rsidRDefault="002D72C5" w:rsidP="00975B5E">
      <w:pPr>
        <w:pStyle w:val="BodyText"/>
        <w:spacing w:before="0"/>
        <w:ind w:left="0"/>
        <w:jc w:val="both"/>
        <w:rPr>
          <w:rFonts w:ascii="Times New Roman" w:hAnsi="Times New Roman"/>
          <w:noProof/>
        </w:rPr>
      </w:pPr>
    </w:p>
    <w:p w14:paraId="3FC0A87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Valdības galapatēriņa izdevumus aprēķina, izmantojot šādu formulu:</w:t>
      </w:r>
    </w:p>
    <w:p w14:paraId="5D0B4AB9" w14:textId="77777777" w:rsidR="002D72C5" w:rsidRDefault="002D72C5" w:rsidP="00975B5E">
      <w:pPr>
        <w:pStyle w:val="BodyText"/>
        <w:spacing w:before="0"/>
        <w:ind w:left="0"/>
        <w:jc w:val="both"/>
        <w:rPr>
          <w:rFonts w:ascii="Times New Roman" w:hAnsi="Times New Roman"/>
          <w:noProof/>
        </w:rPr>
      </w:pPr>
    </w:p>
    <w:p w14:paraId="153E7A38" w14:textId="77777777" w:rsidR="002D72C5" w:rsidRPr="002D72C5" w:rsidRDefault="002D72C5" w:rsidP="002D72C5">
      <w:pPr>
        <w:pStyle w:val="BodyText"/>
        <w:spacing w:before="0"/>
        <w:ind w:left="0"/>
        <w:jc w:val="center"/>
        <w:rPr>
          <w:rFonts w:ascii="Times New Roman" w:hAnsi="Times New Roman"/>
          <w:b/>
          <w:bCs/>
          <w:noProof/>
        </w:rPr>
      </w:pPr>
      <w:r>
        <w:rPr>
          <w:rFonts w:ascii="Times New Roman" w:hAnsi="Times New Roman"/>
          <w:b/>
          <w:i/>
        </w:rPr>
        <w:t>P</w:t>
      </w:r>
      <w:r>
        <w:rPr>
          <w:rFonts w:ascii="Times New Roman" w:hAnsi="Times New Roman"/>
          <w:b/>
        </w:rPr>
        <w:t>.3</w:t>
      </w:r>
      <w:r>
        <w:rPr>
          <w:rFonts w:ascii="Times New Roman" w:hAnsi="Times New Roman"/>
          <w:b/>
          <w:i/>
          <w:vertAlign w:val="subscript"/>
        </w:rPr>
        <w:t>S</w:t>
      </w:r>
      <w:r>
        <w:rPr>
          <w:rFonts w:ascii="Times New Roman" w:hAnsi="Times New Roman"/>
          <w:b/>
          <w:vertAlign w:val="subscript"/>
        </w:rPr>
        <w:t xml:space="preserve">.13 </w:t>
      </w:r>
      <w:r>
        <w:rPr>
          <w:rFonts w:ascii="Times New Roman" w:hAnsi="Times New Roman"/>
          <w:b/>
        </w:rPr>
        <w:t xml:space="preserve">= </w:t>
      </w:r>
      <w:r>
        <w:rPr>
          <w:rFonts w:ascii="Times New Roman" w:hAnsi="Times New Roman"/>
          <w:b/>
          <w:i/>
        </w:rPr>
        <w:t>P</w:t>
      </w:r>
      <w:r>
        <w:rPr>
          <w:rFonts w:ascii="Times New Roman" w:hAnsi="Times New Roman"/>
          <w:b/>
        </w:rPr>
        <w:t>.1 – (</w:t>
      </w:r>
      <w:r>
        <w:rPr>
          <w:rFonts w:ascii="Times New Roman" w:hAnsi="Times New Roman"/>
          <w:b/>
          <w:i/>
        </w:rPr>
        <w:t>P</w:t>
      </w:r>
      <w:r>
        <w:rPr>
          <w:rFonts w:ascii="Times New Roman" w:hAnsi="Times New Roman"/>
          <w:b/>
        </w:rPr>
        <w:t xml:space="preserve">.11 + </w:t>
      </w:r>
      <w:r>
        <w:rPr>
          <w:rFonts w:ascii="Times New Roman" w:hAnsi="Times New Roman"/>
          <w:b/>
          <w:i/>
        </w:rPr>
        <w:t>P.</w:t>
      </w:r>
      <w:r>
        <w:rPr>
          <w:rFonts w:ascii="Times New Roman" w:hAnsi="Times New Roman"/>
          <w:b/>
        </w:rPr>
        <w:t xml:space="preserve">12 + </w:t>
      </w:r>
      <w:r>
        <w:rPr>
          <w:rFonts w:ascii="Times New Roman" w:hAnsi="Times New Roman"/>
          <w:b/>
          <w:i/>
        </w:rPr>
        <w:t>P</w:t>
      </w:r>
      <w:r>
        <w:rPr>
          <w:rFonts w:ascii="Times New Roman" w:hAnsi="Times New Roman"/>
          <w:b/>
        </w:rPr>
        <w:t xml:space="preserve">.131) + </w:t>
      </w:r>
      <w:r>
        <w:rPr>
          <w:rFonts w:ascii="Times New Roman" w:hAnsi="Times New Roman"/>
          <w:b/>
          <w:i/>
        </w:rPr>
        <w:t>D</w:t>
      </w:r>
      <w:r>
        <w:rPr>
          <w:rFonts w:ascii="Times New Roman" w:hAnsi="Times New Roman"/>
          <w:b/>
        </w:rPr>
        <w:t>.632,</w:t>
      </w:r>
    </w:p>
    <w:p w14:paraId="18E3761C" w14:textId="77777777" w:rsidR="002D72C5" w:rsidRPr="001F0ECB" w:rsidRDefault="002D72C5" w:rsidP="00975B5E">
      <w:pPr>
        <w:pStyle w:val="BodyText"/>
        <w:spacing w:before="0"/>
        <w:ind w:left="0"/>
        <w:jc w:val="both"/>
        <w:rPr>
          <w:rFonts w:ascii="Times New Roman" w:hAnsi="Times New Roman"/>
          <w:noProof/>
        </w:rPr>
      </w:pPr>
    </w:p>
    <w:p w14:paraId="6936D9C0"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kur:</w:t>
      </w:r>
    </w:p>
    <w:p w14:paraId="784C82D3" w14:textId="77777777" w:rsidR="0073514F" w:rsidRPr="001F0ECB" w:rsidRDefault="0073514F" w:rsidP="00975B5E">
      <w:pPr>
        <w:pStyle w:val="BodyText"/>
        <w:spacing w:before="0"/>
        <w:ind w:left="0"/>
        <w:jc w:val="both"/>
        <w:rPr>
          <w:rFonts w:ascii="Times New Roman" w:hAnsi="Times New Roman"/>
          <w:noProof/>
        </w:rPr>
      </w:pPr>
    </w:p>
    <w:p w14:paraId="2A43BDF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P.1</w:t>
      </w:r>
      <w:r>
        <w:rPr>
          <w:rFonts w:ascii="Times New Roman" w:hAnsi="Times New Roman"/>
        </w:rPr>
        <w:t> – vispārējās valdības izlaide;</w:t>
      </w:r>
    </w:p>
    <w:p w14:paraId="03DB29A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P.11 + P.12 + P.131</w:t>
      </w:r>
      <w:r>
        <w:rPr>
          <w:rFonts w:ascii="Times New Roman" w:hAnsi="Times New Roman"/>
        </w:rPr>
        <w:t> – tirgus izlaide un maksājumi par ārpustirgus izlaidi un izlaidi pašu galapatēriņam;</w:t>
      </w:r>
    </w:p>
    <w:p w14:paraId="09DA011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i/>
        </w:rPr>
        <w:t>D.632</w:t>
      </w:r>
      <w:r>
        <w:rPr>
          <w:rFonts w:ascii="Times New Roman" w:hAnsi="Times New Roman"/>
        </w:rPr>
        <w:t> – sociālie pārvedumi natūrā, izmantojot tirgus ražotājus.</w:t>
      </w:r>
    </w:p>
    <w:p w14:paraId="0B681716" w14:textId="77777777" w:rsidR="0073514F" w:rsidRDefault="0073514F" w:rsidP="00975B5E">
      <w:pPr>
        <w:pStyle w:val="BodyText"/>
        <w:spacing w:before="0"/>
        <w:ind w:left="0"/>
        <w:jc w:val="both"/>
        <w:rPr>
          <w:rFonts w:ascii="Times New Roman" w:hAnsi="Times New Roman"/>
          <w:noProof/>
        </w:rPr>
      </w:pPr>
    </w:p>
    <w:p w14:paraId="334A710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Lai reizi ceturksnī novērtētu valdības galapatēriņa izdevumus, izmanto divus galvenos datu avotus –</w:t>
      </w:r>
    </w:p>
    <w:p w14:paraId="49DEB857" w14:textId="77777777" w:rsidR="0073514F" w:rsidRPr="001F0ECB" w:rsidRDefault="0073514F" w:rsidP="00975B5E">
      <w:pPr>
        <w:pStyle w:val="BodyText"/>
        <w:spacing w:before="0"/>
        <w:ind w:left="0"/>
        <w:jc w:val="both"/>
        <w:rPr>
          <w:rFonts w:ascii="Times New Roman" w:hAnsi="Times New Roman"/>
          <w:noProof/>
        </w:rPr>
      </w:pPr>
    </w:p>
    <w:p w14:paraId="0052AE30" w14:textId="77777777" w:rsidR="002672AA" w:rsidRPr="001F0ECB" w:rsidRDefault="002672AA" w:rsidP="0073514F">
      <w:pPr>
        <w:pStyle w:val="BodyText"/>
        <w:numPr>
          <w:ilvl w:val="0"/>
          <w:numId w:val="1"/>
        </w:numPr>
        <w:spacing w:before="0"/>
        <w:ind w:left="709" w:hanging="425"/>
        <w:jc w:val="both"/>
        <w:rPr>
          <w:rFonts w:ascii="Times New Roman" w:hAnsi="Times New Roman"/>
          <w:noProof/>
        </w:rPr>
      </w:pPr>
      <w:r>
        <w:rPr>
          <w:rFonts w:ascii="Times New Roman" w:hAnsi="Times New Roman"/>
        </w:rPr>
        <w:t>Valsts kases ikmēneša pārskatus par budžeta izpildi;</w:t>
      </w:r>
    </w:p>
    <w:p w14:paraId="7EF10CF9" w14:textId="77777777" w:rsidR="002672AA" w:rsidRPr="001F0ECB" w:rsidRDefault="002672AA" w:rsidP="0073514F">
      <w:pPr>
        <w:pStyle w:val="BodyText"/>
        <w:numPr>
          <w:ilvl w:val="0"/>
          <w:numId w:val="7"/>
        </w:numPr>
        <w:spacing w:before="0"/>
        <w:ind w:left="709" w:hanging="425"/>
        <w:jc w:val="both"/>
        <w:rPr>
          <w:rFonts w:ascii="Times New Roman" w:hAnsi="Times New Roman"/>
          <w:noProof/>
        </w:rPr>
      </w:pPr>
      <w:r>
        <w:rPr>
          <w:rFonts w:ascii="Times New Roman" w:hAnsi="Times New Roman"/>
        </w:rPr>
        <w:t>to vienību finanšu aktīvus un saistības, kas pārklasificētas S.13 sektorā (2-FAP).</w:t>
      </w:r>
    </w:p>
    <w:p w14:paraId="008BACBD" w14:textId="77777777" w:rsidR="0073514F" w:rsidRDefault="0073514F" w:rsidP="00975B5E">
      <w:pPr>
        <w:pStyle w:val="BodyText"/>
        <w:spacing w:before="0"/>
        <w:ind w:left="0"/>
        <w:jc w:val="both"/>
        <w:rPr>
          <w:rFonts w:ascii="Times New Roman" w:hAnsi="Times New Roman"/>
          <w:noProof/>
        </w:rPr>
      </w:pPr>
    </w:p>
    <w:p w14:paraId="096E8F5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Tā kā nav ceturkšņa datu avotu, kas dotu iespēju veikt dalījumu starp individuālo un kolektīvo patēriņu, tiek izmantota pēdējā gada datu struktūra.</w:t>
      </w:r>
    </w:p>
    <w:p w14:paraId="717D33A0" w14:textId="77777777" w:rsidR="0073514F" w:rsidRDefault="0073514F" w:rsidP="00975B5E">
      <w:pPr>
        <w:pStyle w:val="BodyText"/>
        <w:spacing w:before="0"/>
        <w:ind w:left="0"/>
        <w:jc w:val="both"/>
        <w:rPr>
          <w:rFonts w:ascii="Times New Roman" w:hAnsi="Times New Roman"/>
          <w:noProof/>
        </w:rPr>
      </w:pPr>
    </w:p>
    <w:p w14:paraId="6B32699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Valsts finanšu daļa veic visus vērtējumus par valdības galapatēriņa izdevumiem.</w:t>
      </w:r>
    </w:p>
    <w:p w14:paraId="080A7E3C" w14:textId="77777777" w:rsidR="0073514F" w:rsidRDefault="0073514F" w:rsidP="00975B5E">
      <w:pPr>
        <w:pStyle w:val="BodyText"/>
        <w:spacing w:before="0"/>
        <w:ind w:left="0"/>
        <w:jc w:val="both"/>
        <w:rPr>
          <w:rFonts w:ascii="Times New Roman" w:hAnsi="Times New Roman"/>
          <w:noProof/>
        </w:rPr>
      </w:pPr>
    </w:p>
    <w:p w14:paraId="1599815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Valdības galapatēriņa izdevumu aprēķināšanai apjoma izteiksmē izmanto ceturkšņa datus par nodarbināto skaitu un algām (datu avots ir CSP ceturkšņa pārskats 2-darbs “Pārskats par darbu”). Tos galvenokārt iegūst, izmantojot vispārējās valdības sektora nodarbināto skaita pieauguma tempu, kas reizināts ar pusi no darbinieku atalgojuma pieauguma tempu.</w:t>
      </w:r>
    </w:p>
    <w:p w14:paraId="3D02B8C6" w14:textId="77777777" w:rsidR="00975B5E" w:rsidRPr="001F0ECB" w:rsidRDefault="00975B5E" w:rsidP="00975B5E">
      <w:pPr>
        <w:jc w:val="both"/>
        <w:rPr>
          <w:rFonts w:ascii="Times New Roman" w:hAnsi="Times New Roman"/>
          <w:noProof/>
          <w:sz w:val="24"/>
        </w:rPr>
      </w:pPr>
    </w:p>
    <w:p w14:paraId="2C774E2F" w14:textId="77777777" w:rsidR="0073514F" w:rsidRDefault="0073514F" w:rsidP="0073514F">
      <w:pPr>
        <w:pStyle w:val="Heading2"/>
        <w:tabs>
          <w:tab w:val="left" w:pos="1181"/>
        </w:tabs>
        <w:ind w:left="0" w:firstLine="0"/>
        <w:jc w:val="both"/>
        <w:rPr>
          <w:rFonts w:ascii="Times New Roman" w:hAnsi="Times New Roman"/>
          <w:noProof/>
          <w:sz w:val="24"/>
        </w:rPr>
      </w:pPr>
    </w:p>
    <w:p w14:paraId="77FF3B23" w14:textId="77777777" w:rsidR="002672AA" w:rsidRPr="001F0ECB" w:rsidRDefault="0073514F" w:rsidP="0073514F">
      <w:pPr>
        <w:pStyle w:val="Heading2"/>
        <w:tabs>
          <w:tab w:val="left" w:pos="1181"/>
        </w:tabs>
        <w:ind w:left="0" w:firstLine="0"/>
        <w:jc w:val="both"/>
        <w:rPr>
          <w:rFonts w:ascii="Times New Roman" w:hAnsi="Times New Roman"/>
          <w:noProof/>
          <w:sz w:val="24"/>
        </w:rPr>
      </w:pPr>
      <w:bookmarkStart w:id="74" w:name="_Toc73461259"/>
      <w:r>
        <w:rPr>
          <w:rFonts w:ascii="Times New Roman" w:hAnsi="Times New Roman"/>
          <w:sz w:val="24"/>
        </w:rPr>
        <w:t>5.3. MABO galapatēriņa izdevumi</w:t>
      </w:r>
      <w:bookmarkStart w:id="75" w:name="_bookmark37"/>
      <w:bookmarkEnd w:id="74"/>
      <w:bookmarkEnd w:id="75"/>
    </w:p>
    <w:p w14:paraId="158C944B" w14:textId="77777777" w:rsidR="0073514F" w:rsidRDefault="0073514F" w:rsidP="00975B5E">
      <w:pPr>
        <w:pStyle w:val="BodyText"/>
        <w:spacing w:before="0"/>
        <w:ind w:left="0"/>
        <w:jc w:val="both"/>
        <w:rPr>
          <w:rFonts w:ascii="Times New Roman" w:hAnsi="Times New Roman"/>
          <w:noProof/>
        </w:rPr>
      </w:pPr>
    </w:p>
    <w:p w14:paraId="4D21CE5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Nav datu avotu, lai reizi ceturksnī varētu aprēķināt (MABO) galapatēriņa izdevumus. Tiek izmantota iepriekšējā gada informācija.</w:t>
      </w:r>
    </w:p>
    <w:p w14:paraId="24F602A7" w14:textId="77777777" w:rsidR="0073514F" w:rsidRDefault="0073514F" w:rsidP="00975B5E">
      <w:pPr>
        <w:pStyle w:val="BodyText"/>
        <w:spacing w:before="0"/>
        <w:ind w:left="0"/>
        <w:jc w:val="both"/>
        <w:rPr>
          <w:rFonts w:ascii="Times New Roman" w:hAnsi="Times New Roman"/>
          <w:noProof/>
        </w:rPr>
      </w:pPr>
    </w:p>
    <w:p w14:paraId="0CD07DB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Galvenie datu avoti gada rādītāju novērtējumiem ir Valsts ieņēmumu dienesta dati un modelēšanas rezultātā iegūtie novērtējumi.</w:t>
      </w:r>
    </w:p>
    <w:p w14:paraId="3574708F" w14:textId="77777777" w:rsidR="002672AA" w:rsidRPr="001F0ECB" w:rsidRDefault="002672AA" w:rsidP="00975B5E">
      <w:pPr>
        <w:jc w:val="both"/>
        <w:rPr>
          <w:rFonts w:ascii="Times New Roman" w:eastAsia="Calibri" w:hAnsi="Times New Roman" w:cs="Calibri"/>
          <w:noProof/>
          <w:sz w:val="24"/>
          <w:szCs w:val="24"/>
        </w:rPr>
      </w:pPr>
    </w:p>
    <w:p w14:paraId="4F0F00EE" w14:textId="77777777" w:rsidR="002672AA" w:rsidRPr="001F0ECB" w:rsidRDefault="002672AA" w:rsidP="00975B5E">
      <w:pPr>
        <w:jc w:val="both"/>
        <w:rPr>
          <w:rFonts w:ascii="Times New Roman" w:eastAsia="Calibri" w:hAnsi="Times New Roman" w:cs="Calibri"/>
          <w:noProof/>
          <w:sz w:val="24"/>
          <w:szCs w:val="23"/>
        </w:rPr>
      </w:pPr>
    </w:p>
    <w:p w14:paraId="0DA38248" w14:textId="77777777" w:rsidR="002672AA" w:rsidRPr="001F0ECB" w:rsidRDefault="0073514F" w:rsidP="0073514F">
      <w:pPr>
        <w:pStyle w:val="Heading2"/>
        <w:tabs>
          <w:tab w:val="left" w:pos="1181"/>
        </w:tabs>
        <w:ind w:left="0" w:firstLine="0"/>
        <w:jc w:val="both"/>
        <w:rPr>
          <w:rFonts w:ascii="Times New Roman" w:hAnsi="Times New Roman"/>
          <w:noProof/>
          <w:sz w:val="24"/>
        </w:rPr>
      </w:pPr>
      <w:bookmarkStart w:id="76" w:name="_Toc73461260"/>
      <w:r>
        <w:rPr>
          <w:rFonts w:ascii="Times New Roman" w:hAnsi="Times New Roman"/>
          <w:sz w:val="24"/>
        </w:rPr>
        <w:t>5.4. Bruto kapitāla veidošana</w:t>
      </w:r>
      <w:bookmarkStart w:id="77" w:name="_bookmark38"/>
      <w:bookmarkEnd w:id="76"/>
      <w:bookmarkEnd w:id="77"/>
    </w:p>
    <w:p w14:paraId="54C9B323" w14:textId="77777777" w:rsidR="0073514F" w:rsidRDefault="0073514F" w:rsidP="00975B5E">
      <w:pPr>
        <w:pStyle w:val="Heading4"/>
        <w:spacing w:before="0"/>
        <w:ind w:left="0"/>
        <w:jc w:val="both"/>
        <w:rPr>
          <w:rFonts w:ascii="Times New Roman" w:hAnsi="Times New Roman"/>
          <w:noProof/>
        </w:rPr>
      </w:pPr>
    </w:p>
    <w:p w14:paraId="58EA1B48"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Bruto pamatkapitāla veidošana (BPKV)</w:t>
      </w:r>
    </w:p>
    <w:p w14:paraId="282583A2" w14:textId="77777777" w:rsidR="0073514F" w:rsidRDefault="0073514F" w:rsidP="00975B5E">
      <w:pPr>
        <w:pStyle w:val="BodyText"/>
        <w:spacing w:before="0"/>
        <w:ind w:left="0"/>
        <w:jc w:val="both"/>
        <w:rPr>
          <w:rFonts w:ascii="Times New Roman" w:hAnsi="Times New Roman"/>
          <w:noProof/>
        </w:rPr>
      </w:pPr>
    </w:p>
    <w:p w14:paraId="4237959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Bruto pamatkapitāla veidošanas aprēķiniem izmanto šādu sadalījumu: mājokļi, citas ēkas un celtnes, mašīnas un iekārtas + ieroču sistēmas (izņemot transportlīdzekļus), transportlīdzekļi, kultivēti bioloģiskie resursi un intelektuālā īpašuma produkti (kopā).</w:t>
      </w:r>
    </w:p>
    <w:p w14:paraId="6972EDD0" w14:textId="77777777" w:rsidR="0073514F" w:rsidRDefault="0073514F" w:rsidP="00975B5E">
      <w:pPr>
        <w:pStyle w:val="BodyText"/>
        <w:spacing w:before="0"/>
        <w:ind w:left="0"/>
        <w:jc w:val="both"/>
        <w:rPr>
          <w:rFonts w:ascii="Times New Roman" w:hAnsi="Times New Roman"/>
          <w:noProof/>
        </w:rPr>
      </w:pPr>
    </w:p>
    <w:p w14:paraId="791A3F9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Mājokļu datu vērtējumiem galvenokārt izmanto tiešos datu avotus un aprēķinu veic, izmantojot cenas un daudzuma reizinājuma metodi. Datus par kvadrātmetru iegūst no CSP Pārskata par būvatļaujām un ēku pieņemšanu ekspluatācijā (1-BA veidlapa līdz 2019. gadam) un Būvniecības informācijas sistēmu (sākot ar 2020. gadu, visi nepieciešamie dati būs pieejami BIS). Apsekojumus apkopo Rūpniecības un būvniecības statistikas daļa. Vidējās cenas par kvadrātmetru daudzdzīvokļu mājās un viena dzīvokļa mājās aprēķina, izmantojot Patēriņa cenu indeksu daļas informāciju. Datos, kas tiek publiskoti divus mēnešus pēc pārskata perioda, izmanto iepriekšējā ceturkšņa cenas un pēc tam veic šo datu revīziju 85. dienā pēc pārskata perioda, kad tiek publicēti CKS. Šis novērtējums tiek koriģēts, izmantojot jaunāko pieejamo gada informāciju, kurā ņemtas vērā izmaksas par īpašumtiesību maiņu un remontdarbi.</w:t>
      </w:r>
    </w:p>
    <w:p w14:paraId="7F068DCC" w14:textId="77777777" w:rsidR="00591393" w:rsidRPr="001F0ECB" w:rsidRDefault="00591393" w:rsidP="00975B5E">
      <w:pPr>
        <w:pStyle w:val="BodyText"/>
        <w:spacing w:before="0"/>
        <w:ind w:left="0"/>
        <w:jc w:val="both"/>
        <w:rPr>
          <w:rFonts w:ascii="Times New Roman" w:hAnsi="Times New Roman"/>
          <w:noProof/>
        </w:rPr>
      </w:pPr>
    </w:p>
    <w:p w14:paraId="397AB462"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BPKV citās ēkās un celtnēs aprēķina, izmantojot ekstrapolācijas metodi, kuras pamatā ir inženierbūvniecības un nedzīvojamo ēku būvniecības izlaides pieauguma temps. Būvniecības izlaidi reizi ceturksnī apkopo, pamatojoties uz izlases apsekojumu par būvniecību (1-būvniecība).</w:t>
      </w:r>
    </w:p>
    <w:p w14:paraId="3366F562" w14:textId="77777777" w:rsidR="00591393" w:rsidRDefault="00591393" w:rsidP="00975B5E">
      <w:pPr>
        <w:pStyle w:val="BodyText"/>
        <w:spacing w:before="0"/>
        <w:ind w:left="0"/>
        <w:jc w:val="both"/>
        <w:rPr>
          <w:rFonts w:ascii="Times New Roman" w:hAnsi="Times New Roman"/>
          <w:noProof/>
        </w:rPr>
      </w:pPr>
    </w:p>
    <w:p w14:paraId="0FE08C0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aprēķinātu BPKV mašīnās un iekārtās, transportlīdzekļu aprīkojumā un intelektuālā īpašuma produktos, galvenais datu avots ir ceturkšņa izlases apsekojums “Pārskats par ieguldījumiem” (6-ieguldījumi).</w:t>
      </w:r>
    </w:p>
    <w:p w14:paraId="34684002" w14:textId="77777777" w:rsidR="00591393" w:rsidRDefault="00591393" w:rsidP="00975B5E">
      <w:pPr>
        <w:pStyle w:val="BodyText"/>
        <w:spacing w:before="0"/>
        <w:ind w:left="0"/>
        <w:jc w:val="both"/>
        <w:rPr>
          <w:rFonts w:ascii="Times New Roman" w:hAnsi="Times New Roman"/>
          <w:noProof/>
        </w:rPr>
      </w:pPr>
    </w:p>
    <w:p w14:paraId="1E6C5C4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BPKV novērtējumiem transportlīdzekļu aprīkojumā izmanto koriģēto ekstrapolācijas metodi. Pieauguma tempa aprēķināšanai no apsekojuma datiem izslēdz nozīmīgus vienreizējus ieguldījumus (piemēram, lidmašīnas iegādi) un pēc ekstrapolācijas šīs summas, ja nepieciešams, pievieno manuāli.</w:t>
      </w:r>
    </w:p>
    <w:p w14:paraId="3E1DCC11" w14:textId="77777777" w:rsidR="00591393" w:rsidRDefault="00591393" w:rsidP="00975B5E">
      <w:pPr>
        <w:pStyle w:val="BodyText"/>
        <w:spacing w:before="0"/>
        <w:ind w:left="0"/>
        <w:jc w:val="both"/>
        <w:rPr>
          <w:rFonts w:ascii="Times New Roman" w:hAnsi="Times New Roman"/>
          <w:noProof/>
        </w:rPr>
      </w:pPr>
    </w:p>
    <w:p w14:paraId="182A76B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Izmanto pēdējos pieejamos GNK datus par kultivētiem bioloģiskajiem resursiem un </w:t>
      </w:r>
      <w:r>
        <w:rPr>
          <w:rFonts w:ascii="Times New Roman" w:hAnsi="Times New Roman"/>
        </w:rPr>
        <w:lastRenderedPageBreak/>
        <w:t>vienmērīgi sadala pa ceturkšņiem. Šo principu izmanto tāpēc, ka nav pieejama ceturkšņa informācija par rādītāju un datu svārstīguma dēļ vērtību ir grūti novērtēt.</w:t>
      </w:r>
    </w:p>
    <w:p w14:paraId="301898A8" w14:textId="77777777" w:rsidR="00975B5E" w:rsidRPr="001F0ECB" w:rsidRDefault="00975B5E" w:rsidP="00975B5E">
      <w:pPr>
        <w:jc w:val="both"/>
        <w:rPr>
          <w:rFonts w:ascii="Times New Roman" w:hAnsi="Times New Roman"/>
          <w:noProof/>
          <w:sz w:val="24"/>
        </w:rPr>
      </w:pPr>
    </w:p>
    <w:p w14:paraId="3AA5208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BPKV novērtējumiem apjoma izteiksmē izmanto dažādus cenu indeksus. BPKV mājokļos deflē, izmantojot mājokļa cenu indeksu jauniem mājokļiem. Datos, kas tiek publiskoti divus mēnešus pēc pārskata perioda, izmanto iepriekšējā ceturkšņa cenu indeksu un pēc tam veic šo datu revīziju 85. dienā pēc pārskata perioda, kad tiek publicēti CKS. Būvniecības izmaksu indeksu izmanto BPKV deflācijai citās ēkās un celtnēs.</w:t>
      </w:r>
    </w:p>
    <w:p w14:paraId="6BDD970F" w14:textId="77777777" w:rsidR="00591393" w:rsidRPr="001F0ECB" w:rsidRDefault="00591393" w:rsidP="00975B5E">
      <w:pPr>
        <w:pStyle w:val="BodyText"/>
        <w:spacing w:before="0"/>
        <w:ind w:left="0"/>
        <w:jc w:val="both"/>
        <w:rPr>
          <w:rFonts w:ascii="Times New Roman" w:hAnsi="Times New Roman"/>
          <w:noProof/>
        </w:rPr>
      </w:pPr>
    </w:p>
    <w:p w14:paraId="2EF9073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Citu BPKV grupu deflācijai izmanto attiecīgos RCI, ICI un PCI. Indeksu svērto vērtību iegūst, izmantojot jaunāko pieejamo sīki izstrādāto gada informāciju.</w:t>
      </w:r>
    </w:p>
    <w:p w14:paraId="2297CBD6" w14:textId="77777777" w:rsidR="002672AA" w:rsidRPr="001F0ECB" w:rsidRDefault="002672AA" w:rsidP="00975B5E">
      <w:pPr>
        <w:jc w:val="both"/>
        <w:rPr>
          <w:rFonts w:ascii="Times New Roman" w:eastAsia="Calibri" w:hAnsi="Times New Roman" w:cs="Calibri"/>
          <w:noProof/>
          <w:sz w:val="24"/>
          <w:szCs w:val="24"/>
        </w:rPr>
      </w:pPr>
    </w:p>
    <w:p w14:paraId="3473A350" w14:textId="77777777" w:rsidR="002672AA" w:rsidRPr="001F0ECB" w:rsidRDefault="002672AA" w:rsidP="00975B5E">
      <w:pPr>
        <w:jc w:val="both"/>
        <w:rPr>
          <w:rFonts w:ascii="Times New Roman" w:eastAsia="Calibri" w:hAnsi="Times New Roman" w:cs="Calibri"/>
          <w:noProof/>
          <w:sz w:val="24"/>
          <w:szCs w:val="23"/>
        </w:rPr>
      </w:pPr>
    </w:p>
    <w:p w14:paraId="534D1458"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Krājumu pārmaiņas un vērtslietu iegādes mīnus realizācija</w:t>
      </w:r>
    </w:p>
    <w:p w14:paraId="4F125D78" w14:textId="77777777" w:rsidR="00591393" w:rsidRDefault="00591393" w:rsidP="00975B5E">
      <w:pPr>
        <w:pStyle w:val="BodyText"/>
        <w:spacing w:before="0"/>
        <w:ind w:left="0"/>
        <w:jc w:val="both"/>
        <w:rPr>
          <w:rFonts w:ascii="Times New Roman" w:hAnsi="Times New Roman"/>
          <w:noProof/>
        </w:rPr>
      </w:pPr>
    </w:p>
    <w:p w14:paraId="0E9894D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Ceturkšņa rādītāju par krājumu pārmaiņām (P.52) atvasina kā lielumu, ar kuru panāk līdzsvaru starp IKP, kas aprēķināts saskaņā ar ražošanas pieeju, un visām citām komponentēm, kas aprēķinātas saskaņā ar izdevumu pieeju, gan faktiskajās cenās, gan iepriekšējā gada vidējās cenās. Kad ir pieejama gada informācija, dati tiek revidēti.</w:t>
      </w:r>
    </w:p>
    <w:p w14:paraId="0E92EA8E" w14:textId="77777777" w:rsidR="00591393" w:rsidRDefault="00591393" w:rsidP="00975B5E">
      <w:pPr>
        <w:pStyle w:val="BodyText"/>
        <w:spacing w:before="0"/>
        <w:ind w:left="0"/>
        <w:jc w:val="both"/>
        <w:rPr>
          <w:rFonts w:ascii="Times New Roman" w:hAnsi="Times New Roman"/>
          <w:noProof/>
        </w:rPr>
      </w:pPr>
    </w:p>
    <w:p w14:paraId="353CF30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Nav ceturkšņa datu avotu, lai aprēķinātu vērtību vērtslietu iegādei mīnus realizācija. Ceturkšņa novērtējumus iegūst, četrās daļās sadalot gada datus. Gada vērtību vērtslietu iegādei mīnus realizācija (P.53) aprēķina tikai diviem institucionālajiem sektoriem – vispārējās valdības sektoram (S.13) un finanšu sabiedrību sektoram (S.12), pamatojoties uz administratīviem datu avotiem.</w:t>
      </w:r>
    </w:p>
    <w:p w14:paraId="7E43F1CF" w14:textId="77777777" w:rsidR="002672AA" w:rsidRPr="001F0ECB" w:rsidRDefault="002672AA" w:rsidP="00975B5E">
      <w:pPr>
        <w:jc w:val="both"/>
        <w:rPr>
          <w:rFonts w:ascii="Times New Roman" w:eastAsia="Calibri" w:hAnsi="Times New Roman" w:cs="Calibri"/>
          <w:noProof/>
          <w:sz w:val="24"/>
          <w:szCs w:val="24"/>
        </w:rPr>
      </w:pPr>
    </w:p>
    <w:p w14:paraId="0FA0A117" w14:textId="77777777" w:rsidR="002672AA" w:rsidRPr="001F0ECB" w:rsidRDefault="002672AA" w:rsidP="00975B5E">
      <w:pPr>
        <w:jc w:val="both"/>
        <w:rPr>
          <w:rFonts w:ascii="Times New Roman" w:eastAsia="Calibri" w:hAnsi="Times New Roman" w:cs="Calibri"/>
          <w:noProof/>
          <w:sz w:val="24"/>
          <w:szCs w:val="23"/>
        </w:rPr>
      </w:pPr>
    </w:p>
    <w:p w14:paraId="2050B1D2" w14:textId="77777777" w:rsidR="002672AA" w:rsidRPr="001F0ECB" w:rsidRDefault="00591393" w:rsidP="00591393">
      <w:pPr>
        <w:pStyle w:val="Heading2"/>
        <w:tabs>
          <w:tab w:val="left" w:pos="1181"/>
        </w:tabs>
        <w:ind w:left="0" w:firstLine="0"/>
        <w:jc w:val="both"/>
        <w:rPr>
          <w:rFonts w:ascii="Times New Roman" w:hAnsi="Times New Roman"/>
          <w:noProof/>
          <w:sz w:val="24"/>
        </w:rPr>
      </w:pPr>
      <w:bookmarkStart w:id="78" w:name="_Toc73461261"/>
      <w:r>
        <w:rPr>
          <w:rFonts w:ascii="Times New Roman" w:hAnsi="Times New Roman"/>
          <w:sz w:val="24"/>
        </w:rPr>
        <w:t>5.5. Preču un pakalpojumu eksports un imports</w:t>
      </w:r>
      <w:bookmarkStart w:id="79" w:name="_bookmark39"/>
      <w:bookmarkEnd w:id="78"/>
      <w:bookmarkEnd w:id="79"/>
    </w:p>
    <w:p w14:paraId="52C27D2F" w14:textId="77777777" w:rsidR="00591393" w:rsidRDefault="00591393" w:rsidP="00975B5E">
      <w:pPr>
        <w:pStyle w:val="BodyText"/>
        <w:spacing w:before="0"/>
        <w:ind w:left="0"/>
        <w:jc w:val="both"/>
        <w:rPr>
          <w:rFonts w:ascii="Times New Roman" w:hAnsi="Times New Roman"/>
          <w:noProof/>
        </w:rPr>
      </w:pPr>
    </w:p>
    <w:p w14:paraId="0A49614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 avoti: Latvijas Bankas apkopotā maksājumu bilance.</w:t>
      </w:r>
    </w:p>
    <w:p w14:paraId="3C247A50" w14:textId="77777777" w:rsidR="00591393" w:rsidRDefault="00591393" w:rsidP="00975B5E">
      <w:pPr>
        <w:pStyle w:val="BodyText"/>
        <w:spacing w:before="0"/>
        <w:ind w:left="0"/>
        <w:jc w:val="both"/>
        <w:rPr>
          <w:rFonts w:ascii="Times New Roman" w:hAnsi="Times New Roman"/>
          <w:noProof/>
        </w:rPr>
      </w:pPr>
    </w:p>
    <w:p w14:paraId="5E75336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Divus mēnešus pēc pārskata perioda beigām ir pieejami dati par attiecīgā perioda trim mēnešiem, nesadalīti pa valstu grupām (eirozona (U2), ES valstis ārpus eirozonas (U3), ES iestādes (4A), ES valstis (B0) un pārējā pasaule (D0)). Sadalījums tiek veikts, izmantojot iepriekšējā ceturkšņa struktūru.</w:t>
      </w:r>
    </w:p>
    <w:p w14:paraId="5141657C" w14:textId="77777777" w:rsidR="00591393" w:rsidRDefault="00591393" w:rsidP="00975B5E">
      <w:pPr>
        <w:pStyle w:val="BodyText"/>
        <w:spacing w:before="0"/>
        <w:ind w:left="0"/>
        <w:jc w:val="both"/>
        <w:rPr>
          <w:rFonts w:ascii="Times New Roman" w:hAnsi="Times New Roman"/>
          <w:noProof/>
        </w:rPr>
      </w:pPr>
    </w:p>
    <w:p w14:paraId="54DF1DF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Termiņā t+85, kad tiek publicēti ceturkšņa sektoru konti, dati tiek revidēti, izmantojot maksājumu bilances ceturkšņa datu sadalījumu pa valstu grupām un pakalpojumu veidiem.</w:t>
      </w:r>
    </w:p>
    <w:p w14:paraId="0E8C5C81" w14:textId="77777777" w:rsidR="00591393" w:rsidRDefault="00591393" w:rsidP="00975B5E">
      <w:pPr>
        <w:pStyle w:val="BodyText"/>
        <w:spacing w:before="0"/>
        <w:ind w:left="0"/>
        <w:jc w:val="both"/>
        <w:rPr>
          <w:rFonts w:ascii="Times New Roman" w:hAnsi="Times New Roman"/>
          <w:noProof/>
        </w:rPr>
      </w:pPr>
    </w:p>
    <w:p w14:paraId="39C56BF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Līdz 2014. gadam CSP un Latvijas Bankas </w:t>
      </w:r>
      <w:r>
        <w:rPr>
          <w:rFonts w:ascii="Times New Roman" w:hAnsi="Times New Roman"/>
          <w:i/>
        </w:rPr>
        <w:t>FISIM</w:t>
      </w:r>
      <w:r>
        <w:rPr>
          <w:rFonts w:ascii="Times New Roman" w:hAnsi="Times New Roman"/>
        </w:rPr>
        <w:t xml:space="preserve"> aprēķinu pamatā bija dažādas metodes. Sākot ar 2014. gada 2. ceturksni, </w:t>
      </w:r>
      <w:r>
        <w:rPr>
          <w:rFonts w:ascii="Times New Roman" w:hAnsi="Times New Roman"/>
          <w:i/>
        </w:rPr>
        <w:t>FISIM</w:t>
      </w:r>
      <w:r>
        <w:rPr>
          <w:rFonts w:ascii="Times New Roman" w:hAnsi="Times New Roman"/>
        </w:rPr>
        <w:t xml:space="preserve"> datus aprēķina Latvijas Banka un CSP izmanto novērtētos rezultātus.</w:t>
      </w:r>
    </w:p>
    <w:p w14:paraId="65CB0DC3" w14:textId="77777777" w:rsidR="002672AA" w:rsidRPr="001F0ECB" w:rsidRDefault="002672AA" w:rsidP="00975B5E">
      <w:pPr>
        <w:jc w:val="both"/>
        <w:rPr>
          <w:rFonts w:ascii="Times New Roman" w:eastAsia="Calibri" w:hAnsi="Times New Roman" w:cs="Calibri"/>
          <w:noProof/>
          <w:sz w:val="24"/>
          <w:szCs w:val="24"/>
        </w:rPr>
      </w:pPr>
    </w:p>
    <w:p w14:paraId="39DBCC6E" w14:textId="77777777" w:rsidR="002672AA" w:rsidRPr="001F0ECB" w:rsidRDefault="002672AA" w:rsidP="00975B5E">
      <w:pPr>
        <w:jc w:val="both"/>
        <w:rPr>
          <w:rFonts w:ascii="Times New Roman" w:eastAsia="Calibri" w:hAnsi="Times New Roman" w:cs="Calibri"/>
          <w:noProof/>
          <w:sz w:val="24"/>
          <w:szCs w:val="23"/>
        </w:rPr>
      </w:pPr>
    </w:p>
    <w:p w14:paraId="403E6297"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Preču eksports un imports</w:t>
      </w:r>
    </w:p>
    <w:p w14:paraId="34591166" w14:textId="77777777" w:rsidR="00591393" w:rsidRDefault="00591393" w:rsidP="00975B5E">
      <w:pPr>
        <w:pStyle w:val="BodyText"/>
        <w:spacing w:before="0"/>
        <w:ind w:left="0"/>
        <w:jc w:val="both"/>
        <w:rPr>
          <w:rFonts w:ascii="Times New Roman" w:hAnsi="Times New Roman"/>
          <w:noProof/>
        </w:rPr>
      </w:pPr>
    </w:p>
    <w:p w14:paraId="57FD480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Informācija par “Preču eksportu un importu” (P.61 un P.71) katru ceturksni (mēnesi) ir pieejama Latvijas Bankas maksājumu bilancē – kods “10020”. Šīs informācijas pamatā galvenokārt ir Ārējās tirdzniecības statistikas daļas dati, kurus Latvijas Banka koriģē saskaņā ar maksājumu bilances izstrādes principu.</w:t>
      </w:r>
    </w:p>
    <w:p w14:paraId="2AC10372" w14:textId="77777777" w:rsidR="00975B5E" w:rsidRPr="001F0ECB" w:rsidRDefault="00975B5E" w:rsidP="00975B5E">
      <w:pPr>
        <w:jc w:val="both"/>
        <w:rPr>
          <w:rFonts w:ascii="Times New Roman" w:hAnsi="Times New Roman"/>
          <w:noProof/>
          <w:sz w:val="24"/>
        </w:rPr>
      </w:pPr>
    </w:p>
    <w:p w14:paraId="49ADEA28"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lastRenderedPageBreak/>
        <w:t xml:space="preserve">2018. gadā izlases izveide un uzlabošana pamatojās uz CSP noteiktajām robežvērtībām un īpašajām robežvērtībām. Robežvērtības un īpašās robežvērtības tiek noteiktas atsevišķi preču importam un eksportam tā, lai ar </w:t>
      </w:r>
      <w:r>
        <w:rPr>
          <w:rFonts w:ascii="Times New Roman" w:hAnsi="Times New Roman"/>
          <w:i/>
        </w:rPr>
        <w:t>Intrastat</w:t>
      </w:r>
      <w:r>
        <w:rPr>
          <w:rFonts w:ascii="Times New Roman" w:hAnsi="Times New Roman"/>
        </w:rPr>
        <w:t xml:space="preserve"> pārskatu palīdzību iegūtie dati aptvertu ne mazāk kā 93 % importa un 97 % eksporta no kopējā Latvijas tirdzniecības apjoma ar ES dalībvalstīm.</w:t>
      </w:r>
    </w:p>
    <w:p w14:paraId="2FFCCDC9" w14:textId="77777777" w:rsidR="00591393" w:rsidRPr="001F0ECB" w:rsidRDefault="00591393" w:rsidP="00975B5E">
      <w:pPr>
        <w:pStyle w:val="BodyText"/>
        <w:spacing w:before="0"/>
        <w:ind w:left="0"/>
        <w:jc w:val="both"/>
        <w:rPr>
          <w:rFonts w:ascii="Times New Roman" w:hAnsi="Times New Roman"/>
          <w:noProof/>
        </w:rPr>
      </w:pPr>
    </w:p>
    <w:p w14:paraId="106F55EA" w14:textId="77777777" w:rsidR="002672AA" w:rsidRDefault="002672AA" w:rsidP="00975B5E">
      <w:pPr>
        <w:pStyle w:val="BodyText"/>
        <w:spacing w:before="0"/>
        <w:ind w:left="0"/>
        <w:jc w:val="both"/>
        <w:rPr>
          <w:rFonts w:ascii="Times New Roman" w:hAnsi="Times New Roman"/>
          <w:noProof/>
        </w:rPr>
      </w:pPr>
      <w:r>
        <w:rPr>
          <w:rFonts w:ascii="Times New Roman" w:hAnsi="Times New Roman"/>
          <w:b/>
        </w:rPr>
        <w:t>Preču eksporta kopvērtība</w:t>
      </w:r>
      <w:r>
        <w:rPr>
          <w:rFonts w:ascii="Times New Roman" w:hAnsi="Times New Roman"/>
        </w:rPr>
        <w:t xml:space="preserve"> tiek uzrādīta faktiskajās </w:t>
      </w:r>
      <w:r>
        <w:rPr>
          <w:rFonts w:ascii="Times New Roman" w:hAnsi="Times New Roman"/>
          <w:i/>
        </w:rPr>
        <w:t>FOB</w:t>
      </w:r>
      <w:r>
        <w:rPr>
          <w:rFonts w:ascii="Times New Roman" w:hAnsi="Times New Roman"/>
        </w:rPr>
        <w:t xml:space="preserve"> cenās (preces cena, ieskaitot transporta un apdrošināšanas izmaksas līdz eksportētājvalsts robežai) saskaņā ar speciālu tirdzniecības sistēmu (bez preču plūsmas muitas noliktavās un brīvajās ekonomiskajās zonās), norādot galamērķa valsti.</w:t>
      </w:r>
    </w:p>
    <w:p w14:paraId="1A3FA6D6" w14:textId="77777777" w:rsidR="00591393" w:rsidRPr="001F0ECB" w:rsidRDefault="00591393" w:rsidP="00975B5E">
      <w:pPr>
        <w:pStyle w:val="BodyText"/>
        <w:spacing w:before="0"/>
        <w:ind w:left="0"/>
        <w:jc w:val="both"/>
        <w:rPr>
          <w:rFonts w:ascii="Times New Roman" w:hAnsi="Times New Roman"/>
          <w:noProof/>
        </w:rPr>
      </w:pPr>
    </w:p>
    <w:p w14:paraId="16F01565"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tiek apkopoti atbilstoši t. s. nacionālajam principam, proti, datos atšķirībā no t. s. kopienas principa neietilpst informācija par to preču eksportu, ko caur Latviju kāda ES dalībvalsts realizē uz kādu trešo valsti (kura nav ES dalībvalsts), bet, sākot ar 2008. gadu, neietilpst arī dati par preču eksportu uz kādu ES dalībvalsti, kura caur Latviju tās importē no kādas trešās valsts, lai gan muitas kravas deklarācijas tiek aizpildītas Latvijā.</w:t>
      </w:r>
    </w:p>
    <w:p w14:paraId="13717945" w14:textId="77777777" w:rsidR="00591393" w:rsidRPr="001F0ECB" w:rsidRDefault="00591393" w:rsidP="00975B5E">
      <w:pPr>
        <w:pStyle w:val="BodyText"/>
        <w:spacing w:before="0"/>
        <w:ind w:left="0"/>
        <w:jc w:val="both"/>
        <w:rPr>
          <w:rFonts w:ascii="Times New Roman" w:hAnsi="Times New Roman"/>
          <w:noProof/>
        </w:rPr>
      </w:pPr>
    </w:p>
    <w:p w14:paraId="0345FAAD"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Ārējās tirdzniecības eksporta kopvērtībā ir iekļautas šādas preču plūsmas:</w:t>
      </w:r>
    </w:p>
    <w:p w14:paraId="2EAE7193" w14:textId="77777777" w:rsidR="00591393" w:rsidRPr="001F0ECB" w:rsidRDefault="00591393" w:rsidP="00975B5E">
      <w:pPr>
        <w:pStyle w:val="BodyText"/>
        <w:spacing w:before="0"/>
        <w:ind w:left="0"/>
        <w:jc w:val="both"/>
        <w:rPr>
          <w:rFonts w:ascii="Times New Roman" w:hAnsi="Times New Roman"/>
          <w:noProof/>
        </w:rPr>
      </w:pPr>
    </w:p>
    <w:p w14:paraId="7547ED1E"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kas eksportētas realizēšanai ārvalstīs;</w:t>
      </w:r>
    </w:p>
    <w:p w14:paraId="63608B23"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kas eksportētas pārstrādei ārvalstīs, uzņemoties saistības par to atpakaļievešanu;</w:t>
      </w:r>
    </w:p>
    <w:p w14:paraId="09C6A5A5"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importētās preces, kas pēc pārstrādes izvestas uz ārvalstīm;</w:t>
      </w:r>
    </w:p>
    <w:p w14:paraId="24CD5BF2"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reeksports jeb patēriņam Latvijā importētās preces, kas izvestas atpakaļ uz ārvalstīm.</w:t>
      </w:r>
    </w:p>
    <w:p w14:paraId="754D24CF" w14:textId="77777777" w:rsidR="00591393" w:rsidRDefault="00591393" w:rsidP="00975B5E">
      <w:pPr>
        <w:pStyle w:val="BodyText"/>
        <w:spacing w:before="0"/>
        <w:ind w:left="0"/>
        <w:jc w:val="both"/>
        <w:rPr>
          <w:rFonts w:ascii="Times New Roman" w:hAnsi="Times New Roman"/>
          <w:noProof/>
        </w:rPr>
      </w:pPr>
    </w:p>
    <w:p w14:paraId="2B8A077F"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Attiecībā uz </w:t>
      </w:r>
      <w:r>
        <w:rPr>
          <w:rFonts w:ascii="Times New Roman" w:hAnsi="Times New Roman"/>
          <w:b/>
        </w:rPr>
        <w:t>preču importa kopvērtību</w:t>
      </w:r>
      <w:r>
        <w:rPr>
          <w:rFonts w:ascii="Times New Roman" w:hAnsi="Times New Roman"/>
        </w:rPr>
        <w:t xml:space="preserve"> preču imports tiek uzrādīts faktiskajās </w:t>
      </w:r>
      <w:r>
        <w:rPr>
          <w:rFonts w:ascii="Times New Roman" w:hAnsi="Times New Roman"/>
          <w:i/>
        </w:rPr>
        <w:t>CIF</w:t>
      </w:r>
      <w:r>
        <w:rPr>
          <w:rFonts w:ascii="Times New Roman" w:hAnsi="Times New Roman"/>
        </w:rPr>
        <w:t xml:space="preserve"> vērtībās (preces cena, ieskaitot transporta un apdrošināšanas izmaksas līdz importētājvalsts robežai) saskaņā ar speciālo tirdzniecības sistēmu (bez preču plūsmas muitas noliktavās un brīvajās ekonomiskajās zonās); importā no trešām valstīm norāda pēdējo zināmo preces izcelsmes valsti (ja tā nav zināma, tad preces nosūtīšanas valsti).</w:t>
      </w:r>
    </w:p>
    <w:p w14:paraId="694E54FF" w14:textId="77777777" w:rsidR="00591393" w:rsidRPr="001F0ECB" w:rsidRDefault="00591393" w:rsidP="00975B5E">
      <w:pPr>
        <w:pStyle w:val="BodyText"/>
        <w:spacing w:before="0"/>
        <w:ind w:left="0"/>
        <w:jc w:val="both"/>
        <w:rPr>
          <w:rFonts w:ascii="Times New Roman" w:hAnsi="Times New Roman"/>
          <w:noProof/>
        </w:rPr>
      </w:pPr>
    </w:p>
    <w:p w14:paraId="7D1FADDF"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No 2004. gada preču ievedumā no ES dalībvalstīm tiek norādīta preces nosūtīšanas valsts. Dati tiek apkopoti atbilstoši t. s. nacionālajam principam, proti, datos atšķirībā no t. s. kopienas principa neietilpst informācija par to preču importu, ko caur Latviju kāda ES dalībvalsts realizē no kādas trešās valsts (kura nav ES dalībvalsts), bet, sākot ar 2008. gadu, neietilpst arī dati par preču ievedumu no kādas ES dalībvalsts, kura caur Latviju tās eksportē uz kādu trešo valsti, lai gan visos gadījumos muitas kravas deklarācijas tiek aizpildītas Latvijā.</w:t>
      </w:r>
    </w:p>
    <w:p w14:paraId="435E5227" w14:textId="77777777" w:rsidR="00591393" w:rsidRPr="001F0ECB" w:rsidRDefault="00591393" w:rsidP="00975B5E">
      <w:pPr>
        <w:pStyle w:val="BodyText"/>
        <w:spacing w:before="0"/>
        <w:ind w:left="0"/>
        <w:jc w:val="both"/>
        <w:rPr>
          <w:rFonts w:ascii="Times New Roman" w:hAnsi="Times New Roman"/>
          <w:noProof/>
        </w:rPr>
      </w:pPr>
    </w:p>
    <w:p w14:paraId="14826BAD"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Ārējās tirdzniecības importa kopapjomā ir iekļautas šādas preču plūsmas:</w:t>
      </w:r>
    </w:p>
    <w:p w14:paraId="6A698697" w14:textId="77777777" w:rsidR="00591393" w:rsidRPr="001F0ECB" w:rsidRDefault="00591393" w:rsidP="00975B5E">
      <w:pPr>
        <w:pStyle w:val="BodyText"/>
        <w:spacing w:before="0"/>
        <w:ind w:left="0"/>
        <w:jc w:val="both"/>
        <w:rPr>
          <w:rFonts w:ascii="Times New Roman" w:hAnsi="Times New Roman"/>
          <w:noProof/>
        </w:rPr>
      </w:pPr>
    </w:p>
    <w:p w14:paraId="6D5D3847"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kas deklarētas patēriņam Latvijā;</w:t>
      </w:r>
    </w:p>
    <w:p w14:paraId="2C44EB70"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kas ievestas pārstrādei, uzņemoties saistības par atpakaļizvešanu;</w:t>
      </w:r>
    </w:p>
    <w:p w14:paraId="6B08F40A"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eksportētās preces, kas ievestas pēc pārstrādes ārvalstīs.</w:t>
      </w:r>
    </w:p>
    <w:p w14:paraId="518700FE" w14:textId="77777777" w:rsidR="00975B5E" w:rsidRPr="001F0ECB" w:rsidRDefault="00975B5E" w:rsidP="00975B5E">
      <w:pPr>
        <w:jc w:val="both"/>
        <w:rPr>
          <w:rFonts w:ascii="Times New Roman" w:hAnsi="Times New Roman"/>
          <w:noProof/>
          <w:sz w:val="24"/>
        </w:rPr>
      </w:pPr>
    </w:p>
    <w:p w14:paraId="433DF6B3"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Latvijas Bankas veiktās izmaiņas preču eksporta un importa aprēķinos (saskaņā ar maksājumu bilances izstrādes principu)</w:t>
      </w:r>
    </w:p>
    <w:p w14:paraId="3B2E167B" w14:textId="77777777" w:rsidR="00591393" w:rsidRPr="001F0ECB" w:rsidRDefault="00591393" w:rsidP="00975B5E">
      <w:pPr>
        <w:pStyle w:val="BodyText"/>
        <w:spacing w:before="0"/>
        <w:ind w:left="0"/>
        <w:jc w:val="both"/>
        <w:rPr>
          <w:rFonts w:ascii="Times New Roman" w:hAnsi="Times New Roman"/>
          <w:noProof/>
        </w:rPr>
      </w:pPr>
    </w:p>
    <w:p w14:paraId="72214446"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i/>
        </w:rPr>
        <w:t>CIF/FOB</w:t>
      </w:r>
      <w:r>
        <w:rPr>
          <w:rFonts w:ascii="Times New Roman" w:hAnsi="Times New Roman"/>
        </w:rPr>
        <w:t xml:space="preserve"> korekcija;</w:t>
      </w:r>
    </w:p>
    <w:p w14:paraId="0145183C"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ko iegādājušās transporta organizācijas;</w:t>
      </w:r>
    </w:p>
    <w:p w14:paraId="52BF715D"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eksporta darījumi no zvejas kuģiem (CSP dati);</w:t>
      </w:r>
    </w:p>
    <w:p w14:paraId="156CE623"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lastRenderedPageBreak/>
        <w:t>skaidras naudas drukāšanas izmaksas;</w:t>
      </w:r>
    </w:p>
    <w:p w14:paraId="0DC59A7E"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apstrādei paredzētās preces;</w:t>
      </w:r>
    </w:p>
    <w:p w14:paraId="70C49C14"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nemonetārais zelts;</w:t>
      </w:r>
    </w:p>
    <w:p w14:paraId="41A48FF8"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nelikumīgs imports (CSP dati);</w:t>
      </w:r>
    </w:p>
    <w:p w14:paraId="6133FBBA"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kas sūtītas pa pastu;</w:t>
      </w:r>
    </w:p>
    <w:p w14:paraId="224CF839" w14:textId="77777777" w:rsidR="002672AA" w:rsidRPr="001F0ECB" w:rsidRDefault="002672AA" w:rsidP="00591393">
      <w:pPr>
        <w:pStyle w:val="BodyText"/>
        <w:numPr>
          <w:ilvl w:val="0"/>
          <w:numId w:val="6"/>
        </w:numPr>
        <w:spacing w:before="0"/>
        <w:ind w:left="709" w:hanging="425"/>
        <w:jc w:val="both"/>
        <w:rPr>
          <w:rFonts w:ascii="Times New Roman" w:hAnsi="Times New Roman"/>
          <w:noProof/>
        </w:rPr>
      </w:pPr>
      <w:r>
        <w:rPr>
          <w:rFonts w:ascii="Times New Roman" w:hAnsi="Times New Roman"/>
        </w:rPr>
        <w:t>preces, kam nerodas īpašumtiesību maiņa.</w:t>
      </w:r>
    </w:p>
    <w:p w14:paraId="7DDB5A86" w14:textId="77777777" w:rsidR="00591393" w:rsidRDefault="00591393" w:rsidP="00975B5E">
      <w:pPr>
        <w:pStyle w:val="BodyText"/>
        <w:spacing w:before="0"/>
        <w:ind w:left="0"/>
        <w:jc w:val="both"/>
        <w:rPr>
          <w:rFonts w:ascii="Times New Roman" w:hAnsi="Times New Roman"/>
          <w:noProof/>
        </w:rPr>
      </w:pPr>
    </w:p>
    <w:p w14:paraId="632CD33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Preču imports un eksports </w:t>
      </w:r>
      <w:r>
        <w:rPr>
          <w:rFonts w:ascii="Times New Roman" w:hAnsi="Times New Roman"/>
          <w:i/>
        </w:rPr>
        <w:t>CPA</w:t>
      </w:r>
      <w:r>
        <w:rPr>
          <w:rFonts w:ascii="Times New Roman" w:hAnsi="Times New Roman"/>
        </w:rPr>
        <w:t xml:space="preserve"> klasifikācijas divu zīmju līmenī tiek sadalīts, lai aprēķinātu salīdzināmās cenas (datu avots – ārējās tirdzniecības statistika). Katrai preču grupai tiek piemērots savs EVVI vai ICI.</w:t>
      </w:r>
    </w:p>
    <w:p w14:paraId="49B0E86F" w14:textId="77777777" w:rsidR="00591393" w:rsidRPr="001F0ECB" w:rsidRDefault="00591393" w:rsidP="00975B5E">
      <w:pPr>
        <w:pStyle w:val="BodyText"/>
        <w:spacing w:before="0"/>
        <w:ind w:left="0"/>
        <w:jc w:val="both"/>
        <w:rPr>
          <w:rFonts w:ascii="Times New Roman" w:hAnsi="Times New Roman"/>
          <w:noProof/>
        </w:rPr>
      </w:pPr>
    </w:p>
    <w:p w14:paraId="22D1CE4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Eksporta vienības vērtības indeksu un importa cenu indeksu aprēķiniem izmanto CSP Ārējās tirdzniecības statistikas datubāzi, kā arī iesniegtās statistikas pārskatu veidlapas par importēto preču cenām (1-ic, 2-ic) un attiecīgos rūpniecības ražotāju cenu indeksus neviendabīgo eksporta preču grupām.</w:t>
      </w:r>
    </w:p>
    <w:p w14:paraId="65E35F78" w14:textId="77777777" w:rsidR="002672AA" w:rsidRPr="001F0ECB" w:rsidRDefault="002672AA" w:rsidP="00975B5E">
      <w:pPr>
        <w:jc w:val="both"/>
        <w:rPr>
          <w:rFonts w:ascii="Times New Roman" w:eastAsia="Calibri" w:hAnsi="Times New Roman" w:cs="Calibri"/>
          <w:noProof/>
          <w:sz w:val="24"/>
          <w:szCs w:val="24"/>
        </w:rPr>
      </w:pPr>
    </w:p>
    <w:p w14:paraId="5ED26B17" w14:textId="77777777" w:rsidR="002672AA" w:rsidRPr="001F0ECB" w:rsidRDefault="002672AA" w:rsidP="00975B5E">
      <w:pPr>
        <w:jc w:val="both"/>
        <w:rPr>
          <w:rFonts w:ascii="Times New Roman" w:eastAsia="Calibri" w:hAnsi="Times New Roman" w:cs="Calibri"/>
          <w:noProof/>
          <w:sz w:val="24"/>
          <w:szCs w:val="23"/>
        </w:rPr>
      </w:pPr>
    </w:p>
    <w:p w14:paraId="49632BCB"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Pakalpojumu eksports un imports</w:t>
      </w:r>
    </w:p>
    <w:p w14:paraId="7C93EDCC" w14:textId="77777777" w:rsidR="00591393" w:rsidRDefault="00591393" w:rsidP="00975B5E">
      <w:pPr>
        <w:pStyle w:val="BodyText"/>
        <w:spacing w:before="0"/>
        <w:ind w:left="0"/>
        <w:jc w:val="both"/>
        <w:rPr>
          <w:rFonts w:ascii="Times New Roman" w:hAnsi="Times New Roman" w:cs="Calibri"/>
          <w:noProof/>
        </w:rPr>
      </w:pPr>
    </w:p>
    <w:p w14:paraId="5216B042" w14:textId="77777777" w:rsidR="002672AA" w:rsidRPr="00591393" w:rsidRDefault="002672AA" w:rsidP="00975B5E">
      <w:pPr>
        <w:pStyle w:val="BodyText"/>
        <w:spacing w:before="0"/>
        <w:ind w:left="0"/>
        <w:jc w:val="both"/>
        <w:rPr>
          <w:rFonts w:ascii="Times New Roman" w:hAnsi="Times New Roman" w:cs="Calibri"/>
          <w:noProof/>
        </w:rPr>
      </w:pPr>
      <w:r>
        <w:rPr>
          <w:rFonts w:ascii="Times New Roman" w:hAnsi="Times New Roman"/>
        </w:rPr>
        <w:t>Informācija par “Pakalpojumu eksportu un importu” (P.62 un P.72) katru ceturksni (mēnesi) ir pieejama Latvijas Bankas maksājumu bilancē – kods “10340”.</w:t>
      </w:r>
    </w:p>
    <w:p w14:paraId="4B74A546" w14:textId="77777777" w:rsidR="002672AA" w:rsidRPr="001F0ECB" w:rsidRDefault="002672AA" w:rsidP="00975B5E">
      <w:pPr>
        <w:jc w:val="both"/>
        <w:rPr>
          <w:rFonts w:ascii="Times New Roman" w:eastAsia="Calibri" w:hAnsi="Times New Roman" w:cs="Calibri"/>
          <w:noProof/>
          <w:sz w:val="24"/>
          <w:szCs w:val="24"/>
        </w:rPr>
      </w:pPr>
    </w:p>
    <w:p w14:paraId="54F54B57" w14:textId="77777777" w:rsidR="002672AA" w:rsidRPr="001F0ECB" w:rsidRDefault="002672AA" w:rsidP="00975B5E">
      <w:pPr>
        <w:jc w:val="both"/>
        <w:rPr>
          <w:rFonts w:ascii="Times New Roman" w:eastAsia="Calibri" w:hAnsi="Times New Roman" w:cs="Calibri"/>
          <w:noProof/>
          <w:sz w:val="24"/>
          <w:szCs w:val="26"/>
        </w:rPr>
      </w:pPr>
    </w:p>
    <w:p w14:paraId="61582B6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5.1. tabula. Maksājumu bilance ietver kodus, kas iekļauti pakalpojumu eksporta un importa novērtējumos</w:t>
      </w:r>
    </w:p>
    <w:p w14:paraId="0E873192" w14:textId="77777777" w:rsidR="002672AA" w:rsidRPr="001F0ECB" w:rsidRDefault="002672AA" w:rsidP="00975B5E">
      <w:pPr>
        <w:jc w:val="both"/>
        <w:rPr>
          <w:rFonts w:ascii="Times New Roman" w:eastAsia="Calibri" w:hAnsi="Times New Roman" w:cs="Calibri"/>
          <w:b/>
          <w:bCs/>
          <w:noProof/>
          <w:sz w:val="24"/>
          <w:szCs w:val="13"/>
        </w:rPr>
      </w:pPr>
    </w:p>
    <w:tbl>
      <w:tblPr>
        <w:tblW w:w="0" w:type="auto"/>
        <w:tblInd w:w="999" w:type="dxa"/>
        <w:tblLayout w:type="fixed"/>
        <w:tblCellMar>
          <w:top w:w="28" w:type="dxa"/>
          <w:left w:w="28" w:type="dxa"/>
          <w:bottom w:w="28" w:type="dxa"/>
          <w:right w:w="28" w:type="dxa"/>
        </w:tblCellMar>
        <w:tblLook w:val="01E0" w:firstRow="1" w:lastRow="1" w:firstColumn="1" w:lastColumn="1" w:noHBand="0" w:noVBand="0"/>
      </w:tblPr>
      <w:tblGrid>
        <w:gridCol w:w="3992"/>
        <w:gridCol w:w="3947"/>
      </w:tblGrid>
      <w:tr w:rsidR="001F0ECB" w:rsidRPr="001F0ECB" w14:paraId="61C9400C" w14:textId="77777777" w:rsidTr="00591393">
        <w:tc>
          <w:tcPr>
            <w:tcW w:w="3992" w:type="dxa"/>
            <w:tcBorders>
              <w:top w:val="single" w:sz="5" w:space="0" w:color="000000"/>
              <w:left w:val="single" w:sz="5" w:space="0" w:color="000000"/>
              <w:bottom w:val="single" w:sz="5" w:space="0" w:color="000000"/>
              <w:right w:val="single" w:sz="5" w:space="0" w:color="000000"/>
            </w:tcBorders>
            <w:shd w:val="clear" w:color="auto" w:fill="EAF0DD"/>
          </w:tcPr>
          <w:p w14:paraId="73856542" w14:textId="77777777" w:rsidR="002672AA" w:rsidRPr="001F0ECB" w:rsidRDefault="002672AA" w:rsidP="00975B5E">
            <w:pPr>
              <w:pStyle w:val="TableParagraph"/>
              <w:jc w:val="both"/>
              <w:rPr>
                <w:rFonts w:ascii="Times New Roman" w:hAnsi="Times New Roman"/>
                <w:b/>
                <w:noProof/>
                <w:sz w:val="24"/>
              </w:rPr>
            </w:pPr>
            <w:r>
              <w:rPr>
                <w:rFonts w:ascii="Times New Roman" w:hAnsi="Times New Roman"/>
                <w:b/>
                <w:sz w:val="24"/>
              </w:rPr>
              <w:t>Pakalpojuma veids</w:t>
            </w:r>
          </w:p>
        </w:tc>
        <w:tc>
          <w:tcPr>
            <w:tcW w:w="3947" w:type="dxa"/>
            <w:tcBorders>
              <w:top w:val="single" w:sz="5" w:space="0" w:color="000000"/>
              <w:left w:val="single" w:sz="5" w:space="0" w:color="000000"/>
              <w:bottom w:val="single" w:sz="5" w:space="0" w:color="000000"/>
              <w:right w:val="single" w:sz="5" w:space="0" w:color="000000"/>
            </w:tcBorders>
            <w:shd w:val="clear" w:color="auto" w:fill="EAF0DD"/>
          </w:tcPr>
          <w:p w14:paraId="5F8A9028" w14:textId="77777777" w:rsidR="002672AA" w:rsidRPr="001F0ECB" w:rsidRDefault="002672AA" w:rsidP="00975B5E">
            <w:pPr>
              <w:pStyle w:val="TableParagraph"/>
              <w:jc w:val="both"/>
              <w:rPr>
                <w:rFonts w:ascii="Times New Roman" w:hAnsi="Times New Roman"/>
                <w:b/>
                <w:noProof/>
                <w:sz w:val="24"/>
              </w:rPr>
            </w:pPr>
            <w:r>
              <w:rPr>
                <w:rFonts w:ascii="Times New Roman" w:hAnsi="Times New Roman"/>
                <w:b/>
                <w:sz w:val="24"/>
              </w:rPr>
              <w:t>Latvijas Bankas maksājumu bilance</w:t>
            </w:r>
          </w:p>
        </w:tc>
      </w:tr>
      <w:tr w:rsidR="001F0ECB" w:rsidRPr="001F0ECB" w14:paraId="33253D88"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00AAED5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Pakalpojumi, kopā</w:t>
            </w:r>
          </w:p>
        </w:tc>
        <w:tc>
          <w:tcPr>
            <w:tcW w:w="3947" w:type="dxa"/>
            <w:tcBorders>
              <w:top w:val="single" w:sz="5" w:space="0" w:color="000000"/>
              <w:left w:val="single" w:sz="5" w:space="0" w:color="000000"/>
              <w:bottom w:val="single" w:sz="5" w:space="0" w:color="000000"/>
              <w:right w:val="single" w:sz="5" w:space="0" w:color="000000"/>
            </w:tcBorders>
          </w:tcPr>
          <w:p w14:paraId="385F17EA"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“10340”</w:t>
            </w:r>
          </w:p>
        </w:tc>
      </w:tr>
      <w:tr w:rsidR="001F0ECB" w:rsidRPr="001F0ECB" w14:paraId="2C52A39B"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36B6615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Ražošanas pakalpojumi, apstrādājot citiem piederošus izejmateriālus</w:t>
            </w:r>
          </w:p>
        </w:tc>
        <w:tc>
          <w:tcPr>
            <w:tcW w:w="3947" w:type="dxa"/>
            <w:tcBorders>
              <w:top w:val="single" w:sz="5" w:space="0" w:color="000000"/>
              <w:left w:val="single" w:sz="5" w:space="0" w:color="000000"/>
              <w:bottom w:val="single" w:sz="5" w:space="0" w:color="000000"/>
              <w:right w:val="single" w:sz="5" w:space="0" w:color="000000"/>
            </w:tcBorders>
          </w:tcPr>
          <w:p w14:paraId="0DC07B9B"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“10360”</w:t>
            </w:r>
          </w:p>
        </w:tc>
      </w:tr>
      <w:tr w:rsidR="001F0ECB" w:rsidRPr="001F0ECB" w14:paraId="1012D5FB"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795B30E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Citur neiekļauti apkopes un remonta pakalpojumi</w:t>
            </w:r>
          </w:p>
        </w:tc>
        <w:tc>
          <w:tcPr>
            <w:tcW w:w="3947" w:type="dxa"/>
            <w:tcBorders>
              <w:top w:val="single" w:sz="5" w:space="0" w:color="000000"/>
              <w:left w:val="single" w:sz="5" w:space="0" w:color="000000"/>
              <w:bottom w:val="single" w:sz="5" w:space="0" w:color="000000"/>
              <w:right w:val="single" w:sz="5" w:space="0" w:color="000000"/>
            </w:tcBorders>
          </w:tcPr>
          <w:p w14:paraId="3A70AFBE"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“10380”</w:t>
            </w:r>
          </w:p>
        </w:tc>
      </w:tr>
      <w:tr w:rsidR="001F0ECB" w:rsidRPr="001F0ECB" w14:paraId="0014F5EF"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3DA7BC6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Transporta pakalpojumi</w:t>
            </w:r>
          </w:p>
        </w:tc>
        <w:tc>
          <w:tcPr>
            <w:tcW w:w="3947" w:type="dxa"/>
            <w:tcBorders>
              <w:top w:val="single" w:sz="5" w:space="0" w:color="000000"/>
              <w:left w:val="single" w:sz="5" w:space="0" w:color="000000"/>
              <w:bottom w:val="single" w:sz="5" w:space="0" w:color="000000"/>
              <w:right w:val="single" w:sz="5" w:space="0" w:color="000000"/>
            </w:tcBorders>
          </w:tcPr>
          <w:p w14:paraId="66F27F92"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“10400”</w:t>
            </w:r>
          </w:p>
        </w:tc>
      </w:tr>
      <w:tr w:rsidR="001F0ECB" w:rsidRPr="001F0ECB" w14:paraId="3310F7B9"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3F2B88E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Telesakaru pakalpojumi</w:t>
            </w:r>
          </w:p>
        </w:tc>
        <w:tc>
          <w:tcPr>
            <w:tcW w:w="3947" w:type="dxa"/>
            <w:tcBorders>
              <w:top w:val="single" w:sz="5" w:space="0" w:color="000000"/>
              <w:left w:val="single" w:sz="5" w:space="0" w:color="000000"/>
              <w:bottom w:val="single" w:sz="5" w:space="0" w:color="000000"/>
              <w:right w:val="single" w:sz="5" w:space="0" w:color="000000"/>
            </w:tcBorders>
          </w:tcPr>
          <w:p w14:paraId="042FA671"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“11340”</w:t>
            </w:r>
          </w:p>
        </w:tc>
      </w:tr>
      <w:tr w:rsidR="002672AA" w:rsidRPr="001F0ECB" w14:paraId="614E79B3"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2CFC304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Apdrošināšanas un pensiju pakalpojumi</w:t>
            </w:r>
          </w:p>
        </w:tc>
        <w:tc>
          <w:tcPr>
            <w:tcW w:w="3947" w:type="dxa"/>
            <w:tcBorders>
              <w:top w:val="single" w:sz="5" w:space="0" w:color="000000"/>
              <w:left w:val="single" w:sz="5" w:space="0" w:color="000000"/>
              <w:bottom w:val="single" w:sz="5" w:space="0" w:color="000000"/>
              <w:right w:val="single" w:sz="5" w:space="0" w:color="000000"/>
            </w:tcBorders>
          </w:tcPr>
          <w:p w14:paraId="61D5C75F"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“11040”</w:t>
            </w:r>
          </w:p>
        </w:tc>
      </w:tr>
      <w:tr w:rsidR="001F0ECB" w:rsidRPr="001F0ECB" w14:paraId="1DD34442"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1A9FC15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Finanšu pakalpojumi, par kuriem maksā tieši, un citi finanšu pakalpojumi</w:t>
            </w:r>
          </w:p>
        </w:tc>
        <w:tc>
          <w:tcPr>
            <w:tcW w:w="3947" w:type="dxa"/>
            <w:tcBorders>
              <w:top w:val="single" w:sz="5" w:space="0" w:color="000000"/>
              <w:left w:val="single" w:sz="5" w:space="0" w:color="000000"/>
              <w:bottom w:val="single" w:sz="5" w:space="0" w:color="000000"/>
              <w:right w:val="single" w:sz="5" w:space="0" w:color="000000"/>
            </w:tcBorders>
          </w:tcPr>
          <w:p w14:paraId="7DC8DD00"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“11260”</w:t>
            </w:r>
          </w:p>
        </w:tc>
      </w:tr>
      <w:tr w:rsidR="001F0ECB" w:rsidRPr="001F0ECB" w14:paraId="56F4061F"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4CEE6A2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Darījumu braucieni</w:t>
            </w:r>
          </w:p>
        </w:tc>
        <w:tc>
          <w:tcPr>
            <w:tcW w:w="3947" w:type="dxa"/>
            <w:tcBorders>
              <w:top w:val="single" w:sz="5" w:space="0" w:color="000000"/>
              <w:left w:val="single" w:sz="5" w:space="0" w:color="000000"/>
              <w:bottom w:val="single" w:sz="5" w:space="0" w:color="000000"/>
              <w:right w:val="single" w:sz="5" w:space="0" w:color="000000"/>
            </w:tcBorders>
          </w:tcPr>
          <w:p w14:paraId="716BFDC9"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“10840”</w:t>
            </w:r>
          </w:p>
        </w:tc>
      </w:tr>
      <w:tr w:rsidR="001F0ECB" w:rsidRPr="001F0ECB" w14:paraId="344690ED"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6A9BC81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Personiskie braucieni</w:t>
            </w:r>
          </w:p>
        </w:tc>
        <w:tc>
          <w:tcPr>
            <w:tcW w:w="3947" w:type="dxa"/>
            <w:tcBorders>
              <w:top w:val="single" w:sz="5" w:space="0" w:color="000000"/>
              <w:left w:val="single" w:sz="5" w:space="0" w:color="000000"/>
              <w:bottom w:val="single" w:sz="5" w:space="0" w:color="000000"/>
              <w:right w:val="single" w:sz="5" w:space="0" w:color="000000"/>
            </w:tcBorders>
          </w:tcPr>
          <w:p w14:paraId="7557618F"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“10900”</w:t>
            </w:r>
          </w:p>
        </w:tc>
      </w:tr>
      <w:tr w:rsidR="001F0ECB" w:rsidRPr="001F0ECB" w14:paraId="625ACE48"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1232B62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Būvniecība</w:t>
            </w:r>
          </w:p>
        </w:tc>
        <w:tc>
          <w:tcPr>
            <w:tcW w:w="3947" w:type="dxa"/>
            <w:tcBorders>
              <w:top w:val="single" w:sz="5" w:space="0" w:color="000000"/>
              <w:left w:val="single" w:sz="5" w:space="0" w:color="000000"/>
              <w:bottom w:val="single" w:sz="5" w:space="0" w:color="000000"/>
              <w:right w:val="single" w:sz="5" w:space="0" w:color="000000"/>
            </w:tcBorders>
          </w:tcPr>
          <w:p w14:paraId="3E83D3A2"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“10980”</w:t>
            </w:r>
          </w:p>
        </w:tc>
      </w:tr>
      <w:tr w:rsidR="001F0ECB" w:rsidRPr="001F0ECB" w14:paraId="3313FBE7"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50A8979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Datorpakalpojumi</w:t>
            </w:r>
          </w:p>
        </w:tc>
        <w:tc>
          <w:tcPr>
            <w:tcW w:w="3947" w:type="dxa"/>
            <w:tcBorders>
              <w:top w:val="single" w:sz="5" w:space="0" w:color="000000"/>
              <w:left w:val="single" w:sz="5" w:space="0" w:color="000000"/>
              <w:bottom w:val="single" w:sz="5" w:space="0" w:color="000000"/>
              <w:right w:val="single" w:sz="5" w:space="0" w:color="000000"/>
            </w:tcBorders>
          </w:tcPr>
          <w:p w14:paraId="6ECC6A39"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“11360”</w:t>
            </w:r>
          </w:p>
        </w:tc>
      </w:tr>
      <w:tr w:rsidR="001F0ECB" w:rsidRPr="001F0ECB" w14:paraId="23076620"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20B395A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Informācijas pakalpojumi</w:t>
            </w:r>
          </w:p>
        </w:tc>
        <w:tc>
          <w:tcPr>
            <w:tcW w:w="3947" w:type="dxa"/>
            <w:tcBorders>
              <w:top w:val="single" w:sz="5" w:space="0" w:color="000000"/>
              <w:left w:val="single" w:sz="5" w:space="0" w:color="000000"/>
              <w:bottom w:val="single" w:sz="5" w:space="0" w:color="000000"/>
              <w:right w:val="single" w:sz="5" w:space="0" w:color="000000"/>
            </w:tcBorders>
          </w:tcPr>
          <w:p w14:paraId="2481CFA3"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“11380”</w:t>
            </w:r>
          </w:p>
        </w:tc>
      </w:tr>
      <w:tr w:rsidR="001F0ECB" w:rsidRPr="001F0ECB" w14:paraId="30EC3804"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6DE59F2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Citur neiekļauta maksa par intelektuālā īpašuma izmantošanu</w:t>
            </w:r>
          </w:p>
        </w:tc>
        <w:tc>
          <w:tcPr>
            <w:tcW w:w="3947" w:type="dxa"/>
            <w:tcBorders>
              <w:top w:val="single" w:sz="5" w:space="0" w:color="000000"/>
              <w:left w:val="single" w:sz="5" w:space="0" w:color="000000"/>
              <w:bottom w:val="single" w:sz="5" w:space="0" w:color="000000"/>
              <w:right w:val="single" w:sz="5" w:space="0" w:color="000000"/>
            </w:tcBorders>
          </w:tcPr>
          <w:p w14:paraId="1D17B0F4"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“11300”</w:t>
            </w:r>
          </w:p>
        </w:tc>
      </w:tr>
      <w:tr w:rsidR="001F0ECB" w:rsidRPr="001F0ECB" w14:paraId="5BBBFACE"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712DADD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Citi saimnieciskās darbības pakalpojumi</w:t>
            </w:r>
          </w:p>
        </w:tc>
        <w:tc>
          <w:tcPr>
            <w:tcW w:w="3947" w:type="dxa"/>
            <w:tcBorders>
              <w:top w:val="single" w:sz="5" w:space="0" w:color="000000"/>
              <w:left w:val="single" w:sz="5" w:space="0" w:color="000000"/>
              <w:bottom w:val="single" w:sz="5" w:space="0" w:color="000000"/>
              <w:right w:val="single" w:sz="5" w:space="0" w:color="000000"/>
            </w:tcBorders>
          </w:tcPr>
          <w:p w14:paraId="007320BF"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“11440”</w:t>
            </w:r>
          </w:p>
        </w:tc>
      </w:tr>
      <w:tr w:rsidR="001F0ECB" w:rsidRPr="001F0ECB" w14:paraId="5E0DA39F"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55918C4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Citur neiekļautās valdības preces un pakalpojumi</w:t>
            </w:r>
          </w:p>
        </w:tc>
        <w:tc>
          <w:tcPr>
            <w:tcW w:w="3947" w:type="dxa"/>
            <w:tcBorders>
              <w:top w:val="single" w:sz="5" w:space="0" w:color="000000"/>
              <w:left w:val="single" w:sz="5" w:space="0" w:color="000000"/>
              <w:bottom w:val="single" w:sz="5" w:space="0" w:color="000000"/>
              <w:right w:val="single" w:sz="5" w:space="0" w:color="000000"/>
            </w:tcBorders>
          </w:tcPr>
          <w:p w14:paraId="4BBE4944"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“12060”</w:t>
            </w:r>
          </w:p>
        </w:tc>
      </w:tr>
      <w:tr w:rsidR="001F0ECB" w:rsidRPr="001F0ECB" w14:paraId="0C0A97A9"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4C4AF68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lastRenderedPageBreak/>
              <w:t>Individuālie, kultūras un atpūtas pakalpojumi</w:t>
            </w:r>
          </w:p>
        </w:tc>
        <w:tc>
          <w:tcPr>
            <w:tcW w:w="3947" w:type="dxa"/>
            <w:tcBorders>
              <w:top w:val="single" w:sz="5" w:space="0" w:color="000000"/>
              <w:left w:val="single" w:sz="5" w:space="0" w:color="000000"/>
              <w:bottom w:val="single" w:sz="5" w:space="0" w:color="000000"/>
              <w:right w:val="single" w:sz="5" w:space="0" w:color="000000"/>
            </w:tcBorders>
          </w:tcPr>
          <w:p w14:paraId="72DFBAB5"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“11920”</w:t>
            </w:r>
          </w:p>
        </w:tc>
      </w:tr>
      <w:tr w:rsidR="002672AA" w:rsidRPr="001F0ECB" w14:paraId="10B72638" w14:textId="77777777" w:rsidTr="00591393">
        <w:tc>
          <w:tcPr>
            <w:tcW w:w="3992" w:type="dxa"/>
            <w:tcBorders>
              <w:top w:val="single" w:sz="5" w:space="0" w:color="000000"/>
              <w:left w:val="single" w:sz="5" w:space="0" w:color="000000"/>
              <w:bottom w:val="single" w:sz="5" w:space="0" w:color="000000"/>
              <w:right w:val="single" w:sz="5" w:space="0" w:color="000000"/>
            </w:tcBorders>
          </w:tcPr>
          <w:p w14:paraId="0D68E31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Netieši novērtētie finanšu starpniecības pakalpojumi (</w:t>
            </w:r>
            <w:r>
              <w:rPr>
                <w:rFonts w:ascii="Times New Roman" w:hAnsi="Times New Roman"/>
                <w:i/>
                <w:iCs/>
                <w:sz w:val="24"/>
              </w:rPr>
              <w:t>FISIM</w:t>
            </w:r>
            <w:r>
              <w:rPr>
                <w:rFonts w:ascii="Times New Roman" w:hAnsi="Times New Roman"/>
                <w:sz w:val="24"/>
              </w:rPr>
              <w:t>)</w:t>
            </w:r>
          </w:p>
        </w:tc>
        <w:tc>
          <w:tcPr>
            <w:tcW w:w="3947" w:type="dxa"/>
            <w:tcBorders>
              <w:top w:val="single" w:sz="5" w:space="0" w:color="000000"/>
              <w:left w:val="single" w:sz="5" w:space="0" w:color="000000"/>
              <w:bottom w:val="single" w:sz="5" w:space="0" w:color="000000"/>
              <w:right w:val="single" w:sz="5" w:space="0" w:color="000000"/>
            </w:tcBorders>
          </w:tcPr>
          <w:p w14:paraId="0BDBF79E" w14:textId="77777777" w:rsidR="002672AA" w:rsidRPr="001F0ECB" w:rsidRDefault="002672AA" w:rsidP="00591393">
            <w:pPr>
              <w:pStyle w:val="TableParagraph"/>
              <w:jc w:val="center"/>
              <w:rPr>
                <w:rFonts w:ascii="Times New Roman" w:hAnsi="Times New Roman"/>
                <w:noProof/>
                <w:sz w:val="24"/>
              </w:rPr>
            </w:pPr>
            <w:r>
              <w:rPr>
                <w:rFonts w:ascii="Times New Roman" w:hAnsi="Times New Roman"/>
                <w:sz w:val="24"/>
              </w:rPr>
              <w:t>Kods “11280”</w:t>
            </w:r>
          </w:p>
        </w:tc>
      </w:tr>
    </w:tbl>
    <w:p w14:paraId="5D41E033" w14:textId="77777777" w:rsidR="002672AA" w:rsidRPr="001F0ECB" w:rsidRDefault="002672AA" w:rsidP="00975B5E">
      <w:pPr>
        <w:jc w:val="both"/>
        <w:rPr>
          <w:rFonts w:ascii="Times New Roman" w:eastAsia="Calibri" w:hAnsi="Times New Roman" w:cs="Calibri"/>
          <w:b/>
          <w:bCs/>
          <w:noProof/>
          <w:sz w:val="24"/>
          <w:szCs w:val="5"/>
        </w:rPr>
      </w:pPr>
    </w:p>
    <w:p w14:paraId="4342E4A9"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Eksporta un importa pakalpojumus salīdzināmās cenās aprēķina, izmantojot dažādus indeksus – PCI, BPCI, BII, EVVI, ICI.</w:t>
      </w:r>
    </w:p>
    <w:p w14:paraId="784B02F4" w14:textId="77777777" w:rsidR="00591393" w:rsidRPr="001F0ECB" w:rsidRDefault="00591393" w:rsidP="00975B5E">
      <w:pPr>
        <w:pStyle w:val="BodyText"/>
        <w:spacing w:before="0"/>
        <w:ind w:left="0"/>
        <w:jc w:val="both"/>
        <w:rPr>
          <w:rFonts w:ascii="Times New Roman" w:hAnsi="Times New Roman"/>
          <w:noProof/>
        </w:rPr>
      </w:pPr>
    </w:p>
    <w:p w14:paraId="70BD497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Katrā ceturksnī aprēķina valūtas korekciju, lai nodrošinātu, ka valūtas maiņas kurss neietekmē iepriekšējā gada cenas.</w:t>
      </w:r>
    </w:p>
    <w:p w14:paraId="28B9548C" w14:textId="77777777" w:rsidR="00591393" w:rsidRDefault="00591393" w:rsidP="00975B5E">
      <w:pPr>
        <w:pStyle w:val="BodyText"/>
        <w:spacing w:before="0"/>
        <w:ind w:left="0"/>
        <w:jc w:val="both"/>
        <w:rPr>
          <w:rFonts w:ascii="Times New Roman" w:hAnsi="Times New Roman"/>
          <w:noProof/>
        </w:rPr>
      </w:pPr>
    </w:p>
    <w:p w14:paraId="6F4C17EE" w14:textId="4CD7D2BB" w:rsidR="00591393" w:rsidRDefault="002672AA" w:rsidP="00975B5E">
      <w:pPr>
        <w:pStyle w:val="BodyText"/>
        <w:spacing w:before="0"/>
        <w:ind w:left="0"/>
        <w:jc w:val="both"/>
        <w:rPr>
          <w:rFonts w:ascii="Times New Roman" w:hAnsi="Times New Roman"/>
        </w:rPr>
      </w:pPr>
      <w:r>
        <w:rPr>
          <w:rFonts w:ascii="Times New Roman" w:hAnsi="Times New Roman"/>
        </w:rPr>
        <w:t xml:space="preserve">Aprēķins tiek veikts, izmantojot Latvijas Bankas tīmekļa vietnē publicētos valūtas kursus: </w:t>
      </w:r>
      <w:hyperlink r:id="rId27" w:history="1">
        <w:r w:rsidR="002E4E62" w:rsidRPr="00A10C99">
          <w:rPr>
            <w:rStyle w:val="Hyperlink"/>
            <w:rFonts w:ascii="Times New Roman" w:hAnsi="Times New Roman"/>
          </w:rPr>
          <w:t>https://www.bank.lv/statistika/dati-statistika/valutu-kursi/lb-valutu-kursu-parskats</w:t>
        </w:r>
      </w:hyperlink>
      <w:r w:rsidR="002E4E62">
        <w:rPr>
          <w:rFonts w:ascii="Times New Roman" w:hAnsi="Times New Roman"/>
        </w:rPr>
        <w:t>.</w:t>
      </w:r>
    </w:p>
    <w:p w14:paraId="0EBC1C37" w14:textId="77777777" w:rsidR="002E4E62" w:rsidRDefault="002E4E62" w:rsidP="00975B5E">
      <w:pPr>
        <w:pStyle w:val="BodyText"/>
        <w:spacing w:before="0"/>
        <w:ind w:left="0"/>
        <w:jc w:val="both"/>
        <w:rPr>
          <w:rFonts w:ascii="Times New Roman" w:hAnsi="Times New Roman"/>
          <w:noProof/>
        </w:rPr>
      </w:pPr>
    </w:p>
    <w:p w14:paraId="553EE67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Šeit atlasa attiecīgā perioda valūtas maiņas kursus un datumus (piemēram, no 01.10.2018. līdz 31.12.2018. par ceturto ceturksni) un aprēķina katras valūtas vidējo kursu.</w:t>
      </w:r>
    </w:p>
    <w:p w14:paraId="691D524D" w14:textId="77777777" w:rsidR="00591393" w:rsidRPr="001F0ECB" w:rsidRDefault="00591393" w:rsidP="00975B5E">
      <w:pPr>
        <w:pStyle w:val="BodyText"/>
        <w:spacing w:before="0"/>
        <w:ind w:left="0"/>
        <w:jc w:val="both"/>
        <w:rPr>
          <w:rFonts w:ascii="Times New Roman" w:hAnsi="Times New Roman"/>
          <w:noProof/>
        </w:rPr>
      </w:pPr>
    </w:p>
    <w:p w14:paraId="24EB4EB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Reizi gadā no Latvijas Bankas tiek saņemti atjaunināti dati par iepriekšējā gada valūtu sadalījumu – ja sastāvs ir mainījies, tiek veikta korekcija. Attiecībā uz Eiropas Savienības daļu, kas neietilpst eurozonā, un pārējo pasauli atsevišķi aprēķina korekcijas katram valūtas veidam.</w:t>
      </w:r>
    </w:p>
    <w:p w14:paraId="72373D75" w14:textId="77777777" w:rsidR="00591393" w:rsidRDefault="00591393" w:rsidP="00975B5E">
      <w:pPr>
        <w:pStyle w:val="BodyText"/>
        <w:spacing w:before="0"/>
        <w:ind w:left="0"/>
        <w:jc w:val="both"/>
        <w:rPr>
          <w:rFonts w:ascii="Times New Roman" w:hAnsi="Times New Roman"/>
          <w:noProof/>
        </w:rPr>
      </w:pPr>
    </w:p>
    <w:p w14:paraId="4C3DAB3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Visbeidzot tiek veikta pakalpojumu eksporta un importa vērtēšana iepriekšējā gada cenās ar koriģētu valūtas vērtību.</w:t>
      </w:r>
    </w:p>
    <w:p w14:paraId="74DD29AD" w14:textId="77777777" w:rsidR="00975B5E" w:rsidRDefault="00975B5E" w:rsidP="00975B5E">
      <w:pPr>
        <w:jc w:val="both"/>
        <w:rPr>
          <w:rFonts w:ascii="Times New Roman" w:hAnsi="Times New Roman"/>
          <w:noProof/>
          <w:sz w:val="24"/>
        </w:rPr>
      </w:pPr>
    </w:p>
    <w:p w14:paraId="6394B87F" w14:textId="77777777" w:rsidR="00591393" w:rsidRPr="001F0ECB" w:rsidRDefault="00591393" w:rsidP="00975B5E">
      <w:pPr>
        <w:jc w:val="both"/>
        <w:rPr>
          <w:rFonts w:ascii="Times New Roman" w:hAnsi="Times New Roman"/>
          <w:noProof/>
          <w:sz w:val="24"/>
        </w:rPr>
      </w:pPr>
    </w:p>
    <w:p w14:paraId="5B76DAA5" w14:textId="77777777" w:rsidR="002672AA" w:rsidRPr="003768EF" w:rsidRDefault="00591393" w:rsidP="00591393">
      <w:pPr>
        <w:pStyle w:val="Heading1"/>
        <w:tabs>
          <w:tab w:val="left" w:pos="821"/>
        </w:tabs>
        <w:spacing w:before="0"/>
        <w:ind w:left="0" w:firstLine="0"/>
        <w:jc w:val="both"/>
        <w:rPr>
          <w:rFonts w:ascii="Times New Roman" w:hAnsi="Times New Roman"/>
          <w:noProof/>
          <w:sz w:val="28"/>
          <w:szCs w:val="40"/>
        </w:rPr>
      </w:pPr>
      <w:bookmarkStart w:id="80" w:name="_Toc73461262"/>
      <w:r w:rsidRPr="003768EF">
        <w:rPr>
          <w:rFonts w:ascii="Times New Roman" w:hAnsi="Times New Roman"/>
          <w:sz w:val="28"/>
          <w:szCs w:val="40"/>
        </w:rPr>
        <w:t>6. IKP komponentes – ienākumu pieeja</w:t>
      </w:r>
      <w:bookmarkStart w:id="81" w:name="_bookmark40"/>
      <w:bookmarkEnd w:id="80"/>
      <w:bookmarkEnd w:id="81"/>
    </w:p>
    <w:p w14:paraId="79AEC51A" w14:textId="77777777" w:rsidR="00591393" w:rsidRDefault="00591393" w:rsidP="00975B5E">
      <w:pPr>
        <w:pStyle w:val="BodyText"/>
        <w:spacing w:before="0"/>
        <w:ind w:left="0"/>
        <w:jc w:val="both"/>
        <w:rPr>
          <w:rFonts w:ascii="Times New Roman" w:hAnsi="Times New Roman"/>
          <w:noProof/>
        </w:rPr>
      </w:pPr>
    </w:p>
    <w:p w14:paraId="40CC7C7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Ienākumu pieeja, ko Latvijā izmanto, lai ceturkšņa nacionālajos kontos aprēķinātu IKP, nav uzskatāma par neatkarīgu pieeju.</w:t>
      </w:r>
    </w:p>
    <w:p w14:paraId="7FD0C5F6" w14:textId="77777777" w:rsidR="00591393" w:rsidRDefault="00591393" w:rsidP="00975B5E">
      <w:pPr>
        <w:pStyle w:val="BodyText"/>
        <w:spacing w:before="0"/>
        <w:ind w:left="0"/>
        <w:jc w:val="both"/>
        <w:rPr>
          <w:rFonts w:ascii="Times New Roman" w:hAnsi="Times New Roman"/>
          <w:noProof/>
        </w:rPr>
      </w:pPr>
    </w:p>
    <w:p w14:paraId="0747668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saskaņā ar ienākumu pieeju atspoguļo ienākumus, kurus veido preču ražošana un pakalpojumu sniegšana, kam pieskaita ražošanas un importa nodokļus un atņem subsīdijas.</w:t>
      </w:r>
    </w:p>
    <w:p w14:paraId="5936168C" w14:textId="77777777" w:rsidR="00591393" w:rsidRDefault="00591393" w:rsidP="00975B5E">
      <w:pPr>
        <w:pStyle w:val="BodyText"/>
        <w:spacing w:before="0"/>
        <w:ind w:left="0"/>
        <w:jc w:val="both"/>
        <w:rPr>
          <w:rFonts w:ascii="Times New Roman" w:hAnsi="Times New Roman"/>
          <w:noProof/>
        </w:rPr>
      </w:pPr>
    </w:p>
    <w:p w14:paraId="0B0BE53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Dati par saimnieciskās darbības primārajiem ienākumiem – lai aprēķinātu IKP saskaņā ar ienākumu pieeju, tiek apkopoti dati par darbinieku atalgojumu (darba alga naudā un natūrā un darba devēju sociālās iemaksas), ražošanas un importa nodokļiem, subsīdijām, bruto darbības rezultātu un jaukto ienākumu.</w:t>
      </w:r>
    </w:p>
    <w:p w14:paraId="6264EEC1" w14:textId="77777777" w:rsidR="00591393" w:rsidRPr="001F0ECB" w:rsidRDefault="00591393" w:rsidP="00975B5E">
      <w:pPr>
        <w:pStyle w:val="BodyText"/>
        <w:spacing w:before="0"/>
        <w:ind w:left="0"/>
        <w:jc w:val="both"/>
        <w:rPr>
          <w:rFonts w:ascii="Times New Roman" w:hAnsi="Times New Roman"/>
          <w:noProof/>
        </w:rPr>
      </w:pPr>
    </w:p>
    <w:p w14:paraId="55284D69"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Saskaņā ar ienākumu pieeju aprēķinātais IKP ietver:</w:t>
      </w:r>
    </w:p>
    <w:p w14:paraId="062E932F" w14:textId="77777777" w:rsidR="00591393" w:rsidRPr="001F0ECB" w:rsidRDefault="00591393" w:rsidP="00975B5E">
      <w:pPr>
        <w:pStyle w:val="BodyText"/>
        <w:spacing w:before="0"/>
        <w:ind w:left="0"/>
        <w:jc w:val="both"/>
        <w:rPr>
          <w:rFonts w:ascii="Times New Roman" w:hAnsi="Times New Roman"/>
          <w:noProof/>
        </w:rPr>
      </w:pPr>
    </w:p>
    <w:p w14:paraId="43D123FA" w14:textId="77777777" w:rsidR="002672AA" w:rsidRDefault="002672AA" w:rsidP="00591393">
      <w:pPr>
        <w:pStyle w:val="BodyText"/>
        <w:numPr>
          <w:ilvl w:val="0"/>
          <w:numId w:val="5"/>
        </w:numPr>
        <w:spacing w:before="0"/>
        <w:ind w:left="709" w:hanging="425"/>
        <w:jc w:val="both"/>
        <w:rPr>
          <w:rFonts w:ascii="Times New Roman" w:hAnsi="Times New Roman"/>
          <w:noProof/>
        </w:rPr>
      </w:pPr>
      <w:r>
        <w:rPr>
          <w:rFonts w:ascii="Times New Roman" w:hAnsi="Times New Roman"/>
        </w:rPr>
        <w:t>darbinieku atalgojumu (D.1);</w:t>
      </w:r>
    </w:p>
    <w:p w14:paraId="495E069C" w14:textId="77777777" w:rsidR="00591393" w:rsidRPr="001F0ECB" w:rsidRDefault="00591393" w:rsidP="00591393">
      <w:pPr>
        <w:pStyle w:val="BodyText"/>
        <w:spacing w:before="0"/>
        <w:ind w:left="709"/>
        <w:jc w:val="both"/>
        <w:rPr>
          <w:rFonts w:ascii="Times New Roman" w:hAnsi="Times New Roman"/>
          <w:noProof/>
        </w:rPr>
      </w:pPr>
    </w:p>
    <w:p w14:paraId="373071E1" w14:textId="77777777" w:rsidR="002672AA" w:rsidRPr="001F0ECB" w:rsidRDefault="002672AA" w:rsidP="00591393">
      <w:pPr>
        <w:pStyle w:val="BodyText"/>
        <w:numPr>
          <w:ilvl w:val="1"/>
          <w:numId w:val="5"/>
        </w:numPr>
        <w:spacing w:before="0"/>
        <w:ind w:left="1134" w:hanging="425"/>
        <w:jc w:val="both"/>
        <w:rPr>
          <w:rFonts w:ascii="Times New Roman" w:hAnsi="Times New Roman"/>
          <w:noProof/>
        </w:rPr>
      </w:pPr>
      <w:r>
        <w:rPr>
          <w:rFonts w:ascii="Times New Roman" w:hAnsi="Times New Roman"/>
        </w:rPr>
        <w:t>darba algas (D.11);</w:t>
      </w:r>
    </w:p>
    <w:p w14:paraId="588D8B18" w14:textId="77777777" w:rsidR="002672AA" w:rsidRDefault="002672AA" w:rsidP="00591393">
      <w:pPr>
        <w:pStyle w:val="BodyText"/>
        <w:numPr>
          <w:ilvl w:val="1"/>
          <w:numId w:val="5"/>
        </w:numPr>
        <w:spacing w:before="0"/>
        <w:ind w:left="1134" w:hanging="425"/>
        <w:jc w:val="both"/>
        <w:rPr>
          <w:rFonts w:ascii="Times New Roman" w:hAnsi="Times New Roman"/>
          <w:noProof/>
        </w:rPr>
      </w:pPr>
      <w:r>
        <w:rPr>
          <w:rFonts w:ascii="Times New Roman" w:hAnsi="Times New Roman"/>
        </w:rPr>
        <w:t>darba devēju sociālās iemaksas (D.12);</w:t>
      </w:r>
    </w:p>
    <w:p w14:paraId="491E0710" w14:textId="77777777" w:rsidR="00591393" w:rsidRPr="001F0ECB" w:rsidRDefault="00591393" w:rsidP="00591393">
      <w:pPr>
        <w:pStyle w:val="BodyText"/>
        <w:spacing w:before="0"/>
        <w:ind w:left="709"/>
        <w:jc w:val="both"/>
        <w:rPr>
          <w:rFonts w:ascii="Times New Roman" w:hAnsi="Times New Roman"/>
          <w:noProof/>
        </w:rPr>
      </w:pPr>
    </w:p>
    <w:p w14:paraId="2001C782" w14:textId="77777777" w:rsidR="002672AA" w:rsidRPr="001F0ECB" w:rsidRDefault="002672AA" w:rsidP="00591393">
      <w:pPr>
        <w:pStyle w:val="BodyText"/>
        <w:tabs>
          <w:tab w:val="left" w:pos="1540"/>
        </w:tabs>
        <w:spacing w:before="0"/>
        <w:ind w:left="1560" w:hanging="425"/>
        <w:jc w:val="both"/>
        <w:rPr>
          <w:rFonts w:ascii="Times New Roman" w:hAnsi="Times New Roman"/>
          <w:noProof/>
        </w:rPr>
      </w:pPr>
      <w:r>
        <w:rPr>
          <w:rFonts w:ascii="Times New Roman" w:hAnsi="Times New Roman"/>
        </w:rPr>
        <w:t></w:t>
      </w:r>
      <w:r>
        <w:rPr>
          <w:rFonts w:ascii="Times New Roman" w:hAnsi="Times New Roman"/>
        </w:rPr>
        <w:tab/>
        <w:t>darba devēju faktiskās sociālās iemaksas (D.121);</w:t>
      </w:r>
    </w:p>
    <w:p w14:paraId="7F4F7FC5" w14:textId="77777777" w:rsidR="002672AA" w:rsidRDefault="002672AA" w:rsidP="00591393">
      <w:pPr>
        <w:pStyle w:val="BodyText"/>
        <w:tabs>
          <w:tab w:val="left" w:pos="1540"/>
        </w:tabs>
        <w:spacing w:before="0"/>
        <w:ind w:left="1560" w:hanging="425"/>
        <w:jc w:val="both"/>
        <w:rPr>
          <w:rFonts w:ascii="Times New Roman" w:hAnsi="Times New Roman"/>
          <w:noProof/>
        </w:rPr>
      </w:pPr>
      <w:r>
        <w:rPr>
          <w:rFonts w:ascii="Times New Roman" w:hAnsi="Times New Roman"/>
        </w:rPr>
        <w:t></w:t>
      </w:r>
      <w:r>
        <w:rPr>
          <w:rFonts w:ascii="Times New Roman" w:hAnsi="Times New Roman"/>
        </w:rPr>
        <w:tab/>
        <w:t>darba devēju nosacītās sociālās iemaksas (D.122);</w:t>
      </w:r>
    </w:p>
    <w:p w14:paraId="27E59597" w14:textId="77777777" w:rsidR="00591393" w:rsidRPr="001F0ECB" w:rsidRDefault="00591393" w:rsidP="00591393">
      <w:pPr>
        <w:pStyle w:val="BodyText"/>
        <w:tabs>
          <w:tab w:val="left" w:pos="1540"/>
        </w:tabs>
        <w:spacing w:before="0"/>
        <w:jc w:val="both"/>
        <w:rPr>
          <w:rFonts w:ascii="Times New Roman" w:hAnsi="Times New Roman"/>
          <w:noProof/>
        </w:rPr>
      </w:pPr>
    </w:p>
    <w:p w14:paraId="2DA8806C" w14:textId="77777777" w:rsidR="002672AA" w:rsidRPr="001F0ECB" w:rsidRDefault="002672AA" w:rsidP="00591393">
      <w:pPr>
        <w:pStyle w:val="BodyText"/>
        <w:numPr>
          <w:ilvl w:val="0"/>
          <w:numId w:val="5"/>
        </w:numPr>
        <w:spacing w:before="0"/>
        <w:ind w:left="709" w:hanging="425"/>
        <w:jc w:val="both"/>
        <w:rPr>
          <w:rFonts w:ascii="Times New Roman" w:hAnsi="Times New Roman"/>
          <w:noProof/>
        </w:rPr>
      </w:pPr>
      <w:r>
        <w:rPr>
          <w:rFonts w:ascii="Times New Roman" w:hAnsi="Times New Roman"/>
        </w:rPr>
        <w:t>ražošanas un importa nodokļus (D.2);</w:t>
      </w:r>
    </w:p>
    <w:p w14:paraId="34537C69" w14:textId="77777777" w:rsidR="002672AA" w:rsidRDefault="002672AA" w:rsidP="00591393">
      <w:pPr>
        <w:pStyle w:val="BodyText"/>
        <w:numPr>
          <w:ilvl w:val="0"/>
          <w:numId w:val="5"/>
        </w:numPr>
        <w:spacing w:before="0"/>
        <w:ind w:left="709" w:hanging="425"/>
        <w:jc w:val="both"/>
        <w:rPr>
          <w:rFonts w:ascii="Times New Roman" w:hAnsi="Times New Roman"/>
          <w:noProof/>
        </w:rPr>
      </w:pPr>
      <w:r>
        <w:rPr>
          <w:rFonts w:ascii="Times New Roman" w:hAnsi="Times New Roman"/>
        </w:rPr>
        <w:lastRenderedPageBreak/>
        <w:t>subsīdijas (D.3);</w:t>
      </w:r>
    </w:p>
    <w:p w14:paraId="01D8A56F" w14:textId="77777777" w:rsidR="00591393" w:rsidRPr="001F0ECB" w:rsidRDefault="00591393" w:rsidP="00591393">
      <w:pPr>
        <w:pStyle w:val="BodyText"/>
        <w:spacing w:before="0"/>
        <w:ind w:left="709"/>
        <w:jc w:val="both"/>
        <w:rPr>
          <w:rFonts w:ascii="Times New Roman" w:hAnsi="Times New Roman"/>
          <w:noProof/>
        </w:rPr>
      </w:pPr>
    </w:p>
    <w:p w14:paraId="6F4F4C44" w14:textId="77777777" w:rsidR="002672AA" w:rsidRPr="001F0ECB" w:rsidRDefault="002672AA" w:rsidP="00591393">
      <w:pPr>
        <w:pStyle w:val="BodyText"/>
        <w:tabs>
          <w:tab w:val="left" w:pos="1540"/>
        </w:tabs>
        <w:spacing w:before="0"/>
        <w:ind w:left="1560" w:hanging="425"/>
        <w:jc w:val="both"/>
        <w:rPr>
          <w:rFonts w:ascii="Times New Roman" w:hAnsi="Times New Roman"/>
          <w:noProof/>
        </w:rPr>
      </w:pPr>
      <w:r>
        <w:rPr>
          <w:rFonts w:ascii="Times New Roman" w:hAnsi="Times New Roman"/>
        </w:rPr>
        <w:t></w:t>
      </w:r>
      <w:r>
        <w:rPr>
          <w:rFonts w:ascii="Times New Roman" w:hAnsi="Times New Roman"/>
        </w:rPr>
        <w:tab/>
        <w:t>produktu subsīdijas (D.31);</w:t>
      </w:r>
    </w:p>
    <w:p w14:paraId="502DCEB5" w14:textId="77777777" w:rsidR="002672AA" w:rsidRDefault="002672AA" w:rsidP="00591393">
      <w:pPr>
        <w:pStyle w:val="BodyText"/>
        <w:tabs>
          <w:tab w:val="left" w:pos="1540"/>
        </w:tabs>
        <w:spacing w:before="0"/>
        <w:ind w:left="1560" w:hanging="425"/>
        <w:jc w:val="both"/>
        <w:rPr>
          <w:rFonts w:ascii="Times New Roman" w:hAnsi="Times New Roman"/>
          <w:noProof/>
        </w:rPr>
      </w:pPr>
      <w:r>
        <w:rPr>
          <w:rFonts w:ascii="Times New Roman" w:hAnsi="Times New Roman"/>
        </w:rPr>
        <w:t></w:t>
      </w:r>
      <w:r>
        <w:rPr>
          <w:rFonts w:ascii="Times New Roman" w:hAnsi="Times New Roman"/>
        </w:rPr>
        <w:tab/>
        <w:t>citas ražošanas subsīdijas (D.39);</w:t>
      </w:r>
    </w:p>
    <w:p w14:paraId="085FC5DB" w14:textId="77777777" w:rsidR="00591393" w:rsidRPr="001F0ECB" w:rsidRDefault="00591393" w:rsidP="00591393">
      <w:pPr>
        <w:pStyle w:val="BodyText"/>
        <w:tabs>
          <w:tab w:val="left" w:pos="1540"/>
        </w:tabs>
        <w:spacing w:before="0"/>
        <w:jc w:val="both"/>
        <w:rPr>
          <w:rFonts w:ascii="Times New Roman" w:hAnsi="Times New Roman"/>
          <w:noProof/>
        </w:rPr>
      </w:pPr>
    </w:p>
    <w:p w14:paraId="5D361CB4" w14:textId="77777777" w:rsidR="002672AA" w:rsidRPr="001F0ECB" w:rsidRDefault="002672AA" w:rsidP="00591393">
      <w:pPr>
        <w:pStyle w:val="BodyText"/>
        <w:numPr>
          <w:ilvl w:val="0"/>
          <w:numId w:val="5"/>
        </w:numPr>
        <w:spacing w:before="0"/>
        <w:ind w:left="709" w:hanging="425"/>
        <w:jc w:val="both"/>
        <w:rPr>
          <w:rFonts w:ascii="Times New Roman" w:hAnsi="Times New Roman"/>
          <w:noProof/>
        </w:rPr>
      </w:pPr>
      <w:r>
        <w:rPr>
          <w:rFonts w:ascii="Times New Roman" w:hAnsi="Times New Roman"/>
        </w:rPr>
        <w:t>bruto darbības rezultātu (B.2g);</w:t>
      </w:r>
    </w:p>
    <w:p w14:paraId="7FF7FD6E" w14:textId="77777777" w:rsidR="002672AA" w:rsidRPr="001F0ECB" w:rsidRDefault="002672AA" w:rsidP="00591393">
      <w:pPr>
        <w:pStyle w:val="BodyText"/>
        <w:numPr>
          <w:ilvl w:val="0"/>
          <w:numId w:val="5"/>
        </w:numPr>
        <w:spacing w:before="0"/>
        <w:ind w:left="709" w:hanging="425"/>
        <w:jc w:val="both"/>
        <w:rPr>
          <w:rFonts w:ascii="Times New Roman" w:hAnsi="Times New Roman"/>
          <w:noProof/>
        </w:rPr>
      </w:pPr>
      <w:r>
        <w:rPr>
          <w:rFonts w:ascii="Times New Roman" w:hAnsi="Times New Roman"/>
        </w:rPr>
        <w:t>bruto jaukto ienākumu (B.3g).</w:t>
      </w:r>
    </w:p>
    <w:p w14:paraId="67C24F35" w14:textId="77777777" w:rsidR="00591393" w:rsidRDefault="00591393" w:rsidP="00975B5E">
      <w:pPr>
        <w:pStyle w:val="BodyText"/>
        <w:spacing w:before="0"/>
        <w:ind w:left="0"/>
        <w:jc w:val="both"/>
        <w:rPr>
          <w:rFonts w:ascii="Times New Roman" w:hAnsi="Times New Roman"/>
          <w:noProof/>
        </w:rPr>
      </w:pPr>
    </w:p>
    <w:p w14:paraId="246593F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Saskaņā ar ienākumu pieeju IKP aprēķina, izmantojot šādu formulu:</w:t>
      </w:r>
    </w:p>
    <w:p w14:paraId="67EA8AA0" w14:textId="77777777" w:rsidR="002672AA" w:rsidRDefault="002672AA" w:rsidP="00975B5E">
      <w:pPr>
        <w:pStyle w:val="BodyText"/>
        <w:spacing w:before="0"/>
        <w:ind w:left="0"/>
        <w:jc w:val="both"/>
        <w:rPr>
          <w:rFonts w:ascii="Times New Roman" w:eastAsia="Cambria Math" w:hAnsi="Times New Roman" w:cs="Times New Roman"/>
          <w:noProof/>
        </w:rPr>
      </w:pPr>
    </w:p>
    <w:p w14:paraId="2BD50DCB" w14:textId="77777777" w:rsidR="00591393" w:rsidRPr="00591393" w:rsidRDefault="00591393" w:rsidP="00591393">
      <w:pPr>
        <w:pStyle w:val="BodyText"/>
        <w:spacing w:before="0"/>
        <w:ind w:left="0"/>
        <w:jc w:val="center"/>
        <w:rPr>
          <w:rFonts w:ascii="Times New Roman" w:eastAsia="Cambria Math" w:hAnsi="Times New Roman" w:cs="Times New Roman"/>
          <w:b/>
          <w:bCs/>
          <w:i/>
          <w:iCs/>
          <w:noProof/>
        </w:rPr>
      </w:pPr>
      <w:r>
        <w:rPr>
          <w:rFonts w:ascii="Times New Roman" w:hAnsi="Times New Roman"/>
          <w:b/>
          <w:i/>
        </w:rPr>
        <w:t>IKP</w:t>
      </w:r>
      <w:r>
        <w:rPr>
          <w:rFonts w:ascii="Times New Roman" w:hAnsi="Times New Roman"/>
          <w:b/>
          <w:i/>
          <w:vertAlign w:val="subscript"/>
        </w:rPr>
        <w:t>IEN</w:t>
      </w:r>
      <w:r>
        <w:rPr>
          <w:rFonts w:ascii="Times New Roman" w:hAnsi="Times New Roman"/>
          <w:b/>
          <w:i/>
        </w:rPr>
        <w:t xml:space="preserve"> = D</w:t>
      </w:r>
      <w:r>
        <w:rPr>
          <w:rFonts w:ascii="Times New Roman" w:hAnsi="Times New Roman"/>
          <w:b/>
        </w:rPr>
        <w:t xml:space="preserve">.1 + </w:t>
      </w:r>
      <w:r>
        <w:rPr>
          <w:rFonts w:ascii="Times New Roman" w:hAnsi="Times New Roman"/>
          <w:b/>
          <w:i/>
        </w:rPr>
        <w:t>D</w:t>
      </w:r>
      <w:r>
        <w:rPr>
          <w:rFonts w:ascii="Times New Roman" w:hAnsi="Times New Roman"/>
          <w:b/>
        </w:rPr>
        <w:t xml:space="preserve">.2 – </w:t>
      </w:r>
      <w:r>
        <w:rPr>
          <w:rFonts w:ascii="Times New Roman" w:hAnsi="Times New Roman"/>
          <w:b/>
          <w:i/>
        </w:rPr>
        <w:t>D</w:t>
      </w:r>
      <w:r>
        <w:rPr>
          <w:rFonts w:ascii="Times New Roman" w:hAnsi="Times New Roman"/>
          <w:b/>
        </w:rPr>
        <w:t xml:space="preserve">.3 + </w:t>
      </w:r>
      <w:r>
        <w:rPr>
          <w:rFonts w:ascii="Times New Roman" w:hAnsi="Times New Roman"/>
          <w:b/>
          <w:i/>
        </w:rPr>
        <w:t>B.</w:t>
      </w:r>
      <w:r>
        <w:rPr>
          <w:rFonts w:ascii="Times New Roman" w:hAnsi="Times New Roman"/>
          <w:b/>
        </w:rPr>
        <w:t>2</w:t>
      </w:r>
      <w:r>
        <w:rPr>
          <w:rFonts w:ascii="Times New Roman" w:hAnsi="Times New Roman"/>
          <w:b/>
          <w:i/>
        </w:rPr>
        <w:t>g + B</w:t>
      </w:r>
      <w:r>
        <w:rPr>
          <w:rFonts w:ascii="Times New Roman" w:hAnsi="Times New Roman"/>
          <w:b/>
        </w:rPr>
        <w:t>.3</w:t>
      </w:r>
      <w:r>
        <w:rPr>
          <w:rFonts w:ascii="Times New Roman" w:hAnsi="Times New Roman"/>
          <w:b/>
          <w:i/>
        </w:rPr>
        <w:t>g</w:t>
      </w:r>
    </w:p>
    <w:p w14:paraId="277EED47" w14:textId="77777777" w:rsidR="00591393" w:rsidRDefault="00591393" w:rsidP="00975B5E">
      <w:pPr>
        <w:pStyle w:val="BodyText"/>
        <w:spacing w:before="0"/>
        <w:ind w:left="0"/>
        <w:jc w:val="both"/>
        <w:rPr>
          <w:rFonts w:ascii="Times New Roman" w:hAnsi="Times New Roman"/>
          <w:noProof/>
        </w:rPr>
      </w:pPr>
    </w:p>
    <w:p w14:paraId="4B61900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Iekšzemes kopproduktu, ko nosaka saskaņā ar ienākumu metodi, aprēķina tikai faktiskajās cenās.</w:t>
      </w:r>
    </w:p>
    <w:p w14:paraId="78DFA1E7" w14:textId="77777777" w:rsidR="002672AA" w:rsidRPr="001F0ECB" w:rsidRDefault="002672AA" w:rsidP="00975B5E">
      <w:pPr>
        <w:jc w:val="both"/>
        <w:rPr>
          <w:rFonts w:ascii="Times New Roman" w:eastAsia="Calibri" w:hAnsi="Times New Roman" w:cs="Calibri"/>
          <w:noProof/>
          <w:sz w:val="24"/>
          <w:szCs w:val="24"/>
        </w:rPr>
      </w:pPr>
    </w:p>
    <w:p w14:paraId="365305B1" w14:textId="77777777" w:rsidR="002672AA" w:rsidRPr="001F0ECB" w:rsidRDefault="002672AA" w:rsidP="00975B5E">
      <w:pPr>
        <w:jc w:val="both"/>
        <w:rPr>
          <w:rFonts w:ascii="Times New Roman" w:eastAsia="Calibri" w:hAnsi="Times New Roman" w:cs="Calibri"/>
          <w:noProof/>
          <w:sz w:val="24"/>
          <w:szCs w:val="26"/>
        </w:rPr>
      </w:pPr>
    </w:p>
    <w:p w14:paraId="2A0E2AFF" w14:textId="77777777" w:rsidR="002672AA" w:rsidRPr="001F0ECB" w:rsidRDefault="00591393" w:rsidP="00591393">
      <w:pPr>
        <w:pStyle w:val="Heading2"/>
        <w:tabs>
          <w:tab w:val="left" w:pos="1181"/>
        </w:tabs>
        <w:ind w:left="0" w:firstLine="0"/>
        <w:jc w:val="both"/>
        <w:rPr>
          <w:rFonts w:ascii="Times New Roman" w:hAnsi="Times New Roman"/>
          <w:noProof/>
          <w:sz w:val="24"/>
        </w:rPr>
      </w:pPr>
      <w:bookmarkStart w:id="82" w:name="_Toc73461263"/>
      <w:r>
        <w:rPr>
          <w:rFonts w:ascii="Times New Roman" w:hAnsi="Times New Roman"/>
          <w:sz w:val="24"/>
        </w:rPr>
        <w:t>6.1. Darbinieku atalgojums</w:t>
      </w:r>
      <w:bookmarkStart w:id="83" w:name="_bookmark41"/>
      <w:bookmarkEnd w:id="82"/>
      <w:bookmarkEnd w:id="83"/>
    </w:p>
    <w:p w14:paraId="7C944E5A" w14:textId="77777777" w:rsidR="00591393" w:rsidRDefault="00591393" w:rsidP="00975B5E">
      <w:pPr>
        <w:pStyle w:val="BodyText"/>
        <w:spacing w:before="0"/>
        <w:ind w:left="0"/>
        <w:jc w:val="both"/>
        <w:rPr>
          <w:rFonts w:ascii="Times New Roman" w:hAnsi="Times New Roman"/>
          <w:noProof/>
        </w:rPr>
      </w:pPr>
    </w:p>
    <w:p w14:paraId="608ECB1A"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Darbinieku atalgojumam (D.1) ir divi sadalījumi – kategorijās jeb komponentēs un darbības veidos. Aprēķinus veic par katru sektoru atsevišķi, bet publicē tikai kopsummas.</w:t>
      </w:r>
    </w:p>
    <w:p w14:paraId="6112A0C0" w14:textId="77777777" w:rsidR="00591393" w:rsidRPr="001F0ECB" w:rsidRDefault="00591393" w:rsidP="00975B5E">
      <w:pPr>
        <w:pStyle w:val="BodyText"/>
        <w:spacing w:before="0"/>
        <w:ind w:left="0"/>
        <w:jc w:val="both"/>
        <w:rPr>
          <w:rFonts w:ascii="Times New Roman" w:hAnsi="Times New Roman"/>
          <w:noProof/>
        </w:rPr>
      </w:pPr>
    </w:p>
    <w:p w14:paraId="22ADCCB4"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Primārais datu avots, ko izmanto darbinieku atalgojuma aprēķinos, ir uzņēmumu pārskats par darbu (2-darbs):</w:t>
      </w:r>
    </w:p>
    <w:p w14:paraId="0092DEE6" w14:textId="77777777" w:rsidR="00591393" w:rsidRDefault="00591393" w:rsidP="00975B5E">
      <w:pPr>
        <w:pStyle w:val="BodyText"/>
        <w:spacing w:before="0"/>
        <w:ind w:left="0"/>
        <w:jc w:val="both"/>
        <w:rPr>
          <w:rFonts w:ascii="Times New Roman" w:hAnsi="Times New Roman"/>
          <w:noProof/>
        </w:rPr>
      </w:pPr>
    </w:p>
    <w:p w14:paraId="1D7DD84D" w14:textId="77777777" w:rsidR="00591393" w:rsidRPr="00591393" w:rsidRDefault="00591393" w:rsidP="00A327DC">
      <w:pPr>
        <w:pStyle w:val="BodyText"/>
        <w:spacing w:before="0"/>
        <w:ind w:left="0"/>
        <w:jc w:val="center"/>
        <w:rPr>
          <w:rFonts w:ascii="Times New Roman" w:hAnsi="Times New Roman"/>
          <w:b/>
          <w:bCs/>
          <w:i/>
          <w:iCs/>
          <w:noProof/>
        </w:rPr>
      </w:pPr>
      <w:r>
        <w:rPr>
          <w:rFonts w:ascii="Times New Roman" w:hAnsi="Times New Roman"/>
          <w:b/>
          <w:i/>
        </w:rPr>
        <w:t>D</w:t>
      </w:r>
      <w:r>
        <w:rPr>
          <w:rFonts w:ascii="Times New Roman" w:hAnsi="Times New Roman"/>
          <w:b/>
        </w:rPr>
        <w:t xml:space="preserve">.11 = </w:t>
      </w:r>
      <w:r>
        <w:rPr>
          <w:noProof/>
        </w:rPr>
        <w:drawing>
          <wp:inline distT="0" distB="0" distL="0" distR="0" wp14:anchorId="24B01542" wp14:editId="122C51EE">
            <wp:extent cx="213995" cy="3086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995" cy="308610"/>
                    </a:xfrm>
                    <a:prstGeom prst="rect">
                      <a:avLst/>
                    </a:prstGeom>
                    <a:noFill/>
                    <a:ln>
                      <a:noFill/>
                    </a:ln>
                  </pic:spPr>
                </pic:pic>
              </a:graphicData>
            </a:graphic>
          </wp:inline>
        </w:drawing>
      </w:r>
      <w:r>
        <w:rPr>
          <w:rFonts w:ascii="Times New Roman" w:hAnsi="Times New Roman"/>
          <w:b/>
        </w:rPr>
        <w:t xml:space="preserve"> </w:t>
      </w:r>
      <w:r>
        <w:rPr>
          <w:rFonts w:ascii="Times New Roman" w:hAnsi="Times New Roman"/>
          <w:b/>
          <w:i/>
        </w:rPr>
        <w:t>darba algas fonds – darbnespējas_lapa A – atalgojums natūrā,</w:t>
      </w:r>
    </w:p>
    <w:p w14:paraId="7FDFC508" w14:textId="77777777" w:rsidR="00591393" w:rsidRDefault="00591393" w:rsidP="00975B5E">
      <w:pPr>
        <w:pStyle w:val="BodyText"/>
        <w:spacing w:before="0"/>
        <w:ind w:left="0"/>
        <w:jc w:val="both"/>
        <w:rPr>
          <w:rFonts w:ascii="Times New Roman" w:hAnsi="Times New Roman"/>
          <w:noProof/>
        </w:rPr>
      </w:pPr>
    </w:p>
    <w:p w14:paraId="4696BF0D"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kur:</w:t>
      </w:r>
    </w:p>
    <w:p w14:paraId="202C309D" w14:textId="77777777" w:rsidR="00591393" w:rsidRDefault="00591393" w:rsidP="00975B5E">
      <w:pPr>
        <w:jc w:val="both"/>
        <w:rPr>
          <w:rFonts w:ascii="Times New Roman" w:eastAsia="Calibri" w:hAnsi="Times New Roman" w:cs="Calibri"/>
          <w:i/>
          <w:noProof/>
          <w:sz w:val="24"/>
          <w:szCs w:val="24"/>
        </w:rPr>
      </w:pPr>
    </w:p>
    <w:p w14:paraId="5A51B72C" w14:textId="77777777" w:rsidR="002672AA" w:rsidRPr="001F0ECB" w:rsidRDefault="002672AA" w:rsidP="00975B5E">
      <w:pPr>
        <w:jc w:val="both"/>
        <w:rPr>
          <w:rFonts w:ascii="Times New Roman" w:eastAsia="Calibri" w:hAnsi="Times New Roman" w:cs="Calibri"/>
          <w:noProof/>
          <w:sz w:val="24"/>
          <w:szCs w:val="24"/>
        </w:rPr>
      </w:pPr>
      <w:r>
        <w:rPr>
          <w:rFonts w:ascii="Times New Roman" w:hAnsi="Times New Roman"/>
          <w:i/>
          <w:iCs/>
          <w:sz w:val="24"/>
        </w:rPr>
        <w:t>d</w:t>
      </w:r>
      <w:r>
        <w:rPr>
          <w:rFonts w:ascii="Times New Roman" w:hAnsi="Times New Roman"/>
          <w:i/>
          <w:sz w:val="24"/>
        </w:rPr>
        <w:t xml:space="preserve">arbnespējas lapa A </w:t>
      </w:r>
      <w:r>
        <w:rPr>
          <w:rFonts w:ascii="Times New Roman" w:hAnsi="Times New Roman"/>
          <w:sz w:val="24"/>
        </w:rPr>
        <w:t>– darba devēja apmaksātā darbnespējas lapa.</w:t>
      </w:r>
    </w:p>
    <w:p w14:paraId="0BECFF69" w14:textId="77777777" w:rsidR="00975B5E" w:rsidRPr="001F0ECB" w:rsidRDefault="00975B5E" w:rsidP="00975B5E">
      <w:pPr>
        <w:jc w:val="both"/>
        <w:rPr>
          <w:rFonts w:ascii="Times New Roman" w:eastAsia="Calibri" w:hAnsi="Times New Roman" w:cs="Calibri"/>
          <w:noProof/>
          <w:sz w:val="24"/>
          <w:szCs w:val="24"/>
        </w:rPr>
      </w:pPr>
    </w:p>
    <w:p w14:paraId="1E0F0C41" w14:textId="77777777" w:rsidR="002672AA" w:rsidRDefault="00591393" w:rsidP="00591393">
      <w:pPr>
        <w:pStyle w:val="BodyText"/>
        <w:tabs>
          <w:tab w:val="left" w:pos="610"/>
        </w:tabs>
        <w:spacing w:before="0"/>
        <w:ind w:left="0"/>
        <w:jc w:val="both"/>
        <w:rPr>
          <w:rFonts w:ascii="Times New Roman" w:hAnsi="Times New Roman"/>
          <w:noProof/>
        </w:rPr>
      </w:pPr>
      <w:r>
        <w:rPr>
          <w:rFonts w:ascii="Times New Roman" w:hAnsi="Times New Roman"/>
        </w:rPr>
        <w:t>Lai aprēķinātu D.11. sākotnējo skaitli S.11, S.12, S.14 sektoram, par pamatu izmanto veidlapas 2-darbs kopsavilkumu. Pēc tam tiek veiktas vairākas korekcijas:</w:t>
      </w:r>
    </w:p>
    <w:p w14:paraId="4255DA6D" w14:textId="77777777" w:rsidR="00591393" w:rsidRPr="001F0ECB" w:rsidRDefault="00591393" w:rsidP="00591393">
      <w:pPr>
        <w:pStyle w:val="BodyText"/>
        <w:tabs>
          <w:tab w:val="left" w:pos="610"/>
        </w:tabs>
        <w:spacing w:before="0"/>
        <w:ind w:left="0"/>
        <w:jc w:val="both"/>
        <w:rPr>
          <w:rFonts w:ascii="Times New Roman" w:hAnsi="Times New Roman"/>
          <w:noProof/>
        </w:rPr>
      </w:pPr>
    </w:p>
    <w:p w14:paraId="72A96601" w14:textId="77777777" w:rsidR="002672AA" w:rsidRPr="001F0ECB" w:rsidRDefault="002672AA" w:rsidP="00591393">
      <w:pPr>
        <w:pStyle w:val="BodyText"/>
        <w:numPr>
          <w:ilvl w:val="2"/>
          <w:numId w:val="4"/>
        </w:numPr>
        <w:spacing w:before="0"/>
        <w:ind w:left="709" w:hanging="425"/>
        <w:jc w:val="both"/>
        <w:rPr>
          <w:rFonts w:ascii="Times New Roman" w:hAnsi="Times New Roman"/>
          <w:noProof/>
        </w:rPr>
      </w:pPr>
      <w:r>
        <w:rPr>
          <w:rFonts w:ascii="Times New Roman" w:hAnsi="Times New Roman"/>
        </w:rPr>
        <w:t>D.11 pilnīguma korekcija – to veido gada nacionālo kontu daļas aprēķini (piemēram, atlīdzība natūrā, dzeramnaudas, komandējuma nauda, VID dati utt.). Gada informācija tiek sadalīta, izmantojot tā paša gada ceturkšņu sadalījumu, kas iegūts no veidlapas 2-darbs. Turpmāko ceturkšņu aprēķinā šo informāciju saglabā nemainīgu, līdz tiek veikts nākamā gada galīgais aprēķins. Saņemot GNK datus par pēdējo gadu, tiek koriģēta gan pārskata, gan nākamā gada ceturkšņu informācija;</w:t>
      </w:r>
    </w:p>
    <w:p w14:paraId="67BB2F78" w14:textId="77777777" w:rsidR="002672AA" w:rsidRPr="001F0ECB" w:rsidRDefault="002672AA" w:rsidP="00591393">
      <w:pPr>
        <w:pStyle w:val="BodyText"/>
        <w:numPr>
          <w:ilvl w:val="2"/>
          <w:numId w:val="4"/>
        </w:numPr>
        <w:spacing w:before="0"/>
        <w:ind w:left="709" w:hanging="425"/>
        <w:jc w:val="both"/>
        <w:rPr>
          <w:rFonts w:ascii="Times New Roman" w:hAnsi="Times New Roman"/>
          <w:noProof/>
        </w:rPr>
      </w:pPr>
      <w:r>
        <w:rPr>
          <w:rFonts w:ascii="Times New Roman" w:hAnsi="Times New Roman"/>
        </w:rPr>
        <w:t>nedeklarētās algas attiecas uz darba algu, ko faktiski ir maksājuši darbiniekiem, bet ko uzņēmumi oficiāli nav uzrādījuši uzņēmumu grāmatvedībā un nodokļu deklarācijās. Šī korekcija tiek veikta, balstoties uz ekspertu vērtējumu. Tiek pieņemts, ka attiecīgā ceturkšņa nacionālo kontu D.11 pieauguma temps pret iepriekšējā gada attiecīgo ceturksni ir tāds pats kā pieauguma temps, kas aprēķināts, izmantojot apsekojuma datus. Nedeklarētās algas summa tiek palielināta vai samazināta, lai atbilstu šim pieņēmumam;</w:t>
      </w:r>
    </w:p>
    <w:p w14:paraId="1318F938" w14:textId="77777777" w:rsidR="002672AA" w:rsidRDefault="002672AA" w:rsidP="00240CB1">
      <w:pPr>
        <w:pStyle w:val="BodyText"/>
        <w:keepNext/>
        <w:numPr>
          <w:ilvl w:val="2"/>
          <w:numId w:val="4"/>
        </w:numPr>
        <w:spacing w:before="0"/>
        <w:ind w:left="709" w:hanging="425"/>
        <w:jc w:val="both"/>
        <w:rPr>
          <w:rFonts w:ascii="Times New Roman" w:hAnsi="Times New Roman"/>
          <w:noProof/>
        </w:rPr>
      </w:pPr>
      <w:r>
        <w:rPr>
          <w:rFonts w:ascii="Times New Roman" w:hAnsi="Times New Roman"/>
        </w:rPr>
        <w:lastRenderedPageBreak/>
        <w:t>neuztverto nodarbināto pierēķinu (NNP) veic, pamatojoties uz konkrētā ceturkšņa neuztverto nodarbināto skaitu (pilna laika ekvivalentā nodarbinātība):</w:t>
      </w:r>
    </w:p>
    <w:p w14:paraId="401D9F07" w14:textId="77777777" w:rsidR="00591393" w:rsidRDefault="00591393" w:rsidP="00240CB1">
      <w:pPr>
        <w:pStyle w:val="BodyText"/>
        <w:keepNext/>
        <w:tabs>
          <w:tab w:val="left" w:pos="821"/>
        </w:tabs>
        <w:spacing w:before="0"/>
        <w:ind w:left="0"/>
        <w:jc w:val="both"/>
        <w:rPr>
          <w:rFonts w:ascii="Times New Roman" w:hAnsi="Times New Roman"/>
          <w:noProof/>
        </w:rPr>
      </w:pPr>
    </w:p>
    <w:p w14:paraId="4B6AA689" w14:textId="77777777" w:rsidR="00591393" w:rsidRPr="00591393" w:rsidRDefault="00591393" w:rsidP="00240CB1">
      <w:pPr>
        <w:pStyle w:val="BodyText"/>
        <w:keepNext/>
        <w:tabs>
          <w:tab w:val="left" w:pos="821"/>
        </w:tabs>
        <w:spacing w:before="0"/>
        <w:ind w:left="0"/>
        <w:jc w:val="center"/>
        <w:rPr>
          <w:rFonts w:ascii="Times New Roman" w:hAnsi="Times New Roman"/>
          <w:b/>
          <w:bCs/>
          <w:i/>
          <w:iCs/>
          <w:noProof/>
        </w:rPr>
      </w:pPr>
      <w:r>
        <w:rPr>
          <w:rFonts w:ascii="Times New Roman" w:hAnsi="Times New Roman"/>
          <w:b/>
          <w:i/>
        </w:rPr>
        <w:t xml:space="preserve">NNP = </w:t>
      </w:r>
      <w:r>
        <w:rPr>
          <w:noProof/>
        </w:rPr>
        <w:drawing>
          <wp:inline distT="0" distB="0" distL="0" distR="0" wp14:anchorId="494FDFD7" wp14:editId="184B26C8">
            <wp:extent cx="213995" cy="3086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995" cy="308610"/>
                    </a:xfrm>
                    <a:prstGeom prst="rect">
                      <a:avLst/>
                    </a:prstGeom>
                    <a:noFill/>
                    <a:ln>
                      <a:noFill/>
                    </a:ln>
                  </pic:spPr>
                </pic:pic>
              </a:graphicData>
            </a:graphic>
          </wp:inline>
        </w:drawing>
      </w:r>
      <w:r>
        <w:rPr>
          <w:rFonts w:ascii="Times New Roman" w:hAnsi="Times New Roman"/>
          <w:b/>
          <w:i/>
        </w:rPr>
        <w:t xml:space="preserve"> neuztvertie nodarbinātie * neto</w:t>
      </w:r>
      <w:r>
        <w:rPr>
          <w:rFonts w:ascii="Times New Roman" w:hAnsi="Times New Roman"/>
          <w:b/>
        </w:rPr>
        <w:t xml:space="preserve"> minimālā </w:t>
      </w:r>
      <w:r>
        <w:rPr>
          <w:rFonts w:ascii="Times New Roman" w:hAnsi="Times New Roman"/>
          <w:b/>
          <w:i/>
          <w:iCs/>
        </w:rPr>
        <w:t>alga</w:t>
      </w:r>
    </w:p>
    <w:p w14:paraId="5583AB30" w14:textId="77777777" w:rsidR="00591393" w:rsidRDefault="00591393" w:rsidP="00591393">
      <w:pPr>
        <w:pStyle w:val="BodyText"/>
        <w:tabs>
          <w:tab w:val="left" w:pos="821"/>
        </w:tabs>
        <w:spacing w:before="0"/>
        <w:ind w:left="0"/>
        <w:jc w:val="both"/>
        <w:rPr>
          <w:rFonts w:ascii="Times New Roman" w:hAnsi="Times New Roman"/>
          <w:noProof/>
        </w:rPr>
      </w:pPr>
    </w:p>
    <w:p w14:paraId="374B2CFA"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Darba devēju faktiskās sociālās iemaksas (D.121) ietver likumā noteiktās sociālās iemaksas, koplīgumā noteiktās iemaksas, līgumiskās un brīvprātīgās sociālās apdrošināšanas iemaksas.</w:t>
      </w:r>
    </w:p>
    <w:p w14:paraId="5A0932CF" w14:textId="77777777" w:rsidR="0026660B" w:rsidRPr="001F0ECB" w:rsidRDefault="0026660B" w:rsidP="00975B5E">
      <w:pPr>
        <w:pStyle w:val="BodyText"/>
        <w:spacing w:before="0"/>
        <w:ind w:left="0"/>
        <w:jc w:val="both"/>
        <w:rPr>
          <w:rFonts w:ascii="Times New Roman" w:hAnsi="Times New Roman"/>
          <w:noProof/>
        </w:rPr>
      </w:pPr>
    </w:p>
    <w:p w14:paraId="2DEF0DAF"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Darba devēju nosacītās sociālās iemaksas (D.122) ietver maksājumus par darbnespējas lapu A, aprēķinātos maksājumus darbiniekiem, kas aiziet no uzņēmuma, un sociālos pabalstus, un tās aprēķina divās daļās:</w:t>
      </w:r>
    </w:p>
    <w:p w14:paraId="46ECCE49" w14:textId="77777777" w:rsidR="0026660B" w:rsidRPr="001F0ECB" w:rsidRDefault="0026660B" w:rsidP="00975B5E">
      <w:pPr>
        <w:pStyle w:val="BodyText"/>
        <w:spacing w:before="0"/>
        <w:ind w:left="0"/>
        <w:jc w:val="both"/>
        <w:rPr>
          <w:rFonts w:ascii="Times New Roman" w:hAnsi="Times New Roman"/>
          <w:noProof/>
        </w:rPr>
      </w:pPr>
    </w:p>
    <w:p w14:paraId="05B2ACF3" w14:textId="77777777" w:rsidR="002672AA" w:rsidRPr="001F0ECB" w:rsidRDefault="002672AA" w:rsidP="0026660B">
      <w:pPr>
        <w:pStyle w:val="BodyText"/>
        <w:numPr>
          <w:ilvl w:val="2"/>
          <w:numId w:val="4"/>
        </w:numPr>
        <w:spacing w:before="0"/>
        <w:ind w:left="709" w:hanging="425"/>
        <w:jc w:val="both"/>
        <w:rPr>
          <w:rFonts w:ascii="Times New Roman" w:hAnsi="Times New Roman"/>
          <w:noProof/>
        </w:rPr>
      </w:pPr>
      <w:r>
        <w:rPr>
          <w:rFonts w:ascii="Times New Roman" w:hAnsi="Times New Roman"/>
        </w:rPr>
        <w:t>veidlapas 2-darbs aptaujā iegūto attiecīgo datu summa;</w:t>
      </w:r>
    </w:p>
    <w:p w14:paraId="32A1A55E" w14:textId="77777777" w:rsidR="002672AA" w:rsidRPr="001F0ECB" w:rsidRDefault="002672AA" w:rsidP="0026660B">
      <w:pPr>
        <w:pStyle w:val="BodyText"/>
        <w:numPr>
          <w:ilvl w:val="2"/>
          <w:numId w:val="4"/>
        </w:numPr>
        <w:spacing w:before="0"/>
        <w:ind w:left="709" w:hanging="425"/>
        <w:jc w:val="both"/>
        <w:rPr>
          <w:rFonts w:ascii="Times New Roman" w:hAnsi="Times New Roman"/>
          <w:noProof/>
        </w:rPr>
      </w:pPr>
      <w:r>
        <w:rPr>
          <w:rFonts w:ascii="Times New Roman" w:hAnsi="Times New Roman"/>
        </w:rPr>
        <w:t>jaunāko GNK datu pilnīguma korekcija. Šī informācija paliek nemainīga nākamajos ceturkšņos, līdz tiek veikta nākamā GNK vērtēšana. Kad ir saņemti aprēķini par pēdējo gadu, koriģē gan pārskata gada, gan nākamā gada ceturkšņa datus. Ceturkšņu sadalījumā izmanto veidlapas 2-darbs apsekojumā apkopoto D.122 struktūru tajā pašā gadā.</w:t>
      </w:r>
    </w:p>
    <w:p w14:paraId="7E51DEBC" w14:textId="77777777" w:rsidR="0026660B" w:rsidRDefault="0026660B" w:rsidP="00975B5E">
      <w:pPr>
        <w:pStyle w:val="BodyText"/>
        <w:spacing w:before="0"/>
        <w:ind w:left="0"/>
        <w:jc w:val="both"/>
        <w:rPr>
          <w:rFonts w:ascii="Times New Roman" w:hAnsi="Times New Roman"/>
          <w:noProof/>
        </w:rPr>
      </w:pPr>
    </w:p>
    <w:p w14:paraId="25DADF77"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Valdības sektora (S.13) D.11, D.121 un D.122 vērtību aprēķiniem izmanto Valsts finanšu daļas (VFD) datus. Šajā sektorā netiek veiktas korekcijas.</w:t>
      </w:r>
    </w:p>
    <w:p w14:paraId="58BB93CC" w14:textId="77777777" w:rsidR="0026660B" w:rsidRPr="001F0ECB" w:rsidRDefault="0026660B" w:rsidP="00975B5E">
      <w:pPr>
        <w:pStyle w:val="BodyText"/>
        <w:spacing w:before="0"/>
        <w:ind w:left="0"/>
        <w:jc w:val="both"/>
        <w:rPr>
          <w:rFonts w:ascii="Times New Roman" w:hAnsi="Times New Roman"/>
          <w:noProof/>
        </w:rPr>
      </w:pPr>
    </w:p>
    <w:p w14:paraId="2F21E276"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S.15 sektora darba algas un sociālās iemaksas aprēķina reizi gadā, izmantojot jaunākos pieejamos VID datus. Parasti tie ir par periodu T-1 (2018. gadā tika izmantoti dati par 2017. gadu). Sadalījumu pa ceturkšņiem iegūst, izmantojot veidlapas 2-darbs apsekojumā apkopoto attiecīgo rādītāju struktūru.</w:t>
      </w:r>
    </w:p>
    <w:p w14:paraId="41F98B2E" w14:textId="77777777" w:rsidR="002672AA" w:rsidRPr="001F0ECB" w:rsidRDefault="002672AA" w:rsidP="00975B5E">
      <w:pPr>
        <w:jc w:val="both"/>
        <w:rPr>
          <w:rFonts w:ascii="Times New Roman" w:eastAsia="Calibri" w:hAnsi="Times New Roman" w:cs="Calibri"/>
          <w:noProof/>
          <w:sz w:val="24"/>
          <w:szCs w:val="24"/>
        </w:rPr>
      </w:pPr>
    </w:p>
    <w:p w14:paraId="1D5D3409" w14:textId="77777777" w:rsidR="002672AA" w:rsidRPr="001F0ECB" w:rsidRDefault="002672AA" w:rsidP="00975B5E">
      <w:pPr>
        <w:jc w:val="both"/>
        <w:rPr>
          <w:rFonts w:ascii="Times New Roman" w:eastAsia="Calibri" w:hAnsi="Times New Roman" w:cs="Calibri"/>
          <w:noProof/>
          <w:sz w:val="24"/>
          <w:szCs w:val="20"/>
        </w:rPr>
      </w:pPr>
    </w:p>
    <w:p w14:paraId="1BA20C52" w14:textId="77777777" w:rsidR="002672AA" w:rsidRPr="001F0ECB" w:rsidRDefault="0026660B" w:rsidP="0026660B">
      <w:pPr>
        <w:pStyle w:val="Heading2"/>
        <w:tabs>
          <w:tab w:val="left" w:pos="1181"/>
        </w:tabs>
        <w:ind w:left="0" w:firstLine="0"/>
        <w:jc w:val="both"/>
        <w:rPr>
          <w:rFonts w:ascii="Times New Roman" w:hAnsi="Times New Roman"/>
          <w:noProof/>
          <w:sz w:val="24"/>
        </w:rPr>
      </w:pPr>
      <w:bookmarkStart w:id="84" w:name="_Toc73461264"/>
      <w:r>
        <w:rPr>
          <w:rFonts w:ascii="Times New Roman" w:hAnsi="Times New Roman"/>
          <w:sz w:val="24"/>
        </w:rPr>
        <w:t>6.2. Ražošanas nodokļi, atskaitot subsīdijas</w:t>
      </w:r>
      <w:bookmarkStart w:id="85" w:name="_bookmark42"/>
      <w:bookmarkEnd w:id="84"/>
      <w:bookmarkEnd w:id="85"/>
    </w:p>
    <w:p w14:paraId="32BF7178" w14:textId="77777777" w:rsidR="0026660B" w:rsidRDefault="0026660B" w:rsidP="00975B5E">
      <w:pPr>
        <w:pStyle w:val="BodyText"/>
        <w:spacing w:before="0"/>
        <w:ind w:left="0"/>
        <w:jc w:val="both"/>
        <w:rPr>
          <w:rFonts w:ascii="Times New Roman" w:hAnsi="Times New Roman"/>
          <w:noProof/>
        </w:rPr>
      </w:pPr>
    </w:p>
    <w:p w14:paraId="7570CD9A"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Ražošanas un importa nodokļus (D.2) veido obligāti, neatlīdzināmi maksājumi naudā vai natūrā, ko iekasē vispārējā valdība vai Eiropas Savienības iestādes saistībā ar preču un pakalpojumu ražošanu un importēšanu, darbaspēka nodarbināšanu, zemes, ēku vai citu ražošanā izmantoto aktīvu īpašumtiesībām vai izmantošanu. Šie nodokļi jāmaksā neatkarīgi no gūtās peļņas.</w:t>
      </w:r>
    </w:p>
    <w:p w14:paraId="038C71F4" w14:textId="77777777" w:rsidR="0026660B" w:rsidRPr="001F0ECB" w:rsidRDefault="0026660B" w:rsidP="00975B5E">
      <w:pPr>
        <w:pStyle w:val="BodyText"/>
        <w:spacing w:before="0"/>
        <w:ind w:left="0"/>
        <w:jc w:val="both"/>
        <w:rPr>
          <w:rFonts w:ascii="Times New Roman" w:hAnsi="Times New Roman"/>
          <w:noProof/>
        </w:rPr>
      </w:pPr>
    </w:p>
    <w:p w14:paraId="3DFC4B6C"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Ražošanas un importa nodokļus veido:</w:t>
      </w:r>
    </w:p>
    <w:p w14:paraId="12E64767" w14:textId="77777777" w:rsidR="0026660B" w:rsidRPr="001F0ECB" w:rsidRDefault="0026660B" w:rsidP="00975B5E">
      <w:pPr>
        <w:pStyle w:val="BodyText"/>
        <w:spacing w:before="0"/>
        <w:ind w:left="0"/>
        <w:jc w:val="both"/>
        <w:rPr>
          <w:rFonts w:ascii="Times New Roman" w:hAnsi="Times New Roman"/>
          <w:noProof/>
        </w:rPr>
      </w:pPr>
    </w:p>
    <w:p w14:paraId="274DF3BD" w14:textId="77777777" w:rsidR="002672AA" w:rsidRPr="001F0ECB" w:rsidRDefault="0026660B" w:rsidP="0026660B">
      <w:pPr>
        <w:pStyle w:val="BodyText"/>
        <w:tabs>
          <w:tab w:val="left" w:pos="342"/>
        </w:tabs>
        <w:spacing w:before="0"/>
        <w:ind w:left="0"/>
        <w:jc w:val="both"/>
        <w:rPr>
          <w:rFonts w:ascii="Times New Roman" w:hAnsi="Times New Roman"/>
          <w:noProof/>
        </w:rPr>
      </w:pPr>
      <w:r>
        <w:rPr>
          <w:rFonts w:ascii="Times New Roman" w:hAnsi="Times New Roman"/>
        </w:rPr>
        <w:t>a) produktu nodokļi (D.21)</w:t>
      </w:r>
    </w:p>
    <w:p w14:paraId="748C71C6" w14:textId="77777777" w:rsidR="0026660B" w:rsidRDefault="0026660B" w:rsidP="00975B5E">
      <w:pPr>
        <w:pStyle w:val="BodyText"/>
        <w:spacing w:before="0"/>
        <w:ind w:left="0"/>
        <w:jc w:val="both"/>
        <w:rPr>
          <w:rFonts w:ascii="Times New Roman" w:hAnsi="Times New Roman"/>
          <w:noProof/>
        </w:rPr>
      </w:pPr>
    </w:p>
    <w:p w14:paraId="4AF5AA2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Produktu nodokļi ir nodokļi, kas jāmaksā par katru saražotas vai darījumā iesaistītas preces vai pakalpojuma vienību. Nodokļus, kas aprēķināti produktam, neatkarīgi no tā, kura institucionālā vienība maksā nodokli, iekļauj produktu nodokļos, ja vien tie nav īpaši iekļauti citā pozīcijā.</w:t>
      </w:r>
    </w:p>
    <w:p w14:paraId="4D8D38F7" w14:textId="77777777" w:rsidR="0026660B" w:rsidRDefault="0026660B" w:rsidP="0026660B">
      <w:pPr>
        <w:pStyle w:val="BodyText"/>
        <w:tabs>
          <w:tab w:val="left" w:pos="354"/>
        </w:tabs>
        <w:spacing w:before="0"/>
        <w:ind w:left="0"/>
        <w:jc w:val="both"/>
        <w:rPr>
          <w:rFonts w:ascii="Times New Roman" w:hAnsi="Times New Roman"/>
          <w:noProof/>
        </w:rPr>
      </w:pPr>
    </w:p>
    <w:p w14:paraId="3DCF284F" w14:textId="77777777" w:rsidR="002672AA" w:rsidRPr="001F0ECB" w:rsidRDefault="0026660B" w:rsidP="0026660B">
      <w:pPr>
        <w:pStyle w:val="BodyText"/>
        <w:tabs>
          <w:tab w:val="left" w:pos="354"/>
        </w:tabs>
        <w:spacing w:before="0"/>
        <w:ind w:left="0"/>
        <w:jc w:val="both"/>
        <w:rPr>
          <w:rFonts w:ascii="Times New Roman" w:hAnsi="Times New Roman"/>
          <w:noProof/>
        </w:rPr>
      </w:pPr>
      <w:r>
        <w:rPr>
          <w:rFonts w:ascii="Times New Roman" w:hAnsi="Times New Roman"/>
        </w:rPr>
        <w:t>b) citi ražošanas nodokļi (D.29)</w:t>
      </w:r>
    </w:p>
    <w:p w14:paraId="4F4A2A9A" w14:textId="77777777" w:rsidR="0026660B" w:rsidRDefault="0026660B" w:rsidP="00975B5E">
      <w:pPr>
        <w:pStyle w:val="BodyText"/>
        <w:spacing w:before="0"/>
        <w:ind w:left="0"/>
        <w:jc w:val="both"/>
        <w:rPr>
          <w:rFonts w:ascii="Times New Roman" w:hAnsi="Times New Roman"/>
          <w:noProof/>
        </w:rPr>
      </w:pPr>
    </w:p>
    <w:p w14:paraId="6B512FD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Citus ražošanas nodokļus veido visi nodokļi, ko uzņēmumiem rada iesaistīšanās ražošanā, neatkarīgi no saražoto vai pārdoto preču un pakalpojumu apjoma vai vērtības.</w:t>
      </w:r>
    </w:p>
    <w:p w14:paraId="24A5E390" w14:textId="77777777" w:rsidR="0026660B" w:rsidRDefault="0026660B" w:rsidP="00975B5E">
      <w:pPr>
        <w:pStyle w:val="BodyText"/>
        <w:spacing w:before="0"/>
        <w:ind w:left="0"/>
        <w:jc w:val="both"/>
        <w:rPr>
          <w:rFonts w:ascii="Times New Roman" w:hAnsi="Times New Roman"/>
          <w:noProof/>
        </w:rPr>
      </w:pPr>
    </w:p>
    <w:p w14:paraId="0B17E0A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lastRenderedPageBreak/>
        <w:t>Izmantotie datu avoti ir VFD dati un Latvijas maksājumu bilance.</w:t>
      </w:r>
    </w:p>
    <w:p w14:paraId="2E12629A" w14:textId="77777777" w:rsidR="0026660B" w:rsidRDefault="0026660B" w:rsidP="00975B5E">
      <w:pPr>
        <w:pStyle w:val="BodyText"/>
        <w:spacing w:before="0"/>
        <w:ind w:left="0"/>
        <w:jc w:val="both"/>
        <w:rPr>
          <w:rFonts w:ascii="Times New Roman" w:hAnsi="Times New Roman"/>
          <w:noProof/>
        </w:rPr>
      </w:pPr>
    </w:p>
    <w:p w14:paraId="125D720F"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Subsīdijām (D.3) ir divas galvenās komponentes – produktu subsīdijas (D.31) un citas produktu subsīdijas (D.39), un tās ir kārtējie neatlīdzināmie maksājumi, ko vispārējā valdība vai Eiropas Savienības iestādes maksā ražotājiem – rezidentiem.</w:t>
      </w:r>
    </w:p>
    <w:p w14:paraId="25ED6133" w14:textId="77777777" w:rsidR="0026660B" w:rsidRPr="001F0ECB" w:rsidRDefault="0026660B" w:rsidP="00975B5E">
      <w:pPr>
        <w:pStyle w:val="BodyText"/>
        <w:spacing w:before="0"/>
        <w:ind w:left="0"/>
        <w:jc w:val="both"/>
        <w:rPr>
          <w:rFonts w:ascii="Times New Roman" w:hAnsi="Times New Roman"/>
          <w:noProof/>
        </w:rPr>
      </w:pPr>
    </w:p>
    <w:p w14:paraId="1EB69A66"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Subsīdijas piešķir šādiem mērķiem:</w:t>
      </w:r>
    </w:p>
    <w:p w14:paraId="5E4E0FB9" w14:textId="77777777" w:rsidR="0026660B" w:rsidRPr="001F0ECB" w:rsidRDefault="0026660B" w:rsidP="00975B5E">
      <w:pPr>
        <w:pStyle w:val="BodyText"/>
        <w:spacing w:before="0"/>
        <w:ind w:left="0"/>
        <w:jc w:val="both"/>
        <w:rPr>
          <w:rFonts w:ascii="Times New Roman" w:hAnsi="Times New Roman"/>
          <w:noProof/>
        </w:rPr>
      </w:pPr>
    </w:p>
    <w:p w14:paraId="73BE0FC9" w14:textId="77777777" w:rsidR="002672AA" w:rsidRPr="001F0ECB" w:rsidRDefault="002672AA" w:rsidP="0026660B">
      <w:pPr>
        <w:pStyle w:val="BodyText"/>
        <w:numPr>
          <w:ilvl w:val="1"/>
          <w:numId w:val="3"/>
        </w:numPr>
        <w:spacing w:before="0"/>
        <w:ind w:left="709" w:hanging="425"/>
        <w:jc w:val="both"/>
        <w:rPr>
          <w:rFonts w:ascii="Times New Roman" w:hAnsi="Times New Roman"/>
          <w:noProof/>
        </w:rPr>
      </w:pPr>
      <w:r>
        <w:rPr>
          <w:rFonts w:ascii="Times New Roman" w:hAnsi="Times New Roman"/>
        </w:rPr>
        <w:t>ražošanas apjoma līmeņu ietekmēšanai;</w:t>
      </w:r>
    </w:p>
    <w:p w14:paraId="5D707B38" w14:textId="77777777" w:rsidR="002672AA" w:rsidRPr="001F0ECB" w:rsidRDefault="002672AA" w:rsidP="0026660B">
      <w:pPr>
        <w:pStyle w:val="BodyText"/>
        <w:numPr>
          <w:ilvl w:val="1"/>
          <w:numId w:val="3"/>
        </w:numPr>
        <w:spacing w:before="0"/>
        <w:ind w:left="709" w:hanging="425"/>
        <w:jc w:val="both"/>
        <w:rPr>
          <w:rFonts w:ascii="Times New Roman" w:hAnsi="Times New Roman"/>
          <w:noProof/>
        </w:rPr>
      </w:pPr>
      <w:r>
        <w:rPr>
          <w:rFonts w:ascii="Times New Roman" w:hAnsi="Times New Roman"/>
        </w:rPr>
        <w:t>produktu cenu ietekmēšanai vai</w:t>
      </w:r>
    </w:p>
    <w:p w14:paraId="3F33EE15" w14:textId="77777777" w:rsidR="002672AA" w:rsidRPr="001F0ECB" w:rsidRDefault="002672AA" w:rsidP="0026660B">
      <w:pPr>
        <w:pStyle w:val="BodyText"/>
        <w:numPr>
          <w:ilvl w:val="1"/>
          <w:numId w:val="3"/>
        </w:numPr>
        <w:spacing w:before="0"/>
        <w:ind w:left="709" w:hanging="425"/>
        <w:jc w:val="both"/>
        <w:rPr>
          <w:rFonts w:ascii="Times New Roman" w:hAnsi="Times New Roman"/>
          <w:noProof/>
        </w:rPr>
      </w:pPr>
      <w:r>
        <w:rPr>
          <w:rFonts w:ascii="Times New Roman" w:hAnsi="Times New Roman"/>
        </w:rPr>
        <w:t>ražošanas faktoru atlīdzinājuma ietekmēšanai.</w:t>
      </w:r>
    </w:p>
    <w:p w14:paraId="46417432" w14:textId="77777777" w:rsidR="0026660B" w:rsidRDefault="0026660B" w:rsidP="00975B5E">
      <w:pPr>
        <w:pStyle w:val="BodyText"/>
        <w:spacing w:before="0"/>
        <w:ind w:left="0"/>
        <w:jc w:val="both"/>
        <w:rPr>
          <w:rFonts w:ascii="Times New Roman" w:hAnsi="Times New Roman"/>
          <w:noProof/>
        </w:rPr>
      </w:pPr>
    </w:p>
    <w:p w14:paraId="5813707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subsīdijām (D.3) iegūst no ikmēneša pārskatiem par budžeta izpildi.</w:t>
      </w:r>
    </w:p>
    <w:p w14:paraId="7CCE57F3"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Datus par produktu subsīdijām (D.31) S.13 sektoram iegūst no VFD datiem un S.2 sektoram – no Latvijas maksājumu bilances.</w:t>
      </w:r>
    </w:p>
    <w:p w14:paraId="1310F380" w14:textId="77777777" w:rsidR="0026660B" w:rsidRPr="001F0ECB" w:rsidRDefault="0026660B" w:rsidP="00975B5E">
      <w:pPr>
        <w:pStyle w:val="BodyText"/>
        <w:spacing w:before="0"/>
        <w:ind w:left="0"/>
        <w:jc w:val="both"/>
        <w:rPr>
          <w:rFonts w:ascii="Times New Roman" w:hAnsi="Times New Roman"/>
          <w:noProof/>
        </w:rPr>
      </w:pPr>
    </w:p>
    <w:p w14:paraId="0C5A307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Citas produktu subsīdijas (D.39) aprēķina no kopējo subsīdiju summas, atņemot produktu subsīdijas.</w:t>
      </w:r>
    </w:p>
    <w:p w14:paraId="7B02438E" w14:textId="77777777" w:rsidR="002672AA" w:rsidRPr="001F0ECB" w:rsidRDefault="002672AA" w:rsidP="00975B5E">
      <w:pPr>
        <w:jc w:val="both"/>
        <w:rPr>
          <w:rFonts w:ascii="Times New Roman" w:eastAsia="Calibri" w:hAnsi="Times New Roman" w:cs="Calibri"/>
          <w:noProof/>
          <w:sz w:val="24"/>
          <w:szCs w:val="24"/>
        </w:rPr>
      </w:pPr>
    </w:p>
    <w:p w14:paraId="20E6A83B" w14:textId="77777777" w:rsidR="002672AA" w:rsidRPr="001F0ECB" w:rsidRDefault="002672AA" w:rsidP="00975B5E">
      <w:pPr>
        <w:jc w:val="both"/>
        <w:rPr>
          <w:rFonts w:ascii="Times New Roman" w:eastAsia="Calibri" w:hAnsi="Times New Roman" w:cs="Calibri"/>
          <w:noProof/>
          <w:sz w:val="24"/>
          <w:szCs w:val="24"/>
        </w:rPr>
      </w:pPr>
    </w:p>
    <w:p w14:paraId="4BD0ACD6" w14:textId="77777777" w:rsidR="002672AA" w:rsidRDefault="0026660B" w:rsidP="0026660B">
      <w:pPr>
        <w:pStyle w:val="Heading2"/>
        <w:tabs>
          <w:tab w:val="left" w:pos="1181"/>
        </w:tabs>
        <w:ind w:left="0" w:firstLine="0"/>
        <w:jc w:val="both"/>
        <w:rPr>
          <w:rFonts w:ascii="Times New Roman" w:hAnsi="Times New Roman"/>
          <w:noProof/>
          <w:sz w:val="24"/>
        </w:rPr>
      </w:pPr>
      <w:bookmarkStart w:id="86" w:name="_Toc73461265"/>
      <w:r>
        <w:rPr>
          <w:rFonts w:ascii="Times New Roman" w:hAnsi="Times New Roman"/>
          <w:sz w:val="24"/>
        </w:rPr>
        <w:t>6.3. Bruto darbības rezultāts un jauktais ienākums</w:t>
      </w:r>
      <w:bookmarkStart w:id="87" w:name="_bookmark43"/>
      <w:bookmarkEnd w:id="86"/>
      <w:bookmarkEnd w:id="87"/>
    </w:p>
    <w:p w14:paraId="1F835992" w14:textId="77777777" w:rsidR="0026660B" w:rsidRPr="001F0ECB" w:rsidRDefault="0026660B" w:rsidP="0026660B">
      <w:pPr>
        <w:pStyle w:val="Heading2"/>
        <w:tabs>
          <w:tab w:val="left" w:pos="1181"/>
        </w:tabs>
        <w:ind w:left="0" w:firstLine="0"/>
        <w:jc w:val="both"/>
        <w:rPr>
          <w:rFonts w:ascii="Times New Roman" w:hAnsi="Times New Roman"/>
          <w:noProof/>
          <w:sz w:val="24"/>
        </w:rPr>
      </w:pPr>
    </w:p>
    <w:p w14:paraId="0D1008FD"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IKP aprēķinos saskaņā ar ienākumu pieeju šī ir balansa pozīcija – ražošanas pieejas IKP un citu ienākuma pieejas komponenšu starpība:</w:t>
      </w:r>
    </w:p>
    <w:p w14:paraId="3B35884F" w14:textId="77777777" w:rsidR="0026660B" w:rsidRDefault="0026660B" w:rsidP="00975B5E">
      <w:pPr>
        <w:pStyle w:val="BodyText"/>
        <w:spacing w:before="0"/>
        <w:ind w:left="0"/>
        <w:jc w:val="both"/>
        <w:rPr>
          <w:rFonts w:ascii="Times New Roman" w:hAnsi="Times New Roman"/>
          <w:noProof/>
        </w:rPr>
      </w:pPr>
    </w:p>
    <w:p w14:paraId="0FBB1399" w14:textId="77777777" w:rsidR="0026660B" w:rsidRPr="0026660B" w:rsidRDefault="0026660B" w:rsidP="0026660B">
      <w:pPr>
        <w:pStyle w:val="BodyText"/>
        <w:spacing w:before="0"/>
        <w:ind w:left="0"/>
        <w:jc w:val="center"/>
        <w:rPr>
          <w:rFonts w:ascii="Times New Roman" w:hAnsi="Times New Roman"/>
          <w:b/>
          <w:bCs/>
          <w:noProof/>
        </w:rPr>
      </w:pPr>
      <w:r>
        <w:rPr>
          <w:rFonts w:ascii="Times New Roman" w:hAnsi="Times New Roman"/>
          <w:b/>
          <w:i/>
        </w:rPr>
        <w:t>B</w:t>
      </w:r>
      <w:r>
        <w:rPr>
          <w:rFonts w:ascii="Times New Roman" w:hAnsi="Times New Roman"/>
          <w:b/>
        </w:rPr>
        <w:t>.2</w:t>
      </w:r>
      <w:r>
        <w:rPr>
          <w:rFonts w:ascii="Times New Roman" w:hAnsi="Times New Roman"/>
          <w:b/>
          <w:i/>
        </w:rPr>
        <w:t>g + B</w:t>
      </w:r>
      <w:r>
        <w:rPr>
          <w:rFonts w:ascii="Times New Roman" w:hAnsi="Times New Roman"/>
          <w:b/>
        </w:rPr>
        <w:t>.3</w:t>
      </w:r>
      <w:r>
        <w:rPr>
          <w:rFonts w:ascii="Times New Roman" w:hAnsi="Times New Roman"/>
          <w:b/>
          <w:i/>
        </w:rPr>
        <w:t>g = IKP</w:t>
      </w:r>
      <w:r>
        <w:rPr>
          <w:rFonts w:ascii="Times New Roman" w:hAnsi="Times New Roman"/>
          <w:b/>
          <w:i/>
          <w:vertAlign w:val="subscript"/>
        </w:rPr>
        <w:t>RAŽ</w:t>
      </w:r>
      <w:r>
        <w:rPr>
          <w:rFonts w:ascii="Times New Roman" w:hAnsi="Times New Roman"/>
          <w:b/>
          <w:i/>
        </w:rPr>
        <w:t xml:space="preserve"> – D.</w:t>
      </w:r>
      <w:r>
        <w:rPr>
          <w:rFonts w:ascii="Times New Roman" w:hAnsi="Times New Roman"/>
          <w:b/>
        </w:rPr>
        <w:t xml:space="preserve">1 – </w:t>
      </w:r>
      <w:r>
        <w:rPr>
          <w:rFonts w:ascii="Times New Roman" w:hAnsi="Times New Roman"/>
          <w:b/>
          <w:i/>
        </w:rPr>
        <w:t>D.</w:t>
      </w:r>
      <w:r>
        <w:rPr>
          <w:rFonts w:ascii="Times New Roman" w:hAnsi="Times New Roman"/>
          <w:b/>
        </w:rPr>
        <w:t xml:space="preserve">2 + </w:t>
      </w:r>
      <w:r>
        <w:rPr>
          <w:rFonts w:ascii="Times New Roman" w:hAnsi="Times New Roman"/>
          <w:b/>
          <w:i/>
        </w:rPr>
        <w:t>D.</w:t>
      </w:r>
      <w:r>
        <w:rPr>
          <w:rFonts w:ascii="Times New Roman" w:hAnsi="Times New Roman"/>
          <w:b/>
        </w:rPr>
        <w:t>3</w:t>
      </w:r>
    </w:p>
    <w:p w14:paraId="16EB8058" w14:textId="77777777" w:rsidR="0026660B" w:rsidRDefault="0026660B" w:rsidP="00975B5E">
      <w:pPr>
        <w:pStyle w:val="BodyText"/>
        <w:spacing w:before="0"/>
        <w:ind w:left="0"/>
        <w:jc w:val="both"/>
        <w:rPr>
          <w:rFonts w:ascii="Times New Roman" w:hAnsi="Times New Roman"/>
          <w:noProof/>
        </w:rPr>
      </w:pPr>
    </w:p>
    <w:p w14:paraId="63A76671" w14:textId="77777777" w:rsidR="0026660B" w:rsidRDefault="0026660B" w:rsidP="00975B5E">
      <w:pPr>
        <w:pStyle w:val="BodyText"/>
        <w:spacing w:before="0"/>
        <w:ind w:left="0"/>
        <w:jc w:val="both"/>
        <w:rPr>
          <w:rFonts w:ascii="Times New Roman" w:hAnsi="Times New Roman"/>
          <w:noProof/>
        </w:rPr>
      </w:pPr>
    </w:p>
    <w:p w14:paraId="2811D8EA" w14:textId="77777777" w:rsidR="002672AA" w:rsidRPr="00A327DC" w:rsidRDefault="0026660B" w:rsidP="0026660B">
      <w:pPr>
        <w:pStyle w:val="Heading1"/>
        <w:tabs>
          <w:tab w:val="left" w:pos="821"/>
        </w:tabs>
        <w:spacing w:before="0"/>
        <w:ind w:left="0" w:firstLine="0"/>
        <w:jc w:val="both"/>
        <w:rPr>
          <w:rFonts w:ascii="Times New Roman" w:hAnsi="Times New Roman"/>
          <w:noProof/>
          <w:sz w:val="28"/>
          <w:szCs w:val="40"/>
        </w:rPr>
      </w:pPr>
      <w:bookmarkStart w:id="88" w:name="_Toc73461266"/>
      <w:r w:rsidRPr="00A327DC">
        <w:rPr>
          <w:rFonts w:ascii="Times New Roman" w:hAnsi="Times New Roman"/>
          <w:sz w:val="28"/>
          <w:szCs w:val="40"/>
        </w:rPr>
        <w:t>7. Iedzīvotāju skaits un nodarbinātība</w:t>
      </w:r>
      <w:bookmarkStart w:id="89" w:name="_bookmark44"/>
      <w:bookmarkEnd w:id="88"/>
      <w:bookmarkEnd w:id="89"/>
    </w:p>
    <w:p w14:paraId="4FBB5702" w14:textId="77777777" w:rsidR="0026660B" w:rsidRDefault="0026660B" w:rsidP="0026660B">
      <w:pPr>
        <w:pStyle w:val="Heading2"/>
        <w:tabs>
          <w:tab w:val="left" w:pos="1181"/>
        </w:tabs>
        <w:ind w:left="0" w:firstLine="0"/>
        <w:jc w:val="both"/>
        <w:rPr>
          <w:rFonts w:ascii="Times New Roman" w:hAnsi="Times New Roman"/>
          <w:noProof/>
          <w:sz w:val="24"/>
        </w:rPr>
      </w:pPr>
    </w:p>
    <w:p w14:paraId="6105C4F0" w14:textId="77777777" w:rsidR="0026660B" w:rsidRDefault="0026660B" w:rsidP="0026660B">
      <w:pPr>
        <w:pStyle w:val="Heading2"/>
        <w:tabs>
          <w:tab w:val="left" w:pos="1181"/>
        </w:tabs>
        <w:ind w:left="0" w:firstLine="0"/>
        <w:jc w:val="both"/>
        <w:rPr>
          <w:rFonts w:ascii="Times New Roman" w:hAnsi="Times New Roman"/>
          <w:noProof/>
          <w:sz w:val="24"/>
        </w:rPr>
      </w:pPr>
    </w:p>
    <w:p w14:paraId="35610387" w14:textId="77777777" w:rsidR="002672AA" w:rsidRPr="001F0ECB" w:rsidRDefault="0026660B" w:rsidP="0026660B">
      <w:pPr>
        <w:pStyle w:val="Heading2"/>
        <w:tabs>
          <w:tab w:val="left" w:pos="1181"/>
        </w:tabs>
        <w:ind w:left="0" w:firstLine="0"/>
        <w:jc w:val="both"/>
        <w:rPr>
          <w:rFonts w:ascii="Times New Roman" w:hAnsi="Times New Roman"/>
          <w:noProof/>
          <w:sz w:val="24"/>
        </w:rPr>
      </w:pPr>
      <w:bookmarkStart w:id="90" w:name="_Toc73461267"/>
      <w:r>
        <w:rPr>
          <w:rFonts w:ascii="Times New Roman" w:hAnsi="Times New Roman"/>
          <w:sz w:val="24"/>
        </w:rPr>
        <w:t>7.1. Iedzīvotāju skaits</w:t>
      </w:r>
      <w:bookmarkStart w:id="91" w:name="_bookmark45"/>
      <w:bookmarkEnd w:id="90"/>
      <w:bookmarkEnd w:id="91"/>
    </w:p>
    <w:p w14:paraId="65D131CD" w14:textId="77777777" w:rsidR="0026660B" w:rsidRDefault="0026660B" w:rsidP="00975B5E">
      <w:pPr>
        <w:pStyle w:val="BodyText"/>
        <w:spacing w:before="0"/>
        <w:ind w:left="0"/>
        <w:jc w:val="both"/>
        <w:rPr>
          <w:rFonts w:ascii="Times New Roman" w:hAnsi="Times New Roman"/>
          <w:noProof/>
        </w:rPr>
      </w:pPr>
    </w:p>
    <w:p w14:paraId="2570648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 avots iedzīvotāju skaita noteikšanai ir demogrāfiskās statistikas dati.</w:t>
      </w:r>
    </w:p>
    <w:p w14:paraId="63CE88AE" w14:textId="77777777" w:rsidR="0026660B" w:rsidRDefault="0026660B" w:rsidP="00975B5E">
      <w:pPr>
        <w:pStyle w:val="BodyText"/>
        <w:spacing w:before="0"/>
        <w:ind w:left="0"/>
        <w:jc w:val="both"/>
        <w:rPr>
          <w:rFonts w:ascii="Times New Roman" w:hAnsi="Times New Roman"/>
          <w:noProof/>
        </w:rPr>
      </w:pPr>
    </w:p>
    <w:p w14:paraId="055E670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Iedzīvotāju skaita mainīgais lielums nacionālajos kontos ir vidējā vērtība ceturkšņa sākumā, t. i., attiecībā uz 1. ceturksni tas būtu vidējais rādītājs par iedzīvotāju skaitu 1. un 2. ceturksnī.</w:t>
      </w:r>
    </w:p>
    <w:p w14:paraId="11A3865C" w14:textId="77777777" w:rsidR="00975B5E" w:rsidRPr="001F0ECB" w:rsidRDefault="00975B5E" w:rsidP="00975B5E">
      <w:pPr>
        <w:jc w:val="both"/>
        <w:rPr>
          <w:rFonts w:ascii="Times New Roman" w:hAnsi="Times New Roman"/>
          <w:noProof/>
          <w:sz w:val="24"/>
        </w:rPr>
      </w:pPr>
    </w:p>
    <w:p w14:paraId="496632D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Demogrāfiskās statistikas datus iegūst, apkopojot un analizējot tikai reģistrētās iedzīvotāju skaita izmaiņas (gan dabisko pieaugumu, gan neto migrācijas saldo). Iedzīvotāju skaits pa mēnešiem, ņemot vērā nereģistrētās migrācijas novērtējumu, kā arī dzimstības/mirstības datus atbilstoši notikuma mēnesim tiek pārrēķināts nākamā gada 2. ceturksnī.</w:t>
      </w:r>
    </w:p>
    <w:p w14:paraId="70B93D84" w14:textId="77777777" w:rsidR="002672AA" w:rsidRPr="001F0ECB" w:rsidRDefault="002672AA" w:rsidP="00975B5E">
      <w:pPr>
        <w:jc w:val="both"/>
        <w:rPr>
          <w:rFonts w:ascii="Times New Roman" w:eastAsia="Calibri" w:hAnsi="Times New Roman" w:cs="Calibri"/>
          <w:noProof/>
          <w:sz w:val="24"/>
          <w:szCs w:val="26"/>
        </w:rPr>
      </w:pPr>
    </w:p>
    <w:p w14:paraId="0D79E1E0" w14:textId="77777777" w:rsidR="002672AA" w:rsidRPr="001F0ECB" w:rsidRDefault="002672AA" w:rsidP="00975B5E">
      <w:pPr>
        <w:jc w:val="both"/>
        <w:rPr>
          <w:rFonts w:ascii="Times New Roman" w:eastAsia="Calibri" w:hAnsi="Times New Roman" w:cs="Calibri"/>
          <w:noProof/>
          <w:sz w:val="24"/>
          <w:szCs w:val="21"/>
        </w:rPr>
      </w:pPr>
    </w:p>
    <w:p w14:paraId="17DAF7AA" w14:textId="77777777" w:rsidR="002672AA" w:rsidRPr="001F0ECB" w:rsidRDefault="0026660B" w:rsidP="00A76D82">
      <w:pPr>
        <w:pStyle w:val="Heading2"/>
        <w:keepNext/>
        <w:tabs>
          <w:tab w:val="left" w:pos="1181"/>
        </w:tabs>
        <w:ind w:left="0" w:firstLine="0"/>
        <w:jc w:val="both"/>
        <w:rPr>
          <w:rFonts w:ascii="Times New Roman" w:hAnsi="Times New Roman"/>
          <w:noProof/>
          <w:sz w:val="24"/>
        </w:rPr>
      </w:pPr>
      <w:bookmarkStart w:id="92" w:name="_Toc73461268"/>
      <w:r>
        <w:rPr>
          <w:rFonts w:ascii="Times New Roman" w:hAnsi="Times New Roman"/>
          <w:sz w:val="24"/>
        </w:rPr>
        <w:t>7.2. Nodarbinātība – personas</w:t>
      </w:r>
      <w:bookmarkStart w:id="93" w:name="_bookmark46"/>
      <w:bookmarkEnd w:id="92"/>
      <w:bookmarkEnd w:id="93"/>
    </w:p>
    <w:p w14:paraId="465BEB75" w14:textId="77777777" w:rsidR="0026660B" w:rsidRDefault="0026660B" w:rsidP="00A76D82">
      <w:pPr>
        <w:pStyle w:val="BodyText"/>
        <w:keepNext/>
        <w:spacing w:before="0"/>
        <w:ind w:left="0"/>
        <w:jc w:val="both"/>
        <w:rPr>
          <w:rFonts w:ascii="Times New Roman" w:hAnsi="Times New Roman"/>
          <w:noProof/>
        </w:rPr>
      </w:pPr>
    </w:p>
    <w:p w14:paraId="4F64B1E8" w14:textId="77777777" w:rsidR="002672AA" w:rsidRPr="001F0ECB" w:rsidRDefault="002672AA" w:rsidP="00A76D82">
      <w:pPr>
        <w:pStyle w:val="BodyText"/>
        <w:keepNext/>
        <w:spacing w:before="0"/>
        <w:ind w:left="0"/>
        <w:jc w:val="both"/>
        <w:rPr>
          <w:rFonts w:ascii="Times New Roman" w:hAnsi="Times New Roman"/>
          <w:noProof/>
        </w:rPr>
      </w:pPr>
      <w:r>
        <w:rPr>
          <w:rFonts w:ascii="Times New Roman" w:hAnsi="Times New Roman"/>
        </w:rPr>
        <w:t xml:space="preserve">Nacionālajos kontos nodarbināto skaitu pa ceturkšņiem aprēķina, ņemot vērā </w:t>
      </w:r>
      <w:r>
        <w:rPr>
          <w:rFonts w:ascii="Times New Roman" w:hAnsi="Times New Roman"/>
          <w:i/>
          <w:iCs/>
        </w:rPr>
        <w:t>NACE</w:t>
      </w:r>
      <w:r>
        <w:rPr>
          <w:rFonts w:ascii="Times New Roman" w:hAnsi="Times New Roman"/>
        </w:rPr>
        <w:t xml:space="preserve"> A*10 sadalījumu pēc iekšzemes un nacionālā jēdziena saskaņā ar EKS 2010 prasībām.</w:t>
      </w:r>
    </w:p>
    <w:p w14:paraId="6509F948" w14:textId="77777777" w:rsidR="0026660B" w:rsidRDefault="0026660B" w:rsidP="00975B5E">
      <w:pPr>
        <w:pStyle w:val="BodyText"/>
        <w:spacing w:before="0"/>
        <w:ind w:left="0"/>
        <w:jc w:val="both"/>
        <w:rPr>
          <w:rFonts w:ascii="Times New Roman" w:hAnsi="Times New Roman"/>
          <w:noProof/>
        </w:rPr>
      </w:pPr>
    </w:p>
    <w:p w14:paraId="4AAD1D7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Par nodarbinātajiem iedzīvotājiem uzskata nodarbinātās personas un pašnodarbinātās </w:t>
      </w:r>
      <w:r>
        <w:rPr>
          <w:rFonts w:ascii="Times New Roman" w:hAnsi="Times New Roman"/>
        </w:rPr>
        <w:lastRenderedPageBreak/>
        <w:t>personas (pašnodarbinātas personas ir darba devēji, pašnodarbinātas personas un nealgotas personas ģimenes uzņēmumā/profesionālajā praksē vai lauku saimniecībā).</w:t>
      </w:r>
    </w:p>
    <w:p w14:paraId="6E51388C" w14:textId="77777777" w:rsidR="0026660B" w:rsidRDefault="0026660B" w:rsidP="00975B5E">
      <w:pPr>
        <w:pStyle w:val="BodyText"/>
        <w:spacing w:before="0"/>
        <w:ind w:left="0"/>
        <w:jc w:val="both"/>
        <w:rPr>
          <w:rFonts w:ascii="Times New Roman" w:hAnsi="Times New Roman"/>
          <w:noProof/>
        </w:rPr>
      </w:pPr>
    </w:p>
    <w:p w14:paraId="3CF34187" w14:textId="77777777" w:rsidR="0026660B" w:rsidRPr="0026660B" w:rsidRDefault="0026660B" w:rsidP="0026660B">
      <w:pPr>
        <w:pStyle w:val="BodyText"/>
        <w:spacing w:before="0"/>
        <w:ind w:left="0"/>
        <w:jc w:val="center"/>
        <w:rPr>
          <w:rFonts w:ascii="Times New Roman" w:hAnsi="Times New Roman"/>
          <w:b/>
          <w:bCs/>
          <w:i/>
          <w:iCs/>
          <w:noProof/>
        </w:rPr>
      </w:pPr>
      <w:r>
        <w:rPr>
          <w:rFonts w:ascii="Times New Roman" w:hAnsi="Times New Roman"/>
          <w:b/>
          <w:i/>
        </w:rPr>
        <w:t>Nodarbinātie iedzīvotāji = nodarbinātās personas + pašnodarbinātās personas</w:t>
      </w:r>
    </w:p>
    <w:p w14:paraId="5B25BCD2" w14:textId="77777777" w:rsidR="0026660B" w:rsidRDefault="0026660B" w:rsidP="00975B5E">
      <w:pPr>
        <w:pStyle w:val="BodyText"/>
        <w:spacing w:before="0"/>
        <w:ind w:left="0"/>
        <w:jc w:val="both"/>
        <w:rPr>
          <w:rFonts w:ascii="Times New Roman" w:hAnsi="Times New Roman"/>
          <w:noProof/>
        </w:rPr>
      </w:pPr>
    </w:p>
    <w:p w14:paraId="51C9A9E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Nacionālajos kontos (NK) nodarbināto iedzīvotāju skaitu aprēķina, izmantojot pamatdarbā nodarbināto personu skaitu.</w:t>
      </w:r>
    </w:p>
    <w:p w14:paraId="4087755B" w14:textId="77777777" w:rsidR="0026660B" w:rsidRDefault="0026660B" w:rsidP="00975B5E">
      <w:pPr>
        <w:pStyle w:val="BodyText"/>
        <w:spacing w:before="0"/>
        <w:ind w:left="0"/>
        <w:jc w:val="both"/>
        <w:rPr>
          <w:rFonts w:ascii="Times New Roman" w:hAnsi="Times New Roman"/>
          <w:noProof/>
        </w:rPr>
      </w:pPr>
    </w:p>
    <w:p w14:paraId="27AE029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Galvenais izmantotais datu avots nodarbināto iedzīvotāju skaita aprēķināšanai NK ir darbaspēka apsekojums (DSA), jo tas ir mājsaimniecību apsekojums, kurā iekļautas visas nodarbinātās personas, tostarp arī pašnodarbinātās personas, vecumā līdz 75 gadiem.</w:t>
      </w:r>
    </w:p>
    <w:p w14:paraId="59A74A14" w14:textId="77777777" w:rsidR="0026660B" w:rsidRDefault="0026660B" w:rsidP="00975B5E">
      <w:pPr>
        <w:pStyle w:val="BodyText"/>
        <w:spacing w:before="0"/>
        <w:ind w:left="0"/>
        <w:jc w:val="both"/>
        <w:rPr>
          <w:rFonts w:ascii="Times New Roman" w:hAnsi="Times New Roman"/>
          <w:noProof/>
        </w:rPr>
      </w:pPr>
    </w:p>
    <w:p w14:paraId="01D1C393"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Lai atbilstīgi nacionālo kontu prasībām aprēķinātu nodarbināto skaitu saskaņā ar EKS 2010, nodarbināto skaitā tiek ietverti gan rezidenti, gan nerezidenti, kuri Latvijas teritorijā strādājuši mazāk nekā gadu.</w:t>
      </w:r>
    </w:p>
    <w:p w14:paraId="67489DDD" w14:textId="77777777" w:rsidR="0026660B" w:rsidRPr="001F0ECB" w:rsidRDefault="0026660B" w:rsidP="00975B5E">
      <w:pPr>
        <w:pStyle w:val="BodyText"/>
        <w:spacing w:before="0"/>
        <w:ind w:left="0"/>
        <w:jc w:val="both"/>
        <w:rPr>
          <w:rFonts w:ascii="Times New Roman" w:hAnsi="Times New Roman"/>
          <w:noProof/>
        </w:rPr>
      </w:pPr>
    </w:p>
    <w:p w14:paraId="67DD21B8"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Nacionālo kontu vajadzībām nodarbināto iedzīvotāju skaits tiek aprēķināts atbilstoši iekšzemes pieejai, iekļaujot visas personas, kas nodarbinātas ekonomiskajā teritorijā. Kopējais nodarbināto skaits, kas norādīts NK, tiek iegūts DSA un pārrēķināts atbilstoši iekšzemes pieejai. Atšķirības starp nacionālo kontu jēdzienu un nacionālo kontu iekšzemes jēdzienu parādās attiecībā uz datiem par nerezidentiem, kuri strādā Latvijā (ir jāpieskaita), un rezidentiem, kas strādā ārvalstīs (ir jāatņem), savukārt darbaspēka apsekojuma un nacionālo kontu nacionālā jēdziena dati atšķiras attiecībā uz nodarbināto skaitu vecumā virs 75 gadiem. Tie nav iekļauti darbaspēka apsekojumā, bet ir jāiekļauj nacionālajos kontos.</w:t>
      </w:r>
    </w:p>
    <w:p w14:paraId="2963790B" w14:textId="77777777" w:rsidR="0026660B" w:rsidRPr="001F0ECB" w:rsidRDefault="0026660B" w:rsidP="00975B5E">
      <w:pPr>
        <w:pStyle w:val="BodyText"/>
        <w:spacing w:before="0"/>
        <w:ind w:left="0"/>
        <w:jc w:val="both"/>
        <w:rPr>
          <w:rFonts w:ascii="Times New Roman" w:hAnsi="Times New Roman"/>
          <w:noProof/>
        </w:rPr>
      </w:pPr>
    </w:p>
    <w:p w14:paraId="682775BB"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aprēķinātu kopējo nacionālajos kontos iekļaujamo nodarbināto skaitu ceturksnī, izmanto šādu formulu:</w:t>
      </w:r>
    </w:p>
    <w:p w14:paraId="4CDC85DD" w14:textId="77777777" w:rsidR="002672AA" w:rsidRPr="001F0ECB" w:rsidRDefault="002672AA" w:rsidP="00975B5E">
      <w:pPr>
        <w:jc w:val="both"/>
        <w:rPr>
          <w:rFonts w:ascii="Times New Roman" w:eastAsia="Calibri" w:hAnsi="Times New Roman" w:cs="Calibri"/>
          <w:noProof/>
          <w:sz w:val="24"/>
          <w:szCs w:val="16"/>
        </w:rPr>
      </w:pPr>
    </w:p>
    <w:p w14:paraId="43083D96" w14:textId="77777777" w:rsidR="00975B5E" w:rsidRPr="001F0ECB" w:rsidRDefault="0026660B" w:rsidP="0026660B">
      <w:pPr>
        <w:jc w:val="center"/>
        <w:rPr>
          <w:rFonts w:ascii="Times New Roman" w:eastAsia="Calibri" w:hAnsi="Times New Roman" w:cs="Calibri"/>
          <w:noProof/>
          <w:sz w:val="24"/>
          <w:szCs w:val="16"/>
        </w:rPr>
      </w:pPr>
      <w:r>
        <w:rPr>
          <w:rFonts w:ascii="Times New Roman" w:hAnsi="Times New Roman"/>
          <w:noProof/>
          <w:sz w:val="24"/>
          <w:szCs w:val="16"/>
        </w:rPr>
        <w:drawing>
          <wp:inline distT="0" distB="0" distL="0" distR="0" wp14:anchorId="161B7ACF" wp14:editId="37431ADC">
            <wp:extent cx="4488815" cy="356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88815" cy="356235"/>
                    </a:xfrm>
                    <a:prstGeom prst="rect">
                      <a:avLst/>
                    </a:prstGeom>
                    <a:noFill/>
                    <a:ln>
                      <a:noFill/>
                    </a:ln>
                  </pic:spPr>
                </pic:pic>
              </a:graphicData>
            </a:graphic>
          </wp:inline>
        </w:drawing>
      </w:r>
    </w:p>
    <w:p w14:paraId="2E2F7637" w14:textId="77777777" w:rsidR="002672AA" w:rsidRPr="001F0ECB" w:rsidRDefault="002672AA" w:rsidP="00975B5E">
      <w:pPr>
        <w:jc w:val="both"/>
        <w:rPr>
          <w:rFonts w:ascii="Times New Roman" w:eastAsia="Calibri" w:hAnsi="Times New Roman" w:cs="Calibri"/>
          <w:noProof/>
          <w:sz w:val="24"/>
          <w:szCs w:val="24"/>
        </w:rPr>
      </w:pPr>
    </w:p>
    <w:p w14:paraId="6DD6E3D6" w14:textId="77777777" w:rsidR="002672AA" w:rsidRPr="001F0ECB" w:rsidRDefault="002672AA" w:rsidP="00975B5E">
      <w:pPr>
        <w:jc w:val="both"/>
        <w:rPr>
          <w:rFonts w:ascii="Times New Roman" w:eastAsia="Calibri" w:hAnsi="Times New Roman" w:cs="Calibri"/>
          <w:noProof/>
          <w:sz w:val="24"/>
          <w:szCs w:val="32"/>
        </w:rPr>
      </w:pPr>
    </w:p>
    <w:p w14:paraId="67EF69F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kur:</w:t>
      </w:r>
    </w:p>
    <w:p w14:paraId="66C25325" w14:textId="77777777" w:rsidR="00975B5E" w:rsidRPr="001F0ECB" w:rsidRDefault="00975B5E" w:rsidP="00975B5E">
      <w:pPr>
        <w:jc w:val="both"/>
        <w:rPr>
          <w:rFonts w:ascii="Times New Roman" w:eastAsia="Cambria Math" w:hAnsi="Times New Roman" w:cs="Cambria Math"/>
          <w:noProof/>
          <w:sz w:val="24"/>
          <w:szCs w:val="17"/>
        </w:rPr>
      </w:pPr>
    </w:p>
    <w:p w14:paraId="47FCA7C7"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rPr>
        <w:t>Σ</w:t>
      </w:r>
      <w:r>
        <w:rPr>
          <w:rFonts w:ascii="Times New Roman" w:hAnsi="Times New Roman"/>
          <w:b/>
          <w:i/>
          <w:vertAlign w:val="subscript"/>
        </w:rPr>
        <w:t>emp</w:t>
      </w:r>
      <w:r>
        <w:rPr>
          <w:rFonts w:ascii="Times New Roman" w:hAnsi="Times New Roman"/>
          <w:b/>
          <w:i/>
        </w:rPr>
        <w:t>NA</w:t>
      </w:r>
      <w:r>
        <w:rPr>
          <w:rFonts w:ascii="Times New Roman" w:hAnsi="Times New Roman"/>
        </w:rPr>
        <w:t> – kopējais nacionālajos kontos iekļautais nodarbināto skaits ceturksnī;</w:t>
      </w:r>
    </w:p>
    <w:p w14:paraId="42BD685E"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i/>
        </w:rPr>
        <w:t>NPE</w:t>
      </w:r>
      <w:r>
        <w:rPr>
          <w:rFonts w:ascii="Times New Roman" w:hAnsi="Times New Roman"/>
          <w:b/>
          <w:i/>
          <w:vertAlign w:val="subscript"/>
        </w:rPr>
        <w:t>LFS</w:t>
      </w:r>
      <w:r>
        <w:rPr>
          <w:rFonts w:ascii="Times New Roman" w:hAnsi="Times New Roman"/>
        </w:rPr>
        <w:t> – darbaspēka apsekojumā iegūtais nodarbināto skaits ceturksnī;</w:t>
      </w:r>
    </w:p>
    <w:p w14:paraId="7759A747"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i/>
        </w:rPr>
        <w:t>NPE</w:t>
      </w:r>
      <w:r>
        <w:rPr>
          <w:rFonts w:ascii="Times New Roman" w:hAnsi="Times New Roman"/>
          <w:b/>
          <w:i/>
          <w:vertAlign w:val="subscript"/>
        </w:rPr>
        <w:t>abr</w:t>
      </w:r>
      <w:r>
        <w:rPr>
          <w:rFonts w:ascii="Times New Roman" w:hAnsi="Times New Roman"/>
        </w:rPr>
        <w:t> – darbaspēka apsekojumā iegūtais ārvalstīs nodarbināto Latvijas rezidentu skaits ceturksnī;</w:t>
      </w:r>
    </w:p>
    <w:p w14:paraId="4573336C"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i/>
        </w:rPr>
        <w:t>NPE</w:t>
      </w:r>
      <w:r>
        <w:rPr>
          <w:rFonts w:ascii="Times New Roman" w:hAnsi="Times New Roman"/>
          <w:b/>
          <w:vertAlign w:val="subscript"/>
        </w:rPr>
        <w:t>75+</w:t>
      </w:r>
      <w:r>
        <w:rPr>
          <w:rFonts w:ascii="Times New Roman" w:hAnsi="Times New Roman"/>
        </w:rPr>
        <w:t> – nodarbināto personu skaits ceturksnī vecumā virs 75 gadiem no Pārskata par darba samaksas struktūru;</w:t>
      </w:r>
    </w:p>
    <w:p w14:paraId="6F888DF9"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i/>
        </w:rPr>
        <w:t>SELF</w:t>
      </w:r>
      <w:r>
        <w:rPr>
          <w:rFonts w:ascii="Times New Roman" w:hAnsi="Times New Roman"/>
          <w:b/>
          <w:i/>
          <w:vertAlign w:val="subscript"/>
        </w:rPr>
        <w:t>LFS</w:t>
      </w:r>
      <w:r>
        <w:rPr>
          <w:rFonts w:ascii="Times New Roman" w:hAnsi="Times New Roman"/>
        </w:rPr>
        <w:t> – darbaspēka apsekojumā iegūtais pašnodarbināto skaits ceturksnī;</w:t>
      </w:r>
    </w:p>
    <w:p w14:paraId="64BB7E32"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i/>
        </w:rPr>
        <w:t>SELF</w:t>
      </w:r>
      <w:r>
        <w:rPr>
          <w:rFonts w:ascii="Times New Roman" w:hAnsi="Times New Roman"/>
          <w:b/>
          <w:i/>
          <w:vertAlign w:val="subscript"/>
        </w:rPr>
        <w:t>abr</w:t>
      </w:r>
      <w:r>
        <w:rPr>
          <w:rFonts w:ascii="Times New Roman" w:hAnsi="Times New Roman"/>
        </w:rPr>
        <w:t> – darbaspēka apsekojumā iegūtais ārvalstīs strādājošu pašnodarbinātu Latvijas rezidentu skaits;</w:t>
      </w:r>
    </w:p>
    <w:p w14:paraId="07E51E02" w14:textId="77777777" w:rsidR="002672AA" w:rsidRPr="001F0ECB" w:rsidRDefault="0026660B" w:rsidP="00975B5E">
      <w:pPr>
        <w:pStyle w:val="BodyText"/>
        <w:spacing w:before="0"/>
        <w:ind w:left="0"/>
        <w:jc w:val="both"/>
        <w:rPr>
          <w:rFonts w:ascii="Times New Roman" w:hAnsi="Times New Roman"/>
          <w:noProof/>
        </w:rPr>
      </w:pPr>
      <w:r>
        <w:rPr>
          <w:rFonts w:ascii="Times New Roman" w:hAnsi="Times New Roman"/>
          <w:b/>
          <w:i/>
        </w:rPr>
        <w:t>SELF</w:t>
      </w:r>
      <w:r>
        <w:rPr>
          <w:rFonts w:ascii="Times New Roman" w:hAnsi="Times New Roman"/>
          <w:b/>
          <w:vertAlign w:val="subscript"/>
        </w:rPr>
        <w:t>75+</w:t>
      </w:r>
      <w:r>
        <w:rPr>
          <w:rFonts w:ascii="Times New Roman" w:hAnsi="Times New Roman"/>
        </w:rPr>
        <w:t> – pašnodarbināto skaits ceturksnī vecumā virs 75 gadiem no Pārskata par darba samaksas struktūru.</w:t>
      </w:r>
    </w:p>
    <w:p w14:paraId="7BBCDE08" w14:textId="77777777" w:rsidR="0026660B" w:rsidRDefault="0026660B" w:rsidP="00975B5E">
      <w:pPr>
        <w:pStyle w:val="BodyText"/>
        <w:spacing w:before="0"/>
        <w:ind w:left="0"/>
        <w:jc w:val="both"/>
        <w:rPr>
          <w:rFonts w:ascii="Times New Roman" w:hAnsi="Times New Roman"/>
          <w:noProof/>
        </w:rPr>
      </w:pPr>
    </w:p>
    <w:p w14:paraId="179ED8A9"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Aprēķinot nodarbināto skaitu katrā sektorā, ņem vērā ne tikai nodarbināto skaita izmaiņas iepriekšējā gada attiecīgajā periodā, bet arī konkrētajā sektorā konstatētās ražošanas izlaides izmaiņas attiecīgajā ceturksnī salīdzinājumā ar iepriekšējā gada atbilstošo ceturksni.</w:t>
      </w:r>
    </w:p>
    <w:p w14:paraId="43EA99B2" w14:textId="77777777" w:rsidR="0026660B" w:rsidRPr="001F0ECB" w:rsidRDefault="0026660B" w:rsidP="00975B5E">
      <w:pPr>
        <w:pStyle w:val="BodyText"/>
        <w:spacing w:before="0"/>
        <w:ind w:left="0"/>
        <w:jc w:val="both"/>
        <w:rPr>
          <w:rFonts w:ascii="Times New Roman" w:hAnsi="Times New Roman"/>
          <w:noProof/>
        </w:rPr>
      </w:pPr>
    </w:p>
    <w:p w14:paraId="1A171463"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 xml:space="preserve">Lai iespējami efektīvāk novērtētu datus un izvairītos no dažādām neatbilstībām, tiek analizēti </w:t>
      </w:r>
      <w:r>
        <w:rPr>
          <w:rFonts w:ascii="Times New Roman" w:hAnsi="Times New Roman"/>
        </w:rPr>
        <w:lastRenderedPageBreak/>
        <w:t>3 dažādu avotu dati. Tā kā ir zināmi iepriekšējo periodu dati, tiek aprēķināts pieauguma temps pret iepriekšējā gada atbilstošo periodu katrai nozarei sekojošiem rādītājiem:</w:t>
      </w:r>
    </w:p>
    <w:p w14:paraId="0275E1D3" w14:textId="77777777" w:rsidR="0026660B" w:rsidRPr="001F0ECB" w:rsidRDefault="0026660B" w:rsidP="00975B5E">
      <w:pPr>
        <w:pStyle w:val="BodyText"/>
        <w:spacing w:before="0"/>
        <w:ind w:left="0"/>
        <w:jc w:val="both"/>
        <w:rPr>
          <w:rFonts w:ascii="Times New Roman" w:hAnsi="Times New Roman"/>
          <w:noProof/>
        </w:rPr>
      </w:pPr>
    </w:p>
    <w:p w14:paraId="7F65168B" w14:textId="77777777" w:rsidR="002672AA" w:rsidRPr="001F0ECB" w:rsidRDefault="002672AA" w:rsidP="0026660B">
      <w:pPr>
        <w:pStyle w:val="BodyText"/>
        <w:numPr>
          <w:ilvl w:val="1"/>
          <w:numId w:val="3"/>
        </w:numPr>
        <w:spacing w:before="0"/>
        <w:ind w:left="709" w:hanging="425"/>
        <w:jc w:val="both"/>
        <w:rPr>
          <w:rFonts w:ascii="Times New Roman" w:hAnsi="Times New Roman"/>
          <w:noProof/>
        </w:rPr>
      </w:pPr>
      <w:r>
        <w:rPr>
          <w:rFonts w:ascii="Times New Roman" w:hAnsi="Times New Roman"/>
        </w:rPr>
        <w:t>DSA iegūtajam nodarbināto skaitam;</w:t>
      </w:r>
    </w:p>
    <w:p w14:paraId="641EC9DB" w14:textId="77777777" w:rsidR="002672AA" w:rsidRPr="001F0ECB" w:rsidRDefault="002672AA" w:rsidP="0026660B">
      <w:pPr>
        <w:pStyle w:val="BodyText"/>
        <w:numPr>
          <w:ilvl w:val="1"/>
          <w:numId w:val="3"/>
        </w:numPr>
        <w:spacing w:before="0"/>
        <w:ind w:left="709" w:hanging="425"/>
        <w:jc w:val="both"/>
        <w:rPr>
          <w:rFonts w:ascii="Times New Roman" w:hAnsi="Times New Roman"/>
          <w:noProof/>
        </w:rPr>
      </w:pPr>
      <w:r>
        <w:rPr>
          <w:rFonts w:ascii="Times New Roman" w:hAnsi="Times New Roman"/>
        </w:rPr>
        <w:t>veidlapā 2-darbs iegūtajam nodarbināto skaitam;</w:t>
      </w:r>
    </w:p>
    <w:p w14:paraId="0C32D4F7" w14:textId="77777777" w:rsidR="002672AA" w:rsidRPr="001F0ECB" w:rsidRDefault="002672AA" w:rsidP="0026660B">
      <w:pPr>
        <w:pStyle w:val="BodyText"/>
        <w:numPr>
          <w:ilvl w:val="1"/>
          <w:numId w:val="3"/>
        </w:numPr>
        <w:spacing w:before="0"/>
        <w:ind w:left="709" w:hanging="425"/>
        <w:jc w:val="both"/>
        <w:rPr>
          <w:rFonts w:ascii="Times New Roman" w:hAnsi="Times New Roman"/>
          <w:noProof/>
        </w:rPr>
      </w:pPr>
      <w:r>
        <w:rPr>
          <w:rFonts w:ascii="Times New Roman" w:hAnsi="Times New Roman"/>
        </w:rPr>
        <w:t>ceturkšņa nacionālo kontu izlaides datiem.</w:t>
      </w:r>
    </w:p>
    <w:p w14:paraId="1520CB9E" w14:textId="77777777" w:rsidR="0026660B" w:rsidRDefault="0026660B" w:rsidP="00975B5E">
      <w:pPr>
        <w:pStyle w:val="BodyText"/>
        <w:spacing w:before="0"/>
        <w:ind w:left="0"/>
        <w:jc w:val="both"/>
        <w:rPr>
          <w:rFonts w:ascii="Times New Roman" w:hAnsi="Times New Roman"/>
          <w:noProof/>
        </w:rPr>
      </w:pPr>
    </w:p>
    <w:p w14:paraId="2630359B"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Lēmumu par to, vai konkrētajā nozarē ir pieaugums, pieņem, analizējot:</w:t>
      </w:r>
    </w:p>
    <w:p w14:paraId="2285408B" w14:textId="77777777" w:rsidR="0026660B" w:rsidRPr="001F0ECB" w:rsidRDefault="0026660B" w:rsidP="00975B5E">
      <w:pPr>
        <w:pStyle w:val="BodyText"/>
        <w:spacing w:before="0"/>
        <w:ind w:left="0"/>
        <w:jc w:val="both"/>
        <w:rPr>
          <w:rFonts w:ascii="Times New Roman" w:hAnsi="Times New Roman"/>
          <w:noProof/>
        </w:rPr>
      </w:pPr>
    </w:p>
    <w:p w14:paraId="6D09E80A" w14:textId="77777777" w:rsidR="002672AA" w:rsidRPr="001F0ECB" w:rsidRDefault="002672AA" w:rsidP="0026660B">
      <w:pPr>
        <w:pStyle w:val="BodyText"/>
        <w:numPr>
          <w:ilvl w:val="0"/>
          <w:numId w:val="2"/>
        </w:numPr>
        <w:spacing w:before="0"/>
        <w:ind w:left="709" w:hanging="425"/>
        <w:jc w:val="both"/>
        <w:rPr>
          <w:rFonts w:ascii="Times New Roman" w:hAnsi="Times New Roman"/>
          <w:noProof/>
        </w:rPr>
      </w:pPr>
      <w:r>
        <w:rPr>
          <w:rFonts w:ascii="Times New Roman" w:hAnsi="Times New Roman"/>
        </w:rPr>
        <w:t>nodarbināto skaitu un</w:t>
      </w:r>
    </w:p>
    <w:p w14:paraId="3017B5C7" w14:textId="77777777" w:rsidR="002672AA" w:rsidRPr="001F0ECB" w:rsidRDefault="002672AA" w:rsidP="0026660B">
      <w:pPr>
        <w:pStyle w:val="BodyText"/>
        <w:numPr>
          <w:ilvl w:val="0"/>
          <w:numId w:val="2"/>
        </w:numPr>
        <w:spacing w:before="0"/>
        <w:ind w:left="709" w:hanging="425"/>
        <w:jc w:val="both"/>
        <w:rPr>
          <w:rFonts w:ascii="Times New Roman" w:hAnsi="Times New Roman"/>
          <w:noProof/>
        </w:rPr>
      </w:pPr>
      <w:r>
        <w:rPr>
          <w:rFonts w:ascii="Times New Roman" w:hAnsi="Times New Roman"/>
        </w:rPr>
        <w:t>ražošanas pieaugumu vai samazinājumu noteiktā sektorā.</w:t>
      </w:r>
    </w:p>
    <w:p w14:paraId="18A56DBC" w14:textId="77777777" w:rsidR="0026660B" w:rsidRDefault="0026660B" w:rsidP="00975B5E">
      <w:pPr>
        <w:pStyle w:val="BodyText"/>
        <w:spacing w:before="0"/>
        <w:ind w:left="0"/>
        <w:jc w:val="both"/>
        <w:rPr>
          <w:rFonts w:ascii="Times New Roman" w:hAnsi="Times New Roman"/>
          <w:noProof/>
        </w:rPr>
      </w:pPr>
    </w:p>
    <w:p w14:paraId="1D6F81FE" w14:textId="77777777" w:rsidR="002672AA" w:rsidRDefault="002672AA" w:rsidP="00975B5E">
      <w:pPr>
        <w:pStyle w:val="BodyText"/>
        <w:spacing w:before="0"/>
        <w:ind w:left="0"/>
        <w:jc w:val="both"/>
        <w:rPr>
          <w:rFonts w:ascii="Times New Roman" w:hAnsi="Times New Roman"/>
          <w:noProof/>
        </w:rPr>
      </w:pPr>
      <w:r>
        <w:rPr>
          <w:rFonts w:ascii="Times New Roman" w:hAnsi="Times New Roman"/>
        </w:rPr>
        <w:t>Šo pieaugumu reizina ar nacionālajos kontos norādīto nodarbināto skaitu iepriekšējā gada attiecīgajā ceturksnī un iegūst nacionālo kontu nodarbināto skaitu konkrētajā nozarē pašreizējā ceturksnī. Katrā nozarē izmanto dažādus pieņēmumus, lai izlemtu, kuru no trim iepriekš norādītajiem pieaugumu tempa aprēķiniem izvēlēties, tāpēc, aprēķinot nodarbināto skaitu atsevišķi katrā nozarē un beigās šos lielumus saskaitot, var iegūt skaitli, kas atšķiras no iepriekš aprēķinātā. Parasti iegūto starpību pārdala matemātiski, lai saglabātu iepriekš aprēķināto nodarbināto skaita kopējo summu. Rezultātā tiek iegūts nacionālajos kontos iekļaujamais nodarbināto skaits ceturkšņos pa nozarēm.</w:t>
      </w:r>
    </w:p>
    <w:p w14:paraId="59DAA5B1" w14:textId="77777777" w:rsidR="0026660B" w:rsidRPr="001F0ECB" w:rsidRDefault="0026660B" w:rsidP="00975B5E">
      <w:pPr>
        <w:pStyle w:val="BodyText"/>
        <w:spacing w:before="0"/>
        <w:ind w:left="0"/>
        <w:jc w:val="both"/>
        <w:rPr>
          <w:rFonts w:ascii="Times New Roman" w:hAnsi="Times New Roman"/>
          <w:noProof/>
        </w:rPr>
      </w:pPr>
    </w:p>
    <w:p w14:paraId="34136EE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Pašnodarbināto kopējo skaitu un sadalījumu pa </w:t>
      </w:r>
      <w:r>
        <w:rPr>
          <w:rFonts w:ascii="Times New Roman" w:hAnsi="Times New Roman"/>
          <w:i/>
          <w:iCs/>
        </w:rPr>
        <w:t>NACE</w:t>
      </w:r>
      <w:r>
        <w:rPr>
          <w:rFonts w:ascii="Times New Roman" w:hAnsi="Times New Roman"/>
        </w:rPr>
        <w:t xml:space="preserve"> 2. red. sadaļām iegūst, pamatojoties uz DSA un pārrēķinot saskaņā ar iekšzemes pieeju.</w:t>
      </w:r>
    </w:p>
    <w:p w14:paraId="6891D068" w14:textId="77777777" w:rsidR="002672AA" w:rsidRPr="001F0ECB" w:rsidRDefault="002672AA" w:rsidP="00975B5E">
      <w:pPr>
        <w:jc w:val="both"/>
        <w:rPr>
          <w:rFonts w:ascii="Times New Roman" w:eastAsia="Calibri" w:hAnsi="Times New Roman" w:cs="Calibri"/>
          <w:noProof/>
          <w:sz w:val="24"/>
          <w:szCs w:val="24"/>
        </w:rPr>
      </w:pPr>
    </w:p>
    <w:p w14:paraId="3CF50CBC" w14:textId="77777777" w:rsidR="002672AA" w:rsidRPr="001F0ECB" w:rsidRDefault="002672AA" w:rsidP="00975B5E">
      <w:pPr>
        <w:jc w:val="both"/>
        <w:rPr>
          <w:rFonts w:ascii="Times New Roman" w:eastAsia="Calibri" w:hAnsi="Times New Roman" w:cs="Calibri"/>
          <w:noProof/>
          <w:sz w:val="24"/>
          <w:szCs w:val="23"/>
        </w:rPr>
      </w:pPr>
    </w:p>
    <w:p w14:paraId="1FF651CE" w14:textId="77777777" w:rsidR="002672AA" w:rsidRPr="001F0ECB" w:rsidRDefault="0026660B" w:rsidP="0026660B">
      <w:pPr>
        <w:pStyle w:val="Heading2"/>
        <w:tabs>
          <w:tab w:val="left" w:pos="1181"/>
        </w:tabs>
        <w:ind w:left="0" w:firstLine="0"/>
        <w:jc w:val="both"/>
        <w:rPr>
          <w:rFonts w:ascii="Times New Roman" w:hAnsi="Times New Roman"/>
          <w:noProof/>
          <w:sz w:val="24"/>
        </w:rPr>
      </w:pPr>
      <w:bookmarkStart w:id="94" w:name="_Toc73461269"/>
      <w:r>
        <w:rPr>
          <w:rFonts w:ascii="Times New Roman" w:hAnsi="Times New Roman"/>
          <w:sz w:val="24"/>
        </w:rPr>
        <w:t>7.3. Nodarbinātība – kopējais nostrādāto stundu skaits</w:t>
      </w:r>
      <w:bookmarkStart w:id="95" w:name="_bookmark47"/>
      <w:bookmarkEnd w:id="94"/>
      <w:bookmarkEnd w:id="95"/>
    </w:p>
    <w:p w14:paraId="47AD0694" w14:textId="77777777" w:rsidR="0026660B" w:rsidRDefault="0026660B" w:rsidP="00975B5E">
      <w:pPr>
        <w:pStyle w:val="BodyText"/>
        <w:spacing w:before="0"/>
        <w:ind w:left="0"/>
        <w:jc w:val="both"/>
        <w:rPr>
          <w:rFonts w:ascii="Times New Roman" w:hAnsi="Times New Roman"/>
          <w:noProof/>
        </w:rPr>
      </w:pPr>
    </w:p>
    <w:p w14:paraId="53E24530"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Nostrādāto stundu skaitu aprēķina, saskaitot nodarbināto (algoto) un pašnodarbināto personu kopējo nostrādāto stundu skaitu pamatdarbā un nodarbināto (algoto) un pašnodarbināto personu nostrādāto stundu skaitu blakusdarbā.</w:t>
      </w:r>
    </w:p>
    <w:p w14:paraId="2A853215" w14:textId="77777777" w:rsidR="00975B5E" w:rsidRPr="001F0ECB" w:rsidRDefault="00975B5E" w:rsidP="00975B5E">
      <w:pPr>
        <w:jc w:val="both"/>
        <w:rPr>
          <w:rFonts w:ascii="Times New Roman" w:hAnsi="Times New Roman"/>
          <w:noProof/>
          <w:sz w:val="24"/>
        </w:rPr>
      </w:pPr>
    </w:p>
    <w:p w14:paraId="52DF1BD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Aprēķinam izmanto šādu formulu:</w:t>
      </w:r>
    </w:p>
    <w:p w14:paraId="543B89CD" w14:textId="77777777" w:rsidR="002672AA" w:rsidRPr="001F0ECB" w:rsidRDefault="002672AA" w:rsidP="00975B5E">
      <w:pPr>
        <w:jc w:val="both"/>
        <w:rPr>
          <w:rFonts w:ascii="Times New Roman" w:eastAsia="Calibri" w:hAnsi="Times New Roman" w:cs="Calibri"/>
          <w:noProof/>
          <w:sz w:val="24"/>
          <w:szCs w:val="20"/>
        </w:rPr>
      </w:pPr>
    </w:p>
    <w:p w14:paraId="0B226BFF" w14:textId="77777777" w:rsidR="002672AA" w:rsidRPr="001F0ECB" w:rsidRDefault="00DB4D87" w:rsidP="00DB4D87">
      <w:pPr>
        <w:jc w:val="center"/>
        <w:rPr>
          <w:rFonts w:ascii="Times New Roman" w:eastAsia="Calibri" w:hAnsi="Times New Roman" w:cs="Calibri"/>
          <w:noProof/>
          <w:sz w:val="24"/>
          <w:szCs w:val="23"/>
        </w:rPr>
      </w:pPr>
      <w:r>
        <w:rPr>
          <w:rFonts w:ascii="Times New Roman" w:hAnsi="Times New Roman"/>
          <w:noProof/>
          <w:sz w:val="24"/>
          <w:szCs w:val="23"/>
        </w:rPr>
        <w:drawing>
          <wp:inline distT="0" distB="0" distL="0" distR="0" wp14:anchorId="246A4496" wp14:editId="1BD60017">
            <wp:extent cx="2275205" cy="584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5205" cy="584835"/>
                    </a:xfrm>
                    <a:prstGeom prst="rect">
                      <a:avLst/>
                    </a:prstGeom>
                    <a:noFill/>
                    <a:ln>
                      <a:noFill/>
                    </a:ln>
                  </pic:spPr>
                </pic:pic>
              </a:graphicData>
            </a:graphic>
          </wp:inline>
        </w:drawing>
      </w:r>
    </w:p>
    <w:p w14:paraId="4295C60A" w14:textId="77777777" w:rsidR="002672AA" w:rsidRPr="001F0ECB" w:rsidRDefault="002672AA" w:rsidP="00975B5E">
      <w:pPr>
        <w:jc w:val="both"/>
        <w:rPr>
          <w:rFonts w:ascii="Times New Roman" w:eastAsia="Calibri" w:hAnsi="Times New Roman" w:cs="Calibri"/>
          <w:noProof/>
          <w:sz w:val="24"/>
          <w:szCs w:val="18"/>
        </w:rPr>
      </w:pPr>
    </w:p>
    <w:p w14:paraId="06DB548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kur:</w:t>
      </w:r>
    </w:p>
    <w:p w14:paraId="2745E821" w14:textId="77777777" w:rsidR="0026660B" w:rsidRPr="001F0ECB" w:rsidRDefault="0026660B" w:rsidP="00975B5E">
      <w:pPr>
        <w:jc w:val="both"/>
        <w:rPr>
          <w:rFonts w:ascii="Times New Roman" w:eastAsia="Cambria Math" w:hAnsi="Times New Roman" w:cs="Cambria Math"/>
          <w:noProof/>
          <w:sz w:val="24"/>
          <w:szCs w:val="17"/>
        </w:rPr>
      </w:pPr>
    </w:p>
    <w:p w14:paraId="3FE6F8DA" w14:textId="77777777" w:rsidR="002672AA" w:rsidRPr="001F0ECB" w:rsidRDefault="00DB4D87" w:rsidP="00975B5E">
      <w:pPr>
        <w:pStyle w:val="BodyText"/>
        <w:spacing w:before="0"/>
        <w:ind w:left="0"/>
        <w:jc w:val="both"/>
        <w:rPr>
          <w:rFonts w:ascii="Times New Roman" w:hAnsi="Times New Roman"/>
          <w:noProof/>
        </w:rPr>
      </w:pPr>
      <w:r>
        <w:rPr>
          <w:rFonts w:ascii="Times New Roman" w:hAnsi="Times New Roman"/>
          <w:b/>
        </w:rPr>
        <w:t>Σ</w:t>
      </w:r>
      <w:r>
        <w:rPr>
          <w:rFonts w:ascii="Times New Roman" w:hAnsi="Times New Roman"/>
          <w:b/>
          <w:i/>
        </w:rPr>
        <w:t>HW</w:t>
      </w:r>
      <w:r>
        <w:rPr>
          <w:rFonts w:ascii="Times New Roman" w:hAnsi="Times New Roman"/>
          <w:b/>
          <w:i/>
          <w:vertAlign w:val="superscript"/>
        </w:rPr>
        <w:t>NA</w:t>
      </w:r>
      <w:r>
        <w:rPr>
          <w:rFonts w:ascii="Times New Roman" w:hAnsi="Times New Roman"/>
          <w:b/>
        </w:rPr>
        <w:t> </w:t>
      </w:r>
      <w:r>
        <w:rPr>
          <w:rFonts w:ascii="Times New Roman" w:hAnsi="Times New Roman"/>
        </w:rPr>
        <w:t>– kopējais nacionālajos kontos iekļautais nostrādāto stundu skaits ceturksnī;</w:t>
      </w:r>
    </w:p>
    <w:p w14:paraId="1AE5AC3F" w14:textId="77777777" w:rsidR="002672AA" w:rsidRPr="001F0ECB" w:rsidRDefault="00DB4D87" w:rsidP="00975B5E">
      <w:pPr>
        <w:pStyle w:val="BodyText"/>
        <w:spacing w:before="0"/>
        <w:ind w:left="0"/>
        <w:jc w:val="both"/>
        <w:rPr>
          <w:rFonts w:ascii="Times New Roman" w:hAnsi="Times New Roman"/>
          <w:noProof/>
        </w:rPr>
      </w:pPr>
      <w:r>
        <w:rPr>
          <w:rFonts w:ascii="Times New Roman" w:hAnsi="Times New Roman"/>
          <w:b/>
        </w:rPr>
        <w:t>Σ</w:t>
      </w:r>
      <w:r>
        <w:rPr>
          <w:rFonts w:ascii="Times New Roman" w:hAnsi="Times New Roman"/>
          <w:b/>
          <w:i/>
        </w:rPr>
        <w:t>emp</w:t>
      </w:r>
      <w:r>
        <w:rPr>
          <w:rFonts w:ascii="Times New Roman" w:hAnsi="Times New Roman"/>
          <w:b/>
          <w:i/>
          <w:vertAlign w:val="superscript"/>
        </w:rPr>
        <w:t>NA</w:t>
      </w:r>
      <w:r>
        <w:rPr>
          <w:rFonts w:ascii="Times New Roman" w:hAnsi="Times New Roman"/>
          <w:b/>
        </w:rPr>
        <w:t> </w:t>
      </w:r>
      <w:r>
        <w:rPr>
          <w:rFonts w:ascii="Times New Roman" w:hAnsi="Times New Roman"/>
        </w:rPr>
        <w:t>– kopējais nacionālajos kontos iekļautais nodarbināto skaits ceturksnī;</w:t>
      </w:r>
    </w:p>
    <w:p w14:paraId="780DB9AF" w14:textId="77777777" w:rsidR="002672AA" w:rsidRPr="001F0ECB" w:rsidRDefault="00DB4D87" w:rsidP="00975B5E">
      <w:pPr>
        <w:pStyle w:val="BodyText"/>
        <w:spacing w:before="0"/>
        <w:ind w:left="0"/>
        <w:jc w:val="both"/>
        <w:rPr>
          <w:rFonts w:ascii="Times New Roman" w:hAnsi="Times New Roman"/>
          <w:noProof/>
        </w:rPr>
      </w:pPr>
      <w:r>
        <w:rPr>
          <w:rFonts w:ascii="Times New Roman" w:hAnsi="Times New Roman"/>
          <w:b/>
          <w:i/>
        </w:rPr>
        <w:t>HW</w:t>
      </w:r>
      <w:r>
        <w:rPr>
          <w:rFonts w:ascii="Times New Roman" w:hAnsi="Times New Roman"/>
          <w:b/>
          <w:i/>
          <w:vertAlign w:val="subscript"/>
        </w:rPr>
        <w:t>AVG</w:t>
      </w:r>
      <w:r>
        <w:rPr>
          <w:rFonts w:ascii="Times New Roman" w:hAnsi="Times New Roman"/>
          <w:b/>
        </w:rPr>
        <w:t> </w:t>
      </w:r>
      <w:r>
        <w:rPr>
          <w:rFonts w:ascii="Times New Roman" w:hAnsi="Times New Roman"/>
        </w:rPr>
        <w:t>– vidējais nostrādāto stundu skaits nedēļā;</w:t>
      </w:r>
    </w:p>
    <w:p w14:paraId="419975BF" w14:textId="77777777" w:rsidR="002672AA" w:rsidRPr="001F0ECB" w:rsidRDefault="00DB4D87" w:rsidP="00975B5E">
      <w:pPr>
        <w:pStyle w:val="BodyText"/>
        <w:spacing w:before="0"/>
        <w:ind w:left="0"/>
        <w:jc w:val="both"/>
        <w:rPr>
          <w:rFonts w:ascii="Times New Roman" w:hAnsi="Times New Roman"/>
          <w:noProof/>
        </w:rPr>
      </w:pPr>
      <w:r>
        <w:rPr>
          <w:rFonts w:ascii="Times New Roman" w:hAnsi="Times New Roman"/>
          <w:b/>
          <w:i/>
        </w:rPr>
        <w:t>DAYS</w:t>
      </w:r>
      <w:r>
        <w:rPr>
          <w:rFonts w:ascii="Times New Roman" w:hAnsi="Times New Roman"/>
          <w:b/>
          <w:i/>
          <w:vertAlign w:val="subscript"/>
        </w:rPr>
        <w:t>W</w:t>
      </w:r>
      <w:r>
        <w:rPr>
          <w:rFonts w:ascii="Times New Roman" w:hAnsi="Times New Roman"/>
        </w:rPr>
        <w:t> – dienu skaits nedēļā (7 dienas);</w:t>
      </w:r>
    </w:p>
    <w:p w14:paraId="3746EDF0" w14:textId="77777777" w:rsidR="002672AA" w:rsidRPr="001F0ECB" w:rsidRDefault="00DB4D87" w:rsidP="00975B5E">
      <w:pPr>
        <w:pStyle w:val="BodyText"/>
        <w:spacing w:before="0"/>
        <w:ind w:left="0"/>
        <w:jc w:val="both"/>
        <w:rPr>
          <w:rFonts w:ascii="Times New Roman" w:hAnsi="Times New Roman"/>
          <w:noProof/>
        </w:rPr>
      </w:pPr>
      <w:r>
        <w:rPr>
          <w:rFonts w:ascii="Times New Roman" w:hAnsi="Times New Roman"/>
          <w:b/>
          <w:i/>
        </w:rPr>
        <w:t>DAYS</w:t>
      </w:r>
      <w:r>
        <w:rPr>
          <w:rFonts w:ascii="Times New Roman" w:hAnsi="Times New Roman"/>
          <w:b/>
          <w:i/>
          <w:vertAlign w:val="subscript"/>
        </w:rPr>
        <w:t>Q</w:t>
      </w:r>
      <w:r>
        <w:rPr>
          <w:rFonts w:ascii="Times New Roman" w:hAnsi="Times New Roman"/>
        </w:rPr>
        <w:t> – dienu skaits ceturksnī.</w:t>
      </w:r>
    </w:p>
    <w:p w14:paraId="3722E9F4" w14:textId="77777777" w:rsidR="00DB4D87" w:rsidRDefault="00DB4D87" w:rsidP="00975B5E">
      <w:pPr>
        <w:pStyle w:val="BodyText"/>
        <w:spacing w:before="0"/>
        <w:ind w:left="0"/>
        <w:jc w:val="both"/>
        <w:rPr>
          <w:rFonts w:ascii="Times New Roman" w:hAnsi="Times New Roman"/>
          <w:noProof/>
        </w:rPr>
      </w:pPr>
    </w:p>
    <w:p w14:paraId="5176005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Stundu aprēķināšanai datu avots ir DSA, kā arī veidlapa 2-darbs.</w:t>
      </w:r>
    </w:p>
    <w:p w14:paraId="36F80D7B" w14:textId="77777777" w:rsidR="002672AA" w:rsidRPr="001F0ECB" w:rsidRDefault="002672AA" w:rsidP="00975B5E">
      <w:pPr>
        <w:jc w:val="both"/>
        <w:rPr>
          <w:rFonts w:ascii="Times New Roman" w:eastAsia="Calibri" w:hAnsi="Times New Roman" w:cs="Calibri"/>
          <w:noProof/>
          <w:sz w:val="24"/>
          <w:szCs w:val="24"/>
        </w:rPr>
      </w:pPr>
    </w:p>
    <w:p w14:paraId="6529F588" w14:textId="77777777" w:rsidR="002672AA" w:rsidRPr="001F0ECB" w:rsidRDefault="002672AA" w:rsidP="00975B5E">
      <w:pPr>
        <w:jc w:val="both"/>
        <w:rPr>
          <w:rFonts w:ascii="Times New Roman" w:eastAsia="Calibri" w:hAnsi="Times New Roman" w:cs="Calibri"/>
          <w:noProof/>
          <w:sz w:val="24"/>
          <w:szCs w:val="27"/>
        </w:rPr>
      </w:pPr>
    </w:p>
    <w:p w14:paraId="15BD580C" w14:textId="77777777" w:rsidR="002672AA" w:rsidRPr="00A76D82" w:rsidRDefault="00DB4D87" w:rsidP="000B28E8">
      <w:pPr>
        <w:pStyle w:val="Heading1"/>
        <w:keepNext/>
        <w:tabs>
          <w:tab w:val="left" w:pos="821"/>
        </w:tabs>
        <w:spacing w:before="0"/>
        <w:ind w:left="0" w:firstLine="0"/>
        <w:jc w:val="both"/>
        <w:rPr>
          <w:rFonts w:ascii="Times New Roman" w:hAnsi="Times New Roman"/>
          <w:noProof/>
          <w:sz w:val="28"/>
          <w:szCs w:val="40"/>
        </w:rPr>
      </w:pPr>
      <w:bookmarkStart w:id="96" w:name="_Toc73461270"/>
      <w:r w:rsidRPr="00A76D82">
        <w:rPr>
          <w:rFonts w:ascii="Times New Roman" w:hAnsi="Times New Roman"/>
          <w:sz w:val="28"/>
          <w:szCs w:val="40"/>
        </w:rPr>
        <w:lastRenderedPageBreak/>
        <w:t>8. Ātrais novērtējums</w:t>
      </w:r>
      <w:bookmarkStart w:id="97" w:name="_bookmark48"/>
      <w:bookmarkEnd w:id="96"/>
      <w:bookmarkEnd w:id="97"/>
    </w:p>
    <w:p w14:paraId="1BE77E95" w14:textId="77777777" w:rsidR="00DB4D87" w:rsidRDefault="00DB4D87" w:rsidP="000B28E8">
      <w:pPr>
        <w:pStyle w:val="Heading2"/>
        <w:keepNext/>
        <w:tabs>
          <w:tab w:val="left" w:pos="1181"/>
        </w:tabs>
        <w:ind w:left="0" w:firstLine="0"/>
        <w:jc w:val="both"/>
        <w:rPr>
          <w:rFonts w:ascii="Times New Roman" w:hAnsi="Times New Roman"/>
          <w:noProof/>
          <w:sz w:val="24"/>
        </w:rPr>
      </w:pPr>
    </w:p>
    <w:p w14:paraId="7D75DC0E" w14:textId="77777777" w:rsidR="002672AA" w:rsidRPr="001F0ECB" w:rsidRDefault="00DB4D87" w:rsidP="000B28E8">
      <w:pPr>
        <w:pStyle w:val="Heading2"/>
        <w:keepNext/>
        <w:tabs>
          <w:tab w:val="left" w:pos="1181"/>
        </w:tabs>
        <w:ind w:left="0" w:firstLine="0"/>
        <w:jc w:val="both"/>
        <w:rPr>
          <w:rFonts w:ascii="Times New Roman" w:hAnsi="Times New Roman"/>
          <w:noProof/>
          <w:sz w:val="24"/>
        </w:rPr>
      </w:pPr>
      <w:bookmarkStart w:id="98" w:name="_Toc73461271"/>
      <w:r>
        <w:rPr>
          <w:rFonts w:ascii="Times New Roman" w:hAnsi="Times New Roman"/>
          <w:sz w:val="24"/>
        </w:rPr>
        <w:t>8.1. IKP ātrais novērtējums</w:t>
      </w:r>
      <w:bookmarkStart w:id="99" w:name="_bookmark49"/>
      <w:bookmarkEnd w:id="98"/>
      <w:bookmarkEnd w:id="99"/>
    </w:p>
    <w:p w14:paraId="2D87F508" w14:textId="77777777" w:rsidR="00DB4D87" w:rsidRDefault="00DB4D87" w:rsidP="000B28E8">
      <w:pPr>
        <w:pStyle w:val="BodyText"/>
        <w:keepNext/>
        <w:spacing w:before="0"/>
        <w:ind w:left="0"/>
        <w:jc w:val="both"/>
        <w:rPr>
          <w:rFonts w:ascii="Times New Roman" w:hAnsi="Times New Roman"/>
          <w:noProof/>
        </w:rPr>
      </w:pPr>
    </w:p>
    <w:p w14:paraId="53CFF5C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Ātros novērtējumus sagatavo regulāro ceturkšņa nacionālo kontu ietvaros. </w:t>
      </w:r>
      <w:r>
        <w:rPr>
          <w:rFonts w:ascii="Times New Roman" w:hAnsi="Times New Roman"/>
          <w:i/>
          <w:iCs/>
        </w:rPr>
        <w:t>Eurostat</w:t>
      </w:r>
      <w:r>
        <w:rPr>
          <w:rFonts w:ascii="Times New Roman" w:hAnsi="Times New Roman"/>
        </w:rPr>
        <w:t xml:space="preserve"> rokasgrāmatā par ceturkšņa nacionālo kontu sagatavošanu (2013. gads) IKP ātrais novērtējums ir raksturots šādi: “(..) saskaņā ar nacionālo kontu jēdzienu izstrādāts tāds ātri iegūstams priekšstats par ekonomiku, kas tiek sagatavots un publicēts iespējami drīz pēc ceturkšņa beigām.” Centrālā statistikas pārvalde to publicē vienu mēnesi pēc pārskata ceturkšņa beigām.</w:t>
      </w:r>
    </w:p>
    <w:p w14:paraId="6C145371" w14:textId="77777777" w:rsidR="00DB4D87" w:rsidRDefault="00DB4D87" w:rsidP="00975B5E">
      <w:pPr>
        <w:pStyle w:val="BodyText"/>
        <w:spacing w:before="0"/>
        <w:ind w:left="0"/>
        <w:jc w:val="both"/>
        <w:rPr>
          <w:rFonts w:ascii="Times New Roman" w:hAnsi="Times New Roman"/>
          <w:noProof/>
        </w:rPr>
      </w:pPr>
    </w:p>
    <w:p w14:paraId="62D1FDD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Ātrā novērtējuma sagatavošanai izmanto to pašu metodoloģiju, kuru piemēro regulārajiem novērtējumiem divus mēnešus pēc pārskata perioda.</w:t>
      </w:r>
    </w:p>
    <w:p w14:paraId="2D037786" w14:textId="77777777" w:rsidR="00DB4D87" w:rsidRDefault="00DB4D87" w:rsidP="00975B5E">
      <w:pPr>
        <w:pStyle w:val="BodyText"/>
        <w:spacing w:before="0"/>
        <w:ind w:left="0"/>
        <w:jc w:val="both"/>
        <w:rPr>
          <w:rFonts w:ascii="Times New Roman" w:hAnsi="Times New Roman"/>
          <w:noProof/>
        </w:rPr>
      </w:pPr>
    </w:p>
    <w:p w14:paraId="790D0A6C"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Iekšzemes kopprodukta (IKP) ātro novērtējumu pamatā ir nepilnīga informācija (provizoriskā informācija veido aptuveni 85 % no to datu apjoma, kas nepieciešami, lai novērtētu IKP saskaņā ar ražošanas pieeju).</w:t>
      </w:r>
    </w:p>
    <w:p w14:paraId="0455BAAA" w14:textId="77777777" w:rsidR="00DB4D87" w:rsidRDefault="00DB4D87" w:rsidP="00975B5E">
      <w:pPr>
        <w:pStyle w:val="BodyText"/>
        <w:spacing w:before="0"/>
        <w:ind w:left="0"/>
        <w:jc w:val="both"/>
        <w:rPr>
          <w:rFonts w:ascii="Times New Roman" w:hAnsi="Times New Roman"/>
          <w:noProof/>
        </w:rPr>
      </w:pPr>
    </w:p>
    <w:p w14:paraId="67E6AEB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IKP ātro novērtējumu saskaņā ar ražošanas pieeju aprēķina līdzīgi tam, kā nosaka provizorisko IKP divus mēnešus pēc pārskata perioda beigām. Nozares izlaides, starppatēriņa un pievienotās vērtības aprēķina pamatā ir operatīvie īstermiņa statistikas dati, ko iegūst no sektora statistikas par izlaidi vai apgrozījumu konkrētajā sektorā. Salīdzināmo cenu aprēķināšanai izmanto cenu indeksus, apjoma rādītājus un nodarbināto skaita un darba algas izmaiņas valdības (S.13) sektorā. Trūkstošo datu novērtēšanai izmanto prognozēšanas, imputācijas vai ekspertu novērtēšanas metodi. Daži cenu indeksi (BPCI, ICI, EVVI) nav pieejami IKP ātro novērtējumu aprēķina brīdī, tāpēc aprēķinos izmanto iepriekšējā perioda indeksus, veicot nepieciešamās korekcijas, vai divu mēnešu indeksu.</w:t>
      </w:r>
    </w:p>
    <w:p w14:paraId="17CACEEC" w14:textId="77777777" w:rsidR="00975B5E" w:rsidRPr="001F0ECB" w:rsidRDefault="00975B5E" w:rsidP="00975B5E">
      <w:pPr>
        <w:jc w:val="both"/>
        <w:rPr>
          <w:rFonts w:ascii="Times New Roman" w:hAnsi="Times New Roman"/>
          <w:noProof/>
          <w:sz w:val="24"/>
        </w:rPr>
      </w:pPr>
    </w:p>
    <w:p w14:paraId="5A70FF0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Valsts ieņēmumu dienests, pamatojoties uz iekasētām summām, izmanto nodokļu informāciju par lielākajām produktu nodokļu grupām.</w:t>
      </w:r>
    </w:p>
    <w:p w14:paraId="3BF4EB2A" w14:textId="77777777" w:rsidR="00DB4D87" w:rsidRDefault="00DB4D87" w:rsidP="00975B5E">
      <w:pPr>
        <w:pStyle w:val="BodyText"/>
        <w:spacing w:before="0"/>
        <w:ind w:left="0"/>
        <w:jc w:val="both"/>
        <w:rPr>
          <w:rFonts w:ascii="Times New Roman" w:hAnsi="Times New Roman"/>
          <w:noProof/>
        </w:rPr>
      </w:pPr>
    </w:p>
    <w:p w14:paraId="3DEE7D81"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Ātro novērtējumu veic arī atsevišķām komponentēm saskaņā ar izdevumu pieeju.</w:t>
      </w:r>
    </w:p>
    <w:p w14:paraId="01519024"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Lai pieņemtu galīgo lēmumu par IKP ātro novērtējumu, analizē abu pieeju rādītāju saskanību.</w:t>
      </w:r>
    </w:p>
    <w:p w14:paraId="31135320" w14:textId="77777777" w:rsidR="002672AA" w:rsidRPr="001F0ECB" w:rsidRDefault="002672AA" w:rsidP="00975B5E">
      <w:pPr>
        <w:jc w:val="both"/>
        <w:rPr>
          <w:rFonts w:ascii="Times New Roman" w:eastAsia="Calibri" w:hAnsi="Times New Roman" w:cs="Calibri"/>
          <w:noProof/>
          <w:sz w:val="24"/>
          <w:szCs w:val="24"/>
        </w:rPr>
      </w:pPr>
    </w:p>
    <w:p w14:paraId="4D68C63F" w14:textId="77777777" w:rsidR="002672AA" w:rsidRPr="001F0ECB" w:rsidRDefault="002672AA" w:rsidP="00975B5E">
      <w:pPr>
        <w:jc w:val="both"/>
        <w:rPr>
          <w:rFonts w:ascii="Times New Roman" w:eastAsia="Calibri" w:hAnsi="Times New Roman" w:cs="Calibri"/>
          <w:noProof/>
          <w:sz w:val="24"/>
          <w:szCs w:val="23"/>
        </w:rPr>
      </w:pPr>
    </w:p>
    <w:p w14:paraId="478A3923" w14:textId="77777777" w:rsidR="002672AA" w:rsidRPr="001F0ECB" w:rsidRDefault="00DB4D87" w:rsidP="00DB4D87">
      <w:pPr>
        <w:pStyle w:val="Heading2"/>
        <w:tabs>
          <w:tab w:val="left" w:pos="1181"/>
        </w:tabs>
        <w:ind w:left="0" w:firstLine="0"/>
        <w:jc w:val="both"/>
        <w:rPr>
          <w:rFonts w:ascii="Times New Roman" w:hAnsi="Times New Roman"/>
          <w:noProof/>
          <w:sz w:val="24"/>
        </w:rPr>
      </w:pPr>
      <w:bookmarkStart w:id="100" w:name="_Toc73461272"/>
      <w:r>
        <w:rPr>
          <w:rFonts w:ascii="Times New Roman" w:hAnsi="Times New Roman"/>
          <w:sz w:val="24"/>
        </w:rPr>
        <w:t>8.2. Ātrais nodarbinātības novērtējums</w:t>
      </w:r>
      <w:bookmarkStart w:id="101" w:name="_bookmark50"/>
      <w:bookmarkEnd w:id="100"/>
      <w:bookmarkEnd w:id="101"/>
    </w:p>
    <w:p w14:paraId="1CBED892" w14:textId="77777777" w:rsidR="00DB4D87" w:rsidRDefault="00DB4D87" w:rsidP="00975B5E">
      <w:pPr>
        <w:pStyle w:val="BodyText"/>
        <w:spacing w:before="0"/>
        <w:ind w:left="0"/>
        <w:jc w:val="both"/>
        <w:rPr>
          <w:rFonts w:ascii="Times New Roman" w:hAnsi="Times New Roman"/>
          <w:noProof/>
        </w:rPr>
      </w:pPr>
    </w:p>
    <w:p w14:paraId="60871F3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Pašreiz nav plānots apkopot datus, lai sagatavotu nodarbinātības ātro novērtējumu.</w:t>
      </w:r>
    </w:p>
    <w:p w14:paraId="3AC6954B" w14:textId="77777777" w:rsidR="002672AA" w:rsidRPr="001F0ECB" w:rsidRDefault="002672AA" w:rsidP="00975B5E">
      <w:pPr>
        <w:jc w:val="both"/>
        <w:rPr>
          <w:rFonts w:ascii="Times New Roman" w:eastAsia="Calibri" w:hAnsi="Times New Roman" w:cs="Calibri"/>
          <w:noProof/>
          <w:sz w:val="24"/>
          <w:szCs w:val="24"/>
        </w:rPr>
      </w:pPr>
    </w:p>
    <w:p w14:paraId="6F5A3D2D" w14:textId="77777777" w:rsidR="002672AA" w:rsidRPr="001F0ECB" w:rsidRDefault="002672AA" w:rsidP="00975B5E">
      <w:pPr>
        <w:jc w:val="both"/>
        <w:rPr>
          <w:rFonts w:ascii="Times New Roman" w:eastAsia="Calibri" w:hAnsi="Times New Roman" w:cs="Calibri"/>
          <w:noProof/>
          <w:sz w:val="24"/>
          <w:szCs w:val="27"/>
        </w:rPr>
      </w:pPr>
    </w:p>
    <w:p w14:paraId="73E9ECDE" w14:textId="77777777" w:rsidR="002672AA" w:rsidRPr="00A76D82" w:rsidRDefault="00DB4D87" w:rsidP="00DB4D87">
      <w:pPr>
        <w:pStyle w:val="Heading1"/>
        <w:tabs>
          <w:tab w:val="left" w:pos="821"/>
        </w:tabs>
        <w:spacing w:before="0"/>
        <w:ind w:left="0" w:firstLine="0"/>
        <w:jc w:val="both"/>
        <w:rPr>
          <w:rFonts w:ascii="Times New Roman" w:hAnsi="Times New Roman"/>
          <w:noProof/>
          <w:sz w:val="28"/>
          <w:szCs w:val="40"/>
        </w:rPr>
      </w:pPr>
      <w:bookmarkStart w:id="102" w:name="_Toc73461273"/>
      <w:r w:rsidRPr="00A76D82">
        <w:rPr>
          <w:rFonts w:ascii="Times New Roman" w:hAnsi="Times New Roman"/>
          <w:sz w:val="28"/>
          <w:szCs w:val="40"/>
        </w:rPr>
        <w:t>9. Galvenie izmantotie datu avoti</w:t>
      </w:r>
      <w:bookmarkStart w:id="103" w:name="_bookmark51"/>
      <w:bookmarkEnd w:id="102"/>
      <w:bookmarkEnd w:id="103"/>
    </w:p>
    <w:p w14:paraId="7030F4DC" w14:textId="77777777" w:rsidR="00DB4D87" w:rsidRDefault="00DB4D87" w:rsidP="00975B5E">
      <w:pPr>
        <w:pStyle w:val="BodyText"/>
        <w:spacing w:before="0"/>
        <w:ind w:left="0"/>
        <w:jc w:val="both"/>
        <w:rPr>
          <w:rFonts w:ascii="Times New Roman" w:hAnsi="Times New Roman"/>
          <w:noProof/>
        </w:rPr>
      </w:pPr>
    </w:p>
    <w:p w14:paraId="212E91A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Šīs nodaļas mērķis ir sniegt informāciju par galvenajiem datu avotiem, ko izmanto CNK apkopošanai Latvijā. Daudzus turpmāk raksturotos datu avotus izmanto, lai apkopotu IKP saskaņā ar divām vai trim pieejām. Vienai pieejai tas var būt galvenais datu avots, bet citā to izmanto tikai vērtību pārbaudīšanai. Turpmāk sniegts pārskats par galvenajiem izmantotajiem datu avotiem.</w:t>
      </w:r>
    </w:p>
    <w:p w14:paraId="1295DB7B" w14:textId="77777777" w:rsidR="002672AA" w:rsidRPr="001F0ECB" w:rsidRDefault="002672AA" w:rsidP="00975B5E">
      <w:pPr>
        <w:jc w:val="both"/>
        <w:rPr>
          <w:rFonts w:ascii="Times New Roman" w:eastAsia="Calibri" w:hAnsi="Times New Roman" w:cs="Calibri"/>
          <w:noProof/>
          <w:sz w:val="24"/>
          <w:szCs w:val="24"/>
        </w:rPr>
      </w:pPr>
    </w:p>
    <w:p w14:paraId="1A11B92E" w14:textId="77777777" w:rsidR="002672AA" w:rsidRPr="001F0ECB" w:rsidRDefault="002672AA" w:rsidP="00975B5E">
      <w:pPr>
        <w:jc w:val="both"/>
        <w:rPr>
          <w:rFonts w:ascii="Times New Roman" w:eastAsia="Calibri" w:hAnsi="Times New Roman" w:cs="Calibri"/>
          <w:noProof/>
          <w:sz w:val="24"/>
          <w:szCs w:val="23"/>
        </w:rPr>
      </w:pPr>
    </w:p>
    <w:p w14:paraId="34F9D5BB" w14:textId="77777777" w:rsidR="002672AA" w:rsidRPr="001F0ECB" w:rsidRDefault="002672AA" w:rsidP="000B28E8">
      <w:pPr>
        <w:pStyle w:val="Heading4"/>
        <w:keepNext/>
        <w:spacing w:before="0"/>
        <w:ind w:left="0"/>
        <w:jc w:val="both"/>
        <w:rPr>
          <w:rFonts w:ascii="Times New Roman" w:hAnsi="Times New Roman"/>
          <w:noProof/>
        </w:rPr>
      </w:pPr>
      <w:r>
        <w:rPr>
          <w:rFonts w:ascii="Times New Roman" w:hAnsi="Times New Roman"/>
        </w:rPr>
        <w:lastRenderedPageBreak/>
        <w:t>1. avots Graudu, pākšaugu un rapša iepirkums</w:t>
      </w:r>
    </w:p>
    <w:p w14:paraId="6F892D5D" w14:textId="77777777" w:rsidR="00DB4D87" w:rsidRDefault="00DB4D87" w:rsidP="000B28E8">
      <w:pPr>
        <w:pStyle w:val="BodyText"/>
        <w:keepNext/>
        <w:spacing w:before="0"/>
        <w:ind w:left="0"/>
        <w:jc w:val="both"/>
        <w:rPr>
          <w:rFonts w:ascii="Times New Roman" w:hAnsi="Times New Roman"/>
          <w:noProof/>
        </w:rPr>
      </w:pPr>
    </w:p>
    <w:p w14:paraId="7C9E3F18" w14:textId="77777777" w:rsidR="002672AA" w:rsidRPr="001F0ECB" w:rsidRDefault="002672AA" w:rsidP="000B28E8">
      <w:pPr>
        <w:pStyle w:val="BodyText"/>
        <w:keepNext/>
        <w:spacing w:before="0"/>
        <w:ind w:left="0"/>
        <w:jc w:val="both"/>
        <w:rPr>
          <w:rFonts w:ascii="Times New Roman" w:hAnsi="Times New Roman"/>
          <w:noProof/>
        </w:rPr>
      </w:pPr>
      <w:r>
        <w:rPr>
          <w:rFonts w:ascii="Times New Roman" w:hAnsi="Times New Roman"/>
        </w:rPr>
        <w:t>Dati atspoguļo Latvijā no vietējiem ražotājiem iepirkto graudu, pākšaugu un rapša iepirkuma apjomu un vidējo iepirkuma cenu. Informācija tiek vākta par galvenajām graudaugu kultūrām, pākšaugiem un rapsi.</w:t>
      </w:r>
    </w:p>
    <w:p w14:paraId="5DE774BA"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69AF5DA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375EAE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DC13F8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graudu, pākšaugu un rapša iepirkumu (1-iepirkums)</w:t>
            </w:r>
          </w:p>
        </w:tc>
      </w:tr>
      <w:tr w:rsidR="001F0ECB" w:rsidRPr="001F0ECB" w14:paraId="7E58165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7A7FB2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525ABED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2009. gada 18. jūnija Regula (EK) Nr. 543/2009, kas attiecas uz statistiku par augkopības kultūrām un ar ko atceļ Padomes Regulas (EEK) Nr. 837/90 un (EEK) Nr. 959/93</w:t>
            </w:r>
          </w:p>
        </w:tc>
      </w:tr>
      <w:tr w:rsidR="001F0ECB" w:rsidRPr="001F0ECB" w14:paraId="6FD10EF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45F134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1E74544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C8BF2E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236F86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51E4AB4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30. dienā pēc pārskata perioda beigām</w:t>
            </w:r>
          </w:p>
        </w:tc>
      </w:tr>
      <w:tr w:rsidR="001F0ECB" w:rsidRPr="001F0ECB" w14:paraId="6CE8742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FF14FA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78A3A3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Statistiskā informācija par Latvijā izaudzētā graudu, pākšaugu un rapša iepirkuma apjomu un vidējām iepirkuma cenām</w:t>
            </w:r>
          </w:p>
        </w:tc>
      </w:tr>
    </w:tbl>
    <w:p w14:paraId="2CBCAEAC" w14:textId="77777777" w:rsidR="00975B5E" w:rsidRPr="001F0ECB" w:rsidRDefault="00975B5E" w:rsidP="00975B5E">
      <w:pPr>
        <w:jc w:val="both"/>
        <w:rPr>
          <w:rFonts w:ascii="Times New Roman" w:eastAsia="Calibri" w:hAnsi="Times New Roman" w:cs="Calibri"/>
          <w:noProof/>
          <w:sz w:val="24"/>
          <w:szCs w:val="24"/>
        </w:rPr>
      </w:pPr>
    </w:p>
    <w:p w14:paraId="5D85C071"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 avots Augkopības produktu pārdošana</w:t>
      </w:r>
    </w:p>
    <w:p w14:paraId="6F34A596"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040E59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1C152F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098C81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augkopības produktu pārdošanu (21-LS (augkopība))</w:t>
            </w:r>
          </w:p>
        </w:tc>
      </w:tr>
      <w:tr w:rsidR="001F0ECB" w:rsidRPr="001F0ECB" w14:paraId="3207211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4B46D0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28C894F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2009. gada 18. jūnija Regula (EK) Nr. 543/2009, kas attiecas uz statistiku par augkopības kultūrām un ar ko atceļ Padomes Regulas (EEK) Nr. 837/90 un (EEK) Nr. 959/93; Eiropas Statistikas sistēmas (ESS) Līgums par ikgadējo augkopības ražošanas statistiku</w:t>
            </w:r>
          </w:p>
        </w:tc>
      </w:tr>
      <w:tr w:rsidR="001F0ECB" w:rsidRPr="001F0ECB" w14:paraId="31A627B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68C6D8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6451D00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7EAF269B"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E4E271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273D88A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30. dienā pēc pārskata perioda beigām (provizoriska informācija), 45. dienā pēc pārskata perioda</w:t>
            </w:r>
          </w:p>
        </w:tc>
      </w:tr>
      <w:tr w:rsidR="001F0ECB" w:rsidRPr="001F0ECB" w14:paraId="0B14F58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069094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78951A0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 par Latvijā ražotiem un pārdotiem augkopības produktiem pārdošanas cenās pa produktu veidiem</w:t>
            </w:r>
          </w:p>
        </w:tc>
      </w:tr>
    </w:tbl>
    <w:p w14:paraId="3E1B4A14" w14:textId="77777777" w:rsidR="002672AA" w:rsidRPr="001F0ECB" w:rsidRDefault="002672AA" w:rsidP="00975B5E">
      <w:pPr>
        <w:jc w:val="both"/>
        <w:rPr>
          <w:rFonts w:ascii="Times New Roman" w:eastAsia="Calibri" w:hAnsi="Times New Roman" w:cs="Calibri"/>
          <w:b/>
          <w:bCs/>
          <w:noProof/>
          <w:sz w:val="24"/>
          <w:szCs w:val="5"/>
        </w:rPr>
      </w:pPr>
    </w:p>
    <w:p w14:paraId="37F5B08A"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 avots Augkopība</w:t>
      </w:r>
    </w:p>
    <w:p w14:paraId="67827EB7"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0834DB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444117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125FCE8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Augkopība (2-LS)</w:t>
            </w:r>
          </w:p>
        </w:tc>
      </w:tr>
      <w:tr w:rsidR="001F0ECB" w:rsidRPr="001F0ECB" w14:paraId="4EB3A8E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849273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971681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2003. gada 5. decembra Regula (EK) Nr. 138/2004 par ekonomikas pārskatiem Kopienas lauksaimniecībā (Dokuments attiecas uz EEZ).</w:t>
            </w:r>
          </w:p>
        </w:tc>
      </w:tr>
      <w:tr w:rsidR="001F0ECB" w:rsidRPr="001F0ECB" w14:paraId="57639311"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D64731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71A1631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7BDEFD9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20DDD0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08E6087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30. dienā pēc pārskata perioda</w:t>
            </w:r>
          </w:p>
        </w:tc>
      </w:tr>
      <w:tr w:rsidR="001F0ECB" w:rsidRPr="001F0ECB" w14:paraId="68EB5F6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4B4681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809541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Prognozes par augkopības apjomiem un kopējo ražu</w:t>
            </w:r>
          </w:p>
        </w:tc>
      </w:tr>
    </w:tbl>
    <w:p w14:paraId="28B8C279" w14:textId="77777777" w:rsidR="00975B5E" w:rsidRPr="001F0ECB" w:rsidRDefault="00975B5E" w:rsidP="00975B5E">
      <w:pPr>
        <w:jc w:val="both"/>
        <w:rPr>
          <w:rFonts w:ascii="Times New Roman" w:eastAsia="Calibri" w:hAnsi="Times New Roman" w:cs="Calibri"/>
          <w:noProof/>
          <w:sz w:val="24"/>
          <w:szCs w:val="24"/>
        </w:rPr>
      </w:pPr>
    </w:p>
    <w:p w14:paraId="530968AF" w14:textId="77777777" w:rsidR="002672AA" w:rsidRPr="001F0ECB" w:rsidRDefault="002672AA" w:rsidP="00F367A0">
      <w:pPr>
        <w:pStyle w:val="Heading4"/>
        <w:keepNext/>
        <w:spacing w:before="0"/>
        <w:ind w:left="0"/>
        <w:jc w:val="both"/>
        <w:rPr>
          <w:rFonts w:ascii="Times New Roman" w:hAnsi="Times New Roman"/>
          <w:noProof/>
        </w:rPr>
      </w:pPr>
      <w:r>
        <w:rPr>
          <w:rFonts w:ascii="Times New Roman" w:hAnsi="Times New Roman"/>
        </w:rPr>
        <w:t>4. avots Putnkopība</w:t>
      </w:r>
    </w:p>
    <w:p w14:paraId="2B01DB6A" w14:textId="77777777" w:rsidR="002672AA" w:rsidRPr="001F0ECB" w:rsidRDefault="002672AA" w:rsidP="00F367A0">
      <w:pPr>
        <w:keepNext/>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0FF54AB"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14B432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3F5D151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putnkopību (1-putnkopība)</w:t>
            </w:r>
          </w:p>
        </w:tc>
      </w:tr>
      <w:tr w:rsidR="001F0ECB" w:rsidRPr="001F0ECB" w14:paraId="3F6EDED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E6021B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lastRenderedPageBreak/>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18F9BA5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Statistikas sistēmas (ESS) Līgums par patēriņam ražotu olu statistiku</w:t>
            </w:r>
          </w:p>
        </w:tc>
      </w:tr>
      <w:tr w:rsidR="001F0ECB" w:rsidRPr="001F0ECB" w14:paraId="2479641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B68D22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1F51E98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704F39B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002BEF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646420E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Datus publicē pēdējā darbdienā tajā mēnesī, kas ir pēc pārskata perioda beigām</w:t>
            </w:r>
          </w:p>
        </w:tc>
      </w:tr>
      <w:tr w:rsidR="001F0ECB" w:rsidRPr="001F0ECB" w14:paraId="553B0E1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A65649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ECFCEB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Statistiskā informācija par olu un mājputnu gaļas ražošanu, produktu realizāciju, pārdošanas cenām</w:t>
            </w:r>
          </w:p>
        </w:tc>
      </w:tr>
    </w:tbl>
    <w:p w14:paraId="55994620" w14:textId="77777777" w:rsidR="002672AA" w:rsidRPr="001F0ECB" w:rsidRDefault="002672AA" w:rsidP="00975B5E">
      <w:pPr>
        <w:jc w:val="both"/>
        <w:rPr>
          <w:rFonts w:ascii="Times New Roman" w:eastAsia="Calibri" w:hAnsi="Times New Roman" w:cs="Calibri"/>
          <w:b/>
          <w:bCs/>
          <w:noProof/>
          <w:sz w:val="24"/>
        </w:rPr>
      </w:pPr>
    </w:p>
    <w:p w14:paraId="7424206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5. avots Lopkopība</w:t>
      </w:r>
    </w:p>
    <w:p w14:paraId="28FCD788"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0F5089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6E53F7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3C0A7E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Lopkopība (3-LS)</w:t>
            </w:r>
          </w:p>
        </w:tc>
      </w:tr>
      <w:tr w:rsidR="001F0ECB" w:rsidRPr="001F0ECB" w14:paraId="0862759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356E53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77A350F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2008. gada 19. novembra Regula (EK) Nr. 1165/2008 par statistiku lauksaimniecības dzīvnieku un gaļas jomā, ar kuru atceļ Padomes Direktīvu Nr. 93/23/EEK, 93/24/EEK un 93/25/EEK (Dokuments attiecas uz EEZ);</w:t>
            </w:r>
          </w:p>
          <w:p w14:paraId="4F659DC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2003. gada 5. decembra Direktīva 2003/107/EK, ar ko groza Padomes Regulu 96/16/EK par statistiskajiem apsekojumiem attiecībā uz pienu un piena produktiem</w:t>
            </w:r>
          </w:p>
        </w:tc>
      </w:tr>
      <w:tr w:rsidR="001F0ECB" w:rsidRPr="001F0ECB" w14:paraId="13D9A95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44618B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502E1B4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2E8FD59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041748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0A20FCD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Datus publicē pēdējā darbdienā tajā mēnesī, kas ir pēc pārskata perioda beigām</w:t>
            </w:r>
          </w:p>
        </w:tc>
      </w:tr>
      <w:tr w:rsidR="001F0ECB" w:rsidRPr="001F0ECB" w14:paraId="4DBDA321"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F01B86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600C2A3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Statistiskā informācija par olu un mājputnu gaļas ražošanu, produktu realizāciju, pārdošanas cenām; piena pārstrādes uzņēmumos saražotā piena un piena produktu daudzums</w:t>
            </w:r>
          </w:p>
        </w:tc>
      </w:tr>
    </w:tbl>
    <w:p w14:paraId="7F280692" w14:textId="77777777" w:rsidR="00975B5E" w:rsidRPr="001F0ECB" w:rsidRDefault="00975B5E" w:rsidP="00975B5E">
      <w:pPr>
        <w:jc w:val="both"/>
        <w:rPr>
          <w:rFonts w:ascii="Times New Roman" w:eastAsia="Calibri" w:hAnsi="Times New Roman" w:cs="Calibri"/>
          <w:noProof/>
          <w:sz w:val="24"/>
          <w:szCs w:val="24"/>
        </w:rPr>
      </w:pPr>
    </w:p>
    <w:p w14:paraId="3D910A39"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6. avots Lauksaimniecības dzīvnieku iepirkums un kaušana</w:t>
      </w:r>
    </w:p>
    <w:p w14:paraId="0041F7DD"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B8B630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DCE93E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790BFA3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lauksaimniecības dzīvnieku iepirkumu un kaušanu (11-iepirkums)</w:t>
            </w:r>
          </w:p>
        </w:tc>
      </w:tr>
      <w:tr w:rsidR="001F0ECB" w:rsidRPr="001F0ECB" w14:paraId="7D3F2EA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D63DDC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B404FB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2008. gada 19. novembra Regula (EK) Nr. 1165/2008 par statistiku lauksaimniecības dzīvnieku un gaļas jomā, ar kuru atceļ Padomes Direktīvu Nr. 93/23/EEK, 93/24/EEK un 93/25/EEK (Dokuments attiecas uz EEZ)</w:t>
            </w:r>
          </w:p>
        </w:tc>
      </w:tr>
      <w:tr w:rsidR="001F0ECB" w:rsidRPr="001F0ECB" w14:paraId="7E0AFA6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BEE346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7C5C5A8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41B3B7E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6348B1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28C8FD8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Datus publicē pēdējā darbdienā tajā mēnesī, kas ir pēc pārskata perioda beigām</w:t>
            </w:r>
          </w:p>
        </w:tc>
      </w:tr>
      <w:tr w:rsidR="001F0ECB" w:rsidRPr="001F0ECB" w14:paraId="4B78A87C"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6A3F7A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7B60CBD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Pārtikas un veterinārā dienesta (PVD) atzītās lopkautuvēs nokauto lauksaimniecības dzīvnieku skaits, liemeņu svars un iepirkto lauksaimniecības dzīvnieku vērtība</w:t>
            </w:r>
          </w:p>
        </w:tc>
      </w:tr>
    </w:tbl>
    <w:p w14:paraId="6EE46B7F" w14:textId="77777777" w:rsidR="002672AA" w:rsidRPr="001F0ECB" w:rsidRDefault="002672AA" w:rsidP="00975B5E">
      <w:pPr>
        <w:jc w:val="both"/>
        <w:rPr>
          <w:rFonts w:ascii="Times New Roman" w:eastAsia="Calibri" w:hAnsi="Times New Roman" w:cs="Calibri"/>
          <w:b/>
          <w:bCs/>
          <w:noProof/>
          <w:sz w:val="24"/>
        </w:rPr>
      </w:pPr>
    </w:p>
    <w:p w14:paraId="4BFCC7CB" w14:textId="77777777" w:rsidR="002672AA" w:rsidRPr="001F0ECB" w:rsidRDefault="002672AA" w:rsidP="000B28E8">
      <w:pPr>
        <w:pStyle w:val="Heading4"/>
        <w:keepNext/>
        <w:spacing w:before="0"/>
        <w:ind w:left="0"/>
        <w:jc w:val="both"/>
        <w:rPr>
          <w:rFonts w:ascii="Times New Roman" w:hAnsi="Times New Roman"/>
          <w:noProof/>
        </w:rPr>
      </w:pPr>
      <w:r>
        <w:rPr>
          <w:rFonts w:ascii="Times New Roman" w:hAnsi="Times New Roman"/>
        </w:rPr>
        <w:lastRenderedPageBreak/>
        <w:t>7. avots Pārskats par kokmateriālu iepirkumu</w:t>
      </w:r>
    </w:p>
    <w:p w14:paraId="3B899CE0" w14:textId="77777777" w:rsidR="002672AA" w:rsidRPr="001F0ECB" w:rsidRDefault="002672AA" w:rsidP="000B28E8">
      <w:pPr>
        <w:keepNext/>
        <w:jc w:val="both"/>
        <w:rPr>
          <w:rFonts w:ascii="Times New Roman" w:eastAsia="Calibri" w:hAnsi="Times New Roman" w:cs="Calibri"/>
          <w:b/>
          <w:bCs/>
          <w:noProof/>
          <w:sz w:val="24"/>
          <w:szCs w:val="14"/>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49579FC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95406F5" w14:textId="77777777" w:rsidR="002672AA" w:rsidRPr="001F0ECB" w:rsidRDefault="002672AA" w:rsidP="000B28E8">
            <w:pPr>
              <w:pStyle w:val="TableParagraph"/>
              <w:keepNext/>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179BA6B8" w14:textId="77777777" w:rsidR="002672AA" w:rsidRPr="001F0ECB" w:rsidRDefault="002672AA" w:rsidP="000B28E8">
            <w:pPr>
              <w:pStyle w:val="TableParagraph"/>
              <w:keepNext/>
              <w:jc w:val="both"/>
              <w:rPr>
                <w:rFonts w:ascii="Times New Roman" w:hAnsi="Times New Roman"/>
                <w:noProof/>
                <w:sz w:val="24"/>
              </w:rPr>
            </w:pPr>
            <w:r>
              <w:rPr>
                <w:rFonts w:ascii="Times New Roman" w:hAnsi="Times New Roman"/>
                <w:sz w:val="24"/>
              </w:rPr>
              <w:t>Pārskats par kokmateriālu iepirkumu (1-kokmateriāli)</w:t>
            </w:r>
          </w:p>
        </w:tc>
      </w:tr>
      <w:tr w:rsidR="001F0ECB" w:rsidRPr="001F0ECB" w14:paraId="40F5203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199ABAD" w14:textId="77777777" w:rsidR="002672AA" w:rsidRPr="001F0ECB" w:rsidRDefault="002672AA" w:rsidP="000B28E8">
            <w:pPr>
              <w:pStyle w:val="TableParagraph"/>
              <w:keepNext/>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3F5BD487" w14:textId="77777777" w:rsidR="002672AA" w:rsidRPr="001F0ECB" w:rsidRDefault="002672AA" w:rsidP="000B28E8">
            <w:pPr>
              <w:pStyle w:val="TableParagraph"/>
              <w:keepNext/>
              <w:jc w:val="both"/>
              <w:rPr>
                <w:rFonts w:ascii="Times New Roman" w:hAnsi="Times New Roman"/>
                <w:noProof/>
                <w:sz w:val="24"/>
              </w:rPr>
            </w:pPr>
            <w:r>
              <w:rPr>
                <w:rFonts w:ascii="Times New Roman" w:hAnsi="Times New Roman"/>
                <w:sz w:val="24"/>
              </w:rPr>
              <w:t>Reizi pusgadā</w:t>
            </w:r>
          </w:p>
        </w:tc>
      </w:tr>
      <w:tr w:rsidR="001F0ECB" w:rsidRPr="001F0ECB" w14:paraId="73E3FBE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6E21B1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B36799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65. dienā pēc pārskata perioda beigām</w:t>
            </w:r>
          </w:p>
        </w:tc>
      </w:tr>
      <w:tr w:rsidR="001F0ECB" w:rsidRPr="001F0ECB" w14:paraId="27E5591B"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C42FF8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15152E2"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Iepirkto baļķu un kluču daudzums (m</w:t>
            </w:r>
            <w:r>
              <w:rPr>
                <w:rFonts w:ascii="Times New Roman" w:hAnsi="Times New Roman"/>
                <w:sz w:val="24"/>
                <w:vertAlign w:val="superscript"/>
              </w:rPr>
              <w:t>3</w:t>
            </w:r>
            <w:r>
              <w:rPr>
                <w:rFonts w:ascii="Times New Roman" w:hAnsi="Times New Roman"/>
                <w:sz w:val="24"/>
              </w:rPr>
              <w:t>) un vērtība (EUR) pa koku sugām</w:t>
            </w:r>
          </w:p>
        </w:tc>
      </w:tr>
    </w:tbl>
    <w:p w14:paraId="249832B5" w14:textId="77777777" w:rsidR="00975B5E" w:rsidRPr="001F0ECB" w:rsidRDefault="00975B5E" w:rsidP="00975B5E">
      <w:pPr>
        <w:jc w:val="both"/>
        <w:rPr>
          <w:rFonts w:ascii="Times New Roman" w:eastAsia="Calibri" w:hAnsi="Times New Roman" w:cs="Calibri"/>
          <w:noProof/>
          <w:sz w:val="24"/>
          <w:szCs w:val="24"/>
        </w:rPr>
      </w:pPr>
    </w:p>
    <w:p w14:paraId="7DDE1D2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8. avots Pārskats par zvejniecību</w:t>
      </w:r>
    </w:p>
    <w:p w14:paraId="4D128AF3"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0B3369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B6959A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73A2340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zvejniecību (1-zvejniecība)</w:t>
            </w:r>
          </w:p>
        </w:tc>
      </w:tr>
      <w:tr w:rsidR="001F0ECB" w:rsidRPr="001F0ECB" w14:paraId="67488E3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641A89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7FEDF7C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Eiropas Padomes 2006. gada 18. decembra Regula (EK) Nr. 1921/2006, kas attiecas uz statistikas datu sniegšanu par dalībvalstīs izkrautajiem zvejniecības produktiem un ar ko atceļ Padomes Regulu (EEK) Nr. 1382/91</w:t>
            </w:r>
          </w:p>
        </w:tc>
      </w:tr>
      <w:tr w:rsidR="001F0ECB" w:rsidRPr="001F0ECB" w14:paraId="665AF7A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58417D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179265E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0FDBDDB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ADB7AC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6101746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55. dienā pēc pārskata perioda beigām (provizoriska informācija), galarezultāti – 180. dienā pēc pārskata perioda beigām</w:t>
            </w:r>
          </w:p>
        </w:tc>
      </w:tr>
      <w:tr w:rsidR="001F0ECB" w:rsidRPr="001F0ECB" w14:paraId="0EAA2E3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0D5EC8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29DFED9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 par nozvejas vietām, rajoniem, sugām (daudzums kg un vērtība EUR)</w:t>
            </w:r>
          </w:p>
        </w:tc>
      </w:tr>
    </w:tbl>
    <w:p w14:paraId="31BCDFF2" w14:textId="77777777" w:rsidR="002672AA" w:rsidRPr="001F0ECB" w:rsidRDefault="002672AA" w:rsidP="00975B5E">
      <w:pPr>
        <w:jc w:val="both"/>
        <w:rPr>
          <w:rFonts w:ascii="Times New Roman" w:eastAsia="Calibri" w:hAnsi="Times New Roman" w:cs="Calibri"/>
          <w:b/>
          <w:bCs/>
          <w:noProof/>
          <w:sz w:val="24"/>
        </w:rPr>
      </w:pPr>
    </w:p>
    <w:p w14:paraId="35E819D3"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9. avots Akvakultūra</w:t>
      </w:r>
    </w:p>
    <w:p w14:paraId="243379C0"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C63ACA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5D27E7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574B3CA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akvakultūru (1-akvakultūra)</w:t>
            </w:r>
          </w:p>
        </w:tc>
      </w:tr>
      <w:tr w:rsidR="001F0ECB" w:rsidRPr="001F0ECB" w14:paraId="2E3C2F4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6E4AEB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5E10313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2008. gada 9. jūlija Regula (EK) Nr. 762/2008 par to, kā dalībvalstis iesniedz statistiku par akvakultūru, un ar ko atceļ Padomes Regulu (EK) Nr. 788/96</w:t>
            </w:r>
          </w:p>
        </w:tc>
      </w:tr>
      <w:tr w:rsidR="001F0ECB" w:rsidRPr="001F0ECB" w14:paraId="09ECA86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5EE375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2ECD02A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Ik gadu</w:t>
            </w:r>
          </w:p>
        </w:tc>
      </w:tr>
      <w:tr w:rsidR="001F0ECB" w:rsidRPr="001F0ECB" w14:paraId="71634A8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7052D1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C9EC11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60. dienā pēc pārskata perioda beigām (provizoriska informācija), galarezultāti – 150. dienā pēc pārskata perioda beigām</w:t>
            </w:r>
          </w:p>
        </w:tc>
      </w:tr>
      <w:tr w:rsidR="001F0ECB" w:rsidRPr="001F0ECB" w14:paraId="15701EF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92E101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472C9C2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Statistiskā informācija par realizēto akvakultūras produkciju (iekšzemes tirgus, ārvalstu tirgus, daudzums kilogramos un vērtība EUR pa sugām, ieņēmumi no akvakultūras darbībām un produktu tirdzniecības)</w:t>
            </w:r>
          </w:p>
        </w:tc>
      </w:tr>
    </w:tbl>
    <w:p w14:paraId="09601763" w14:textId="77777777" w:rsidR="00975B5E" w:rsidRPr="001F0ECB" w:rsidRDefault="00975B5E" w:rsidP="00975B5E">
      <w:pPr>
        <w:jc w:val="both"/>
        <w:rPr>
          <w:rFonts w:ascii="Times New Roman" w:eastAsia="Calibri" w:hAnsi="Times New Roman" w:cs="Calibri"/>
          <w:noProof/>
          <w:sz w:val="24"/>
          <w:szCs w:val="24"/>
        </w:rPr>
      </w:pPr>
    </w:p>
    <w:p w14:paraId="466DF2E7"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10. avots Rūpnieciska darbība</w:t>
      </w:r>
    </w:p>
    <w:p w14:paraId="030C5BC4" w14:textId="77777777" w:rsidR="00DB4D87" w:rsidRDefault="00DB4D87" w:rsidP="00975B5E">
      <w:pPr>
        <w:pStyle w:val="BodyText"/>
        <w:spacing w:before="0"/>
        <w:ind w:left="0"/>
        <w:jc w:val="both"/>
        <w:rPr>
          <w:rFonts w:ascii="Times New Roman" w:hAnsi="Times New Roman"/>
          <w:noProof/>
        </w:rPr>
      </w:pPr>
    </w:p>
    <w:p w14:paraId="0C292B7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Dati tiek vākti no ekonomiski aktīviem uzņēmumiem, ja to galvenā vai sekundārā darbība saskaņā ar </w:t>
      </w:r>
      <w:r>
        <w:rPr>
          <w:rFonts w:ascii="Times New Roman" w:hAnsi="Times New Roman"/>
          <w:i/>
        </w:rPr>
        <w:t>NACE</w:t>
      </w:r>
      <w:r>
        <w:rPr>
          <w:rFonts w:ascii="Times New Roman" w:hAnsi="Times New Roman"/>
        </w:rPr>
        <w:t xml:space="preserve"> 2. red. ir ieguves rūpniecība un karjeru izstrāde (B sadaļa), apstrādes rūpniecība (C sadaļa), elektroenerģija, gāzes apgāde, siltumapgāde un gaisa kondicionēšana (D sadaļa), izņemot 35.3 grupu “Tvaika piegāde un gaisa kondicionēšana”, un ja 20 un vairāk cilvēku ir nodarbināti rūpnieciskajā ražošanā vai ja rūpniecības apgrozījums iepriekšējā gadā bijis 500 tūkstoši EUR vai lielāks. 2017. gadā to īpatsvars kopējā rūpniecības produkcijas apjomā pārsniedza 80 %.</w:t>
      </w:r>
    </w:p>
    <w:p w14:paraId="227670F2"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C2C904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4D7BB2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5333FAE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rūpniecisko darbību (1-r)</w:t>
            </w:r>
          </w:p>
        </w:tc>
      </w:tr>
      <w:tr w:rsidR="001F0ECB" w:rsidRPr="001F0ECB" w14:paraId="7C00797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4A7994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CAF4BE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3E9E7C4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941D20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2D234F1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2D5F29F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1117AF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6A830A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34. dienā pēc pārskata perioda</w:t>
            </w:r>
          </w:p>
        </w:tc>
      </w:tr>
      <w:tr w:rsidR="001F0ECB" w:rsidRPr="001F0ECB" w14:paraId="7222BFC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6DADF7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5BB010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Rūpnieciskās ražošanas izlaide un apgrozījums (</w:t>
            </w:r>
            <w:r>
              <w:rPr>
                <w:rFonts w:ascii="Times New Roman" w:hAnsi="Times New Roman"/>
                <w:i/>
                <w:iCs/>
                <w:sz w:val="24"/>
              </w:rPr>
              <w:t xml:space="preserve">NACE </w:t>
            </w:r>
            <w:r>
              <w:rPr>
                <w:rFonts w:ascii="Times New Roman" w:hAnsi="Times New Roman"/>
                <w:sz w:val="24"/>
              </w:rPr>
              <w:t>2. red. dažādi agregāti), rūpniecības izlaides indekss</w:t>
            </w:r>
          </w:p>
        </w:tc>
      </w:tr>
    </w:tbl>
    <w:p w14:paraId="3A253B5F" w14:textId="77777777" w:rsidR="002672AA" w:rsidRPr="001F0ECB" w:rsidRDefault="002672AA" w:rsidP="00975B5E">
      <w:pPr>
        <w:jc w:val="both"/>
        <w:rPr>
          <w:rFonts w:ascii="Times New Roman" w:eastAsia="Calibri" w:hAnsi="Times New Roman" w:cs="Calibri"/>
          <w:noProof/>
          <w:sz w:val="24"/>
        </w:rPr>
      </w:pPr>
    </w:p>
    <w:p w14:paraId="416376F7"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11. avots Pārskats par finansiālo stāvokli</w:t>
      </w:r>
    </w:p>
    <w:p w14:paraId="1FD7B833"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CD9DC5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1C2478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53EFF6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finansiālo stāvokli (1-F)</w:t>
            </w:r>
          </w:p>
        </w:tc>
      </w:tr>
      <w:tr w:rsidR="001F0ECB" w:rsidRPr="001F0ECB" w14:paraId="387F328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CE6534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1B16106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2013. gada 21. maija Regula (ES) Nr. 549/2013 par Eiropas nacionālo un reģionālo kontu sistēmu Eiropas Savienībā.</w:t>
            </w:r>
          </w:p>
        </w:tc>
      </w:tr>
      <w:tr w:rsidR="001F0ECB" w:rsidRPr="001F0ECB" w14:paraId="42F6A99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2C338D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1668865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6403008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BD4417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68DF927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55. dienā pēc pārskata perioda beigām</w:t>
            </w:r>
          </w:p>
        </w:tc>
      </w:tr>
      <w:tr w:rsidR="001F0ECB" w:rsidRPr="001F0ECB" w14:paraId="1709CA6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238FDD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3F6EC1B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Atlasīto nozaru neto apgrozījums</w:t>
            </w:r>
          </w:p>
        </w:tc>
      </w:tr>
    </w:tbl>
    <w:p w14:paraId="6DA63A6A" w14:textId="77777777" w:rsidR="00975B5E" w:rsidRPr="001F0ECB" w:rsidRDefault="00975B5E" w:rsidP="00975B5E">
      <w:pPr>
        <w:jc w:val="both"/>
        <w:rPr>
          <w:rFonts w:ascii="Times New Roman" w:eastAsia="Calibri" w:hAnsi="Times New Roman" w:cs="Calibri"/>
          <w:noProof/>
          <w:sz w:val="24"/>
          <w:szCs w:val="24"/>
        </w:rPr>
      </w:pPr>
    </w:p>
    <w:p w14:paraId="1D1BD76A"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12. avots Pārskats par ražotāju cenām rūpniecībā</w:t>
      </w:r>
    </w:p>
    <w:p w14:paraId="5023CE5B"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5B3600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8B0528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6F5AB3D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ražotāju cenām rūpniecībā (1-RC)</w:t>
            </w:r>
          </w:p>
        </w:tc>
      </w:tr>
      <w:tr w:rsidR="001F0ECB" w:rsidRPr="001F0ECB" w14:paraId="39CE4D6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D76F91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683E51A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5D067A1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A7C3FE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4BAD93A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4987AA0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C86609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2A34E02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15. dienā pēc pārskata perioda beigām</w:t>
            </w:r>
          </w:p>
        </w:tc>
      </w:tr>
      <w:tr w:rsidR="001F0ECB" w:rsidRPr="001F0ECB" w14:paraId="21CA4C4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491DBE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AAE0A3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Apstrādes rūpniecības un citas rūpniecības izlaides ražotāju cenu indeksi</w:t>
            </w:r>
          </w:p>
        </w:tc>
      </w:tr>
    </w:tbl>
    <w:p w14:paraId="68DCFC08" w14:textId="77777777" w:rsidR="002672AA" w:rsidRPr="001F0ECB" w:rsidRDefault="002672AA" w:rsidP="00975B5E">
      <w:pPr>
        <w:jc w:val="both"/>
        <w:rPr>
          <w:rFonts w:ascii="Times New Roman" w:eastAsia="Calibri" w:hAnsi="Times New Roman" w:cs="Calibri"/>
          <w:b/>
          <w:bCs/>
          <w:noProof/>
          <w:sz w:val="24"/>
        </w:rPr>
      </w:pPr>
    </w:p>
    <w:p w14:paraId="00BDC09C" w14:textId="77777777" w:rsidR="002672AA" w:rsidRPr="001F0ECB" w:rsidRDefault="002672AA" w:rsidP="00F367A0">
      <w:pPr>
        <w:pStyle w:val="Heading4"/>
        <w:spacing w:before="0"/>
        <w:ind w:left="0"/>
        <w:jc w:val="both"/>
        <w:rPr>
          <w:rFonts w:ascii="Times New Roman" w:hAnsi="Times New Roman"/>
          <w:noProof/>
        </w:rPr>
      </w:pPr>
      <w:r>
        <w:rPr>
          <w:rFonts w:ascii="Times New Roman" w:hAnsi="Times New Roman"/>
        </w:rPr>
        <w:t>13. avots Pārskats par uzņēmumu saviem spēkiem veikto būvniecību</w:t>
      </w:r>
    </w:p>
    <w:p w14:paraId="0A92E443" w14:textId="77777777" w:rsidR="002672AA" w:rsidRPr="001F0ECB" w:rsidRDefault="002672AA" w:rsidP="00F367A0">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2AEBA80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04B8BAC" w14:textId="77777777" w:rsidR="002672AA" w:rsidRPr="001F0ECB" w:rsidRDefault="002672AA" w:rsidP="0049318F">
            <w:pPr>
              <w:pStyle w:val="TableParagraph"/>
              <w:keepNext/>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D3A26B5" w14:textId="77777777" w:rsidR="002672AA" w:rsidRPr="001F0ECB" w:rsidRDefault="002672AA" w:rsidP="0049318F">
            <w:pPr>
              <w:pStyle w:val="TableParagraph"/>
              <w:keepNext/>
              <w:jc w:val="both"/>
              <w:rPr>
                <w:rFonts w:ascii="Times New Roman" w:hAnsi="Times New Roman"/>
                <w:noProof/>
                <w:sz w:val="24"/>
              </w:rPr>
            </w:pPr>
            <w:r>
              <w:rPr>
                <w:rFonts w:ascii="Times New Roman" w:hAnsi="Times New Roman"/>
                <w:sz w:val="24"/>
              </w:rPr>
              <w:t>Pārskats par uzņēmumu saviem spēkiem veikto būvniecību (1-būvniecība)</w:t>
            </w:r>
          </w:p>
        </w:tc>
      </w:tr>
      <w:tr w:rsidR="001F0ECB" w:rsidRPr="001F0ECB" w14:paraId="167EFC3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D9ABA5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 xml:space="preserve">Saikne ar Eiropas līmenī </w:t>
            </w:r>
            <w:r>
              <w:rPr>
                <w:rFonts w:ascii="Times New Roman" w:hAnsi="Times New Roman"/>
                <w:i/>
                <w:sz w:val="24"/>
              </w:rPr>
              <w:lastRenderedPageBreak/>
              <w:t>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23EB574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lastRenderedPageBreak/>
              <w:t xml:space="preserve">Komisijas 2012. gada 31. maija Regula (ES) Nr. 461/2012, ar ko </w:t>
            </w:r>
            <w:r>
              <w:rPr>
                <w:rFonts w:ascii="Times New Roman" w:hAnsi="Times New Roman"/>
                <w:sz w:val="24"/>
              </w:rPr>
              <w:lastRenderedPageBreak/>
              <w:t>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57DD051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09E3B7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lastRenderedPageBreak/>
              <w:t>Regularitāte</w:t>
            </w:r>
          </w:p>
        </w:tc>
        <w:tc>
          <w:tcPr>
            <w:tcW w:w="3587" w:type="pct"/>
            <w:tcBorders>
              <w:top w:val="single" w:sz="5" w:space="0" w:color="000000"/>
              <w:left w:val="single" w:sz="5" w:space="0" w:color="000000"/>
              <w:bottom w:val="single" w:sz="5" w:space="0" w:color="000000"/>
              <w:right w:val="single" w:sz="5" w:space="0" w:color="000000"/>
            </w:tcBorders>
          </w:tcPr>
          <w:p w14:paraId="715B551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6D1C5B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518143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17CDA22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42. dienā pēc pārskata perioda beigām</w:t>
            </w:r>
          </w:p>
        </w:tc>
      </w:tr>
      <w:tr w:rsidR="001F0ECB" w:rsidRPr="001F0ECB" w14:paraId="1C8C8F3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89C109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63579C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Būvniecības izlaide un būvniecības izlaides indekss</w:t>
            </w:r>
          </w:p>
        </w:tc>
      </w:tr>
    </w:tbl>
    <w:p w14:paraId="575E3FD6" w14:textId="77777777" w:rsidR="00975B5E" w:rsidRPr="001F0ECB" w:rsidRDefault="00975B5E" w:rsidP="00975B5E">
      <w:pPr>
        <w:jc w:val="both"/>
        <w:rPr>
          <w:rFonts w:ascii="Times New Roman" w:eastAsia="Calibri" w:hAnsi="Times New Roman" w:cs="Calibri"/>
          <w:noProof/>
          <w:sz w:val="24"/>
          <w:szCs w:val="24"/>
        </w:rPr>
      </w:pPr>
    </w:p>
    <w:p w14:paraId="55C3EA4E"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14. avots Mazumtirdzniecības apgrozījuma apsekojums</w:t>
      </w:r>
    </w:p>
    <w:p w14:paraId="58008BF3"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16E52FE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805CC6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17F978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apgrozījumu (1-apgrozījums)</w:t>
            </w:r>
          </w:p>
        </w:tc>
      </w:tr>
      <w:tr w:rsidR="001F0ECB" w:rsidRPr="001F0ECB" w14:paraId="75A1446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16A545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1732097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79227468"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6CB575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1E2E97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7F013AF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9D8AA4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48083C6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30. dienā pēc pārskata perioda</w:t>
            </w:r>
          </w:p>
        </w:tc>
      </w:tr>
      <w:tr w:rsidR="001F0ECB" w:rsidRPr="001F0ECB" w14:paraId="07DF772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D40EF5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6F2C0C4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Mazumtirdzniecības apgrozījuma indekss (salīdzinājumā ar dažādiem bāzes periodiem un dažādiem apkopojuma līmeņiem), mazumtirdzniecības apgrozījums</w:t>
            </w:r>
          </w:p>
        </w:tc>
      </w:tr>
    </w:tbl>
    <w:p w14:paraId="22EBD789" w14:textId="77777777" w:rsidR="002672AA" w:rsidRPr="001F0ECB" w:rsidRDefault="002672AA" w:rsidP="00975B5E">
      <w:pPr>
        <w:jc w:val="both"/>
        <w:rPr>
          <w:rFonts w:ascii="Times New Roman" w:eastAsia="Calibri" w:hAnsi="Times New Roman" w:cs="Calibri"/>
          <w:b/>
          <w:bCs/>
          <w:noProof/>
          <w:sz w:val="24"/>
        </w:rPr>
      </w:pPr>
    </w:p>
    <w:p w14:paraId="4CB8629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15. avots Apgrozījuma apsekojums</w:t>
      </w:r>
    </w:p>
    <w:p w14:paraId="58ABCB38"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290E10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1A0074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344D44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apgrozījumu (2-apgrozījums; 3-apgrozījums; 4-apgrozījums)</w:t>
            </w:r>
          </w:p>
        </w:tc>
      </w:tr>
      <w:tr w:rsidR="001F0ECB" w:rsidRPr="001F0ECB" w14:paraId="22B9703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B1530E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70194E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5FB8390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F120A7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3228BBC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 (2-apgrozījums; 3-apgrozījums), reizi ceturksnī (3-apgrozījums)</w:t>
            </w:r>
          </w:p>
        </w:tc>
      </w:tr>
      <w:tr w:rsidR="001F0ECB" w:rsidRPr="001F0ECB" w14:paraId="05CAB9D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971825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52A101B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55. dienā pēc pārskata perioda</w:t>
            </w:r>
          </w:p>
        </w:tc>
      </w:tr>
      <w:tr w:rsidR="001F0ECB" w:rsidRPr="001F0ECB" w14:paraId="5A754461"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D48657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6D686EF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Pakalpojumu sadaļu neto apgrozījums un pakalpojumu apgrozījuma indekss (dažādos apkopojumos)</w:t>
            </w:r>
          </w:p>
        </w:tc>
      </w:tr>
    </w:tbl>
    <w:p w14:paraId="5FCD30DA" w14:textId="77777777" w:rsidR="00975B5E" w:rsidRPr="001F0ECB" w:rsidRDefault="00975B5E" w:rsidP="00975B5E">
      <w:pPr>
        <w:jc w:val="both"/>
        <w:rPr>
          <w:rFonts w:ascii="Times New Roman" w:eastAsia="Calibri" w:hAnsi="Times New Roman" w:cs="Calibri"/>
          <w:noProof/>
          <w:sz w:val="24"/>
          <w:szCs w:val="24"/>
        </w:rPr>
      </w:pPr>
    </w:p>
    <w:p w14:paraId="5DD7FF73" w14:textId="77777777" w:rsidR="002672AA" w:rsidRPr="001F0ECB" w:rsidRDefault="002672AA" w:rsidP="00F367A0">
      <w:pPr>
        <w:pStyle w:val="Heading4"/>
        <w:keepNext/>
        <w:spacing w:before="0"/>
        <w:ind w:left="0"/>
        <w:jc w:val="both"/>
        <w:rPr>
          <w:rFonts w:ascii="Times New Roman" w:hAnsi="Times New Roman"/>
          <w:noProof/>
        </w:rPr>
      </w:pPr>
      <w:r>
        <w:rPr>
          <w:rFonts w:ascii="Times New Roman" w:hAnsi="Times New Roman"/>
        </w:rPr>
        <w:lastRenderedPageBreak/>
        <w:t>16. avots Dzelzceļa darbības apsekojums</w:t>
      </w:r>
    </w:p>
    <w:p w14:paraId="426FB9F7" w14:textId="77777777" w:rsidR="002672AA" w:rsidRPr="001F0ECB" w:rsidRDefault="002672AA" w:rsidP="00F367A0">
      <w:pPr>
        <w:keepNext/>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82EEA5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33E14BE" w14:textId="77777777" w:rsidR="002672AA" w:rsidRPr="001F0ECB" w:rsidRDefault="002672AA" w:rsidP="00F367A0">
            <w:pPr>
              <w:pStyle w:val="TableParagraph"/>
              <w:keepNext/>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FAE98F7" w14:textId="77777777" w:rsidR="002672AA" w:rsidRPr="001F0ECB" w:rsidRDefault="002672AA" w:rsidP="00F367A0">
            <w:pPr>
              <w:pStyle w:val="TableParagraph"/>
              <w:keepNext/>
              <w:jc w:val="both"/>
              <w:rPr>
                <w:rFonts w:ascii="Times New Roman" w:hAnsi="Times New Roman"/>
                <w:noProof/>
                <w:sz w:val="24"/>
              </w:rPr>
            </w:pPr>
            <w:r>
              <w:rPr>
                <w:rFonts w:ascii="Times New Roman" w:hAnsi="Times New Roman"/>
                <w:sz w:val="24"/>
              </w:rPr>
              <w:t>Pārskats par dzelzceļa darbību (2-dzelzceļš)</w:t>
            </w:r>
          </w:p>
        </w:tc>
      </w:tr>
      <w:tr w:rsidR="001F0ECB" w:rsidRPr="001F0ECB" w14:paraId="6847F27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AE0BE54" w14:textId="77777777" w:rsidR="002672AA" w:rsidRPr="001F0ECB" w:rsidRDefault="002672AA" w:rsidP="00F367A0">
            <w:pPr>
              <w:pStyle w:val="TableParagraph"/>
              <w:keepNext/>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1AF29B99" w14:textId="77777777" w:rsidR="002672AA" w:rsidRPr="001F0ECB" w:rsidRDefault="002672AA" w:rsidP="00F367A0">
            <w:pPr>
              <w:pStyle w:val="TableParagraph"/>
              <w:keepNext/>
              <w:jc w:val="both"/>
              <w:rPr>
                <w:rFonts w:ascii="Times New Roman" w:hAnsi="Times New Roman"/>
                <w:noProof/>
                <w:sz w:val="24"/>
              </w:rPr>
            </w:pPr>
            <w:r>
              <w:rPr>
                <w:rFonts w:ascii="Times New Roman" w:hAnsi="Times New Roman"/>
                <w:sz w:val="24"/>
              </w:rPr>
              <w:t>Eiropas Parlamenta un Padomes 2018. gada 18. aprīļa Regula (ES) 2018/643 par dzelzceļa transporta statistiku</w:t>
            </w:r>
          </w:p>
        </w:tc>
      </w:tr>
      <w:tr w:rsidR="001F0ECB" w:rsidRPr="001F0ECB" w14:paraId="0D07AA6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B2D3CF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189582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5E01EAD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A203FC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423A9F66"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Provizoriskie rezultāti ir pieejami 26. dienā pēc pārskata perioda beigām. Galarezultāti – 50. dienā pēc pārskata perioda beigām</w:t>
            </w:r>
          </w:p>
        </w:tc>
      </w:tr>
      <w:tr w:rsidR="001F0ECB" w:rsidRPr="001F0ECB" w14:paraId="393D4E7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A9B0B5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790E6B7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 par kravu un pasažieru pārvadājumiem ar dzelzceļa transportu (t. i., iekšzemes un starptautiskie pārvadājumi, dažādas mērvienības)</w:t>
            </w:r>
          </w:p>
        </w:tc>
      </w:tr>
    </w:tbl>
    <w:p w14:paraId="7FF7A828" w14:textId="77777777" w:rsidR="002672AA" w:rsidRPr="001F0ECB" w:rsidRDefault="002672AA" w:rsidP="00975B5E">
      <w:pPr>
        <w:jc w:val="both"/>
        <w:rPr>
          <w:rFonts w:ascii="Times New Roman" w:eastAsia="Calibri" w:hAnsi="Times New Roman" w:cs="Calibri"/>
          <w:b/>
          <w:bCs/>
          <w:noProof/>
          <w:sz w:val="24"/>
        </w:rPr>
      </w:pPr>
    </w:p>
    <w:p w14:paraId="5AFAF593"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17. avots Kravu pārvadājumi ar autotransportu</w:t>
      </w:r>
    </w:p>
    <w:p w14:paraId="68ABE9BB"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5326B1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632A94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09452A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Kravu pārvadājumi ar autotransportu (2-auto)</w:t>
            </w:r>
          </w:p>
        </w:tc>
      </w:tr>
      <w:tr w:rsidR="001F0ECB" w:rsidRPr="001F0ECB" w14:paraId="14775BF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A43163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AB81E8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2012. gada 18. janvāra Regula (ES) Nr. 70/2012 par statistikas pārskatiem attiecībā uz autopārvadājumiem (Dokuments attiecas uz EEZ)</w:t>
            </w:r>
          </w:p>
        </w:tc>
      </w:tr>
      <w:tr w:rsidR="001F0ECB" w:rsidRPr="001F0ECB" w14:paraId="058733F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20FB41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6F7C103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nedēļā</w:t>
            </w:r>
          </w:p>
        </w:tc>
      </w:tr>
      <w:tr w:rsidR="001F0ECB" w:rsidRPr="001F0ECB" w14:paraId="46268A9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EE0B1A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D0BBB8A"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Provizoriskie rezultāti ir pieejami 55. dienā pēc pārskata perioda beigām. Galarezultāti – 150. dienā pēc pārskata perioda beigām</w:t>
            </w:r>
          </w:p>
        </w:tc>
      </w:tr>
      <w:tr w:rsidR="001F0ECB" w:rsidRPr="001F0ECB" w14:paraId="4B7B957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FA01E5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4CB80A9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 par preču pārvadājumiem un preču apriti ar Latvijā reģistrētiem kravas automobiļiem sadalījumā pa transporta veidiem, preču grupām un valstīm</w:t>
            </w:r>
          </w:p>
        </w:tc>
      </w:tr>
    </w:tbl>
    <w:p w14:paraId="5F2259DC" w14:textId="77777777" w:rsidR="002672AA" w:rsidRPr="001F0ECB" w:rsidRDefault="002672AA" w:rsidP="00975B5E">
      <w:pPr>
        <w:jc w:val="both"/>
        <w:rPr>
          <w:rFonts w:ascii="Times New Roman" w:eastAsia="Calibri" w:hAnsi="Times New Roman" w:cs="Calibri"/>
          <w:b/>
          <w:bCs/>
          <w:noProof/>
          <w:sz w:val="24"/>
          <w:szCs w:val="20"/>
        </w:rPr>
      </w:pPr>
    </w:p>
    <w:p w14:paraId="43DE4661"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18. avots Ostu darbība</w:t>
      </w:r>
    </w:p>
    <w:p w14:paraId="413EE1F0"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94D6E9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46E80D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3E518AF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ienākošajiem un izejošajiem kuģiem ostās (2-ostas), Pārskats par ostu darbību (2-ostas (īsā))</w:t>
            </w:r>
          </w:p>
        </w:tc>
      </w:tr>
      <w:tr w:rsidR="001F0ECB" w:rsidRPr="001F0ECB" w14:paraId="517695F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A99560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787027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2010. gada 24. novembra Regula (ES) Nr. 1090/2010, ar ko groza Direktīvu 2009/42/EK par statistikas pārskatiem attiecībā uz kravu un pasažieru pārvadājumiem pa jūru</w:t>
            </w:r>
          </w:p>
        </w:tc>
      </w:tr>
      <w:tr w:rsidR="001F0ECB" w:rsidRPr="001F0ECB" w14:paraId="18F9026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D637BB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7C8F1A8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2FEFF16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3DE428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20A9DF8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30. dienā pēc pārskata perioda beigām.</w:t>
            </w:r>
          </w:p>
        </w:tc>
      </w:tr>
      <w:tr w:rsidR="001F0ECB" w:rsidRPr="001F0ECB" w14:paraId="464A062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30D470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4F6A910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 par pasažieru (iebraukušo un izbraukušo) un kravas (saņemtās, nosūtītās, sadalījumā pa kravu veidiem) apriti ostās</w:t>
            </w:r>
          </w:p>
        </w:tc>
      </w:tr>
    </w:tbl>
    <w:p w14:paraId="20DA7C0E" w14:textId="77777777" w:rsidR="002672AA" w:rsidRPr="001F0ECB" w:rsidRDefault="002672AA" w:rsidP="00975B5E">
      <w:pPr>
        <w:jc w:val="both"/>
        <w:rPr>
          <w:rFonts w:ascii="Times New Roman" w:eastAsia="Calibri" w:hAnsi="Times New Roman" w:cs="Calibri"/>
          <w:b/>
          <w:bCs/>
          <w:noProof/>
          <w:sz w:val="24"/>
        </w:rPr>
      </w:pPr>
    </w:p>
    <w:p w14:paraId="78D5EAEA" w14:textId="77777777" w:rsidR="002672AA" w:rsidRPr="001F0ECB" w:rsidRDefault="002672AA" w:rsidP="00F367A0">
      <w:pPr>
        <w:pStyle w:val="Heading4"/>
        <w:spacing w:before="0"/>
        <w:ind w:left="0"/>
        <w:jc w:val="both"/>
        <w:rPr>
          <w:rFonts w:ascii="Times New Roman" w:hAnsi="Times New Roman"/>
          <w:noProof/>
        </w:rPr>
      </w:pPr>
      <w:r>
        <w:rPr>
          <w:rFonts w:ascii="Times New Roman" w:hAnsi="Times New Roman"/>
        </w:rPr>
        <w:t>19. avots Lidostu darbība</w:t>
      </w:r>
    </w:p>
    <w:p w14:paraId="41A21E4D" w14:textId="77777777" w:rsidR="002672AA" w:rsidRPr="001F0ECB" w:rsidRDefault="002672AA" w:rsidP="00F367A0">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140938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3713D3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A4697F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gaisa kuģu kustību lidostās (2-lidostas)</w:t>
            </w:r>
          </w:p>
        </w:tc>
      </w:tr>
      <w:tr w:rsidR="001F0ECB" w:rsidRPr="001F0ECB" w14:paraId="37B6224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5698A9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CF6EB8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2003. gada 27. februāra Regula (EK) Nr. 437/2003 par statistikas pārskatiem attiecībā uz pasažieru, kravu un pasta gaisa pārvadājumiem</w:t>
            </w:r>
          </w:p>
        </w:tc>
      </w:tr>
      <w:tr w:rsidR="001F0ECB" w:rsidRPr="001F0ECB" w14:paraId="0AEAE23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14E239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DB8F06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13F09131"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FF4AF5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lastRenderedPageBreak/>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18F8981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30. dienā pēc pārskata perioda beigām</w:t>
            </w:r>
          </w:p>
        </w:tc>
      </w:tr>
      <w:tr w:rsidR="001F0ECB" w:rsidRPr="001F0ECB" w14:paraId="6684988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EFEB38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C3B359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Statistika par ielidojušajiem un izlidojušajiem pasažieriem lidostā un nosūtītajām un saņemtajām kravām, kā arī to raksturlielumi</w:t>
            </w:r>
          </w:p>
        </w:tc>
      </w:tr>
    </w:tbl>
    <w:p w14:paraId="07DB9037" w14:textId="77777777" w:rsidR="00975B5E" w:rsidRPr="001F0ECB" w:rsidRDefault="00975B5E" w:rsidP="00975B5E">
      <w:pPr>
        <w:jc w:val="both"/>
        <w:rPr>
          <w:rFonts w:ascii="Times New Roman" w:eastAsia="Calibri" w:hAnsi="Times New Roman" w:cs="Calibri"/>
          <w:noProof/>
          <w:sz w:val="24"/>
          <w:szCs w:val="24"/>
        </w:rPr>
      </w:pPr>
    </w:p>
    <w:p w14:paraId="0D38516B"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20. avots Pasažieru pārvadājumi</w:t>
      </w:r>
    </w:p>
    <w:p w14:paraId="44983BA1"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28B03D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F346D7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3957A613" w14:textId="77777777" w:rsidR="002672AA" w:rsidRPr="001F0ECB" w:rsidRDefault="002672AA" w:rsidP="002103EA">
            <w:pPr>
              <w:pStyle w:val="TableParagraph"/>
              <w:jc w:val="both"/>
              <w:rPr>
                <w:rFonts w:ascii="Times New Roman" w:eastAsia="Calibri" w:hAnsi="Times New Roman" w:cs="Calibri"/>
                <w:noProof/>
                <w:sz w:val="24"/>
                <w:szCs w:val="24"/>
              </w:rPr>
            </w:pPr>
            <w:r>
              <w:rPr>
                <w:rFonts w:ascii="Times New Roman" w:hAnsi="Times New Roman"/>
                <w:sz w:val="24"/>
              </w:rPr>
              <w:t>Apsekojums par regulāriem komerciāliem pasažieru pārvadājumiem ar autobusiem; apsekojumu administrē SIA “Autotransporta direkcija”</w:t>
            </w:r>
          </w:p>
        </w:tc>
      </w:tr>
      <w:tr w:rsidR="001F0ECB" w:rsidRPr="001F0ECB" w14:paraId="374E677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A1E256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518D5DA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53AA188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5E543D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5768344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55. dienā pēc pārskata perioda beigām</w:t>
            </w:r>
          </w:p>
        </w:tc>
      </w:tr>
      <w:tr w:rsidR="001F0ECB" w:rsidRPr="001F0ECB" w14:paraId="125BEDD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F7AD3B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661A19C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par regulāriem pasažieru pārvadājumiem ar autobusu sadalījumā pa kalendārā gada ceturkšņiem</w:t>
            </w:r>
          </w:p>
        </w:tc>
      </w:tr>
    </w:tbl>
    <w:p w14:paraId="6BC119D0" w14:textId="77777777" w:rsidR="002672AA" w:rsidRPr="001F0ECB" w:rsidRDefault="002672AA" w:rsidP="00975B5E">
      <w:pPr>
        <w:jc w:val="both"/>
        <w:rPr>
          <w:rFonts w:ascii="Times New Roman" w:eastAsia="Calibri" w:hAnsi="Times New Roman" w:cs="Calibri"/>
          <w:b/>
          <w:bCs/>
          <w:noProof/>
          <w:sz w:val="24"/>
        </w:rPr>
      </w:pPr>
    </w:p>
    <w:p w14:paraId="6A083B4B"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21. avots Elektriskais transports</w:t>
      </w:r>
    </w:p>
    <w:p w14:paraId="58D79A77"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05B413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24DA87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5845946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elektriskā transporta darbu (3-elektrotransports)</w:t>
            </w:r>
          </w:p>
        </w:tc>
      </w:tr>
      <w:tr w:rsidR="001F0ECB" w:rsidRPr="001F0ECB" w14:paraId="6D4B38C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7E0750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08F655E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2015. gada 29. aprīļa Regula (ES) 2015/759, ar ko groza Regulu (EK) Nr. 223/2009 par Eiropas statistiku (Dokuments attiecas uz EEZ un Šveici)</w:t>
            </w:r>
          </w:p>
        </w:tc>
      </w:tr>
      <w:tr w:rsidR="001F0ECB" w:rsidRPr="001F0ECB" w14:paraId="532F45BC"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9CE997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5E23C4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04A5F13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793243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42E274C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55. dienā pēc pārskata perioda beigām</w:t>
            </w:r>
          </w:p>
        </w:tc>
      </w:tr>
      <w:tr w:rsidR="001F0ECB" w:rsidRPr="001F0ECB" w14:paraId="1037D13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D23DAC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38C80D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Pilsētas elektriskajā transportā pārvadāto pasažieru skaits (kopā Latvijā, sadalījumā pa pilsētām)</w:t>
            </w:r>
          </w:p>
        </w:tc>
      </w:tr>
    </w:tbl>
    <w:p w14:paraId="4860D56F" w14:textId="77777777" w:rsidR="00975B5E" w:rsidRPr="001F0ECB" w:rsidRDefault="00975B5E" w:rsidP="00975B5E">
      <w:pPr>
        <w:jc w:val="both"/>
        <w:rPr>
          <w:rFonts w:ascii="Times New Roman" w:eastAsia="Calibri" w:hAnsi="Times New Roman" w:cs="Calibri"/>
          <w:noProof/>
          <w:sz w:val="24"/>
          <w:szCs w:val="24"/>
        </w:rPr>
      </w:pPr>
    </w:p>
    <w:p w14:paraId="45E8E99A"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22. avots Naftas un naftas produktu transportēšana</w:t>
      </w:r>
    </w:p>
    <w:p w14:paraId="13569077"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AF86B6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AF0DEB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59C5F1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naftas un naftas produktu transportēšanu (2-cauruļvadu transports)</w:t>
            </w:r>
          </w:p>
        </w:tc>
      </w:tr>
      <w:tr w:rsidR="001F0ECB" w:rsidRPr="001F0ECB" w14:paraId="740D097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73CAF1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E162EC5" w14:textId="77777777" w:rsidR="002672AA" w:rsidRPr="001F0ECB" w:rsidRDefault="002672AA" w:rsidP="002103EA">
            <w:pPr>
              <w:pStyle w:val="TableParagraph"/>
              <w:jc w:val="both"/>
              <w:rPr>
                <w:rFonts w:ascii="Times New Roman" w:hAnsi="Times New Roman"/>
                <w:noProof/>
                <w:sz w:val="24"/>
              </w:rPr>
            </w:pPr>
            <w:r>
              <w:rPr>
                <w:rFonts w:ascii="Times New Roman" w:hAnsi="Times New Roman"/>
                <w:sz w:val="24"/>
              </w:rPr>
              <w:t>Eiropas Parlamenta un Padomes 2009. gada 11. marta Regula (EK) Nr. 223/2009 par Eiropas statistiku un ar ko atceļ Eiropas Parlamenta un Padomes Regulu (EK, Euratom) Nr. 1101/2008 par tādas statistikas informācijas nosūtīšanu Eiropas Kopienu Statistikas birojam, uz kuru attiecas konfidencialitāte, Padomes Regulu (EK) Nr. 322/97 par Kopienas statistiku un Padomes Lēmumu 89/382/EEK, Euratom, ar ko nodibina Eiropas Kopienu Statistikas programmu komiteju</w:t>
            </w:r>
          </w:p>
        </w:tc>
      </w:tr>
      <w:tr w:rsidR="001F0ECB" w:rsidRPr="001F0ECB" w14:paraId="4B7CF64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331FD0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1FC45EF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36441E3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40046D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69A9E85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Provizoriskie rezultāti ir pieejami 55. dienā pēc pārskata perioda beigām</w:t>
            </w:r>
          </w:p>
        </w:tc>
      </w:tr>
      <w:tr w:rsidR="001F0ECB" w:rsidRPr="001F0ECB" w14:paraId="443B35D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E47E31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6DF012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Informācija par to naftas produktu apjomu, kas transportēti ar cauruļvadu transportu</w:t>
            </w:r>
          </w:p>
        </w:tc>
      </w:tr>
    </w:tbl>
    <w:p w14:paraId="2E8E4830" w14:textId="77777777" w:rsidR="002672AA" w:rsidRPr="001F0ECB" w:rsidRDefault="002672AA" w:rsidP="00975B5E">
      <w:pPr>
        <w:jc w:val="both"/>
        <w:rPr>
          <w:rFonts w:ascii="Times New Roman" w:eastAsia="Calibri" w:hAnsi="Times New Roman" w:cs="Calibri"/>
          <w:b/>
          <w:bCs/>
          <w:noProof/>
          <w:sz w:val="24"/>
        </w:rPr>
      </w:pPr>
    </w:p>
    <w:p w14:paraId="2374184E"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lastRenderedPageBreak/>
        <w:t>23. avots Viesnīcu un citu tūristu mītņu darbība</w:t>
      </w:r>
    </w:p>
    <w:p w14:paraId="37D52B06"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504DFD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7E051F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43B5EAFE" w14:textId="77777777" w:rsidR="002672AA" w:rsidRPr="001F0ECB" w:rsidRDefault="002672AA" w:rsidP="00975B5E">
            <w:pPr>
              <w:pStyle w:val="TableParagraph"/>
              <w:tabs>
                <w:tab w:val="left" w:pos="1051"/>
                <w:tab w:val="left" w:pos="1468"/>
                <w:tab w:val="left" w:pos="2293"/>
                <w:tab w:val="left" w:pos="2878"/>
                <w:tab w:val="left" w:pos="3633"/>
                <w:tab w:val="left" w:pos="5432"/>
                <w:tab w:val="left" w:pos="7128"/>
              </w:tabs>
              <w:jc w:val="both"/>
              <w:rPr>
                <w:rFonts w:ascii="Times New Roman" w:hAnsi="Times New Roman"/>
                <w:noProof/>
                <w:sz w:val="24"/>
              </w:rPr>
            </w:pPr>
            <w:r>
              <w:rPr>
                <w:rFonts w:ascii="Times New Roman" w:hAnsi="Times New Roman"/>
                <w:sz w:val="24"/>
              </w:rPr>
              <w:t>Pārskats par viesnīcu un citu tūristu mītņu darbību (1-tūristu mītnes)</w:t>
            </w:r>
          </w:p>
        </w:tc>
      </w:tr>
      <w:tr w:rsidR="001F0ECB" w:rsidRPr="001F0ECB" w14:paraId="12C01EE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70B7B6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2E8A829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2011. gada 6. jūlija Regula (ES) Nr. 692/2011 attiecībā uz Eiropas statistiku par tūrismu un ar ko atceļ Padomes Direktīvu 95/57/EK (Dokuments attiecas uz EEZ)</w:t>
            </w:r>
          </w:p>
        </w:tc>
      </w:tr>
      <w:tr w:rsidR="001F0ECB" w:rsidRPr="001F0ECB" w14:paraId="46EB8DE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F6EC4D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782FB3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3B7F794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5AF772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477A579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45. dienā pēc pārskata perioda beigām</w:t>
            </w:r>
          </w:p>
        </w:tc>
      </w:tr>
      <w:tr w:rsidR="001F0ECB" w:rsidRPr="001F0ECB" w14:paraId="217E158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45C537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4FAB85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Gultasvietu noslogojums Latvijas tūristu mītnēs (sadalījumā pa kategorijām un pa reģioniem)</w:t>
            </w:r>
          </w:p>
        </w:tc>
      </w:tr>
    </w:tbl>
    <w:p w14:paraId="7D0DB469" w14:textId="77777777" w:rsidR="00975B5E" w:rsidRPr="001F0ECB" w:rsidRDefault="00975B5E" w:rsidP="00975B5E">
      <w:pPr>
        <w:jc w:val="both"/>
        <w:rPr>
          <w:rFonts w:ascii="Times New Roman" w:eastAsia="Calibri" w:hAnsi="Times New Roman" w:cs="Calibri"/>
          <w:noProof/>
          <w:sz w:val="24"/>
          <w:szCs w:val="24"/>
        </w:rPr>
      </w:pPr>
    </w:p>
    <w:p w14:paraId="11CF1975"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24. avots Līzinga sniegšana</w:t>
      </w:r>
    </w:p>
    <w:p w14:paraId="511053FA"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19070B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A7279A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14B2FC9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līzinga sniegšanu (1-līzings)</w:t>
            </w:r>
          </w:p>
        </w:tc>
      </w:tr>
      <w:tr w:rsidR="001F0ECB" w:rsidRPr="001F0ECB" w14:paraId="2D28372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D3FEF4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68CA1F8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Apsekojums tiek veikts saskaņā ar Eiropas Parlamenta un Padomes 2013. gada 21. maija Regulu (ES) Nr. 549/2013 par Eiropas nacionālo un reģionālo kontu sistēmu Eiropas Savienībā</w:t>
            </w:r>
          </w:p>
        </w:tc>
      </w:tr>
      <w:tr w:rsidR="001F0ECB" w:rsidRPr="001F0ECB" w14:paraId="22A09A68"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AD8234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50CEA51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022939D2"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65057F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534B131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45. dienā pēc pārskata perioda beigām</w:t>
            </w:r>
          </w:p>
        </w:tc>
      </w:tr>
      <w:tr w:rsidR="001F0ECB" w:rsidRPr="001F0ECB" w14:paraId="7B01794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29BF18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338E73E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Finanšu līzinga portfelis sadalījumā pēc līzinga ņēmēju institucionālā sektora un faktoringa portfelis, procentu ienākumi no finanšu līzinga un faktoringa darījumiem ar rezidentiem sadalījumā pēc līzinga ņēmēju institucionālā sektora</w:t>
            </w:r>
          </w:p>
        </w:tc>
      </w:tr>
    </w:tbl>
    <w:p w14:paraId="02963725" w14:textId="77777777" w:rsidR="002672AA" w:rsidRPr="001F0ECB" w:rsidRDefault="002672AA" w:rsidP="00975B5E">
      <w:pPr>
        <w:jc w:val="both"/>
        <w:rPr>
          <w:rFonts w:ascii="Times New Roman" w:eastAsia="Calibri" w:hAnsi="Times New Roman" w:cs="Calibri"/>
          <w:b/>
          <w:bCs/>
          <w:noProof/>
          <w:sz w:val="24"/>
        </w:rPr>
      </w:pPr>
    </w:p>
    <w:p w14:paraId="57CE2948"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25. avots Finanšu aktīvi un saistības</w:t>
      </w:r>
    </w:p>
    <w:p w14:paraId="1B129AC2" w14:textId="77777777" w:rsidR="002103EA" w:rsidRDefault="002103EA" w:rsidP="00975B5E">
      <w:pPr>
        <w:pStyle w:val="BodyText"/>
        <w:spacing w:before="0"/>
        <w:ind w:left="0"/>
        <w:jc w:val="both"/>
        <w:rPr>
          <w:rFonts w:ascii="Times New Roman" w:hAnsi="Times New Roman"/>
          <w:noProof/>
        </w:rPr>
      </w:pPr>
    </w:p>
    <w:p w14:paraId="33C7C8AA"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Datus par finanšu aktīviem un saistībām, kas klasificēti S.125, S.126 vai S.127 apakšsektorā, vāc Latvijas Banka, veicot izlases apsekojumu.</w:t>
      </w:r>
    </w:p>
    <w:p w14:paraId="1269E07A"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6000443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2D55D1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4E60509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Ceturkšņa finanšu pārskats (1-FP)</w:t>
            </w:r>
          </w:p>
        </w:tc>
      </w:tr>
      <w:tr w:rsidR="001F0ECB" w:rsidRPr="001F0ECB" w14:paraId="2F1FB00B"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544D10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C1419D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Apsekojums tiek veikts saskaņā ar Eiropas Parlamenta un Padomes 2013. gada 21. maija Regulu (ES) Nr. 549/2013 par Eiropas nacionālo un reģionālo kontu sistēmu Eiropas Savienībā.</w:t>
            </w:r>
          </w:p>
          <w:p w14:paraId="6A2F2EB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pārvalda Latvijas Banka</w:t>
            </w:r>
          </w:p>
        </w:tc>
      </w:tr>
      <w:tr w:rsidR="001F0ECB" w:rsidRPr="001F0ECB" w14:paraId="710C4ADC"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DB16B1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4A671E9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45D3F09"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FA0BDD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54A1203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50. dienā pēc pārskata perioda beigām</w:t>
            </w:r>
          </w:p>
        </w:tc>
      </w:tr>
      <w:tr w:rsidR="001F0ECB" w:rsidRPr="001F0ECB" w14:paraId="792ADBD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848156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06B230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par S.125 apakšsektora 649 grupas uzņēmumu aizdevumu un aizņēmumu darījumiem ar rezidentiem un uzkrātajiem procentiem, neto apgrozījums, komisijas naudas un citi līdzīgi ieņēmumi, administrācijas izmaksas, pārdoto preču vai sniegto pakalpojumu iegādes izmaksas, pārdošanas izmaksas</w:t>
            </w:r>
          </w:p>
        </w:tc>
      </w:tr>
      <w:tr w:rsidR="001F0ECB" w:rsidRPr="001F0ECB" w14:paraId="4FC782B7"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C40B85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 xml:space="preserve">Turpmāk veiktās apsekojuma datu </w:t>
            </w:r>
            <w:r>
              <w:rPr>
                <w:rFonts w:ascii="Times New Roman" w:hAnsi="Times New Roman"/>
                <w:i/>
                <w:sz w:val="24"/>
              </w:rPr>
              <w:lastRenderedPageBreak/>
              <w:t>korekcijas</w:t>
            </w:r>
          </w:p>
        </w:tc>
        <w:tc>
          <w:tcPr>
            <w:tcW w:w="3587" w:type="pct"/>
            <w:tcBorders>
              <w:top w:val="single" w:sz="5" w:space="0" w:color="000000"/>
              <w:left w:val="single" w:sz="5" w:space="0" w:color="000000"/>
              <w:bottom w:val="single" w:sz="5" w:space="0" w:color="000000"/>
              <w:right w:val="single" w:sz="5" w:space="0" w:color="000000"/>
            </w:tcBorders>
          </w:tcPr>
          <w:p w14:paraId="59EC0D4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lastRenderedPageBreak/>
              <w:t>Pilns apkopojums, izmantojot katru gadu savāktos datus</w:t>
            </w:r>
          </w:p>
        </w:tc>
      </w:tr>
    </w:tbl>
    <w:p w14:paraId="33EE795A" w14:textId="77777777" w:rsidR="00975B5E" w:rsidRPr="001F0ECB" w:rsidRDefault="00975B5E" w:rsidP="00975B5E">
      <w:pPr>
        <w:jc w:val="both"/>
        <w:rPr>
          <w:rFonts w:ascii="Times New Roman" w:eastAsia="Calibri" w:hAnsi="Times New Roman" w:cs="Calibri"/>
          <w:noProof/>
          <w:sz w:val="24"/>
          <w:szCs w:val="24"/>
        </w:rPr>
      </w:pPr>
    </w:p>
    <w:p w14:paraId="5EB2477D"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26. avots Monetāro finanšu iestāžu finanšu pārskats</w:t>
      </w:r>
    </w:p>
    <w:p w14:paraId="786D5F6C" w14:textId="77777777" w:rsidR="002103EA" w:rsidRDefault="002103EA" w:rsidP="00975B5E">
      <w:pPr>
        <w:pStyle w:val="BodyText"/>
        <w:spacing w:before="0"/>
        <w:ind w:left="0"/>
        <w:jc w:val="both"/>
        <w:rPr>
          <w:rFonts w:ascii="Times New Roman" w:hAnsi="Times New Roman"/>
          <w:noProof/>
        </w:rPr>
      </w:pPr>
    </w:p>
    <w:p w14:paraId="16F2AA59"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Latvijas Banka sniedz datus par monetārajām finanšu iestādēm. CNK aprēķinam izmanto datus par rezidentiem izsniegtajiem aizdevumiem, rezidentu noguldījumiem un uzkrātajiem procentiem, komisijas naudas un citiem līdzīgiem ienākumiem, finanšu instrumentu tirdzniecības darījumu peļņu/zaudējumiem, citiem parastajiem ienākumiem, komisijas naudas un citiem līdzīgiem izdevumiem, pārējiem administratīviem izdevumiem, citiem parastajiem izdevumiem. Dati ir pieejami 30. dienā pēc pārskata perioda beigām.</w:t>
      </w:r>
    </w:p>
    <w:p w14:paraId="767DD266" w14:textId="77777777" w:rsidR="002672AA" w:rsidRPr="001F0ECB" w:rsidRDefault="002672AA" w:rsidP="00975B5E">
      <w:pPr>
        <w:jc w:val="both"/>
        <w:rPr>
          <w:rFonts w:ascii="Times New Roman" w:eastAsia="Calibri" w:hAnsi="Times New Roman" w:cs="Calibri"/>
          <w:noProof/>
          <w:sz w:val="24"/>
          <w:szCs w:val="23"/>
        </w:rPr>
      </w:pPr>
    </w:p>
    <w:p w14:paraId="53FD8A7D"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27. avots Kopsavilkuma ziņojums par likvidācijas procesā esošām bankām</w:t>
      </w:r>
    </w:p>
    <w:p w14:paraId="40B6CBEE"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0EF47D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FBA403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673ED7F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Likvidācijas procesā esošo banku mēneša bilances kopsavilkums</w:t>
            </w:r>
          </w:p>
        </w:tc>
      </w:tr>
      <w:tr w:rsidR="001F0ECB" w:rsidRPr="001F0ECB" w14:paraId="5930F7F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6A2DBC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50D6BD8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pamatojoties uz valsts tiesību aktiem. Apsekojumu administrē Latvijas Banka</w:t>
            </w:r>
          </w:p>
        </w:tc>
      </w:tr>
      <w:tr w:rsidR="001F0ECB" w:rsidRPr="001F0ECB" w14:paraId="037D1983"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6A6CE5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846141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94DDB78"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1486CA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027E7B5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Rezultāti ir pieejami 50. dienā pēc pārskata perioda beigām</w:t>
            </w:r>
          </w:p>
        </w:tc>
      </w:tr>
      <w:tr w:rsidR="001F0ECB" w:rsidRPr="001F0ECB" w14:paraId="409290F8"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AE96CE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7803B06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par rezidentiem izsniegtajiem aizdevumiem, rezidentu noguldījumiem, prasībām pret MFI, izņemot Latvijas Banku, saistībām pret MFI, izņemot Latvijas Banku</w:t>
            </w:r>
          </w:p>
        </w:tc>
      </w:tr>
    </w:tbl>
    <w:p w14:paraId="51D04D30" w14:textId="77777777" w:rsidR="002672AA" w:rsidRPr="001F0ECB" w:rsidRDefault="002672AA" w:rsidP="00975B5E">
      <w:pPr>
        <w:jc w:val="both"/>
        <w:rPr>
          <w:rFonts w:ascii="Times New Roman" w:eastAsia="Calibri" w:hAnsi="Times New Roman" w:cs="Calibri"/>
          <w:b/>
          <w:bCs/>
          <w:noProof/>
          <w:sz w:val="24"/>
        </w:rPr>
      </w:pPr>
    </w:p>
    <w:p w14:paraId="3F2E1523"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28. avots Latvijas Bankas finanšu rādītāji</w:t>
      </w:r>
    </w:p>
    <w:p w14:paraId="65EDAC5D"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605BA7AF"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9FA650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4602469C"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Latvijas Bankas peļņas un zaudējumu aprēķins</w:t>
            </w:r>
          </w:p>
        </w:tc>
      </w:tr>
      <w:tr w:rsidR="001F0ECB" w:rsidRPr="001F0ECB" w14:paraId="374F6BE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73CDCA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4EB05E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33DBAB6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CEC559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119C4A50"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6AA8EB9D"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D4BDED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32B1D0E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12. dienā pēc pārskata perioda beigām</w:t>
            </w:r>
          </w:p>
        </w:tc>
      </w:tr>
      <w:tr w:rsidR="001F0ECB" w:rsidRPr="001F0ECB" w14:paraId="5BEFAB26"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D63C5D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27AABBB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Darba samaksa, sociālās apdrošināšanas izdevumi, naudas zīmju iegādes izdevumi, komisijas maksas izdevumi, pārējie bankas darbības izdevumi, komisijas maksas ienākumi, citi bankas darbības ienākumi</w:t>
            </w:r>
          </w:p>
        </w:tc>
      </w:tr>
    </w:tbl>
    <w:p w14:paraId="1485CAF1" w14:textId="77777777" w:rsidR="00975B5E" w:rsidRPr="001F0ECB" w:rsidRDefault="00975B5E" w:rsidP="00975B5E">
      <w:pPr>
        <w:jc w:val="both"/>
        <w:rPr>
          <w:rFonts w:ascii="Times New Roman" w:eastAsia="Calibri" w:hAnsi="Times New Roman" w:cs="Calibri"/>
          <w:noProof/>
          <w:sz w:val="24"/>
          <w:szCs w:val="24"/>
        </w:rPr>
      </w:pPr>
    </w:p>
    <w:p w14:paraId="6BC735D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29. avots Maksājumu bilance</w:t>
      </w:r>
    </w:p>
    <w:p w14:paraId="546AA04D" w14:textId="77777777" w:rsidR="002103EA" w:rsidRDefault="002103EA" w:rsidP="00975B5E">
      <w:pPr>
        <w:pStyle w:val="BodyText"/>
        <w:spacing w:before="0"/>
        <w:ind w:left="0"/>
        <w:jc w:val="both"/>
        <w:rPr>
          <w:rFonts w:ascii="Times New Roman" w:hAnsi="Times New Roman"/>
          <w:noProof/>
        </w:rPr>
      </w:pPr>
    </w:p>
    <w:p w14:paraId="1994803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Latvijas Banka apkopo Latvijas maksājumu bilanci. Tā ir viens no galvenajiem datu avotiem IKP aprēķinam saskaņā ar visām trim pieejām. Ražošanas pieejas gadījumā izmanto datus par </w:t>
      </w:r>
      <w:r>
        <w:rPr>
          <w:rFonts w:ascii="Times New Roman" w:hAnsi="Times New Roman"/>
          <w:i/>
        </w:rPr>
        <w:t>FISIM</w:t>
      </w:r>
      <w:r>
        <w:rPr>
          <w:rFonts w:ascii="Times New Roman" w:hAnsi="Times New Roman"/>
        </w:rPr>
        <w:t xml:space="preserve"> eksportu un importu, pārapdrošināšanu, izdevumu pieejas gadījumā – datus par preču un pakalpojumu importu un eksportu, bet ienākumu pieejas gadījumā – produktu subsīdiju datus.</w:t>
      </w:r>
    </w:p>
    <w:p w14:paraId="71079A70" w14:textId="77777777" w:rsidR="002103EA" w:rsidRDefault="002103EA" w:rsidP="00975B5E">
      <w:pPr>
        <w:pStyle w:val="BodyText"/>
        <w:spacing w:before="0"/>
        <w:ind w:left="0"/>
        <w:jc w:val="both"/>
        <w:rPr>
          <w:rFonts w:ascii="Times New Roman" w:hAnsi="Times New Roman"/>
          <w:noProof/>
        </w:rPr>
      </w:pPr>
    </w:p>
    <w:p w14:paraId="4BBCC06F"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Ir pieejami mēneša un ceturkšņa dati. Lai divus mēnešus pēc pārskata perioda apkopotu IKP, izmanto maksājumu bilances mēneša summu, un, ja nepieciešams, skaitļi tiek revidēti, kad ir pieejama ceturkšņa maksājumu bilance (65. dienā pēc pārskata perioda), un rezultātus publicē kopā ar CKS.</w:t>
      </w:r>
    </w:p>
    <w:p w14:paraId="232F4502" w14:textId="77777777" w:rsidR="002672AA" w:rsidRPr="001F0ECB" w:rsidRDefault="002672AA" w:rsidP="00975B5E">
      <w:pPr>
        <w:jc w:val="both"/>
        <w:rPr>
          <w:rFonts w:ascii="Times New Roman" w:eastAsia="Calibri" w:hAnsi="Times New Roman" w:cs="Calibri"/>
          <w:noProof/>
          <w:sz w:val="24"/>
          <w:szCs w:val="23"/>
        </w:rPr>
      </w:pPr>
    </w:p>
    <w:p w14:paraId="677719AB"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30. avots Dzīvības un nedzīvības apdrošināšana</w:t>
      </w:r>
    </w:p>
    <w:p w14:paraId="5F209AF2"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DF456DA"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0E5305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737C988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Dzīvības apdrošināšanas sabiedrību un nedzīvības apdrošināšanas sabiedrību peļņas vai zaudējumu aprēķins</w:t>
            </w:r>
          </w:p>
        </w:tc>
      </w:tr>
      <w:tr w:rsidR="001F0ECB" w:rsidRPr="001F0ECB" w14:paraId="7B4AAA24"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1B4A61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A5573D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0FE1FE45"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A6E248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6E7B6BC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1D2BF01B"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BE45C3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32B321F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50. dienā pēc pārskata perioda beigām</w:t>
            </w:r>
          </w:p>
        </w:tc>
      </w:tr>
      <w:tr w:rsidR="001F0ECB" w:rsidRPr="001F0ECB" w14:paraId="1943FF80"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9A705B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7920E8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Bruto parakstītās prēmijas, izmaiņas bruto nenopelnīto prēmiju tehniskajās rezervēs, ieguldījumu darbības ienākumi, ieguldījumu pārvaldīšanas izdevumi, atlīdzību noregulēšanas izdevumi, ieguldījumu pārvērtēšanas peļņa/zaudējumi, ieguldījumu realizācijas zaudējumi, izmaksātās apdrošināšanas atlīdzības neto, neto izmaiņas atlikto apdrošināšanas/pārapdrošināšanas atlīdzību prasību tehniskajās rezervēs, tehnisko rezervju bruto izmaiņu summa, neto izmaiņas citās tehniskajās rezervēs</w:t>
            </w:r>
          </w:p>
        </w:tc>
      </w:tr>
      <w:tr w:rsidR="001F0ECB" w:rsidRPr="001F0ECB" w14:paraId="10AF3C9E" w14:textId="77777777" w:rsidTr="00F367A0">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0AD9CA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7F5F939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Pilns apkopojums, izmantojot katru gadu savāktos datus</w:t>
            </w:r>
          </w:p>
        </w:tc>
      </w:tr>
    </w:tbl>
    <w:p w14:paraId="2DB524A2" w14:textId="77777777" w:rsidR="00975B5E" w:rsidRPr="001F0ECB" w:rsidRDefault="00975B5E" w:rsidP="00975B5E">
      <w:pPr>
        <w:jc w:val="both"/>
        <w:rPr>
          <w:rFonts w:ascii="Times New Roman" w:eastAsia="Calibri" w:hAnsi="Times New Roman" w:cs="Calibri"/>
          <w:noProof/>
          <w:sz w:val="24"/>
          <w:szCs w:val="24"/>
        </w:rPr>
      </w:pPr>
    </w:p>
    <w:p w14:paraId="194B2D46"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31. avots Pensiju plāna neto aktīvu kustība</w:t>
      </w:r>
    </w:p>
    <w:p w14:paraId="7414A8C6"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F600069"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79BA5A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92F872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Pensiju plāna neto aktīvu kustības pārskats</w:t>
            </w:r>
          </w:p>
        </w:tc>
      </w:tr>
      <w:tr w:rsidR="001F0ECB" w:rsidRPr="001F0ECB" w14:paraId="5A12CE25"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0FCACE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18824EB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637CB00A"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E7B517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7BF0E48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C6E7CDC"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17A601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0EC5919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50. dienā pēc pārskata perioda beigām</w:t>
            </w:r>
          </w:p>
        </w:tc>
      </w:tr>
      <w:tr w:rsidR="001F0ECB" w:rsidRPr="001F0ECB" w14:paraId="5B67C3C5"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5B8D03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E180AE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Iemaksas un izmaksas pensiju plānā, kopā ienākumi, ieguldījumu pārvaldīšanas izdevumi, realizētais ieguldījumu vērtības pieaugums (samazinājums), ārvalstu valūtu pārvērtēšanas peļņa (zaudējumi)</w:t>
            </w:r>
          </w:p>
        </w:tc>
      </w:tr>
    </w:tbl>
    <w:p w14:paraId="36CE33B5" w14:textId="77777777" w:rsidR="002672AA" w:rsidRPr="001F0ECB" w:rsidRDefault="002672AA" w:rsidP="00975B5E">
      <w:pPr>
        <w:jc w:val="both"/>
        <w:rPr>
          <w:rFonts w:ascii="Times New Roman" w:eastAsia="Calibri" w:hAnsi="Times New Roman" w:cs="Calibri"/>
          <w:b/>
          <w:bCs/>
          <w:noProof/>
          <w:sz w:val="24"/>
        </w:rPr>
      </w:pPr>
    </w:p>
    <w:p w14:paraId="1FA28A1C"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32. avots Privātie pensiju fondi</w:t>
      </w:r>
    </w:p>
    <w:p w14:paraId="39992878"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E874AA8"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3B2445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8F4485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Privāto pensiju fondu peļņas vai zaudējumu aprēķins</w:t>
            </w:r>
          </w:p>
        </w:tc>
      </w:tr>
      <w:tr w:rsidR="001F0ECB" w:rsidRPr="001F0ECB" w14:paraId="78BA6B1B"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747D2D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9706AB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0B1938B5"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2ABE45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3763CF6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17D926D9"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1A11C6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CCB21B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50. dienā pēc pārskata perioda beigām</w:t>
            </w:r>
          </w:p>
        </w:tc>
      </w:tr>
      <w:tr w:rsidR="001F0ECB" w:rsidRPr="001F0ECB" w14:paraId="6798F90A"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0B423A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9C9A3A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Pamatdarbības ienākumi, administratīvie izdevumi, pārējie ienākumi, pārējie izdevumi</w:t>
            </w:r>
          </w:p>
        </w:tc>
      </w:tr>
      <w:tr w:rsidR="001F0ECB" w:rsidRPr="001F0ECB" w14:paraId="0D2751E7"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296EE2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 xml:space="preserve">Turpmāk veiktās apsekojuma datu </w:t>
            </w:r>
            <w:r>
              <w:rPr>
                <w:rFonts w:ascii="Times New Roman" w:hAnsi="Times New Roman"/>
                <w:i/>
                <w:sz w:val="24"/>
              </w:rPr>
              <w:lastRenderedPageBreak/>
              <w:t>korekcijas</w:t>
            </w:r>
          </w:p>
        </w:tc>
        <w:tc>
          <w:tcPr>
            <w:tcW w:w="3587" w:type="pct"/>
            <w:tcBorders>
              <w:top w:val="single" w:sz="5" w:space="0" w:color="000000"/>
              <w:left w:val="single" w:sz="5" w:space="0" w:color="000000"/>
              <w:bottom w:val="single" w:sz="5" w:space="0" w:color="000000"/>
              <w:right w:val="single" w:sz="5" w:space="0" w:color="000000"/>
            </w:tcBorders>
          </w:tcPr>
          <w:p w14:paraId="233A42F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lastRenderedPageBreak/>
              <w:t>Administratīvos izdevumus koriģē, pamatojoties uz sīkāku informāciju, kas iekļauta katra uzņēmuma finanšu pārskatā</w:t>
            </w:r>
          </w:p>
        </w:tc>
      </w:tr>
    </w:tbl>
    <w:p w14:paraId="387DB46E" w14:textId="77777777" w:rsidR="00975B5E" w:rsidRPr="001F0ECB" w:rsidRDefault="00975B5E" w:rsidP="00975B5E">
      <w:pPr>
        <w:jc w:val="both"/>
        <w:rPr>
          <w:rFonts w:ascii="Times New Roman" w:eastAsia="Calibri" w:hAnsi="Times New Roman" w:cs="Calibri"/>
          <w:noProof/>
          <w:sz w:val="24"/>
          <w:szCs w:val="24"/>
        </w:rPr>
      </w:pPr>
    </w:p>
    <w:p w14:paraId="497FAB90"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33. avots Valsts fondēto pensiju shēmu, ieguldījumu fondu, alternatīvu ieguldījumu fondu pārskati</w:t>
      </w:r>
    </w:p>
    <w:p w14:paraId="41E597B7" w14:textId="77777777" w:rsidR="002672AA" w:rsidRPr="001F0ECB" w:rsidRDefault="002672AA" w:rsidP="00975B5E">
      <w:pPr>
        <w:jc w:val="both"/>
        <w:rPr>
          <w:rFonts w:ascii="Times New Roman" w:eastAsia="Calibri" w:hAnsi="Times New Roman" w:cs="Calibri"/>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21CA1F3"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FFA309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5C277E1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Valsts fondēto pensiju shēmu, ieguldījumu fondu, alternatīvu ieguldījumu fondu ieņēmumu un izdevumu pārskati</w:t>
            </w:r>
          </w:p>
        </w:tc>
      </w:tr>
      <w:tr w:rsidR="001F0ECB" w:rsidRPr="001F0ECB" w14:paraId="519E56D5"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F7DDB9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2A5D1FE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040007C1"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27608C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453B037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649966EC"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0363AB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0B76B8B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50. dienā pēc pārskata perioda beigām</w:t>
            </w:r>
          </w:p>
        </w:tc>
      </w:tr>
      <w:tr w:rsidR="001F0ECB" w:rsidRPr="001F0ECB" w14:paraId="3E4C77D5"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C0E642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7F24B54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Atlīdzība līdzekļu pārvaldītājam, atlīdzība turētājbankai un pārējie ieguldījumu plāna/fonda pārvaldes izdevumi.</w:t>
            </w:r>
          </w:p>
        </w:tc>
      </w:tr>
    </w:tbl>
    <w:p w14:paraId="169E0205" w14:textId="77777777" w:rsidR="002672AA" w:rsidRPr="001F0ECB" w:rsidRDefault="002672AA" w:rsidP="00975B5E">
      <w:pPr>
        <w:jc w:val="both"/>
        <w:rPr>
          <w:rFonts w:ascii="Times New Roman" w:eastAsia="Calibri" w:hAnsi="Times New Roman" w:cs="Calibri"/>
          <w:b/>
          <w:bCs/>
          <w:noProof/>
          <w:sz w:val="24"/>
        </w:rPr>
      </w:pPr>
    </w:p>
    <w:p w14:paraId="46C032E9"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34. avots Ieguldījumu pārvaldes sabiedrības un alternatīvo ieguldījumu fondu pārvaldītāji</w:t>
      </w:r>
    </w:p>
    <w:p w14:paraId="566DFE38"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D718E99"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4BE818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B7D354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Ieguldījumu pārvaldes sabiedrību un alternatīvo ieguldījumu fondu pārvaldītāju peļņas vai zaudējumu aprēķins</w:t>
            </w:r>
          </w:p>
        </w:tc>
      </w:tr>
      <w:tr w:rsidR="001F0ECB" w:rsidRPr="001F0ECB" w14:paraId="1BC892AA"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878916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146FB03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50A7FA94"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8AF455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7703322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2AE25443"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744D5B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06C767B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50. dienā pēc pārskata perioda beigām</w:t>
            </w:r>
          </w:p>
        </w:tc>
      </w:tr>
      <w:tr w:rsidR="001F0ECB" w:rsidRPr="001F0ECB" w14:paraId="457BA65E"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7C7491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434B940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naudas ienākumi, pārējie ienākumi, komisijas naudas izdevumi, pārējie izdevumi</w:t>
            </w:r>
          </w:p>
        </w:tc>
      </w:tr>
    </w:tbl>
    <w:p w14:paraId="33AA305A" w14:textId="77777777" w:rsidR="00975B5E" w:rsidRPr="001F0ECB" w:rsidRDefault="00975B5E" w:rsidP="00975B5E">
      <w:pPr>
        <w:jc w:val="both"/>
        <w:rPr>
          <w:rFonts w:ascii="Times New Roman" w:eastAsia="Calibri" w:hAnsi="Times New Roman" w:cs="Calibri"/>
          <w:noProof/>
          <w:sz w:val="24"/>
          <w:szCs w:val="24"/>
        </w:rPr>
      </w:pPr>
    </w:p>
    <w:p w14:paraId="230DBC1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35. avots Ieguldījumu brokeru sabiedrības</w:t>
      </w:r>
    </w:p>
    <w:p w14:paraId="60F6B96A"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1DBF9355"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43414A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D08981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Ieguldījumu brokeru sabiedrību peļņas vai zaudējumu aprēķina kopsavilkums</w:t>
            </w:r>
          </w:p>
        </w:tc>
      </w:tr>
      <w:tr w:rsidR="001F0ECB" w:rsidRPr="001F0ECB" w14:paraId="719F2988"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983E9B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4A9D00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Apsekojumu veic saskaņā ar valsts tiesību aktiem</w:t>
            </w:r>
          </w:p>
        </w:tc>
      </w:tr>
      <w:tr w:rsidR="001F0ECB" w:rsidRPr="001F0ECB" w14:paraId="534C1033"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2094A0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396ADA7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7146BCEC"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81666D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E75338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50. dienā pēc pārskata perioda beigām</w:t>
            </w:r>
          </w:p>
        </w:tc>
      </w:tr>
      <w:tr w:rsidR="001F0ECB" w:rsidRPr="001F0ECB" w14:paraId="7815E04D"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1CAA5B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645352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naudas un citi līdzīgi ienākumi un izdevumi, finanšu instrumentu tirdzniecības darījumu peļņa vai zaudējumi, citi parastie ienākumi un izdevumi, pārējie administratīvie izdevumi</w:t>
            </w:r>
          </w:p>
        </w:tc>
      </w:tr>
    </w:tbl>
    <w:p w14:paraId="7A4AEBD2" w14:textId="77777777" w:rsidR="002672AA" w:rsidRPr="001F0ECB" w:rsidRDefault="002672AA" w:rsidP="00975B5E">
      <w:pPr>
        <w:jc w:val="both"/>
        <w:rPr>
          <w:rFonts w:ascii="Times New Roman" w:eastAsia="Calibri" w:hAnsi="Times New Roman" w:cs="Calibri"/>
          <w:b/>
          <w:bCs/>
          <w:noProof/>
          <w:sz w:val="24"/>
        </w:rPr>
      </w:pPr>
    </w:p>
    <w:p w14:paraId="2745CF40"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36. avots To uzņēmumu finanšu aktīvi un saistības, kas iedalīti S.13 sektorā</w:t>
      </w:r>
    </w:p>
    <w:p w14:paraId="3C2C9CBF"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72FCB42D"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68624B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333AD4A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Finanšu aktīvi un pasīvi (2-FAP)</w:t>
            </w:r>
          </w:p>
        </w:tc>
      </w:tr>
      <w:tr w:rsidR="001F0ECB" w:rsidRPr="001F0ECB" w14:paraId="47860F3A"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399145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02AD258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Apsekojums tiek veikts saskaņā ar Eiropas Parlamenta un Padomes 2013. gada 21. maija Regulu (ES) Nr. 549/2013 par Eiropas </w:t>
            </w:r>
            <w:r>
              <w:rPr>
                <w:rFonts w:ascii="Times New Roman" w:hAnsi="Times New Roman"/>
                <w:sz w:val="24"/>
              </w:rPr>
              <w:lastRenderedPageBreak/>
              <w:t>nacionālo un reģionālo kontu sistēmu Eiropas Savienībā (Dokuments attiecas uz EEZ).</w:t>
            </w:r>
          </w:p>
        </w:tc>
      </w:tr>
      <w:tr w:rsidR="001F0ECB" w:rsidRPr="001F0ECB" w14:paraId="1E84250F"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D02F3B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lastRenderedPageBreak/>
              <w:t>Regularitāte</w:t>
            </w:r>
          </w:p>
        </w:tc>
        <w:tc>
          <w:tcPr>
            <w:tcW w:w="3587" w:type="pct"/>
            <w:tcBorders>
              <w:top w:val="single" w:sz="5" w:space="0" w:color="000000"/>
              <w:left w:val="single" w:sz="5" w:space="0" w:color="000000"/>
              <w:bottom w:val="single" w:sz="5" w:space="0" w:color="000000"/>
              <w:right w:val="single" w:sz="5" w:space="0" w:color="000000"/>
            </w:tcBorders>
          </w:tcPr>
          <w:p w14:paraId="754CCDE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771796CF"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E8E79F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4AE966B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55. dienā pēc pārskata perioda beigām</w:t>
            </w:r>
          </w:p>
        </w:tc>
      </w:tr>
      <w:tr w:rsidR="001F0ECB" w:rsidRPr="001F0ECB" w14:paraId="661D19A6"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F0172D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59F94D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Ražošanas izmaksas, pārdošanas izmaksas, administrācijas izmaksas, materiālu izmaksas par produktiem, ko pārdod uzņēmumi, kuri iedalīti valdības sektorā</w:t>
            </w:r>
          </w:p>
        </w:tc>
      </w:tr>
    </w:tbl>
    <w:p w14:paraId="056DDB96" w14:textId="77777777" w:rsidR="00975B5E" w:rsidRPr="001F0ECB" w:rsidRDefault="00975B5E" w:rsidP="00975B5E">
      <w:pPr>
        <w:jc w:val="both"/>
        <w:rPr>
          <w:rFonts w:ascii="Times New Roman" w:eastAsia="Calibri" w:hAnsi="Times New Roman" w:cs="Calibri"/>
          <w:noProof/>
          <w:sz w:val="24"/>
          <w:szCs w:val="24"/>
        </w:rPr>
      </w:pPr>
    </w:p>
    <w:p w14:paraId="628DBAA5"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37. avots Vispārējās valdības konsolidētā budžeta izpilde</w:t>
      </w:r>
    </w:p>
    <w:p w14:paraId="723E2BC6"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2A9F0878"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62230F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78BDF64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Ziņojumi par vispārējās valdības konsolidētā budžeta izpildi; pārskats par budžeta izpildi</w:t>
            </w:r>
          </w:p>
        </w:tc>
      </w:tr>
      <w:tr w:rsidR="001F0ECB" w:rsidRPr="001F0ECB" w14:paraId="33C9C7A7"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214C06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Organizācija, kas vāc datus</w:t>
            </w:r>
          </w:p>
        </w:tc>
        <w:tc>
          <w:tcPr>
            <w:tcW w:w="3587" w:type="pct"/>
            <w:tcBorders>
              <w:top w:val="single" w:sz="5" w:space="0" w:color="000000"/>
              <w:left w:val="single" w:sz="5" w:space="0" w:color="000000"/>
              <w:bottom w:val="single" w:sz="5" w:space="0" w:color="000000"/>
              <w:right w:val="single" w:sz="5" w:space="0" w:color="000000"/>
            </w:tcBorders>
          </w:tcPr>
          <w:p w14:paraId="612717D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Valsts kase</w:t>
            </w:r>
          </w:p>
        </w:tc>
      </w:tr>
      <w:tr w:rsidR="001F0ECB" w:rsidRPr="001F0ECB" w14:paraId="36194D06"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EFD2EE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31FC461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08067726"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3ACBE4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150BFD70"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Dati ir pieejami 15. dienā pēc pārskata perioda beigām, nodokļu koriģēšana no naudas plūsmas datiem uz uzkrājuma datiem – 60. dienā pēc ceturkšņa beigām</w:t>
            </w:r>
          </w:p>
        </w:tc>
      </w:tr>
      <w:tr w:rsidR="001F0ECB" w:rsidRPr="001F0ECB" w14:paraId="6E7F3628"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B15AEE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9E3429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Vispārējās valdības izdevumi, ražošanas un importa nodokļi, produktu nodokļi, citi ražošanas nodokļi un subsīdijas</w:t>
            </w:r>
          </w:p>
        </w:tc>
      </w:tr>
      <w:tr w:rsidR="001F0ECB" w:rsidRPr="001F0ECB" w14:paraId="14377E9F"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14D946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3843985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Latvijas Finanšu ministrija koriģē nodokļu ieņēmumu datus, ņemot vērā laika nobīdi</w:t>
            </w:r>
          </w:p>
        </w:tc>
      </w:tr>
    </w:tbl>
    <w:p w14:paraId="300164C4" w14:textId="77777777" w:rsidR="00975B5E" w:rsidRPr="001F0ECB" w:rsidRDefault="00975B5E" w:rsidP="00975B5E">
      <w:pPr>
        <w:jc w:val="both"/>
        <w:rPr>
          <w:rFonts w:ascii="Times New Roman" w:eastAsia="Calibri" w:hAnsi="Times New Roman" w:cs="Calibri"/>
          <w:noProof/>
          <w:sz w:val="24"/>
          <w:szCs w:val="24"/>
        </w:rPr>
      </w:pPr>
    </w:p>
    <w:p w14:paraId="40838639"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38. avots Pārskats par darbu</w:t>
      </w:r>
    </w:p>
    <w:p w14:paraId="10C11C71" w14:textId="77777777" w:rsidR="00054450" w:rsidRDefault="00054450" w:rsidP="00975B5E">
      <w:pPr>
        <w:pStyle w:val="BodyText"/>
        <w:spacing w:before="0"/>
        <w:ind w:left="0"/>
        <w:jc w:val="both"/>
        <w:rPr>
          <w:rFonts w:ascii="Times New Roman" w:hAnsi="Times New Roman"/>
          <w:noProof/>
        </w:rPr>
      </w:pPr>
    </w:p>
    <w:p w14:paraId="5B6CC575"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Reizi ceturksnī iegūst informāciju par komersantu, valsts un pašvaldību budžeta iestāžu, nodibinājumu, biedrību un fondu darbību (2-darbs, 2-darbs-pašvaldības, 2-darbs (īsā)) un administratīvajiem datiem. Individuālie komersanti, nodibinājumi, biedrības un fondi, kas nodarbina 7–49 personas, iesniedz statistikas pārskata veidlapu 2-darbs (īsā). Veidlapu 2-darbs-pašvaldības iesniedz pašvaldības un pašvaldību iestādes. Visas citas izlasē iekļautās statistikas vienības iesniedz statistikas pārskata veidlapu 2-darbs. Administratīvos datus iegūst no tiem pārskatiem par darbiniekiem, kurus darba devēji ir iesnieguši Valsts ieņēmumu dienestā, no ziņojuma par valsts sociālās apdrošināšanas obligātajām iemaksām no darbinieku ienākumiem, ienākuma nodokļa un uzņēmējdarbības riska valsts nodevas pārskata mēnesī, no algas ienākumu pārskata, sezonas laukstrādnieku ienākuma nodokļa maksātāju ienākuma nodokļa un valsts sociālās apdrošināšanas obligātajām iemaksām, kā arī mikrouzņēmumu nodokļa deklarācijas. Aptauja aptver visas pārskata gadā ekonomiski aktīvās statistikas vienības (valsts un pašvaldību budžeta iestādes, valsts un pašvaldību komersantus, privātās komercsabiedrības, individuālos komersantus, zemnieku un zvejnieku saimniecības, kas nodarbina 50 un vairāk personas, nodibinājumus, biedrības un fondus, kas nodarbina vienu un vairākas personas).</w:t>
      </w:r>
    </w:p>
    <w:p w14:paraId="76E0125C"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259B7044"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D2D531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1ED9D3B4"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darbu (2-darbs, 2-darbs (īsā), 2-darbs-pašvaldības)</w:t>
            </w:r>
          </w:p>
        </w:tc>
      </w:tr>
      <w:tr w:rsidR="001F0ECB" w:rsidRPr="001F0ECB" w14:paraId="55B00BC9"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72EAC4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49510B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Komisijas 2012. gada 31. maija Regula (ES) Nr. 461/2012, ar ko groza Padomes Regulu (EK) Nr. 1165/98 par īstermiņa statistiku </w:t>
            </w:r>
            <w:r>
              <w:rPr>
                <w:rFonts w:ascii="Times New Roman" w:hAnsi="Times New Roman"/>
                <w:sz w:val="24"/>
              </w:rPr>
              <w:lastRenderedPageBreak/>
              <w:t>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3E311377"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DC0F1C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lastRenderedPageBreak/>
              <w:t>Regularitāte</w:t>
            </w:r>
          </w:p>
        </w:tc>
        <w:tc>
          <w:tcPr>
            <w:tcW w:w="3587" w:type="pct"/>
            <w:tcBorders>
              <w:top w:val="single" w:sz="5" w:space="0" w:color="000000"/>
              <w:left w:val="single" w:sz="5" w:space="0" w:color="000000"/>
              <w:bottom w:val="single" w:sz="5" w:space="0" w:color="000000"/>
              <w:right w:val="single" w:sz="5" w:space="0" w:color="000000"/>
            </w:tcBorders>
          </w:tcPr>
          <w:p w14:paraId="4E08AF1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A33D068"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BC4927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3F34086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55. dienā pēc pārskata perioda beigām</w:t>
            </w:r>
          </w:p>
        </w:tc>
      </w:tr>
      <w:tr w:rsidR="001F0ECB" w:rsidRPr="001F0ECB" w14:paraId="56383090" w14:textId="77777777" w:rsidTr="006B3CD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0CEEFF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DD8837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Darba tirgus statistikas datu – aprēķinātās bruto darba algas, darbnespējas lapas A maksājumi, bruto mēneša algas un algas natūrā, darba devēju brīvprātīgās sociālās apdrošināšanas iemaksas, kas tiek maksātas par darbiniekiem, darba devēja pabalsti un kompensācijas, ko darbiniekiem maksā reizi ceturksnī, aprēķinātie bruto atlaišanas pabalsti, darba algas, darba devēja sociālās apdrošināšanas obligātās iemaksas</w:t>
            </w:r>
          </w:p>
        </w:tc>
      </w:tr>
    </w:tbl>
    <w:p w14:paraId="44ABF754" w14:textId="77777777" w:rsidR="00975B5E" w:rsidRPr="001F0ECB" w:rsidRDefault="00975B5E" w:rsidP="00975B5E">
      <w:pPr>
        <w:jc w:val="both"/>
        <w:rPr>
          <w:rFonts w:ascii="Times New Roman" w:eastAsia="Calibri" w:hAnsi="Times New Roman" w:cs="Calibri"/>
          <w:noProof/>
          <w:sz w:val="24"/>
          <w:szCs w:val="24"/>
        </w:rPr>
      </w:pPr>
    </w:p>
    <w:p w14:paraId="143C2464"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39. avots Darbaspēka apsekojums</w:t>
      </w:r>
    </w:p>
    <w:p w14:paraId="624CBFC2" w14:textId="77777777" w:rsidR="00054450" w:rsidRDefault="00054450" w:rsidP="00975B5E">
      <w:pPr>
        <w:pStyle w:val="BodyText"/>
        <w:spacing w:before="0"/>
        <w:ind w:left="0"/>
        <w:jc w:val="both"/>
        <w:rPr>
          <w:rFonts w:ascii="Times New Roman" w:hAnsi="Times New Roman"/>
          <w:noProof/>
        </w:rPr>
      </w:pPr>
    </w:p>
    <w:p w14:paraId="35654E7E"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Informāciju par Latvijas iedzīvotāju darba statusu (nodarbinātību un bezdarbu) iegūst no Latvijas nepārtrauktā Darbaspēka izlases veida apsekojuma. Darbaspēka apsekojuma mērķis ir iegūt informāciju par Latvijas iedzīvotāju darba statusu – raksturot darbaspēku pēc dzimuma, vecuma, izglītības līmeņa, kā arī apkopot datus par saimnieciskās darbības veidiem, profesijām pašreizējā darbavietā (nodarbinātajiem) vai pēdējā darbavietā (bezdarbniekiem) un citus rādītājus par darba tirgu.</w:t>
      </w:r>
    </w:p>
    <w:p w14:paraId="0A810986"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CAA65C4"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35713A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E9A9DF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Darbaspēka apsekojums (1-DSP)</w:t>
            </w:r>
          </w:p>
        </w:tc>
      </w:tr>
      <w:tr w:rsidR="001F0ECB" w:rsidRPr="001F0ECB" w14:paraId="668D3FE5"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00EFF0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2A5A557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2003. gada 25. novembra Regula (EK) Nr. 2257/2003, ar ko groza Padomes Regulu (EK) Nr. 577/98 par darbaspēka izlases veida apsekojuma organizēšanu Kopienā, lai pielāgotu apsekojuma mainīgos lielumus (Dokuments attiecas uz EEZ)</w:t>
            </w:r>
          </w:p>
        </w:tc>
      </w:tr>
      <w:tr w:rsidR="001F0ECB" w:rsidRPr="001F0ECB" w14:paraId="3D5DE2FE"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3D91E9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4B775DF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nedēļā</w:t>
            </w:r>
          </w:p>
        </w:tc>
      </w:tr>
      <w:tr w:rsidR="001F0ECB" w:rsidRPr="001F0ECB" w14:paraId="755394BB"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5D9FE9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2707E7C7"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Par 1. un 4. gada ceturksni dati ir pieejami 55. dienā pēc pārskata perioda beigām, bet par 2. un 3. ceturksni – 50. dienā pēc pārskata perioda</w:t>
            </w:r>
          </w:p>
        </w:tc>
      </w:tr>
      <w:tr w:rsidR="001F0ECB" w:rsidRPr="001F0ECB" w14:paraId="2E637885"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27DC92A"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4E9B143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par darba attiecībām, nodarbinātību un nostrādātajām stundām, blakusdarbu un darba laika rezervi</w:t>
            </w:r>
          </w:p>
        </w:tc>
      </w:tr>
    </w:tbl>
    <w:p w14:paraId="3913476E" w14:textId="77777777" w:rsidR="00975B5E" w:rsidRPr="001F0ECB" w:rsidRDefault="00975B5E" w:rsidP="00975B5E">
      <w:pPr>
        <w:jc w:val="both"/>
        <w:rPr>
          <w:rFonts w:ascii="Times New Roman" w:eastAsia="Calibri" w:hAnsi="Times New Roman" w:cs="Calibri"/>
          <w:noProof/>
          <w:sz w:val="24"/>
          <w:szCs w:val="24"/>
        </w:rPr>
      </w:pPr>
    </w:p>
    <w:p w14:paraId="33A81AE2"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40. avots Mājsaimniecību budžeta apsekojums</w:t>
      </w:r>
    </w:p>
    <w:p w14:paraId="531C145C" w14:textId="77777777" w:rsidR="00054450" w:rsidRDefault="00054450" w:rsidP="00975B5E">
      <w:pPr>
        <w:pStyle w:val="BodyText"/>
        <w:spacing w:before="0"/>
        <w:ind w:left="0"/>
        <w:jc w:val="both"/>
        <w:rPr>
          <w:rFonts w:ascii="Times New Roman" w:hAnsi="Times New Roman"/>
          <w:noProof/>
        </w:rPr>
      </w:pPr>
    </w:p>
    <w:p w14:paraId="7745F977"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Datus par mājsaimniecību izdevumiem reizi ceturksnī apkopo 12 galvenajās </w:t>
      </w:r>
      <w:r>
        <w:rPr>
          <w:rFonts w:ascii="Times New Roman" w:hAnsi="Times New Roman"/>
          <w:i/>
          <w:iCs/>
        </w:rPr>
        <w:t>ECOICOP</w:t>
      </w:r>
      <w:r>
        <w:rPr>
          <w:rFonts w:ascii="Times New Roman" w:hAnsi="Times New Roman"/>
        </w:rPr>
        <w:t xml:space="preserve"> grupās divu zīmju līmenī, bet piecu ciparu un detalizētākā līmenī – 6. mēnesī pēc kalendārā gada. Apsekojuma izlase ir veidota kā divpakāpju stratificēta izlase. Pirmajā posmā tiek izveidota stratificēta sistemātiska izlase, kur iekļaušanas varbūtība ir proporcionāla vienības lielumam, un otrajā posmā tiek veikta vienkārša izlase pēc nejaušības principa. Izlases kopa nodrošina informāciju par Latvijas Republikas pilsoņiem, kas ir likumīgi reģistrēti mājoklī, kā arī par viņu dzimumu, vecumu un tautību. Izlases kopu izstrādā reizi ceturksnī. Gada adrešu izlase tiek vienmērīgi sadalīta laikā (katrā no 52 gada nedēļām tiek apsekots vienāds adrešu skaits) un telpā. Apsekojumā netiek ietvertas kolektīvās mājsaimniecības (veco ļaužu </w:t>
      </w:r>
      <w:r>
        <w:rPr>
          <w:rFonts w:ascii="Times New Roman" w:hAnsi="Times New Roman"/>
        </w:rPr>
        <w:lastRenderedPageBreak/>
        <w:t>pansionāti, bērnu invalīdu internāti, studentu kopmītnes, viesnīcas, kazarmas, slimnīcas, sanatorijas, cietumi u. tml.).</w:t>
      </w:r>
    </w:p>
    <w:p w14:paraId="52804796"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2B44E9F5"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E471AF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28E3190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Mājsaimniecību budžeta apsekojums</w:t>
            </w:r>
          </w:p>
        </w:tc>
      </w:tr>
      <w:tr w:rsidR="001F0ECB" w:rsidRPr="001F0ECB" w14:paraId="19D13A20"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DD0148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02AF4AB2" w14:textId="4CE4C973" w:rsidR="002672AA" w:rsidRPr="00054450" w:rsidRDefault="00080696" w:rsidP="00975B5E">
            <w:pPr>
              <w:pStyle w:val="TableParagraph"/>
              <w:jc w:val="both"/>
              <w:rPr>
                <w:rFonts w:ascii="Times New Roman" w:eastAsia="Calibri" w:hAnsi="Times New Roman" w:cs="Calibri"/>
                <w:noProof/>
                <w:sz w:val="24"/>
                <w:szCs w:val="24"/>
                <w:u w:val="single"/>
              </w:rPr>
            </w:pPr>
            <w:hyperlink r:id="rId31" w:history="1">
              <w:r w:rsidR="00801870" w:rsidRPr="00512AD6">
                <w:rPr>
                  <w:rStyle w:val="Hyperlink"/>
                  <w:rFonts w:ascii="Times New Roman" w:hAnsi="Times New Roman"/>
                  <w:sz w:val="24"/>
                </w:rPr>
                <w:t>https://ec.europa.eu/eurostat/web/household-budget-surveys</w:t>
              </w:r>
            </w:hyperlink>
          </w:p>
        </w:tc>
      </w:tr>
      <w:tr w:rsidR="001F0ECB" w:rsidRPr="001F0ECB" w14:paraId="292898E8"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AAF9E9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0E63E3D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trijos gados</w:t>
            </w:r>
          </w:p>
        </w:tc>
      </w:tr>
      <w:tr w:rsidR="001F0ECB" w:rsidRPr="001F0ECB" w14:paraId="44E9B384"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57EC20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3AE6D79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Reizi ceturksnī apkopo datus 12 galvenajās </w:t>
            </w:r>
            <w:r>
              <w:rPr>
                <w:rFonts w:ascii="Times New Roman" w:hAnsi="Times New Roman"/>
                <w:i/>
                <w:iCs/>
                <w:sz w:val="24"/>
              </w:rPr>
              <w:t>ECOICOP</w:t>
            </w:r>
            <w:r>
              <w:rPr>
                <w:rFonts w:ascii="Times New Roman" w:hAnsi="Times New Roman"/>
                <w:sz w:val="24"/>
              </w:rPr>
              <w:t xml:space="preserve"> grupās divu zīmju līmenī, un tie ir pieejami 58. dienā pēc pārskata perioda, bet piecu ciparu un detalizētākā līmenī – 6. mēnesī pēc kalendārā gada</w:t>
            </w:r>
          </w:p>
        </w:tc>
      </w:tr>
      <w:tr w:rsidR="001F0ECB" w:rsidRPr="001F0ECB" w14:paraId="060AE8C8"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498ABD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006201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Dati par mājsaimniecību izdevumiem 12 galvenajās </w:t>
            </w:r>
            <w:r>
              <w:rPr>
                <w:rFonts w:ascii="Times New Roman" w:hAnsi="Times New Roman"/>
                <w:i/>
                <w:iCs/>
                <w:sz w:val="24"/>
              </w:rPr>
              <w:t>ECOICOP</w:t>
            </w:r>
            <w:r>
              <w:rPr>
                <w:rFonts w:ascii="Times New Roman" w:hAnsi="Times New Roman"/>
                <w:sz w:val="24"/>
              </w:rPr>
              <w:t xml:space="preserve"> grupās divu zīmju līmenī</w:t>
            </w:r>
          </w:p>
        </w:tc>
      </w:tr>
      <w:tr w:rsidR="001F0ECB" w:rsidRPr="001F0ECB" w14:paraId="2A0BE497" w14:textId="77777777" w:rsidTr="000F7B2F">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B90F7E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3382553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tiek apkopoti, veicot nerespondences korekciju, un salīdzināti ar citu būtisku statistiku (piemēram, mazumtirdzniecības ceturkšņa statistiku, darba algām) un iepriekšējām MBA laikrindām.</w:t>
            </w:r>
          </w:p>
        </w:tc>
      </w:tr>
    </w:tbl>
    <w:p w14:paraId="254D44E1" w14:textId="77777777" w:rsidR="00975B5E" w:rsidRPr="001F0ECB" w:rsidRDefault="00975B5E" w:rsidP="00975B5E">
      <w:pPr>
        <w:jc w:val="both"/>
        <w:rPr>
          <w:rFonts w:ascii="Times New Roman" w:eastAsia="Calibri" w:hAnsi="Times New Roman" w:cs="Calibri"/>
          <w:noProof/>
          <w:sz w:val="24"/>
          <w:szCs w:val="24"/>
        </w:rPr>
      </w:pPr>
    </w:p>
    <w:p w14:paraId="20584548"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41. avots Bruto kapitālieguldījumi</w:t>
      </w:r>
    </w:p>
    <w:p w14:paraId="756690F4" w14:textId="77777777" w:rsidR="00054450" w:rsidRDefault="00054450" w:rsidP="00975B5E">
      <w:pPr>
        <w:pStyle w:val="BodyText"/>
        <w:spacing w:before="0"/>
        <w:ind w:left="0"/>
        <w:jc w:val="both"/>
        <w:rPr>
          <w:rFonts w:ascii="Times New Roman" w:hAnsi="Times New Roman"/>
          <w:noProof/>
        </w:rPr>
      </w:pPr>
    </w:p>
    <w:p w14:paraId="7AD3CA8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Statistika par bruto kapitālieguldījumiem sniedz informāciju par bruto kapitālieguldījumiem materiālajos pamatlīdzekļos (zemesgabalos, esošajās ēkās un konstrukcijās, ēku būvniecībā un pārbūvē, mašīnās un iekārtās, un pārējos pamatlīdzekļos) un bruto kapitālieguldījumiem koncesijās, patentos, licencēs, preču zīmēs, programmatūras iegādē un citiem nemateriāliem ieguldījumiem.</w:t>
      </w:r>
    </w:p>
    <w:p w14:paraId="2A0CF6C2"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281DCD2D" w14:textId="77777777" w:rsidTr="007804B2">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E632AF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4D754D2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ieguldījumiem (6-ieguldījumi)</w:t>
            </w:r>
          </w:p>
        </w:tc>
      </w:tr>
      <w:tr w:rsidR="001F0ECB" w:rsidRPr="001F0ECB" w14:paraId="301A5998" w14:textId="77777777" w:rsidTr="007804B2">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A55026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A4AE99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2013. gada 21. maija Regula (ES) Nr. 549/2013 par Eiropas nacionālo un reģionālo kontu sistēmu Eiropas Savienībā (Dokuments attiecas uz EEZ)</w:t>
            </w:r>
          </w:p>
          <w:p w14:paraId="36EFFF1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2008. gada 11. marta Regula (EK) Nr. 295/2008 par uzņēmējdarbības strukturālo statistiku (pārstrādāta versija) (Dokuments attiecas uz EEZ)</w:t>
            </w:r>
          </w:p>
        </w:tc>
      </w:tr>
      <w:tr w:rsidR="001F0ECB" w:rsidRPr="001F0ECB" w14:paraId="5310D794" w14:textId="77777777" w:rsidTr="007804B2">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DEBEB3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5EAAA1D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48142FA9" w14:textId="77777777" w:rsidTr="007804B2">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82B345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3C84A75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55. dienā pēc pārskata perioda</w:t>
            </w:r>
          </w:p>
        </w:tc>
      </w:tr>
      <w:tr w:rsidR="001F0ECB" w:rsidRPr="001F0ECB" w14:paraId="41BAC354" w14:textId="77777777" w:rsidTr="007804B2">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97540A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323F4EB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par bruto pamatkapitāla veidošanu sadaļā AN_F6 – pamatlīdzekļu sadalījums</w:t>
            </w:r>
          </w:p>
        </w:tc>
      </w:tr>
      <w:tr w:rsidR="001F0ECB" w:rsidRPr="001F0ECB" w14:paraId="11420DFE" w14:textId="77777777" w:rsidTr="007804B2">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4E43DF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332AEFE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Datus pielāgo saskaņā ar NK ietverto BPKV jēdzienu</w:t>
            </w:r>
          </w:p>
        </w:tc>
      </w:tr>
    </w:tbl>
    <w:p w14:paraId="2E1F8F08" w14:textId="77777777" w:rsidR="00975B5E" w:rsidRPr="001F0ECB" w:rsidRDefault="00975B5E" w:rsidP="00975B5E">
      <w:pPr>
        <w:jc w:val="both"/>
        <w:rPr>
          <w:rFonts w:ascii="Times New Roman" w:eastAsia="Calibri" w:hAnsi="Times New Roman" w:cs="Calibri"/>
          <w:noProof/>
          <w:sz w:val="24"/>
          <w:szCs w:val="24"/>
        </w:rPr>
      </w:pPr>
    </w:p>
    <w:p w14:paraId="0BBF03D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42. avots Patēriņa cenu indekss</w:t>
      </w:r>
    </w:p>
    <w:p w14:paraId="3A042CF2" w14:textId="77777777" w:rsidR="00054450" w:rsidRDefault="00054450" w:rsidP="00975B5E">
      <w:pPr>
        <w:pStyle w:val="BodyText"/>
        <w:spacing w:before="0"/>
        <w:ind w:left="0"/>
        <w:jc w:val="both"/>
        <w:rPr>
          <w:rFonts w:ascii="Times New Roman" w:hAnsi="Times New Roman"/>
          <w:noProof/>
        </w:rPr>
      </w:pPr>
    </w:p>
    <w:p w14:paraId="4D3D1CD3"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 xml:space="preserve">Patēriņa cenu indekss (PCI) atspoguļo patēriņa preču un pakalpojumu cenu pārmaiņas noteiktā periodā. PCI mēra vidējā cenu līmeņa izmaiņas iedzīvotāju patēriņā fiksētam nozīmīgāko preču un pakalpojumu daudzumam (patēriņa grozam). Latvijā šis indekss tiek lietots kā galvenais inflācijas rādītājs. PCI aptver visus valsts iedzīvotājus, ieskaitot personas, kas dzīvo institucionālās mājsaimniecībās (sociālās aprūpes iestādēs, bērnu namos, cietumos utt.). PCI neietver ceļotāju nerezidentu izdevumus. PCI ietver to preču un pakalpojumu cenas, </w:t>
      </w:r>
      <w:r>
        <w:rPr>
          <w:rFonts w:ascii="Times New Roman" w:hAnsi="Times New Roman"/>
        </w:rPr>
        <w:lastRenderedPageBreak/>
        <w:t>par ko ir veikta samaksa naudā. PCI neietver nelikumīgas preces un pakalpojumus, dāvanas, izdevumus par īpašnieku apdzīvotu mājokli, kā arī procentus un kredīta izmaksas. 2019. gadā PCI “grozā” bija 516 preces un pakalpojumi, kuru cenas tika regulāri reģistrētas. Tika apsekoti aptuveni 25 tūkstoši dažādu tirdzniecības un pakalpojumu sniegšanas vietu. Kopumā katru mēnesi tiek novērots aptuveni 20 tūkstoši cenu.</w:t>
      </w:r>
    </w:p>
    <w:p w14:paraId="3C87AD7C"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04F57A66" w14:textId="77777777" w:rsidTr="0094007E">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C1737ED"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61C95CA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Patēriņa cenu indeksi</w:t>
            </w:r>
          </w:p>
        </w:tc>
      </w:tr>
      <w:tr w:rsidR="001F0ECB" w:rsidRPr="001F0ECB" w14:paraId="59E88B15" w14:textId="77777777" w:rsidTr="0094007E">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8653FD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F4F226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Eiropas Parlamenta un Padomes 2016. gada 11. maija Regula (ES) 2016/792 par saskaņotajiem patēriņa cenu indeksiem un mājokļu cenu indeksu un ar ko atceļ Padomes Regulu (EK) Nr. 2494/95 (Dokuments attiecas uz EEZ)</w:t>
            </w:r>
          </w:p>
        </w:tc>
      </w:tr>
      <w:tr w:rsidR="001F0ECB" w:rsidRPr="001F0ECB" w14:paraId="12F64F40" w14:textId="77777777" w:rsidTr="0094007E">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92C9C8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4F7D3F6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1E2BF795" w14:textId="77777777" w:rsidTr="0094007E">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E4B154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717B31A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22. dienā pēc pārskata perioda</w:t>
            </w:r>
          </w:p>
        </w:tc>
      </w:tr>
      <w:tr w:rsidR="001F0ECB" w:rsidRPr="001F0ECB" w14:paraId="153DECB7" w14:textId="77777777" w:rsidTr="0094007E">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7C5DFF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1D2E534A"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Patērētāju cenu indeksi pa 12 galvenajām </w:t>
            </w:r>
            <w:r>
              <w:rPr>
                <w:rFonts w:ascii="Times New Roman" w:hAnsi="Times New Roman"/>
                <w:i/>
                <w:iCs/>
                <w:sz w:val="24"/>
              </w:rPr>
              <w:t>ECOICOP</w:t>
            </w:r>
            <w:r>
              <w:rPr>
                <w:rFonts w:ascii="Times New Roman" w:hAnsi="Times New Roman"/>
                <w:sz w:val="24"/>
              </w:rPr>
              <w:t xml:space="preserve"> grupām un </w:t>
            </w:r>
            <w:r>
              <w:rPr>
                <w:rFonts w:ascii="Times New Roman" w:hAnsi="Times New Roman"/>
                <w:i/>
                <w:iCs/>
                <w:sz w:val="24"/>
              </w:rPr>
              <w:t>NACE</w:t>
            </w:r>
            <w:r>
              <w:rPr>
                <w:rFonts w:ascii="Times New Roman" w:hAnsi="Times New Roman"/>
                <w:sz w:val="24"/>
              </w:rPr>
              <w:t xml:space="preserve"> 2. red.</w:t>
            </w:r>
          </w:p>
        </w:tc>
      </w:tr>
      <w:tr w:rsidR="001F0ECB" w:rsidRPr="001F0ECB" w14:paraId="174B65D4" w14:textId="77777777" w:rsidTr="0094007E">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3AEF01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693E54E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CNK aprēķiniem PCI tiek noteikts, veicot salīdzinājumu ar iepriekšējā gada vidējo rādītāju un katrai </w:t>
            </w:r>
            <w:r>
              <w:rPr>
                <w:rFonts w:ascii="Times New Roman" w:hAnsi="Times New Roman"/>
                <w:i/>
                <w:iCs/>
                <w:sz w:val="24"/>
              </w:rPr>
              <w:t>NACE</w:t>
            </w:r>
            <w:r>
              <w:rPr>
                <w:rFonts w:ascii="Times New Roman" w:hAnsi="Times New Roman"/>
                <w:sz w:val="24"/>
              </w:rPr>
              <w:t xml:space="preserve"> 2. red. nodaļai</w:t>
            </w:r>
          </w:p>
        </w:tc>
      </w:tr>
    </w:tbl>
    <w:p w14:paraId="428E35EE" w14:textId="77777777" w:rsidR="00975B5E" w:rsidRPr="001F0ECB" w:rsidRDefault="00975B5E" w:rsidP="00975B5E">
      <w:pPr>
        <w:jc w:val="both"/>
        <w:rPr>
          <w:rFonts w:ascii="Times New Roman" w:eastAsia="Calibri" w:hAnsi="Times New Roman" w:cs="Calibri"/>
          <w:noProof/>
          <w:sz w:val="24"/>
          <w:szCs w:val="24"/>
        </w:rPr>
      </w:pPr>
    </w:p>
    <w:p w14:paraId="64B7C2FA"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43. avots Būvniecības izmaksu indeksi</w:t>
      </w:r>
    </w:p>
    <w:p w14:paraId="78BFD0A7" w14:textId="77777777" w:rsidR="00054450" w:rsidRDefault="00054450" w:rsidP="00975B5E">
      <w:pPr>
        <w:pStyle w:val="BodyText"/>
        <w:spacing w:before="0"/>
        <w:ind w:left="0"/>
        <w:jc w:val="both"/>
        <w:rPr>
          <w:rFonts w:ascii="Times New Roman" w:hAnsi="Times New Roman"/>
          <w:noProof/>
        </w:rPr>
      </w:pPr>
    </w:p>
    <w:p w14:paraId="71B47CB8" w14:textId="77777777" w:rsidR="002672AA" w:rsidRPr="001F0ECB" w:rsidRDefault="002672AA" w:rsidP="00975B5E">
      <w:pPr>
        <w:pStyle w:val="BodyText"/>
        <w:spacing w:before="0"/>
        <w:ind w:left="0"/>
        <w:jc w:val="both"/>
        <w:rPr>
          <w:rFonts w:ascii="Times New Roman" w:hAnsi="Times New Roman"/>
          <w:noProof/>
        </w:rPr>
      </w:pPr>
      <w:r>
        <w:rPr>
          <w:rFonts w:ascii="Times New Roman" w:hAnsi="Times New Roman"/>
        </w:rPr>
        <w:t>Būvniecības izmaksu indeksu (BII) izmanto, lai aprēķinātu nefinanšu investīcijas un būvdarbu kopējo apjomu salīdzināmās cenās. Būvniecības izmaksu indekss (BII) raksturo veikto būvdarbu izmaksu pārmaiņas pārskata periodā attiecībā pret bāzes periodu. Aprēķinot BII, tiek salīdzinātas izmantoto būvmateriālu cenas, būvniecībā nodarbināto strādnieku darba samaksa un izmaksas būvniecības mašīnu un mehānismu uzturēšanai un ekspluatācijai.</w:t>
      </w:r>
    </w:p>
    <w:p w14:paraId="342187F8" w14:textId="77777777" w:rsidR="002672AA" w:rsidRPr="001F0ECB" w:rsidRDefault="002672AA" w:rsidP="00975B5E">
      <w:pPr>
        <w:jc w:val="both"/>
        <w:rPr>
          <w:rFonts w:ascii="Times New Roman" w:eastAsia="Calibri" w:hAnsi="Times New Roman" w:cs="Calibri"/>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C70A246"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56A08F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4FE5C2D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Pārskats par būvniecības resursu cenām (1-BC)</w:t>
            </w:r>
          </w:p>
        </w:tc>
      </w:tr>
      <w:tr w:rsidR="001F0ECB" w:rsidRPr="001F0ECB" w14:paraId="790063BF"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80E2E0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63095B4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5769E0C7"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EFFA13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4FD91E3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238D36E2"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3E10B3C"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3B78C793"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Dati ir pieejami 19. darbdienā pēc pārskata perioda</w:t>
            </w:r>
          </w:p>
        </w:tc>
      </w:tr>
      <w:tr w:rsidR="001F0ECB" w:rsidRPr="001F0ECB" w14:paraId="05EE05AF"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B7F45D4"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CA6CC07"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Cenu indeksi</w:t>
            </w:r>
          </w:p>
        </w:tc>
      </w:tr>
      <w:tr w:rsidR="001F0ECB" w:rsidRPr="001F0ECB" w14:paraId="0593A071"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75CB59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5AAEF90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CNK aprēķiniem BII tiek noteikts, veicot salīdzinājumu ar iepriekšējā gada vidējo rādītāju</w:t>
            </w:r>
          </w:p>
        </w:tc>
      </w:tr>
    </w:tbl>
    <w:p w14:paraId="0B7EB2F2" w14:textId="77777777" w:rsidR="00975B5E" w:rsidRPr="001F0ECB" w:rsidRDefault="00975B5E" w:rsidP="00975B5E">
      <w:pPr>
        <w:jc w:val="both"/>
        <w:rPr>
          <w:rFonts w:ascii="Times New Roman" w:eastAsia="Calibri" w:hAnsi="Times New Roman" w:cs="Calibri"/>
          <w:noProof/>
          <w:sz w:val="24"/>
          <w:szCs w:val="24"/>
        </w:rPr>
      </w:pPr>
    </w:p>
    <w:p w14:paraId="16A3A19E" w14:textId="77777777" w:rsidR="002672AA" w:rsidRPr="001F0ECB" w:rsidRDefault="002672AA" w:rsidP="00FB4356">
      <w:pPr>
        <w:pStyle w:val="Heading4"/>
        <w:keepNext/>
        <w:spacing w:before="0"/>
        <w:ind w:left="0"/>
        <w:jc w:val="both"/>
        <w:rPr>
          <w:rFonts w:ascii="Times New Roman" w:hAnsi="Times New Roman"/>
          <w:noProof/>
        </w:rPr>
      </w:pPr>
      <w:r>
        <w:rPr>
          <w:rFonts w:ascii="Times New Roman" w:hAnsi="Times New Roman"/>
        </w:rPr>
        <w:lastRenderedPageBreak/>
        <w:t>44. avots Biznesa pakalpojumu cenu indeksi</w:t>
      </w:r>
    </w:p>
    <w:p w14:paraId="1E7BEA9D" w14:textId="77777777" w:rsidR="00054450" w:rsidRDefault="00054450" w:rsidP="00FB4356">
      <w:pPr>
        <w:pStyle w:val="BodyText"/>
        <w:keepNext/>
        <w:spacing w:before="0"/>
        <w:ind w:left="0"/>
        <w:jc w:val="both"/>
        <w:rPr>
          <w:rFonts w:ascii="Times New Roman" w:hAnsi="Times New Roman"/>
          <w:noProof/>
        </w:rPr>
      </w:pPr>
    </w:p>
    <w:p w14:paraId="12E45611" w14:textId="77777777" w:rsidR="002672AA" w:rsidRPr="001F0ECB" w:rsidRDefault="002672AA" w:rsidP="00FB4356">
      <w:pPr>
        <w:pStyle w:val="BodyText"/>
        <w:keepNext/>
        <w:spacing w:before="0"/>
        <w:ind w:left="0"/>
        <w:jc w:val="both"/>
        <w:rPr>
          <w:rFonts w:ascii="Times New Roman" w:hAnsi="Times New Roman"/>
          <w:noProof/>
        </w:rPr>
      </w:pPr>
      <w:r>
        <w:rPr>
          <w:rFonts w:ascii="Times New Roman" w:hAnsi="Times New Roman"/>
        </w:rPr>
        <w:t>Biznesa pakalpojumu cenu indeksus aprēķina, izmantojot vienas stundas darbaspēka izmaksas datus.</w:t>
      </w:r>
    </w:p>
    <w:p w14:paraId="5CC67329" w14:textId="77777777" w:rsidR="002672AA" w:rsidRPr="001F0ECB" w:rsidRDefault="002672AA" w:rsidP="00FB4356">
      <w:pPr>
        <w:keepNext/>
        <w:jc w:val="both"/>
        <w:rPr>
          <w:rFonts w:ascii="Times New Roman" w:eastAsia="Calibri" w:hAnsi="Times New Roman" w:cs="Calibri"/>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4F214B79"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43CD372"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6C88974D"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Pārskats par biznesa pakalpojumu cenām (1-PC)</w:t>
            </w:r>
          </w:p>
        </w:tc>
      </w:tr>
      <w:tr w:rsidR="001F0ECB" w:rsidRPr="001F0ECB" w14:paraId="0DB6E7EF"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B594D61"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3BFA55B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0BDE04AA"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CEC73D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562606C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59AF7C95"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F65AC7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5A967912"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Dati ir pieejami 60. darbdienā pēc pārskata perioda</w:t>
            </w:r>
          </w:p>
        </w:tc>
      </w:tr>
      <w:tr w:rsidR="001F0ECB" w:rsidRPr="001F0ECB" w14:paraId="0F8D7D85"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C4B4030"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2DEA460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Biznesa pakalpojumu cenu indeksi sadalījumā pa </w:t>
            </w:r>
            <w:r>
              <w:rPr>
                <w:rFonts w:ascii="Times New Roman" w:hAnsi="Times New Roman"/>
                <w:i/>
                <w:iCs/>
                <w:sz w:val="24"/>
              </w:rPr>
              <w:t>NACE</w:t>
            </w:r>
            <w:r>
              <w:rPr>
                <w:rFonts w:ascii="Times New Roman" w:hAnsi="Times New Roman"/>
                <w:sz w:val="24"/>
              </w:rPr>
              <w:t xml:space="preserve"> 2. red. nodaļām, sadaļām un klasēm</w:t>
            </w:r>
          </w:p>
        </w:tc>
      </w:tr>
      <w:tr w:rsidR="001F0ECB" w:rsidRPr="001F0ECB" w14:paraId="454A70D5"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2151E4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3F373DCB"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CNK aprēķiniem BPCI tiek noteikts, veicot salīdzinājumu ar iepriekšējā gada vidējo rādītāju</w:t>
            </w:r>
          </w:p>
        </w:tc>
      </w:tr>
    </w:tbl>
    <w:p w14:paraId="53D77E49" w14:textId="77777777" w:rsidR="00975B5E" w:rsidRPr="001F0ECB" w:rsidRDefault="00975B5E" w:rsidP="00975B5E">
      <w:pPr>
        <w:jc w:val="both"/>
        <w:rPr>
          <w:rFonts w:ascii="Times New Roman" w:eastAsia="Calibri" w:hAnsi="Times New Roman" w:cs="Calibri"/>
          <w:noProof/>
          <w:sz w:val="24"/>
          <w:szCs w:val="24"/>
        </w:rPr>
      </w:pPr>
    </w:p>
    <w:p w14:paraId="0D14875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45. avots Importa cenu indeksi</w:t>
      </w:r>
    </w:p>
    <w:p w14:paraId="6799FA9C"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524E3987"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9302E3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686A5510" w14:textId="77777777" w:rsidR="002672AA" w:rsidRPr="001F0ECB" w:rsidRDefault="002672AA" w:rsidP="00975B5E">
            <w:pPr>
              <w:pStyle w:val="TableParagraph"/>
              <w:jc w:val="both"/>
              <w:rPr>
                <w:rFonts w:ascii="Times New Roman" w:eastAsia="Calibri" w:hAnsi="Times New Roman" w:cs="Calibri"/>
                <w:noProof/>
                <w:sz w:val="24"/>
                <w:szCs w:val="24"/>
              </w:rPr>
            </w:pPr>
            <w:r>
              <w:rPr>
                <w:rFonts w:ascii="Times New Roman" w:hAnsi="Times New Roman"/>
                <w:sz w:val="24"/>
              </w:rPr>
              <w:t>Pārskats par importa cenām (1-IC)</w:t>
            </w:r>
          </w:p>
        </w:tc>
      </w:tr>
      <w:tr w:rsidR="001F0ECB" w:rsidRPr="001F0ECB" w14:paraId="7FD35A2D"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E01CD68"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631CEB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mainīgo lielumu svītrošanu (Dokuments attiecas uz EEZ)</w:t>
            </w:r>
          </w:p>
        </w:tc>
      </w:tr>
      <w:tr w:rsidR="001F0ECB" w:rsidRPr="001F0ECB" w14:paraId="59AAFBB4"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A37768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6CCB989F"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394F4735"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0F87109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4B954A46"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45. dienā pēc pārskata perioda</w:t>
            </w:r>
          </w:p>
        </w:tc>
      </w:tr>
      <w:tr w:rsidR="001F0ECB" w:rsidRPr="001F0ECB" w14:paraId="2EC887AA"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316B85AF"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04F464B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Importa cenu indekss (kopējais rādītājs, sadalījumā pa </w:t>
            </w:r>
            <w:r>
              <w:rPr>
                <w:rFonts w:ascii="Times New Roman" w:hAnsi="Times New Roman"/>
                <w:i/>
                <w:iCs/>
                <w:sz w:val="24"/>
              </w:rPr>
              <w:t>CPA</w:t>
            </w:r>
            <w:r>
              <w:rPr>
                <w:rFonts w:ascii="Times New Roman" w:hAnsi="Times New Roman"/>
                <w:sz w:val="24"/>
              </w:rPr>
              <w:t xml:space="preserve"> nodaļām un sadaļām)</w:t>
            </w:r>
          </w:p>
        </w:tc>
      </w:tr>
      <w:tr w:rsidR="001F0ECB" w:rsidRPr="001F0ECB" w14:paraId="4D044CB6"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E094DA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25F5427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CNK aprēķiniem ICI tiek noteikts, veicot salīdzinājumu ar iepriekšējā gada vidējo rādītāju</w:t>
            </w:r>
          </w:p>
        </w:tc>
      </w:tr>
    </w:tbl>
    <w:p w14:paraId="38FFCEC4" w14:textId="77777777" w:rsidR="002672AA" w:rsidRPr="001F0ECB" w:rsidRDefault="002672AA" w:rsidP="00975B5E">
      <w:pPr>
        <w:jc w:val="both"/>
        <w:rPr>
          <w:rFonts w:ascii="Times New Roman" w:eastAsia="Calibri" w:hAnsi="Times New Roman" w:cs="Calibri"/>
          <w:b/>
          <w:bCs/>
          <w:noProof/>
          <w:sz w:val="24"/>
        </w:rPr>
      </w:pPr>
    </w:p>
    <w:p w14:paraId="48ABF737"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46. avots Eksporta vienības vērtības indekss</w:t>
      </w:r>
    </w:p>
    <w:p w14:paraId="0837D3CC"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61EE7C56"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60C4F24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7E8F7E55"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Eksporta vienības vērtības indekss</w:t>
            </w:r>
          </w:p>
        </w:tc>
      </w:tr>
      <w:tr w:rsidR="001F0ECB" w:rsidRPr="001F0ECB" w14:paraId="61FF6AA6"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524DA0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Saikne ar Eiropas līmenī veiktajiem apsekojumiem</w:t>
            </w:r>
          </w:p>
        </w:tc>
        <w:tc>
          <w:tcPr>
            <w:tcW w:w="3587" w:type="pct"/>
            <w:tcBorders>
              <w:top w:val="single" w:sz="5" w:space="0" w:color="000000"/>
              <w:left w:val="single" w:sz="5" w:space="0" w:color="000000"/>
              <w:bottom w:val="single" w:sz="5" w:space="0" w:color="000000"/>
              <w:right w:val="single" w:sz="5" w:space="0" w:color="000000"/>
            </w:tcBorders>
          </w:tcPr>
          <w:p w14:paraId="41CC9F13"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 xml:space="preserve">Komisijas 2012. gada 31. maija Regula (ES) Nr. 461/2012, ar ko groza Padomes Regulu (EK) Nr. 1165/98 par īstermiņa statistiku un Komisijas Regulu (EK) Nr. 1503/2006, Regulu (EK) Nr. 657/2007 un Regulu (EK) Nr. 1178/2008 attiecībā uz pielāgojumiem, ko veic saistībā ar rūpniecības jauno pasūtījumu </w:t>
            </w:r>
            <w:r>
              <w:rPr>
                <w:rFonts w:ascii="Times New Roman" w:hAnsi="Times New Roman"/>
                <w:sz w:val="24"/>
              </w:rPr>
              <w:lastRenderedPageBreak/>
              <w:t>mainīgo lielumu svītrošanu (Dokuments attiecas uz EEZ)</w:t>
            </w:r>
          </w:p>
        </w:tc>
      </w:tr>
      <w:tr w:rsidR="001F0ECB" w:rsidRPr="001F0ECB" w14:paraId="5FA29A4D"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EAB5ED6"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lastRenderedPageBreak/>
              <w:t>Regularitāte</w:t>
            </w:r>
          </w:p>
        </w:tc>
        <w:tc>
          <w:tcPr>
            <w:tcW w:w="3587" w:type="pct"/>
            <w:tcBorders>
              <w:top w:val="single" w:sz="5" w:space="0" w:color="000000"/>
              <w:left w:val="single" w:sz="5" w:space="0" w:color="000000"/>
              <w:bottom w:val="single" w:sz="5" w:space="0" w:color="000000"/>
              <w:right w:val="single" w:sz="5" w:space="0" w:color="000000"/>
            </w:tcBorders>
          </w:tcPr>
          <w:p w14:paraId="2F620D3D"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mēnesī</w:t>
            </w:r>
          </w:p>
        </w:tc>
      </w:tr>
      <w:tr w:rsidR="001F0ECB" w:rsidRPr="001F0ECB" w14:paraId="3926D117"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7C065E3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1B58CFC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45. dienā pēc pārskata perioda</w:t>
            </w:r>
          </w:p>
        </w:tc>
      </w:tr>
      <w:tr w:rsidR="001F0ECB" w:rsidRPr="001F0ECB" w14:paraId="2CF40C7F"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1303F1E"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2F21A9E"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Eksporta vienības vērtības indekss (kopējais rādītājs, sadalījumā pa CPA nodaļām un sadaļām)</w:t>
            </w:r>
          </w:p>
        </w:tc>
      </w:tr>
      <w:tr w:rsidR="001F0ECB" w:rsidRPr="001F0ECB" w14:paraId="6A8C45E6"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29902999"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Turpmāk veiktās apsekojuma datu korekcijas</w:t>
            </w:r>
          </w:p>
        </w:tc>
        <w:tc>
          <w:tcPr>
            <w:tcW w:w="3587" w:type="pct"/>
            <w:tcBorders>
              <w:top w:val="single" w:sz="5" w:space="0" w:color="000000"/>
              <w:left w:val="single" w:sz="5" w:space="0" w:color="000000"/>
              <w:bottom w:val="single" w:sz="5" w:space="0" w:color="000000"/>
              <w:right w:val="single" w:sz="5" w:space="0" w:color="000000"/>
            </w:tcBorders>
          </w:tcPr>
          <w:p w14:paraId="1A9894AC"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CNK aprēķiniem EVVI tiek noteikts, veicot salīdzinājumu ar iepriekšējā gada vidējo rādītāju</w:t>
            </w:r>
          </w:p>
        </w:tc>
      </w:tr>
    </w:tbl>
    <w:p w14:paraId="22628A55" w14:textId="77777777" w:rsidR="00975B5E" w:rsidRPr="001F0ECB" w:rsidRDefault="00975B5E" w:rsidP="00975B5E">
      <w:pPr>
        <w:jc w:val="both"/>
        <w:rPr>
          <w:rFonts w:ascii="Times New Roman" w:eastAsia="Calibri" w:hAnsi="Times New Roman" w:cs="Calibri"/>
          <w:noProof/>
          <w:sz w:val="24"/>
          <w:szCs w:val="24"/>
        </w:rPr>
      </w:pPr>
    </w:p>
    <w:p w14:paraId="3961A96F" w14:textId="77777777" w:rsidR="002672AA" w:rsidRPr="001F0ECB" w:rsidRDefault="002672AA" w:rsidP="00975B5E">
      <w:pPr>
        <w:pStyle w:val="Heading4"/>
        <w:spacing w:before="0"/>
        <w:ind w:left="0"/>
        <w:jc w:val="both"/>
        <w:rPr>
          <w:rFonts w:ascii="Times New Roman" w:hAnsi="Times New Roman"/>
          <w:noProof/>
        </w:rPr>
      </w:pPr>
      <w:r>
        <w:rPr>
          <w:rFonts w:ascii="Times New Roman" w:hAnsi="Times New Roman"/>
        </w:rPr>
        <w:t>47. avots Agroresursu un ekonomikas institūts</w:t>
      </w:r>
    </w:p>
    <w:p w14:paraId="72ADD6E5" w14:textId="77777777" w:rsidR="002672AA" w:rsidRPr="001F0ECB" w:rsidRDefault="002672AA" w:rsidP="00975B5E">
      <w:pPr>
        <w:jc w:val="both"/>
        <w:rPr>
          <w:rFonts w:ascii="Times New Roman" w:eastAsia="Calibri" w:hAnsi="Times New Roman" w:cs="Calibri"/>
          <w:b/>
          <w:bCs/>
          <w:noProof/>
          <w:sz w:val="24"/>
          <w:szCs w:val="13"/>
        </w:rPr>
      </w:pPr>
    </w:p>
    <w:tbl>
      <w:tblPr>
        <w:tblW w:w="5000" w:type="pct"/>
        <w:tblCellMar>
          <w:top w:w="28" w:type="dxa"/>
          <w:left w:w="28" w:type="dxa"/>
          <w:bottom w:w="28" w:type="dxa"/>
          <w:right w:w="28" w:type="dxa"/>
        </w:tblCellMar>
        <w:tblLook w:val="01E0" w:firstRow="1" w:lastRow="1" w:firstColumn="1" w:lastColumn="1" w:noHBand="0" w:noVBand="0"/>
      </w:tblPr>
      <w:tblGrid>
        <w:gridCol w:w="2580"/>
        <w:gridCol w:w="6551"/>
      </w:tblGrid>
      <w:tr w:rsidR="001F0ECB" w:rsidRPr="001F0ECB" w14:paraId="35456583"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121A0BA7"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Datu avota nosaukums</w:t>
            </w:r>
          </w:p>
        </w:tc>
        <w:tc>
          <w:tcPr>
            <w:tcW w:w="3587" w:type="pct"/>
            <w:tcBorders>
              <w:top w:val="single" w:sz="5" w:space="0" w:color="000000"/>
              <w:left w:val="single" w:sz="5" w:space="0" w:color="000000"/>
              <w:bottom w:val="single" w:sz="5" w:space="0" w:color="000000"/>
              <w:right w:val="single" w:sz="5" w:space="0" w:color="000000"/>
            </w:tcBorders>
          </w:tcPr>
          <w:p w14:paraId="0C3DADE8"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Agroresursu un ekonomikas institūts</w:t>
            </w:r>
          </w:p>
        </w:tc>
      </w:tr>
      <w:tr w:rsidR="001F0ECB" w:rsidRPr="001F0ECB" w14:paraId="4118278E"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2543053"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Regularitāte</w:t>
            </w:r>
          </w:p>
        </w:tc>
        <w:tc>
          <w:tcPr>
            <w:tcW w:w="3587" w:type="pct"/>
            <w:tcBorders>
              <w:top w:val="single" w:sz="5" w:space="0" w:color="000000"/>
              <w:left w:val="single" w:sz="5" w:space="0" w:color="000000"/>
              <w:bottom w:val="single" w:sz="5" w:space="0" w:color="000000"/>
              <w:right w:val="single" w:sz="5" w:space="0" w:color="000000"/>
            </w:tcBorders>
          </w:tcPr>
          <w:p w14:paraId="32CEC2E9"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Reizi ceturksnī</w:t>
            </w:r>
          </w:p>
        </w:tc>
      </w:tr>
      <w:tr w:rsidR="001F0ECB" w:rsidRPr="001F0ECB" w14:paraId="6B7375F9"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56B2544B"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Rezultātu pieejamības laiks</w:t>
            </w:r>
          </w:p>
        </w:tc>
        <w:tc>
          <w:tcPr>
            <w:tcW w:w="3587" w:type="pct"/>
            <w:tcBorders>
              <w:top w:val="single" w:sz="5" w:space="0" w:color="000000"/>
              <w:left w:val="single" w:sz="5" w:space="0" w:color="000000"/>
              <w:bottom w:val="single" w:sz="5" w:space="0" w:color="000000"/>
              <w:right w:val="single" w:sz="5" w:space="0" w:color="000000"/>
            </w:tcBorders>
          </w:tcPr>
          <w:p w14:paraId="125895B2"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Dati ir pieejami 53. dienā pēc pārskata perioda</w:t>
            </w:r>
          </w:p>
        </w:tc>
      </w:tr>
      <w:tr w:rsidR="001F0ECB" w:rsidRPr="001F0ECB" w14:paraId="619712F6" w14:textId="77777777" w:rsidTr="00FB4356">
        <w:tc>
          <w:tcPr>
            <w:tcW w:w="1413" w:type="pct"/>
            <w:tcBorders>
              <w:top w:val="single" w:sz="5" w:space="0" w:color="000000"/>
              <w:left w:val="single" w:sz="5" w:space="0" w:color="000000"/>
              <w:bottom w:val="single" w:sz="5" w:space="0" w:color="000000"/>
              <w:right w:val="single" w:sz="5" w:space="0" w:color="000000"/>
            </w:tcBorders>
            <w:shd w:val="clear" w:color="auto" w:fill="EAF0DD"/>
          </w:tcPr>
          <w:p w14:paraId="4781C705" w14:textId="77777777" w:rsidR="002672AA" w:rsidRPr="001F0ECB" w:rsidRDefault="002672AA" w:rsidP="00975B5E">
            <w:pPr>
              <w:pStyle w:val="TableParagraph"/>
              <w:jc w:val="both"/>
              <w:rPr>
                <w:rFonts w:ascii="Times New Roman" w:hAnsi="Times New Roman"/>
                <w:i/>
                <w:noProof/>
                <w:sz w:val="24"/>
              </w:rPr>
            </w:pPr>
            <w:r>
              <w:rPr>
                <w:rFonts w:ascii="Times New Roman" w:hAnsi="Times New Roman"/>
                <w:i/>
                <w:sz w:val="24"/>
              </w:rPr>
              <w:t>CNK izmantotie galvenie mainīgie lielumi</w:t>
            </w:r>
          </w:p>
        </w:tc>
        <w:tc>
          <w:tcPr>
            <w:tcW w:w="3587" w:type="pct"/>
            <w:tcBorders>
              <w:top w:val="single" w:sz="5" w:space="0" w:color="000000"/>
              <w:left w:val="single" w:sz="5" w:space="0" w:color="000000"/>
              <w:bottom w:val="single" w:sz="5" w:space="0" w:color="000000"/>
              <w:right w:val="single" w:sz="5" w:space="0" w:color="000000"/>
            </w:tcBorders>
          </w:tcPr>
          <w:p w14:paraId="58BCE481" w14:textId="77777777" w:rsidR="002672AA" w:rsidRPr="001F0ECB" w:rsidRDefault="002672AA" w:rsidP="00975B5E">
            <w:pPr>
              <w:pStyle w:val="TableParagraph"/>
              <w:jc w:val="both"/>
              <w:rPr>
                <w:rFonts w:ascii="Times New Roman" w:hAnsi="Times New Roman"/>
                <w:noProof/>
                <w:sz w:val="24"/>
              </w:rPr>
            </w:pPr>
            <w:r>
              <w:rPr>
                <w:rFonts w:ascii="Times New Roman" w:hAnsi="Times New Roman"/>
                <w:sz w:val="24"/>
              </w:rPr>
              <w:t>Lauksaimniecības izlaides un produktu subsīdiju novērtējumi</w:t>
            </w:r>
          </w:p>
        </w:tc>
      </w:tr>
    </w:tbl>
    <w:p w14:paraId="7BBF48FF" w14:textId="77777777" w:rsidR="002672AA" w:rsidRPr="001F0ECB" w:rsidRDefault="002672AA" w:rsidP="00975B5E">
      <w:pPr>
        <w:jc w:val="both"/>
        <w:rPr>
          <w:rFonts w:ascii="Times New Roman" w:hAnsi="Times New Roman"/>
          <w:noProof/>
          <w:sz w:val="24"/>
        </w:rPr>
      </w:pPr>
    </w:p>
    <w:sectPr w:rsidR="002672AA" w:rsidRPr="001F0ECB" w:rsidSect="00975B5E">
      <w:headerReference w:type="default" r:id="rId32"/>
      <w:footerReference w:type="default" r:id="rId33"/>
      <w:headerReference w:type="first" r:id="rId34"/>
      <w:footerReference w:type="first" r:id="rId3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AD8E" w14:textId="77777777" w:rsidR="00113E39" w:rsidRPr="002672AA" w:rsidRDefault="00113E39">
      <w:pPr>
        <w:rPr>
          <w:noProof/>
        </w:rPr>
      </w:pPr>
      <w:r w:rsidRPr="002672AA">
        <w:rPr>
          <w:noProof/>
        </w:rPr>
        <w:separator/>
      </w:r>
    </w:p>
  </w:endnote>
  <w:endnote w:type="continuationSeparator" w:id="0">
    <w:p w14:paraId="74CD1C71" w14:textId="77777777" w:rsidR="00113E39" w:rsidRPr="002672AA" w:rsidRDefault="00113E39">
      <w:pPr>
        <w:rPr>
          <w:noProof/>
        </w:rPr>
      </w:pPr>
      <w:r w:rsidRPr="002672A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B0F" w14:textId="77777777" w:rsidR="00B67978" w:rsidRPr="00CD407E" w:rsidRDefault="00B67978" w:rsidP="00B67978">
    <w:pPr>
      <w:pStyle w:val="Header"/>
      <w:tabs>
        <w:tab w:val="left" w:pos="9072"/>
      </w:tabs>
      <w:rPr>
        <w:rStyle w:val="PageNumber"/>
        <w:rFonts w:ascii="Times New Roman" w:hAnsi="Times New Roman" w:cs="Times New Roman"/>
        <w:sz w:val="20"/>
        <w:szCs w:val="18"/>
      </w:rPr>
    </w:pPr>
  </w:p>
  <w:p w14:paraId="7A70EEB2" w14:textId="77777777" w:rsidR="00B67978" w:rsidRPr="00CD407E" w:rsidRDefault="00B67978" w:rsidP="00B67978">
    <w:pPr>
      <w:pStyle w:val="Header"/>
      <w:tabs>
        <w:tab w:val="clear" w:pos="4513"/>
        <w:tab w:val="clear" w:pos="9026"/>
        <w:tab w:val="right" w:leader="underscore" w:pos="9072"/>
      </w:tabs>
      <w:rPr>
        <w:rStyle w:val="PageNumber"/>
        <w:rFonts w:ascii="Times New Roman" w:hAnsi="Times New Roman" w:cs="Times New Roman"/>
        <w:sz w:val="20"/>
        <w:szCs w:val="18"/>
      </w:rPr>
    </w:pPr>
    <w:r w:rsidRPr="00CD407E">
      <w:rPr>
        <w:rStyle w:val="PageNumber"/>
        <w:rFonts w:ascii="Times New Roman" w:hAnsi="Times New Roman" w:cs="Times New Roman"/>
        <w:sz w:val="20"/>
        <w:szCs w:val="18"/>
      </w:rPr>
      <w:tab/>
    </w:r>
  </w:p>
  <w:p w14:paraId="5982111B" w14:textId="77777777" w:rsidR="00B67978" w:rsidRPr="00CD407E" w:rsidRDefault="00B67978" w:rsidP="00B67978">
    <w:pPr>
      <w:pStyle w:val="Header"/>
      <w:tabs>
        <w:tab w:val="right" w:pos="9072"/>
      </w:tabs>
      <w:rPr>
        <w:rStyle w:val="PageNumber"/>
        <w:rFonts w:ascii="Times New Roman" w:hAnsi="Times New Roman" w:cs="Times New Roman"/>
        <w:sz w:val="20"/>
        <w:szCs w:val="18"/>
      </w:rPr>
    </w:pPr>
  </w:p>
  <w:p w14:paraId="2E48E544" w14:textId="3EA87B6E" w:rsidR="00054450" w:rsidRPr="00B67978" w:rsidRDefault="00B67978" w:rsidP="00B67978">
    <w:pPr>
      <w:pStyle w:val="Footer"/>
      <w:tabs>
        <w:tab w:val="clear" w:pos="4513"/>
        <w:tab w:val="clear" w:pos="9026"/>
        <w:tab w:val="center" w:pos="9072"/>
      </w:tabs>
      <w:rPr>
        <w:rFonts w:ascii="Times New Roman" w:hAnsi="Times New Roman" w:cs="Times New Roman"/>
        <w:sz w:val="20"/>
        <w:szCs w:val="18"/>
      </w:rPr>
    </w:pPr>
    <w:r w:rsidRPr="00CD407E">
      <w:rPr>
        <w:rFonts w:ascii="Times New Roman" w:hAnsi="Times New Roman" w:cs="Times New Roman"/>
        <w:noProof/>
        <w:sz w:val="20"/>
        <w:szCs w:val="18"/>
      </w:rPr>
      <w:t xml:space="preserve">Tulkojums </w:t>
    </w:r>
    <w:r w:rsidRPr="00CD407E">
      <w:rPr>
        <w:rFonts w:ascii="Times New Roman" w:hAnsi="Times New Roman" w:cs="Times New Roman"/>
        <w:noProof/>
        <w:sz w:val="20"/>
        <w:szCs w:val="18"/>
      </w:rPr>
      <w:fldChar w:fldCharType="begin"/>
    </w:r>
    <w:r w:rsidRPr="00CD407E">
      <w:rPr>
        <w:rFonts w:ascii="Times New Roman" w:hAnsi="Times New Roman" w:cs="Times New Roman"/>
        <w:noProof/>
        <w:sz w:val="20"/>
        <w:szCs w:val="18"/>
      </w:rPr>
      <w:instrText>symbol 211 \f "Symbol" \s 9</w:instrText>
    </w:r>
    <w:r w:rsidRPr="00CD407E">
      <w:rPr>
        <w:rFonts w:ascii="Times New Roman" w:hAnsi="Times New Roman" w:cs="Times New Roman"/>
        <w:noProof/>
        <w:sz w:val="20"/>
        <w:szCs w:val="18"/>
      </w:rPr>
      <w:fldChar w:fldCharType="separate"/>
    </w:r>
    <w:r w:rsidRPr="00CD407E">
      <w:rPr>
        <w:rFonts w:ascii="Times New Roman" w:hAnsi="Times New Roman" w:cs="Times New Roman"/>
        <w:noProof/>
        <w:sz w:val="20"/>
        <w:szCs w:val="18"/>
      </w:rPr>
      <w:t>Ó</w:t>
    </w:r>
    <w:r w:rsidRPr="00CD407E">
      <w:rPr>
        <w:rFonts w:ascii="Times New Roman" w:hAnsi="Times New Roman" w:cs="Times New Roman"/>
        <w:noProof/>
        <w:sz w:val="20"/>
        <w:szCs w:val="18"/>
      </w:rPr>
      <w:fldChar w:fldCharType="end"/>
    </w:r>
    <w:r w:rsidRPr="00CD407E">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CD407E">
      <w:rPr>
        <w:rFonts w:ascii="Times New Roman" w:hAnsi="Times New Roman" w:cs="Times New Roman"/>
        <w:sz w:val="20"/>
        <w:szCs w:val="18"/>
      </w:rPr>
      <w:tab/>
    </w:r>
    <w:r w:rsidRPr="00CD407E">
      <w:rPr>
        <w:rStyle w:val="PageNumber"/>
        <w:rFonts w:ascii="Times New Roman" w:hAnsi="Times New Roman" w:cs="Times New Roman"/>
        <w:sz w:val="20"/>
        <w:szCs w:val="18"/>
      </w:rPr>
      <w:fldChar w:fldCharType="begin"/>
    </w:r>
    <w:r w:rsidRPr="00CD407E">
      <w:rPr>
        <w:rStyle w:val="PageNumber"/>
        <w:rFonts w:ascii="Times New Roman" w:hAnsi="Times New Roman" w:cs="Times New Roman"/>
        <w:sz w:val="20"/>
        <w:szCs w:val="18"/>
      </w:rPr>
      <w:instrText xml:space="preserve">page </w:instrText>
    </w:r>
    <w:r w:rsidRPr="00CD407E">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CD407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CDC3" w14:textId="77777777" w:rsidR="002512F5" w:rsidRPr="00CD407E" w:rsidRDefault="002512F5" w:rsidP="002512F5">
    <w:pPr>
      <w:pStyle w:val="Header"/>
      <w:tabs>
        <w:tab w:val="left" w:pos="9072"/>
      </w:tabs>
      <w:rPr>
        <w:rStyle w:val="PageNumber"/>
        <w:rFonts w:ascii="Times New Roman" w:hAnsi="Times New Roman" w:cs="Times New Roman"/>
        <w:sz w:val="20"/>
        <w:szCs w:val="18"/>
      </w:rPr>
    </w:pPr>
    <w:bookmarkStart w:id="118" w:name="_Hlk496261764"/>
    <w:bookmarkStart w:id="119" w:name="_Hlk496261765"/>
    <w:bookmarkStart w:id="120" w:name="_Hlk496261766"/>
    <w:bookmarkStart w:id="121" w:name="_Hlk30491075"/>
    <w:bookmarkStart w:id="122" w:name="_Hlk30491076"/>
  </w:p>
  <w:p w14:paraId="0C4FA229" w14:textId="77777777" w:rsidR="002512F5" w:rsidRPr="00CD407E" w:rsidRDefault="002512F5" w:rsidP="002512F5">
    <w:pPr>
      <w:pStyle w:val="Header"/>
      <w:tabs>
        <w:tab w:val="clear" w:pos="4513"/>
        <w:tab w:val="clear" w:pos="9026"/>
        <w:tab w:val="left" w:leader="underscore" w:pos="9072"/>
      </w:tabs>
      <w:rPr>
        <w:rStyle w:val="PageNumber"/>
        <w:rFonts w:ascii="Times New Roman" w:hAnsi="Times New Roman" w:cs="Times New Roman"/>
        <w:sz w:val="20"/>
        <w:szCs w:val="18"/>
      </w:rPr>
    </w:pPr>
    <w:r w:rsidRPr="00CD407E">
      <w:rPr>
        <w:rStyle w:val="PageNumber"/>
        <w:rFonts w:ascii="Times New Roman" w:hAnsi="Times New Roman" w:cs="Times New Roman"/>
        <w:sz w:val="20"/>
        <w:szCs w:val="18"/>
      </w:rPr>
      <w:tab/>
    </w:r>
  </w:p>
  <w:p w14:paraId="660CBD28" w14:textId="77777777" w:rsidR="002512F5" w:rsidRPr="00CD407E" w:rsidRDefault="002512F5" w:rsidP="002512F5">
    <w:pPr>
      <w:pStyle w:val="Header"/>
      <w:tabs>
        <w:tab w:val="left" w:pos="9072"/>
      </w:tabs>
      <w:rPr>
        <w:rStyle w:val="PageNumber"/>
        <w:rFonts w:ascii="Times New Roman" w:hAnsi="Times New Roman" w:cs="Times New Roman"/>
        <w:sz w:val="20"/>
        <w:szCs w:val="18"/>
      </w:rPr>
    </w:pPr>
  </w:p>
  <w:p w14:paraId="11C1A590" w14:textId="77777777" w:rsidR="002512F5" w:rsidRPr="00CD407E" w:rsidRDefault="002512F5" w:rsidP="002512F5">
    <w:pPr>
      <w:pStyle w:val="Footer"/>
      <w:rPr>
        <w:rFonts w:ascii="Times New Roman" w:hAnsi="Times New Roman" w:cs="Times New Roman"/>
        <w:sz w:val="20"/>
        <w:szCs w:val="18"/>
      </w:rPr>
    </w:pPr>
    <w:r w:rsidRPr="00CD407E">
      <w:rPr>
        <w:rFonts w:ascii="Times New Roman" w:hAnsi="Times New Roman" w:cs="Times New Roman"/>
        <w:noProof/>
        <w:sz w:val="20"/>
        <w:szCs w:val="18"/>
      </w:rPr>
      <w:t xml:space="preserve">Tulkojums </w:t>
    </w:r>
    <w:r w:rsidRPr="00CD407E">
      <w:rPr>
        <w:rFonts w:ascii="Times New Roman" w:hAnsi="Times New Roman" w:cs="Times New Roman"/>
        <w:noProof/>
        <w:sz w:val="20"/>
        <w:szCs w:val="18"/>
      </w:rPr>
      <w:fldChar w:fldCharType="begin"/>
    </w:r>
    <w:r w:rsidRPr="00CD407E">
      <w:rPr>
        <w:rFonts w:ascii="Times New Roman" w:hAnsi="Times New Roman" w:cs="Times New Roman"/>
        <w:noProof/>
        <w:sz w:val="20"/>
        <w:szCs w:val="18"/>
      </w:rPr>
      <w:instrText>symbol 211 \f "Symbol" \s 9</w:instrText>
    </w:r>
    <w:r w:rsidRPr="00CD407E">
      <w:rPr>
        <w:rFonts w:ascii="Times New Roman" w:hAnsi="Times New Roman" w:cs="Times New Roman"/>
        <w:noProof/>
        <w:sz w:val="20"/>
        <w:szCs w:val="18"/>
      </w:rPr>
      <w:fldChar w:fldCharType="separate"/>
    </w:r>
    <w:r w:rsidRPr="00CD407E">
      <w:rPr>
        <w:rFonts w:ascii="Times New Roman" w:hAnsi="Times New Roman" w:cs="Times New Roman"/>
        <w:noProof/>
        <w:sz w:val="20"/>
        <w:szCs w:val="18"/>
      </w:rPr>
      <w:t>Ó</w:t>
    </w:r>
    <w:r w:rsidRPr="00CD407E">
      <w:rPr>
        <w:rFonts w:ascii="Times New Roman" w:hAnsi="Times New Roman" w:cs="Times New Roman"/>
        <w:noProof/>
        <w:sz w:val="20"/>
        <w:szCs w:val="18"/>
      </w:rPr>
      <w:fldChar w:fldCharType="end"/>
    </w:r>
    <w:r w:rsidRPr="00CD407E">
      <w:rPr>
        <w:rFonts w:ascii="Times New Roman" w:hAnsi="Times New Roman" w:cs="Times New Roman"/>
        <w:noProof/>
        <w:sz w:val="20"/>
        <w:szCs w:val="18"/>
      </w:rPr>
      <w:t xml:space="preserve"> Valsts valodas centrs, 20</w:t>
    </w:r>
    <w:bookmarkEnd w:id="118"/>
    <w:bookmarkEnd w:id="119"/>
    <w:bookmarkEnd w:id="120"/>
    <w:r w:rsidRPr="00CD407E">
      <w:rPr>
        <w:rFonts w:ascii="Times New Roman" w:hAnsi="Times New Roman" w:cs="Times New Roman"/>
        <w:noProof/>
        <w:sz w:val="20"/>
        <w:szCs w:val="18"/>
      </w:rPr>
      <w:t>2</w:t>
    </w:r>
    <w:bookmarkEnd w:id="121"/>
    <w:bookmarkEnd w:id="122"/>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5F4E" w14:textId="77777777" w:rsidR="00113E39" w:rsidRPr="002672AA" w:rsidRDefault="00113E39">
      <w:pPr>
        <w:rPr>
          <w:noProof/>
        </w:rPr>
      </w:pPr>
      <w:r w:rsidRPr="002672AA">
        <w:rPr>
          <w:noProof/>
        </w:rPr>
        <w:separator/>
      </w:r>
    </w:p>
  </w:footnote>
  <w:footnote w:type="continuationSeparator" w:id="0">
    <w:p w14:paraId="31C21848" w14:textId="77777777" w:rsidR="00113E39" w:rsidRPr="002672AA" w:rsidRDefault="00113E39">
      <w:pPr>
        <w:rPr>
          <w:noProof/>
        </w:rPr>
      </w:pPr>
      <w:r w:rsidRPr="002672AA">
        <w:rPr>
          <w:noProof/>
        </w:rPr>
        <w:continuationSeparator/>
      </w:r>
    </w:p>
  </w:footnote>
  <w:footnote w:id="1">
    <w:p w14:paraId="06BE77A4" w14:textId="77777777" w:rsidR="00054450" w:rsidRPr="00EC390B" w:rsidRDefault="00054450" w:rsidP="0076311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NACE</w:t>
      </w:r>
      <w:r>
        <w:rPr>
          <w:rFonts w:ascii="Times New Roman" w:hAnsi="Times New Roman"/>
        </w:rPr>
        <w:t xml:space="preserve"> 2. red. A*15, ko publicē CSP datubāzē, veido šādi </w:t>
      </w:r>
      <w:r>
        <w:rPr>
          <w:rFonts w:ascii="Times New Roman" w:hAnsi="Times New Roman"/>
          <w:i/>
        </w:rPr>
        <w:t>NACE</w:t>
      </w:r>
      <w:r>
        <w:rPr>
          <w:rFonts w:ascii="Times New Roman" w:hAnsi="Times New Roman"/>
        </w:rPr>
        <w:t xml:space="preserve"> apvienojumi: A, BDE, C, F, G, H, I, J, K, L, MNS, O, P, Q,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541E" w14:textId="77777777" w:rsidR="001E377E" w:rsidRPr="00CD407E" w:rsidRDefault="001E377E" w:rsidP="001E377E">
    <w:pPr>
      <w:pStyle w:val="Header"/>
      <w:rPr>
        <w:rStyle w:val="PageNumber"/>
        <w:rFonts w:ascii="Times New Roman" w:hAnsi="Times New Roman" w:cs="Times New Roman"/>
        <w:sz w:val="20"/>
        <w:szCs w:val="20"/>
      </w:rPr>
    </w:pPr>
    <w:bookmarkStart w:id="104" w:name="_Hlk496261784"/>
    <w:bookmarkStart w:id="105" w:name="_Hlk496261785"/>
    <w:bookmarkStart w:id="106" w:name="_Hlk496261786"/>
    <w:bookmarkStart w:id="107" w:name="_Hlk502757728"/>
    <w:bookmarkStart w:id="108" w:name="_Hlk502757729"/>
    <w:bookmarkStart w:id="109" w:name="_Hlk502757738"/>
    <w:bookmarkStart w:id="110" w:name="_Hlk502757739"/>
    <w:bookmarkStart w:id="111" w:name="_Hlk30491084"/>
    <w:bookmarkStart w:id="112" w:name="_Hlk30491085"/>
  </w:p>
  <w:p w14:paraId="63E6AF67" w14:textId="77777777" w:rsidR="001E377E" w:rsidRPr="00CD407E" w:rsidRDefault="001E377E" w:rsidP="001E377E">
    <w:pPr>
      <w:pStyle w:val="Header"/>
      <w:tabs>
        <w:tab w:val="clear" w:pos="4513"/>
        <w:tab w:val="clear" w:pos="9026"/>
        <w:tab w:val="right" w:leader="underscore" w:pos="9072"/>
      </w:tabs>
      <w:rPr>
        <w:rStyle w:val="PageNumber"/>
        <w:rFonts w:ascii="Times New Roman" w:hAnsi="Times New Roman" w:cs="Times New Roman"/>
        <w:sz w:val="20"/>
        <w:szCs w:val="20"/>
      </w:rPr>
    </w:pPr>
    <w:r w:rsidRPr="00CD407E">
      <w:rPr>
        <w:rStyle w:val="PageNumber"/>
        <w:rFonts w:ascii="Times New Roman" w:hAnsi="Times New Roman" w:cs="Times New Roman"/>
        <w:sz w:val="20"/>
        <w:szCs w:val="20"/>
      </w:rPr>
      <w:tab/>
    </w:r>
  </w:p>
  <w:bookmarkEnd w:id="104"/>
  <w:bookmarkEnd w:id="105"/>
  <w:bookmarkEnd w:id="106"/>
  <w:bookmarkEnd w:id="107"/>
  <w:bookmarkEnd w:id="108"/>
  <w:bookmarkEnd w:id="109"/>
  <w:bookmarkEnd w:id="110"/>
  <w:bookmarkEnd w:id="111"/>
  <w:bookmarkEnd w:id="112"/>
  <w:p w14:paraId="23E3FE94" w14:textId="77777777" w:rsidR="001E377E" w:rsidRPr="00CD407E" w:rsidRDefault="001E377E" w:rsidP="001E377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E3B3" w14:textId="77777777" w:rsidR="00104DBE" w:rsidRPr="001065D7" w:rsidRDefault="00104DBE" w:rsidP="00104DBE">
    <w:pPr>
      <w:pBdr>
        <w:bottom w:val="single" w:sz="12" w:space="5" w:color="auto"/>
      </w:pBdr>
      <w:rPr>
        <w:rFonts w:ascii="Times New Roman" w:hAnsi="Times New Roman" w:cs="Times New Roman"/>
        <w:spacing w:val="-2"/>
        <w:sz w:val="20"/>
        <w:szCs w:val="20"/>
      </w:rPr>
    </w:pPr>
    <w:bookmarkStart w:id="113" w:name="_Hlk496261745"/>
    <w:bookmarkStart w:id="114" w:name="_Hlk496261746"/>
    <w:bookmarkStart w:id="115" w:name="_Hlk496261747"/>
    <w:bookmarkStart w:id="116" w:name="_Hlk30491063"/>
    <w:bookmarkStart w:id="117" w:name="_Hlk30491064"/>
  </w:p>
  <w:bookmarkEnd w:id="113"/>
  <w:bookmarkEnd w:id="114"/>
  <w:bookmarkEnd w:id="115"/>
  <w:bookmarkEnd w:id="116"/>
  <w:bookmarkEnd w:id="117"/>
  <w:p w14:paraId="70FF31BA" w14:textId="77777777" w:rsidR="00104DBE" w:rsidRPr="001065D7" w:rsidRDefault="00104DBE" w:rsidP="00104DB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B4EE7"/>
    <w:multiLevelType w:val="multilevel"/>
    <w:tmpl w:val="7122C9CC"/>
    <w:lvl w:ilvl="0">
      <w:start w:val="2"/>
      <w:numFmt w:val="decimal"/>
      <w:lvlText w:val="%1"/>
      <w:lvlJc w:val="left"/>
      <w:pPr>
        <w:ind w:left="981" w:hanging="660"/>
      </w:pPr>
      <w:rPr>
        <w:rFonts w:hint="default"/>
      </w:rPr>
    </w:lvl>
    <w:lvl w:ilvl="1">
      <w:start w:val="3"/>
      <w:numFmt w:val="decimal"/>
      <w:lvlText w:val="%1.%2."/>
      <w:lvlJc w:val="left"/>
      <w:pPr>
        <w:ind w:left="981" w:hanging="660"/>
      </w:pPr>
      <w:rPr>
        <w:rFonts w:ascii="Calibri" w:eastAsia="Calibri" w:hAnsi="Calibri" w:hint="default"/>
        <w:sz w:val="22"/>
        <w:szCs w:val="22"/>
      </w:rPr>
    </w:lvl>
    <w:lvl w:ilvl="2">
      <w:start w:val="1"/>
      <w:numFmt w:val="bullet"/>
      <w:lvlText w:val="•"/>
      <w:lvlJc w:val="left"/>
      <w:pPr>
        <w:ind w:left="2778" w:hanging="660"/>
      </w:pPr>
      <w:rPr>
        <w:rFonts w:hint="default"/>
      </w:rPr>
    </w:lvl>
    <w:lvl w:ilvl="3">
      <w:start w:val="1"/>
      <w:numFmt w:val="bullet"/>
      <w:lvlText w:val="•"/>
      <w:lvlJc w:val="left"/>
      <w:pPr>
        <w:ind w:left="3676" w:hanging="660"/>
      </w:pPr>
      <w:rPr>
        <w:rFonts w:hint="default"/>
      </w:rPr>
    </w:lvl>
    <w:lvl w:ilvl="4">
      <w:start w:val="1"/>
      <w:numFmt w:val="bullet"/>
      <w:lvlText w:val="•"/>
      <w:lvlJc w:val="left"/>
      <w:pPr>
        <w:ind w:left="4575" w:hanging="660"/>
      </w:pPr>
      <w:rPr>
        <w:rFonts w:hint="default"/>
      </w:rPr>
    </w:lvl>
    <w:lvl w:ilvl="5">
      <w:start w:val="1"/>
      <w:numFmt w:val="bullet"/>
      <w:lvlText w:val="•"/>
      <w:lvlJc w:val="left"/>
      <w:pPr>
        <w:ind w:left="5473" w:hanging="660"/>
      </w:pPr>
      <w:rPr>
        <w:rFonts w:hint="default"/>
      </w:rPr>
    </w:lvl>
    <w:lvl w:ilvl="6">
      <w:start w:val="1"/>
      <w:numFmt w:val="bullet"/>
      <w:lvlText w:val="•"/>
      <w:lvlJc w:val="left"/>
      <w:pPr>
        <w:ind w:left="6372" w:hanging="660"/>
      </w:pPr>
      <w:rPr>
        <w:rFonts w:hint="default"/>
      </w:rPr>
    </w:lvl>
    <w:lvl w:ilvl="7">
      <w:start w:val="1"/>
      <w:numFmt w:val="bullet"/>
      <w:lvlText w:val="•"/>
      <w:lvlJc w:val="left"/>
      <w:pPr>
        <w:ind w:left="7270" w:hanging="660"/>
      </w:pPr>
      <w:rPr>
        <w:rFonts w:hint="default"/>
      </w:rPr>
    </w:lvl>
    <w:lvl w:ilvl="8">
      <w:start w:val="1"/>
      <w:numFmt w:val="bullet"/>
      <w:lvlText w:val="•"/>
      <w:lvlJc w:val="left"/>
      <w:pPr>
        <w:ind w:left="8169" w:hanging="660"/>
      </w:pPr>
      <w:rPr>
        <w:rFonts w:hint="default"/>
      </w:rPr>
    </w:lvl>
  </w:abstractNum>
  <w:abstractNum w:abstractNumId="1" w15:restartNumberingAfterBreak="0">
    <w:nsid w:val="155F12C4"/>
    <w:multiLevelType w:val="multilevel"/>
    <w:tmpl w:val="42BC7070"/>
    <w:lvl w:ilvl="0">
      <w:start w:val="2"/>
      <w:numFmt w:val="decimal"/>
      <w:lvlText w:val="%1"/>
      <w:lvlJc w:val="left"/>
      <w:pPr>
        <w:ind w:left="1180" w:hanging="720"/>
      </w:pPr>
      <w:rPr>
        <w:rFonts w:hint="default"/>
      </w:rPr>
    </w:lvl>
    <w:lvl w:ilvl="1">
      <w:start w:val="3"/>
      <w:numFmt w:val="decimal"/>
      <w:lvlText w:val="%1.%2."/>
      <w:lvlJc w:val="left"/>
      <w:pPr>
        <w:ind w:left="1180" w:hanging="720"/>
      </w:pPr>
      <w:rPr>
        <w:rFonts w:ascii="Calibri" w:eastAsia="Calibri" w:hAnsi="Calibri" w:hint="default"/>
        <w:spacing w:val="-1"/>
        <w:w w:val="99"/>
        <w:sz w:val="32"/>
        <w:szCs w:val="32"/>
      </w:rPr>
    </w:lvl>
    <w:lvl w:ilvl="2">
      <w:start w:val="1"/>
      <w:numFmt w:val="bullet"/>
      <w:lvlText w:val="•"/>
      <w:lvlJc w:val="left"/>
      <w:pPr>
        <w:ind w:left="2937" w:hanging="720"/>
      </w:pPr>
      <w:rPr>
        <w:rFonts w:hint="default"/>
      </w:rPr>
    </w:lvl>
    <w:lvl w:ilvl="3">
      <w:start w:val="1"/>
      <w:numFmt w:val="bullet"/>
      <w:lvlText w:val="•"/>
      <w:lvlJc w:val="left"/>
      <w:pPr>
        <w:ind w:left="3816"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573" w:hanging="720"/>
      </w:pPr>
      <w:rPr>
        <w:rFonts w:hint="default"/>
      </w:rPr>
    </w:lvl>
    <w:lvl w:ilvl="6">
      <w:start w:val="1"/>
      <w:numFmt w:val="bullet"/>
      <w:lvlText w:val="•"/>
      <w:lvlJc w:val="left"/>
      <w:pPr>
        <w:ind w:left="6452" w:hanging="720"/>
      </w:pPr>
      <w:rPr>
        <w:rFonts w:hint="default"/>
      </w:rPr>
    </w:lvl>
    <w:lvl w:ilvl="7">
      <w:start w:val="1"/>
      <w:numFmt w:val="bullet"/>
      <w:lvlText w:val="•"/>
      <w:lvlJc w:val="left"/>
      <w:pPr>
        <w:ind w:left="7330" w:hanging="720"/>
      </w:pPr>
      <w:rPr>
        <w:rFonts w:hint="default"/>
      </w:rPr>
    </w:lvl>
    <w:lvl w:ilvl="8">
      <w:start w:val="1"/>
      <w:numFmt w:val="bullet"/>
      <w:lvlText w:val="•"/>
      <w:lvlJc w:val="left"/>
      <w:pPr>
        <w:ind w:left="8209" w:hanging="720"/>
      </w:pPr>
      <w:rPr>
        <w:rFonts w:hint="default"/>
      </w:rPr>
    </w:lvl>
  </w:abstractNum>
  <w:abstractNum w:abstractNumId="2" w15:restartNumberingAfterBreak="0">
    <w:nsid w:val="16916478"/>
    <w:multiLevelType w:val="hybridMultilevel"/>
    <w:tmpl w:val="3C0AA324"/>
    <w:lvl w:ilvl="0" w:tplc="1AC07764">
      <w:start w:val="1"/>
      <w:numFmt w:val="bullet"/>
      <w:lvlText w:val=""/>
      <w:lvlJc w:val="left"/>
      <w:pPr>
        <w:ind w:left="820" w:hanging="360"/>
      </w:pPr>
      <w:rPr>
        <w:rFonts w:ascii="Symbol" w:eastAsia="Symbol" w:hAnsi="Symbol" w:hint="default"/>
        <w:sz w:val="22"/>
        <w:szCs w:val="22"/>
      </w:rPr>
    </w:lvl>
    <w:lvl w:ilvl="1" w:tplc="A72CCF46">
      <w:start w:val="1"/>
      <w:numFmt w:val="bullet"/>
      <w:lvlText w:val="•"/>
      <w:lvlJc w:val="left"/>
      <w:pPr>
        <w:ind w:left="1735" w:hanging="360"/>
      </w:pPr>
      <w:rPr>
        <w:rFonts w:hint="default"/>
      </w:rPr>
    </w:lvl>
    <w:lvl w:ilvl="2" w:tplc="6A4C3FA4">
      <w:start w:val="1"/>
      <w:numFmt w:val="bullet"/>
      <w:lvlText w:val="•"/>
      <w:lvlJc w:val="left"/>
      <w:pPr>
        <w:ind w:left="2649" w:hanging="360"/>
      </w:pPr>
      <w:rPr>
        <w:rFonts w:hint="default"/>
      </w:rPr>
    </w:lvl>
    <w:lvl w:ilvl="3" w:tplc="E97A7B14">
      <w:start w:val="1"/>
      <w:numFmt w:val="bullet"/>
      <w:lvlText w:val="•"/>
      <w:lvlJc w:val="left"/>
      <w:pPr>
        <w:ind w:left="3564" w:hanging="360"/>
      </w:pPr>
      <w:rPr>
        <w:rFonts w:hint="default"/>
      </w:rPr>
    </w:lvl>
    <w:lvl w:ilvl="4" w:tplc="49A841AA">
      <w:start w:val="1"/>
      <w:numFmt w:val="bullet"/>
      <w:lvlText w:val="•"/>
      <w:lvlJc w:val="left"/>
      <w:pPr>
        <w:ind w:left="4478" w:hanging="360"/>
      </w:pPr>
      <w:rPr>
        <w:rFonts w:hint="default"/>
      </w:rPr>
    </w:lvl>
    <w:lvl w:ilvl="5" w:tplc="9EE685A6">
      <w:start w:val="1"/>
      <w:numFmt w:val="bullet"/>
      <w:lvlText w:val="•"/>
      <w:lvlJc w:val="left"/>
      <w:pPr>
        <w:ind w:left="5393" w:hanging="360"/>
      </w:pPr>
      <w:rPr>
        <w:rFonts w:hint="default"/>
      </w:rPr>
    </w:lvl>
    <w:lvl w:ilvl="6" w:tplc="BD749222">
      <w:start w:val="1"/>
      <w:numFmt w:val="bullet"/>
      <w:lvlText w:val="•"/>
      <w:lvlJc w:val="left"/>
      <w:pPr>
        <w:ind w:left="6308" w:hanging="360"/>
      </w:pPr>
      <w:rPr>
        <w:rFonts w:hint="default"/>
      </w:rPr>
    </w:lvl>
    <w:lvl w:ilvl="7" w:tplc="B308A922">
      <w:start w:val="1"/>
      <w:numFmt w:val="bullet"/>
      <w:lvlText w:val="•"/>
      <w:lvlJc w:val="left"/>
      <w:pPr>
        <w:ind w:left="7222" w:hanging="360"/>
      </w:pPr>
      <w:rPr>
        <w:rFonts w:hint="default"/>
      </w:rPr>
    </w:lvl>
    <w:lvl w:ilvl="8" w:tplc="1DF0E570">
      <w:start w:val="1"/>
      <w:numFmt w:val="bullet"/>
      <w:lvlText w:val="•"/>
      <w:lvlJc w:val="left"/>
      <w:pPr>
        <w:ind w:left="8137" w:hanging="360"/>
      </w:pPr>
      <w:rPr>
        <w:rFonts w:hint="default"/>
      </w:rPr>
    </w:lvl>
  </w:abstractNum>
  <w:abstractNum w:abstractNumId="3" w15:restartNumberingAfterBreak="0">
    <w:nsid w:val="1EC81A1C"/>
    <w:multiLevelType w:val="hybridMultilevel"/>
    <w:tmpl w:val="C2F83F16"/>
    <w:lvl w:ilvl="0" w:tplc="BC6AC608">
      <w:start w:val="1"/>
      <w:numFmt w:val="decimal"/>
      <w:lvlText w:val="%1."/>
      <w:lvlJc w:val="left"/>
      <w:pPr>
        <w:ind w:left="820" w:hanging="360"/>
      </w:pPr>
      <w:rPr>
        <w:rFonts w:ascii="Calibri" w:eastAsia="Calibri" w:hAnsi="Calibri" w:hint="default"/>
        <w:sz w:val="24"/>
        <w:szCs w:val="24"/>
      </w:rPr>
    </w:lvl>
    <w:lvl w:ilvl="1" w:tplc="B4B88A64">
      <w:start w:val="1"/>
      <w:numFmt w:val="bullet"/>
      <w:lvlText w:val="•"/>
      <w:lvlJc w:val="left"/>
      <w:pPr>
        <w:ind w:left="1735" w:hanging="360"/>
      </w:pPr>
      <w:rPr>
        <w:rFonts w:hint="default"/>
      </w:rPr>
    </w:lvl>
    <w:lvl w:ilvl="2" w:tplc="B03EE6F2">
      <w:start w:val="1"/>
      <w:numFmt w:val="bullet"/>
      <w:lvlText w:val="•"/>
      <w:lvlJc w:val="left"/>
      <w:pPr>
        <w:ind w:left="2649" w:hanging="360"/>
      </w:pPr>
      <w:rPr>
        <w:rFonts w:hint="default"/>
      </w:rPr>
    </w:lvl>
    <w:lvl w:ilvl="3" w:tplc="926CA322">
      <w:start w:val="1"/>
      <w:numFmt w:val="bullet"/>
      <w:lvlText w:val="•"/>
      <w:lvlJc w:val="left"/>
      <w:pPr>
        <w:ind w:left="3564" w:hanging="360"/>
      </w:pPr>
      <w:rPr>
        <w:rFonts w:hint="default"/>
      </w:rPr>
    </w:lvl>
    <w:lvl w:ilvl="4" w:tplc="E2A689F6">
      <w:start w:val="1"/>
      <w:numFmt w:val="bullet"/>
      <w:lvlText w:val="•"/>
      <w:lvlJc w:val="left"/>
      <w:pPr>
        <w:ind w:left="4478" w:hanging="360"/>
      </w:pPr>
      <w:rPr>
        <w:rFonts w:hint="default"/>
      </w:rPr>
    </w:lvl>
    <w:lvl w:ilvl="5" w:tplc="17C431E4">
      <w:start w:val="1"/>
      <w:numFmt w:val="bullet"/>
      <w:lvlText w:val="•"/>
      <w:lvlJc w:val="left"/>
      <w:pPr>
        <w:ind w:left="5393" w:hanging="360"/>
      </w:pPr>
      <w:rPr>
        <w:rFonts w:hint="default"/>
      </w:rPr>
    </w:lvl>
    <w:lvl w:ilvl="6" w:tplc="4A924E82">
      <w:start w:val="1"/>
      <w:numFmt w:val="bullet"/>
      <w:lvlText w:val="•"/>
      <w:lvlJc w:val="left"/>
      <w:pPr>
        <w:ind w:left="6308" w:hanging="360"/>
      </w:pPr>
      <w:rPr>
        <w:rFonts w:hint="default"/>
      </w:rPr>
    </w:lvl>
    <w:lvl w:ilvl="7" w:tplc="62E45914">
      <w:start w:val="1"/>
      <w:numFmt w:val="bullet"/>
      <w:lvlText w:val="•"/>
      <w:lvlJc w:val="left"/>
      <w:pPr>
        <w:ind w:left="7222" w:hanging="360"/>
      </w:pPr>
      <w:rPr>
        <w:rFonts w:hint="default"/>
      </w:rPr>
    </w:lvl>
    <w:lvl w:ilvl="8" w:tplc="B6D800A6">
      <w:start w:val="1"/>
      <w:numFmt w:val="bullet"/>
      <w:lvlText w:val="•"/>
      <w:lvlJc w:val="left"/>
      <w:pPr>
        <w:ind w:left="8137" w:hanging="360"/>
      </w:pPr>
      <w:rPr>
        <w:rFonts w:hint="default"/>
      </w:rPr>
    </w:lvl>
  </w:abstractNum>
  <w:abstractNum w:abstractNumId="4" w15:restartNumberingAfterBreak="0">
    <w:nsid w:val="1FEB374A"/>
    <w:multiLevelType w:val="hybridMultilevel"/>
    <w:tmpl w:val="9B22F4EC"/>
    <w:lvl w:ilvl="0" w:tplc="926012CA">
      <w:start w:val="1"/>
      <w:numFmt w:val="bullet"/>
      <w:lvlText w:val=""/>
      <w:lvlJc w:val="left"/>
      <w:pPr>
        <w:ind w:left="820" w:hanging="360"/>
      </w:pPr>
      <w:rPr>
        <w:rFonts w:ascii="Symbol" w:eastAsia="Symbol" w:hAnsi="Symbol" w:hint="default"/>
        <w:w w:val="99"/>
        <w:sz w:val="20"/>
        <w:szCs w:val="20"/>
      </w:rPr>
    </w:lvl>
    <w:lvl w:ilvl="1" w:tplc="41F241CE">
      <w:start w:val="1"/>
      <w:numFmt w:val="bullet"/>
      <w:lvlText w:val="•"/>
      <w:lvlJc w:val="left"/>
      <w:pPr>
        <w:ind w:left="1735" w:hanging="360"/>
      </w:pPr>
      <w:rPr>
        <w:rFonts w:hint="default"/>
      </w:rPr>
    </w:lvl>
    <w:lvl w:ilvl="2" w:tplc="DBF000B2">
      <w:start w:val="1"/>
      <w:numFmt w:val="bullet"/>
      <w:lvlText w:val="•"/>
      <w:lvlJc w:val="left"/>
      <w:pPr>
        <w:ind w:left="2649" w:hanging="360"/>
      </w:pPr>
      <w:rPr>
        <w:rFonts w:hint="default"/>
      </w:rPr>
    </w:lvl>
    <w:lvl w:ilvl="3" w:tplc="F5CC457C">
      <w:start w:val="1"/>
      <w:numFmt w:val="bullet"/>
      <w:lvlText w:val="•"/>
      <w:lvlJc w:val="left"/>
      <w:pPr>
        <w:ind w:left="3564" w:hanging="360"/>
      </w:pPr>
      <w:rPr>
        <w:rFonts w:hint="default"/>
      </w:rPr>
    </w:lvl>
    <w:lvl w:ilvl="4" w:tplc="2C228AAE">
      <w:start w:val="1"/>
      <w:numFmt w:val="bullet"/>
      <w:lvlText w:val="•"/>
      <w:lvlJc w:val="left"/>
      <w:pPr>
        <w:ind w:left="4478" w:hanging="360"/>
      </w:pPr>
      <w:rPr>
        <w:rFonts w:hint="default"/>
      </w:rPr>
    </w:lvl>
    <w:lvl w:ilvl="5" w:tplc="B2804686">
      <w:start w:val="1"/>
      <w:numFmt w:val="bullet"/>
      <w:lvlText w:val="•"/>
      <w:lvlJc w:val="left"/>
      <w:pPr>
        <w:ind w:left="5393" w:hanging="360"/>
      </w:pPr>
      <w:rPr>
        <w:rFonts w:hint="default"/>
      </w:rPr>
    </w:lvl>
    <w:lvl w:ilvl="6" w:tplc="D284A6C0">
      <w:start w:val="1"/>
      <w:numFmt w:val="bullet"/>
      <w:lvlText w:val="•"/>
      <w:lvlJc w:val="left"/>
      <w:pPr>
        <w:ind w:left="6308" w:hanging="360"/>
      </w:pPr>
      <w:rPr>
        <w:rFonts w:hint="default"/>
      </w:rPr>
    </w:lvl>
    <w:lvl w:ilvl="7" w:tplc="9AB69E84">
      <w:start w:val="1"/>
      <w:numFmt w:val="bullet"/>
      <w:lvlText w:val="•"/>
      <w:lvlJc w:val="left"/>
      <w:pPr>
        <w:ind w:left="7222" w:hanging="360"/>
      </w:pPr>
      <w:rPr>
        <w:rFonts w:hint="default"/>
      </w:rPr>
    </w:lvl>
    <w:lvl w:ilvl="8" w:tplc="C20484B4">
      <w:start w:val="1"/>
      <w:numFmt w:val="bullet"/>
      <w:lvlText w:val="•"/>
      <w:lvlJc w:val="left"/>
      <w:pPr>
        <w:ind w:left="8137" w:hanging="360"/>
      </w:pPr>
      <w:rPr>
        <w:rFonts w:hint="default"/>
      </w:rPr>
    </w:lvl>
  </w:abstractNum>
  <w:abstractNum w:abstractNumId="5" w15:restartNumberingAfterBreak="0">
    <w:nsid w:val="209101CF"/>
    <w:multiLevelType w:val="multilevel"/>
    <w:tmpl w:val="F304A850"/>
    <w:lvl w:ilvl="0">
      <w:start w:val="1"/>
      <w:numFmt w:val="decimal"/>
      <w:lvlText w:val="%1."/>
      <w:lvlJc w:val="left"/>
      <w:pPr>
        <w:ind w:left="539" w:hanging="440"/>
      </w:pPr>
      <w:rPr>
        <w:rFonts w:ascii="Calibri" w:eastAsia="Calibri" w:hAnsi="Calibri" w:hint="default"/>
        <w:sz w:val="22"/>
        <w:szCs w:val="22"/>
      </w:rPr>
    </w:lvl>
    <w:lvl w:ilvl="1">
      <w:start w:val="1"/>
      <w:numFmt w:val="decimal"/>
      <w:lvlText w:val="%1.%2."/>
      <w:lvlJc w:val="left"/>
      <w:pPr>
        <w:ind w:left="981" w:hanging="660"/>
      </w:pPr>
      <w:rPr>
        <w:rFonts w:ascii="Calibri" w:eastAsia="Calibri" w:hAnsi="Calibri" w:hint="default"/>
        <w:sz w:val="22"/>
        <w:szCs w:val="22"/>
      </w:rPr>
    </w:lvl>
    <w:lvl w:ilvl="2">
      <w:start w:val="1"/>
      <w:numFmt w:val="decimal"/>
      <w:lvlText w:val="%1.%2.%3."/>
      <w:lvlJc w:val="left"/>
      <w:pPr>
        <w:ind w:left="1420" w:hanging="881"/>
      </w:pPr>
      <w:rPr>
        <w:rFonts w:ascii="Calibri" w:eastAsia="Calibri" w:hAnsi="Calibri" w:hint="default"/>
        <w:sz w:val="22"/>
        <w:szCs w:val="22"/>
      </w:rPr>
    </w:lvl>
    <w:lvl w:ilvl="3">
      <w:start w:val="1"/>
      <w:numFmt w:val="bullet"/>
      <w:lvlText w:val="•"/>
      <w:lvlJc w:val="left"/>
      <w:pPr>
        <w:ind w:left="2488" w:hanging="881"/>
      </w:pPr>
      <w:rPr>
        <w:rFonts w:hint="default"/>
      </w:rPr>
    </w:lvl>
    <w:lvl w:ilvl="4">
      <w:start w:val="1"/>
      <w:numFmt w:val="bullet"/>
      <w:lvlText w:val="•"/>
      <w:lvlJc w:val="left"/>
      <w:pPr>
        <w:ind w:left="3556" w:hanging="881"/>
      </w:pPr>
      <w:rPr>
        <w:rFonts w:hint="default"/>
      </w:rPr>
    </w:lvl>
    <w:lvl w:ilvl="5">
      <w:start w:val="1"/>
      <w:numFmt w:val="bullet"/>
      <w:lvlText w:val="•"/>
      <w:lvlJc w:val="left"/>
      <w:pPr>
        <w:ind w:left="4625" w:hanging="881"/>
      </w:pPr>
      <w:rPr>
        <w:rFonts w:hint="default"/>
      </w:rPr>
    </w:lvl>
    <w:lvl w:ilvl="6">
      <w:start w:val="1"/>
      <w:numFmt w:val="bullet"/>
      <w:lvlText w:val="•"/>
      <w:lvlJc w:val="left"/>
      <w:pPr>
        <w:ind w:left="5693" w:hanging="881"/>
      </w:pPr>
      <w:rPr>
        <w:rFonts w:hint="default"/>
      </w:rPr>
    </w:lvl>
    <w:lvl w:ilvl="7">
      <w:start w:val="1"/>
      <w:numFmt w:val="bullet"/>
      <w:lvlText w:val="•"/>
      <w:lvlJc w:val="left"/>
      <w:pPr>
        <w:ind w:left="6761" w:hanging="881"/>
      </w:pPr>
      <w:rPr>
        <w:rFonts w:hint="default"/>
      </w:rPr>
    </w:lvl>
    <w:lvl w:ilvl="8">
      <w:start w:val="1"/>
      <w:numFmt w:val="bullet"/>
      <w:lvlText w:val="•"/>
      <w:lvlJc w:val="left"/>
      <w:pPr>
        <w:ind w:left="7829" w:hanging="881"/>
      </w:pPr>
      <w:rPr>
        <w:rFonts w:hint="default"/>
      </w:rPr>
    </w:lvl>
  </w:abstractNum>
  <w:abstractNum w:abstractNumId="6" w15:restartNumberingAfterBreak="0">
    <w:nsid w:val="2744166D"/>
    <w:multiLevelType w:val="hybridMultilevel"/>
    <w:tmpl w:val="140C50E8"/>
    <w:lvl w:ilvl="0" w:tplc="4BCC22E0">
      <w:start w:val="1"/>
      <w:numFmt w:val="bullet"/>
      <w:lvlText w:val="–"/>
      <w:lvlJc w:val="left"/>
      <w:pPr>
        <w:ind w:left="100" w:hanging="207"/>
      </w:pPr>
      <w:rPr>
        <w:rFonts w:ascii="Calibri" w:eastAsia="Calibri" w:hAnsi="Calibri" w:hint="default"/>
        <w:sz w:val="24"/>
        <w:szCs w:val="24"/>
      </w:rPr>
    </w:lvl>
    <w:lvl w:ilvl="1" w:tplc="3340A7DC">
      <w:start w:val="1"/>
      <w:numFmt w:val="bullet"/>
      <w:lvlText w:val=""/>
      <w:lvlJc w:val="left"/>
      <w:pPr>
        <w:ind w:left="820" w:hanging="360"/>
      </w:pPr>
      <w:rPr>
        <w:rFonts w:ascii="Symbol" w:eastAsia="Symbol" w:hAnsi="Symbol" w:hint="default"/>
        <w:w w:val="99"/>
        <w:sz w:val="20"/>
        <w:szCs w:val="20"/>
      </w:rPr>
    </w:lvl>
    <w:lvl w:ilvl="2" w:tplc="19D8C5A0">
      <w:start w:val="1"/>
      <w:numFmt w:val="bullet"/>
      <w:lvlText w:val="▪"/>
      <w:lvlJc w:val="left"/>
      <w:pPr>
        <w:ind w:left="1540" w:hanging="360"/>
      </w:pPr>
      <w:rPr>
        <w:rFonts w:ascii="Microsoft Sans Serif" w:eastAsia="Microsoft Sans Serif" w:hAnsi="Microsoft Sans Serif" w:hint="default"/>
        <w:w w:val="129"/>
        <w:sz w:val="24"/>
        <w:szCs w:val="24"/>
      </w:rPr>
    </w:lvl>
    <w:lvl w:ilvl="3" w:tplc="062AB9EE">
      <w:start w:val="1"/>
      <w:numFmt w:val="bullet"/>
      <w:lvlText w:val="•"/>
      <w:lvlJc w:val="left"/>
      <w:pPr>
        <w:ind w:left="1900" w:hanging="360"/>
      </w:pPr>
      <w:rPr>
        <w:rFonts w:hint="default"/>
      </w:rPr>
    </w:lvl>
    <w:lvl w:ilvl="4" w:tplc="8436797E">
      <w:start w:val="1"/>
      <w:numFmt w:val="bullet"/>
      <w:lvlText w:val="•"/>
      <w:lvlJc w:val="left"/>
      <w:pPr>
        <w:ind w:left="3052" w:hanging="360"/>
      </w:pPr>
      <w:rPr>
        <w:rFonts w:hint="default"/>
      </w:rPr>
    </w:lvl>
    <w:lvl w:ilvl="5" w:tplc="671E690C">
      <w:start w:val="1"/>
      <w:numFmt w:val="bullet"/>
      <w:lvlText w:val="•"/>
      <w:lvlJc w:val="left"/>
      <w:pPr>
        <w:ind w:left="4204" w:hanging="360"/>
      </w:pPr>
      <w:rPr>
        <w:rFonts w:hint="default"/>
      </w:rPr>
    </w:lvl>
    <w:lvl w:ilvl="6" w:tplc="6A689E7A">
      <w:start w:val="1"/>
      <w:numFmt w:val="bullet"/>
      <w:lvlText w:val="•"/>
      <w:lvlJc w:val="left"/>
      <w:pPr>
        <w:ind w:left="5357" w:hanging="360"/>
      </w:pPr>
      <w:rPr>
        <w:rFonts w:hint="default"/>
      </w:rPr>
    </w:lvl>
    <w:lvl w:ilvl="7" w:tplc="4D982698">
      <w:start w:val="1"/>
      <w:numFmt w:val="bullet"/>
      <w:lvlText w:val="•"/>
      <w:lvlJc w:val="left"/>
      <w:pPr>
        <w:ind w:left="6509" w:hanging="360"/>
      </w:pPr>
      <w:rPr>
        <w:rFonts w:hint="default"/>
      </w:rPr>
    </w:lvl>
    <w:lvl w:ilvl="8" w:tplc="F5BCC208">
      <w:start w:val="1"/>
      <w:numFmt w:val="bullet"/>
      <w:lvlText w:val="•"/>
      <w:lvlJc w:val="left"/>
      <w:pPr>
        <w:ind w:left="7661" w:hanging="360"/>
      </w:pPr>
      <w:rPr>
        <w:rFonts w:hint="default"/>
      </w:rPr>
    </w:lvl>
  </w:abstractNum>
  <w:abstractNum w:abstractNumId="7" w15:restartNumberingAfterBreak="0">
    <w:nsid w:val="287C467C"/>
    <w:multiLevelType w:val="multilevel"/>
    <w:tmpl w:val="7BBEAC0C"/>
    <w:lvl w:ilvl="0">
      <w:start w:val="4"/>
      <w:numFmt w:val="decimal"/>
      <w:lvlText w:val="%1"/>
      <w:lvlJc w:val="left"/>
      <w:pPr>
        <w:ind w:left="1180" w:hanging="720"/>
      </w:pPr>
      <w:rPr>
        <w:rFonts w:hint="default"/>
      </w:rPr>
    </w:lvl>
    <w:lvl w:ilvl="1">
      <w:start w:val="2"/>
      <w:numFmt w:val="decimal"/>
      <w:lvlText w:val="%1.%2."/>
      <w:lvlJc w:val="left"/>
      <w:pPr>
        <w:ind w:left="1180" w:hanging="720"/>
      </w:pPr>
      <w:rPr>
        <w:rFonts w:ascii="Calibri" w:eastAsia="Calibri" w:hAnsi="Calibri" w:hint="default"/>
        <w:spacing w:val="-1"/>
        <w:w w:val="99"/>
        <w:sz w:val="32"/>
        <w:szCs w:val="32"/>
      </w:rPr>
    </w:lvl>
    <w:lvl w:ilvl="2">
      <w:start w:val="1"/>
      <w:numFmt w:val="bullet"/>
      <w:lvlText w:val="•"/>
      <w:lvlJc w:val="left"/>
      <w:pPr>
        <w:ind w:left="2937" w:hanging="720"/>
      </w:pPr>
      <w:rPr>
        <w:rFonts w:hint="default"/>
      </w:rPr>
    </w:lvl>
    <w:lvl w:ilvl="3">
      <w:start w:val="1"/>
      <w:numFmt w:val="bullet"/>
      <w:lvlText w:val="•"/>
      <w:lvlJc w:val="left"/>
      <w:pPr>
        <w:ind w:left="3816" w:hanging="720"/>
      </w:pPr>
      <w:rPr>
        <w:rFonts w:hint="default"/>
      </w:rPr>
    </w:lvl>
    <w:lvl w:ilvl="4">
      <w:start w:val="1"/>
      <w:numFmt w:val="bullet"/>
      <w:lvlText w:val="•"/>
      <w:lvlJc w:val="left"/>
      <w:pPr>
        <w:ind w:left="4694" w:hanging="720"/>
      </w:pPr>
      <w:rPr>
        <w:rFonts w:hint="default"/>
      </w:rPr>
    </w:lvl>
    <w:lvl w:ilvl="5">
      <w:start w:val="1"/>
      <w:numFmt w:val="bullet"/>
      <w:lvlText w:val="•"/>
      <w:lvlJc w:val="left"/>
      <w:pPr>
        <w:ind w:left="5573" w:hanging="720"/>
      </w:pPr>
      <w:rPr>
        <w:rFonts w:hint="default"/>
      </w:rPr>
    </w:lvl>
    <w:lvl w:ilvl="6">
      <w:start w:val="1"/>
      <w:numFmt w:val="bullet"/>
      <w:lvlText w:val="•"/>
      <w:lvlJc w:val="left"/>
      <w:pPr>
        <w:ind w:left="6452" w:hanging="720"/>
      </w:pPr>
      <w:rPr>
        <w:rFonts w:hint="default"/>
      </w:rPr>
    </w:lvl>
    <w:lvl w:ilvl="7">
      <w:start w:val="1"/>
      <w:numFmt w:val="bullet"/>
      <w:lvlText w:val="•"/>
      <w:lvlJc w:val="left"/>
      <w:pPr>
        <w:ind w:left="7330" w:hanging="720"/>
      </w:pPr>
      <w:rPr>
        <w:rFonts w:hint="default"/>
      </w:rPr>
    </w:lvl>
    <w:lvl w:ilvl="8">
      <w:start w:val="1"/>
      <w:numFmt w:val="bullet"/>
      <w:lvlText w:val="•"/>
      <w:lvlJc w:val="left"/>
      <w:pPr>
        <w:ind w:left="8209" w:hanging="720"/>
      </w:pPr>
      <w:rPr>
        <w:rFonts w:hint="default"/>
      </w:rPr>
    </w:lvl>
  </w:abstractNum>
  <w:abstractNum w:abstractNumId="8" w15:restartNumberingAfterBreak="0">
    <w:nsid w:val="2B692145"/>
    <w:multiLevelType w:val="multilevel"/>
    <w:tmpl w:val="CDACF284"/>
    <w:lvl w:ilvl="0">
      <w:start w:val="4"/>
      <w:numFmt w:val="upperLetter"/>
      <w:lvlText w:val="%1"/>
      <w:lvlJc w:val="left"/>
      <w:pPr>
        <w:ind w:left="100" w:hanging="510"/>
      </w:pPr>
      <w:rPr>
        <w:rFonts w:hint="default"/>
      </w:rPr>
    </w:lvl>
    <w:lvl w:ilvl="1">
      <w:start w:val="11"/>
      <w:numFmt w:val="decimal"/>
      <w:lvlText w:val="%1.%2"/>
      <w:lvlJc w:val="left"/>
      <w:pPr>
        <w:ind w:left="100" w:hanging="510"/>
      </w:pPr>
      <w:rPr>
        <w:rFonts w:ascii="Calibri" w:eastAsia="Calibri" w:hAnsi="Calibri" w:hint="default"/>
        <w:spacing w:val="1"/>
        <w:sz w:val="24"/>
        <w:szCs w:val="24"/>
      </w:rPr>
    </w:lvl>
    <w:lvl w:ilvl="2">
      <w:start w:val="1"/>
      <w:numFmt w:val="bullet"/>
      <w:lvlText w:val=""/>
      <w:lvlJc w:val="left"/>
      <w:pPr>
        <w:ind w:left="820" w:hanging="360"/>
      </w:pPr>
      <w:rPr>
        <w:rFonts w:ascii="Symbol" w:eastAsia="Symbol" w:hAnsi="Symbol" w:hint="default"/>
        <w:w w:val="99"/>
        <w:sz w:val="20"/>
        <w:szCs w:val="20"/>
      </w:rPr>
    </w:lvl>
    <w:lvl w:ilvl="3">
      <w:start w:val="1"/>
      <w:numFmt w:val="bullet"/>
      <w:lvlText w:val="•"/>
      <w:lvlJc w:val="left"/>
      <w:pPr>
        <w:ind w:left="2852" w:hanging="360"/>
      </w:pPr>
      <w:rPr>
        <w:rFonts w:hint="default"/>
      </w:rPr>
    </w:lvl>
    <w:lvl w:ilvl="4">
      <w:start w:val="1"/>
      <w:numFmt w:val="bullet"/>
      <w:lvlText w:val="•"/>
      <w:lvlJc w:val="left"/>
      <w:pPr>
        <w:ind w:left="3869" w:hanging="360"/>
      </w:pPr>
      <w:rPr>
        <w:rFonts w:hint="default"/>
      </w:rPr>
    </w:lvl>
    <w:lvl w:ilvl="5">
      <w:start w:val="1"/>
      <w:numFmt w:val="bullet"/>
      <w:lvlText w:val="•"/>
      <w:lvlJc w:val="left"/>
      <w:pPr>
        <w:ind w:left="4885" w:hanging="360"/>
      </w:pPr>
      <w:rPr>
        <w:rFonts w:hint="default"/>
      </w:rPr>
    </w:lvl>
    <w:lvl w:ilvl="6">
      <w:start w:val="1"/>
      <w:numFmt w:val="bullet"/>
      <w:lvlText w:val="•"/>
      <w:lvlJc w:val="left"/>
      <w:pPr>
        <w:ind w:left="5901"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933" w:hanging="360"/>
      </w:pPr>
      <w:rPr>
        <w:rFonts w:hint="default"/>
      </w:rPr>
    </w:lvl>
  </w:abstractNum>
  <w:abstractNum w:abstractNumId="9" w15:restartNumberingAfterBreak="0">
    <w:nsid w:val="2F03377D"/>
    <w:multiLevelType w:val="hybridMultilevel"/>
    <w:tmpl w:val="DA28D5F2"/>
    <w:lvl w:ilvl="0" w:tplc="4A04CF12">
      <w:start w:val="1"/>
      <w:numFmt w:val="bullet"/>
      <w:lvlText w:val="•"/>
      <w:lvlJc w:val="left"/>
      <w:pPr>
        <w:ind w:left="820" w:hanging="721"/>
      </w:pPr>
      <w:rPr>
        <w:rFonts w:ascii="Calibri" w:eastAsia="Calibri" w:hAnsi="Calibri" w:hint="default"/>
        <w:sz w:val="24"/>
        <w:szCs w:val="24"/>
      </w:rPr>
    </w:lvl>
    <w:lvl w:ilvl="1" w:tplc="A27AA69E">
      <w:start w:val="1"/>
      <w:numFmt w:val="bullet"/>
      <w:lvlText w:val="▪"/>
      <w:lvlJc w:val="left"/>
      <w:pPr>
        <w:ind w:left="820" w:hanging="360"/>
      </w:pPr>
      <w:rPr>
        <w:rFonts w:ascii="Microsoft Sans Serif" w:eastAsia="Microsoft Sans Serif" w:hAnsi="Microsoft Sans Serif" w:hint="default"/>
        <w:w w:val="128"/>
        <w:sz w:val="20"/>
        <w:szCs w:val="20"/>
      </w:rPr>
    </w:lvl>
    <w:lvl w:ilvl="2" w:tplc="6D000B7E">
      <w:start w:val="1"/>
      <w:numFmt w:val="bullet"/>
      <w:lvlText w:val="•"/>
      <w:lvlJc w:val="left"/>
      <w:pPr>
        <w:ind w:left="2649" w:hanging="360"/>
      </w:pPr>
      <w:rPr>
        <w:rFonts w:hint="default"/>
      </w:rPr>
    </w:lvl>
    <w:lvl w:ilvl="3" w:tplc="4C7E10EC">
      <w:start w:val="1"/>
      <w:numFmt w:val="bullet"/>
      <w:lvlText w:val="•"/>
      <w:lvlJc w:val="left"/>
      <w:pPr>
        <w:ind w:left="3564" w:hanging="360"/>
      </w:pPr>
      <w:rPr>
        <w:rFonts w:hint="default"/>
      </w:rPr>
    </w:lvl>
    <w:lvl w:ilvl="4" w:tplc="81AACD1C">
      <w:start w:val="1"/>
      <w:numFmt w:val="bullet"/>
      <w:lvlText w:val="•"/>
      <w:lvlJc w:val="left"/>
      <w:pPr>
        <w:ind w:left="4478" w:hanging="360"/>
      </w:pPr>
      <w:rPr>
        <w:rFonts w:hint="default"/>
      </w:rPr>
    </w:lvl>
    <w:lvl w:ilvl="5" w:tplc="4FEC834E">
      <w:start w:val="1"/>
      <w:numFmt w:val="bullet"/>
      <w:lvlText w:val="•"/>
      <w:lvlJc w:val="left"/>
      <w:pPr>
        <w:ind w:left="5393" w:hanging="360"/>
      </w:pPr>
      <w:rPr>
        <w:rFonts w:hint="default"/>
      </w:rPr>
    </w:lvl>
    <w:lvl w:ilvl="6" w:tplc="BF187952">
      <w:start w:val="1"/>
      <w:numFmt w:val="bullet"/>
      <w:lvlText w:val="•"/>
      <w:lvlJc w:val="left"/>
      <w:pPr>
        <w:ind w:left="6308" w:hanging="360"/>
      </w:pPr>
      <w:rPr>
        <w:rFonts w:hint="default"/>
      </w:rPr>
    </w:lvl>
    <w:lvl w:ilvl="7" w:tplc="DD942F2E">
      <w:start w:val="1"/>
      <w:numFmt w:val="bullet"/>
      <w:lvlText w:val="•"/>
      <w:lvlJc w:val="left"/>
      <w:pPr>
        <w:ind w:left="7222" w:hanging="360"/>
      </w:pPr>
      <w:rPr>
        <w:rFonts w:hint="default"/>
      </w:rPr>
    </w:lvl>
    <w:lvl w:ilvl="8" w:tplc="64FA625E">
      <w:start w:val="1"/>
      <w:numFmt w:val="bullet"/>
      <w:lvlText w:val="•"/>
      <w:lvlJc w:val="left"/>
      <w:pPr>
        <w:ind w:left="8137" w:hanging="360"/>
      </w:pPr>
      <w:rPr>
        <w:rFonts w:hint="default"/>
      </w:rPr>
    </w:lvl>
  </w:abstractNum>
  <w:abstractNum w:abstractNumId="10" w15:restartNumberingAfterBreak="0">
    <w:nsid w:val="323442A4"/>
    <w:multiLevelType w:val="hybridMultilevel"/>
    <w:tmpl w:val="C5CCA004"/>
    <w:lvl w:ilvl="0" w:tplc="43C8A440">
      <w:start w:val="1"/>
      <w:numFmt w:val="bullet"/>
      <w:lvlText w:val=""/>
      <w:lvlJc w:val="left"/>
      <w:pPr>
        <w:ind w:left="820" w:hanging="360"/>
      </w:pPr>
      <w:rPr>
        <w:rFonts w:ascii="Symbol" w:eastAsia="Symbol" w:hAnsi="Symbol" w:hint="default"/>
        <w:w w:val="99"/>
        <w:sz w:val="20"/>
        <w:szCs w:val="20"/>
      </w:rPr>
    </w:lvl>
    <w:lvl w:ilvl="1" w:tplc="D2386230">
      <w:start w:val="1"/>
      <w:numFmt w:val="bullet"/>
      <w:lvlText w:val="•"/>
      <w:lvlJc w:val="left"/>
      <w:pPr>
        <w:ind w:left="1735" w:hanging="360"/>
      </w:pPr>
      <w:rPr>
        <w:rFonts w:hint="default"/>
      </w:rPr>
    </w:lvl>
    <w:lvl w:ilvl="2" w:tplc="2E06FFBA">
      <w:start w:val="1"/>
      <w:numFmt w:val="bullet"/>
      <w:lvlText w:val="•"/>
      <w:lvlJc w:val="left"/>
      <w:pPr>
        <w:ind w:left="2649" w:hanging="360"/>
      </w:pPr>
      <w:rPr>
        <w:rFonts w:hint="default"/>
      </w:rPr>
    </w:lvl>
    <w:lvl w:ilvl="3" w:tplc="40B27452">
      <w:start w:val="1"/>
      <w:numFmt w:val="bullet"/>
      <w:lvlText w:val="•"/>
      <w:lvlJc w:val="left"/>
      <w:pPr>
        <w:ind w:left="3564" w:hanging="360"/>
      </w:pPr>
      <w:rPr>
        <w:rFonts w:hint="default"/>
      </w:rPr>
    </w:lvl>
    <w:lvl w:ilvl="4" w:tplc="01CC2BC0">
      <w:start w:val="1"/>
      <w:numFmt w:val="bullet"/>
      <w:lvlText w:val="•"/>
      <w:lvlJc w:val="left"/>
      <w:pPr>
        <w:ind w:left="4478" w:hanging="360"/>
      </w:pPr>
      <w:rPr>
        <w:rFonts w:hint="default"/>
      </w:rPr>
    </w:lvl>
    <w:lvl w:ilvl="5" w:tplc="DE20164E">
      <w:start w:val="1"/>
      <w:numFmt w:val="bullet"/>
      <w:lvlText w:val="•"/>
      <w:lvlJc w:val="left"/>
      <w:pPr>
        <w:ind w:left="5393" w:hanging="360"/>
      </w:pPr>
      <w:rPr>
        <w:rFonts w:hint="default"/>
      </w:rPr>
    </w:lvl>
    <w:lvl w:ilvl="6" w:tplc="F7949282">
      <w:start w:val="1"/>
      <w:numFmt w:val="bullet"/>
      <w:lvlText w:val="•"/>
      <w:lvlJc w:val="left"/>
      <w:pPr>
        <w:ind w:left="6308" w:hanging="360"/>
      </w:pPr>
      <w:rPr>
        <w:rFonts w:hint="default"/>
      </w:rPr>
    </w:lvl>
    <w:lvl w:ilvl="7" w:tplc="0DA27F1C">
      <w:start w:val="1"/>
      <w:numFmt w:val="bullet"/>
      <w:lvlText w:val="•"/>
      <w:lvlJc w:val="left"/>
      <w:pPr>
        <w:ind w:left="7222" w:hanging="360"/>
      </w:pPr>
      <w:rPr>
        <w:rFonts w:hint="default"/>
      </w:rPr>
    </w:lvl>
    <w:lvl w:ilvl="8" w:tplc="E026C34A">
      <w:start w:val="1"/>
      <w:numFmt w:val="bullet"/>
      <w:lvlText w:val="•"/>
      <w:lvlJc w:val="left"/>
      <w:pPr>
        <w:ind w:left="8137" w:hanging="360"/>
      </w:pPr>
      <w:rPr>
        <w:rFonts w:hint="default"/>
      </w:rPr>
    </w:lvl>
  </w:abstractNum>
  <w:abstractNum w:abstractNumId="11" w15:restartNumberingAfterBreak="0">
    <w:nsid w:val="33854396"/>
    <w:multiLevelType w:val="multilevel"/>
    <w:tmpl w:val="7C9249F2"/>
    <w:lvl w:ilvl="0">
      <w:start w:val="19"/>
      <w:numFmt w:val="upperLetter"/>
      <w:lvlText w:val="%1"/>
      <w:lvlJc w:val="left"/>
      <w:pPr>
        <w:ind w:left="692" w:hanging="593"/>
      </w:pPr>
      <w:rPr>
        <w:rFonts w:hint="default"/>
      </w:rPr>
    </w:lvl>
    <w:lvl w:ilvl="1">
      <w:start w:val="127"/>
      <w:numFmt w:val="decimal"/>
      <w:lvlText w:val="%1.%2"/>
      <w:lvlJc w:val="left"/>
      <w:pPr>
        <w:ind w:left="692" w:hanging="593"/>
      </w:pPr>
      <w:rPr>
        <w:rFonts w:ascii="Calibri" w:eastAsia="Calibri" w:hAnsi="Calibri" w:hint="default"/>
        <w:spacing w:val="-1"/>
        <w:sz w:val="24"/>
        <w:szCs w:val="24"/>
      </w:rPr>
    </w:lvl>
    <w:lvl w:ilvl="2">
      <w:start w:val="1"/>
      <w:numFmt w:val="decimal"/>
      <w:lvlText w:val="%3."/>
      <w:lvlJc w:val="left"/>
      <w:pPr>
        <w:ind w:left="820" w:hanging="360"/>
      </w:pPr>
      <w:rPr>
        <w:rFonts w:ascii="Calibri" w:eastAsia="Calibri" w:hAnsi="Calibri" w:hint="default"/>
        <w:spacing w:val="-1"/>
        <w:w w:val="99"/>
        <w:sz w:val="20"/>
        <w:szCs w:val="20"/>
      </w:rPr>
    </w:lvl>
    <w:lvl w:ilvl="3">
      <w:start w:val="1"/>
      <w:numFmt w:val="bullet"/>
      <w:lvlText w:val="•"/>
      <w:lvlJc w:val="left"/>
      <w:pPr>
        <w:ind w:left="2852" w:hanging="360"/>
      </w:pPr>
      <w:rPr>
        <w:rFonts w:hint="default"/>
      </w:rPr>
    </w:lvl>
    <w:lvl w:ilvl="4">
      <w:start w:val="1"/>
      <w:numFmt w:val="bullet"/>
      <w:lvlText w:val="•"/>
      <w:lvlJc w:val="left"/>
      <w:pPr>
        <w:ind w:left="3869" w:hanging="360"/>
      </w:pPr>
      <w:rPr>
        <w:rFonts w:hint="default"/>
      </w:rPr>
    </w:lvl>
    <w:lvl w:ilvl="5">
      <w:start w:val="1"/>
      <w:numFmt w:val="bullet"/>
      <w:lvlText w:val="•"/>
      <w:lvlJc w:val="left"/>
      <w:pPr>
        <w:ind w:left="4885" w:hanging="360"/>
      </w:pPr>
      <w:rPr>
        <w:rFonts w:hint="default"/>
      </w:rPr>
    </w:lvl>
    <w:lvl w:ilvl="6">
      <w:start w:val="1"/>
      <w:numFmt w:val="bullet"/>
      <w:lvlText w:val="•"/>
      <w:lvlJc w:val="left"/>
      <w:pPr>
        <w:ind w:left="5901"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933" w:hanging="360"/>
      </w:pPr>
      <w:rPr>
        <w:rFonts w:hint="default"/>
      </w:rPr>
    </w:lvl>
  </w:abstractNum>
  <w:abstractNum w:abstractNumId="12" w15:restartNumberingAfterBreak="0">
    <w:nsid w:val="376B5098"/>
    <w:multiLevelType w:val="hybridMultilevel"/>
    <w:tmpl w:val="4162D0C8"/>
    <w:lvl w:ilvl="0" w:tplc="0BB6910C">
      <w:start w:val="1"/>
      <w:numFmt w:val="lowerLetter"/>
      <w:lvlText w:val="%1)"/>
      <w:lvlJc w:val="left"/>
      <w:pPr>
        <w:ind w:left="341" w:hanging="242"/>
      </w:pPr>
      <w:rPr>
        <w:rFonts w:ascii="Calibri" w:eastAsia="Calibri" w:hAnsi="Calibri" w:hint="default"/>
        <w:sz w:val="24"/>
        <w:szCs w:val="24"/>
      </w:rPr>
    </w:lvl>
    <w:lvl w:ilvl="1" w:tplc="E49CEFF8">
      <w:start w:val="1"/>
      <w:numFmt w:val="bullet"/>
      <w:lvlText w:val=""/>
      <w:lvlJc w:val="left"/>
      <w:pPr>
        <w:ind w:left="820" w:hanging="360"/>
      </w:pPr>
      <w:rPr>
        <w:rFonts w:ascii="Symbol" w:eastAsia="Symbol" w:hAnsi="Symbol" w:hint="default"/>
        <w:w w:val="99"/>
        <w:sz w:val="20"/>
        <w:szCs w:val="20"/>
      </w:rPr>
    </w:lvl>
    <w:lvl w:ilvl="2" w:tplc="836407F2">
      <w:start w:val="1"/>
      <w:numFmt w:val="bullet"/>
      <w:lvlText w:val="•"/>
      <w:lvlJc w:val="left"/>
      <w:pPr>
        <w:ind w:left="1836" w:hanging="360"/>
      </w:pPr>
      <w:rPr>
        <w:rFonts w:hint="default"/>
      </w:rPr>
    </w:lvl>
    <w:lvl w:ilvl="3" w:tplc="475C2708">
      <w:start w:val="1"/>
      <w:numFmt w:val="bullet"/>
      <w:lvlText w:val="•"/>
      <w:lvlJc w:val="left"/>
      <w:pPr>
        <w:ind w:left="2852" w:hanging="360"/>
      </w:pPr>
      <w:rPr>
        <w:rFonts w:hint="default"/>
      </w:rPr>
    </w:lvl>
    <w:lvl w:ilvl="4" w:tplc="BAB67FE0">
      <w:start w:val="1"/>
      <w:numFmt w:val="bullet"/>
      <w:lvlText w:val="•"/>
      <w:lvlJc w:val="left"/>
      <w:pPr>
        <w:ind w:left="3869" w:hanging="360"/>
      </w:pPr>
      <w:rPr>
        <w:rFonts w:hint="default"/>
      </w:rPr>
    </w:lvl>
    <w:lvl w:ilvl="5" w:tplc="52108C7A">
      <w:start w:val="1"/>
      <w:numFmt w:val="bullet"/>
      <w:lvlText w:val="•"/>
      <w:lvlJc w:val="left"/>
      <w:pPr>
        <w:ind w:left="4885" w:hanging="360"/>
      </w:pPr>
      <w:rPr>
        <w:rFonts w:hint="default"/>
      </w:rPr>
    </w:lvl>
    <w:lvl w:ilvl="6" w:tplc="C5B2E1FA">
      <w:start w:val="1"/>
      <w:numFmt w:val="bullet"/>
      <w:lvlText w:val="•"/>
      <w:lvlJc w:val="left"/>
      <w:pPr>
        <w:ind w:left="5901" w:hanging="360"/>
      </w:pPr>
      <w:rPr>
        <w:rFonts w:hint="default"/>
      </w:rPr>
    </w:lvl>
    <w:lvl w:ilvl="7" w:tplc="F922254A">
      <w:start w:val="1"/>
      <w:numFmt w:val="bullet"/>
      <w:lvlText w:val="•"/>
      <w:lvlJc w:val="left"/>
      <w:pPr>
        <w:ind w:left="6917" w:hanging="360"/>
      </w:pPr>
      <w:rPr>
        <w:rFonts w:hint="default"/>
      </w:rPr>
    </w:lvl>
    <w:lvl w:ilvl="8" w:tplc="D654F804">
      <w:start w:val="1"/>
      <w:numFmt w:val="bullet"/>
      <w:lvlText w:val="•"/>
      <w:lvlJc w:val="left"/>
      <w:pPr>
        <w:ind w:left="7933" w:hanging="360"/>
      </w:pPr>
      <w:rPr>
        <w:rFonts w:hint="default"/>
      </w:rPr>
    </w:lvl>
  </w:abstractNum>
  <w:abstractNum w:abstractNumId="13" w15:restartNumberingAfterBreak="0">
    <w:nsid w:val="412D2056"/>
    <w:multiLevelType w:val="hybridMultilevel"/>
    <w:tmpl w:val="84C4B5AC"/>
    <w:lvl w:ilvl="0" w:tplc="155A6D94">
      <w:start w:val="1"/>
      <w:numFmt w:val="bullet"/>
      <w:lvlText w:val=""/>
      <w:lvlJc w:val="left"/>
      <w:pPr>
        <w:ind w:left="1180" w:hanging="360"/>
      </w:pPr>
      <w:rPr>
        <w:rFonts w:ascii="Symbol" w:eastAsia="Symbol" w:hAnsi="Symbol" w:hint="default"/>
        <w:sz w:val="22"/>
        <w:szCs w:val="22"/>
      </w:rPr>
    </w:lvl>
    <w:lvl w:ilvl="1" w:tplc="45DC6A14">
      <w:start w:val="1"/>
      <w:numFmt w:val="bullet"/>
      <w:lvlText w:val="•"/>
      <w:lvlJc w:val="left"/>
      <w:pPr>
        <w:ind w:left="2059" w:hanging="360"/>
      </w:pPr>
      <w:rPr>
        <w:rFonts w:hint="default"/>
      </w:rPr>
    </w:lvl>
    <w:lvl w:ilvl="2" w:tplc="112068EA">
      <w:start w:val="1"/>
      <w:numFmt w:val="bullet"/>
      <w:lvlText w:val="•"/>
      <w:lvlJc w:val="left"/>
      <w:pPr>
        <w:ind w:left="2937" w:hanging="360"/>
      </w:pPr>
      <w:rPr>
        <w:rFonts w:hint="default"/>
      </w:rPr>
    </w:lvl>
    <w:lvl w:ilvl="3" w:tplc="3CA84252">
      <w:start w:val="1"/>
      <w:numFmt w:val="bullet"/>
      <w:lvlText w:val="•"/>
      <w:lvlJc w:val="left"/>
      <w:pPr>
        <w:ind w:left="3816" w:hanging="360"/>
      </w:pPr>
      <w:rPr>
        <w:rFonts w:hint="default"/>
      </w:rPr>
    </w:lvl>
    <w:lvl w:ilvl="4" w:tplc="AA1A329C">
      <w:start w:val="1"/>
      <w:numFmt w:val="bullet"/>
      <w:lvlText w:val="•"/>
      <w:lvlJc w:val="left"/>
      <w:pPr>
        <w:ind w:left="4694" w:hanging="360"/>
      </w:pPr>
      <w:rPr>
        <w:rFonts w:hint="default"/>
      </w:rPr>
    </w:lvl>
    <w:lvl w:ilvl="5" w:tplc="DA4087BA">
      <w:start w:val="1"/>
      <w:numFmt w:val="bullet"/>
      <w:lvlText w:val="•"/>
      <w:lvlJc w:val="left"/>
      <w:pPr>
        <w:ind w:left="5573" w:hanging="360"/>
      </w:pPr>
      <w:rPr>
        <w:rFonts w:hint="default"/>
      </w:rPr>
    </w:lvl>
    <w:lvl w:ilvl="6" w:tplc="4CBAECFA">
      <w:start w:val="1"/>
      <w:numFmt w:val="bullet"/>
      <w:lvlText w:val="•"/>
      <w:lvlJc w:val="left"/>
      <w:pPr>
        <w:ind w:left="6452" w:hanging="360"/>
      </w:pPr>
      <w:rPr>
        <w:rFonts w:hint="default"/>
      </w:rPr>
    </w:lvl>
    <w:lvl w:ilvl="7" w:tplc="D3A2AE90">
      <w:start w:val="1"/>
      <w:numFmt w:val="bullet"/>
      <w:lvlText w:val="•"/>
      <w:lvlJc w:val="left"/>
      <w:pPr>
        <w:ind w:left="7330" w:hanging="360"/>
      </w:pPr>
      <w:rPr>
        <w:rFonts w:hint="default"/>
      </w:rPr>
    </w:lvl>
    <w:lvl w:ilvl="8" w:tplc="438A744C">
      <w:start w:val="1"/>
      <w:numFmt w:val="bullet"/>
      <w:lvlText w:val="•"/>
      <w:lvlJc w:val="left"/>
      <w:pPr>
        <w:ind w:left="8209" w:hanging="360"/>
      </w:pPr>
      <w:rPr>
        <w:rFonts w:hint="default"/>
      </w:rPr>
    </w:lvl>
  </w:abstractNum>
  <w:abstractNum w:abstractNumId="14" w15:restartNumberingAfterBreak="0">
    <w:nsid w:val="43F9710E"/>
    <w:multiLevelType w:val="hybridMultilevel"/>
    <w:tmpl w:val="FD5EBC28"/>
    <w:lvl w:ilvl="0" w:tplc="BDB4388E">
      <w:start w:val="1"/>
      <w:numFmt w:val="bullet"/>
      <w:lvlText w:val=""/>
      <w:lvlJc w:val="left"/>
      <w:pPr>
        <w:ind w:left="820" w:hanging="360"/>
      </w:pPr>
      <w:rPr>
        <w:rFonts w:ascii="Symbol" w:eastAsia="Symbol" w:hAnsi="Symbol" w:hint="default"/>
        <w:sz w:val="24"/>
        <w:szCs w:val="24"/>
      </w:rPr>
    </w:lvl>
    <w:lvl w:ilvl="1" w:tplc="F042D44A">
      <w:start w:val="1"/>
      <w:numFmt w:val="bullet"/>
      <w:lvlText w:val="•"/>
      <w:lvlJc w:val="left"/>
      <w:pPr>
        <w:ind w:left="1735" w:hanging="360"/>
      </w:pPr>
      <w:rPr>
        <w:rFonts w:hint="default"/>
      </w:rPr>
    </w:lvl>
    <w:lvl w:ilvl="2" w:tplc="A8B6F202">
      <w:start w:val="1"/>
      <w:numFmt w:val="bullet"/>
      <w:lvlText w:val="•"/>
      <w:lvlJc w:val="left"/>
      <w:pPr>
        <w:ind w:left="2649" w:hanging="360"/>
      </w:pPr>
      <w:rPr>
        <w:rFonts w:hint="default"/>
      </w:rPr>
    </w:lvl>
    <w:lvl w:ilvl="3" w:tplc="DB6A349C">
      <w:start w:val="1"/>
      <w:numFmt w:val="bullet"/>
      <w:lvlText w:val="•"/>
      <w:lvlJc w:val="left"/>
      <w:pPr>
        <w:ind w:left="3564" w:hanging="360"/>
      </w:pPr>
      <w:rPr>
        <w:rFonts w:hint="default"/>
      </w:rPr>
    </w:lvl>
    <w:lvl w:ilvl="4" w:tplc="8C3A1FC4">
      <w:start w:val="1"/>
      <w:numFmt w:val="bullet"/>
      <w:lvlText w:val="•"/>
      <w:lvlJc w:val="left"/>
      <w:pPr>
        <w:ind w:left="4478" w:hanging="360"/>
      </w:pPr>
      <w:rPr>
        <w:rFonts w:hint="default"/>
      </w:rPr>
    </w:lvl>
    <w:lvl w:ilvl="5" w:tplc="1DD6F19C">
      <w:start w:val="1"/>
      <w:numFmt w:val="bullet"/>
      <w:lvlText w:val="•"/>
      <w:lvlJc w:val="left"/>
      <w:pPr>
        <w:ind w:left="5393" w:hanging="360"/>
      </w:pPr>
      <w:rPr>
        <w:rFonts w:hint="default"/>
      </w:rPr>
    </w:lvl>
    <w:lvl w:ilvl="6" w:tplc="982E8FCA">
      <w:start w:val="1"/>
      <w:numFmt w:val="bullet"/>
      <w:lvlText w:val="•"/>
      <w:lvlJc w:val="left"/>
      <w:pPr>
        <w:ind w:left="6308" w:hanging="360"/>
      </w:pPr>
      <w:rPr>
        <w:rFonts w:hint="default"/>
      </w:rPr>
    </w:lvl>
    <w:lvl w:ilvl="7" w:tplc="A134E3E6">
      <w:start w:val="1"/>
      <w:numFmt w:val="bullet"/>
      <w:lvlText w:val="•"/>
      <w:lvlJc w:val="left"/>
      <w:pPr>
        <w:ind w:left="7222" w:hanging="360"/>
      </w:pPr>
      <w:rPr>
        <w:rFonts w:hint="default"/>
      </w:rPr>
    </w:lvl>
    <w:lvl w:ilvl="8" w:tplc="73F62308">
      <w:start w:val="1"/>
      <w:numFmt w:val="bullet"/>
      <w:lvlText w:val="•"/>
      <w:lvlJc w:val="left"/>
      <w:pPr>
        <w:ind w:left="8137" w:hanging="360"/>
      </w:pPr>
      <w:rPr>
        <w:rFonts w:hint="default"/>
      </w:rPr>
    </w:lvl>
  </w:abstractNum>
  <w:abstractNum w:abstractNumId="15" w15:restartNumberingAfterBreak="0">
    <w:nsid w:val="474E321F"/>
    <w:multiLevelType w:val="multilevel"/>
    <w:tmpl w:val="178222D0"/>
    <w:lvl w:ilvl="0">
      <w:start w:val="5"/>
      <w:numFmt w:val="decimal"/>
      <w:lvlText w:val="%1."/>
      <w:lvlJc w:val="left"/>
      <w:pPr>
        <w:ind w:left="820" w:hanging="360"/>
      </w:pPr>
      <w:rPr>
        <w:rFonts w:ascii="Calibri" w:eastAsia="Calibri" w:hAnsi="Calibri" w:hint="default"/>
        <w:spacing w:val="-1"/>
        <w:sz w:val="36"/>
        <w:szCs w:val="36"/>
      </w:rPr>
    </w:lvl>
    <w:lvl w:ilvl="1">
      <w:start w:val="1"/>
      <w:numFmt w:val="decimal"/>
      <w:lvlText w:val="%1.%2."/>
      <w:lvlJc w:val="left"/>
      <w:pPr>
        <w:ind w:left="1180" w:hanging="720"/>
      </w:pPr>
      <w:rPr>
        <w:rFonts w:ascii="Calibri" w:eastAsia="Calibri" w:hAnsi="Calibri" w:hint="default"/>
        <w:spacing w:val="-1"/>
        <w:w w:val="99"/>
        <w:sz w:val="32"/>
        <w:szCs w:val="32"/>
      </w:rPr>
    </w:lvl>
    <w:lvl w:ilvl="2">
      <w:start w:val="1"/>
      <w:numFmt w:val="bullet"/>
      <w:lvlText w:val="•"/>
      <w:lvlJc w:val="left"/>
      <w:pPr>
        <w:ind w:left="2156" w:hanging="720"/>
      </w:pPr>
      <w:rPr>
        <w:rFonts w:hint="default"/>
      </w:rPr>
    </w:lvl>
    <w:lvl w:ilvl="3">
      <w:start w:val="1"/>
      <w:numFmt w:val="bullet"/>
      <w:lvlText w:val="•"/>
      <w:lvlJc w:val="left"/>
      <w:pPr>
        <w:ind w:left="313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5085" w:hanging="720"/>
      </w:pPr>
      <w:rPr>
        <w:rFonts w:hint="default"/>
      </w:rPr>
    </w:lvl>
    <w:lvl w:ilvl="6">
      <w:start w:val="1"/>
      <w:numFmt w:val="bullet"/>
      <w:lvlText w:val="•"/>
      <w:lvlJc w:val="left"/>
      <w:pPr>
        <w:ind w:left="6061" w:hanging="720"/>
      </w:pPr>
      <w:rPr>
        <w:rFonts w:hint="default"/>
      </w:rPr>
    </w:lvl>
    <w:lvl w:ilvl="7">
      <w:start w:val="1"/>
      <w:numFmt w:val="bullet"/>
      <w:lvlText w:val="•"/>
      <w:lvlJc w:val="left"/>
      <w:pPr>
        <w:ind w:left="7037" w:hanging="720"/>
      </w:pPr>
      <w:rPr>
        <w:rFonts w:hint="default"/>
      </w:rPr>
    </w:lvl>
    <w:lvl w:ilvl="8">
      <w:start w:val="1"/>
      <w:numFmt w:val="bullet"/>
      <w:lvlText w:val="•"/>
      <w:lvlJc w:val="left"/>
      <w:pPr>
        <w:ind w:left="8013" w:hanging="720"/>
      </w:pPr>
      <w:rPr>
        <w:rFonts w:hint="default"/>
      </w:rPr>
    </w:lvl>
  </w:abstractNum>
  <w:abstractNum w:abstractNumId="16" w15:restartNumberingAfterBreak="0">
    <w:nsid w:val="51740A32"/>
    <w:multiLevelType w:val="hybridMultilevel"/>
    <w:tmpl w:val="8DBCD59E"/>
    <w:lvl w:ilvl="0" w:tplc="93D4BF08">
      <w:start w:val="1"/>
      <w:numFmt w:val="bullet"/>
      <w:lvlText w:val=""/>
      <w:lvlJc w:val="left"/>
      <w:pPr>
        <w:ind w:left="820" w:hanging="360"/>
      </w:pPr>
      <w:rPr>
        <w:rFonts w:ascii="Symbol" w:eastAsia="Symbol" w:hAnsi="Symbol" w:hint="default"/>
        <w:sz w:val="24"/>
        <w:szCs w:val="24"/>
      </w:rPr>
    </w:lvl>
    <w:lvl w:ilvl="1" w:tplc="106C7396">
      <w:start w:val="1"/>
      <w:numFmt w:val="bullet"/>
      <w:lvlText w:val="▪"/>
      <w:lvlJc w:val="left"/>
      <w:pPr>
        <w:ind w:left="1560" w:hanging="360"/>
      </w:pPr>
      <w:rPr>
        <w:rFonts w:ascii="Microsoft Sans Serif" w:eastAsia="Microsoft Sans Serif" w:hAnsi="Microsoft Sans Serif" w:hint="default"/>
        <w:w w:val="129"/>
        <w:sz w:val="24"/>
        <w:szCs w:val="24"/>
      </w:rPr>
    </w:lvl>
    <w:lvl w:ilvl="2" w:tplc="DB0CFC76">
      <w:start w:val="1"/>
      <w:numFmt w:val="bullet"/>
      <w:lvlText w:val="•"/>
      <w:lvlJc w:val="left"/>
      <w:pPr>
        <w:ind w:left="1560" w:hanging="360"/>
      </w:pPr>
      <w:rPr>
        <w:rFonts w:hint="default"/>
      </w:rPr>
    </w:lvl>
    <w:lvl w:ilvl="3" w:tplc="F058E400">
      <w:start w:val="1"/>
      <w:numFmt w:val="bullet"/>
      <w:lvlText w:val="•"/>
      <w:lvlJc w:val="left"/>
      <w:pPr>
        <w:ind w:left="2611" w:hanging="360"/>
      </w:pPr>
      <w:rPr>
        <w:rFonts w:hint="default"/>
      </w:rPr>
    </w:lvl>
    <w:lvl w:ilvl="4" w:tplc="68A4EC70">
      <w:start w:val="1"/>
      <w:numFmt w:val="bullet"/>
      <w:lvlText w:val="•"/>
      <w:lvlJc w:val="left"/>
      <w:pPr>
        <w:ind w:left="3661" w:hanging="360"/>
      </w:pPr>
      <w:rPr>
        <w:rFonts w:hint="default"/>
      </w:rPr>
    </w:lvl>
    <w:lvl w:ilvl="5" w:tplc="1EAE7A58">
      <w:start w:val="1"/>
      <w:numFmt w:val="bullet"/>
      <w:lvlText w:val="•"/>
      <w:lvlJc w:val="left"/>
      <w:pPr>
        <w:ind w:left="4712" w:hanging="360"/>
      </w:pPr>
      <w:rPr>
        <w:rFonts w:hint="default"/>
      </w:rPr>
    </w:lvl>
    <w:lvl w:ilvl="6" w:tplc="292E2E90">
      <w:start w:val="1"/>
      <w:numFmt w:val="bullet"/>
      <w:lvlText w:val="•"/>
      <w:lvlJc w:val="left"/>
      <w:pPr>
        <w:ind w:left="5763" w:hanging="360"/>
      </w:pPr>
      <w:rPr>
        <w:rFonts w:hint="default"/>
      </w:rPr>
    </w:lvl>
    <w:lvl w:ilvl="7" w:tplc="91C0D82C">
      <w:start w:val="1"/>
      <w:numFmt w:val="bullet"/>
      <w:lvlText w:val="•"/>
      <w:lvlJc w:val="left"/>
      <w:pPr>
        <w:ind w:left="6814" w:hanging="360"/>
      </w:pPr>
      <w:rPr>
        <w:rFonts w:hint="default"/>
      </w:rPr>
    </w:lvl>
    <w:lvl w:ilvl="8" w:tplc="8E2CBB5A">
      <w:start w:val="1"/>
      <w:numFmt w:val="bullet"/>
      <w:lvlText w:val="•"/>
      <w:lvlJc w:val="left"/>
      <w:pPr>
        <w:ind w:left="7864" w:hanging="360"/>
      </w:pPr>
      <w:rPr>
        <w:rFonts w:hint="default"/>
      </w:rPr>
    </w:lvl>
  </w:abstractNum>
  <w:abstractNum w:abstractNumId="17" w15:restartNumberingAfterBreak="0">
    <w:nsid w:val="557B1F3A"/>
    <w:multiLevelType w:val="multilevel"/>
    <w:tmpl w:val="075CB088"/>
    <w:lvl w:ilvl="0">
      <w:start w:val="16"/>
      <w:numFmt w:val="upperLetter"/>
      <w:lvlText w:val="%1"/>
      <w:lvlJc w:val="left"/>
      <w:pPr>
        <w:ind w:left="461" w:hanging="362"/>
      </w:pPr>
      <w:rPr>
        <w:rFonts w:hint="default"/>
      </w:rPr>
    </w:lvl>
    <w:lvl w:ilvl="1">
      <w:start w:val="1"/>
      <w:numFmt w:val="decimal"/>
      <w:lvlText w:val="%1.%2"/>
      <w:lvlJc w:val="left"/>
      <w:pPr>
        <w:ind w:left="461" w:hanging="362"/>
      </w:pPr>
      <w:rPr>
        <w:rFonts w:ascii="Calibri" w:eastAsia="Calibri" w:hAnsi="Calibri" w:hint="default"/>
        <w:i/>
        <w:w w:val="99"/>
        <w:sz w:val="24"/>
        <w:szCs w:val="24"/>
      </w:rPr>
    </w:lvl>
    <w:lvl w:ilvl="2">
      <w:start w:val="1"/>
      <w:numFmt w:val="bullet"/>
      <w:lvlText w:val="•"/>
      <w:lvlJc w:val="left"/>
      <w:pPr>
        <w:ind w:left="2362" w:hanging="362"/>
      </w:pPr>
      <w:rPr>
        <w:rFonts w:hint="default"/>
      </w:rPr>
    </w:lvl>
    <w:lvl w:ilvl="3">
      <w:start w:val="1"/>
      <w:numFmt w:val="bullet"/>
      <w:lvlText w:val="•"/>
      <w:lvlJc w:val="left"/>
      <w:pPr>
        <w:ind w:left="3313" w:hanging="362"/>
      </w:pPr>
      <w:rPr>
        <w:rFonts w:hint="default"/>
      </w:rPr>
    </w:lvl>
    <w:lvl w:ilvl="4">
      <w:start w:val="1"/>
      <w:numFmt w:val="bullet"/>
      <w:lvlText w:val="•"/>
      <w:lvlJc w:val="left"/>
      <w:pPr>
        <w:ind w:left="4263" w:hanging="362"/>
      </w:pPr>
      <w:rPr>
        <w:rFonts w:hint="default"/>
      </w:rPr>
    </w:lvl>
    <w:lvl w:ilvl="5">
      <w:start w:val="1"/>
      <w:numFmt w:val="bullet"/>
      <w:lvlText w:val="•"/>
      <w:lvlJc w:val="left"/>
      <w:pPr>
        <w:ind w:left="5214" w:hanging="362"/>
      </w:pPr>
      <w:rPr>
        <w:rFonts w:hint="default"/>
      </w:rPr>
    </w:lvl>
    <w:lvl w:ilvl="6">
      <w:start w:val="1"/>
      <w:numFmt w:val="bullet"/>
      <w:lvlText w:val="•"/>
      <w:lvlJc w:val="left"/>
      <w:pPr>
        <w:ind w:left="6164" w:hanging="362"/>
      </w:pPr>
      <w:rPr>
        <w:rFonts w:hint="default"/>
      </w:rPr>
    </w:lvl>
    <w:lvl w:ilvl="7">
      <w:start w:val="1"/>
      <w:numFmt w:val="bullet"/>
      <w:lvlText w:val="•"/>
      <w:lvlJc w:val="left"/>
      <w:pPr>
        <w:ind w:left="7115" w:hanging="362"/>
      </w:pPr>
      <w:rPr>
        <w:rFonts w:hint="default"/>
      </w:rPr>
    </w:lvl>
    <w:lvl w:ilvl="8">
      <w:start w:val="1"/>
      <w:numFmt w:val="bullet"/>
      <w:lvlText w:val="•"/>
      <w:lvlJc w:val="left"/>
      <w:pPr>
        <w:ind w:left="8065" w:hanging="362"/>
      </w:pPr>
      <w:rPr>
        <w:rFonts w:hint="default"/>
      </w:rPr>
    </w:lvl>
  </w:abstractNum>
  <w:abstractNum w:abstractNumId="18" w15:restartNumberingAfterBreak="0">
    <w:nsid w:val="57226972"/>
    <w:multiLevelType w:val="hybridMultilevel"/>
    <w:tmpl w:val="EAD8EBAE"/>
    <w:lvl w:ilvl="0" w:tplc="F19CA7D0">
      <w:start w:val="1"/>
      <w:numFmt w:val="bullet"/>
      <w:lvlText w:val=""/>
      <w:lvlJc w:val="left"/>
      <w:pPr>
        <w:ind w:left="1180" w:hanging="360"/>
      </w:pPr>
      <w:rPr>
        <w:rFonts w:ascii="Symbol" w:eastAsia="Symbol" w:hAnsi="Symbol" w:hint="default"/>
        <w:sz w:val="24"/>
        <w:szCs w:val="24"/>
      </w:rPr>
    </w:lvl>
    <w:lvl w:ilvl="1" w:tplc="87C616FC">
      <w:start w:val="1"/>
      <w:numFmt w:val="bullet"/>
      <w:lvlText w:val="•"/>
      <w:lvlJc w:val="left"/>
      <w:pPr>
        <w:ind w:left="2059" w:hanging="360"/>
      </w:pPr>
      <w:rPr>
        <w:rFonts w:hint="default"/>
      </w:rPr>
    </w:lvl>
    <w:lvl w:ilvl="2" w:tplc="2C309A16">
      <w:start w:val="1"/>
      <w:numFmt w:val="bullet"/>
      <w:lvlText w:val="•"/>
      <w:lvlJc w:val="left"/>
      <w:pPr>
        <w:ind w:left="2937" w:hanging="360"/>
      </w:pPr>
      <w:rPr>
        <w:rFonts w:hint="default"/>
      </w:rPr>
    </w:lvl>
    <w:lvl w:ilvl="3" w:tplc="C5F6174C">
      <w:start w:val="1"/>
      <w:numFmt w:val="bullet"/>
      <w:lvlText w:val="•"/>
      <w:lvlJc w:val="left"/>
      <w:pPr>
        <w:ind w:left="3816" w:hanging="360"/>
      </w:pPr>
      <w:rPr>
        <w:rFonts w:hint="default"/>
      </w:rPr>
    </w:lvl>
    <w:lvl w:ilvl="4" w:tplc="472A6F2C">
      <w:start w:val="1"/>
      <w:numFmt w:val="bullet"/>
      <w:lvlText w:val="•"/>
      <w:lvlJc w:val="left"/>
      <w:pPr>
        <w:ind w:left="4694" w:hanging="360"/>
      </w:pPr>
      <w:rPr>
        <w:rFonts w:hint="default"/>
      </w:rPr>
    </w:lvl>
    <w:lvl w:ilvl="5" w:tplc="7B3C16AA">
      <w:start w:val="1"/>
      <w:numFmt w:val="bullet"/>
      <w:lvlText w:val="•"/>
      <w:lvlJc w:val="left"/>
      <w:pPr>
        <w:ind w:left="5573" w:hanging="360"/>
      </w:pPr>
      <w:rPr>
        <w:rFonts w:hint="default"/>
      </w:rPr>
    </w:lvl>
    <w:lvl w:ilvl="6" w:tplc="CF7C60D6">
      <w:start w:val="1"/>
      <w:numFmt w:val="bullet"/>
      <w:lvlText w:val="•"/>
      <w:lvlJc w:val="left"/>
      <w:pPr>
        <w:ind w:left="6452" w:hanging="360"/>
      </w:pPr>
      <w:rPr>
        <w:rFonts w:hint="default"/>
      </w:rPr>
    </w:lvl>
    <w:lvl w:ilvl="7" w:tplc="5E3A6C6C">
      <w:start w:val="1"/>
      <w:numFmt w:val="bullet"/>
      <w:lvlText w:val="•"/>
      <w:lvlJc w:val="left"/>
      <w:pPr>
        <w:ind w:left="7330" w:hanging="360"/>
      </w:pPr>
      <w:rPr>
        <w:rFonts w:hint="default"/>
      </w:rPr>
    </w:lvl>
    <w:lvl w:ilvl="8" w:tplc="CCCEB170">
      <w:start w:val="1"/>
      <w:numFmt w:val="bullet"/>
      <w:lvlText w:val="•"/>
      <w:lvlJc w:val="left"/>
      <w:pPr>
        <w:ind w:left="8209" w:hanging="360"/>
      </w:pPr>
      <w:rPr>
        <w:rFonts w:hint="default"/>
      </w:rPr>
    </w:lvl>
  </w:abstractNum>
  <w:abstractNum w:abstractNumId="19" w15:restartNumberingAfterBreak="0">
    <w:nsid w:val="77E313B5"/>
    <w:multiLevelType w:val="multilevel"/>
    <w:tmpl w:val="E4A64E2A"/>
    <w:lvl w:ilvl="0">
      <w:start w:val="1"/>
      <w:numFmt w:val="decimal"/>
      <w:lvlText w:val="%1."/>
      <w:lvlJc w:val="left"/>
      <w:pPr>
        <w:ind w:left="820" w:hanging="360"/>
      </w:pPr>
      <w:rPr>
        <w:rFonts w:ascii="Calibri" w:eastAsia="Calibri" w:hAnsi="Calibri" w:hint="default"/>
        <w:spacing w:val="-1"/>
        <w:sz w:val="36"/>
        <w:szCs w:val="36"/>
      </w:rPr>
    </w:lvl>
    <w:lvl w:ilvl="1">
      <w:start w:val="1"/>
      <w:numFmt w:val="decimal"/>
      <w:lvlText w:val="%1.%2."/>
      <w:lvlJc w:val="left"/>
      <w:pPr>
        <w:ind w:left="1180" w:hanging="720"/>
      </w:pPr>
      <w:rPr>
        <w:rFonts w:ascii="Calibri" w:eastAsia="Calibri" w:hAnsi="Calibri" w:hint="default"/>
        <w:spacing w:val="-1"/>
        <w:w w:val="99"/>
        <w:sz w:val="32"/>
        <w:szCs w:val="32"/>
      </w:rPr>
    </w:lvl>
    <w:lvl w:ilvl="2">
      <w:start w:val="1"/>
      <w:numFmt w:val="decimal"/>
      <w:lvlText w:val="%1.%2.%3."/>
      <w:lvlJc w:val="left"/>
      <w:pPr>
        <w:ind w:left="1180" w:hanging="720"/>
      </w:pPr>
      <w:rPr>
        <w:rFonts w:ascii="Calibri" w:eastAsia="Calibri" w:hAnsi="Calibri" w:hint="default"/>
        <w:sz w:val="28"/>
        <w:szCs w:val="28"/>
      </w:rPr>
    </w:lvl>
    <w:lvl w:ilvl="3">
      <w:start w:val="1"/>
      <w:numFmt w:val="bullet"/>
      <w:lvlText w:val="•"/>
      <w:lvlJc w:val="left"/>
      <w:pPr>
        <w:ind w:left="313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5085" w:hanging="720"/>
      </w:pPr>
      <w:rPr>
        <w:rFonts w:hint="default"/>
      </w:rPr>
    </w:lvl>
    <w:lvl w:ilvl="6">
      <w:start w:val="1"/>
      <w:numFmt w:val="bullet"/>
      <w:lvlText w:val="•"/>
      <w:lvlJc w:val="left"/>
      <w:pPr>
        <w:ind w:left="6061" w:hanging="720"/>
      </w:pPr>
      <w:rPr>
        <w:rFonts w:hint="default"/>
      </w:rPr>
    </w:lvl>
    <w:lvl w:ilvl="7">
      <w:start w:val="1"/>
      <w:numFmt w:val="bullet"/>
      <w:lvlText w:val="•"/>
      <w:lvlJc w:val="left"/>
      <w:pPr>
        <w:ind w:left="7037" w:hanging="720"/>
      </w:pPr>
      <w:rPr>
        <w:rFonts w:hint="default"/>
      </w:rPr>
    </w:lvl>
    <w:lvl w:ilvl="8">
      <w:start w:val="1"/>
      <w:numFmt w:val="bullet"/>
      <w:lvlText w:val="•"/>
      <w:lvlJc w:val="left"/>
      <w:pPr>
        <w:ind w:left="8013" w:hanging="720"/>
      </w:pPr>
      <w:rPr>
        <w:rFonts w:hint="default"/>
      </w:rPr>
    </w:lvl>
  </w:abstractNum>
  <w:abstractNum w:abstractNumId="20" w15:restartNumberingAfterBreak="0">
    <w:nsid w:val="7A64177C"/>
    <w:multiLevelType w:val="hybridMultilevel"/>
    <w:tmpl w:val="370AE68C"/>
    <w:lvl w:ilvl="0" w:tplc="373ED206">
      <w:start w:val="1"/>
      <w:numFmt w:val="bullet"/>
      <w:lvlText w:val=""/>
      <w:lvlJc w:val="left"/>
      <w:pPr>
        <w:ind w:left="820" w:hanging="360"/>
      </w:pPr>
      <w:rPr>
        <w:rFonts w:ascii="Symbol" w:eastAsia="Symbol" w:hAnsi="Symbol" w:hint="default"/>
        <w:sz w:val="24"/>
        <w:szCs w:val="24"/>
      </w:rPr>
    </w:lvl>
    <w:lvl w:ilvl="1" w:tplc="C5D63372">
      <w:start w:val="1"/>
      <w:numFmt w:val="bullet"/>
      <w:lvlText w:val="•"/>
      <w:lvlJc w:val="left"/>
      <w:pPr>
        <w:ind w:left="1735" w:hanging="360"/>
      </w:pPr>
      <w:rPr>
        <w:rFonts w:hint="default"/>
      </w:rPr>
    </w:lvl>
    <w:lvl w:ilvl="2" w:tplc="23248674">
      <w:start w:val="1"/>
      <w:numFmt w:val="bullet"/>
      <w:lvlText w:val="•"/>
      <w:lvlJc w:val="left"/>
      <w:pPr>
        <w:ind w:left="2649" w:hanging="360"/>
      </w:pPr>
      <w:rPr>
        <w:rFonts w:hint="default"/>
      </w:rPr>
    </w:lvl>
    <w:lvl w:ilvl="3" w:tplc="960A8E7E">
      <w:start w:val="1"/>
      <w:numFmt w:val="bullet"/>
      <w:lvlText w:val="•"/>
      <w:lvlJc w:val="left"/>
      <w:pPr>
        <w:ind w:left="3564" w:hanging="360"/>
      </w:pPr>
      <w:rPr>
        <w:rFonts w:hint="default"/>
      </w:rPr>
    </w:lvl>
    <w:lvl w:ilvl="4" w:tplc="F162BC16">
      <w:start w:val="1"/>
      <w:numFmt w:val="bullet"/>
      <w:lvlText w:val="•"/>
      <w:lvlJc w:val="left"/>
      <w:pPr>
        <w:ind w:left="4478" w:hanging="360"/>
      </w:pPr>
      <w:rPr>
        <w:rFonts w:hint="default"/>
      </w:rPr>
    </w:lvl>
    <w:lvl w:ilvl="5" w:tplc="1BB0B8EE">
      <w:start w:val="1"/>
      <w:numFmt w:val="bullet"/>
      <w:lvlText w:val="•"/>
      <w:lvlJc w:val="left"/>
      <w:pPr>
        <w:ind w:left="5393" w:hanging="360"/>
      </w:pPr>
      <w:rPr>
        <w:rFonts w:hint="default"/>
      </w:rPr>
    </w:lvl>
    <w:lvl w:ilvl="6" w:tplc="100861DA">
      <w:start w:val="1"/>
      <w:numFmt w:val="bullet"/>
      <w:lvlText w:val="•"/>
      <w:lvlJc w:val="left"/>
      <w:pPr>
        <w:ind w:left="6308" w:hanging="360"/>
      </w:pPr>
      <w:rPr>
        <w:rFonts w:hint="default"/>
      </w:rPr>
    </w:lvl>
    <w:lvl w:ilvl="7" w:tplc="7A62A414">
      <w:start w:val="1"/>
      <w:numFmt w:val="bullet"/>
      <w:lvlText w:val="•"/>
      <w:lvlJc w:val="left"/>
      <w:pPr>
        <w:ind w:left="7222" w:hanging="360"/>
      </w:pPr>
      <w:rPr>
        <w:rFonts w:hint="default"/>
      </w:rPr>
    </w:lvl>
    <w:lvl w:ilvl="8" w:tplc="3252C642">
      <w:start w:val="1"/>
      <w:numFmt w:val="bullet"/>
      <w:lvlText w:val="•"/>
      <w:lvlJc w:val="left"/>
      <w:pPr>
        <w:ind w:left="8137" w:hanging="360"/>
      </w:pPr>
      <w:rPr>
        <w:rFonts w:hint="default"/>
      </w:rPr>
    </w:lvl>
  </w:abstractNum>
  <w:abstractNum w:abstractNumId="21" w15:restartNumberingAfterBreak="0">
    <w:nsid w:val="7F595AC9"/>
    <w:multiLevelType w:val="multilevel"/>
    <w:tmpl w:val="F828A42C"/>
    <w:lvl w:ilvl="0">
      <w:start w:val="4"/>
      <w:numFmt w:val="upperLetter"/>
      <w:lvlText w:val="%1"/>
      <w:lvlJc w:val="left"/>
      <w:pPr>
        <w:ind w:left="609" w:hanging="510"/>
      </w:pPr>
      <w:rPr>
        <w:rFonts w:hint="default"/>
      </w:rPr>
    </w:lvl>
    <w:lvl w:ilvl="1">
      <w:start w:val="39"/>
      <w:numFmt w:val="decimal"/>
      <w:lvlText w:val="%1.%2"/>
      <w:lvlJc w:val="left"/>
      <w:pPr>
        <w:ind w:left="609" w:hanging="510"/>
      </w:pPr>
      <w:rPr>
        <w:rFonts w:ascii="Calibri" w:eastAsia="Calibri" w:hAnsi="Calibri" w:hint="default"/>
        <w:i/>
        <w:sz w:val="24"/>
        <w:szCs w:val="24"/>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852" w:hanging="360"/>
      </w:pPr>
      <w:rPr>
        <w:rFonts w:hint="default"/>
      </w:rPr>
    </w:lvl>
    <w:lvl w:ilvl="4">
      <w:start w:val="1"/>
      <w:numFmt w:val="bullet"/>
      <w:lvlText w:val="•"/>
      <w:lvlJc w:val="left"/>
      <w:pPr>
        <w:ind w:left="3869" w:hanging="360"/>
      </w:pPr>
      <w:rPr>
        <w:rFonts w:hint="default"/>
      </w:rPr>
    </w:lvl>
    <w:lvl w:ilvl="5">
      <w:start w:val="1"/>
      <w:numFmt w:val="bullet"/>
      <w:lvlText w:val="•"/>
      <w:lvlJc w:val="left"/>
      <w:pPr>
        <w:ind w:left="4885" w:hanging="360"/>
      </w:pPr>
      <w:rPr>
        <w:rFonts w:hint="default"/>
      </w:rPr>
    </w:lvl>
    <w:lvl w:ilvl="6">
      <w:start w:val="1"/>
      <w:numFmt w:val="bullet"/>
      <w:lvlText w:val="•"/>
      <w:lvlJc w:val="left"/>
      <w:pPr>
        <w:ind w:left="5901"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933" w:hanging="360"/>
      </w:pPr>
      <w:rPr>
        <w:rFonts w:hint="default"/>
      </w:rPr>
    </w:lvl>
  </w:abstractNum>
  <w:num w:numId="1">
    <w:abstractNumId w:val="18"/>
  </w:num>
  <w:num w:numId="2">
    <w:abstractNumId w:val="14"/>
  </w:num>
  <w:num w:numId="3">
    <w:abstractNumId w:val="12"/>
  </w:num>
  <w:num w:numId="4">
    <w:abstractNumId w:val="8"/>
  </w:num>
  <w:num w:numId="5">
    <w:abstractNumId w:val="9"/>
  </w:num>
  <w:num w:numId="6">
    <w:abstractNumId w:val="4"/>
  </w:num>
  <w:num w:numId="7">
    <w:abstractNumId w:val="13"/>
  </w:num>
  <w:num w:numId="8">
    <w:abstractNumId w:val="2"/>
  </w:num>
  <w:num w:numId="9">
    <w:abstractNumId w:val="15"/>
  </w:num>
  <w:num w:numId="10">
    <w:abstractNumId w:val="7"/>
  </w:num>
  <w:num w:numId="11">
    <w:abstractNumId w:val="21"/>
  </w:num>
  <w:num w:numId="12">
    <w:abstractNumId w:val="17"/>
  </w:num>
  <w:num w:numId="13">
    <w:abstractNumId w:val="20"/>
  </w:num>
  <w:num w:numId="14">
    <w:abstractNumId w:val="10"/>
  </w:num>
  <w:num w:numId="15">
    <w:abstractNumId w:val="11"/>
  </w:num>
  <w:num w:numId="16">
    <w:abstractNumId w:val="6"/>
  </w:num>
  <w:num w:numId="17">
    <w:abstractNumId w:val="3"/>
  </w:num>
  <w:num w:numId="18">
    <w:abstractNumId w:val="1"/>
  </w:num>
  <w:num w:numId="19">
    <w:abstractNumId w:val="16"/>
  </w:num>
  <w:num w:numId="20">
    <w:abstractNumId w:val="1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8536F"/>
    <w:rsid w:val="00021A2F"/>
    <w:rsid w:val="00045840"/>
    <w:rsid w:val="00054450"/>
    <w:rsid w:val="000673D0"/>
    <w:rsid w:val="00080696"/>
    <w:rsid w:val="000B28E8"/>
    <w:rsid w:val="000F4534"/>
    <w:rsid w:val="000F7B2F"/>
    <w:rsid w:val="00104DBE"/>
    <w:rsid w:val="00113E39"/>
    <w:rsid w:val="00123235"/>
    <w:rsid w:val="00144283"/>
    <w:rsid w:val="00151E48"/>
    <w:rsid w:val="0016594C"/>
    <w:rsid w:val="0019675C"/>
    <w:rsid w:val="001E25F7"/>
    <w:rsid w:val="001E377E"/>
    <w:rsid w:val="001E5ACC"/>
    <w:rsid w:val="001F0ECB"/>
    <w:rsid w:val="002103EA"/>
    <w:rsid w:val="00210436"/>
    <w:rsid w:val="00215452"/>
    <w:rsid w:val="00216D05"/>
    <w:rsid w:val="00226479"/>
    <w:rsid w:val="00231C5E"/>
    <w:rsid w:val="00240CB1"/>
    <w:rsid w:val="002512F5"/>
    <w:rsid w:val="00252FCB"/>
    <w:rsid w:val="0026660B"/>
    <w:rsid w:val="002672AA"/>
    <w:rsid w:val="002C49F3"/>
    <w:rsid w:val="002D72C5"/>
    <w:rsid w:val="002E4E62"/>
    <w:rsid w:val="003009BE"/>
    <w:rsid w:val="00317533"/>
    <w:rsid w:val="00360C4F"/>
    <w:rsid w:val="003768EF"/>
    <w:rsid w:val="0039195A"/>
    <w:rsid w:val="003C3DAE"/>
    <w:rsid w:val="0043039A"/>
    <w:rsid w:val="00436DCC"/>
    <w:rsid w:val="00453C70"/>
    <w:rsid w:val="004649FE"/>
    <w:rsid w:val="0049318F"/>
    <w:rsid w:val="004B43A1"/>
    <w:rsid w:val="00573FEF"/>
    <w:rsid w:val="00591393"/>
    <w:rsid w:val="005B6964"/>
    <w:rsid w:val="005C38F2"/>
    <w:rsid w:val="00602180"/>
    <w:rsid w:val="00613D87"/>
    <w:rsid w:val="00674E8C"/>
    <w:rsid w:val="00685D3E"/>
    <w:rsid w:val="00696932"/>
    <w:rsid w:val="006A5007"/>
    <w:rsid w:val="006B3CD6"/>
    <w:rsid w:val="006B76BF"/>
    <w:rsid w:val="00701A20"/>
    <w:rsid w:val="00706C4A"/>
    <w:rsid w:val="00725646"/>
    <w:rsid w:val="0073514F"/>
    <w:rsid w:val="00755045"/>
    <w:rsid w:val="00761115"/>
    <w:rsid w:val="00763119"/>
    <w:rsid w:val="007651F9"/>
    <w:rsid w:val="007804B2"/>
    <w:rsid w:val="007D3A90"/>
    <w:rsid w:val="007D4617"/>
    <w:rsid w:val="007F2A05"/>
    <w:rsid w:val="00801870"/>
    <w:rsid w:val="00925AB9"/>
    <w:rsid w:val="00932E08"/>
    <w:rsid w:val="0094007E"/>
    <w:rsid w:val="009723C3"/>
    <w:rsid w:val="00975B5E"/>
    <w:rsid w:val="009A0F40"/>
    <w:rsid w:val="009C38E4"/>
    <w:rsid w:val="009F3A69"/>
    <w:rsid w:val="009F6D36"/>
    <w:rsid w:val="00A11033"/>
    <w:rsid w:val="00A327DC"/>
    <w:rsid w:val="00A64C49"/>
    <w:rsid w:val="00A76D82"/>
    <w:rsid w:val="00A909B0"/>
    <w:rsid w:val="00AA5295"/>
    <w:rsid w:val="00AC3457"/>
    <w:rsid w:val="00AD18D3"/>
    <w:rsid w:val="00AF0127"/>
    <w:rsid w:val="00B17CB8"/>
    <w:rsid w:val="00B36A7E"/>
    <w:rsid w:val="00B67978"/>
    <w:rsid w:val="00B73DA9"/>
    <w:rsid w:val="00BA19CD"/>
    <w:rsid w:val="00BE6D23"/>
    <w:rsid w:val="00C26B7B"/>
    <w:rsid w:val="00CA77AF"/>
    <w:rsid w:val="00CF44F5"/>
    <w:rsid w:val="00D27610"/>
    <w:rsid w:val="00D343E6"/>
    <w:rsid w:val="00D5717F"/>
    <w:rsid w:val="00DB4D87"/>
    <w:rsid w:val="00DF50AE"/>
    <w:rsid w:val="00E07E81"/>
    <w:rsid w:val="00E7460E"/>
    <w:rsid w:val="00E837CD"/>
    <w:rsid w:val="00E8536F"/>
    <w:rsid w:val="00EC390B"/>
    <w:rsid w:val="00F01571"/>
    <w:rsid w:val="00F367A0"/>
    <w:rsid w:val="00F53E5D"/>
    <w:rsid w:val="00F86897"/>
    <w:rsid w:val="00F90FE7"/>
    <w:rsid w:val="00FB4356"/>
    <w:rsid w:val="00FB7C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B4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
      <w:ind w:left="820" w:hanging="360"/>
      <w:outlineLvl w:val="0"/>
    </w:pPr>
    <w:rPr>
      <w:rFonts w:ascii="Calibri" w:eastAsia="Calibri" w:hAnsi="Calibri"/>
      <w:sz w:val="36"/>
      <w:szCs w:val="36"/>
    </w:rPr>
  </w:style>
  <w:style w:type="paragraph" w:styleId="Heading2">
    <w:name w:val="heading 2"/>
    <w:basedOn w:val="Normal"/>
    <w:uiPriority w:val="9"/>
    <w:unhideWhenUsed/>
    <w:qFormat/>
    <w:pPr>
      <w:ind w:left="1180" w:hanging="720"/>
      <w:outlineLvl w:val="1"/>
    </w:pPr>
    <w:rPr>
      <w:rFonts w:ascii="Calibri" w:eastAsia="Calibri" w:hAnsi="Calibri"/>
      <w:sz w:val="32"/>
      <w:szCs w:val="32"/>
    </w:rPr>
  </w:style>
  <w:style w:type="paragraph" w:styleId="Heading3">
    <w:name w:val="heading 3"/>
    <w:basedOn w:val="Normal"/>
    <w:uiPriority w:val="9"/>
    <w:unhideWhenUsed/>
    <w:qFormat/>
    <w:pPr>
      <w:ind w:left="1180" w:hanging="720"/>
      <w:outlineLvl w:val="2"/>
    </w:pPr>
    <w:rPr>
      <w:rFonts w:ascii="Calibri" w:eastAsia="Calibri" w:hAnsi="Calibri"/>
      <w:sz w:val="28"/>
      <w:szCs w:val="28"/>
    </w:rPr>
  </w:style>
  <w:style w:type="paragraph" w:styleId="Heading4">
    <w:name w:val="heading 4"/>
    <w:basedOn w:val="Normal"/>
    <w:uiPriority w:val="9"/>
    <w:unhideWhenUsed/>
    <w:qFormat/>
    <w:pPr>
      <w:spacing w:before="41"/>
      <w:ind w:left="100"/>
      <w:outlineLvl w:val="3"/>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539" w:hanging="439"/>
    </w:pPr>
    <w:rPr>
      <w:rFonts w:ascii="Calibri" w:eastAsia="Calibri" w:hAnsi="Calibri"/>
    </w:rPr>
  </w:style>
  <w:style w:type="paragraph" w:styleId="TOC2">
    <w:name w:val="toc 2"/>
    <w:basedOn w:val="Normal"/>
    <w:uiPriority w:val="39"/>
    <w:qFormat/>
    <w:pPr>
      <w:spacing w:before="139"/>
      <w:ind w:left="981" w:hanging="660"/>
    </w:pPr>
    <w:rPr>
      <w:rFonts w:ascii="Calibri" w:eastAsia="Calibri" w:hAnsi="Calibri"/>
    </w:rPr>
  </w:style>
  <w:style w:type="paragraph" w:styleId="TOC3">
    <w:name w:val="toc 3"/>
    <w:basedOn w:val="Normal"/>
    <w:uiPriority w:val="39"/>
    <w:qFormat/>
    <w:pPr>
      <w:spacing w:before="139"/>
      <w:ind w:left="1420" w:hanging="881"/>
    </w:pPr>
    <w:rPr>
      <w:rFonts w:ascii="Calibri" w:eastAsia="Calibri" w:hAnsi="Calibri"/>
    </w:rPr>
  </w:style>
  <w:style w:type="paragraph" w:styleId="BodyText">
    <w:name w:val="Body Text"/>
    <w:basedOn w:val="Normal"/>
    <w:uiPriority w:val="1"/>
    <w:qFormat/>
    <w:pPr>
      <w:spacing w:before="163"/>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672AA"/>
    <w:pPr>
      <w:tabs>
        <w:tab w:val="center" w:pos="4513"/>
        <w:tab w:val="right" w:pos="9026"/>
      </w:tabs>
    </w:pPr>
  </w:style>
  <w:style w:type="character" w:customStyle="1" w:styleId="HeaderChar">
    <w:name w:val="Header Char"/>
    <w:basedOn w:val="DefaultParagraphFont"/>
    <w:link w:val="Header"/>
    <w:uiPriority w:val="99"/>
    <w:rsid w:val="002672AA"/>
  </w:style>
  <w:style w:type="paragraph" w:styleId="Footer">
    <w:name w:val="footer"/>
    <w:basedOn w:val="Normal"/>
    <w:link w:val="FooterChar"/>
    <w:unhideWhenUsed/>
    <w:rsid w:val="002672AA"/>
    <w:pPr>
      <w:tabs>
        <w:tab w:val="center" w:pos="4513"/>
        <w:tab w:val="right" w:pos="9026"/>
      </w:tabs>
    </w:pPr>
  </w:style>
  <w:style w:type="character" w:customStyle="1" w:styleId="FooterChar">
    <w:name w:val="Footer Char"/>
    <w:basedOn w:val="DefaultParagraphFont"/>
    <w:link w:val="Footer"/>
    <w:uiPriority w:val="99"/>
    <w:rsid w:val="002672AA"/>
  </w:style>
  <w:style w:type="character" w:styleId="Hyperlink">
    <w:name w:val="Hyperlink"/>
    <w:basedOn w:val="DefaultParagraphFont"/>
    <w:uiPriority w:val="99"/>
    <w:unhideWhenUsed/>
    <w:rsid w:val="00F86897"/>
    <w:rPr>
      <w:color w:val="0000FF" w:themeColor="hyperlink"/>
      <w:u w:val="single"/>
    </w:rPr>
  </w:style>
  <w:style w:type="character" w:styleId="UnresolvedMention">
    <w:name w:val="Unresolved Mention"/>
    <w:basedOn w:val="DefaultParagraphFont"/>
    <w:uiPriority w:val="99"/>
    <w:semiHidden/>
    <w:unhideWhenUsed/>
    <w:rsid w:val="00F86897"/>
    <w:rPr>
      <w:color w:val="605E5C"/>
      <w:shd w:val="clear" w:color="auto" w:fill="E1DFDD"/>
    </w:rPr>
  </w:style>
  <w:style w:type="paragraph" w:styleId="FootnoteText">
    <w:name w:val="footnote text"/>
    <w:basedOn w:val="Normal"/>
    <w:link w:val="FootnoteTextChar"/>
    <w:uiPriority w:val="99"/>
    <w:semiHidden/>
    <w:unhideWhenUsed/>
    <w:rsid w:val="00EC390B"/>
    <w:rPr>
      <w:sz w:val="20"/>
      <w:szCs w:val="20"/>
    </w:rPr>
  </w:style>
  <w:style w:type="character" w:customStyle="1" w:styleId="FootnoteTextChar">
    <w:name w:val="Footnote Text Char"/>
    <w:basedOn w:val="DefaultParagraphFont"/>
    <w:link w:val="FootnoteText"/>
    <w:uiPriority w:val="99"/>
    <w:semiHidden/>
    <w:rsid w:val="00EC390B"/>
    <w:rPr>
      <w:sz w:val="20"/>
      <w:szCs w:val="20"/>
    </w:rPr>
  </w:style>
  <w:style w:type="character" w:styleId="FootnoteReference">
    <w:name w:val="footnote reference"/>
    <w:basedOn w:val="DefaultParagraphFont"/>
    <w:uiPriority w:val="99"/>
    <w:semiHidden/>
    <w:unhideWhenUsed/>
    <w:rsid w:val="00EC390B"/>
    <w:rPr>
      <w:vertAlign w:val="superscript"/>
    </w:rPr>
  </w:style>
  <w:style w:type="table" w:styleId="TableGrid">
    <w:name w:val="Table Grid"/>
    <w:basedOn w:val="TableNormal"/>
    <w:uiPriority w:val="39"/>
    <w:rsid w:val="0036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512F5"/>
  </w:style>
  <w:style w:type="paragraph" w:styleId="TOCHeading">
    <w:name w:val="TOC Heading"/>
    <w:basedOn w:val="Heading1"/>
    <w:next w:val="Normal"/>
    <w:uiPriority w:val="39"/>
    <w:unhideWhenUsed/>
    <w:qFormat/>
    <w:rsid w:val="002C49F3"/>
    <w:pPr>
      <w:keepNext/>
      <w:keepLines/>
      <w:widowControl/>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lv-LV"/>
    </w:rPr>
  </w:style>
  <w:style w:type="character" w:styleId="FollowedHyperlink">
    <w:name w:val="FollowedHyperlink"/>
    <w:basedOn w:val="DefaultParagraphFont"/>
    <w:uiPriority w:val="99"/>
    <w:semiHidden/>
    <w:unhideWhenUsed/>
    <w:rsid w:val="00A64C49"/>
    <w:rPr>
      <w:color w:val="800080" w:themeColor="followedHyperlink"/>
      <w:u w:val="single"/>
    </w:rPr>
  </w:style>
  <w:style w:type="character" w:styleId="CommentReference">
    <w:name w:val="annotation reference"/>
    <w:basedOn w:val="DefaultParagraphFont"/>
    <w:uiPriority w:val="99"/>
    <w:semiHidden/>
    <w:unhideWhenUsed/>
    <w:rsid w:val="00BA19CD"/>
    <w:rPr>
      <w:sz w:val="16"/>
      <w:szCs w:val="16"/>
    </w:rPr>
  </w:style>
  <w:style w:type="paragraph" w:styleId="CommentText">
    <w:name w:val="annotation text"/>
    <w:basedOn w:val="Normal"/>
    <w:link w:val="CommentTextChar"/>
    <w:uiPriority w:val="99"/>
    <w:semiHidden/>
    <w:unhideWhenUsed/>
    <w:rsid w:val="00BA19CD"/>
    <w:rPr>
      <w:sz w:val="20"/>
      <w:szCs w:val="20"/>
    </w:rPr>
  </w:style>
  <w:style w:type="character" w:customStyle="1" w:styleId="CommentTextChar">
    <w:name w:val="Comment Text Char"/>
    <w:basedOn w:val="DefaultParagraphFont"/>
    <w:link w:val="CommentText"/>
    <w:uiPriority w:val="99"/>
    <w:semiHidden/>
    <w:rsid w:val="00BA19CD"/>
    <w:rPr>
      <w:sz w:val="20"/>
      <w:szCs w:val="20"/>
    </w:rPr>
  </w:style>
  <w:style w:type="paragraph" w:styleId="CommentSubject">
    <w:name w:val="annotation subject"/>
    <w:basedOn w:val="CommentText"/>
    <w:next w:val="CommentText"/>
    <w:link w:val="CommentSubjectChar"/>
    <w:uiPriority w:val="99"/>
    <w:semiHidden/>
    <w:unhideWhenUsed/>
    <w:rsid w:val="00BA19CD"/>
    <w:rPr>
      <w:b/>
      <w:bCs/>
    </w:rPr>
  </w:style>
  <w:style w:type="character" w:customStyle="1" w:styleId="CommentSubjectChar">
    <w:name w:val="Comment Subject Char"/>
    <w:basedOn w:val="CommentTextChar"/>
    <w:link w:val="CommentSubject"/>
    <w:uiPriority w:val="99"/>
    <w:semiHidden/>
    <w:rsid w:val="00BA19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tat.gov.lv/lv/statistikas-temas/valsts-ekonomika/ikp-istermina" TargetMode="External"/><Relationship Id="rId18" Type="http://schemas.openxmlformats.org/officeDocument/2006/relationships/hyperlink" Target="https://stat.gov.lv/lv/kalendars?Dates=%22N%C4%81kamais%20gads%22" TargetMode="External"/><Relationship Id="rId26" Type="http://schemas.openxmlformats.org/officeDocument/2006/relationships/image" Target="media/image1.emf"/><Relationship Id="rId21" Type="http://schemas.openxmlformats.org/officeDocument/2006/relationships/hyperlink" Target="https://dsbb.imf.org/sdds-plus/dqaf-base/country/LVA/category/NAG00"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c.europa.eu/eurostat/documents/3859598/5922265/10425-LV-LV.PDF" TargetMode="External"/><Relationship Id="rId17" Type="http://schemas.openxmlformats.org/officeDocument/2006/relationships/hyperlink" Target="https://www.csp.gov.lv/lv/nacionala-kopsavilkuma-datu-lapa" TargetMode="External"/><Relationship Id="rId25" Type="http://schemas.openxmlformats.org/officeDocument/2006/relationships/hyperlink" Target="https://ads.csb.gov.lv/Apsekojums/Sakums.rails?id=95db7fc7-ba3f-480f-84ab-a61a00a32aad&amp;listPage=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tat.gov.lv/lv/statistikas-temas/valsts-ekonomika/ikp-istermina" TargetMode="External"/><Relationship Id="rId20" Type="http://schemas.openxmlformats.org/officeDocument/2006/relationships/hyperlink" Target="https://stat.gov.lv/lv/statistikas-temas/valsts-ekonomika/ikp-istermina"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74749-statistikas-likums" TargetMode="External"/><Relationship Id="rId24" Type="http://schemas.openxmlformats.org/officeDocument/2006/relationships/hyperlink" Target="https://ads.csb.gov.lv/Apsekojums/Sakums.rails?id=2cf1692a-eb76-4189-8424-a61900b3efbb&amp;listPage=1"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t.gov.lv/lv/statistikas-temas/valsts-ekonomika/ikp-istermina" TargetMode="External"/><Relationship Id="rId23" Type="http://schemas.openxmlformats.org/officeDocument/2006/relationships/hyperlink" Target="https://ads.csb.gov.lv/Apsekojums/Sakums.rails?id=98fe2373-0640-4712-832f-a6200100af82%20&amp;%20listPage=1" TargetMode="External"/><Relationship Id="rId28" Type="http://schemas.openxmlformats.org/officeDocument/2006/relationships/image" Target="media/image2.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db.bank.lv/lb/Data.aspx?id=200&amp;lv" TargetMode="External"/><Relationship Id="rId31" Type="http://schemas.openxmlformats.org/officeDocument/2006/relationships/hyperlink" Target="https://ec.europa.eu/eurostat/web/household-budget-surve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lv/sites/default/files/revizijas_politika_LV.pdf" TargetMode="External"/><Relationship Id="rId22" Type="http://schemas.openxmlformats.org/officeDocument/2006/relationships/hyperlink" Target="https://stat.gov.lv/lv/metadati/2479-iekszemes-kopprodukts-latvija-kopa-eks-2010-ceturksnu-dati" TargetMode="External"/><Relationship Id="rId27" Type="http://schemas.openxmlformats.org/officeDocument/2006/relationships/hyperlink" Target="https://www.bank.lv/statistika/dati-statistika/valutu-kursi/lb-valutu-kursu-parskats" TargetMode="External"/><Relationship Id="rId30" Type="http://schemas.openxmlformats.org/officeDocument/2006/relationships/image" Target="media/image4.emf"/><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22317-ACD5-420B-A664-89BC745859AA}">
  <ds:schemaRefs>
    <ds:schemaRef ds:uri="http://schemas.openxmlformats.org/officeDocument/2006/bibliography"/>
  </ds:schemaRefs>
</ds:datastoreItem>
</file>

<file path=customXml/itemProps2.xml><?xml version="1.0" encoding="utf-8"?>
<ds:datastoreItem xmlns:ds="http://schemas.openxmlformats.org/officeDocument/2006/customXml" ds:itemID="{C981AECB-D59C-4A9C-B42A-979C0F8DEC3E}">
  <ds:schemaRefs>
    <ds:schemaRef ds:uri="http://schemas.microsoft.com/sharepoint/v3/contenttype/forms"/>
  </ds:schemaRefs>
</ds:datastoreItem>
</file>

<file path=customXml/itemProps3.xml><?xml version="1.0" encoding="utf-8"?>
<ds:datastoreItem xmlns:ds="http://schemas.openxmlformats.org/officeDocument/2006/customXml" ds:itemID="{85CA6C09-E609-4A4B-8501-20845500E0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9A0492-F2B4-4239-9559-1E4C3D1A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98494</Words>
  <Characters>56142</Characters>
  <Application>Microsoft Office Word</Application>
  <DocSecurity>0</DocSecurity>
  <Lines>467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2020-04-08T10:45:00Z</dcterms:created>
  <dcterms:modified xsi:type="dcterms:W3CDTF">2021-10-21T13:16:00Z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